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_Toc416945254 \h </w:instrText>
      </w:r>
      <w:r>
        <w:fldChar w:fldCharType="separate"/>
      </w:r>
      <w:r>
        <w:t>1</w:t>
      </w:r>
      <w:r>
        <w:fldChar w:fldCharType="end"/>
      </w:r>
    </w:p>
    <w:p>
      <w:pPr>
        <w:pStyle w:val="TOC8"/>
        <w:rPr>
          <w:rFonts w:asciiTheme="minorHAnsi" w:eastAsiaTheme="minorEastAsia" w:hAnsiTheme="minorHAnsi" w:cstheme="minorBidi"/>
          <w:szCs w:val="22"/>
        </w:rPr>
      </w:pPr>
      <w:r>
        <w:t>2.</w:t>
      </w:r>
      <w:r>
        <w:tab/>
      </w:r>
      <w:r>
        <w:rPr>
          <w:snapToGrid w:val="0"/>
        </w:rPr>
        <w:t>Fees</w:t>
      </w:r>
      <w:r>
        <w:tab/>
      </w:r>
      <w:r>
        <w:fldChar w:fldCharType="begin"/>
      </w:r>
      <w:r>
        <w:instrText xml:space="preserve"> PAGEREF _Toc416945255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_Toc416945256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_Toc416945259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_Toc416945260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ind w:left="720" w:hanging="720"/>
      </w:pPr>
      <w:r>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3" w:name="_Toc408499050"/>
      <w:bookmarkStart w:id="4" w:name="_Toc41694525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16945255"/>
      <w:r>
        <w:rPr>
          <w:rStyle w:val="CharSectno"/>
        </w:rPr>
        <w:t>2</w:t>
      </w:r>
      <w:r>
        <w:t>.</w:t>
      </w:r>
      <w:r>
        <w:tab/>
      </w:r>
      <w:r>
        <w:rPr>
          <w:snapToGrid w:val="0"/>
        </w:rPr>
        <w:t>Fees</w:t>
      </w:r>
      <w:bookmarkEnd w:id="5"/>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7" w:name="_Toc408499052"/>
      <w:bookmarkStart w:id="8" w:name="_Toc41694525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accident</w:t>
      </w:r>
      <w:r>
        <w:t xml:space="preserve"> has the same meaning as in Part V of the </w:t>
      </w:r>
      <w:r>
        <w:rPr>
          <w:i/>
        </w:rPr>
        <w:t>Road Traffic Act 1974</w:t>
      </w:r>
      <w:r>
        <w:t>;</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rPr>
          <w:b/>
        </w:rPr>
        <w:tab/>
      </w:r>
      <w:r>
        <w:rPr>
          <w:rStyle w:val="CharDefText"/>
        </w:rPr>
        <w:t>road traffic conviction record</w:t>
      </w:r>
      <w:r>
        <w:t xml:space="preserve">, in respect of a person, means the record held in the department of the person’s convictions against the </w:t>
      </w:r>
      <w:r>
        <w:rPr>
          <w:i/>
          <w:iCs/>
        </w:rPr>
        <w:t>Road Traffic Act 1974</w:t>
      </w:r>
      <w:r>
        <w:t>;</w:t>
      </w:r>
    </w:p>
    <w:p>
      <w:pPr>
        <w:pStyle w:val="Defstart"/>
        <w:rPr>
          <w:i/>
          <w:iCs/>
        </w:rPr>
      </w:pPr>
      <w:r>
        <w:rPr>
          <w:b/>
        </w:rPr>
        <w:tab/>
      </w:r>
      <w:r>
        <w:rPr>
          <w:rStyle w:val="CharDefText"/>
        </w:rPr>
        <w:t>traffic infringement notice record</w:t>
      </w:r>
      <w:r>
        <w:rPr>
          <w:bCs/>
        </w:rPr>
        <w:t xml:space="preserve">, in respect of a person, means the record held in the department of infringement notices served on the person under the </w:t>
      </w:r>
      <w:r>
        <w:rPr>
          <w:bCs/>
          <w:i/>
          <w:iCs/>
        </w:rPr>
        <w:t>Road Traffic Act 1974</w:t>
      </w:r>
      <w:r>
        <w:rPr>
          <w:bCs/>
        </w:rPr>
        <w:t xml:space="preserve"> section 102.</w:t>
      </w:r>
    </w:p>
    <w:p>
      <w:pPr>
        <w:pStyle w:val="Footnotesection"/>
      </w:pPr>
      <w:r>
        <w:tab/>
        <w:t>[Regulation 3 inserted in Gazette 12 Jun 1998 p. 3201; amended in Gazette 1 Jul 2005 p. 3004.]</w:t>
      </w:r>
    </w:p>
    <w:p>
      <w:pPr>
        <w:ind w:left="720" w:hanging="720"/>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08499053"/>
      <w:bookmarkStart w:id="10" w:name="_Toc416945232"/>
      <w:bookmarkStart w:id="11" w:name="_Toc416945257"/>
      <w:r>
        <w:rPr>
          <w:rStyle w:val="CharSchNo"/>
        </w:rPr>
        <w:t>Schedule 1</w:t>
      </w:r>
      <w:r>
        <w:t> — </w:t>
      </w:r>
      <w:r>
        <w:rPr>
          <w:rStyle w:val="CharSchText"/>
        </w:rPr>
        <w:t>Fees</w:t>
      </w:r>
      <w:bookmarkEnd w:id="9"/>
      <w:bookmarkEnd w:id="10"/>
      <w:bookmarkEnd w:id="11"/>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25"/>
        <w:gridCol w:w="5387"/>
        <w:gridCol w:w="992"/>
      </w:tblGrid>
      <w:tr>
        <w:trPr>
          <w:cantSplit/>
        </w:trPr>
        <w:tc>
          <w:tcPr>
            <w:tcW w:w="425" w:type="dxa"/>
          </w:tcPr>
          <w:p>
            <w:pPr>
              <w:pStyle w:val="yTableNAm"/>
            </w:pPr>
            <w:r>
              <w:t>1.</w:t>
            </w:r>
          </w:p>
        </w:tc>
        <w:tc>
          <w:tcPr>
            <w:tcW w:w="5387"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bCs/>
              </w:rPr>
              <w:t>$24.00</w:t>
            </w:r>
          </w:p>
        </w:tc>
      </w:tr>
      <w:tr>
        <w:trPr>
          <w:cantSplit/>
        </w:trPr>
        <w:tc>
          <w:tcPr>
            <w:tcW w:w="425" w:type="dxa"/>
          </w:tcPr>
          <w:p>
            <w:pPr>
              <w:pStyle w:val="yTableNAm"/>
            </w:pPr>
            <w:r>
              <w:t>2.</w:t>
            </w:r>
          </w:p>
        </w:tc>
        <w:tc>
          <w:tcPr>
            <w:tcW w:w="5387" w:type="dxa"/>
          </w:tcPr>
          <w:p>
            <w:pPr>
              <w:pStyle w:val="yTableNAm"/>
              <w:tabs>
                <w:tab w:val="left" w:leader="dot" w:pos="5387"/>
              </w:tabs>
            </w:pPr>
            <w:r>
              <w:t xml:space="preserve">Escorts and Guards — each person provided per hour and part thereof for high risk escorts carried out by TRG </w:t>
            </w:r>
            <w:r>
              <w:tab/>
            </w:r>
          </w:p>
        </w:tc>
        <w:tc>
          <w:tcPr>
            <w:tcW w:w="992" w:type="dxa"/>
          </w:tcPr>
          <w:p>
            <w:pPr>
              <w:pStyle w:val="yTableNAm"/>
              <w:tabs>
                <w:tab w:val="clear" w:pos="567"/>
              </w:tabs>
              <w:jc w:val="right"/>
            </w:pPr>
            <w:r>
              <w:br/>
              <w:t>$101.70</w:t>
            </w:r>
          </w:p>
        </w:tc>
      </w:tr>
      <w:tr>
        <w:trPr>
          <w:cantSplit/>
        </w:trPr>
        <w:tc>
          <w:tcPr>
            <w:tcW w:w="425" w:type="dxa"/>
          </w:tcPr>
          <w:p>
            <w:pPr>
              <w:pStyle w:val="yTableNAm"/>
            </w:pPr>
            <w:r>
              <w:t>3.</w:t>
            </w:r>
          </w:p>
        </w:tc>
        <w:tc>
          <w:tcPr>
            <w:tcW w:w="5387" w:type="dxa"/>
          </w:tcPr>
          <w:p>
            <w:pPr>
              <w:pStyle w:val="yTableNAm"/>
              <w:tabs>
                <w:tab w:val="left" w:leader="dot" w:pos="5387"/>
              </w:tabs>
            </w:pPr>
            <w:r>
              <w:t xml:space="preserve">Photographs, authorised reproductions — </w:t>
            </w:r>
          </w:p>
          <w:p>
            <w:pPr>
              <w:pStyle w:val="yTableNAm"/>
              <w:tabs>
                <w:tab w:val="left" w:leader="dot" w:pos="5387"/>
              </w:tabs>
            </w:pPr>
            <w:r>
              <w:t>(a)</w:t>
            </w:r>
            <w:r>
              <w:tab/>
              <w:t xml:space="preserve">5 or more from the same film, per photograph </w:t>
            </w:r>
            <w:r>
              <w:tab/>
            </w:r>
          </w:p>
          <w:p>
            <w:pPr>
              <w:pStyle w:val="yTableNAm"/>
              <w:tabs>
                <w:tab w:val="left" w:leader="dot" w:pos="5387"/>
              </w:tabs>
            </w:pPr>
            <w:r>
              <w:t>(b)</w:t>
            </w:r>
            <w:r>
              <w:tab/>
              <w:t xml:space="preserve">otherwise, per photograph </w:t>
            </w:r>
            <w:r>
              <w:tab/>
            </w:r>
          </w:p>
        </w:tc>
        <w:tc>
          <w:tcPr>
            <w:tcW w:w="992" w:type="dxa"/>
          </w:tcPr>
          <w:p>
            <w:pPr>
              <w:pStyle w:val="yTableNAm"/>
              <w:tabs>
                <w:tab w:val="clear" w:pos="567"/>
              </w:tabs>
              <w:jc w:val="right"/>
            </w:pPr>
          </w:p>
          <w:p>
            <w:pPr>
              <w:pStyle w:val="yTableNAm"/>
              <w:tabs>
                <w:tab w:val="clear" w:pos="567"/>
              </w:tabs>
              <w:jc w:val="right"/>
            </w:pPr>
            <w:r>
              <w:t>$11.60</w:t>
            </w:r>
          </w:p>
          <w:p>
            <w:pPr>
              <w:pStyle w:val="yTableNAm"/>
              <w:tabs>
                <w:tab w:val="clear" w:pos="567"/>
              </w:tabs>
              <w:jc w:val="right"/>
            </w:pPr>
            <w:r>
              <w:t>$34.20</w:t>
            </w:r>
          </w:p>
        </w:tc>
      </w:tr>
      <w:tr>
        <w:trPr>
          <w:cantSplit/>
        </w:trPr>
        <w:tc>
          <w:tcPr>
            <w:tcW w:w="425" w:type="dxa"/>
          </w:tcPr>
          <w:p>
            <w:pPr>
              <w:pStyle w:val="yTableNAm"/>
            </w:pPr>
            <w:r>
              <w:t>4.</w:t>
            </w:r>
          </w:p>
        </w:tc>
        <w:tc>
          <w:tcPr>
            <w:tcW w:w="5387"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t>$14.70</w:t>
            </w:r>
          </w:p>
          <w:p>
            <w:pPr>
              <w:pStyle w:val="yTableNAm"/>
              <w:tabs>
                <w:tab w:val="clear" w:pos="567"/>
              </w:tabs>
              <w:jc w:val="right"/>
            </w:pPr>
            <w:r>
              <w:t>$41.70</w:t>
            </w:r>
          </w:p>
          <w:p>
            <w:pPr>
              <w:pStyle w:val="yTableNAm"/>
              <w:tabs>
                <w:tab w:val="clear" w:pos="567"/>
              </w:tabs>
              <w:jc w:val="right"/>
            </w:pPr>
            <w:r>
              <w:t>$42.20</w:t>
            </w:r>
          </w:p>
        </w:tc>
      </w:tr>
      <w:tr>
        <w:trPr>
          <w:cantSplit/>
        </w:trPr>
        <w:tc>
          <w:tcPr>
            <w:tcW w:w="425" w:type="dxa"/>
          </w:tcPr>
          <w:p>
            <w:pPr>
              <w:pStyle w:val="yTableNAm"/>
            </w:pPr>
            <w:r>
              <w:t>5.</w:t>
            </w:r>
          </w:p>
        </w:tc>
        <w:tc>
          <w:tcPr>
            <w:tcW w:w="5387"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t>$62.40</w:t>
            </w:r>
          </w:p>
        </w:tc>
      </w:tr>
      <w:tr>
        <w:trPr>
          <w:cantSplit/>
        </w:trPr>
        <w:tc>
          <w:tcPr>
            <w:tcW w:w="425" w:type="dxa"/>
          </w:tcPr>
          <w:p>
            <w:pPr>
              <w:pStyle w:val="yTableNAm"/>
            </w:pPr>
            <w:r>
              <w:t>6.</w:t>
            </w:r>
          </w:p>
        </w:tc>
        <w:tc>
          <w:tcPr>
            <w:tcW w:w="5387" w:type="dxa"/>
          </w:tcPr>
          <w:p>
            <w:pPr>
              <w:pStyle w:val="yTableNAm"/>
              <w:tabs>
                <w:tab w:val="left" w:leader="dot" w:pos="5387"/>
              </w:tabs>
            </w:pPr>
            <w:r>
              <w:t xml:space="preserve">Traffic offence detection photographs (e.g. traffic speed camera, red light camera) if provided by police, per copy </w:t>
            </w:r>
            <w:r>
              <w:tab/>
            </w:r>
          </w:p>
        </w:tc>
        <w:tc>
          <w:tcPr>
            <w:tcW w:w="992" w:type="dxa"/>
          </w:tcPr>
          <w:p>
            <w:pPr>
              <w:pStyle w:val="yTableNAm"/>
              <w:tabs>
                <w:tab w:val="clear" w:pos="567"/>
              </w:tabs>
              <w:jc w:val="right"/>
            </w:pPr>
            <w:r>
              <w:br/>
              <w:t>$34.20</w:t>
            </w:r>
          </w:p>
        </w:tc>
      </w:tr>
      <w:tr>
        <w:trPr>
          <w:cantSplit/>
        </w:trPr>
        <w:tc>
          <w:tcPr>
            <w:tcW w:w="425" w:type="dxa"/>
          </w:tcPr>
          <w:p>
            <w:pPr>
              <w:pStyle w:val="yTableNAm"/>
            </w:pPr>
            <w:r>
              <w:t>7.</w:t>
            </w:r>
          </w:p>
        </w:tc>
        <w:tc>
          <w:tcPr>
            <w:tcW w:w="5387" w:type="dxa"/>
          </w:tcPr>
          <w:p>
            <w:pPr>
              <w:pStyle w:val="yTableNAm"/>
              <w:tabs>
                <w:tab w:val="left" w:leader="dot" w:pos="5387"/>
              </w:tabs>
            </w:pPr>
            <w:r>
              <w:t>Provision of accident information — </w:t>
            </w:r>
          </w:p>
          <w:p>
            <w:pPr>
              <w:pStyle w:val="yTableNAm"/>
              <w:tabs>
                <w:tab w:val="left" w:leader="dot" w:pos="5387"/>
              </w:tabs>
              <w:ind w:left="567" w:hanging="567"/>
            </w:pPr>
            <w:r>
              <w:t>(a)</w:t>
            </w:r>
            <w:r>
              <w:tab/>
              <w:t xml:space="preserve">details of accident to those involved or their representatives (outlining certain accident details) </w:t>
            </w:r>
            <w:r>
              <w:tab/>
            </w:r>
          </w:p>
          <w:p>
            <w:pPr>
              <w:pStyle w:val="yTableNAm"/>
              <w:tabs>
                <w:tab w:val="left" w:leader="dot" w:pos="5387"/>
              </w:tabs>
              <w:ind w:left="567" w:hanging="567"/>
            </w:pPr>
            <w:r>
              <w:t>(b)</w:t>
            </w:r>
            <w:r>
              <w:tab/>
              <w:t xml:space="preserve">details of accident to Insurance Commission of Western Australia for third party insurance purposes </w:t>
            </w:r>
            <w:r>
              <w:tab/>
            </w:r>
          </w:p>
        </w:tc>
        <w:tc>
          <w:tcPr>
            <w:tcW w:w="992" w:type="dxa"/>
          </w:tcPr>
          <w:p>
            <w:pPr>
              <w:pStyle w:val="yTableNAm"/>
              <w:tabs>
                <w:tab w:val="clear" w:pos="567"/>
              </w:tabs>
              <w:jc w:val="right"/>
            </w:pPr>
          </w:p>
          <w:p>
            <w:pPr>
              <w:pStyle w:val="yTableNAm"/>
              <w:tabs>
                <w:tab w:val="clear" w:pos="567"/>
              </w:tabs>
              <w:jc w:val="right"/>
            </w:pPr>
            <w:r>
              <w:br/>
              <w:t>$40.40</w:t>
            </w:r>
          </w:p>
          <w:p>
            <w:pPr>
              <w:pStyle w:val="yTableNAm"/>
              <w:tabs>
                <w:tab w:val="clear" w:pos="567"/>
              </w:tabs>
              <w:jc w:val="right"/>
            </w:pPr>
            <w:r>
              <w:br/>
            </w:r>
            <w:r>
              <w:br/>
              <w:t>$40.40</w:t>
            </w:r>
          </w:p>
        </w:tc>
      </w:tr>
      <w:tr>
        <w:trPr>
          <w:cantSplit/>
        </w:trPr>
        <w:tc>
          <w:tcPr>
            <w:tcW w:w="425" w:type="dxa"/>
          </w:tcPr>
          <w:p>
            <w:pPr>
              <w:pStyle w:val="yTableNAm"/>
            </w:pPr>
            <w:r>
              <w:t>8.</w:t>
            </w:r>
          </w:p>
        </w:tc>
        <w:tc>
          <w:tcPr>
            <w:tcW w:w="5387" w:type="dxa"/>
          </w:tcPr>
          <w:p>
            <w:pPr>
              <w:pStyle w:val="yTableNAm"/>
              <w:tabs>
                <w:tab w:val="left" w:leader="dot" w:pos="5387"/>
              </w:tabs>
            </w:pPr>
            <w:r>
              <w:t xml:space="preserve">Provision of information about a reported incident to those involved or their representatives (outlining certain incident details) </w:t>
            </w:r>
            <w:r>
              <w:tab/>
            </w:r>
          </w:p>
        </w:tc>
        <w:tc>
          <w:tcPr>
            <w:tcW w:w="992" w:type="dxa"/>
          </w:tcPr>
          <w:p>
            <w:pPr>
              <w:pStyle w:val="yTableNAm"/>
              <w:tabs>
                <w:tab w:val="clear" w:pos="567"/>
              </w:tabs>
              <w:jc w:val="right"/>
            </w:pPr>
            <w:r>
              <w:br/>
            </w:r>
            <w:r>
              <w:br/>
              <w:t>$40.40</w:t>
            </w:r>
          </w:p>
        </w:tc>
      </w:tr>
      <w:tr>
        <w:trPr>
          <w:cantSplit/>
        </w:trPr>
        <w:tc>
          <w:tcPr>
            <w:tcW w:w="425" w:type="dxa"/>
          </w:tcPr>
          <w:p>
            <w:pPr>
              <w:pStyle w:val="yTableNAm"/>
            </w:pPr>
            <w:r>
              <w:t>9.</w:t>
            </w:r>
          </w:p>
        </w:tc>
        <w:tc>
          <w:tcPr>
            <w:tcW w:w="5387"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t>$94.60</w:t>
            </w:r>
          </w:p>
          <w:p>
            <w:pPr>
              <w:pStyle w:val="yTableNAm"/>
              <w:tabs>
                <w:tab w:val="clear" w:pos="567"/>
              </w:tabs>
              <w:jc w:val="right"/>
            </w:pPr>
            <w:r>
              <w:br/>
              <w:t>$94.60</w:t>
            </w:r>
          </w:p>
        </w:tc>
      </w:tr>
    </w:tbl>
    <w:p>
      <w:pPr>
        <w:pStyle w:val="yFootnotesection"/>
      </w:pPr>
      <w:r>
        <w:tab/>
        <w:t>[Schedule 1 inserted in Gazette 17 Jun 2014 p. 1997.]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ind w:left="720" w:hanging="720"/>
      </w:pPr>
      <w:bookmarkStart w:id="13" w:name="_Toc408499054"/>
      <w:bookmarkStart w:id="14" w:name="_Toc416945233"/>
      <w:bookmarkStart w:id="15" w:name="_Toc416945258"/>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60" w:after="80"/>
      </w:pPr>
      <w:bookmarkStart w:id="16" w:name="_Toc408499055"/>
      <w:bookmarkStart w:id="17" w:name="_Toc416945259"/>
      <w: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Borders>
              <w:bottom w:val="single" w:sz="4" w:space="0" w:color="auto"/>
            </w:tcBorders>
          </w:tcPr>
          <w:p>
            <w:pPr>
              <w:pStyle w:val="nTable"/>
              <w:spacing w:after="40"/>
              <w:ind w:right="113"/>
              <w:rPr>
                <w:i/>
              </w:rPr>
            </w:pPr>
            <w:r>
              <w:rPr>
                <w:i/>
              </w:rPr>
              <w:t>Police (Fees) Amendment Regulations 2014</w:t>
            </w:r>
          </w:p>
        </w:tc>
        <w:tc>
          <w:tcPr>
            <w:tcW w:w="1276" w:type="dxa"/>
            <w:tcBorders>
              <w:bottom w:val="single" w:sz="4" w:space="0" w:color="auto"/>
            </w:tcBorders>
          </w:tcPr>
          <w:p>
            <w:pPr>
              <w:pStyle w:val="nTable"/>
              <w:spacing w:after="40"/>
            </w:pPr>
            <w:r>
              <w:rPr>
                <w:spacing w:val="-4"/>
              </w:rPr>
              <w:t>17 Jun 2014 p. 1</w:t>
            </w:r>
            <w:r>
              <w:t>996</w:t>
            </w:r>
            <w:r>
              <w:noBreakHyphen/>
              <w:t>7</w:t>
            </w:r>
          </w:p>
        </w:tc>
        <w:tc>
          <w:tcPr>
            <w:tcW w:w="2693" w:type="dxa"/>
            <w:tcBorders>
              <w:bottom w:val="single" w:sz="4" w:space="0" w:color="auto"/>
            </w:tcBorders>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08499056"/>
      <w:bookmarkStart w:id="19" w:name="_Toc416945260"/>
      <w:r>
        <w:t>Provisions that have not come into operation</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Police (Fees) Amendment Regulations (No. 2) 2014</w:t>
            </w:r>
            <w:r>
              <w:t xml:space="preserve"> r. 3-5</w:t>
            </w:r>
            <w:r>
              <w:rPr>
                <w:vertAlign w:val="superscript"/>
              </w:rPr>
              <w:t> 2</w:t>
            </w:r>
          </w:p>
        </w:tc>
        <w:tc>
          <w:tcPr>
            <w:tcW w:w="1276" w:type="dxa"/>
            <w:tcBorders>
              <w:top w:val="single" w:sz="4" w:space="0" w:color="auto"/>
              <w:bottom w:val="single" w:sz="4" w:space="0" w:color="auto"/>
            </w:tcBorders>
          </w:tcPr>
          <w:p>
            <w:pPr>
              <w:pStyle w:val="nTable"/>
              <w:spacing w:after="40"/>
            </w:pPr>
            <w:r>
              <w:t>8 Jan 2015 p. 153</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Police (Fees) Amendment Regulations (No. 2) 2014</w:t>
      </w:r>
      <w: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Police (Fees) Regulations 1981</w:t>
      </w:r>
      <w:r>
        <w:t>.</w:t>
      </w:r>
    </w:p>
    <w:p>
      <w:pPr>
        <w:pStyle w:val="nzHeading5"/>
      </w:pPr>
      <w:r>
        <w:rPr>
          <w:rStyle w:val="CharSectno"/>
        </w:rPr>
        <w:t>4</w:t>
      </w:r>
      <w:r>
        <w:t>.</w:t>
      </w:r>
      <w:r>
        <w:tab/>
        <w:t>Regulation 3 amended</w:t>
      </w:r>
    </w:p>
    <w:p>
      <w:pPr>
        <w:pStyle w:val="nzSubsection"/>
      </w:pPr>
      <w:r>
        <w:tab/>
        <w:t>(1)</w:t>
      </w:r>
      <w:r>
        <w:tab/>
        <w:t>In regulation 3 delete the definitions of:</w:t>
      </w:r>
    </w:p>
    <w:p>
      <w:pPr>
        <w:pStyle w:val="DeleteListSub"/>
        <w:ind w:left="1456"/>
        <w:rPr>
          <w:b/>
          <w:i/>
          <w:sz w:val="20"/>
        </w:rPr>
      </w:pPr>
      <w:r>
        <w:rPr>
          <w:b/>
          <w:i/>
          <w:sz w:val="20"/>
        </w:rPr>
        <w:t>accident</w:t>
      </w:r>
    </w:p>
    <w:p>
      <w:pPr>
        <w:pStyle w:val="DeleteListSub"/>
        <w:ind w:left="1456"/>
        <w:rPr>
          <w:b/>
          <w:i/>
          <w:sz w:val="20"/>
        </w:rPr>
      </w:pPr>
      <w:r>
        <w:rPr>
          <w:b/>
          <w:i/>
          <w:sz w:val="20"/>
        </w:rPr>
        <w:t>road traffic conviction record</w:t>
      </w:r>
    </w:p>
    <w:p>
      <w:pPr>
        <w:pStyle w:val="nzSubsection"/>
      </w:pPr>
      <w:r>
        <w:tab/>
        <w:t>(2)</w:t>
      </w:r>
      <w:r>
        <w:tab/>
        <w:t xml:space="preserve">In regulation 3 in the definition of </w:t>
      </w:r>
      <w:r>
        <w:rPr>
          <w:b/>
          <w:i/>
        </w:rPr>
        <w:t>traffic infringement notice record</w:t>
      </w:r>
      <w:r>
        <w:t xml:space="preserve"> delete “</w:t>
      </w:r>
      <w:r>
        <w:rPr>
          <w:bCs/>
          <w:i/>
          <w:iCs/>
        </w:rPr>
        <w:t>Road Traffic Act 1974</w:t>
      </w:r>
      <w:r>
        <w:rPr>
          <w:bCs/>
        </w:rPr>
        <w:t xml:space="preserve"> section 102.</w:t>
      </w:r>
      <w:r>
        <w:t>” and insert:</w:t>
      </w:r>
    </w:p>
    <w:p>
      <w:pPr>
        <w:pStyle w:val="BlankOpen"/>
      </w:pPr>
    </w:p>
    <w:p>
      <w:pPr>
        <w:pStyle w:val="nzSubsection"/>
      </w:pPr>
      <w:r>
        <w:tab/>
      </w:r>
      <w:r>
        <w:tab/>
      </w:r>
      <w:r>
        <w:rPr>
          <w:i/>
        </w:rPr>
        <w:t>Road Traffic (Administration) Act 2008</w:t>
      </w:r>
      <w:r>
        <w:t xml:space="preserve"> section 79.</w:t>
      </w:r>
    </w:p>
    <w:p>
      <w:pPr>
        <w:pStyle w:val="BlankClose"/>
      </w:pPr>
    </w:p>
    <w:p>
      <w:pPr>
        <w:pStyle w:val="nzHeading5"/>
      </w:pPr>
      <w:r>
        <w:rPr>
          <w:rStyle w:val="CharSectno"/>
        </w:rPr>
        <w:t>5</w:t>
      </w:r>
      <w:r>
        <w:t>.</w:t>
      </w:r>
      <w:r>
        <w:tab/>
        <w:t>Schedule 1 amended</w:t>
      </w:r>
    </w:p>
    <w:p>
      <w:pPr>
        <w:pStyle w:val="nzSubsection"/>
      </w:pPr>
      <w:r>
        <w:tab/>
      </w:r>
      <w:r>
        <w:tab/>
        <w:t>In Schedule 1 delete items 7 and 8 and insert:</w:t>
      </w:r>
    </w:p>
    <w:p>
      <w:pPr>
        <w:pStyle w:val="BlankOpen"/>
      </w:pPr>
    </w:p>
    <w:tbl>
      <w:tblPr>
        <w:tblW w:w="6804" w:type="dxa"/>
        <w:tblInd w:w="250" w:type="dxa"/>
        <w:tblLayout w:type="fixed"/>
        <w:tblCellMar>
          <w:bottom w:w="113" w:type="dxa"/>
        </w:tblCellMar>
        <w:tblLook w:val="0000" w:firstRow="0" w:lastRow="0" w:firstColumn="0" w:lastColumn="0" w:noHBand="0" w:noVBand="0"/>
      </w:tblPr>
      <w:tblGrid>
        <w:gridCol w:w="425"/>
        <w:gridCol w:w="5387"/>
        <w:gridCol w:w="992"/>
      </w:tblGrid>
      <w:tr>
        <w:trPr>
          <w:cantSplit/>
        </w:trPr>
        <w:tc>
          <w:tcPr>
            <w:tcW w:w="425" w:type="dxa"/>
          </w:tcPr>
          <w:p>
            <w:pPr>
              <w:pStyle w:val="yTableNAm"/>
            </w:pPr>
            <w:r>
              <w:t>7.</w:t>
            </w:r>
          </w:p>
        </w:tc>
        <w:tc>
          <w:tcPr>
            <w:tcW w:w="5387" w:type="dxa"/>
          </w:tcPr>
          <w:p>
            <w:pPr>
              <w:pStyle w:val="yTableNAm"/>
              <w:tabs>
                <w:tab w:val="left" w:leader="dot" w:pos="5387"/>
              </w:tabs>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rPr>
                <w:rFonts w:ascii="Arial" w:hAnsi="Arial"/>
                <w:b/>
              </w:rPr>
            </w:pPr>
            <w:r>
              <w:t>(b)</w:t>
            </w:r>
            <w:r>
              <w:tab/>
              <w:t xml:space="preserve">to Insurance Commission of Western Australia for third party insurance purposes </w:t>
            </w:r>
            <w:r>
              <w:tab/>
            </w:r>
          </w:p>
        </w:tc>
        <w:tc>
          <w:tcPr>
            <w:tcW w:w="992" w:type="dxa"/>
          </w:tcPr>
          <w:p>
            <w:pPr>
              <w:pStyle w:val="yTableNAm"/>
            </w:pPr>
            <w:r>
              <w:br/>
            </w:r>
          </w:p>
          <w:p>
            <w:pPr>
              <w:pStyle w:val="yTableNAm"/>
            </w:pPr>
            <w:r>
              <w:br/>
              <w:t>$40.40</w:t>
            </w:r>
          </w:p>
          <w:p>
            <w:pPr>
              <w:pStyle w:val="yTableNAm"/>
            </w:pPr>
            <w:r>
              <w:br/>
              <w:t>$40.40</w:t>
            </w:r>
          </w:p>
        </w:tc>
      </w:tr>
    </w:tbl>
    <w:p>
      <w:pPr>
        <w:pStyle w:val="BlankClose"/>
      </w:pPr>
    </w:p>
    <w:p>
      <w:pPr>
        <w:pStyle w:val="BlankClose"/>
      </w:pPr>
    </w:p>
    <w:p>
      <w:pPr>
        <w:ind w:left="720" w:hanging="720"/>
      </w:pPr>
    </w:p>
    <w:p>
      <w:pPr>
        <w:ind w:left="720" w:hanging="720"/>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 w:name="_Toc416945261"/>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accident</w:t>
      </w:r>
      <w:r>
        <w:tab/>
        <w:t>3</w:t>
      </w:r>
    </w:p>
    <w:p>
      <w:pPr>
        <w:pStyle w:val="DefinedTerms"/>
      </w:pPr>
      <w:r>
        <w:t>department</w:t>
      </w:r>
      <w:r>
        <w:tab/>
        <w:t>3</w:t>
      </w:r>
    </w:p>
    <w:p>
      <w:pPr>
        <w:pStyle w:val="DefinedTerms"/>
      </w:pPr>
      <w:r>
        <w:t>road traffic conviction record</w:t>
      </w:r>
      <w:r>
        <w:tab/>
        <w:t>3</w:t>
      </w:r>
    </w:p>
    <w:p>
      <w:pPr>
        <w:pStyle w:val="DefinedTerms"/>
      </w:pPr>
      <w:r>
        <w:t>traffic infringement notice record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ind w:left="720" w:hanging="720"/>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1610</Words>
  <Characters>7551</Characters>
  <Application>Microsoft Office Word</Application>
  <DocSecurity>0</DocSecurity>
  <Lines>419</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1981 - 03-f0-01</dc:title>
  <dc:subject/>
  <dc:creator>Matthew Pether</dc:creator>
  <cp:keywords/>
  <cp:lastModifiedBy>svcMRProcess</cp:lastModifiedBy>
  <cp:revision>4</cp:revision>
  <cp:lastPrinted>2010-09-24T03:15:00Z</cp:lastPrinted>
  <dcterms:created xsi:type="dcterms:W3CDTF">2015-04-16T03:22:00Z</dcterms:created>
  <dcterms:modified xsi:type="dcterms:W3CDTF">2015-04-16T03:22:00Z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4702</vt:i4>
  </property>
  <property fmtid="{D5CDD505-2E9C-101B-9397-08002B2CF9AE}" pid="6" name="ReprintNo">
    <vt:lpwstr>3</vt:lpwstr>
  </property>
  <property fmtid="{D5CDD505-2E9C-101B-9397-08002B2CF9AE}" pid="7" name="ReprintedAsAt">
    <vt:filetime>2010-09-30T16:00:00Z</vt:filetime>
  </property>
  <property fmtid="{D5CDD505-2E9C-101B-9397-08002B2CF9AE}" pid="8" name="AsAtDate">
    <vt:lpwstr>08 Jan 2015</vt:lpwstr>
  </property>
  <property fmtid="{D5CDD505-2E9C-101B-9397-08002B2CF9AE}" pid="9" name="Suffix">
    <vt:lpwstr>03-f0-01</vt:lpwstr>
  </property>
</Properties>
</file>