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Fremantle Hospital By-laws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_Toc416692325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_Toc416692326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_Toc416692327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rPr>
          <w:snapToGrid w:val="0"/>
        </w:rPr>
        <w:t>.</w:t>
      </w:r>
      <w:r>
        <w:rPr>
          <w:snapToGrid w:val="0"/>
        </w:rPr>
        <w:tab/>
        <w:t>No entry without cause</w:t>
      </w:r>
      <w:r>
        <w:tab/>
      </w:r>
      <w:r>
        <w:fldChar w:fldCharType="begin"/>
      </w:r>
      <w:r>
        <w:instrText xml:space="preserve"> PAGEREF _Toc416692329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Directions as to use of certain areas</w:t>
      </w:r>
      <w:r>
        <w:tab/>
      </w:r>
      <w:r>
        <w:fldChar w:fldCharType="begin"/>
      </w:r>
      <w:r>
        <w:instrText xml:space="preserve"> PAGEREF _Toc416692330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Liquor</w:t>
      </w:r>
      <w:r>
        <w:tab/>
      </w:r>
      <w:r>
        <w:fldChar w:fldCharType="begin"/>
      </w:r>
      <w:r>
        <w:instrText xml:space="preserve"> PAGEREF _Toc416692331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_Toc416692332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Disorderly persons may be removed from site</w:t>
      </w:r>
      <w:r>
        <w:tab/>
      </w:r>
      <w:r>
        <w:fldChar w:fldCharType="begin"/>
      </w:r>
      <w:r>
        <w:instrText xml:space="preserve"> PAGEREF _Toc416692333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Driving and use of vehicles</w:t>
      </w:r>
    </w:p>
    <w:p>
      <w:pPr>
        <w:pStyle w:val="TOC8"/>
        <w:rPr>
          <w:rFonts w:asciiTheme="minorHAnsi" w:eastAsiaTheme="minorEastAsia" w:hAnsiTheme="minorHAnsi" w:cstheme="minorBidi"/>
          <w:szCs w:val="22"/>
        </w:rPr>
      </w:pPr>
      <w:r>
        <w:t>9</w:t>
      </w:r>
      <w:r>
        <w:rPr>
          <w:snapToGrid w:val="0"/>
        </w:rPr>
        <w:t>.</w:t>
      </w:r>
      <w:r>
        <w:rPr>
          <w:snapToGrid w:val="0"/>
        </w:rPr>
        <w:tab/>
        <w:t>Driving of vehicles</w:t>
      </w:r>
      <w:r>
        <w:tab/>
      </w:r>
      <w:r>
        <w:fldChar w:fldCharType="begin"/>
      </w:r>
      <w:r>
        <w:instrText xml:space="preserve"> PAGEREF _Toc416692336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Driver to obey reasonable direction</w:t>
      </w:r>
      <w:r>
        <w:tab/>
      </w:r>
      <w:r>
        <w:fldChar w:fldCharType="begin"/>
      </w:r>
      <w:r>
        <w:instrText xml:space="preserve"> PAGEREF _Toc416692337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Speed limits</w:t>
      </w:r>
      <w:r>
        <w:tab/>
      </w:r>
      <w:r>
        <w:fldChar w:fldCharType="begin"/>
      </w:r>
      <w:r>
        <w:instrText xml:space="preserve"> PAGEREF _Toc416692338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Giving way</w:t>
      </w:r>
      <w:r>
        <w:tab/>
      </w:r>
      <w:r>
        <w:fldChar w:fldCharType="begin"/>
      </w:r>
      <w:r>
        <w:instrText xml:space="preserve"> PAGEREF _Toc416692339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instruction or repairs on site</w:t>
      </w:r>
      <w:r>
        <w:tab/>
      </w:r>
      <w:r>
        <w:fldChar w:fldCharType="begin"/>
      </w:r>
      <w:r>
        <w:instrText xml:space="preserve"> PAGEREF _Toc416692340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14</w:t>
      </w:r>
      <w:r>
        <w:rPr>
          <w:snapToGrid w:val="0"/>
        </w:rPr>
        <w:t>.</w:t>
      </w:r>
      <w:r>
        <w:rPr>
          <w:snapToGrid w:val="0"/>
        </w:rPr>
        <w:tab/>
        <w:t>Parking to be in parking spaces only</w:t>
      </w:r>
      <w:r>
        <w:tab/>
      </w:r>
      <w:r>
        <w:fldChar w:fldCharType="begin"/>
      </w:r>
      <w:r>
        <w:instrText xml:space="preserve"> PAGEREF _Toc416692342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Signs to be obeyed</w:t>
      </w:r>
      <w:r>
        <w:tab/>
      </w:r>
      <w:r>
        <w:fldChar w:fldCharType="begin"/>
      </w:r>
      <w:r>
        <w:instrText xml:space="preserve"> PAGEREF _Toc416692343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Parking in parking spaces</w:t>
      </w:r>
      <w:r>
        <w:tab/>
      </w:r>
      <w:r>
        <w:fldChar w:fldCharType="begin"/>
      </w:r>
      <w:r>
        <w:instrText xml:space="preserve"> PAGEREF _Toc416692344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Permit</w:t>
      </w:r>
      <w:r>
        <w:tab/>
      </w:r>
      <w:r>
        <w:fldChar w:fldCharType="begin"/>
      </w:r>
      <w:r>
        <w:instrText xml:space="preserve"> PAGEREF _Toc416692345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Refund of permit fees</w:t>
      </w:r>
      <w:r>
        <w:tab/>
      </w:r>
      <w:r>
        <w:fldChar w:fldCharType="begin"/>
      </w:r>
      <w:r>
        <w:instrText xml:space="preserve"> PAGEREF _Toc416692346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_Toc416692348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Infringement notices</w:t>
      </w:r>
      <w:r>
        <w:tab/>
      </w:r>
      <w:r>
        <w:fldChar w:fldCharType="begin"/>
      </w:r>
      <w:r>
        <w:instrText xml:space="preserve"> PAGEREF _Toc416692349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Withdrawal of infringement notice</w:t>
      </w:r>
      <w:r>
        <w:tab/>
      </w:r>
      <w:r>
        <w:fldChar w:fldCharType="begin"/>
      </w:r>
      <w:r>
        <w:instrText xml:space="preserve"> PAGEREF _Toc416692350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Authorised person to have certificate</w:t>
      </w:r>
      <w:r>
        <w:tab/>
      </w:r>
      <w:r>
        <w:fldChar w:fldCharType="begin"/>
      </w:r>
      <w:r>
        <w:instrText xml:space="preserve"> PAGEREF _Toc416692351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Authorised persons only to endorse and alter infringement notices</w:t>
      </w:r>
      <w:r>
        <w:tab/>
      </w:r>
      <w:r>
        <w:fldChar w:fldCharType="begin"/>
      </w:r>
      <w:r>
        <w:instrText xml:space="preserve"> PAGEREF _Toc416692352 \h </w:instrText>
      </w:r>
      <w:r>
        <w:fldChar w:fldCharType="separate"/>
      </w:r>
      <w:r>
        <w:t>14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Restriction on removal of infringement notices</w:t>
      </w:r>
      <w:r>
        <w:tab/>
      </w:r>
      <w:r>
        <w:fldChar w:fldCharType="begin"/>
      </w:r>
      <w:r>
        <w:instrText xml:space="preserve"> PAGEREF _Toc416692353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rPr>
          <w:snapToGrid w:val="0"/>
        </w:rPr>
        <w:t>.</w:t>
      </w:r>
      <w:r>
        <w:rPr>
          <w:snapToGrid w:val="0"/>
        </w:rPr>
        <w:tab/>
        <w:t>Removal of vehicles</w:t>
      </w:r>
      <w:r>
        <w:tab/>
      </w:r>
      <w:r>
        <w:fldChar w:fldCharType="begin"/>
      </w:r>
      <w:r>
        <w:instrText xml:space="preserve"> PAGEREF _Toc416692355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Registered owner may be treated as being driver or person in charge of vehicle at time of offence</w:t>
      </w:r>
      <w:r>
        <w:tab/>
      </w:r>
      <w:r>
        <w:fldChar w:fldCharType="begin"/>
      </w:r>
      <w:r>
        <w:instrText xml:space="preserve"> PAGEREF _Toc416692356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Other offences</w:t>
      </w:r>
      <w:r>
        <w:tab/>
      </w:r>
      <w:r>
        <w:fldChar w:fldCharType="begin"/>
      </w:r>
      <w:r>
        <w:instrText xml:space="preserve"> PAGEREF _Toc416692357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_Toc416692361 \h </w:instrText>
      </w:r>
      <w:r>
        <w:fldChar w:fldCharType="separate"/>
      </w:r>
      <w:r>
        <w:t>24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_Toc416692362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3" w:name="_Toc408568373"/>
      <w:bookmarkStart w:id="4" w:name="_Toc408568426"/>
      <w:bookmarkStart w:id="5" w:name="_Toc416692285"/>
      <w:bookmarkStart w:id="6" w:name="_Toc4166923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08568427"/>
      <w:bookmarkStart w:id="8" w:name="_Toc416692325"/>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9" w:name="_Toc408568428"/>
      <w:bookmarkStart w:id="10" w:name="_Toc416692326"/>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11" w:name="_Toc408568429"/>
      <w:bookmarkStart w:id="12" w:name="_Toc416692327"/>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w:t>
      </w:r>
      <w:smartTag w:uri="urn:schemas-microsoft-com:office:smarttags" w:element="PlaceName">
        <w:r>
          <w:t>Fremantle</w:t>
        </w:r>
      </w:smartTag>
      <w:r>
        <w:t xml:space="preserve"> </w:t>
      </w:r>
      <w:smartTag w:uri="urn:schemas-microsoft-com:office:smarttags" w:element="PlaceType">
        <w:r>
          <w:t>Hospital</w:t>
        </w:r>
      </w:smartTag>
      <w:r>
        <w:t xml:space="preserve"> and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w:t>
      </w:r>
    </w:p>
    <w:p>
      <w:pPr>
        <w:pStyle w:val="Heading2"/>
      </w:pPr>
      <w:bookmarkStart w:id="13" w:name="_Toc408568377"/>
      <w:bookmarkStart w:id="14" w:name="_Toc408568430"/>
      <w:bookmarkStart w:id="15" w:name="_Toc416692289"/>
      <w:bookmarkStart w:id="16" w:name="_Toc416692328"/>
      <w:r>
        <w:rPr>
          <w:rStyle w:val="CharPartNo"/>
        </w:rPr>
        <w:t>Part 2</w:t>
      </w:r>
      <w:r>
        <w:rPr>
          <w:rStyle w:val="CharDivNo"/>
        </w:rPr>
        <w:t> </w:t>
      </w:r>
      <w:r>
        <w:t>—</w:t>
      </w:r>
      <w:r>
        <w:rPr>
          <w:rStyle w:val="CharDivText"/>
        </w:rPr>
        <w:t> </w:t>
      </w:r>
      <w:r>
        <w:rPr>
          <w:rStyle w:val="CharPartText"/>
        </w:rPr>
        <w:t>Trespass and order</w:t>
      </w:r>
      <w:bookmarkEnd w:id="13"/>
      <w:bookmarkEnd w:id="14"/>
      <w:bookmarkEnd w:id="15"/>
      <w:bookmarkEnd w:id="16"/>
    </w:p>
    <w:p>
      <w:pPr>
        <w:pStyle w:val="Heading5"/>
        <w:rPr>
          <w:snapToGrid w:val="0"/>
        </w:rPr>
      </w:pPr>
      <w:bookmarkStart w:id="17" w:name="_Toc408568431"/>
      <w:bookmarkStart w:id="18" w:name="_Toc416692329"/>
      <w:r>
        <w:rPr>
          <w:rStyle w:val="CharSectno"/>
        </w:rPr>
        <w:t>4</w:t>
      </w:r>
      <w:r>
        <w:rPr>
          <w:snapToGrid w:val="0"/>
        </w:rPr>
        <w:t>.</w:t>
      </w:r>
      <w:r>
        <w:rPr>
          <w:snapToGrid w:val="0"/>
        </w:rPr>
        <w:tab/>
        <w:t>No entry without cause</w:t>
      </w:r>
      <w:bookmarkEnd w:id="17"/>
      <w:bookmarkEnd w:id="18"/>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9" w:name="_Toc408568432"/>
      <w:bookmarkStart w:id="20" w:name="_Toc416692330"/>
      <w:r>
        <w:rPr>
          <w:rStyle w:val="CharSectno"/>
        </w:rPr>
        <w:t>5</w:t>
      </w:r>
      <w:r>
        <w:rPr>
          <w:snapToGrid w:val="0"/>
        </w:rPr>
        <w:t>.</w:t>
      </w:r>
      <w:r>
        <w:rPr>
          <w:snapToGrid w:val="0"/>
        </w:rPr>
        <w:tab/>
        <w:t>Directions as to use of certain areas</w:t>
      </w:r>
      <w:bookmarkEnd w:id="19"/>
      <w:bookmarkEnd w:id="20"/>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Penalty: $50.</w:t>
      </w:r>
    </w:p>
    <w:p>
      <w:pPr>
        <w:pStyle w:val="Heading5"/>
        <w:rPr>
          <w:snapToGrid w:val="0"/>
        </w:rPr>
      </w:pPr>
      <w:bookmarkStart w:id="21" w:name="_Toc408568433"/>
      <w:bookmarkStart w:id="22" w:name="_Toc416692331"/>
      <w:r>
        <w:rPr>
          <w:rStyle w:val="CharSectno"/>
        </w:rPr>
        <w:t>6</w:t>
      </w:r>
      <w:r>
        <w:rPr>
          <w:snapToGrid w:val="0"/>
        </w:rPr>
        <w:t>.</w:t>
      </w:r>
      <w:r>
        <w:rPr>
          <w:snapToGrid w:val="0"/>
        </w:rPr>
        <w:tab/>
        <w:t>Liquor</w:t>
      </w:r>
      <w:bookmarkEnd w:id="21"/>
      <w:bookmarkEnd w:id="22"/>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pPr>
      <w:bookmarkStart w:id="23" w:name="_Toc408568434"/>
      <w:bookmarkStart w:id="24" w:name="_Toc416692332"/>
      <w:r>
        <w:rPr>
          <w:rStyle w:val="CharSectno"/>
        </w:rPr>
        <w:t>7</w:t>
      </w:r>
      <w:r>
        <w:t>.</w:t>
      </w:r>
      <w:r>
        <w:tab/>
        <w:t>Smoking</w:t>
      </w:r>
      <w:bookmarkEnd w:id="23"/>
      <w:bookmarkEnd w:id="24"/>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7 inserted in Gazette 12 Feb 2008 p. 340.]</w:t>
      </w:r>
    </w:p>
    <w:p>
      <w:pPr>
        <w:pStyle w:val="Heading5"/>
        <w:rPr>
          <w:snapToGrid w:val="0"/>
        </w:rPr>
      </w:pPr>
      <w:bookmarkStart w:id="25" w:name="_Toc408568435"/>
      <w:bookmarkStart w:id="26" w:name="_Toc416692333"/>
      <w:r>
        <w:rPr>
          <w:rStyle w:val="CharSectno"/>
        </w:rPr>
        <w:t>8</w:t>
      </w:r>
      <w:r>
        <w:rPr>
          <w:snapToGrid w:val="0"/>
        </w:rPr>
        <w:t>.</w:t>
      </w:r>
      <w:r>
        <w:rPr>
          <w:snapToGrid w:val="0"/>
        </w:rPr>
        <w:tab/>
        <w:t>Disorderly persons may be removed from site</w:t>
      </w:r>
      <w:bookmarkEnd w:id="25"/>
      <w:bookmarkEnd w:id="2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uses abusive language; or</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7" w:name="_Toc408568383"/>
      <w:bookmarkStart w:id="28" w:name="_Toc408568436"/>
      <w:bookmarkStart w:id="29" w:name="_Toc416692295"/>
      <w:bookmarkStart w:id="30" w:name="_Toc416692334"/>
      <w:r>
        <w:rPr>
          <w:rStyle w:val="CharPartNo"/>
        </w:rPr>
        <w:t>Part 3</w:t>
      </w:r>
      <w:r>
        <w:t> — </w:t>
      </w:r>
      <w:r>
        <w:rPr>
          <w:rStyle w:val="CharPartText"/>
        </w:rPr>
        <w:t>Traffic control</w:t>
      </w:r>
      <w:bookmarkEnd w:id="27"/>
      <w:bookmarkEnd w:id="28"/>
      <w:bookmarkEnd w:id="29"/>
      <w:bookmarkEnd w:id="30"/>
    </w:p>
    <w:p>
      <w:pPr>
        <w:pStyle w:val="Heading3"/>
      </w:pPr>
      <w:bookmarkStart w:id="31" w:name="_Toc408568384"/>
      <w:bookmarkStart w:id="32" w:name="_Toc408568437"/>
      <w:bookmarkStart w:id="33" w:name="_Toc416692296"/>
      <w:bookmarkStart w:id="34" w:name="_Toc416692335"/>
      <w:r>
        <w:rPr>
          <w:rStyle w:val="CharDivNo"/>
        </w:rPr>
        <w:t>Division 1</w:t>
      </w:r>
      <w:r>
        <w:rPr>
          <w:snapToGrid w:val="0"/>
        </w:rPr>
        <w:t> — </w:t>
      </w:r>
      <w:r>
        <w:rPr>
          <w:rStyle w:val="CharDivText"/>
        </w:rPr>
        <w:t>Driving and use of vehicles</w:t>
      </w:r>
      <w:bookmarkEnd w:id="31"/>
      <w:bookmarkEnd w:id="32"/>
      <w:bookmarkEnd w:id="33"/>
      <w:bookmarkEnd w:id="34"/>
    </w:p>
    <w:p>
      <w:pPr>
        <w:pStyle w:val="Heading5"/>
        <w:rPr>
          <w:snapToGrid w:val="0"/>
        </w:rPr>
      </w:pPr>
      <w:bookmarkStart w:id="35" w:name="_Toc408568438"/>
      <w:bookmarkStart w:id="36" w:name="_Toc416692336"/>
      <w:r>
        <w:rPr>
          <w:rStyle w:val="CharSectno"/>
        </w:rPr>
        <w:t>9</w:t>
      </w:r>
      <w:r>
        <w:rPr>
          <w:snapToGrid w:val="0"/>
        </w:rPr>
        <w:t>.</w:t>
      </w:r>
      <w:r>
        <w:rPr>
          <w:snapToGrid w:val="0"/>
        </w:rPr>
        <w:tab/>
        <w:t>Driving of vehicles</w:t>
      </w:r>
      <w:bookmarkEnd w:id="35"/>
      <w:bookmarkEnd w:id="36"/>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t>Penalty: $50.</w:t>
      </w:r>
    </w:p>
    <w:p>
      <w:pPr>
        <w:pStyle w:val="Heading5"/>
        <w:rPr>
          <w:snapToGrid w:val="0"/>
        </w:rPr>
      </w:pPr>
      <w:bookmarkStart w:id="37" w:name="_Toc408568439"/>
      <w:bookmarkStart w:id="38" w:name="_Toc416692337"/>
      <w:r>
        <w:rPr>
          <w:rStyle w:val="CharSectno"/>
        </w:rPr>
        <w:t>10</w:t>
      </w:r>
      <w:r>
        <w:rPr>
          <w:snapToGrid w:val="0"/>
        </w:rPr>
        <w:t>.</w:t>
      </w:r>
      <w:r>
        <w:rPr>
          <w:snapToGrid w:val="0"/>
        </w:rPr>
        <w:tab/>
        <w:t>Driver to obey reasonable direction</w:t>
      </w:r>
      <w:bookmarkEnd w:id="37"/>
      <w:bookmarkEnd w:id="38"/>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Penalty: $50.</w:t>
      </w:r>
    </w:p>
    <w:p>
      <w:pPr>
        <w:pStyle w:val="Heading5"/>
        <w:rPr>
          <w:snapToGrid w:val="0"/>
        </w:rPr>
      </w:pPr>
      <w:bookmarkStart w:id="39" w:name="_Toc408568440"/>
      <w:bookmarkStart w:id="40" w:name="_Toc416692338"/>
      <w:r>
        <w:rPr>
          <w:rStyle w:val="CharSectno"/>
        </w:rPr>
        <w:t>11</w:t>
      </w:r>
      <w:r>
        <w:rPr>
          <w:snapToGrid w:val="0"/>
        </w:rPr>
        <w:t>.</w:t>
      </w:r>
      <w:r>
        <w:rPr>
          <w:snapToGrid w:val="0"/>
        </w:rPr>
        <w:tab/>
        <w:t>Speed limits</w:t>
      </w:r>
      <w:bookmarkEnd w:id="39"/>
      <w:bookmarkEnd w:id="40"/>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41" w:name="_Toc408568441"/>
      <w:bookmarkStart w:id="42" w:name="_Toc416692339"/>
      <w:r>
        <w:rPr>
          <w:rStyle w:val="CharSectno"/>
        </w:rPr>
        <w:t>12</w:t>
      </w:r>
      <w:r>
        <w:rPr>
          <w:snapToGrid w:val="0"/>
        </w:rPr>
        <w:t>.</w:t>
      </w:r>
      <w:r>
        <w:rPr>
          <w:snapToGrid w:val="0"/>
        </w:rPr>
        <w:tab/>
        <w:t>Giving way</w:t>
      </w:r>
      <w:bookmarkEnd w:id="41"/>
      <w:bookmarkEnd w:id="42"/>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43" w:name="_Toc408568442"/>
      <w:bookmarkStart w:id="44" w:name="_Toc416692340"/>
      <w:r>
        <w:rPr>
          <w:rStyle w:val="CharSectno"/>
        </w:rPr>
        <w:t>13</w:t>
      </w:r>
      <w:r>
        <w:rPr>
          <w:snapToGrid w:val="0"/>
        </w:rPr>
        <w:t>.</w:t>
      </w:r>
      <w:r>
        <w:rPr>
          <w:snapToGrid w:val="0"/>
        </w:rPr>
        <w:tab/>
        <w:t>No instruction or repairs on site</w:t>
      </w:r>
      <w:bookmarkEnd w:id="43"/>
      <w:bookmarkEnd w:id="4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45" w:name="_Toc408568390"/>
      <w:bookmarkStart w:id="46" w:name="_Toc408568443"/>
      <w:bookmarkStart w:id="47" w:name="_Toc416692302"/>
      <w:bookmarkStart w:id="48" w:name="_Toc416692341"/>
      <w:r>
        <w:rPr>
          <w:rStyle w:val="CharDivNo"/>
        </w:rPr>
        <w:t>Division 2</w:t>
      </w:r>
      <w:r>
        <w:rPr>
          <w:snapToGrid w:val="0"/>
        </w:rPr>
        <w:t> — </w:t>
      </w:r>
      <w:r>
        <w:rPr>
          <w:rStyle w:val="CharDivText"/>
        </w:rPr>
        <w:t>Parking</w:t>
      </w:r>
      <w:bookmarkEnd w:id="45"/>
      <w:bookmarkEnd w:id="46"/>
      <w:bookmarkEnd w:id="47"/>
      <w:bookmarkEnd w:id="48"/>
    </w:p>
    <w:p>
      <w:pPr>
        <w:pStyle w:val="Heading5"/>
        <w:rPr>
          <w:snapToGrid w:val="0"/>
        </w:rPr>
      </w:pPr>
      <w:bookmarkStart w:id="49" w:name="_Toc408568444"/>
      <w:bookmarkStart w:id="50" w:name="_Toc416692342"/>
      <w:r>
        <w:rPr>
          <w:rStyle w:val="CharSectno"/>
        </w:rPr>
        <w:t>14</w:t>
      </w:r>
      <w:r>
        <w:rPr>
          <w:snapToGrid w:val="0"/>
        </w:rPr>
        <w:t>.</w:t>
      </w:r>
      <w:r>
        <w:rPr>
          <w:snapToGrid w:val="0"/>
        </w:rPr>
        <w:tab/>
        <w:t>Parking to be in parking spaces only</w:t>
      </w:r>
      <w:bookmarkEnd w:id="49"/>
      <w:bookmarkEnd w:id="50"/>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51" w:name="_Toc408568445"/>
      <w:bookmarkStart w:id="52" w:name="_Toc416692343"/>
      <w:r>
        <w:rPr>
          <w:rStyle w:val="CharSectno"/>
        </w:rPr>
        <w:t>15</w:t>
      </w:r>
      <w:r>
        <w:rPr>
          <w:snapToGrid w:val="0"/>
        </w:rPr>
        <w:t>.</w:t>
      </w:r>
      <w:r>
        <w:rPr>
          <w:snapToGrid w:val="0"/>
        </w:rPr>
        <w:tab/>
        <w:t>Signs to be obeyed</w:t>
      </w:r>
      <w:bookmarkEnd w:id="51"/>
      <w:bookmarkEnd w:id="52"/>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53" w:name="_Toc408568446"/>
      <w:bookmarkStart w:id="54" w:name="_Toc416692344"/>
      <w:r>
        <w:rPr>
          <w:rStyle w:val="CharSectno"/>
        </w:rPr>
        <w:t>16</w:t>
      </w:r>
      <w:r>
        <w:rPr>
          <w:snapToGrid w:val="0"/>
        </w:rPr>
        <w:t>.</w:t>
      </w:r>
      <w:r>
        <w:rPr>
          <w:snapToGrid w:val="0"/>
        </w:rPr>
        <w:tab/>
        <w:t>Parking in parking spaces</w:t>
      </w:r>
      <w:bookmarkEnd w:id="53"/>
      <w:bookmarkEnd w:id="54"/>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Penalty: $50.00.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w:t>
      </w:r>
    </w:p>
    <w:p>
      <w:pPr>
        <w:pStyle w:val="Heading5"/>
        <w:rPr>
          <w:snapToGrid w:val="0"/>
        </w:rPr>
      </w:pPr>
      <w:bookmarkStart w:id="55" w:name="_Toc408568447"/>
      <w:bookmarkStart w:id="56" w:name="_Toc416692345"/>
      <w:r>
        <w:rPr>
          <w:rStyle w:val="CharSectno"/>
        </w:rPr>
        <w:t>17</w:t>
      </w:r>
      <w:r>
        <w:rPr>
          <w:snapToGrid w:val="0"/>
        </w:rPr>
        <w:t>.</w:t>
      </w:r>
      <w:r>
        <w:rPr>
          <w:snapToGrid w:val="0"/>
        </w:rPr>
        <w:tab/>
        <w:t>Permit</w:t>
      </w:r>
      <w:bookmarkEnd w:id="55"/>
      <w:bookmarkEnd w:id="56"/>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$3.60 for each day on which the permit holder is permitted to park a vehicle at Fremantle Hospital (up to a maximum of $18.00 per week).</w:t>
      </w:r>
    </w:p>
    <w:p>
      <w:pPr>
        <w:pStyle w:val="Subsection"/>
      </w:pPr>
      <w:r>
        <w:tab/>
        <w:t>(3B)</w:t>
      </w:r>
      <w:r>
        <w:tab/>
        <w:t xml:space="preserve">No fee is payable for a permit to park a vehicle at </w:t>
      </w:r>
      <w:smartTag w:uri="urn:schemas-microsoft-com:office:smarttags" w:element="place">
        <w:smartTag w:uri="urn:schemas-microsoft-com:office:smarttags" w:element="PlaceName">
          <w:r>
            <w:t>Kaleeya</w:t>
          </w:r>
        </w:smartTag>
        <w:r>
          <w:t xml:space="preserve"> </w:t>
        </w:r>
        <w:smartTag w:uri="urn:schemas-microsoft-com:office:smarttags" w:element="PlaceType">
          <w:r>
            <w:t>Hospital</w:t>
          </w:r>
        </w:smartTag>
      </w:smartTag>
      <w:r>
        <w:t>.</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pPr>
      <w:r>
        <w:tab/>
        <w:t>[By</w:t>
      </w:r>
      <w:r>
        <w:noBreakHyphen/>
        <w:t>law 17 amended in Gazette 29 Aug 1995 p. 3900; 23 Dec 2011 p. 5425</w:t>
      </w:r>
      <w:r>
        <w:noBreakHyphen/>
        <w:t>6 (disallowed in Gazette 18 Sep 2012 p. 4411); 28 Sep 2012 p. 4650-1; 28 Jun 2013 p. 2752; 13 Jun 2014 p. 1882.]</w:t>
      </w:r>
    </w:p>
    <w:p>
      <w:pPr>
        <w:pStyle w:val="Heading5"/>
        <w:rPr>
          <w:snapToGrid w:val="0"/>
        </w:rPr>
      </w:pPr>
      <w:bookmarkStart w:id="57" w:name="_Toc408568448"/>
      <w:bookmarkStart w:id="58" w:name="_Toc416692346"/>
      <w:r>
        <w:rPr>
          <w:rStyle w:val="CharSectno"/>
        </w:rPr>
        <w:t>18</w:t>
      </w:r>
      <w:r>
        <w:rPr>
          <w:snapToGrid w:val="0"/>
        </w:rPr>
        <w:t>.</w:t>
      </w:r>
      <w:r>
        <w:rPr>
          <w:snapToGrid w:val="0"/>
        </w:rPr>
        <w:tab/>
        <w:t>Refund of permit fees</w:t>
      </w:r>
      <w:bookmarkEnd w:id="57"/>
      <w:bookmarkEnd w:id="58"/>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59" w:name="_Toc408568396"/>
      <w:bookmarkStart w:id="60" w:name="_Toc408568449"/>
      <w:bookmarkStart w:id="61" w:name="_Toc416692308"/>
      <w:bookmarkStart w:id="62" w:name="_Toc416692347"/>
      <w:r>
        <w:rPr>
          <w:rStyle w:val="CharPartNo"/>
        </w:rPr>
        <w:t>Part 4</w:t>
      </w:r>
      <w:r>
        <w:rPr>
          <w:rStyle w:val="CharDivNo"/>
        </w:rPr>
        <w:t> </w:t>
      </w:r>
      <w:r>
        <w:t>—</w:t>
      </w:r>
      <w:r>
        <w:rPr>
          <w:rStyle w:val="CharDivText"/>
        </w:rPr>
        <w:t> </w:t>
      </w:r>
      <w:r>
        <w:rPr>
          <w:rStyle w:val="CharPartText"/>
        </w:rPr>
        <w:t>Infringement notices</w:t>
      </w:r>
      <w:bookmarkEnd w:id="59"/>
      <w:bookmarkEnd w:id="60"/>
      <w:bookmarkEnd w:id="61"/>
      <w:bookmarkEnd w:id="62"/>
    </w:p>
    <w:p>
      <w:pPr>
        <w:pStyle w:val="Heading5"/>
        <w:rPr>
          <w:snapToGrid w:val="0"/>
        </w:rPr>
      </w:pPr>
      <w:bookmarkStart w:id="63" w:name="_Toc408568450"/>
      <w:bookmarkStart w:id="64" w:name="_Toc416692348"/>
      <w:r>
        <w:rPr>
          <w:rStyle w:val="CharSectno"/>
        </w:rPr>
        <w:t>19</w:t>
      </w:r>
      <w:r>
        <w:rPr>
          <w:snapToGrid w:val="0"/>
        </w:rPr>
        <w:t>.</w:t>
      </w:r>
      <w:r>
        <w:rPr>
          <w:snapToGrid w:val="0"/>
        </w:rPr>
        <w:tab/>
        <w:t>Terms used</w:t>
      </w:r>
      <w:bookmarkEnd w:id="63"/>
      <w:bookmarkEnd w:id="64"/>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Heading5"/>
        <w:rPr>
          <w:snapToGrid w:val="0"/>
        </w:rPr>
      </w:pPr>
      <w:bookmarkStart w:id="65" w:name="_Toc408568451"/>
      <w:bookmarkStart w:id="66" w:name="_Toc416692349"/>
      <w:r>
        <w:rPr>
          <w:rStyle w:val="CharSectno"/>
        </w:rPr>
        <w:t>20</w:t>
      </w:r>
      <w:r>
        <w:rPr>
          <w:snapToGrid w:val="0"/>
        </w:rPr>
        <w:t>.</w:t>
      </w:r>
      <w:r>
        <w:rPr>
          <w:snapToGrid w:val="0"/>
        </w:rPr>
        <w:tab/>
        <w:t>Infringement notices</w:t>
      </w:r>
      <w:bookmarkEnd w:id="65"/>
      <w:bookmarkEnd w:id="66"/>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67" w:name="_Toc408568452"/>
      <w:bookmarkStart w:id="68" w:name="_Toc416692350"/>
      <w:r>
        <w:rPr>
          <w:rStyle w:val="CharSectno"/>
        </w:rPr>
        <w:t>21</w:t>
      </w:r>
      <w:r>
        <w:rPr>
          <w:snapToGrid w:val="0"/>
        </w:rPr>
        <w:t>.</w:t>
      </w:r>
      <w:r>
        <w:rPr>
          <w:snapToGrid w:val="0"/>
        </w:rPr>
        <w:tab/>
        <w:t>Withdrawal of infringement notice</w:t>
      </w:r>
      <w:bookmarkEnd w:id="67"/>
      <w:bookmarkEnd w:id="68"/>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69" w:name="_Toc408568453"/>
      <w:bookmarkStart w:id="70" w:name="_Toc416692351"/>
      <w:r>
        <w:rPr>
          <w:rStyle w:val="CharSectno"/>
        </w:rPr>
        <w:t>22</w:t>
      </w:r>
      <w:r>
        <w:rPr>
          <w:snapToGrid w:val="0"/>
        </w:rPr>
        <w:t>.</w:t>
      </w:r>
      <w:r>
        <w:rPr>
          <w:snapToGrid w:val="0"/>
        </w:rPr>
        <w:tab/>
        <w:t>Authorised person to have certificate</w:t>
      </w:r>
      <w:bookmarkEnd w:id="69"/>
      <w:bookmarkEnd w:id="70"/>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71" w:name="_Toc408568454"/>
      <w:bookmarkStart w:id="72" w:name="_Toc416692352"/>
      <w:r>
        <w:rPr>
          <w:rStyle w:val="CharSectno"/>
        </w:rPr>
        <w:t>23</w:t>
      </w:r>
      <w:r>
        <w:rPr>
          <w:snapToGrid w:val="0"/>
        </w:rPr>
        <w:t>.</w:t>
      </w:r>
      <w:r>
        <w:rPr>
          <w:snapToGrid w:val="0"/>
        </w:rPr>
        <w:tab/>
        <w:t>Authorised persons only to endorse and alter infringement notices</w:t>
      </w:r>
      <w:bookmarkEnd w:id="71"/>
      <w:bookmarkEnd w:id="72"/>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73" w:name="_Toc408568455"/>
      <w:bookmarkStart w:id="74" w:name="_Toc416692353"/>
      <w:r>
        <w:rPr>
          <w:rStyle w:val="CharSectno"/>
        </w:rPr>
        <w:t>24</w:t>
      </w:r>
      <w:r>
        <w:rPr>
          <w:snapToGrid w:val="0"/>
        </w:rPr>
        <w:t>.</w:t>
      </w:r>
      <w:r>
        <w:rPr>
          <w:snapToGrid w:val="0"/>
        </w:rPr>
        <w:tab/>
        <w:t>Restriction on removal of infringement notices</w:t>
      </w:r>
      <w:bookmarkEnd w:id="73"/>
      <w:bookmarkEnd w:id="74"/>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75" w:name="_Toc408568403"/>
      <w:bookmarkStart w:id="76" w:name="_Toc408568456"/>
      <w:bookmarkStart w:id="77" w:name="_Toc416692315"/>
      <w:bookmarkStart w:id="78" w:name="_Toc416692354"/>
      <w:r>
        <w:rPr>
          <w:rStyle w:val="CharPartNo"/>
        </w:rPr>
        <w:t>Part 5</w:t>
      </w:r>
      <w:r>
        <w:rPr>
          <w:rStyle w:val="CharDivNo"/>
        </w:rPr>
        <w:t> </w:t>
      </w:r>
      <w:r>
        <w:t>—</w:t>
      </w:r>
      <w:r>
        <w:rPr>
          <w:rStyle w:val="CharDivText"/>
        </w:rPr>
        <w:t> </w:t>
      </w:r>
      <w:r>
        <w:rPr>
          <w:rStyle w:val="CharPartText"/>
        </w:rPr>
        <w:t>General</w:t>
      </w:r>
      <w:bookmarkEnd w:id="75"/>
      <w:bookmarkEnd w:id="76"/>
      <w:bookmarkEnd w:id="77"/>
      <w:bookmarkEnd w:id="78"/>
    </w:p>
    <w:p>
      <w:pPr>
        <w:pStyle w:val="Heading5"/>
        <w:rPr>
          <w:snapToGrid w:val="0"/>
        </w:rPr>
      </w:pPr>
      <w:bookmarkStart w:id="79" w:name="_Toc408568457"/>
      <w:bookmarkStart w:id="80" w:name="_Toc416692355"/>
      <w:r>
        <w:rPr>
          <w:rStyle w:val="CharSectno"/>
        </w:rPr>
        <w:t>25</w:t>
      </w:r>
      <w:r>
        <w:rPr>
          <w:snapToGrid w:val="0"/>
        </w:rPr>
        <w:t>.</w:t>
      </w:r>
      <w:r>
        <w:rPr>
          <w:snapToGrid w:val="0"/>
        </w:rPr>
        <w:tab/>
        <w:t>Removal of vehicles</w:t>
      </w:r>
      <w:bookmarkEnd w:id="79"/>
      <w:bookmarkEnd w:id="80"/>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w:t>
      </w:r>
    </w:p>
    <w:p>
      <w:pPr>
        <w:pStyle w:val="Heading5"/>
        <w:rPr>
          <w:snapToGrid w:val="0"/>
        </w:rPr>
      </w:pPr>
      <w:bookmarkStart w:id="81" w:name="_Toc408568458"/>
      <w:bookmarkStart w:id="82" w:name="_Toc416692356"/>
      <w:r>
        <w:rPr>
          <w:rStyle w:val="CharSectno"/>
        </w:rPr>
        <w:t>26</w:t>
      </w:r>
      <w:r>
        <w:rPr>
          <w:snapToGrid w:val="0"/>
        </w:rPr>
        <w:t>.</w:t>
      </w:r>
      <w:r>
        <w:rPr>
          <w:snapToGrid w:val="0"/>
        </w:rPr>
        <w:tab/>
        <w:t>Registered owner may be treated as being driver or person in charge of vehicle at time of offence</w:t>
      </w:r>
      <w:bookmarkEnd w:id="81"/>
      <w:bookmarkEnd w:id="82"/>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83" w:name="_Toc408568459"/>
      <w:bookmarkStart w:id="84" w:name="_Toc416692357"/>
      <w:r>
        <w:rPr>
          <w:rStyle w:val="CharSectno"/>
        </w:rPr>
        <w:t>27</w:t>
      </w:r>
      <w:r>
        <w:rPr>
          <w:snapToGrid w:val="0"/>
        </w:rPr>
        <w:t>.</w:t>
      </w:r>
      <w:r>
        <w:rPr>
          <w:snapToGrid w:val="0"/>
        </w:rPr>
        <w:tab/>
        <w:t>Other offences</w:t>
      </w:r>
      <w:bookmarkEnd w:id="83"/>
      <w:bookmarkEnd w:id="8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Ednotepart"/>
      </w:pPr>
      <w:r>
        <w:t>[Part 6 omitted under the Reprints Act 1984 s. 7(4)(f).]</w:t>
      </w:r>
    </w:p>
    <w:p>
      <w:pPr>
        <w:pStyle w:val="yEdnoteschedule"/>
      </w:pPr>
      <w:r>
        <w:t>[Schedule 1 deleted in Gazette 28 Sep 2012 p. 4652.]</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5" w:name="_Toc408568407"/>
      <w:bookmarkStart w:id="86" w:name="_Toc408568460"/>
      <w:bookmarkStart w:id="87" w:name="_Toc416692319"/>
      <w:bookmarkStart w:id="88" w:name="_Toc416692358"/>
      <w:r>
        <w:rPr>
          <w:rStyle w:val="CharSchNo"/>
        </w:rPr>
        <w:t>Schedule 2 </w:t>
      </w:r>
      <w:r>
        <w:t>— </w:t>
      </w:r>
      <w:r>
        <w:rPr>
          <w:rStyle w:val="CharSchText"/>
        </w:rPr>
        <w:t>Infringement notices and modified penalties</w:t>
      </w:r>
      <w:bookmarkEnd w:id="85"/>
      <w:bookmarkEnd w:id="86"/>
      <w:bookmarkEnd w:id="87"/>
      <w:bookmarkEnd w:id="88"/>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pStyle w:val="yScheduleHeading"/>
      </w:pPr>
      <w:bookmarkStart w:id="89" w:name="_Toc408568408"/>
      <w:bookmarkStart w:id="90" w:name="_Toc408568461"/>
      <w:bookmarkStart w:id="91" w:name="_Toc416692320"/>
      <w:bookmarkStart w:id="92" w:name="_Toc416692359"/>
      <w:r>
        <w:rPr>
          <w:rStyle w:val="CharSchNo"/>
        </w:rPr>
        <w:t>Schedule 3</w:t>
      </w:r>
      <w:r>
        <w:t> — </w:t>
      </w:r>
      <w:r>
        <w:rPr>
          <w:rStyle w:val="CharSchText"/>
        </w:rPr>
        <w:t>Forms</w:t>
      </w:r>
      <w:bookmarkEnd w:id="89"/>
      <w:bookmarkEnd w:id="90"/>
      <w:bookmarkEnd w:id="91"/>
      <w:bookmarkEnd w:id="92"/>
    </w:p>
    <w:p>
      <w:pPr>
        <w:pStyle w:val="yShoulderClause"/>
      </w:pPr>
      <w:r>
        <w:t>[bl. 20(3) and 21]</w:t>
      </w:r>
    </w:p>
    <w:p>
      <w:pPr>
        <w:pStyle w:val="yFootnoteheading"/>
      </w:pPr>
      <w:r>
        <w:tab/>
        <w:t>[Heading inserted in Gazette 13 Jun 2014 p. 1883.]</w:t>
      </w:r>
    </w:p>
    <w:p>
      <w:pPr>
        <w:pStyle w:val="yMiscellaneousHeading"/>
        <w:rPr>
          <w:b/>
        </w:rPr>
      </w:pPr>
      <w:r>
        <w:rPr>
          <w:rStyle w:val="CharSClsNo"/>
          <w:b/>
        </w:rPr>
        <w:t>Form 1</w:t>
      </w:r>
      <w:r>
        <w:rPr>
          <w:b/>
        </w:rPr>
        <w:t>: Infringement Notice (by</w:t>
      </w:r>
      <w:r>
        <w:rPr>
          <w:b/>
        </w:rPr>
        <w:noBreakHyphen/>
        <w:t>law 20(3))</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Heading"/>
        <w:rPr>
          <w:b/>
          <w:i/>
          <w:szCs w:val="22"/>
        </w:rPr>
      </w:pPr>
      <w:r>
        <w:rPr>
          <w:b/>
          <w:i/>
          <w:szCs w:val="22"/>
        </w:rPr>
        <w:t>Fremantle Hospital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1883</w:t>
      </w:r>
      <w:r>
        <w:noBreakHyphen/>
        <w:t>5.]</w:t>
      </w:r>
    </w:p>
    <w:p>
      <w:pPr>
        <w:pStyle w:val="yMiscellaneousHeading"/>
      </w:pPr>
      <w:r>
        <w:rPr>
          <w:rStyle w:val="CharSClsNo"/>
          <w:b/>
        </w:rPr>
        <w:t>Form 2</w:t>
      </w:r>
      <w:r>
        <w:t>:  Withdrawal of Infringement Notice (by</w:t>
      </w:r>
      <w:r>
        <w:noBreakHyphen/>
        <w:t>law 21)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94" w:name="_Toc408568409"/>
      <w:bookmarkStart w:id="95" w:name="_Toc408568462"/>
      <w:bookmarkStart w:id="96" w:name="_Toc416692321"/>
      <w:bookmarkStart w:id="97" w:name="_Toc416692360"/>
      <w:r>
        <w:t>Notes</w:t>
      </w:r>
      <w:bookmarkEnd w:id="94"/>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Fremantle</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By</w:t>
      </w:r>
      <w:r>
        <w:rPr>
          <w:i/>
          <w:noProof/>
          <w:snapToGrid w:val="0"/>
        </w:rPr>
        <w:noBreakHyphen/>
        <w:t>laws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8" w:name="_Toc408568463"/>
      <w:bookmarkStart w:id="99" w:name="_Toc416692361"/>
      <w:r>
        <w:rPr>
          <w:snapToGrid w:val="0"/>
        </w:rPr>
        <w:t>Compilation table</w:t>
      </w:r>
      <w:bookmarkEnd w:id="98"/>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laws 1992</w:t>
            </w:r>
          </w:p>
        </w:tc>
        <w:tc>
          <w:tcPr>
            <w:tcW w:w="1276" w:type="dxa"/>
          </w:tcPr>
          <w:p>
            <w:pPr>
              <w:pStyle w:val="nTable"/>
              <w:spacing w:after="40"/>
            </w:pPr>
            <w:r>
              <w:t>28 Jul 1992 p. 3680</w:t>
            </w:r>
            <w:r>
              <w:noBreakHyphen/>
              <w:t>91</w:t>
            </w:r>
          </w:p>
        </w:tc>
        <w:tc>
          <w:tcPr>
            <w:tcW w:w="2693" w:type="dxa"/>
          </w:tcPr>
          <w:p>
            <w:pPr>
              <w:pStyle w:val="nTable"/>
              <w:spacing w:after="40"/>
            </w:pPr>
            <w:r>
              <w:t>1 Aug 1992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1992</w:t>
            </w:r>
          </w:p>
        </w:tc>
        <w:tc>
          <w:tcPr>
            <w:tcW w:w="1276" w:type="dxa"/>
          </w:tcPr>
          <w:p>
            <w:pPr>
              <w:pStyle w:val="nTable"/>
              <w:spacing w:after="40"/>
            </w:pPr>
            <w:r>
              <w:t>8 Dec 1992 p. 5934</w:t>
            </w:r>
          </w:p>
        </w:tc>
        <w:tc>
          <w:tcPr>
            <w:tcW w:w="2693" w:type="dxa"/>
          </w:tcPr>
          <w:p>
            <w:pPr>
              <w:pStyle w:val="nTable"/>
              <w:spacing w:after="40"/>
            </w:pPr>
            <w:r>
              <w:t>1 Jan 1993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1995</w:t>
            </w:r>
          </w:p>
        </w:tc>
        <w:tc>
          <w:tcPr>
            <w:tcW w:w="1276" w:type="dxa"/>
          </w:tcPr>
          <w:p>
            <w:pPr>
              <w:pStyle w:val="nTable"/>
              <w:spacing w:after="40"/>
            </w:pPr>
            <w:r>
              <w:t>29 Aug 1995 p. 3899</w:t>
            </w:r>
            <w:r>
              <w:noBreakHyphen/>
              <w:t>901</w:t>
            </w:r>
          </w:p>
        </w:tc>
        <w:tc>
          <w:tcPr>
            <w:tcW w:w="2693" w:type="dxa"/>
          </w:tcPr>
          <w:p>
            <w:pPr>
              <w:pStyle w:val="nTable"/>
              <w:spacing w:after="40"/>
            </w:pPr>
            <w:r>
              <w:t>1 Sep 1995 (see bl. 2)</w:t>
            </w:r>
          </w:p>
        </w:tc>
      </w:tr>
      <w:tr>
        <w:tc>
          <w:tcPr>
            <w:tcW w:w="3119"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1998</w:t>
            </w:r>
          </w:p>
        </w:tc>
        <w:tc>
          <w:tcPr>
            <w:tcW w:w="1276" w:type="dxa"/>
          </w:tcPr>
          <w:p>
            <w:pPr>
              <w:pStyle w:val="nTable"/>
              <w:spacing w:after="40"/>
            </w:pPr>
            <w:r>
              <w:t>10 Jul 1998 p. 3634</w:t>
            </w:r>
          </w:p>
        </w:tc>
        <w:tc>
          <w:tcPr>
            <w:tcW w:w="2693" w:type="dxa"/>
          </w:tcPr>
          <w:p>
            <w:pPr>
              <w:pStyle w:val="nTable"/>
              <w:spacing w:after="40"/>
            </w:pPr>
            <w:r>
              <w:t>10 Jul 1998</w:t>
            </w:r>
          </w:p>
        </w:tc>
      </w:tr>
      <w:tr>
        <w:trPr>
          <w:cantSplit/>
        </w:trPr>
        <w:tc>
          <w:tcPr>
            <w:tcW w:w="7088"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25 Jul 2003</w:t>
            </w:r>
            <w:r>
              <w:t xml:space="preserve"> (includes amendments listed above)</w:t>
            </w:r>
          </w:p>
        </w:tc>
      </w:tr>
      <w:tr>
        <w:tc>
          <w:tcPr>
            <w:tcW w:w="3119" w:type="dxa"/>
          </w:tcPr>
          <w:p>
            <w:pPr>
              <w:pStyle w:val="nTable"/>
              <w:spacing w:after="40"/>
              <w:rPr>
                <w:rFonts w:ascii="Times" w:hAnsi="Time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2004</w:t>
            </w:r>
          </w:p>
        </w:tc>
        <w:tc>
          <w:tcPr>
            <w:tcW w:w="1276" w:type="dxa"/>
          </w:tcPr>
          <w:p>
            <w:pPr>
              <w:pStyle w:val="nTable"/>
              <w:spacing w:after="40"/>
              <w:rPr>
                <w:rFonts w:ascii="Times" w:hAnsi="Times"/>
              </w:rPr>
            </w:pPr>
            <w:r>
              <w:rPr>
                <w:rFonts w:ascii="Times" w:hAnsi="Times"/>
              </w:rPr>
              <w:t>29 Jun 2004 p. 2528-9</w:t>
            </w:r>
          </w:p>
        </w:tc>
        <w:tc>
          <w:tcPr>
            <w:tcW w:w="2693" w:type="dxa"/>
          </w:tcPr>
          <w:p>
            <w:pPr>
              <w:pStyle w:val="nTable"/>
              <w:spacing w:after="40"/>
              <w:rPr>
                <w:rFonts w:ascii="Times" w:hAnsi="Times"/>
              </w:rPr>
            </w:pPr>
            <w:r>
              <w:rPr>
                <w:rFonts w:ascii="Times" w:hAnsi="Times"/>
              </w:rPr>
              <w:t>1 Jul 2004 (see bl. 2)</w:t>
            </w:r>
          </w:p>
        </w:tc>
      </w:tr>
      <w:tr>
        <w:tc>
          <w:tcPr>
            <w:tcW w:w="3119"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2008</w:t>
            </w:r>
          </w:p>
        </w:tc>
        <w:tc>
          <w:tcPr>
            <w:tcW w:w="1276" w:type="dxa"/>
          </w:tcPr>
          <w:p>
            <w:pPr>
              <w:pStyle w:val="nTable"/>
              <w:spacing w:after="40"/>
              <w:rPr>
                <w:rFonts w:ascii="Times" w:hAnsi="Times"/>
              </w:rPr>
            </w:pPr>
            <w:r>
              <w:rPr>
                <w:rFonts w:ascii="Times" w:hAnsi="Times"/>
              </w:rPr>
              <w:t>12 Feb 2008 p. 340</w:t>
            </w:r>
          </w:p>
        </w:tc>
        <w:tc>
          <w:tcPr>
            <w:tcW w:w="2693" w:type="dxa"/>
          </w:tcPr>
          <w:p>
            <w:pPr>
              <w:pStyle w:val="nTable"/>
              <w:spacing w:after="40"/>
              <w:rPr>
                <w:rFonts w:ascii="Times" w:hAnsi="Times"/>
              </w:rPr>
            </w:pPr>
            <w:r>
              <w:rPr>
                <w:rFonts w:ascii="Times" w:hAnsi="Times"/>
                <w:snapToGrid w:val="0"/>
              </w:rPr>
              <w:t>bl. 1 and 2: 12 Feb 2008 (see bl. 2(a));</w:t>
            </w:r>
            <w:r>
              <w:rPr>
                <w:rFonts w:ascii="Times" w:hAnsi="Times"/>
                <w:snapToGrid w:val="0"/>
              </w:rPr>
              <w:br/>
              <w:t>By</w:t>
            </w:r>
            <w:r>
              <w:rPr>
                <w:rFonts w:ascii="Times" w:hAnsi="Times"/>
                <w:snapToGrid w:val="0"/>
              </w:rPr>
              <w:noBreakHyphen/>
              <w:t>laws other than bl. 1 and 2: 13 Feb 2008 (see bl. 2(b))</w:t>
            </w:r>
          </w:p>
        </w:tc>
      </w:tr>
      <w:tr>
        <w:tc>
          <w:tcPr>
            <w:tcW w:w="3119" w:type="dxa"/>
          </w:tcPr>
          <w:p>
            <w:pPr>
              <w:pStyle w:val="nTable"/>
              <w:spacing w:after="40"/>
              <w:rPr>
                <w:rFonts w:ascii="Times" w:hAnsi="Times"/>
                <w:iC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2010</w:t>
            </w:r>
            <w:r>
              <w:rPr>
                <w:rFonts w:ascii="Times" w:hAnsi="Times"/>
                <w:iCs/>
              </w:rPr>
              <w:t xml:space="preserve"> </w:t>
            </w:r>
          </w:p>
        </w:tc>
        <w:tc>
          <w:tcPr>
            <w:tcW w:w="1276" w:type="dxa"/>
          </w:tcPr>
          <w:p>
            <w:pPr>
              <w:pStyle w:val="nTable"/>
              <w:spacing w:after="40"/>
              <w:rPr>
                <w:rFonts w:ascii="Times" w:hAnsi="Times"/>
              </w:rPr>
            </w:pPr>
            <w:r>
              <w:rPr>
                <w:rFonts w:ascii="Times" w:hAnsi="Times"/>
              </w:rPr>
              <w:t>26 Nov 2010 p. 5937-8</w:t>
            </w:r>
          </w:p>
        </w:tc>
        <w:tc>
          <w:tcPr>
            <w:tcW w:w="2693" w:type="dxa"/>
          </w:tcPr>
          <w:p>
            <w:pPr>
              <w:pStyle w:val="nTable"/>
              <w:spacing w:after="40"/>
              <w:rPr>
                <w:rFonts w:ascii="Times" w:hAnsi="Times"/>
              </w:rPr>
            </w:pPr>
            <w:r>
              <w:rPr>
                <w:rFonts w:ascii="Times" w:hAnsi="Times"/>
                <w:snapToGrid w:val="0"/>
              </w:rPr>
              <w:t>bl. 1 and 2: 26 Nov 2010 (see bl. 2(a));</w:t>
            </w:r>
            <w:r>
              <w:rPr>
                <w:rFonts w:ascii="Times" w:hAnsi="Times"/>
                <w:snapToGrid w:val="0"/>
              </w:rPr>
              <w:br/>
              <w:t>By-laws other than bl. 1 and 2: 1 Jan 2011 (see bl. 2(b))</w:t>
            </w:r>
          </w:p>
        </w:tc>
      </w:tr>
      <w:tr>
        <w:tc>
          <w:tcPr>
            <w:tcW w:w="3119"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2011</w:t>
            </w:r>
          </w:p>
        </w:tc>
        <w:tc>
          <w:tcPr>
            <w:tcW w:w="1276" w:type="dxa"/>
          </w:tcPr>
          <w:p>
            <w:pPr>
              <w:pStyle w:val="nTable"/>
              <w:spacing w:after="40"/>
              <w:rPr>
                <w:rFonts w:ascii="Times" w:hAnsi="Times"/>
              </w:rPr>
            </w:pPr>
            <w:r>
              <w:rPr>
                <w:rFonts w:ascii="Times" w:hAnsi="Times"/>
              </w:rPr>
              <w:t>24 Jun 2011 p. 2504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bl. 1 and 2: 24 Jun 2011 (see bl. 2(a));</w:t>
            </w:r>
            <w:r>
              <w:rPr>
                <w:rFonts w:ascii="Times" w:hAnsi="Times"/>
                <w:snapToGrid w:val="0"/>
              </w:rPr>
              <w:br/>
              <w:t>By-laws other than bl. 1 and 2: 1 Jul 2011 (see bl. 2(b))</w:t>
            </w:r>
          </w:p>
        </w:tc>
      </w:tr>
      <w:tr>
        <w:tc>
          <w:tcPr>
            <w:tcW w:w="3119"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(No. 2) 2011</w:t>
            </w:r>
            <w:r>
              <w:rPr>
                <w:rFonts w:ascii="Times" w:hAnsi="Times"/>
                <w:i/>
                <w:vertAlign w:val="superscript"/>
              </w:rPr>
              <w:t> 2</w:t>
            </w:r>
          </w:p>
        </w:tc>
        <w:tc>
          <w:tcPr>
            <w:tcW w:w="1276" w:type="dxa"/>
            <w:shd w:val="clear" w:color="auto" w:fill="auto"/>
          </w:tcPr>
          <w:p>
            <w:pPr>
              <w:pStyle w:val="nTable"/>
              <w:spacing w:after="40"/>
              <w:rPr>
                <w:rFonts w:ascii="Times" w:hAnsi="Times"/>
              </w:rPr>
            </w:pPr>
            <w:r>
              <w:rPr>
                <w:rFonts w:ascii="Times" w:hAnsi="Times"/>
              </w:rPr>
              <w:t>23 Dec 2011 p. 5425</w:t>
            </w:r>
            <w:r>
              <w:rPr>
                <w:rFonts w:ascii="Times" w:hAnsi="Times"/>
              </w:rPr>
              <w:noBreakHyphen/>
              <w:t>9</w:t>
            </w:r>
          </w:p>
        </w:tc>
        <w:tc>
          <w:tcPr>
            <w:tcW w:w="2693" w:type="dxa"/>
            <w:shd w:val="clear" w:color="auto" w:fill="auto"/>
          </w:tcPr>
          <w:p>
            <w:pPr>
              <w:pStyle w:val="nTable"/>
              <w:spacing w:after="40"/>
              <w:rPr>
                <w:rFonts w:ascii="Times" w:hAnsi="Times"/>
                <w:snapToGrid w:val="0"/>
              </w:rPr>
            </w:pPr>
            <w:r>
              <w:rPr>
                <w:rFonts w:ascii="Times" w:hAnsi="Times"/>
                <w:snapToGrid w:val="0"/>
              </w:rPr>
              <w:t>bl. 1 and 2: 23 Dec 2011 (see bl. 2(a));</w:t>
            </w:r>
            <w:r>
              <w:rPr>
                <w:rFonts w:ascii="Times" w:hAnsi="Times"/>
                <w:snapToGrid w:val="0"/>
              </w:rPr>
              <w:br/>
              <w:t>By-laws other than bl. 1 and 2: 1 Jan 2012 (see bl. 2(b))</w:t>
            </w:r>
          </w:p>
        </w:tc>
      </w:tr>
      <w:tr>
        <w:tc>
          <w:tcPr>
            <w:tcW w:w="7088" w:type="dxa"/>
            <w:gridSpan w:val="3"/>
            <w:shd w:val="clear" w:color="auto" w:fill="auto"/>
          </w:tcPr>
          <w:p>
            <w:pPr>
              <w:pStyle w:val="nTable"/>
              <w:spacing w:after="40"/>
              <w:rPr>
                <w:snapToGrid w:val="0"/>
                <w:spacing w:val="-2"/>
              </w:rPr>
            </w:pPr>
            <w:r>
              <w:rPr>
                <w:b/>
              </w:rPr>
              <w:t xml:space="preserve">Reprint 2: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27 Jul 2012</w:t>
            </w:r>
            <w:r>
              <w:t xml:space="preserve"> (includes amendments listed above)</w:t>
            </w:r>
          </w:p>
        </w:tc>
      </w:tr>
      <w:tr>
        <w:tc>
          <w:tcPr>
            <w:tcW w:w="3119" w:type="dxa"/>
            <w:shd w:val="clear" w:color="auto" w:fill="auto"/>
          </w:tcPr>
          <w:p>
            <w:pPr>
              <w:pStyle w:val="nTable"/>
              <w:keepNext/>
              <w:keepLines/>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2012</w:t>
            </w:r>
          </w:p>
        </w:tc>
        <w:tc>
          <w:tcPr>
            <w:tcW w:w="1276" w:type="dxa"/>
            <w:shd w:val="clear" w:color="auto" w:fill="auto"/>
          </w:tcPr>
          <w:p>
            <w:pPr>
              <w:pStyle w:val="nTable"/>
              <w:keepNext/>
              <w:keepLines/>
              <w:spacing w:after="40"/>
              <w:rPr>
                <w:rFonts w:ascii="Times" w:hAnsi="Times"/>
              </w:rPr>
            </w:pPr>
            <w:r>
              <w:rPr>
                <w:rFonts w:ascii="Times" w:hAnsi="Times"/>
              </w:rPr>
              <w:t>28 Sep 2012 p. 4650-4</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bl. 1 and 2: 28 Sep 2012 (see bl. 2(a));</w:t>
            </w:r>
            <w:r>
              <w:rPr>
                <w:rFonts w:ascii="Times" w:hAnsi="Times"/>
                <w:snapToGrid w:val="0"/>
              </w:rPr>
              <w:br/>
              <w:t>By-laws other than bl. 1 and 2: 29 Sep 2012 (see bl. 2(b))</w:t>
            </w:r>
          </w:p>
        </w:tc>
      </w:tr>
      <w:tr>
        <w:tc>
          <w:tcPr>
            <w:tcW w:w="3119"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2013</w:t>
            </w:r>
          </w:p>
        </w:tc>
        <w:tc>
          <w:tcPr>
            <w:tcW w:w="1276" w:type="dxa"/>
            <w:shd w:val="clear" w:color="auto" w:fill="auto"/>
          </w:tcPr>
          <w:p>
            <w:pPr>
              <w:pStyle w:val="nTable"/>
              <w:spacing w:after="40"/>
              <w:rPr>
                <w:rFonts w:ascii="Times" w:hAnsi="Times"/>
              </w:rPr>
            </w:pPr>
            <w:r>
              <w:rPr>
                <w:rFonts w:ascii="Times" w:hAnsi="Times"/>
              </w:rPr>
              <w:t>28 Jun 2013 p. 2752</w:t>
            </w:r>
          </w:p>
        </w:tc>
        <w:tc>
          <w:tcPr>
            <w:tcW w:w="2693" w:type="dxa"/>
            <w:shd w:val="clear" w:color="auto" w:fill="auto"/>
          </w:tcPr>
          <w:p>
            <w:pPr>
              <w:pStyle w:val="nTable"/>
              <w:spacing w:after="40"/>
              <w:rPr>
                <w:rFonts w:ascii="Times" w:hAnsi="Times"/>
                <w:b/>
                <w:snapToGrid w:val="0"/>
              </w:rPr>
            </w:pPr>
            <w:r>
              <w:rPr>
                <w:rFonts w:ascii="Times" w:hAnsi="Times"/>
                <w:snapToGrid w:val="0"/>
              </w:rPr>
              <w:t>bl. 1 and 2: 28 Jun 2013 (see bl. 2(a));</w:t>
            </w:r>
            <w:r>
              <w:rPr>
                <w:rFonts w:ascii="Times" w:hAnsi="Times"/>
                <w:snapToGrid w:val="0"/>
              </w:rPr>
              <w:br/>
              <w:t>By-laws other than bl. 1 and 2: 1 Jul 2013 (see bl. 2(b))</w:t>
            </w:r>
          </w:p>
        </w:tc>
      </w:tr>
      <w:tr>
        <w:tc>
          <w:tcPr>
            <w:tcW w:w="3119" w:type="dxa"/>
            <w:tcBorders>
              <w:bottom w:val="single" w:sz="4" w:space="0" w:color="auto"/>
            </w:tcBorders>
            <w:shd w:val="clear" w:color="auto" w:fill="auto"/>
          </w:tcPr>
          <w:p>
            <w:pPr>
              <w:pStyle w:val="nTable"/>
              <w:spacing w:after="40"/>
              <w:rPr>
                <w:rFonts w:ascii="Times" w:hAnsi="Times"/>
                <w:i/>
              </w:rPr>
            </w:pPr>
            <w:r>
              <w:rPr>
                <w:i/>
              </w:rPr>
              <w:t>Fremantle Hospital Amendment By</w:t>
            </w:r>
            <w:r>
              <w:rPr>
                <w:i/>
              </w:rPr>
              <w:noBreakHyphen/>
              <w:t xml:space="preserve">laws (No. 2) 2014 </w:t>
            </w:r>
          </w:p>
        </w:tc>
        <w:tc>
          <w:tcPr>
            <w:tcW w:w="1276" w:type="dxa"/>
            <w:tcBorders>
              <w:bottom w:val="single" w:sz="4" w:space="0" w:color="auto"/>
            </w:tcBorders>
            <w:shd w:val="clear" w:color="auto" w:fill="auto"/>
          </w:tcPr>
          <w:p>
            <w:pPr>
              <w:pStyle w:val="nTable"/>
              <w:spacing w:after="40"/>
              <w:rPr>
                <w:rFonts w:ascii="Times" w:hAnsi="Times"/>
              </w:rPr>
            </w:pPr>
            <w:r>
              <w:t>13 Jun 2014 p. 1882</w:t>
            </w:r>
            <w:r>
              <w:noBreakHyphen/>
              <w:t>5</w:t>
            </w:r>
          </w:p>
        </w:tc>
        <w:tc>
          <w:tcPr>
            <w:tcW w:w="2693" w:type="dxa"/>
            <w:tcBorders>
              <w:bottom w:val="single" w:sz="4" w:space="0" w:color="auto"/>
            </w:tcBorders>
            <w:shd w:val="clear" w:color="auto" w:fill="auto"/>
          </w:tcPr>
          <w:p>
            <w:pPr>
              <w:pStyle w:val="nTable"/>
              <w:spacing w:after="40"/>
              <w:rPr>
                <w:rFonts w:ascii="Times" w:hAnsi="Times"/>
                <w:snapToGrid w:val="0"/>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 w:name="_Toc408568464"/>
      <w:bookmarkStart w:id="101" w:name="_Toc416692362"/>
      <w:r>
        <w:t>Provisions that have not come into operation</w:t>
      </w:r>
      <w:bookmarkEnd w:id="100"/>
      <w:bookmarkEnd w:id="10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Fremantle Hospital Amendment By</w:t>
            </w:r>
            <w:r>
              <w:rPr>
                <w:i/>
              </w:rPr>
              <w:noBreakHyphen/>
              <w:t>laws 2014</w:t>
            </w:r>
            <w:r>
              <w:t xml:space="preserve"> bl. 3</w:t>
            </w:r>
            <w:r>
              <w:noBreakHyphen/>
              <w:t>9</w:t>
            </w:r>
            <w:r>
              <w:rPr>
                <w:vertAlign w:val="superscript"/>
              </w:rPr>
              <w:t> 3</w:t>
            </w:r>
          </w:p>
        </w:tc>
        <w:tc>
          <w:tcPr>
            <w:tcW w:w="1276" w:type="dxa"/>
            <w:tcBorders>
              <w:top w:val="single" w:sz="4" w:space="0" w:color="auto"/>
              <w:bottom w:val="single" w:sz="4" w:space="0" w:color="auto"/>
            </w:tcBorders>
          </w:tcPr>
          <w:p>
            <w:pPr>
              <w:pStyle w:val="nTable"/>
              <w:spacing w:after="40"/>
            </w:pPr>
            <w:r>
              <w:t>8 Jan 2015 p. 181</w:t>
            </w:r>
            <w:r>
              <w:noBreakHyphen/>
              <w:t>4</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pStyle w:val="nSubsection"/>
      </w:pPr>
      <w:r>
        <w:rPr>
          <w:vertAlign w:val="superscript"/>
        </w:rPr>
        <w:t>3</w:t>
      </w:r>
      <w:r>
        <w:tab/>
        <w:t xml:space="preserve">On the date as at which this compilation was prepared, </w:t>
      </w:r>
      <w:r>
        <w:rPr>
          <w:snapToGrid w:val="0"/>
        </w:rPr>
        <w:t xml:space="preserve">the </w:t>
      </w:r>
      <w:r>
        <w:rPr>
          <w:i/>
        </w:rPr>
        <w:t>Fremantle Hospital Amendment By laws 2014</w:t>
      </w:r>
      <w:r>
        <w:t xml:space="preserve"> bl. 3</w:t>
      </w:r>
      <w:r>
        <w:noBreakHyphen/>
        <w:t>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Fremantle Hospital By</w:t>
      </w:r>
      <w:r>
        <w:rPr>
          <w:i/>
        </w:rPr>
        <w:noBreakHyphen/>
        <w:t>laws 1992</w:t>
      </w:r>
      <w:r>
        <w:t>.</w:t>
      </w:r>
    </w:p>
    <w:p>
      <w:pPr>
        <w:pStyle w:val="nzHeading5"/>
      </w:pPr>
      <w:r>
        <w:rPr>
          <w:rStyle w:val="CharSectno"/>
        </w:rPr>
        <w:t>4</w:t>
      </w:r>
      <w:r>
        <w:t>.</w:t>
      </w:r>
      <w:r>
        <w:tab/>
        <w:t>By</w:t>
      </w:r>
      <w:r>
        <w:noBreakHyphen/>
        <w:t>law 3 amended</w:t>
      </w:r>
    </w:p>
    <w:p>
      <w:pPr>
        <w:pStyle w:val="nzSubsection"/>
      </w:pPr>
      <w:r>
        <w:tab/>
        <w:t>(1)</w:t>
      </w:r>
      <w:r>
        <w:tab/>
        <w:t>In by</w:t>
      </w:r>
      <w:r>
        <w:noBreakHyphen/>
        <w:t xml:space="preserve">law 3(1) delete the definition of </w:t>
      </w:r>
      <w:r>
        <w:rPr>
          <w:b/>
          <w:i/>
        </w:rPr>
        <w:t>registered owner</w:t>
      </w:r>
      <w:r>
        <w:t>.</w:t>
      </w:r>
    </w:p>
    <w:p>
      <w:pPr>
        <w:pStyle w:val="nzSubsection"/>
      </w:pPr>
      <w:r>
        <w:tab/>
        <w:t>(2)</w:t>
      </w:r>
      <w:r>
        <w:tab/>
        <w:t>In by</w:t>
      </w:r>
      <w:r>
        <w:noBreakHyphen/>
        <w:t>law 3(1) insert in alphabetical order:</w:t>
      </w:r>
    </w:p>
    <w:p>
      <w:pPr>
        <w:pStyle w:val="BlankOpen"/>
      </w:pPr>
    </w:p>
    <w:p>
      <w:pPr>
        <w:pStyle w:val="nz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BlankClose"/>
      </w:pPr>
    </w:p>
    <w:p>
      <w:pPr>
        <w:pStyle w:val="nzSubsection"/>
      </w:pPr>
      <w:r>
        <w:tab/>
        <w:t>(3)</w:t>
      </w:r>
      <w:r>
        <w:tab/>
        <w:t>In by</w:t>
      </w:r>
      <w:r>
        <w:noBreakHyphen/>
        <w:t xml:space="preserve">law 3(1) in the definition of </w:t>
      </w:r>
      <w:r>
        <w:rPr>
          <w:b/>
          <w:i/>
        </w:rPr>
        <w:t>roadway</w:t>
      </w:r>
      <w:r>
        <w:t xml:space="preserve"> delete “</w:t>
      </w:r>
      <w:r>
        <w:rPr>
          <w:i/>
        </w:rPr>
        <w:t>Road Traffic Act 1974</w:t>
      </w:r>
      <w:r>
        <w:t>,” and insert:</w:t>
      </w:r>
    </w:p>
    <w:p>
      <w:pPr>
        <w:pStyle w:val="BlankOpen"/>
      </w:pPr>
    </w:p>
    <w:p>
      <w:pPr>
        <w:pStyle w:val="nzSubsection"/>
      </w:pPr>
      <w:r>
        <w:tab/>
      </w:r>
      <w:r>
        <w:tab/>
      </w:r>
      <w:r>
        <w:rPr>
          <w:i/>
        </w:rPr>
        <w:t xml:space="preserve">Road Traffic (Administration) Act 2008 </w:t>
      </w:r>
      <w:r>
        <w:t>section 4,</w:t>
      </w:r>
    </w:p>
    <w:p>
      <w:pPr>
        <w:pStyle w:val="BlankClose"/>
      </w:pPr>
    </w:p>
    <w:p>
      <w:pPr>
        <w:pStyle w:val="nzSubsection"/>
      </w:pPr>
      <w:r>
        <w:tab/>
        <w:t>(4)</w:t>
      </w:r>
      <w:r>
        <w:tab/>
        <w:t>In by</w:t>
      </w:r>
      <w:r>
        <w:noBreakHyphen/>
        <w:t xml:space="preserve">law 3(1) in the definition of </w:t>
      </w:r>
      <w:r>
        <w:rPr>
          <w:b/>
          <w:i/>
        </w:rPr>
        <w:t>vehicle</w:t>
      </w:r>
      <w:r>
        <w:t xml:space="preserve"> delete “same meaning as in the </w:t>
      </w:r>
      <w:r>
        <w:rPr>
          <w:i/>
        </w:rPr>
        <w:t>Road Traffic Act 1974</w:t>
      </w:r>
      <w:r>
        <w:t>;” and insert:</w:t>
      </w:r>
    </w:p>
    <w:p>
      <w:pPr>
        <w:pStyle w:val="BlankOpen"/>
      </w:pPr>
    </w:p>
    <w:p>
      <w:pPr>
        <w:pStyle w:val="nzSubsection"/>
      </w:pPr>
      <w:r>
        <w:tab/>
      </w:r>
      <w:r>
        <w:tab/>
        <w:t xml:space="preserve">meaning given in the </w:t>
      </w:r>
      <w:r>
        <w:rPr>
          <w:i/>
        </w:rPr>
        <w:t xml:space="preserve">Road Traffic (Administration) Act 2008 </w:t>
      </w:r>
      <w:r>
        <w:t>section 4;</w:t>
      </w:r>
    </w:p>
    <w:p>
      <w:pPr>
        <w:pStyle w:val="BlankClose"/>
      </w:pPr>
    </w:p>
    <w:p>
      <w:pPr>
        <w:pStyle w:val="nzHeading5"/>
      </w:pPr>
      <w:r>
        <w:rPr>
          <w:rStyle w:val="CharSectno"/>
        </w:rPr>
        <w:t>5</w:t>
      </w:r>
      <w:r>
        <w:t>.</w:t>
      </w:r>
      <w:r>
        <w:tab/>
        <w:t>By</w:t>
      </w:r>
      <w:r>
        <w:noBreakHyphen/>
        <w:t>law 19 amended</w:t>
      </w:r>
    </w:p>
    <w:p>
      <w:pPr>
        <w:pStyle w:val="nzSubsection"/>
      </w:pPr>
      <w:r>
        <w:tab/>
      </w:r>
      <w:r>
        <w:tab/>
        <w:t>In by</w:t>
      </w:r>
      <w:r>
        <w:noBreakHyphen/>
        <w:t xml:space="preserve">law 19 in the definition of </w:t>
      </w:r>
      <w:r>
        <w:rPr>
          <w:b/>
          <w:i/>
        </w:rPr>
        <w:t>alleged offender</w:t>
      </w:r>
      <w:r>
        <w:t xml:space="preserve"> delete “registered owner o</w:t>
      </w:r>
      <w:r>
        <w:rPr>
          <w:spacing w:val="32"/>
        </w:rPr>
        <w:t>f</w:t>
      </w:r>
      <w:r>
        <w:t>”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24 amended</w:t>
      </w:r>
    </w:p>
    <w:p>
      <w:pPr>
        <w:pStyle w:val="nzSubsection"/>
      </w:pPr>
      <w:r>
        <w:tab/>
      </w:r>
      <w:r>
        <w:tab/>
        <w:t>Delete by</w:t>
      </w:r>
      <w:r>
        <w:noBreakHyphen/>
        <w:t>law 24(a)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25 amended</w:t>
      </w:r>
    </w:p>
    <w:p>
      <w:pPr>
        <w:pStyle w:val="nzSubsection"/>
      </w:pPr>
      <w:r>
        <w:tab/>
      </w:r>
      <w:r>
        <w:tab/>
        <w:t>In by</w:t>
      </w:r>
      <w:r>
        <w:noBreakHyphen/>
        <w:t>law 25(4):</w:t>
      </w:r>
    </w:p>
    <w:p>
      <w:pPr>
        <w:pStyle w:val="nzIndenta"/>
      </w:pPr>
      <w:r>
        <w:tab/>
        <w:t>(a)</w:t>
      </w:r>
      <w:r>
        <w:tab/>
        <w:t>in paragraph (a) delete “owner o</w:t>
      </w:r>
      <w:r>
        <w:rPr>
          <w:spacing w:val="32"/>
        </w:rPr>
        <w:t>f</w:t>
      </w:r>
      <w:r>
        <w:t>” and insert:</w:t>
      </w:r>
    </w:p>
    <w:p>
      <w:pPr>
        <w:pStyle w:val="BlankOpen"/>
      </w:pPr>
    </w:p>
    <w:p>
      <w:pPr>
        <w:pStyle w:val="nzIndenta"/>
      </w:pPr>
      <w:r>
        <w:tab/>
      </w:r>
      <w:r>
        <w:tab/>
        <w:t>responsible person for</w:t>
      </w:r>
    </w:p>
    <w:p>
      <w:pPr>
        <w:pStyle w:val="BlankClose"/>
      </w:pPr>
    </w:p>
    <w:p>
      <w:pPr>
        <w:pStyle w:val="nzIndenta"/>
      </w:pPr>
      <w:r>
        <w:tab/>
        <w:t>(b)</w:t>
      </w:r>
      <w:r>
        <w:tab/>
        <w:t>in paragraph (b) delete “owner or” and insert:</w:t>
      </w:r>
    </w:p>
    <w:p>
      <w:pPr>
        <w:pStyle w:val="BlankOpen"/>
      </w:pPr>
    </w:p>
    <w:p>
      <w:pPr>
        <w:pStyle w:val="nzIndenta"/>
      </w:pPr>
      <w:r>
        <w:tab/>
      </w:r>
      <w:r>
        <w:tab/>
        <w:t>responsible person for or</w:t>
      </w:r>
    </w:p>
    <w:p>
      <w:pPr>
        <w:pStyle w:val="BlankClose"/>
      </w:pPr>
    </w:p>
    <w:p>
      <w:pPr>
        <w:pStyle w:val="nzHeading5"/>
      </w:pPr>
      <w:r>
        <w:rPr>
          <w:rStyle w:val="CharSectno"/>
        </w:rPr>
        <w:t>8</w:t>
      </w:r>
      <w:r>
        <w:t>.</w:t>
      </w:r>
      <w:r>
        <w:tab/>
        <w:t>By</w:t>
      </w:r>
      <w:r>
        <w:noBreakHyphen/>
        <w:t>law 26 amended</w:t>
      </w:r>
    </w:p>
    <w:p>
      <w:pPr>
        <w:pStyle w:val="nzSubsection"/>
        <w:keepNext/>
      </w:pPr>
      <w:r>
        <w:tab/>
        <w:t>(1)</w:t>
      </w:r>
      <w:r>
        <w:tab/>
        <w:t>In by</w:t>
      </w:r>
      <w:r>
        <w:noBreakHyphen/>
        <w:t>law 26(1) delete “registered owner o</w:t>
      </w:r>
      <w:r>
        <w:rPr>
          <w:spacing w:val="32"/>
        </w:rPr>
        <w:t>f</w:t>
      </w:r>
      <w:r>
        <w:t>”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26(2):</w:t>
      </w:r>
    </w:p>
    <w:p>
      <w:pPr>
        <w:pStyle w:val="nzIndenta"/>
      </w:pPr>
      <w:r>
        <w:tab/>
        <w:t>(a)</w:t>
      </w:r>
      <w:r>
        <w:tab/>
        <w:t>delete “registered owner o</w:t>
      </w:r>
      <w:r>
        <w:rPr>
          <w:spacing w:val="32"/>
        </w:rPr>
        <w:t>f</w:t>
      </w:r>
      <w:r>
        <w:t>”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26 is to read:</w:t>
      </w:r>
    </w:p>
    <w:p>
      <w:pPr>
        <w:pStyle w:val="nzNotesPerm"/>
        <w:tabs>
          <w:tab w:val="left" w:pos="1985"/>
        </w:tabs>
        <w:ind w:left="1985" w:hanging="1418"/>
        <w:rPr>
          <w:b/>
          <w:snapToGrid w:val="0"/>
        </w:rPr>
      </w:pPr>
      <w:r>
        <w:tab/>
      </w:r>
      <w:r>
        <w:tab/>
      </w:r>
      <w:r>
        <w:rPr>
          <w:b/>
          <w:snapToGrid w:val="0"/>
        </w:rPr>
        <w:t>Responsible person may be treated as driver or person in charge of vehicle</w:t>
      </w:r>
    </w:p>
    <w:p>
      <w:pPr>
        <w:pStyle w:val="nzHeading5"/>
      </w:pPr>
      <w:r>
        <w:rPr>
          <w:rStyle w:val="CharSectno"/>
        </w:rPr>
        <w:t>9</w:t>
      </w:r>
      <w:r>
        <w:t>.</w:t>
      </w:r>
      <w:r>
        <w:tab/>
        <w:t>Schedule 3 amended</w:t>
      </w:r>
    </w:p>
    <w:p>
      <w:pPr>
        <w:pStyle w:val="nzSubsection"/>
      </w:pPr>
      <w:r>
        <w:tab/>
      </w:r>
      <w:r>
        <w:tab/>
        <w:t>In Schedule 3 Form 1:</w:t>
      </w:r>
    </w:p>
    <w:p>
      <w:pPr>
        <w:pStyle w:val="nzIndenta"/>
      </w:pPr>
      <w:r>
        <w:tab/>
        <w:t>(a)</w:t>
      </w:r>
      <w:r>
        <w:tab/>
        <w:t>delete “</w:t>
      </w:r>
      <w:r>
        <w:rPr>
          <w:sz w:val="22"/>
          <w:szCs w:val="22"/>
        </w:rPr>
        <w:t>owner o</w:t>
      </w:r>
      <w:r>
        <w:rPr>
          <w:spacing w:val="32"/>
          <w:sz w:val="22"/>
          <w:szCs w:val="22"/>
        </w:rPr>
        <w:t>f</w:t>
      </w:r>
      <w:r>
        <w:t>” and insert:</w:t>
      </w:r>
    </w:p>
    <w:p>
      <w:pPr>
        <w:pStyle w:val="BlankOpen"/>
      </w:pPr>
    </w:p>
    <w:p>
      <w:pPr>
        <w:pStyle w:val="nzIndenta"/>
      </w:pPr>
      <w:r>
        <w:tab/>
      </w:r>
      <w:r>
        <w:tab/>
      </w:r>
      <w:r>
        <w:rPr>
          <w:sz w:val="22"/>
          <w:szCs w:val="22"/>
        </w:rPr>
        <w:t>responsible person for</w:t>
      </w:r>
    </w:p>
    <w:p>
      <w:pPr>
        <w:pStyle w:val="BlankClose"/>
      </w:pPr>
    </w:p>
    <w:p>
      <w:pPr>
        <w:pStyle w:val="nzIndenta"/>
      </w:pPr>
      <w:r>
        <w:tab/>
        <w:t>(b)</w:t>
      </w:r>
      <w:r>
        <w:tab/>
        <w:t>delete “</w:t>
      </w:r>
      <w:r>
        <w:rPr>
          <w:sz w:val="22"/>
          <w:szCs w:val="22"/>
        </w:rPr>
        <w:t>owner.</w:t>
      </w:r>
      <w:r>
        <w:t>” and insert:</w:t>
      </w:r>
    </w:p>
    <w:p>
      <w:pPr>
        <w:pStyle w:val="BlankOpen"/>
        <w:widowControl w:val="0"/>
      </w:pPr>
    </w:p>
    <w:p>
      <w:pPr>
        <w:pStyle w:val="nzIndenta"/>
      </w:pPr>
      <w:r>
        <w:tab/>
      </w:r>
      <w:r>
        <w:tab/>
      </w:r>
      <w:r>
        <w:rPr>
          <w:sz w:val="22"/>
          <w:szCs w:val="22"/>
        </w:rPr>
        <w:t>responsible person.</w:t>
      </w:r>
    </w:p>
    <w:p>
      <w:pPr>
        <w:pStyle w:val="BlankClose"/>
        <w:keepNext/>
        <w:widowControl w:val="0"/>
      </w:pPr>
    </w:p>
    <w:p>
      <w:pPr>
        <w:pStyle w:val="BlankClose"/>
      </w:pPr>
    </w:p>
    <w:p>
      <w:pPr>
        <w:spacing w:before="40" w:after="40"/>
      </w:pPr>
    </w:p>
    <w:p>
      <w:pPr>
        <w:spacing w:before="40" w:after="40"/>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03" w:name="_Toc416692363"/>
      <w:r>
        <w:rPr>
          <w:sz w:val="28"/>
        </w:rPr>
        <w:t>Defined terms</w:t>
      </w:r>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19</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registered owner</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5(4), 16(2), 17(8)</w:t>
      </w:r>
    </w:p>
    <w:p>
      <w:pPr>
        <w:pStyle w:val="DefinedTerms"/>
      </w:pPr>
      <w:r>
        <w:t>speed restriction sign</w:t>
      </w:r>
      <w:r>
        <w:tab/>
        <w:t>3(1)</w:t>
      </w:r>
    </w:p>
    <w:p>
      <w:pPr>
        <w:pStyle w:val="DefinedTerms"/>
      </w:pPr>
      <w:r>
        <w:t>ticket vending machine</w:t>
      </w:r>
      <w:r>
        <w:tab/>
        <w:t>3(1)</w:t>
      </w:r>
    </w:p>
    <w:p>
      <w:pPr>
        <w:pStyle w:val="DefinedTerms"/>
      </w:pPr>
      <w:r>
        <w:t>vehicle</w:t>
      </w:r>
      <w:r>
        <w:tab/>
        <w:t>3(1)</w:t>
      </w:r>
    </w:p>
    <w:p>
      <w:pPr>
        <w:pStyle w:val="DefinedTerms"/>
      </w:pPr>
      <w:r>
        <w:t>visitor’s ticket</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1"/>
  </w:num>
  <w:num w:numId="37">
    <w:abstractNumId w:val="24"/>
  </w:num>
  <w:num w:numId="38">
    <w:abstractNumId w:val="14"/>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3123602"/>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 w:name="WAFER_20140618145020" w:val="RemoveTocBookmarks,RemoveUnusedBookmarks,RemoveLanguageTags,UsedStyles,ResetPageSize,UpdateArrangement"/>
    <w:docVar w:name="WAFER_20140618145020_GUID" w:val="d3277976-0155-45f5-9754-cfc9ea6e5664"/>
    <w:docVar w:name="WAFER_20140630171043" w:val="RemoveTocBookmarks,RunningHeaders"/>
    <w:docVar w:name="WAFER_20140630171043_GUID" w:val="365cc190-18d2-49d2-b352-fc3849f2054a"/>
    <w:docVar w:name="WAFER_20150109114700" w:val="RemoveTocBookmarks,RunningHeaders"/>
    <w:docVar w:name="WAFER_20150109114700_GUID" w:val="94b6370d-c2d9-4e19-8bc0-8d4299e00e05"/>
    <w:docVar w:name="WAFER_20150413123602" w:val="ResetPageSize,UpdateArrangement,UpdateNTable"/>
    <w:docVar w:name="WAFER_20150413123602_GUID" w:val="cd5856e0-bf3c-40cb-b33d-b95560e397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4B4C4-2A72-486D-A92B-3314BE95A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5467</Words>
  <Characters>26135</Characters>
  <Application>Microsoft Office Word</Application>
  <DocSecurity>0</DocSecurity>
  <Lines>933</Lines>
  <Paragraphs>658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1992 - 02-g0-01</dc:title>
  <dc:subject/>
  <dc:creator/>
  <cp:keywords/>
  <dc:description/>
  <cp:lastModifiedBy>svcMRProcess</cp:lastModifiedBy>
  <cp:revision>4</cp:revision>
  <cp:lastPrinted>2012-07-20T06:19:00Z</cp:lastPrinted>
  <dcterms:created xsi:type="dcterms:W3CDTF">2018-09-12T01:15:00Z</dcterms:created>
  <dcterms:modified xsi:type="dcterms:W3CDTF">2018-09-12T01:15:00Z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4456</vt:i4>
  </property>
  <property fmtid="{D5CDD505-2E9C-101B-9397-08002B2CF9AE}" pid="6" name="ReprintNo">
    <vt:lpwstr>2</vt:lpwstr>
  </property>
  <property fmtid="{D5CDD505-2E9C-101B-9397-08002B2CF9AE}" pid="7" name="ReprintedAsAt">
    <vt:filetime>2012-07-26T16:00:00Z</vt:filetime>
  </property>
  <property fmtid="{D5CDD505-2E9C-101B-9397-08002B2CF9AE}" pid="8" name="AsAtDate">
    <vt:lpwstr>08 Jan 2015</vt:lpwstr>
  </property>
  <property fmtid="{D5CDD505-2E9C-101B-9397-08002B2CF9AE}" pid="9" name="Suffix">
    <vt:lpwstr>02-g0-01</vt:lpwstr>
  </property>
</Properties>
</file>