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Royal Perth Hospital By-laws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Royal Perth Hospital By-laws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_Toc416692948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_Toc416692949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_Toc416692950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_Toc416692952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Directions as to use of certain areas</w:t>
      </w:r>
      <w:r>
        <w:tab/>
      </w:r>
      <w:r>
        <w:fldChar w:fldCharType="begin"/>
      </w:r>
      <w:r>
        <w:instrText xml:space="preserve"> PAGEREF _Toc416692953 \h </w:instrText>
      </w:r>
      <w:r>
        <w:fldChar w:fldCharType="separate"/>
      </w:r>
      <w:r>
        <w:t>3</w:t>
      </w:r>
      <w:r>
        <w:fldChar w:fldCharType="end"/>
      </w:r>
    </w:p>
    <w:p>
      <w:pPr>
        <w:pStyle w:val="TOC8"/>
        <w:rPr>
          <w:rFonts w:asciiTheme="minorHAnsi" w:eastAsiaTheme="minorEastAsia" w:hAnsiTheme="minorHAnsi" w:cstheme="minorBidi"/>
          <w:szCs w:val="22"/>
        </w:rPr>
      </w:pPr>
      <w:r>
        <w:t>6.</w:t>
      </w:r>
      <w:r>
        <w:tab/>
        <w:t>Liquor</w:t>
      </w:r>
      <w:r>
        <w:tab/>
      </w:r>
      <w:r>
        <w:fldChar w:fldCharType="begin"/>
      </w:r>
      <w:r>
        <w:instrText xml:space="preserve"> PAGEREF _Toc416692954 \h </w:instrText>
      </w:r>
      <w:r>
        <w:fldChar w:fldCharType="separate"/>
      </w:r>
      <w:r>
        <w:t>3</w:t>
      </w:r>
      <w:r>
        <w:fldChar w:fldCharType="end"/>
      </w:r>
    </w:p>
    <w:p>
      <w:pPr>
        <w:pStyle w:val="TOC8"/>
        <w:rPr>
          <w:rFonts w:asciiTheme="minorHAnsi" w:eastAsiaTheme="minorEastAsia" w:hAnsiTheme="minorHAnsi" w:cstheme="minorBidi"/>
          <w:szCs w:val="22"/>
        </w:rPr>
      </w:pPr>
      <w:r>
        <w:t>7.</w:t>
      </w:r>
      <w:r>
        <w:tab/>
        <w:t>Smoking</w:t>
      </w:r>
      <w:r>
        <w:tab/>
      </w:r>
      <w:r>
        <w:fldChar w:fldCharType="begin"/>
      </w:r>
      <w:r>
        <w:instrText xml:space="preserve"> PAGEREF _Toc416692955 \h </w:instrText>
      </w:r>
      <w:r>
        <w:fldChar w:fldCharType="separate"/>
      </w:r>
      <w:r>
        <w:t>3</w:t>
      </w:r>
      <w:r>
        <w:fldChar w:fldCharType="end"/>
      </w:r>
    </w:p>
    <w:p>
      <w:pPr>
        <w:pStyle w:val="TOC8"/>
        <w:rPr>
          <w:rFonts w:asciiTheme="minorHAnsi" w:eastAsiaTheme="minorEastAsia" w:hAnsiTheme="minorHAnsi" w:cstheme="minorBidi"/>
          <w:szCs w:val="22"/>
        </w:rPr>
      </w:pPr>
      <w:r>
        <w:t>8.</w:t>
      </w:r>
      <w:r>
        <w:tab/>
        <w:t>Disorderly persons may be removed from site</w:t>
      </w:r>
      <w:r>
        <w:tab/>
      </w:r>
      <w:r>
        <w:fldChar w:fldCharType="begin"/>
      </w:r>
      <w:r>
        <w:instrText xml:space="preserve"> PAGEREF _Toc416692956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9.</w:t>
      </w:r>
      <w:r>
        <w:tab/>
        <w:t>Driving of vehicles</w:t>
      </w:r>
      <w:r>
        <w:tab/>
      </w:r>
      <w:r>
        <w:fldChar w:fldCharType="begin"/>
      </w:r>
      <w:r>
        <w:instrText xml:space="preserve"> PAGEREF _Toc416692959 \h </w:instrText>
      </w:r>
      <w:r>
        <w:fldChar w:fldCharType="separate"/>
      </w:r>
      <w:r>
        <w:t>5</w:t>
      </w:r>
      <w:r>
        <w:fldChar w:fldCharType="end"/>
      </w:r>
    </w:p>
    <w:p>
      <w:pPr>
        <w:pStyle w:val="TOC8"/>
        <w:rPr>
          <w:rFonts w:asciiTheme="minorHAnsi" w:eastAsiaTheme="minorEastAsia" w:hAnsiTheme="minorHAnsi" w:cstheme="minorBidi"/>
          <w:szCs w:val="22"/>
        </w:rPr>
      </w:pPr>
      <w:r>
        <w:t>10.</w:t>
      </w:r>
      <w:r>
        <w:tab/>
        <w:t>Driver to obey reasonable direction</w:t>
      </w:r>
      <w:r>
        <w:tab/>
      </w:r>
      <w:r>
        <w:fldChar w:fldCharType="begin"/>
      </w:r>
      <w:r>
        <w:instrText xml:space="preserve"> PAGEREF _Toc416692960 \h </w:instrText>
      </w:r>
      <w:r>
        <w:fldChar w:fldCharType="separate"/>
      </w:r>
      <w:r>
        <w:t>5</w:t>
      </w:r>
      <w:r>
        <w:fldChar w:fldCharType="end"/>
      </w:r>
    </w:p>
    <w:p>
      <w:pPr>
        <w:pStyle w:val="TOC8"/>
        <w:rPr>
          <w:rFonts w:asciiTheme="minorHAnsi" w:eastAsiaTheme="minorEastAsia" w:hAnsiTheme="minorHAnsi" w:cstheme="minorBidi"/>
          <w:szCs w:val="22"/>
        </w:rPr>
      </w:pPr>
      <w:r>
        <w:t>11.</w:t>
      </w:r>
      <w:r>
        <w:tab/>
        <w:t>Speed limits</w:t>
      </w:r>
      <w:r>
        <w:tab/>
      </w:r>
      <w:r>
        <w:fldChar w:fldCharType="begin"/>
      </w:r>
      <w:r>
        <w:instrText xml:space="preserve"> PAGEREF _Toc416692961 \h </w:instrText>
      </w:r>
      <w:r>
        <w:fldChar w:fldCharType="separate"/>
      </w:r>
      <w:r>
        <w:t>5</w:t>
      </w:r>
      <w:r>
        <w:fldChar w:fldCharType="end"/>
      </w:r>
    </w:p>
    <w:p>
      <w:pPr>
        <w:pStyle w:val="TOC8"/>
        <w:rPr>
          <w:rFonts w:asciiTheme="minorHAnsi" w:eastAsiaTheme="minorEastAsia" w:hAnsiTheme="minorHAnsi" w:cstheme="minorBidi"/>
          <w:szCs w:val="22"/>
        </w:rPr>
      </w:pPr>
      <w:r>
        <w:t>12.</w:t>
      </w:r>
      <w:r>
        <w:tab/>
        <w:t>Giving way</w:t>
      </w:r>
      <w:r>
        <w:tab/>
      </w:r>
      <w:r>
        <w:fldChar w:fldCharType="begin"/>
      </w:r>
      <w:r>
        <w:instrText xml:space="preserve"> PAGEREF _Toc416692962 \h </w:instrText>
      </w:r>
      <w:r>
        <w:fldChar w:fldCharType="separate"/>
      </w:r>
      <w:r>
        <w:t>6</w:t>
      </w:r>
      <w:r>
        <w:fldChar w:fldCharType="end"/>
      </w:r>
    </w:p>
    <w:p>
      <w:pPr>
        <w:pStyle w:val="TOC8"/>
        <w:rPr>
          <w:rFonts w:asciiTheme="minorHAnsi" w:eastAsiaTheme="minorEastAsia" w:hAnsiTheme="minorHAnsi" w:cstheme="minorBidi"/>
          <w:szCs w:val="22"/>
        </w:rPr>
      </w:pPr>
      <w:r>
        <w:t>13.</w:t>
      </w:r>
      <w:r>
        <w:tab/>
      </w:r>
      <w:r>
        <w:rPr>
          <w:snapToGrid w:val="0"/>
        </w:rPr>
        <w:t>No instruction or repairs on site</w:t>
      </w:r>
      <w:r>
        <w:tab/>
      </w:r>
      <w:r>
        <w:fldChar w:fldCharType="begin"/>
      </w:r>
      <w:r>
        <w:instrText xml:space="preserve"> PAGEREF _Toc416692963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14.</w:t>
      </w:r>
      <w:r>
        <w:tab/>
        <w:t>Parking to be in parking spaces only</w:t>
      </w:r>
      <w:r>
        <w:tab/>
      </w:r>
      <w:r>
        <w:fldChar w:fldCharType="begin"/>
      </w:r>
      <w:r>
        <w:instrText xml:space="preserve"> PAGEREF _Toc416692965 \h </w:instrText>
      </w:r>
      <w:r>
        <w:fldChar w:fldCharType="separate"/>
      </w:r>
      <w:r>
        <w:t>6</w:t>
      </w:r>
      <w:r>
        <w:fldChar w:fldCharType="end"/>
      </w:r>
    </w:p>
    <w:p>
      <w:pPr>
        <w:pStyle w:val="TOC8"/>
        <w:rPr>
          <w:rFonts w:asciiTheme="minorHAnsi" w:eastAsiaTheme="minorEastAsia" w:hAnsiTheme="minorHAnsi" w:cstheme="minorBidi"/>
          <w:szCs w:val="22"/>
        </w:rPr>
      </w:pPr>
      <w:r>
        <w:t>15.</w:t>
      </w:r>
      <w:r>
        <w:tab/>
        <w:t>Signs to be obeyed</w:t>
      </w:r>
      <w:r>
        <w:tab/>
      </w:r>
      <w:r>
        <w:fldChar w:fldCharType="begin"/>
      </w:r>
      <w:r>
        <w:instrText xml:space="preserve"> PAGEREF _Toc416692966 \h </w:instrText>
      </w:r>
      <w:r>
        <w:fldChar w:fldCharType="separate"/>
      </w:r>
      <w:r>
        <w:t>6</w:t>
      </w:r>
      <w:r>
        <w:fldChar w:fldCharType="end"/>
      </w:r>
    </w:p>
    <w:p>
      <w:pPr>
        <w:pStyle w:val="TOC8"/>
        <w:rPr>
          <w:rFonts w:asciiTheme="minorHAnsi" w:eastAsiaTheme="minorEastAsia" w:hAnsiTheme="minorHAnsi" w:cstheme="minorBidi"/>
          <w:szCs w:val="22"/>
        </w:rPr>
      </w:pPr>
      <w:r>
        <w:t>16.</w:t>
      </w:r>
      <w:r>
        <w:tab/>
        <w:t>Parking in parking spaces</w:t>
      </w:r>
      <w:r>
        <w:tab/>
      </w:r>
      <w:r>
        <w:fldChar w:fldCharType="begin"/>
      </w:r>
      <w:r>
        <w:instrText xml:space="preserve"> PAGEREF _Toc416692967 \h </w:instrText>
      </w:r>
      <w:r>
        <w:fldChar w:fldCharType="separate"/>
      </w:r>
      <w:r>
        <w:t>7</w:t>
      </w:r>
      <w:r>
        <w:fldChar w:fldCharType="end"/>
      </w:r>
    </w:p>
    <w:p>
      <w:pPr>
        <w:pStyle w:val="TOC8"/>
        <w:rPr>
          <w:rFonts w:asciiTheme="minorHAnsi" w:eastAsiaTheme="minorEastAsia" w:hAnsiTheme="minorHAnsi" w:cstheme="minorBidi"/>
          <w:szCs w:val="22"/>
        </w:rPr>
      </w:pPr>
      <w:r>
        <w:t>17.</w:t>
      </w:r>
      <w:r>
        <w:tab/>
        <w:t>Permit</w:t>
      </w:r>
      <w:r>
        <w:tab/>
      </w:r>
      <w:r>
        <w:fldChar w:fldCharType="begin"/>
      </w:r>
      <w:r>
        <w:instrText xml:space="preserve"> PAGEREF _Toc416692968 \h </w:instrText>
      </w:r>
      <w:r>
        <w:fldChar w:fldCharType="separate"/>
      </w:r>
      <w:r>
        <w:t>7</w:t>
      </w:r>
      <w:r>
        <w:fldChar w:fldCharType="end"/>
      </w:r>
    </w:p>
    <w:p>
      <w:pPr>
        <w:pStyle w:val="TOC8"/>
        <w:rPr>
          <w:rFonts w:asciiTheme="minorHAnsi" w:eastAsiaTheme="minorEastAsia" w:hAnsiTheme="minorHAnsi" w:cstheme="minorBidi"/>
          <w:szCs w:val="22"/>
        </w:rPr>
      </w:pPr>
      <w:r>
        <w:t>18.</w:t>
      </w:r>
      <w:r>
        <w:tab/>
        <w:t>Refund of permit fees</w:t>
      </w:r>
      <w:r>
        <w:tab/>
      </w:r>
      <w:r>
        <w:fldChar w:fldCharType="begin"/>
      </w:r>
      <w:r>
        <w:instrText xml:space="preserve"> PAGEREF _Toc416692969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19.</w:t>
      </w:r>
      <w:r>
        <w:tab/>
        <w:t>Terms used</w:t>
      </w:r>
      <w:r>
        <w:tab/>
      </w:r>
      <w:r>
        <w:fldChar w:fldCharType="begin"/>
      </w:r>
      <w:r>
        <w:instrText xml:space="preserve"> PAGEREF _Toc416692971 \h </w:instrText>
      </w:r>
      <w:r>
        <w:fldChar w:fldCharType="separate"/>
      </w:r>
      <w:r>
        <w:t>10</w:t>
      </w:r>
      <w:r>
        <w:fldChar w:fldCharType="end"/>
      </w:r>
    </w:p>
    <w:p>
      <w:pPr>
        <w:pStyle w:val="TOC8"/>
        <w:rPr>
          <w:rFonts w:asciiTheme="minorHAnsi" w:eastAsiaTheme="minorEastAsia" w:hAnsiTheme="minorHAnsi" w:cstheme="minorBidi"/>
          <w:szCs w:val="22"/>
        </w:rPr>
      </w:pPr>
      <w:r>
        <w:t>20.</w:t>
      </w:r>
      <w:r>
        <w:tab/>
        <w:t>Infringement notices</w:t>
      </w:r>
      <w:r>
        <w:tab/>
      </w:r>
      <w:r>
        <w:fldChar w:fldCharType="begin"/>
      </w:r>
      <w:r>
        <w:instrText xml:space="preserve"> PAGEREF _Toc416692972 \h </w:instrText>
      </w:r>
      <w:r>
        <w:fldChar w:fldCharType="separate"/>
      </w:r>
      <w:r>
        <w:t>10</w:t>
      </w:r>
      <w:r>
        <w:fldChar w:fldCharType="end"/>
      </w:r>
    </w:p>
    <w:p>
      <w:pPr>
        <w:pStyle w:val="TOC8"/>
        <w:rPr>
          <w:rFonts w:asciiTheme="minorHAnsi" w:eastAsiaTheme="minorEastAsia" w:hAnsiTheme="minorHAnsi" w:cstheme="minorBidi"/>
          <w:szCs w:val="22"/>
        </w:rPr>
      </w:pPr>
      <w:r>
        <w:t>21.</w:t>
      </w:r>
      <w:r>
        <w:tab/>
        <w:t>Withdrawal of infringement notice</w:t>
      </w:r>
      <w:r>
        <w:tab/>
      </w:r>
      <w:r>
        <w:fldChar w:fldCharType="begin"/>
      </w:r>
      <w:r>
        <w:instrText xml:space="preserve"> PAGEREF _Toc416692973 \h </w:instrText>
      </w:r>
      <w:r>
        <w:fldChar w:fldCharType="separate"/>
      </w:r>
      <w:r>
        <w:t>11</w:t>
      </w:r>
      <w:r>
        <w:fldChar w:fldCharType="end"/>
      </w:r>
    </w:p>
    <w:p>
      <w:pPr>
        <w:pStyle w:val="TOC8"/>
        <w:rPr>
          <w:rFonts w:asciiTheme="minorHAnsi" w:eastAsiaTheme="minorEastAsia" w:hAnsiTheme="minorHAnsi" w:cstheme="minorBidi"/>
          <w:szCs w:val="22"/>
        </w:rPr>
      </w:pPr>
      <w:r>
        <w:t>22.</w:t>
      </w:r>
      <w:r>
        <w:tab/>
        <w:t>Authorised person to have certificate</w:t>
      </w:r>
      <w:r>
        <w:tab/>
      </w:r>
      <w:r>
        <w:fldChar w:fldCharType="begin"/>
      </w:r>
      <w:r>
        <w:instrText xml:space="preserve"> PAGEREF _Toc416692974 \h </w:instrText>
      </w:r>
      <w:r>
        <w:fldChar w:fldCharType="separate"/>
      </w:r>
      <w:r>
        <w:t>11</w:t>
      </w:r>
      <w:r>
        <w:fldChar w:fldCharType="end"/>
      </w:r>
    </w:p>
    <w:p>
      <w:pPr>
        <w:pStyle w:val="TOC8"/>
        <w:rPr>
          <w:rFonts w:asciiTheme="minorHAnsi" w:eastAsiaTheme="minorEastAsia" w:hAnsiTheme="minorHAnsi" w:cstheme="minorBidi"/>
          <w:szCs w:val="22"/>
        </w:rPr>
      </w:pPr>
      <w:r>
        <w:t>23.</w:t>
      </w:r>
      <w:r>
        <w:tab/>
        <w:t>Authorised persons only to endorse and alter infringement notices</w:t>
      </w:r>
      <w:r>
        <w:tab/>
      </w:r>
      <w:r>
        <w:fldChar w:fldCharType="begin"/>
      </w:r>
      <w:r>
        <w:instrText xml:space="preserve"> PAGEREF _Toc416692975 \h </w:instrText>
      </w:r>
      <w:r>
        <w:fldChar w:fldCharType="separate"/>
      </w:r>
      <w:r>
        <w:t>12</w:t>
      </w:r>
      <w:r>
        <w:fldChar w:fldCharType="end"/>
      </w:r>
    </w:p>
    <w:p>
      <w:pPr>
        <w:pStyle w:val="TOC8"/>
        <w:rPr>
          <w:rFonts w:asciiTheme="minorHAnsi" w:eastAsiaTheme="minorEastAsia" w:hAnsiTheme="minorHAnsi" w:cstheme="minorBidi"/>
          <w:szCs w:val="22"/>
        </w:rPr>
      </w:pPr>
      <w:r>
        <w:t>24.</w:t>
      </w:r>
      <w:r>
        <w:tab/>
        <w:t>Restriction on removal of infringement notices</w:t>
      </w:r>
      <w:r>
        <w:tab/>
      </w:r>
      <w:r>
        <w:fldChar w:fldCharType="begin"/>
      </w:r>
      <w:r>
        <w:instrText xml:space="preserve"> PAGEREF _Toc416692976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25.</w:t>
      </w:r>
      <w:r>
        <w:tab/>
        <w:t>Removal of vehicles</w:t>
      </w:r>
      <w:r>
        <w:tab/>
      </w:r>
      <w:r>
        <w:fldChar w:fldCharType="begin"/>
      </w:r>
      <w:r>
        <w:instrText xml:space="preserve"> PAGEREF _Toc416692978 \h </w:instrText>
      </w:r>
      <w:r>
        <w:fldChar w:fldCharType="separate"/>
      </w:r>
      <w:r>
        <w:t>13</w:t>
      </w:r>
      <w:r>
        <w:fldChar w:fldCharType="end"/>
      </w:r>
    </w:p>
    <w:p>
      <w:pPr>
        <w:pStyle w:val="TOC8"/>
        <w:rPr>
          <w:rFonts w:asciiTheme="minorHAnsi" w:eastAsiaTheme="minorEastAsia" w:hAnsiTheme="minorHAnsi" w:cstheme="minorBidi"/>
          <w:szCs w:val="22"/>
        </w:rPr>
      </w:pPr>
      <w:r>
        <w:t>26.</w:t>
      </w:r>
      <w:r>
        <w:tab/>
        <w:t>Registered owner may be treated as being driver or person in charge of vehicle at time of offence</w:t>
      </w:r>
      <w:r>
        <w:tab/>
      </w:r>
      <w:r>
        <w:fldChar w:fldCharType="begin"/>
      </w:r>
      <w:r>
        <w:instrText xml:space="preserve"> PAGEREF _Toc416692979 \h </w:instrText>
      </w:r>
      <w:r>
        <w:fldChar w:fldCharType="separate"/>
      </w:r>
      <w:r>
        <w:t>14</w:t>
      </w:r>
      <w:r>
        <w:fldChar w:fldCharType="end"/>
      </w:r>
    </w:p>
    <w:p>
      <w:pPr>
        <w:pStyle w:val="TOC8"/>
        <w:rPr>
          <w:rFonts w:asciiTheme="minorHAnsi" w:eastAsiaTheme="minorEastAsia" w:hAnsiTheme="minorHAnsi" w:cstheme="minorBidi"/>
          <w:szCs w:val="22"/>
        </w:rPr>
      </w:pPr>
      <w:r>
        <w:t>27.</w:t>
      </w:r>
      <w:r>
        <w:tab/>
        <w:t>Other offences</w:t>
      </w:r>
      <w:r>
        <w:tab/>
      </w:r>
      <w:r>
        <w:fldChar w:fldCharType="begin"/>
      </w:r>
      <w:r>
        <w:instrText xml:space="preserve"> PAGEREF _Toc416692980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Hospital sites</w:t>
      </w:r>
    </w:p>
    <w:p>
      <w:pPr>
        <w:pStyle w:val="TOC2"/>
        <w:tabs>
          <w:tab w:val="right" w:leader="dot" w:pos="7077"/>
        </w:tabs>
        <w:rPr>
          <w:rFonts w:asciiTheme="minorHAnsi" w:eastAsiaTheme="minorEastAsia" w:hAnsiTheme="minorHAnsi" w:cstheme="minorBidi"/>
          <w:b w:val="0"/>
          <w:sz w:val="22"/>
          <w:szCs w:val="22"/>
        </w:rPr>
      </w:pPr>
      <w:r>
        <w:t>Schedule 2A — Fees</w:t>
      </w:r>
    </w:p>
    <w:p>
      <w:pPr>
        <w:pStyle w:val="TOC2"/>
        <w:tabs>
          <w:tab w:val="right" w:leader="dot" w:pos="7077"/>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_Toc416692986 \h </w:instrText>
      </w:r>
      <w:r>
        <w:fldChar w:fldCharType="separate"/>
      </w:r>
      <w:r>
        <w:t>24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_Toc416692987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 xml:space="preserve"> By-laws 2009</w:t>
      </w:r>
    </w:p>
    <w:p>
      <w:pPr>
        <w:pStyle w:val="Heading2"/>
        <w:pageBreakBefore w:val="0"/>
        <w:spacing w:before="240"/>
      </w:pPr>
      <w:bookmarkStart w:id="3" w:name="_Toc408568986"/>
      <w:bookmarkStart w:id="4" w:name="_Toc416692906"/>
      <w:bookmarkStart w:id="5" w:name="_Toc41669294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08568987"/>
      <w:bookmarkStart w:id="7" w:name="_Toc416692948"/>
      <w:r>
        <w:rPr>
          <w:rStyle w:val="CharSectno"/>
        </w:rPr>
        <w:t>1</w:t>
      </w:r>
      <w:r>
        <w:t>.</w:t>
      </w:r>
      <w:r>
        <w:tab/>
        <w:t>Citation</w:t>
      </w:r>
      <w:bookmarkEnd w:id="6"/>
      <w:bookmarkEnd w:id="7"/>
    </w:p>
    <w:p>
      <w:pPr>
        <w:pStyle w:val="Subsection"/>
      </w:pPr>
      <w:r>
        <w:tab/>
      </w:r>
      <w:r>
        <w:tab/>
      </w:r>
      <w:bookmarkStart w:id="8" w:name="Start_Cursor"/>
      <w:bookmarkEnd w:id="8"/>
      <w:r>
        <w:rPr>
          <w:spacing w:val="-2"/>
        </w:rPr>
        <w:t>These</w:t>
      </w:r>
      <w:r>
        <w:t xml:space="preserve"> </w:t>
      </w:r>
      <w:r>
        <w:rPr>
          <w:spacing w:val="-2"/>
        </w:rPr>
        <w:t>by-laws</w:t>
      </w:r>
      <w:r>
        <w:t xml:space="preserve"> are the </w:t>
      </w:r>
      <w:r>
        <w:rPr>
          <w:i/>
        </w:rPr>
        <w:t>Royal Perth Hospital By-laws 2009</w:t>
      </w:r>
      <w:r>
        <w:rPr>
          <w:iCs/>
        </w:rPr>
        <w:t> </w:t>
      </w:r>
      <w:r>
        <w:rPr>
          <w:iCs/>
          <w:vertAlign w:val="superscript"/>
        </w:rPr>
        <w:t>1</w:t>
      </w:r>
      <w:r>
        <w:t>.</w:t>
      </w:r>
    </w:p>
    <w:p>
      <w:pPr>
        <w:pStyle w:val="Heading5"/>
      </w:pPr>
      <w:bookmarkStart w:id="9" w:name="_Toc408568988"/>
      <w:bookmarkStart w:id="10" w:name="_Toc416692949"/>
      <w:r>
        <w:rPr>
          <w:rStyle w:val="CharSectno"/>
        </w:rPr>
        <w:t>2</w:t>
      </w:r>
      <w:r>
        <w:t>.</w:t>
      </w:r>
      <w:r>
        <w:tab/>
        <w:t>Commencement</w:t>
      </w:r>
      <w:bookmarkEnd w:id="9"/>
      <w:bookmarkEnd w:id="10"/>
    </w:p>
    <w:p>
      <w:pPr>
        <w:pStyle w:val="Subsection"/>
      </w:pPr>
      <w:r>
        <w:tab/>
      </w:r>
      <w:r>
        <w:tab/>
        <w:t>These by-laws come into operation as follows:</w:t>
      </w:r>
    </w:p>
    <w:p>
      <w:pPr>
        <w:pStyle w:val="Indenta"/>
      </w:pPr>
      <w:r>
        <w:tab/>
        <w:t>(a)</w:t>
      </w:r>
      <w:r>
        <w:tab/>
      </w:r>
      <w:r>
        <w:rPr>
          <w:spacing w:val="-2"/>
        </w:rPr>
        <w:t>by-laws 1 and 2</w:t>
      </w:r>
      <w:r>
        <w:t xml:space="preserve"> — on the day on which these </w:t>
      </w:r>
      <w:r>
        <w:rPr>
          <w:spacing w:val="-2"/>
        </w:rPr>
        <w:t xml:space="preserve">by-laws </w:t>
      </w:r>
      <w:r>
        <w:t xml:space="preserve">are published in the </w:t>
      </w:r>
      <w:r>
        <w:rPr>
          <w:i/>
          <w:iCs/>
        </w:rPr>
        <w:t>Gazette</w:t>
      </w:r>
      <w:r>
        <w:t>;</w:t>
      </w:r>
    </w:p>
    <w:p>
      <w:pPr>
        <w:pStyle w:val="Indenta"/>
      </w:pPr>
      <w:r>
        <w:tab/>
        <w:t>(b)</w:t>
      </w:r>
      <w:r>
        <w:tab/>
        <w:t xml:space="preserve">the rest of the </w:t>
      </w:r>
      <w:r>
        <w:rPr>
          <w:spacing w:val="-2"/>
        </w:rPr>
        <w:t xml:space="preserve">by-laws </w:t>
      </w:r>
      <w:r>
        <w:t>— on the day after that day</w:t>
      </w:r>
      <w:r>
        <w:rPr>
          <w:iCs/>
        </w:rPr>
        <w:t> </w:t>
      </w:r>
      <w:r>
        <w:rPr>
          <w:iCs/>
          <w:vertAlign w:val="superscript"/>
        </w:rPr>
        <w:t>1</w:t>
      </w:r>
      <w:r>
        <w:t>.</w:t>
      </w:r>
    </w:p>
    <w:p>
      <w:pPr>
        <w:pStyle w:val="Heading5"/>
      </w:pPr>
      <w:bookmarkStart w:id="11" w:name="_Toc408568989"/>
      <w:bookmarkStart w:id="12" w:name="_Toc416692950"/>
      <w:r>
        <w:rPr>
          <w:rStyle w:val="CharSectno"/>
        </w:rPr>
        <w:t>3</w:t>
      </w:r>
      <w:r>
        <w:t>.</w:t>
      </w:r>
      <w:r>
        <w:tab/>
        <w:t>Terms used</w:t>
      </w:r>
      <w:bookmarkEnd w:id="11"/>
      <w:bookmarkEnd w:id="12"/>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day-to-day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rPr>
          <w:i/>
        </w:rPr>
      </w:pPr>
      <w:r>
        <w:rPr>
          <w:b/>
        </w:rPr>
        <w:tab/>
      </w:r>
      <w:r>
        <w:rPr>
          <w:rStyle w:val="CharDefText"/>
        </w:rPr>
        <w:t>vehicle</w:t>
      </w:r>
      <w:r>
        <w:t xml:space="preserve"> has the same definition as in the </w:t>
      </w:r>
      <w:r>
        <w:rPr>
          <w:i/>
        </w:rPr>
        <w:t>Road Traffic Act 1974</w:t>
      </w:r>
      <w:r>
        <w:rPr>
          <w:iCs/>
        </w:rPr>
        <w:t>;</w:t>
      </w:r>
    </w:p>
    <w:p>
      <w:pPr>
        <w:pStyle w:val="Defstart"/>
      </w:pPr>
      <w:r>
        <w:rPr>
          <w:b/>
        </w:rPr>
        <w:tab/>
      </w:r>
      <w:r>
        <w:rPr>
          <w:rStyle w:val="CharDefText"/>
        </w:rPr>
        <w:t>Wellington Street Campus</w:t>
      </w:r>
      <w:r>
        <w:t xml:space="preserve"> means the land described in Schedule 1 Division 1.</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Heading2"/>
      </w:pPr>
      <w:bookmarkStart w:id="13" w:name="_Toc408568990"/>
      <w:bookmarkStart w:id="14" w:name="_Toc416692910"/>
      <w:bookmarkStart w:id="15" w:name="_Toc416692951"/>
      <w:r>
        <w:rPr>
          <w:rStyle w:val="CharPartNo"/>
        </w:rPr>
        <w:t>Part 2</w:t>
      </w:r>
      <w:r>
        <w:rPr>
          <w:rStyle w:val="CharDivNo"/>
        </w:rPr>
        <w:t> </w:t>
      </w:r>
      <w:r>
        <w:t>—</w:t>
      </w:r>
      <w:r>
        <w:rPr>
          <w:rStyle w:val="CharDivText"/>
        </w:rPr>
        <w:t> </w:t>
      </w:r>
      <w:r>
        <w:rPr>
          <w:rStyle w:val="CharPartText"/>
        </w:rPr>
        <w:t>Trespass and order</w:t>
      </w:r>
      <w:bookmarkEnd w:id="13"/>
      <w:bookmarkEnd w:id="14"/>
      <w:bookmarkEnd w:id="15"/>
    </w:p>
    <w:p>
      <w:pPr>
        <w:pStyle w:val="Heading5"/>
        <w:rPr>
          <w:snapToGrid w:val="0"/>
        </w:rPr>
      </w:pPr>
      <w:bookmarkStart w:id="16" w:name="_Toc408568991"/>
      <w:bookmarkStart w:id="17" w:name="_Toc416692952"/>
      <w:r>
        <w:rPr>
          <w:rStyle w:val="CharSectno"/>
        </w:rPr>
        <w:t>4</w:t>
      </w:r>
      <w:r>
        <w:t>.</w:t>
      </w:r>
      <w:r>
        <w:tab/>
        <w:t>No entry without cause</w:t>
      </w:r>
      <w:bookmarkEnd w:id="16"/>
      <w:bookmarkEnd w:id="17"/>
    </w:p>
    <w:p>
      <w:pPr>
        <w:pStyle w:val="Subsection"/>
        <w:rPr>
          <w:snapToGrid w:val="0"/>
        </w:rPr>
      </w:pPr>
      <w:r>
        <w:rPr>
          <w:snapToGrid w:val="0"/>
        </w:rPr>
        <w:tab/>
      </w:r>
      <w:r>
        <w:rPr>
          <w:snapToGrid w:val="0"/>
        </w:rPr>
        <w:tab/>
        <w:t>A person must not enter or remain on the site without a reasonable excuse.</w:t>
      </w:r>
    </w:p>
    <w:p>
      <w:pPr>
        <w:pStyle w:val="Penstart"/>
      </w:pPr>
      <w:r>
        <w:tab/>
        <w:t xml:space="preserve">Penalty: </w:t>
      </w:r>
      <w:r>
        <w:rPr>
          <w:snapToGrid w:val="0"/>
        </w:rPr>
        <w:t>a fine of $50.</w:t>
      </w:r>
    </w:p>
    <w:p>
      <w:pPr>
        <w:pStyle w:val="Heading5"/>
      </w:pPr>
      <w:bookmarkStart w:id="18" w:name="_Toc408568992"/>
      <w:bookmarkStart w:id="19" w:name="_Toc416692953"/>
      <w:r>
        <w:rPr>
          <w:rStyle w:val="CharSectno"/>
        </w:rPr>
        <w:t>5</w:t>
      </w:r>
      <w:r>
        <w:t>.</w:t>
      </w:r>
      <w:r>
        <w:tab/>
      </w:r>
      <w:r>
        <w:rPr>
          <w:snapToGrid w:val="0"/>
        </w:rPr>
        <w:t>Directions as to use of certain areas</w:t>
      </w:r>
      <w:bookmarkEnd w:id="18"/>
      <w:bookmarkEnd w:id="19"/>
    </w:p>
    <w:p>
      <w:pPr>
        <w:pStyle w:val="Subsection"/>
      </w:pPr>
      <w:r>
        <w:tab/>
        <w:t>(1)</w:t>
      </w:r>
      <w:r>
        <w:tab/>
        <w:t>In this by</w:t>
      </w:r>
      <w:r>
        <w:noBreakHyphen/>
        <w:t xml:space="preserve">law —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20" w:name="_Toc408568993"/>
      <w:bookmarkStart w:id="21" w:name="_Toc416692954"/>
      <w:r>
        <w:rPr>
          <w:rStyle w:val="CharSectno"/>
        </w:rPr>
        <w:t>6</w:t>
      </w:r>
      <w:r>
        <w:t>.</w:t>
      </w:r>
      <w:r>
        <w:tab/>
        <w:t>Liquor</w:t>
      </w:r>
      <w:bookmarkEnd w:id="20"/>
      <w:bookmarkEnd w:id="21"/>
      <w: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pPr>
      <w:bookmarkStart w:id="22" w:name="_Toc408568994"/>
      <w:bookmarkStart w:id="23" w:name="_Toc416692955"/>
      <w:r>
        <w:rPr>
          <w:rStyle w:val="CharSectno"/>
        </w:rPr>
        <w:t>7</w:t>
      </w:r>
      <w:r>
        <w:t>.</w:t>
      </w:r>
      <w:r>
        <w:tab/>
        <w:t>Smoking</w:t>
      </w:r>
      <w:bookmarkEnd w:id="22"/>
      <w:bookmarkEnd w:id="23"/>
      <w:r>
        <w:t xml:space="preserve"> </w:t>
      </w:r>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24" w:name="_Toc408568995"/>
      <w:bookmarkStart w:id="25" w:name="_Toc416692956"/>
      <w:r>
        <w:rPr>
          <w:rStyle w:val="CharSectno"/>
        </w:rPr>
        <w:t>8</w:t>
      </w:r>
      <w:r>
        <w:t>.</w:t>
      </w:r>
      <w:r>
        <w:tab/>
        <w:t>Disorderly persons may be removed from site</w:t>
      </w:r>
      <w:bookmarkEnd w:id="24"/>
      <w:bookmarkEnd w:id="25"/>
      <w:r>
        <w:t xml:space="preserve"> </w:t>
      </w:r>
    </w:p>
    <w:p>
      <w:pPr>
        <w:pStyle w:val="Subsection"/>
        <w:keepNext/>
        <w:keepLines/>
        <w:rPr>
          <w:snapToGrid w:val="0"/>
        </w:rPr>
      </w:pPr>
      <w:r>
        <w:rPr>
          <w:snapToGrid w:val="0"/>
        </w:rPr>
        <w:tab/>
      </w:r>
      <w:r>
        <w:rPr>
          <w:snapToGrid w:val="0"/>
        </w:rPr>
        <w:tab/>
        <w:t>A person who — </w:t>
      </w:r>
    </w:p>
    <w:p>
      <w:pPr>
        <w:pStyle w:val="Indenta"/>
        <w:keepNext/>
        <w:keepLines/>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26" w:name="_Toc408568996"/>
      <w:bookmarkStart w:id="27" w:name="_Toc416692916"/>
      <w:bookmarkStart w:id="28" w:name="_Toc416692957"/>
      <w:r>
        <w:rPr>
          <w:rStyle w:val="CharPartNo"/>
        </w:rPr>
        <w:t>Part 3</w:t>
      </w:r>
      <w:r>
        <w:t> — </w:t>
      </w:r>
      <w:r>
        <w:rPr>
          <w:rStyle w:val="CharPartText"/>
        </w:rPr>
        <w:t>Traffic control</w:t>
      </w:r>
      <w:bookmarkEnd w:id="26"/>
      <w:bookmarkEnd w:id="27"/>
      <w:bookmarkEnd w:id="28"/>
    </w:p>
    <w:p>
      <w:pPr>
        <w:pStyle w:val="Heading3"/>
      </w:pPr>
      <w:bookmarkStart w:id="29" w:name="_Toc408568997"/>
      <w:bookmarkStart w:id="30" w:name="_Toc416692917"/>
      <w:bookmarkStart w:id="31" w:name="_Toc416692958"/>
      <w:r>
        <w:rPr>
          <w:rStyle w:val="CharDivNo"/>
        </w:rPr>
        <w:t>Division 1</w:t>
      </w:r>
      <w:r>
        <w:t> — </w:t>
      </w:r>
      <w:r>
        <w:rPr>
          <w:rStyle w:val="CharDivText"/>
        </w:rPr>
        <w:t>Driving and use of vehicles</w:t>
      </w:r>
      <w:bookmarkEnd w:id="29"/>
      <w:bookmarkEnd w:id="30"/>
      <w:bookmarkEnd w:id="31"/>
    </w:p>
    <w:p>
      <w:pPr>
        <w:pStyle w:val="Heading5"/>
      </w:pPr>
      <w:bookmarkStart w:id="32" w:name="_Toc408568998"/>
      <w:bookmarkStart w:id="33" w:name="_Toc416692959"/>
      <w:r>
        <w:rPr>
          <w:rStyle w:val="CharSectno"/>
        </w:rPr>
        <w:t>9</w:t>
      </w:r>
      <w:r>
        <w:t>.</w:t>
      </w:r>
      <w:r>
        <w:tab/>
        <w:t>Driving of vehicles</w:t>
      </w:r>
      <w:bookmarkEnd w:id="32"/>
      <w:bookmarkEnd w:id="33"/>
    </w:p>
    <w:p>
      <w:pPr>
        <w:pStyle w:val="Subsection"/>
        <w:rPr>
          <w:snapToGrid w:val="0"/>
        </w:rPr>
      </w:pPr>
      <w:r>
        <w:tab/>
        <w:t>(1)</w:t>
      </w:r>
      <w:r>
        <w:rPr>
          <w:snapToGrid w:val="0"/>
        </w:rPr>
        <w:tab/>
        <w:t xml:space="preserve">A person must not drive or bring a vehicle onto a part of the site that is not a roadway or a parking facility, unless the person has permission to do so. </w:t>
      </w:r>
    </w:p>
    <w:p>
      <w:pPr>
        <w:pStyle w:val="Penstart"/>
      </w:pPr>
      <w:r>
        <w:tab/>
        <w:t>Penalty: a fine of $50.</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rPr>
          <w:snapToGrid w:val="0"/>
        </w:rPr>
        <w:tab/>
        <w:t>This by</w:t>
      </w:r>
      <w:r>
        <w:rPr>
          <w:snapToGrid w:val="0"/>
        </w:rPr>
        <w:noBreakHyphen/>
      </w:r>
      <w:r>
        <w:t>law does not apply to a vehicle that is an emergency vehicle.</w:t>
      </w:r>
    </w:p>
    <w:p>
      <w:pPr>
        <w:pStyle w:val="Heading5"/>
      </w:pPr>
      <w:bookmarkStart w:id="34" w:name="_Toc408568999"/>
      <w:bookmarkStart w:id="35" w:name="_Toc416692960"/>
      <w:r>
        <w:rPr>
          <w:rStyle w:val="CharSectno"/>
        </w:rPr>
        <w:t>10</w:t>
      </w:r>
      <w:r>
        <w:t>.</w:t>
      </w:r>
      <w:r>
        <w:tab/>
        <w:t>Driver to obey reasonable direction</w:t>
      </w:r>
      <w:bookmarkEnd w:id="34"/>
      <w:bookmarkEnd w:id="35"/>
      <w: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36" w:name="_Toc408569000"/>
      <w:bookmarkStart w:id="37" w:name="_Toc416692961"/>
      <w:r>
        <w:rPr>
          <w:rStyle w:val="CharSectno"/>
        </w:rPr>
        <w:t>11</w:t>
      </w:r>
      <w:r>
        <w:t>.</w:t>
      </w:r>
      <w:r>
        <w:tab/>
        <w:t>Speed limits</w:t>
      </w:r>
      <w:bookmarkEnd w:id="36"/>
      <w:bookmarkEnd w:id="37"/>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pPr>
      <w:bookmarkStart w:id="38" w:name="_Toc408569001"/>
      <w:bookmarkStart w:id="39" w:name="_Toc416692962"/>
      <w:r>
        <w:rPr>
          <w:rStyle w:val="CharSectno"/>
        </w:rPr>
        <w:t>12</w:t>
      </w:r>
      <w:r>
        <w:t>.</w:t>
      </w:r>
      <w:r>
        <w:tab/>
        <w:t>Giving way</w:t>
      </w:r>
      <w:bookmarkEnd w:id="38"/>
      <w:bookmarkEnd w:id="39"/>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pPr>
      <w:bookmarkStart w:id="40" w:name="_Toc408569002"/>
      <w:bookmarkStart w:id="41" w:name="_Toc416692963"/>
      <w:r>
        <w:rPr>
          <w:rStyle w:val="CharSectno"/>
        </w:rPr>
        <w:t>13</w:t>
      </w:r>
      <w:r>
        <w:t>.</w:t>
      </w:r>
      <w:r>
        <w:tab/>
      </w:r>
      <w:r>
        <w:rPr>
          <w:snapToGrid w:val="0"/>
        </w:rPr>
        <w:t>No instruction or repairs on site</w:t>
      </w:r>
      <w:bookmarkEnd w:id="40"/>
      <w:bookmarkEnd w:id="41"/>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42" w:name="_Toc408569003"/>
      <w:bookmarkStart w:id="43" w:name="_Toc416692923"/>
      <w:bookmarkStart w:id="44" w:name="_Toc416692964"/>
      <w:r>
        <w:rPr>
          <w:rStyle w:val="CharDivNo"/>
        </w:rPr>
        <w:t>Division 2</w:t>
      </w:r>
      <w:r>
        <w:t> — </w:t>
      </w:r>
      <w:r>
        <w:rPr>
          <w:rStyle w:val="CharDivText"/>
        </w:rPr>
        <w:t>Parking</w:t>
      </w:r>
      <w:bookmarkEnd w:id="42"/>
      <w:bookmarkEnd w:id="43"/>
      <w:bookmarkEnd w:id="44"/>
    </w:p>
    <w:p>
      <w:pPr>
        <w:pStyle w:val="Heading5"/>
      </w:pPr>
      <w:bookmarkStart w:id="45" w:name="_Toc408569004"/>
      <w:bookmarkStart w:id="46" w:name="_Toc416692965"/>
      <w:r>
        <w:rPr>
          <w:rStyle w:val="CharSectno"/>
        </w:rPr>
        <w:t>14</w:t>
      </w:r>
      <w:r>
        <w:t>.</w:t>
      </w:r>
      <w:r>
        <w:tab/>
        <w:t>Parking to be in parking spaces only</w:t>
      </w:r>
      <w:bookmarkEnd w:id="45"/>
      <w:bookmarkEnd w:id="46"/>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47" w:name="_Toc408569005"/>
      <w:bookmarkStart w:id="48" w:name="_Toc416692966"/>
      <w:r>
        <w:rPr>
          <w:rStyle w:val="CharSectno"/>
        </w:rPr>
        <w:t>15</w:t>
      </w:r>
      <w:r>
        <w:t>.</w:t>
      </w:r>
      <w:r>
        <w:tab/>
        <w:t>Signs to be obeyed</w:t>
      </w:r>
      <w:bookmarkEnd w:id="47"/>
      <w:bookmarkEnd w:id="48"/>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49" w:name="_Toc408569006"/>
      <w:bookmarkStart w:id="50" w:name="_Toc416692967"/>
      <w:r>
        <w:rPr>
          <w:rStyle w:val="CharSectno"/>
        </w:rPr>
        <w:t>16</w:t>
      </w:r>
      <w:r>
        <w:t>.</w:t>
      </w:r>
      <w:r>
        <w:tab/>
        <w:t>Parking in parking spaces</w:t>
      </w:r>
      <w:bookmarkEnd w:id="49"/>
      <w:bookmarkEnd w:id="50"/>
      <w:r>
        <w:t xml:space="preserve"> </w:t>
      </w:r>
    </w:p>
    <w:p>
      <w:pPr>
        <w:pStyle w:val="Subsection"/>
        <w:spacing w:before="120"/>
      </w:pPr>
      <w:r>
        <w:tab/>
        <w:t>(1)</w:t>
      </w:r>
      <w:r>
        <w:tab/>
        <w:t>In this by</w:t>
      </w:r>
      <w:r>
        <w:noBreakHyphen/>
        <w:t xml:space="preserve">law — </w:t>
      </w:r>
    </w:p>
    <w:p>
      <w:pPr>
        <w:pStyle w:val="Defstart"/>
      </w:pPr>
      <w:r>
        <w:rPr>
          <w:b/>
        </w:rPr>
        <w:tab/>
      </w:r>
      <w:r>
        <w:rPr>
          <w:rStyle w:val="CharDefText"/>
        </w:rPr>
        <w:t>specified</w:t>
      </w:r>
      <w:r>
        <w:t xml:space="preserve"> means specified in a sign.</w:t>
      </w:r>
    </w:p>
    <w:p>
      <w:pPr>
        <w:pStyle w:val="Subsection"/>
        <w:spacing w:before="120"/>
      </w:pPr>
      <w:r>
        <w:tab/>
        <w:t>(2)</w:t>
      </w:r>
      <w: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51" w:name="_Toc408569007"/>
      <w:bookmarkStart w:id="52" w:name="_Toc416692968"/>
      <w:r>
        <w:rPr>
          <w:rStyle w:val="CharSectno"/>
        </w:rPr>
        <w:t>17</w:t>
      </w:r>
      <w:r>
        <w:t>.</w:t>
      </w:r>
      <w:r>
        <w:tab/>
        <w:t>Permit</w:t>
      </w:r>
      <w:bookmarkEnd w:id="51"/>
      <w:bookmarkEnd w:id="52"/>
      <w:r>
        <w:t xml:space="preserve"> </w:t>
      </w:r>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rPr>
          <w:snapToGrid w:val="0"/>
        </w:rPr>
        <w:tab/>
        <w:t>(2)</w:t>
      </w:r>
      <w:r>
        <w:rPr>
          <w:snapToGrid w:val="0"/>
        </w:rPr>
        <w:tab/>
        <w:t>A person who wishes to obtain a permit to park a vehicle on the site is to apply to the chief executive officer or an authorised person.</w:t>
      </w:r>
    </w:p>
    <w:p>
      <w:pPr>
        <w:pStyle w:val="Subsection"/>
      </w:pPr>
      <w:r>
        <w:tab/>
        <w:t>(3)</w:t>
      </w:r>
      <w:r>
        <w:tab/>
        <w:t>An application under sub</w:t>
      </w:r>
      <w:r>
        <w:noBreakHyphen/>
        <w:t>bylaw (2) must be in a form approved by the chief executive officer.</w:t>
      </w:r>
    </w:p>
    <w:p>
      <w:pPr>
        <w:pStyle w:val="Subsection"/>
      </w:pPr>
      <w:r>
        <w:tab/>
        <w:t>(4A)</w:t>
      </w:r>
      <w:r>
        <w:tab/>
        <w:t>The fee (if any) payable for a parking permit is set out in Schedule 2A.</w:t>
      </w:r>
    </w:p>
    <w:p>
      <w:pPr>
        <w:pStyle w:val="Subsection"/>
      </w:pPr>
      <w:r>
        <w:tab/>
        <w:t>(4B)</w:t>
      </w:r>
      <w:r>
        <w:tab/>
        <w:t>The chief executive officer or authorised person may issue a parking permit even though the fee for the permit is not paid in full if satisfied that arrangements are in place for the fee for the permit to be paid in instalments.</w:t>
      </w:r>
    </w:p>
    <w:p>
      <w:pPr>
        <w:pStyle w:val="Subsection"/>
        <w:rPr>
          <w:snapToGrid w:val="0"/>
        </w:rPr>
      </w:pPr>
      <w:r>
        <w:rPr>
          <w:snapToGrid w:val="0"/>
        </w:rPr>
        <w:tab/>
        <w:t>(4)</w:t>
      </w:r>
      <w:r>
        <w:rPr>
          <w:snapToGrid w:val="0"/>
        </w:rPr>
        <w:tab/>
        <w:t xml:space="preserve">The chief executive officer may waive the fee </w:t>
      </w:r>
      <w:r>
        <w:t>for a parking permit</w:t>
      </w:r>
      <w:r>
        <w:rPr>
          <w:snapToGrid w:val="0"/>
        </w:rPr>
        <w:t xml:space="preserve"> in a case where the chief executive officer or an authorised person believes that there are proper grounds for doing so.</w:t>
      </w:r>
    </w:p>
    <w:p>
      <w:pPr>
        <w:pStyle w:val="Subsection"/>
        <w:rPr>
          <w:snapToGrid w:val="0"/>
        </w:rPr>
      </w:pPr>
      <w:r>
        <w:rPr>
          <w:snapToGrid w:val="0"/>
        </w:rPr>
        <w:tab/>
        <w:t>(5)</w:t>
      </w:r>
      <w:r>
        <w:rPr>
          <w:snapToGrid w:val="0"/>
        </w:rPr>
        <w:tab/>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(6)</w:t>
      </w:r>
      <w:r>
        <w:tab/>
      </w:r>
      <w:r>
        <w:rPr>
          <w:snapToGrid w:val="0"/>
        </w:rPr>
        <w:t>A permit may be of general application or be issued — </w:t>
      </w:r>
    </w:p>
    <w:p>
      <w:pPr>
        <w:pStyle w:val="Indenta"/>
        <w:rPr>
          <w:snapToGrid w:val="0"/>
        </w:rPr>
      </w:pPr>
      <w:r>
        <w:tab/>
        <w:t>(a)</w:t>
      </w:r>
      <w:r>
        <w:rPr>
          <w:snapToGrid w:val="0"/>
        </w:rPr>
        <w:tab/>
        <w:t>to allow a specified vehicle only to be parked; or</w:t>
      </w:r>
    </w:p>
    <w:p>
      <w:pPr>
        <w:pStyle w:val="Indenta"/>
        <w:rPr>
          <w:snapToGrid w:val="0"/>
        </w:rPr>
      </w:pPr>
      <w:r>
        <w:tab/>
        <w:t>(b)</w:t>
      </w:r>
      <w:r>
        <w:rPr>
          <w:snapToGrid w:val="0"/>
        </w:rPr>
        <w:tab/>
        <w:t>to allow a vehicle of a specified person or class of persons only to be parked; or</w:t>
      </w:r>
    </w:p>
    <w:p>
      <w:pPr>
        <w:pStyle w:val="Indenta"/>
        <w:rPr>
          <w:snapToGrid w:val="0"/>
        </w:rPr>
      </w:pPr>
      <w:r>
        <w:tab/>
        <w:t>(c)</w:t>
      </w:r>
      <w:r>
        <w:rPr>
          <w:snapToGrid w:val="0"/>
        </w:rPr>
        <w:tab/>
        <w:t>to allow a vehicle of a specified class only to be parked; or</w:t>
      </w:r>
    </w:p>
    <w:p>
      <w:pPr>
        <w:pStyle w:val="Indenta"/>
        <w:rPr>
          <w:snapToGrid w:val="0"/>
        </w:rPr>
      </w:pPr>
      <w:r>
        <w:tab/>
        <w:t>(d)</w:t>
      </w:r>
      <w:r>
        <w:rPr>
          <w:snapToGrid w:val="0"/>
        </w:rPr>
        <w:tab/>
        <w:t>to allow a vehicle to be parked only in a specified part of the site; or</w:t>
      </w:r>
    </w:p>
    <w:p>
      <w:pPr>
        <w:pStyle w:val="Indenta"/>
        <w:rPr>
          <w:snapToGrid w:val="0"/>
        </w:rPr>
      </w:pPr>
      <w:r>
        <w:tab/>
        <w:t>(e)</w:t>
      </w:r>
      <w:r>
        <w:rPr>
          <w:snapToGrid w:val="0"/>
        </w:rPr>
        <w:tab/>
        <w:t>to allow a vehicle to be parked for a specified period of time only.</w:t>
      </w:r>
    </w:p>
    <w:p>
      <w:pPr>
        <w:pStyle w:val="Subsection"/>
        <w:rPr>
          <w:snapToGrid w:val="0"/>
        </w:rPr>
      </w:pPr>
      <w:r>
        <w:rPr>
          <w:snapToGrid w:val="0"/>
        </w:rPr>
        <w:tab/>
        <w:t>(7)</w:t>
      </w:r>
      <w:r>
        <w:rPr>
          <w:snapToGrid w:val="0"/>
        </w:rPr>
        <w:tab/>
        <w:t>A permit expires on the day specified in the permit.</w:t>
      </w:r>
    </w:p>
    <w:p>
      <w:pPr>
        <w:pStyle w:val="Subsection"/>
        <w:rPr>
          <w:snapToGrid w:val="0"/>
        </w:rPr>
      </w:pPr>
      <w:r>
        <w:rPr>
          <w:snapToGrid w:val="0"/>
        </w:rPr>
        <w:tab/>
        <w:t>(8)</w:t>
      </w:r>
      <w:r>
        <w:rPr>
          <w:snapToGrid w:val="0"/>
        </w:rPr>
        <w:tab/>
        <w:t>The chief executive officer or an authorised person may cancel a permit if — </w:t>
      </w:r>
    </w:p>
    <w:p>
      <w:pPr>
        <w:pStyle w:val="Indenta"/>
        <w:rPr>
          <w:snapToGrid w:val="0"/>
        </w:rPr>
      </w:pPr>
      <w:r>
        <w:tab/>
        <w:t>(a)</w:t>
      </w:r>
      <w:r>
        <w:rPr>
          <w:snapToGrid w:val="0"/>
        </w:rPr>
        <w:tab/>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rPr>
          <w:snapToGrid w:val="0"/>
        </w:rPr>
        <w:tab/>
      </w:r>
      <w:r>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tab/>
        <w:t>(b)</w:t>
      </w:r>
      <w:r>
        <w:rPr>
          <w:snapToGrid w:val="0"/>
        </w:rPr>
        <w:tab/>
        <w:t>a person to whom the permit is issued — </w:t>
      </w:r>
    </w:p>
    <w:p>
      <w:pPr>
        <w:pStyle w:val="Indenti"/>
        <w:rPr>
          <w:snapToGrid w:val="0"/>
        </w:rPr>
      </w:pPr>
      <w:r>
        <w:rPr>
          <w:snapToGrid w:val="0"/>
        </w:rPr>
        <w:tab/>
      </w:r>
      <w:r>
        <w:t>(i)</w:t>
      </w:r>
      <w:r>
        <w:rPr>
          <w:snapToGrid w:val="0"/>
        </w:rPr>
        <w:tab/>
        <w:t>contravenes these by</w:t>
      </w:r>
      <w:r>
        <w:rPr>
          <w:snapToGrid w:val="0"/>
        </w:rPr>
        <w:noBreakHyphen/>
        <w:t>laws; or</w:t>
      </w:r>
    </w:p>
    <w:p>
      <w:pPr>
        <w:pStyle w:val="Indenti"/>
        <w:rPr>
          <w:snapToGrid w:val="0"/>
        </w:rPr>
      </w:pPr>
      <w:r>
        <w:rPr>
          <w:snapToGrid w:val="0"/>
        </w:rPr>
        <w:tab/>
      </w:r>
      <w:r>
        <w:t>(ii)</w:t>
      </w:r>
      <w:r>
        <w:rPr>
          <w:snapToGrid w:val="0"/>
        </w:rPr>
        <w:tab/>
        <w:t>ceases to be in the category of persons to whom a permit may be issued.</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pPr>
      <w:r>
        <w:tab/>
        <w:t>[By-law 17 amended in Gazette 26 Nov 2010 p. 5948; 23 Dec 2011 p. 5434; 23 Oct 2012 p. 5056.]</w:t>
      </w:r>
    </w:p>
    <w:p>
      <w:pPr>
        <w:pStyle w:val="Heading5"/>
      </w:pPr>
      <w:bookmarkStart w:id="53" w:name="_Toc408569008"/>
      <w:bookmarkStart w:id="54" w:name="_Toc416692969"/>
      <w:r>
        <w:rPr>
          <w:rStyle w:val="CharSectno"/>
        </w:rPr>
        <w:t>18</w:t>
      </w:r>
      <w:r>
        <w:t>.</w:t>
      </w:r>
      <w:r>
        <w:tab/>
        <w:t>Refund of permit fees</w:t>
      </w:r>
      <w:bookmarkEnd w:id="53"/>
      <w:bookmarkEnd w:id="54"/>
    </w:p>
    <w:p>
      <w:pPr>
        <w:pStyle w:val="Subsection"/>
      </w:pPr>
      <w:r>
        <w:tab/>
        <w:t>(1)</w:t>
      </w:r>
      <w:r>
        <w:tab/>
        <w:t>A fee paid in advance for a permit may be refunded in accordance with sub</w:t>
      </w:r>
      <w:r>
        <w:noBreakHyphen/>
        <w:t xml:space="preserve">bylaw (2) to a person — </w:t>
      </w:r>
    </w:p>
    <w:p>
      <w:pPr>
        <w:pStyle w:val="Indenta"/>
      </w:pPr>
      <w:r>
        <w:tab/>
        <w:t>(a)</w:t>
      </w:r>
      <w:r>
        <w:tab/>
        <w:t>who no longer wishes to use the permit; or</w:t>
      </w:r>
    </w:p>
    <w:p>
      <w:pPr>
        <w:pStyle w:val="Indenta"/>
      </w:pPr>
      <w:r>
        <w:tab/>
        <w:t>(b)</w:t>
      </w:r>
      <w:r>
        <w:tab/>
        <w:t>whose employment at the Hospital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the Hospital,</w:t>
      </w:r>
    </w:p>
    <w:p>
      <w:pPr>
        <w:pStyle w:val="Indenta"/>
      </w:pPr>
      <w:r>
        <w:tab/>
      </w:r>
      <w:r>
        <w:tab/>
        <w:t>for a period of at least 4 consecutive weeks.</w:t>
      </w:r>
    </w:p>
    <w:p>
      <w:pPr>
        <w:pStyle w:val="Subsection"/>
      </w:pPr>
      <w:r>
        <w:tab/>
        <w:t>(2)</w:t>
      </w:r>
      <w:r>
        <w:tab/>
        <w:t xml:space="preserve">The refund is the amount of the fee paid for a period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5435.]</w:t>
      </w:r>
    </w:p>
    <w:p>
      <w:pPr>
        <w:pStyle w:val="Heading2"/>
      </w:pPr>
      <w:bookmarkStart w:id="55" w:name="_Toc408569009"/>
      <w:bookmarkStart w:id="56" w:name="_Toc416692929"/>
      <w:bookmarkStart w:id="57" w:name="_Toc416692970"/>
      <w:r>
        <w:rPr>
          <w:rStyle w:val="CharPartNo"/>
        </w:rPr>
        <w:t>Part 4</w:t>
      </w:r>
      <w:r>
        <w:rPr>
          <w:rStyle w:val="CharDivNo"/>
        </w:rPr>
        <w:t> </w:t>
      </w:r>
      <w:r>
        <w:t>—</w:t>
      </w:r>
      <w:r>
        <w:rPr>
          <w:rStyle w:val="CharDivText"/>
        </w:rPr>
        <w:t> </w:t>
      </w:r>
      <w:r>
        <w:rPr>
          <w:rStyle w:val="CharPartText"/>
        </w:rPr>
        <w:t>Infringement notices</w:t>
      </w:r>
      <w:bookmarkEnd w:id="55"/>
      <w:bookmarkEnd w:id="56"/>
      <w:bookmarkEnd w:id="57"/>
    </w:p>
    <w:p>
      <w:pPr>
        <w:pStyle w:val="Heading5"/>
        <w:rPr>
          <w:snapToGrid w:val="0"/>
        </w:rPr>
      </w:pPr>
      <w:bookmarkStart w:id="58" w:name="_Toc408569010"/>
      <w:bookmarkStart w:id="59" w:name="_Toc416692971"/>
      <w:r>
        <w:rPr>
          <w:rStyle w:val="CharSectno"/>
        </w:rPr>
        <w:t>19</w:t>
      </w:r>
      <w:r>
        <w:t>.</w:t>
      </w:r>
      <w:r>
        <w:tab/>
        <w:t>Terms used</w:t>
      </w:r>
      <w:bookmarkEnd w:id="58"/>
      <w:bookmarkEnd w:id="59"/>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Heading5"/>
      </w:pPr>
      <w:bookmarkStart w:id="60" w:name="_Toc408569011"/>
      <w:bookmarkStart w:id="61" w:name="_Toc416692972"/>
      <w:r>
        <w:rPr>
          <w:rStyle w:val="CharSectno"/>
        </w:rPr>
        <w:t>20</w:t>
      </w:r>
      <w:r>
        <w:t>.</w:t>
      </w:r>
      <w:r>
        <w:tab/>
        <w:t>Infringement notices</w:t>
      </w:r>
      <w:bookmarkEnd w:id="60"/>
      <w:bookmarkEnd w:id="61"/>
    </w:p>
    <w:p>
      <w:pPr>
        <w:pStyle w:val="Subsection"/>
        <w:rPr>
          <w:snapToGrid w:val="0"/>
        </w:rPr>
      </w:pPr>
      <w:r>
        <w:tab/>
        <w:t>(1)</w:t>
      </w:r>
      <w:r>
        <w:rPr>
          <w:snapToGrid w:val="0"/>
        </w:rPr>
        <w:tab/>
        <w:t xml:space="preserve">An authorised person who has reason to believe that a person has committed an offence under </w:t>
      </w:r>
      <w:r>
        <w:t xml:space="preserve">Part 3 </w:t>
      </w:r>
      <w:r>
        <w:rPr>
          <w:snapToGrid w:val="0"/>
        </w:rPr>
        <w:t xml:space="preserve">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 xml:space="preserve">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w:t>
      </w:r>
      <w:r>
        <w:t xml:space="preserve">punished for, </w:t>
      </w:r>
      <w:r>
        <w:rPr>
          <w:snapToGrid w:val="0"/>
        </w:rPr>
        <w:t>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5949; 23 Dec 2011 p. 5435; 13 Jun 2014 p. 1871.]</w:t>
      </w:r>
    </w:p>
    <w:p>
      <w:pPr>
        <w:pStyle w:val="Heading5"/>
      </w:pPr>
      <w:bookmarkStart w:id="62" w:name="_Toc408569012"/>
      <w:bookmarkStart w:id="63" w:name="_Toc416692973"/>
      <w:r>
        <w:rPr>
          <w:rStyle w:val="CharSectno"/>
        </w:rPr>
        <w:t>21</w:t>
      </w:r>
      <w:r>
        <w:t>.</w:t>
      </w:r>
      <w:r>
        <w:tab/>
        <w:t>Withdrawal of infringement notice</w:t>
      </w:r>
      <w:bookmarkEnd w:id="62"/>
      <w:bookmarkEnd w:id="63"/>
      <w: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64" w:name="_Toc408569013"/>
      <w:bookmarkStart w:id="65" w:name="_Toc416692974"/>
      <w:r>
        <w:rPr>
          <w:rStyle w:val="CharSectno"/>
        </w:rPr>
        <w:t>22</w:t>
      </w:r>
      <w:r>
        <w:t>.</w:t>
      </w:r>
      <w:r>
        <w:tab/>
        <w:t>Authorised person to have certificate</w:t>
      </w:r>
      <w:bookmarkEnd w:id="64"/>
      <w:bookmarkEnd w:id="65"/>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pPr>
      <w:bookmarkStart w:id="66" w:name="_Toc408569014"/>
      <w:bookmarkStart w:id="67" w:name="_Toc416692975"/>
      <w:r>
        <w:rPr>
          <w:rStyle w:val="CharSectno"/>
        </w:rPr>
        <w:t>23</w:t>
      </w:r>
      <w:r>
        <w:t>.</w:t>
      </w:r>
      <w:r>
        <w:tab/>
        <w:t>Authorised persons only to endorse and alter infringement notices</w:t>
      </w:r>
      <w:bookmarkEnd w:id="66"/>
      <w:bookmarkEnd w:id="67"/>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68" w:name="_Toc408569015"/>
      <w:bookmarkStart w:id="69" w:name="_Toc416692976"/>
      <w:r>
        <w:rPr>
          <w:rStyle w:val="CharSectno"/>
        </w:rPr>
        <w:t>24</w:t>
      </w:r>
      <w:r>
        <w:t>.</w:t>
      </w:r>
      <w:r>
        <w:tab/>
        <w:t>Restriction on removal of infringement notices</w:t>
      </w:r>
      <w:bookmarkEnd w:id="68"/>
      <w:bookmarkEnd w:id="69"/>
      <w: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Heading2"/>
      </w:pPr>
      <w:bookmarkStart w:id="70" w:name="_Toc408569016"/>
      <w:bookmarkStart w:id="71" w:name="_Toc416692936"/>
      <w:bookmarkStart w:id="72" w:name="_Toc416692977"/>
      <w:r>
        <w:rPr>
          <w:rStyle w:val="CharPartNo"/>
        </w:rPr>
        <w:t>Part 5</w:t>
      </w:r>
      <w:r>
        <w:rPr>
          <w:rStyle w:val="CharDivNo"/>
        </w:rPr>
        <w:t> </w:t>
      </w:r>
      <w:r>
        <w:t>—</w:t>
      </w:r>
      <w:r>
        <w:rPr>
          <w:rStyle w:val="CharDivText"/>
        </w:rPr>
        <w:t> </w:t>
      </w:r>
      <w:r>
        <w:rPr>
          <w:rStyle w:val="CharPartText"/>
        </w:rPr>
        <w:t>General</w:t>
      </w:r>
      <w:bookmarkEnd w:id="70"/>
      <w:bookmarkEnd w:id="71"/>
      <w:bookmarkEnd w:id="72"/>
    </w:p>
    <w:p>
      <w:pPr>
        <w:pStyle w:val="Heading5"/>
      </w:pPr>
      <w:bookmarkStart w:id="73" w:name="_Toc408569017"/>
      <w:bookmarkStart w:id="74" w:name="_Toc416692978"/>
      <w:r>
        <w:rPr>
          <w:rStyle w:val="CharSectno"/>
        </w:rPr>
        <w:t>25</w:t>
      </w:r>
      <w:r>
        <w:t>.</w:t>
      </w:r>
      <w:r>
        <w:tab/>
        <w:t>Removal of vehicles</w:t>
      </w:r>
      <w:bookmarkEnd w:id="73"/>
      <w:bookmarkEnd w:id="74"/>
      <w: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keepNext/>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[By-law 25 amended in Gazette 23 Dec 2011 p. 5435</w:t>
      </w:r>
      <w:r>
        <w:noBreakHyphen/>
        <w:t>6.]</w:t>
      </w:r>
    </w:p>
    <w:p>
      <w:pPr>
        <w:pStyle w:val="Heading5"/>
      </w:pPr>
      <w:bookmarkStart w:id="75" w:name="_Toc408569018"/>
      <w:bookmarkStart w:id="76" w:name="_Toc416692979"/>
      <w:r>
        <w:rPr>
          <w:rStyle w:val="CharSectno"/>
        </w:rPr>
        <w:t>26</w:t>
      </w:r>
      <w:r>
        <w:t>.</w:t>
      </w:r>
      <w:r>
        <w:tab/>
        <w:t>Registered owner may be treated as being driver or person in charge of vehicle at time of offence</w:t>
      </w:r>
      <w:bookmarkEnd w:id="75"/>
      <w:bookmarkEnd w:id="76"/>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pPr>
      <w:bookmarkStart w:id="77" w:name="_Toc408569019"/>
      <w:bookmarkStart w:id="78" w:name="_Toc416692980"/>
      <w:r>
        <w:rPr>
          <w:rStyle w:val="CharSectno"/>
        </w:rPr>
        <w:t>27</w:t>
      </w:r>
      <w:r>
        <w:t>.</w:t>
      </w:r>
      <w:r>
        <w:tab/>
        <w:t>Other offences</w:t>
      </w:r>
      <w:bookmarkEnd w:id="77"/>
      <w:bookmarkEnd w:id="78"/>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79" w:name="_Toc408569020"/>
      <w:bookmarkStart w:id="80" w:name="_Toc416692940"/>
      <w:bookmarkStart w:id="81" w:name="_Toc416692981"/>
      <w:r>
        <w:rPr>
          <w:rStyle w:val="CharSchNo"/>
        </w:rPr>
        <w:t>Schedule 1</w:t>
      </w:r>
      <w:r>
        <w:rPr>
          <w:rStyle w:val="CharSDivNo"/>
        </w:rPr>
        <w:t> </w:t>
      </w:r>
      <w:r>
        <w:t>—</w:t>
      </w:r>
      <w:r>
        <w:rPr>
          <w:rStyle w:val="CharSDivText"/>
        </w:rPr>
        <w:t> </w:t>
      </w:r>
      <w:r>
        <w:rPr>
          <w:rStyle w:val="CharSchText"/>
        </w:rPr>
        <w:t>Hospital sites</w:t>
      </w:r>
      <w:bookmarkEnd w:id="79"/>
      <w:bookmarkEnd w:id="80"/>
      <w:bookmarkEnd w:id="81"/>
    </w:p>
    <w:p>
      <w:pPr>
        <w:pStyle w:val="yShoulderClause"/>
        <w:spacing w:after="120"/>
      </w:pPr>
      <w:r>
        <w:t>[bl. 3(1)]</w:t>
      </w:r>
    </w:p>
    <w:p>
      <w:pPr>
        <w:pStyle w:val="yMiscellaneousHeading"/>
        <w:spacing w:after="100"/>
        <w:jc w:val="left"/>
        <w:rPr>
          <w:b/>
          <w:bCs/>
          <w:u w:val="single"/>
        </w:rPr>
      </w:pPr>
      <w:r>
        <w:rPr>
          <w:b/>
          <w:bCs/>
          <w:u w:val="single"/>
        </w:rPr>
        <w:t xml:space="preserve">Division 1 — </w:t>
      </w:r>
      <w:smartTag w:uri="urn:schemas-microsoft-com:office:smarttags" w:element="Street">
        <w:smartTag w:uri="urn:schemas-microsoft-com:office:smarttags" w:element="address">
          <w:r>
            <w:rPr>
              <w:b/>
              <w:bCs/>
              <w:u w:val="single"/>
            </w:rPr>
            <w:t>Wellington Street</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NAm"/>
              <w:jc w:val="center"/>
            </w:pPr>
            <w:r>
              <w:t>1</w:t>
            </w:r>
          </w:p>
        </w:tc>
        <w:tc>
          <w:tcPr>
            <w:tcW w:w="4961" w:type="dxa"/>
          </w:tcPr>
          <w:p>
            <w:pPr>
              <w:pStyle w:val="yTableNAm"/>
            </w:pPr>
            <w:smartTag w:uri="urn:schemas-microsoft-com:office:smarttags" w:element="place">
              <w:r>
                <w:t>Lot</w:t>
              </w:r>
            </w:smartTag>
            <w:r>
              <w:t xml:space="preserve"> 915 on Deposited Plan 183229</w:t>
            </w:r>
          </w:p>
        </w:tc>
      </w:tr>
      <w:tr>
        <w:tc>
          <w:tcPr>
            <w:tcW w:w="993" w:type="dxa"/>
          </w:tcPr>
          <w:p>
            <w:pPr>
              <w:pStyle w:val="yTableNAm"/>
              <w:jc w:val="center"/>
            </w:pPr>
            <w:r>
              <w:t>2</w:t>
            </w:r>
          </w:p>
        </w:tc>
        <w:tc>
          <w:tcPr>
            <w:tcW w:w="4961" w:type="dxa"/>
          </w:tcPr>
          <w:p>
            <w:pPr>
              <w:pStyle w:val="yTableNAm"/>
            </w:pPr>
            <w:smartTag w:uri="urn:schemas-microsoft-com:office:smarttags" w:element="place">
              <w:r>
                <w:t>Lot</w:t>
              </w:r>
            </w:smartTag>
            <w:r>
              <w:t xml:space="preserve"> 916 on Deposited Plan 183229</w:t>
            </w:r>
          </w:p>
        </w:tc>
      </w:tr>
      <w:tr>
        <w:tc>
          <w:tcPr>
            <w:tcW w:w="993" w:type="dxa"/>
          </w:tcPr>
          <w:p>
            <w:pPr>
              <w:pStyle w:val="yTableNAm"/>
              <w:jc w:val="center"/>
            </w:pPr>
            <w:r>
              <w:t>3</w:t>
            </w:r>
          </w:p>
        </w:tc>
        <w:tc>
          <w:tcPr>
            <w:tcW w:w="4961" w:type="dxa"/>
          </w:tcPr>
          <w:p>
            <w:pPr>
              <w:pStyle w:val="yTableNAm"/>
            </w:pPr>
            <w:smartTag w:uri="urn:schemas-microsoft-com:office:smarttags" w:element="place">
              <w:r>
                <w:t>Lot</w:t>
              </w:r>
            </w:smartTag>
            <w:r>
              <w:t xml:space="preserve"> 917 on Deposited Plan 183229</w:t>
            </w:r>
          </w:p>
        </w:tc>
      </w:tr>
    </w:tbl>
    <w:p>
      <w:pPr>
        <w:pStyle w:val="yMiscellaneousHeading"/>
        <w:spacing w:after="100"/>
        <w:jc w:val="left"/>
        <w:rPr>
          <w:b/>
          <w:bCs/>
          <w:u w:val="single"/>
        </w:rPr>
      </w:pPr>
      <w:r>
        <w:rPr>
          <w:b/>
          <w:bCs/>
          <w:u w:val="single"/>
        </w:rPr>
        <w:t xml:space="preserve">Division 2 — </w:t>
      </w:r>
      <w:smartTag w:uri="urn:schemas-microsoft-com:office:smarttags" w:element="place">
        <w:smartTag w:uri="urn:schemas-microsoft-com:office:smarttags" w:element="PlaceName">
          <w:r>
            <w:rPr>
              <w:b/>
              <w:bCs/>
              <w:u w:val="single"/>
            </w:rPr>
            <w:t>Shenton</w:t>
          </w:r>
        </w:smartTag>
        <w:r>
          <w:rPr>
            <w:b/>
            <w:bCs/>
            <w:u w:val="single"/>
          </w:rPr>
          <w:t xml:space="preserve"> </w:t>
        </w:r>
        <w:smartTag w:uri="urn:schemas-microsoft-com:office:smarttags" w:element="PlaceType">
          <w:r>
            <w:rPr>
              <w:b/>
              <w:bCs/>
              <w:u w:val="single"/>
            </w:rPr>
            <w:t>Park</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
              <w:jc w:val="center"/>
            </w:pPr>
            <w:r>
              <w:t>4</w:t>
            </w:r>
          </w:p>
        </w:tc>
        <w:tc>
          <w:tcPr>
            <w:tcW w:w="4961" w:type="dxa"/>
          </w:tcPr>
          <w:p>
            <w:pPr>
              <w:pStyle w:val="yTable"/>
              <w:ind w:left="601" w:hanging="601"/>
            </w:pPr>
            <w:smartTag w:uri="urn:schemas-microsoft-com:office:smarttags" w:element="place">
              <w:r>
                <w:t>Lot</w:t>
              </w:r>
            </w:smartTag>
            <w:r>
              <w:t xml:space="preserve"> 3240 on Deposited Plan 34515 </w:t>
            </w:r>
          </w:p>
        </w:tc>
      </w:tr>
    </w:tbl>
    <w:p>
      <w:pPr>
        <w:pStyle w:val="yScheduleHeading"/>
      </w:pPr>
      <w:bookmarkStart w:id="82" w:name="_Toc408569021"/>
      <w:bookmarkStart w:id="83" w:name="_Toc416692941"/>
      <w:bookmarkStart w:id="84" w:name="_Toc416692982"/>
      <w:r>
        <w:rPr>
          <w:rStyle w:val="CharSchNo"/>
        </w:rPr>
        <w:t>Schedule 2A</w:t>
      </w:r>
      <w:r>
        <w:t> — </w:t>
      </w:r>
      <w:r>
        <w:rPr>
          <w:rStyle w:val="CharSchText"/>
        </w:rPr>
        <w:t>Fees</w:t>
      </w:r>
      <w:bookmarkEnd w:id="82"/>
      <w:bookmarkEnd w:id="83"/>
      <w:bookmarkEnd w:id="84"/>
    </w:p>
    <w:p>
      <w:pPr>
        <w:pStyle w:val="yShoulderClause"/>
      </w:pPr>
      <w:r>
        <w:t>[bl. 17(4A)]</w:t>
      </w:r>
    </w:p>
    <w:p>
      <w:pPr>
        <w:pStyle w:val="yFootnoteheading"/>
      </w:pPr>
      <w:r>
        <w:tab/>
        <w:t>[Heading inserted in Gazette 13 Jun 2014 p. 1871.]</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7"/>
        <w:gridCol w:w="3261"/>
      </w:tblGrid>
      <w:tr>
        <w:trPr>
          <w:tblHeader/>
        </w:trPr>
        <w:tc>
          <w:tcPr>
            <w:tcW w:w="3827" w:type="dxa"/>
          </w:tcPr>
          <w:p>
            <w:pPr>
              <w:pStyle w:val="yTableNAm"/>
            </w:pPr>
            <w:r>
              <w:rPr>
                <w:b/>
              </w:rPr>
              <w:t>Type of permit</w:t>
            </w:r>
          </w:p>
        </w:tc>
        <w:tc>
          <w:tcPr>
            <w:tcW w:w="3261" w:type="dxa"/>
          </w:tcPr>
          <w:p>
            <w:pPr>
              <w:pStyle w:val="yTableNAm"/>
            </w:pPr>
            <w:r>
              <w:rPr>
                <w:b/>
              </w:rPr>
              <w:t>Fee</w:t>
            </w:r>
          </w:p>
        </w:tc>
      </w:tr>
      <w:tr>
        <w:tc>
          <w:tcPr>
            <w:tcW w:w="3827" w:type="dxa"/>
          </w:tcPr>
          <w:p>
            <w:pPr>
              <w:pStyle w:val="yTableNAm"/>
            </w:pPr>
            <w:r>
              <w:t>All types of parking permit at Wellington Street Campus</w:t>
            </w:r>
          </w:p>
        </w:tc>
        <w:tc>
          <w:tcPr>
            <w:tcW w:w="3261" w:type="dxa"/>
          </w:tcPr>
          <w:p>
            <w:pPr>
              <w:pStyle w:val="yTableNAm"/>
            </w:pPr>
            <w:r>
              <w:t>$5.50 (for each day on which the permit holder is permitted to park a vehicle on the site, up to a maximum of $27.50 per week)</w:t>
            </w:r>
          </w:p>
        </w:tc>
      </w:tr>
      <w:tr>
        <w:tc>
          <w:tcPr>
            <w:tcW w:w="3827" w:type="dxa"/>
          </w:tcPr>
          <w:p>
            <w:pPr>
              <w:pStyle w:val="yTableNAm"/>
            </w:pPr>
            <w:r>
              <w:t>All types of parking permit at Shenton Park Campus</w:t>
            </w:r>
          </w:p>
        </w:tc>
        <w:tc>
          <w:tcPr>
            <w:tcW w:w="3261" w:type="dxa"/>
          </w:tcPr>
          <w:p>
            <w:pPr>
              <w:pStyle w:val="yTableNAm"/>
            </w:pPr>
            <w:r>
              <w:rPr>
                <w:szCs w:val="22"/>
              </w:rPr>
              <w:t>no fee</w:t>
            </w:r>
          </w:p>
        </w:tc>
      </w:tr>
    </w:tbl>
    <w:p>
      <w:pPr>
        <w:pStyle w:val="yFootnotesection"/>
      </w:pPr>
      <w:r>
        <w:tab/>
        <w:t>[Schedule 2A inserted in Gazette 13 Jun 2014 p. 1871.]</w:t>
      </w:r>
    </w:p>
    <w:p>
      <w:pPr>
        <w:pStyle w:val="yScheduleHeading"/>
        <w:outlineLvl w:val="0"/>
      </w:pPr>
      <w:bookmarkStart w:id="85" w:name="_Toc408569022"/>
      <w:bookmarkStart w:id="86" w:name="_Toc416692942"/>
      <w:bookmarkStart w:id="87" w:name="_Toc416692983"/>
      <w:r>
        <w:rPr>
          <w:rStyle w:val="CharSchNo"/>
        </w:rPr>
        <w:t>Schedule 2</w:t>
      </w:r>
      <w:r>
        <w:t> — </w:t>
      </w:r>
      <w:r>
        <w:rPr>
          <w:rStyle w:val="CharSchText"/>
        </w:rPr>
        <w:t>Infringement notices and modified penalties</w:t>
      </w:r>
      <w:bookmarkEnd w:id="85"/>
      <w:bookmarkEnd w:id="86"/>
      <w:bookmarkEnd w:id="87"/>
    </w:p>
    <w:p>
      <w:pPr>
        <w:pStyle w:val="yShoulderClause"/>
        <w:spacing w:after="120"/>
      </w:pPr>
      <w:r>
        <w:t>[bl. 20]</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rPr>
                <w:b/>
                <w:bCs/>
              </w:rPr>
            </w:pPr>
            <w:r>
              <w:rPr>
                <w:b/>
                <w:bCs/>
              </w:rPr>
              <w:t>Modified penalty</w:t>
            </w:r>
          </w:p>
          <w:p>
            <w:pPr>
              <w:pStyle w:val="yTableNAm"/>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pPr>
            <w:r>
              <w:t>Driving or bringing vehicle on part of site other than on roadway or parking facility, without permission ...............................................................</w:t>
            </w:r>
          </w:p>
        </w:tc>
        <w:tc>
          <w:tcPr>
            <w:tcW w:w="1208" w:type="dxa"/>
          </w:tcPr>
          <w:p>
            <w:pPr>
              <w:pStyle w:val="yTableNAm"/>
            </w:pPr>
            <w:r>
              <w:br/>
            </w:r>
            <w:r>
              <w:br/>
              <w:t>40</w:t>
            </w:r>
          </w:p>
        </w:tc>
      </w:tr>
      <w:tr>
        <w:trPr>
          <w:cantSplit/>
        </w:trPr>
        <w:tc>
          <w:tcPr>
            <w:tcW w:w="1080" w:type="dxa"/>
          </w:tcPr>
          <w:p>
            <w:pPr>
              <w:pStyle w:val="yTableNAm"/>
            </w:pPr>
            <w:r>
              <w:t>9(2)</w:t>
            </w:r>
          </w:p>
        </w:tc>
        <w:tc>
          <w:tcPr>
            <w:tcW w:w="4800" w:type="dxa"/>
          </w:tcPr>
          <w:p>
            <w:pPr>
              <w:pStyle w:val="yTableNAm"/>
            </w:pPr>
            <w:r>
              <w:t>Driving or bringing onto the site, a vehicle with an unladen weight of more than 4 tonnes, without permission ...............................................................</w:t>
            </w:r>
          </w:p>
        </w:tc>
        <w:tc>
          <w:tcPr>
            <w:tcW w:w="1208" w:type="dxa"/>
          </w:tcPr>
          <w:p>
            <w:pPr>
              <w:pStyle w:val="yTableNAm"/>
            </w:pPr>
            <w:r>
              <w:br/>
            </w:r>
            <w:r>
              <w:br/>
              <w:t>20</w:t>
            </w:r>
          </w:p>
        </w:tc>
      </w:tr>
      <w:tr>
        <w:trPr>
          <w:cantSplit/>
        </w:trPr>
        <w:tc>
          <w:tcPr>
            <w:tcW w:w="1080" w:type="dxa"/>
          </w:tcPr>
          <w:p>
            <w:pPr>
              <w:pStyle w:val="yTableNAm"/>
            </w:pPr>
            <w:r>
              <w:t>9(3)</w:t>
            </w:r>
          </w:p>
        </w:tc>
        <w:tc>
          <w:tcPr>
            <w:tcW w:w="4800" w:type="dxa"/>
          </w:tcPr>
          <w:p>
            <w:pPr>
              <w:pStyle w:val="yTableNAm"/>
            </w:pPr>
            <w:r>
              <w:t>Driving, using or standing on part of site, a vehicle contrary to a sign .....................................................</w:t>
            </w:r>
          </w:p>
        </w:tc>
        <w:tc>
          <w:tcPr>
            <w:tcW w:w="1208" w:type="dxa"/>
          </w:tcPr>
          <w:p>
            <w:pPr>
              <w:pStyle w:val="yTableNAm"/>
            </w:pPr>
            <w:r>
              <w:br/>
              <w:t>40</w:t>
            </w:r>
          </w:p>
        </w:tc>
      </w:tr>
      <w:tr>
        <w:trPr>
          <w:cantSplit/>
        </w:trPr>
        <w:tc>
          <w:tcPr>
            <w:tcW w:w="1080" w:type="dxa"/>
          </w:tcPr>
          <w:p>
            <w:pPr>
              <w:pStyle w:val="yTableNAm"/>
            </w:pPr>
            <w:r>
              <w:t>10</w:t>
            </w:r>
          </w:p>
        </w:tc>
        <w:tc>
          <w:tcPr>
            <w:tcW w:w="4800" w:type="dxa"/>
          </w:tcPr>
          <w:p>
            <w:pPr>
              <w:pStyle w:val="yTableNAm"/>
            </w:pPr>
            <w:r>
              <w:t>Disobeying an authorised person’s reasonable direction ..................................................................</w:t>
            </w:r>
          </w:p>
        </w:tc>
        <w:tc>
          <w:tcPr>
            <w:tcW w:w="1208" w:type="dxa"/>
          </w:tcPr>
          <w:p>
            <w:pPr>
              <w:pStyle w:val="yTableNAm"/>
            </w:pPr>
            <w:r>
              <w:br/>
              <w:t>20</w:t>
            </w:r>
          </w:p>
        </w:tc>
      </w:tr>
      <w:tr>
        <w:trPr>
          <w:cantSplit/>
        </w:trPr>
        <w:tc>
          <w:tcPr>
            <w:tcW w:w="1080" w:type="dxa"/>
          </w:tcPr>
          <w:p>
            <w:pPr>
              <w:pStyle w:val="yTableNAm"/>
            </w:pPr>
            <w:r>
              <w:t>11(1)(a)</w:t>
            </w:r>
          </w:p>
        </w:tc>
        <w:tc>
          <w:tcPr>
            <w:tcW w:w="4800" w:type="dxa"/>
          </w:tcPr>
          <w:p>
            <w:pPr>
              <w:pStyle w:val="yTableNAm"/>
            </w:pPr>
            <w:r>
              <w:t xml:space="preserve">Driving in excess of 8 </w:t>
            </w:r>
            <w:r>
              <w:rPr>
                <w:snapToGrid w:val="0"/>
              </w:rPr>
              <w:t xml:space="preserve">km/h </w:t>
            </w:r>
            <w:r>
              <w:t>....................................</w:t>
            </w:r>
          </w:p>
        </w:tc>
        <w:tc>
          <w:tcPr>
            <w:tcW w:w="1208" w:type="dxa"/>
          </w:tcPr>
          <w:p>
            <w:pPr>
              <w:pStyle w:val="yTableNAm"/>
            </w:pPr>
            <w:r>
              <w:t>40</w:t>
            </w:r>
          </w:p>
        </w:tc>
      </w:tr>
      <w:tr>
        <w:trPr>
          <w:cantSplit/>
        </w:trPr>
        <w:tc>
          <w:tcPr>
            <w:tcW w:w="1080" w:type="dxa"/>
          </w:tcPr>
          <w:p>
            <w:pPr>
              <w:pStyle w:val="yTableNAm"/>
            </w:pPr>
            <w:r>
              <w:t>11(1)(b)</w:t>
            </w:r>
          </w:p>
        </w:tc>
        <w:tc>
          <w:tcPr>
            <w:tcW w:w="4800" w:type="dxa"/>
          </w:tcPr>
          <w:p>
            <w:pPr>
              <w:pStyle w:val="yTableNAm"/>
            </w:pPr>
            <w:r>
              <w:t>Driving in excess of speed limit indicated by speed restriction sign ........................................................</w:t>
            </w:r>
          </w:p>
        </w:tc>
        <w:tc>
          <w:tcPr>
            <w:tcW w:w="1208" w:type="dxa"/>
          </w:tcPr>
          <w:p>
            <w:pPr>
              <w:pStyle w:val="yTableNAm"/>
            </w:pPr>
            <w:r>
              <w:br/>
              <w:t>40</w:t>
            </w:r>
          </w:p>
        </w:tc>
      </w:tr>
      <w:tr>
        <w:trPr>
          <w:cantSplit/>
        </w:trPr>
        <w:tc>
          <w:tcPr>
            <w:tcW w:w="1080" w:type="dxa"/>
          </w:tcPr>
          <w:p>
            <w:pPr>
              <w:pStyle w:val="yTableNAm"/>
            </w:pPr>
            <w:r>
              <w:t>12</w:t>
            </w:r>
          </w:p>
        </w:tc>
        <w:tc>
          <w:tcPr>
            <w:tcW w:w="4800" w:type="dxa"/>
          </w:tcPr>
          <w:p>
            <w:pPr>
              <w:pStyle w:val="yTableNAm"/>
            </w:pPr>
            <w:r>
              <w:t xml:space="preserve">Failing to give way when entering parking facility </w:t>
            </w:r>
          </w:p>
        </w:tc>
        <w:tc>
          <w:tcPr>
            <w:tcW w:w="1208" w:type="dxa"/>
          </w:tcPr>
          <w:p>
            <w:pPr>
              <w:pStyle w:val="yTableNAm"/>
            </w:pPr>
            <w:r>
              <w:t>20</w:t>
            </w:r>
          </w:p>
        </w:tc>
      </w:tr>
      <w:tr>
        <w:trPr>
          <w:cantSplit/>
        </w:trPr>
        <w:tc>
          <w:tcPr>
            <w:tcW w:w="1080" w:type="dxa"/>
          </w:tcPr>
          <w:p>
            <w:pPr>
              <w:pStyle w:val="yTableNAm"/>
            </w:pPr>
            <w:r>
              <w:t xml:space="preserve">13(a) </w:t>
            </w:r>
          </w:p>
        </w:tc>
        <w:tc>
          <w:tcPr>
            <w:tcW w:w="4800" w:type="dxa"/>
          </w:tcPr>
          <w:p>
            <w:pPr>
              <w:pStyle w:val="yTableNAm"/>
            </w:pPr>
            <w:r>
              <w:t>Driving on site for the giving or receiving of driving instruction ...................................................</w:t>
            </w:r>
          </w:p>
        </w:tc>
        <w:tc>
          <w:tcPr>
            <w:tcW w:w="1208" w:type="dxa"/>
          </w:tcPr>
          <w:p>
            <w:pPr>
              <w:pStyle w:val="yTableNAm"/>
            </w:pPr>
            <w:r>
              <w:br/>
              <w:t>20</w:t>
            </w:r>
          </w:p>
        </w:tc>
      </w:tr>
      <w:tr>
        <w:trPr>
          <w:cantSplit/>
        </w:trPr>
        <w:tc>
          <w:tcPr>
            <w:tcW w:w="1080" w:type="dxa"/>
          </w:tcPr>
          <w:p>
            <w:pPr>
              <w:pStyle w:val="yTableNAm"/>
            </w:pPr>
            <w:r>
              <w:t xml:space="preserve">13(b) </w:t>
            </w:r>
          </w:p>
        </w:tc>
        <w:tc>
          <w:tcPr>
            <w:tcW w:w="4800" w:type="dxa"/>
          </w:tcPr>
          <w:p>
            <w:pPr>
              <w:pStyle w:val="yTableNAm"/>
            </w:pPr>
            <w:r>
              <w:t>Repairing or adjusting a vehicle on site ..................</w:t>
            </w:r>
          </w:p>
        </w:tc>
        <w:tc>
          <w:tcPr>
            <w:tcW w:w="1208" w:type="dxa"/>
          </w:tcPr>
          <w:p>
            <w:pPr>
              <w:pStyle w:val="yTableNAm"/>
            </w:pPr>
            <w:r>
              <w:t>10</w:t>
            </w:r>
          </w:p>
        </w:tc>
      </w:tr>
      <w:tr>
        <w:trPr>
          <w:cantSplit/>
        </w:trPr>
        <w:tc>
          <w:tcPr>
            <w:tcW w:w="1080" w:type="dxa"/>
          </w:tcPr>
          <w:p>
            <w:pPr>
              <w:pStyle w:val="yTableNAm"/>
            </w:pPr>
            <w:r>
              <w:t>14</w:t>
            </w:r>
          </w:p>
        </w:tc>
        <w:tc>
          <w:tcPr>
            <w:tcW w:w="4800" w:type="dxa"/>
          </w:tcPr>
          <w:p>
            <w:pPr>
              <w:pStyle w:val="yTableNAm"/>
            </w:pPr>
            <w:r>
              <w:t>Parking a vehicle on site not in a parking space .....</w:t>
            </w:r>
          </w:p>
        </w:tc>
        <w:tc>
          <w:tcPr>
            <w:tcW w:w="1208" w:type="dxa"/>
          </w:tcPr>
          <w:p>
            <w:pPr>
              <w:pStyle w:val="yTableNAm"/>
            </w:pPr>
            <w:r>
              <w:t>40</w:t>
            </w:r>
          </w:p>
        </w:tc>
      </w:tr>
      <w:tr>
        <w:trPr>
          <w:cantSplit/>
        </w:trPr>
        <w:tc>
          <w:tcPr>
            <w:tcW w:w="1080" w:type="dxa"/>
          </w:tcPr>
          <w:p>
            <w:pPr>
              <w:pStyle w:val="yTableNAm"/>
            </w:pPr>
            <w:r>
              <w:t>15</w:t>
            </w:r>
          </w:p>
        </w:tc>
        <w:tc>
          <w:tcPr>
            <w:tcW w:w="4800" w:type="dxa"/>
          </w:tcPr>
          <w:p>
            <w:pPr>
              <w:pStyle w:val="yTableNAm"/>
            </w:pPr>
            <w:r>
              <w:t>Failing to obey a stop sign on site ...........................</w:t>
            </w:r>
          </w:p>
        </w:tc>
        <w:tc>
          <w:tcPr>
            <w:tcW w:w="1208" w:type="dxa"/>
          </w:tcPr>
          <w:p>
            <w:pPr>
              <w:pStyle w:val="yTableNAm"/>
            </w:pPr>
            <w:r>
              <w:t>45</w:t>
            </w:r>
          </w:p>
        </w:tc>
      </w:tr>
      <w:tr>
        <w:trPr>
          <w:cantSplit/>
        </w:trPr>
        <w:tc>
          <w:tcPr>
            <w:tcW w:w="1080" w:type="dxa"/>
          </w:tcPr>
          <w:p>
            <w:pPr>
              <w:pStyle w:val="yTableNAm"/>
            </w:pPr>
            <w:r>
              <w:t>15</w:t>
            </w:r>
          </w:p>
        </w:tc>
        <w:tc>
          <w:tcPr>
            <w:tcW w:w="4800" w:type="dxa"/>
          </w:tcPr>
          <w:p>
            <w:pPr>
              <w:pStyle w:val="yTableNAm"/>
            </w:pPr>
            <w:r>
              <w:t>Parking, standing or moving a vehicle on site contrary to a sign other than a stop sign ..................</w:t>
            </w:r>
          </w:p>
        </w:tc>
        <w:tc>
          <w:tcPr>
            <w:tcW w:w="1208" w:type="dxa"/>
          </w:tcPr>
          <w:p>
            <w:pPr>
              <w:pStyle w:val="yTableNAm"/>
            </w:pPr>
            <w:r>
              <w:br/>
              <w:t>40</w:t>
            </w:r>
          </w:p>
        </w:tc>
      </w:tr>
      <w:tr>
        <w:trPr>
          <w:cantSplit/>
        </w:trPr>
        <w:tc>
          <w:tcPr>
            <w:tcW w:w="1080" w:type="dxa"/>
          </w:tcPr>
          <w:p>
            <w:pPr>
              <w:pStyle w:val="yTableNAm"/>
            </w:pPr>
            <w:r>
              <w:t>16(2)(b) and (3)</w:t>
            </w:r>
          </w:p>
        </w:tc>
        <w:tc>
          <w:tcPr>
            <w:tcW w:w="4800" w:type="dxa"/>
          </w:tcPr>
          <w:p>
            <w:pPr>
              <w:pStyle w:val="yTableNAm"/>
            </w:pPr>
            <w:r>
              <w:t>Parking in an area on site set aside for vehicles of disabled persons identified in the manner specified in a sign, contrary to the sign .................................</w:t>
            </w:r>
          </w:p>
        </w:tc>
        <w:tc>
          <w:tcPr>
            <w:tcW w:w="1208" w:type="dxa"/>
          </w:tcPr>
          <w:p>
            <w:pPr>
              <w:pStyle w:val="yTableNAm"/>
            </w:pPr>
            <w:r>
              <w:br/>
            </w:r>
            <w:r>
              <w:br/>
            </w:r>
            <w:r>
              <w:rPr>
                <w:szCs w:val="22"/>
              </w:rPr>
              <w:t>40</w:t>
            </w:r>
          </w:p>
        </w:tc>
      </w:tr>
      <w:tr>
        <w:trPr>
          <w:cantSplit/>
        </w:trPr>
        <w:tc>
          <w:tcPr>
            <w:tcW w:w="1080" w:type="dxa"/>
          </w:tcPr>
          <w:p>
            <w:pPr>
              <w:pStyle w:val="yTableNAm"/>
            </w:pPr>
            <w:r>
              <w:t xml:space="preserve">16(3) </w:t>
            </w:r>
          </w:p>
        </w:tc>
        <w:tc>
          <w:tcPr>
            <w:tcW w:w="4800" w:type="dxa"/>
          </w:tcPr>
          <w:p>
            <w:pPr>
              <w:pStyle w:val="yTableNAm"/>
            </w:pPr>
            <w:r>
              <w:t>Parking, standing or moving a vehicle in a parking space or parking facility contrary to a sign in relation to vehicles of disabled persons or contrary to any sign ...............................................................</w:t>
            </w:r>
          </w:p>
        </w:tc>
        <w:tc>
          <w:tcPr>
            <w:tcW w:w="1208" w:type="dxa"/>
          </w:tcPr>
          <w:p>
            <w:pPr>
              <w:pStyle w:val="yTableNAm"/>
            </w:pPr>
            <w:r>
              <w:br/>
            </w:r>
            <w:r>
              <w:br/>
            </w:r>
            <w:r>
              <w:br/>
              <w:t>40</w:t>
            </w:r>
          </w:p>
        </w:tc>
      </w:tr>
      <w:tr>
        <w:trPr>
          <w:cantSplit/>
        </w:trPr>
        <w:tc>
          <w:tcPr>
            <w:tcW w:w="1080" w:type="dxa"/>
          </w:tcPr>
          <w:p>
            <w:pPr>
              <w:pStyle w:val="yTableNAm"/>
            </w:pPr>
            <w:r>
              <w:t xml:space="preserve">17(9) </w:t>
            </w:r>
          </w:p>
        </w:tc>
        <w:tc>
          <w:tcPr>
            <w:tcW w:w="4800" w:type="dxa"/>
          </w:tcPr>
          <w:p>
            <w:pPr>
              <w:pStyle w:val="yTableNAm"/>
            </w:pPr>
            <w:r>
              <w:t>Parking in an area on the site set apart for permit holders only, without a current permit ...................</w:t>
            </w:r>
          </w:p>
        </w:tc>
        <w:tc>
          <w:tcPr>
            <w:tcW w:w="1208" w:type="dxa"/>
          </w:tcPr>
          <w:p>
            <w:pPr>
              <w:pStyle w:val="yTableNAm"/>
            </w:pPr>
            <w:r>
              <w:br/>
            </w:r>
            <w:r>
              <w:rPr>
                <w:szCs w:val="22"/>
              </w:rPr>
              <w:t>40</w:t>
            </w:r>
          </w:p>
        </w:tc>
      </w:tr>
      <w:tr>
        <w:trPr>
          <w:cantSplit/>
        </w:trPr>
        <w:tc>
          <w:tcPr>
            <w:tcW w:w="1080" w:type="dxa"/>
          </w:tcPr>
          <w:p>
            <w:pPr>
              <w:pStyle w:val="yTableNAm"/>
            </w:pPr>
            <w:r>
              <w:t>23</w:t>
            </w:r>
          </w:p>
        </w:tc>
        <w:tc>
          <w:tcPr>
            <w:tcW w:w="4800" w:type="dxa"/>
          </w:tcPr>
          <w:p>
            <w:pPr>
              <w:pStyle w:val="yTableNAm"/>
            </w:pPr>
            <w:r>
              <w:t>Unauthorised person endorsing or altering an infringement notice .................................................</w:t>
            </w:r>
          </w:p>
        </w:tc>
        <w:tc>
          <w:tcPr>
            <w:tcW w:w="1208" w:type="dxa"/>
          </w:tcPr>
          <w:p>
            <w:pPr>
              <w:pStyle w:val="yTableNAm"/>
            </w:pPr>
            <w:r>
              <w:br/>
              <w:t>20</w:t>
            </w:r>
          </w:p>
        </w:tc>
      </w:tr>
      <w:tr>
        <w:trPr>
          <w:cantSplit/>
        </w:trPr>
        <w:tc>
          <w:tcPr>
            <w:tcW w:w="1080" w:type="dxa"/>
            <w:tcBorders>
              <w:bottom w:val="single" w:sz="4" w:space="0" w:color="auto"/>
            </w:tcBorders>
          </w:tcPr>
          <w:p>
            <w:pPr>
              <w:pStyle w:val="yTableNAm"/>
            </w:pPr>
            <w:r>
              <w:t>24</w:t>
            </w:r>
          </w:p>
        </w:tc>
        <w:tc>
          <w:tcPr>
            <w:tcW w:w="4800" w:type="dxa"/>
            <w:tcBorders>
              <w:bottom w:val="single" w:sz="4" w:space="0" w:color="auto"/>
            </w:tcBorders>
          </w:tcPr>
          <w:p>
            <w:pPr>
              <w:pStyle w:val="yTableNAm"/>
            </w:pPr>
            <w:r>
              <w:t>Removing an infringement notice when not authorised to do so .................................................</w:t>
            </w:r>
          </w:p>
        </w:tc>
        <w:tc>
          <w:tcPr>
            <w:tcW w:w="1208" w:type="dxa"/>
            <w:tcBorders>
              <w:bottom w:val="single" w:sz="4" w:space="0" w:color="auto"/>
            </w:tcBorders>
          </w:tcPr>
          <w:p>
            <w:pPr>
              <w:pStyle w:val="yTableNAm"/>
            </w:pPr>
            <w:r>
              <w:br/>
              <w:t>20</w:t>
            </w:r>
          </w:p>
        </w:tc>
      </w:tr>
    </w:tbl>
    <w:p>
      <w:pPr>
        <w:pStyle w:val="yFootnotesection"/>
      </w:pPr>
      <w:r>
        <w:tab/>
        <w:t>[Schedule 2 amended in Gazette 23 Dec 2011 p. 5436.]</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89" w:name="_Toc408569023"/>
      <w:bookmarkStart w:id="90" w:name="_Toc416692943"/>
      <w:bookmarkStart w:id="91" w:name="_Toc416692984"/>
      <w:r>
        <w:rPr>
          <w:rStyle w:val="CharSchNo"/>
        </w:rPr>
        <w:t>Schedule 3</w:t>
      </w:r>
      <w:r>
        <w:t> — </w:t>
      </w:r>
      <w:r>
        <w:rPr>
          <w:rStyle w:val="CharSchText"/>
        </w:rPr>
        <w:t>Forms</w:t>
      </w:r>
      <w:bookmarkEnd w:id="89"/>
      <w:bookmarkEnd w:id="90"/>
      <w:bookmarkEnd w:id="91"/>
    </w:p>
    <w:p>
      <w:pPr>
        <w:pStyle w:val="yShoulderClause"/>
      </w:pPr>
      <w:r>
        <w:t>[bl. 20 and 21]</w:t>
      </w:r>
    </w:p>
    <w:p>
      <w:pPr>
        <w:pStyle w:val="yFootnoteheading"/>
      </w:pPr>
      <w:r>
        <w:tab/>
        <w:t>[Heading inserted in Gazette 13 Jun 2014 p. 1872.]</w:t>
      </w:r>
    </w:p>
    <w:p>
      <w:pPr>
        <w:pStyle w:val="yMiscellaneousBody"/>
        <w:jc w:val="center"/>
        <w:rPr>
          <w:b/>
        </w:rPr>
      </w:pPr>
      <w:r>
        <w:rPr>
          <w:rStyle w:val="CharSClsNo"/>
          <w:b/>
        </w:rPr>
        <w:t>Form 1</w:t>
      </w:r>
      <w:r>
        <w:rPr>
          <w:b/>
        </w:rPr>
        <w:t>: Infringement Notice (by</w:t>
      </w:r>
      <w:r>
        <w:rPr>
          <w:b/>
        </w:rPr>
        <w:noBreakHyphen/>
        <w:t>law 20)</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pPr>
      <w:r>
        <w:rPr>
          <w:i/>
          <w:szCs w:val="22"/>
        </w:rPr>
        <w:t>Royal Perth Hospital By</w:t>
      </w:r>
      <w:r>
        <w:rPr>
          <w:i/>
          <w:szCs w:val="22"/>
        </w:rPr>
        <w:noBreakHyphen/>
        <w:t>laws 2009</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1872-4.]</w:t>
      </w:r>
    </w:p>
    <w:p>
      <w:pPr>
        <w:pStyle w:val="yMiscellaneousBody"/>
        <w:keepNext/>
        <w:jc w:val="center"/>
        <w:rPr>
          <w:b/>
        </w:rPr>
      </w:pPr>
      <w:r>
        <w:rPr>
          <w:rStyle w:val="CharSClsNo"/>
          <w:b/>
        </w:rPr>
        <w:t>Form 2</w:t>
      </w:r>
      <w:r>
        <w:rPr>
          <w:b/>
        </w:rPr>
        <w:t>: Withdrawal of Infringement Notice (by</w:t>
      </w:r>
      <w:r>
        <w:rPr>
          <w:b/>
        </w:rPr>
        <w:noBreakHyphen/>
        <w:t>law 21)</w:t>
      </w:r>
    </w:p>
    <w:p>
      <w:pPr>
        <w:pStyle w:val="yMiscellaneousBody"/>
        <w:keepNext/>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pPr>
    </w:p>
    <w:p>
      <w:pPr>
        <w:pStyle w:val="yMiscellaneousBody"/>
        <w:rPr>
          <w:szCs w:val="22"/>
        </w:rPr>
      </w:pPr>
      <w:r>
        <w:rPr>
          <w:szCs w:val="22"/>
        </w:rPr>
        <w:t>Date ..................................</w:t>
      </w:r>
    </w:p>
    <w:p>
      <w:pPr>
        <w:pStyle w:val="yMiscellaneousBody"/>
        <w:rPr>
          <w:szCs w:val="22"/>
        </w:rPr>
      </w:pPr>
      <w:r>
        <w:rPr>
          <w:szCs w:val="22"/>
        </w:rPr>
        <w:t>Infringement Notice ........................</w:t>
      </w:r>
    </w:p>
    <w:p>
      <w:pPr>
        <w:pStyle w:val="yMiscellaneousBody"/>
        <w:rPr>
          <w:szCs w:val="22"/>
        </w:rPr>
      </w:pPr>
      <w:r>
        <w:rPr>
          <w:szCs w:val="22"/>
        </w:rPr>
        <w:t>Dear</w:t>
      </w:r>
    </w:p>
    <w:p>
      <w:pPr>
        <w:pStyle w:val="yMiscellaneousBody"/>
        <w:rPr>
          <w:szCs w:val="22"/>
        </w:rPr>
      </w:pPr>
      <w:r>
        <w:rPr>
          <w:szCs w:val="22"/>
        </w:rPr>
        <w:t>Infringement notice No. ........................ served on you on ..............</w:t>
      </w:r>
    </w:p>
    <w:p>
      <w:pPr>
        <w:pStyle w:val="yMiscellaneousBody"/>
        <w:rPr>
          <w:szCs w:val="22"/>
        </w:rPr>
      </w:pPr>
      <w:r>
        <w:rPr>
          <w:szCs w:val="22"/>
        </w:rPr>
        <w:t>for the alleged offence of .................................................................</w:t>
      </w:r>
    </w:p>
    <w:p>
      <w:pPr>
        <w:pStyle w:val="yMiscellaneousBody"/>
        <w:rPr>
          <w:szCs w:val="22"/>
        </w:rPr>
      </w:pPr>
      <w:r>
        <w:rPr>
          <w:szCs w:val="22"/>
        </w:rPr>
        <w:t>........................................................................................................</w:t>
      </w:r>
    </w:p>
    <w:p>
      <w:pPr>
        <w:pStyle w:val="yMiscellaneousBody"/>
        <w:rPr>
          <w:szCs w:val="22"/>
        </w:rPr>
      </w:pPr>
      <w:r>
        <w:rPr>
          <w:szCs w:val="22"/>
        </w:rPr>
        <w:t>........................................................................................................</w:t>
      </w:r>
    </w:p>
    <w:p>
      <w:pPr>
        <w:pStyle w:val="yMiscellaneousBody"/>
        <w:rPr>
          <w:szCs w:val="22"/>
        </w:rPr>
      </w:pPr>
      <w:r>
        <w:rPr>
          <w:szCs w:val="22"/>
        </w:rPr>
        <w:t>is hereby withdrawn and no further action will be taken against you.</w:t>
      </w:r>
    </w:p>
    <w:p>
      <w:pPr>
        <w:pStyle w:val="yMiscellaneousBody"/>
        <w:rPr>
          <w:szCs w:val="22"/>
        </w:rPr>
      </w:pPr>
      <w:r>
        <w:rPr>
          <w:szCs w:val="22"/>
        </w:rPr>
        <w:t>If you paid the modified penalty before the Infringement Notice was withdrawn, please contact 1800 753 191 or post receipt to</w:t>
      </w:r>
    </w:p>
    <w:p>
      <w:pPr>
        <w:pStyle w:val="yMiscellaneousBody"/>
        <w:rPr>
          <w:szCs w:val="22"/>
        </w:rPr>
      </w:pPr>
      <w:r>
        <w:rPr>
          <w:szCs w:val="22"/>
        </w:rPr>
        <w:t>Metropolitan Access Parking</w:t>
      </w:r>
      <w:r>
        <w:rPr>
          <w:szCs w:val="22"/>
        </w:rPr>
        <w:br/>
        <w:t>PO Box 1135</w:t>
      </w:r>
      <w:r>
        <w:rPr>
          <w:szCs w:val="22"/>
        </w:rPr>
        <w:br/>
        <w:t>Osborne Park  WA  6916</w:t>
      </w:r>
    </w:p>
    <w:p>
      <w:pPr>
        <w:pStyle w:val="yMiscellaneousBody"/>
        <w:rPr>
          <w:szCs w:val="22"/>
        </w:rPr>
      </w:pPr>
      <w:r>
        <w:rPr>
          <w:szCs w:val="22"/>
        </w:rPr>
        <w:t>Your payment will be refunded.</w:t>
      </w:r>
    </w:p>
    <w:p>
      <w:pPr>
        <w:pStyle w:val="yMiscellaneousBody"/>
        <w:rPr>
          <w:szCs w:val="22"/>
        </w:rPr>
      </w:pPr>
    </w:p>
    <w:p>
      <w:pPr>
        <w:pStyle w:val="yMiscellaneousBody"/>
        <w:rPr>
          <w:szCs w:val="22"/>
        </w:rPr>
      </w:pPr>
      <w:r>
        <w:rPr>
          <w:szCs w:val="22"/>
        </w:rPr>
        <w:t>Yours sincerely</w:t>
      </w:r>
    </w:p>
    <w:p>
      <w:pPr>
        <w:pStyle w:val="yMiscellaneousBody"/>
        <w:rPr>
          <w:szCs w:val="22"/>
        </w:rPr>
      </w:pPr>
    </w:p>
    <w:p>
      <w:pPr>
        <w:pStyle w:val="yMiscellaneousBody"/>
        <w:rPr>
          <w:szCs w:val="22"/>
        </w:rPr>
      </w:pPr>
      <w:r>
        <w:rPr>
          <w:b/>
          <w:szCs w:val="22"/>
          <w:u w:val="single"/>
        </w:rPr>
        <w:t xml:space="preserve">Signed for and on behalf of </w:t>
      </w:r>
      <w:r>
        <w:rPr>
          <w:b/>
          <w:szCs w:val="22"/>
          <w:u w:val="single"/>
        </w:rPr>
        <w:br/>
        <w:t>the Parking Infringement Committee</w:t>
      </w:r>
      <w:r>
        <w:rPr>
          <w:b/>
          <w:szCs w:val="22"/>
          <w:u w:val="single"/>
        </w:rPr>
        <w:br/>
      </w:r>
      <w:r>
        <w:rPr>
          <w:szCs w:val="22"/>
        </w:rPr>
        <w:t>Metropolitan Access and Parking Department</w:t>
      </w:r>
    </w:p>
    <w:p>
      <w:pPr>
        <w:pStyle w:val="yFootnotesection"/>
      </w:pPr>
      <w:r>
        <w:tab/>
        <w:t>[Form 2 inserted in Gazette 13 Jun 2014 p. 1874.]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pPr>
      <w:bookmarkStart w:id="92" w:name="_Toc408569024"/>
      <w:bookmarkStart w:id="93" w:name="_Toc416692944"/>
      <w:bookmarkStart w:id="94" w:name="_Toc416692985"/>
      <w:r>
        <w:t>Notes</w:t>
      </w:r>
      <w:bookmarkEnd w:id="92"/>
      <w:bookmarkEnd w:id="93"/>
      <w:bookmarkEnd w:id="94"/>
    </w:p>
    <w:p>
      <w:pPr>
        <w:pStyle w:val="nSubsection"/>
        <w:rPr>
          <w:snapToGrid w:val="0"/>
        </w:rPr>
      </w:pPr>
      <w:r>
        <w:rPr>
          <w:snapToGrid w:val="0"/>
          <w:vertAlign w:val="superscript"/>
        </w:rPr>
        <w:t>1</w:t>
      </w:r>
      <w:r>
        <w:rPr>
          <w:snapToGrid w:val="0"/>
        </w:rPr>
        <w:tab/>
        <w:t xml:space="preserve">This is a compilation of the </w:t>
      </w:r>
      <w:r>
        <w:rPr>
          <w:i/>
          <w:snapToGrid w:val="0"/>
        </w:rPr>
        <w:t>Royal Perth Hospital By-laws 2009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95" w:name="_Toc408569025"/>
      <w:bookmarkStart w:id="96" w:name="_Toc416692986"/>
      <w:r>
        <w:t>Compilation table</w:t>
      </w:r>
      <w:bookmarkEnd w:id="95"/>
      <w:bookmarkEnd w:id="9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iCs/>
              </w:rPr>
            </w:pPr>
            <w:r>
              <w:rPr>
                <w:i/>
                <w:iCs/>
              </w:rPr>
              <w:t>Royal Perth Hospital By-laws 2009</w:t>
            </w:r>
          </w:p>
        </w:tc>
        <w:tc>
          <w:tcPr>
            <w:tcW w:w="1276" w:type="dxa"/>
            <w:tcBorders>
              <w:top w:val="single" w:sz="8" w:space="0" w:color="auto"/>
              <w:bottom w:val="nil"/>
            </w:tcBorders>
          </w:tcPr>
          <w:p>
            <w:pPr>
              <w:pStyle w:val="nTable"/>
              <w:spacing w:after="40"/>
            </w:pPr>
            <w:r>
              <w:t>17 Apr 2009 p. 1295-315</w:t>
            </w:r>
          </w:p>
        </w:tc>
        <w:tc>
          <w:tcPr>
            <w:tcW w:w="2693" w:type="dxa"/>
            <w:tcBorders>
              <w:top w:val="single" w:sz="8" w:space="0" w:color="auto"/>
              <w:bottom w:val="nil"/>
            </w:tcBorders>
          </w:tcPr>
          <w:p>
            <w:pPr>
              <w:pStyle w:val="nTable"/>
              <w:spacing w:after="40"/>
            </w:pPr>
            <w:r>
              <w:rPr>
                <w:snapToGrid w:val="0"/>
                <w:spacing w:val="-2"/>
              </w:rPr>
              <w:t>bl. 1 and 2: 17 Apr 2009 (see bl. 2(a));</w:t>
            </w:r>
            <w:r>
              <w:rPr>
                <w:snapToGrid w:val="0"/>
                <w:spacing w:val="-2"/>
              </w:rPr>
              <w:br/>
              <w:t>By-laws other than bl. 1 and 2: 18 Apr 2009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2010</w:t>
            </w:r>
            <w:r>
              <w:rPr>
                <w:iCs/>
              </w:rPr>
              <w:t xml:space="preserve"> </w:t>
            </w:r>
          </w:p>
        </w:tc>
        <w:tc>
          <w:tcPr>
            <w:tcW w:w="1276" w:type="dxa"/>
            <w:tcBorders>
              <w:top w:val="nil"/>
              <w:bottom w:val="nil"/>
            </w:tcBorders>
          </w:tcPr>
          <w:p>
            <w:pPr>
              <w:pStyle w:val="nTable"/>
              <w:spacing w:after="40"/>
            </w:pPr>
            <w:r>
              <w:t>26 Nov 2010 p. 5948-9</w:t>
            </w:r>
          </w:p>
        </w:tc>
        <w:tc>
          <w:tcPr>
            <w:tcW w:w="2693" w:type="dxa"/>
            <w:tcBorders>
              <w:top w:val="nil"/>
              <w:bottom w:val="nil"/>
            </w:tcBorders>
          </w:tcPr>
          <w:p>
            <w:pPr>
              <w:pStyle w:val="nTable"/>
              <w:spacing w:after="40"/>
              <w:rPr>
                <w:snapToGrid w:val="0"/>
                <w:spacing w:val="-2"/>
              </w:rPr>
            </w:pPr>
            <w:r>
              <w:rPr>
                <w:snapToGrid w:val="0"/>
                <w:spacing w:val="-2"/>
              </w:rPr>
              <w:t>bl. 1 and 2: 26 Nov 2010 (see bl. 2(a));</w:t>
            </w:r>
            <w:r>
              <w:rPr>
                <w:snapToGrid w:val="0"/>
                <w:spacing w:val="-2"/>
              </w:rPr>
              <w:br/>
              <w:t xml:space="preserve">By-laws other than bl. 1 and 2: </w:t>
            </w:r>
            <w:r>
              <w:rPr>
                <w:snapToGrid w:val="0"/>
              </w:rPr>
              <w:t>1 Jan 2011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2011</w:t>
            </w:r>
          </w:p>
        </w:tc>
        <w:tc>
          <w:tcPr>
            <w:tcW w:w="1276" w:type="dxa"/>
            <w:tcBorders>
              <w:top w:val="nil"/>
              <w:bottom w:val="nil"/>
            </w:tcBorders>
          </w:tcPr>
          <w:p>
            <w:pPr>
              <w:pStyle w:val="nTable"/>
              <w:spacing w:after="40"/>
            </w:pPr>
            <w:r>
              <w:t>24 Jun 2011 p. 2505-6</w:t>
            </w:r>
          </w:p>
        </w:tc>
        <w:tc>
          <w:tcPr>
            <w:tcW w:w="2693" w:type="dxa"/>
            <w:tcBorders>
              <w:top w:val="nil"/>
              <w:bottom w:val="nil"/>
            </w:tcBorders>
          </w:tcPr>
          <w:p>
            <w:pPr>
              <w:pStyle w:val="nTable"/>
              <w:spacing w:after="40"/>
              <w:rPr>
                <w:snapToGrid w:val="0"/>
                <w:spacing w:val="-2"/>
              </w:rPr>
            </w:pPr>
            <w:r>
              <w:rPr>
                <w:snapToGrid w:val="0"/>
                <w:spacing w:val="-2"/>
              </w:rPr>
              <w:t>bl. 1 and 2: 24 Jun 2011 (see bl. 2(a));</w:t>
            </w:r>
            <w:r>
              <w:rPr>
                <w:snapToGrid w:val="0"/>
                <w:spacing w:val="-2"/>
              </w:rPr>
              <w:br/>
              <w:t xml:space="preserve">By-laws other than bl. 1 and 2: </w:t>
            </w:r>
            <w:r>
              <w:rPr>
                <w:snapToGrid w:val="0"/>
              </w:rPr>
              <w:t>1 Jul 2011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(No. 2) 2011</w:t>
            </w:r>
          </w:p>
        </w:tc>
        <w:tc>
          <w:tcPr>
            <w:tcW w:w="1276" w:type="dxa"/>
            <w:tcBorders>
              <w:top w:val="nil"/>
              <w:bottom w:val="nil"/>
            </w:tcBorders>
          </w:tcPr>
          <w:p>
            <w:pPr>
              <w:pStyle w:val="nTable"/>
              <w:spacing w:after="40"/>
            </w:pPr>
            <w:r>
              <w:t>23 Dec 2011 p. 5434</w:t>
            </w:r>
            <w:r>
              <w:noBreakHyphen/>
              <w:t>8</w:t>
            </w:r>
          </w:p>
        </w:tc>
        <w:tc>
          <w:tcPr>
            <w:tcW w:w="2693" w:type="dxa"/>
            <w:tcBorders>
              <w:top w:val="nil"/>
              <w:bottom w:val="nil"/>
            </w:tcBorders>
          </w:tcPr>
          <w:p>
            <w:pPr>
              <w:pStyle w:val="nTable"/>
              <w:spacing w:after="40"/>
              <w:rPr>
                <w:snapToGrid w:val="0"/>
                <w:spacing w:val="-2"/>
              </w:rPr>
            </w:pPr>
            <w:r>
              <w:rPr>
                <w:snapToGrid w:val="0"/>
                <w:spacing w:val="-2"/>
              </w:rPr>
              <w:t>bl. 1 and 2: 23 Dec 2011 (see bl. 2(a));</w:t>
            </w:r>
            <w:r>
              <w:rPr>
                <w:snapToGrid w:val="0"/>
                <w:spacing w:val="-2"/>
              </w:rPr>
              <w:br/>
              <w:t xml:space="preserve">By-laws other than bl. 1 and 2: </w:t>
            </w:r>
            <w:r>
              <w:rPr>
                <w:snapToGrid w:val="0"/>
              </w:rPr>
              <w:t>1 Jan 2012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2012</w:t>
            </w:r>
          </w:p>
        </w:tc>
        <w:tc>
          <w:tcPr>
            <w:tcW w:w="1276" w:type="dxa"/>
            <w:tcBorders>
              <w:top w:val="nil"/>
              <w:bottom w:val="nil"/>
            </w:tcBorders>
          </w:tcPr>
          <w:p>
            <w:pPr>
              <w:pStyle w:val="nTable"/>
              <w:spacing w:after="40"/>
            </w:pPr>
            <w:r>
              <w:t>23 Oct 2012 p. 5056</w:t>
            </w:r>
          </w:p>
        </w:tc>
        <w:tc>
          <w:tcPr>
            <w:tcW w:w="2693" w:type="dxa"/>
            <w:tcBorders>
              <w:top w:val="nil"/>
              <w:bottom w:val="nil"/>
            </w:tcBorders>
          </w:tcPr>
          <w:p>
            <w:pPr>
              <w:pStyle w:val="nTable"/>
              <w:spacing w:after="40"/>
              <w:rPr>
                <w:snapToGrid w:val="0"/>
                <w:spacing w:val="-2"/>
              </w:rPr>
            </w:pPr>
            <w:r>
              <w:rPr>
                <w:snapToGrid w:val="0"/>
                <w:spacing w:val="-2"/>
              </w:rPr>
              <w:t>bl. 1 and 2: 23 Oct 2012 (see bl. 2(a));</w:t>
            </w:r>
            <w:r>
              <w:rPr>
                <w:snapToGrid w:val="0"/>
                <w:spacing w:val="-2"/>
              </w:rPr>
              <w:br/>
              <w:t>By-laws other than bl. 1 and 2: 24 Oct 2012 (see bl. 2(b))</w:t>
            </w:r>
          </w:p>
        </w:tc>
      </w:tr>
      <w:tr>
        <w:tc>
          <w:tcPr>
            <w:tcW w:w="3118" w:type="dxa"/>
            <w:tcBorders>
              <w:top w:val="nil"/>
              <w:bottom w:val="nil"/>
            </w:tcBorders>
          </w:tcPr>
          <w:p>
            <w:pPr>
              <w:pStyle w:val="nTable"/>
              <w:spacing w:after="40"/>
              <w:rPr>
                <w:i/>
                <w:iCs/>
              </w:rPr>
            </w:pPr>
            <w:r>
              <w:rPr>
                <w:i/>
                <w:iCs/>
              </w:rPr>
              <w:t>Royal Perth Hospital Amendment By</w:t>
            </w:r>
            <w:r>
              <w:rPr>
                <w:i/>
                <w:iCs/>
              </w:rPr>
              <w:noBreakHyphen/>
              <w:t>laws 2013</w:t>
            </w:r>
          </w:p>
        </w:tc>
        <w:tc>
          <w:tcPr>
            <w:tcW w:w="1276" w:type="dxa"/>
            <w:tcBorders>
              <w:top w:val="nil"/>
              <w:bottom w:val="nil"/>
            </w:tcBorders>
          </w:tcPr>
          <w:p>
            <w:pPr>
              <w:pStyle w:val="nTable"/>
              <w:spacing w:after="40"/>
            </w:pPr>
            <w:r>
              <w:t>28 Jun 2013 p. 2751</w:t>
            </w:r>
          </w:p>
        </w:tc>
        <w:tc>
          <w:tcPr>
            <w:tcW w:w="2693" w:type="dxa"/>
            <w:tcBorders>
              <w:top w:val="nil"/>
              <w:bottom w:val="nil"/>
            </w:tcBorders>
          </w:tcPr>
          <w:p>
            <w:pPr>
              <w:pStyle w:val="nTable"/>
              <w:spacing w:after="40"/>
              <w:rPr>
                <w:snapToGrid w:val="0"/>
                <w:spacing w:val="-2"/>
              </w:rPr>
            </w:pPr>
            <w:r>
              <w:rPr>
                <w:snapToGrid w:val="0"/>
                <w:spacing w:val="-2"/>
              </w:rPr>
              <w:t>bl. 1 and 2: 28 Jun 2013 (see bl. 2(a));</w:t>
            </w:r>
            <w:r>
              <w:rPr>
                <w:snapToGrid w:val="0"/>
                <w:spacing w:val="-2"/>
              </w:rPr>
              <w:br/>
              <w:t>By-laws other than bl. 1 and 2: 1 Jul 2013 (see bl. 2(b))</w:t>
            </w:r>
          </w:p>
        </w:tc>
      </w:tr>
      <w:tr>
        <w:tc>
          <w:tcPr>
            <w:tcW w:w="7087" w:type="dxa"/>
            <w:gridSpan w:val="3"/>
            <w:tcBorders>
              <w:top w:val="nil"/>
              <w:bottom w:val="nil"/>
            </w:tcBorders>
          </w:tcPr>
          <w:p>
            <w:pPr>
              <w:pStyle w:val="nTable"/>
              <w:spacing w:after="40"/>
              <w:rPr>
                <w:snapToGrid w:val="0"/>
                <w:spacing w:val="-2"/>
              </w:rPr>
            </w:pPr>
            <w:r>
              <w:rPr>
                <w:b/>
                <w:snapToGrid w:val="0"/>
                <w:spacing w:val="-2"/>
              </w:rPr>
              <w:t xml:space="preserve">Reprint 1:  The </w:t>
            </w:r>
            <w:r>
              <w:rPr>
                <w:b/>
                <w:i/>
                <w:snapToGrid w:val="0"/>
                <w:spacing w:val="-2"/>
              </w:rPr>
              <w:t>Royal Perth Hospital By-laws 2009</w:t>
            </w:r>
            <w:r>
              <w:rPr>
                <w:b/>
                <w:snapToGrid w:val="0"/>
                <w:spacing w:val="-2"/>
              </w:rPr>
              <w:t xml:space="preserve"> as at 5 Jul 2013</w:t>
            </w:r>
            <w:r>
              <w:rPr>
                <w:snapToGrid w:val="0"/>
                <w:spacing w:val="-2"/>
              </w:rPr>
              <w:t xml:space="preserve"> (includes amendments listed above) </w:t>
            </w:r>
          </w:p>
        </w:tc>
      </w:tr>
      <w:tr>
        <w:tc>
          <w:tcPr>
            <w:tcW w:w="3118" w:type="dxa"/>
            <w:tcBorders>
              <w:top w:val="nil"/>
              <w:bottom w:val="single" w:sz="2" w:space="0" w:color="auto"/>
            </w:tcBorders>
          </w:tcPr>
          <w:p>
            <w:pPr>
              <w:pStyle w:val="nTable"/>
              <w:spacing w:after="40"/>
              <w:rPr>
                <w:i/>
                <w:iCs/>
              </w:rPr>
            </w:pPr>
            <w:r>
              <w:rPr>
                <w:i/>
              </w:rPr>
              <w:t>Royal Perth Hospital Amendment By</w:t>
            </w:r>
            <w:r>
              <w:rPr>
                <w:i/>
              </w:rPr>
              <w:noBreakHyphen/>
              <w:t>laws 2014</w:t>
            </w:r>
          </w:p>
        </w:tc>
        <w:tc>
          <w:tcPr>
            <w:tcW w:w="1276" w:type="dxa"/>
            <w:tcBorders>
              <w:top w:val="nil"/>
              <w:bottom w:val="single" w:sz="2" w:space="0" w:color="auto"/>
            </w:tcBorders>
          </w:tcPr>
          <w:p>
            <w:pPr>
              <w:pStyle w:val="nTable"/>
              <w:spacing w:after="40"/>
            </w:pPr>
            <w:r>
              <w:t>13 Jun 2014 p. 1871</w:t>
            </w:r>
            <w:r>
              <w:noBreakHyphen/>
              <w:t>4</w:t>
            </w:r>
          </w:p>
        </w:tc>
        <w:tc>
          <w:tcPr>
            <w:tcW w:w="2693" w:type="dxa"/>
            <w:tcBorders>
              <w:top w:val="nil"/>
              <w:bottom w:val="single" w:sz="2" w:space="0" w:color="auto"/>
            </w:tcBorders>
          </w:tcPr>
          <w:p>
            <w:pPr>
              <w:pStyle w:val="nTable"/>
              <w:spacing w:after="40"/>
              <w:rPr>
                <w:snapToGrid w:val="0"/>
                <w:spacing w:val="-2"/>
              </w:rPr>
            </w:pPr>
            <w:r>
              <w:rPr>
                <w:snapToGrid w:val="0"/>
                <w:spacing w:val="-2"/>
              </w:rPr>
              <w:t>bl</w:t>
            </w:r>
            <w:r>
              <w:rPr>
                <w:rFonts w:ascii="Times" w:hAnsi="Times"/>
                <w:bCs/>
                <w:snapToGrid w:val="0"/>
                <w:spacing w:val="-2"/>
              </w:rPr>
              <w:t>. 1 and 2: 13 Jun 2014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2014 (see </w:t>
            </w:r>
            <w:r>
              <w:rPr>
                <w:snapToGrid w:val="0"/>
                <w:spacing w:val="-2"/>
              </w:rPr>
              <w:t>bl</w:t>
            </w:r>
            <w:r>
              <w:rPr>
                <w:rFonts w:ascii="Times" w:hAnsi="Times"/>
                <w:bCs/>
                <w:snapToGrid w:val="0"/>
                <w:spacing w:val="-2"/>
              </w:rPr>
              <w:t>. 2(b))</w:t>
            </w:r>
            <w:r>
              <w:rPr>
                <w:snapToGrid w:val="0"/>
                <w:spacing w:val="-2"/>
              </w:rPr>
              <w:t xml:space="preserve"> </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7" w:name="_Toc408569026"/>
      <w:bookmarkStart w:id="98" w:name="_Toc416692987"/>
      <w:r>
        <w:t>Provisions that have not come into operation</w:t>
      </w:r>
      <w:bookmarkEnd w:id="97"/>
      <w:bookmarkEnd w:id="9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Royal Perth Hospital Amendment By</w:t>
            </w:r>
            <w:r>
              <w:rPr>
                <w:i/>
              </w:rPr>
              <w:noBreakHyphen/>
              <w:t>laws (No. 2) 2014</w:t>
            </w:r>
            <w:r>
              <w:t xml:space="preserve"> bl. 3</w:t>
            </w:r>
            <w:r>
              <w:noBreakHyphen/>
              <w:t>9</w:t>
            </w:r>
            <w:r>
              <w:rPr>
                <w:vertAlign w:val="superscript"/>
              </w:rPr>
              <w:t> 2</w:t>
            </w:r>
          </w:p>
        </w:tc>
        <w:tc>
          <w:tcPr>
            <w:tcW w:w="1276" w:type="dxa"/>
            <w:tcBorders>
              <w:top w:val="single" w:sz="4" w:space="0" w:color="auto"/>
              <w:bottom w:val="single" w:sz="4" w:space="0" w:color="auto"/>
            </w:tcBorders>
          </w:tcPr>
          <w:p>
            <w:pPr>
              <w:pStyle w:val="nTable"/>
              <w:spacing w:after="40"/>
            </w:pPr>
            <w:r>
              <w:t>8 Jan 2015 p. 193</w:t>
            </w:r>
            <w:r>
              <w:noBreakHyphen/>
              <w:t>6</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bl. 2(b))</w:t>
            </w:r>
          </w:p>
        </w:tc>
      </w:tr>
    </w:tbl>
    <w:p>
      <w:pPr>
        <w:pStyle w:val="nSubsection"/>
      </w:pPr>
      <w:r>
        <w:rPr>
          <w:vertAlign w:val="superscript"/>
        </w:rPr>
        <w:t>2</w:t>
      </w:r>
      <w:r>
        <w:tab/>
        <w:t xml:space="preserve">On the date as at which this compilation was prepared, </w:t>
      </w:r>
      <w:r>
        <w:rPr>
          <w:snapToGrid w:val="0"/>
        </w:rPr>
        <w:t xml:space="preserve">the </w:t>
      </w:r>
      <w:r>
        <w:rPr>
          <w:i/>
        </w:rPr>
        <w:t>Royal Perth Hospital Amendment By laws (No. 2) 2014</w:t>
      </w:r>
      <w:r>
        <w:t xml:space="preserve"> bl. 3-9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By-laws amended</w:t>
      </w:r>
    </w:p>
    <w:p>
      <w:pPr>
        <w:pStyle w:val="nzSubsection"/>
      </w:pPr>
      <w:r>
        <w:tab/>
      </w:r>
      <w:r>
        <w:tab/>
      </w:r>
      <w:r>
        <w:rPr>
          <w:spacing w:val="-2"/>
        </w:rPr>
        <w:t>These</w:t>
      </w:r>
      <w:r>
        <w:t xml:space="preserve"> by-laws amend the </w:t>
      </w:r>
      <w:r>
        <w:rPr>
          <w:i/>
        </w:rPr>
        <w:t>Royal Perth Hospital By</w:t>
      </w:r>
      <w:r>
        <w:rPr>
          <w:i/>
        </w:rPr>
        <w:noBreakHyphen/>
        <w:t>laws 2009</w:t>
      </w:r>
      <w:r>
        <w:t>.</w:t>
      </w:r>
    </w:p>
    <w:p>
      <w:pPr>
        <w:pStyle w:val="nzHeading5"/>
      </w:pPr>
      <w:r>
        <w:rPr>
          <w:rStyle w:val="CharSectno"/>
        </w:rPr>
        <w:t>4</w:t>
      </w:r>
      <w:r>
        <w:t>.</w:t>
      </w:r>
      <w:r>
        <w:tab/>
        <w:t>By</w:t>
      </w:r>
      <w:r>
        <w:noBreakHyphen/>
        <w:t>law 3 amended</w:t>
      </w:r>
    </w:p>
    <w:p>
      <w:pPr>
        <w:pStyle w:val="nzSubsection"/>
      </w:pPr>
      <w:r>
        <w:tab/>
        <w:t>(1)</w:t>
      </w:r>
      <w:r>
        <w:tab/>
        <w:t>In by</w:t>
      </w:r>
      <w:r>
        <w:noBreakHyphen/>
        <w:t xml:space="preserve">law 3(1) delete the definition of </w:t>
      </w:r>
      <w:r>
        <w:rPr>
          <w:b/>
          <w:i/>
        </w:rPr>
        <w:t>registered owner</w:t>
      </w:r>
      <w:r>
        <w:t>.</w:t>
      </w:r>
    </w:p>
    <w:p>
      <w:pPr>
        <w:pStyle w:val="nzSubsection"/>
      </w:pPr>
      <w:r>
        <w:tab/>
        <w:t>(2)</w:t>
      </w:r>
      <w:r>
        <w:tab/>
        <w:t>In by</w:t>
      </w:r>
      <w:r>
        <w:noBreakHyphen/>
        <w:t>law 3(1) insert in alphabetical order:</w:t>
      </w:r>
    </w:p>
    <w:p>
      <w:pPr>
        <w:pStyle w:val="BlankOpen"/>
      </w:pPr>
    </w:p>
    <w:p>
      <w:pPr>
        <w:pStyle w:val="nzDefstart"/>
      </w:pPr>
      <w:r>
        <w:tab/>
      </w:r>
      <w:r>
        <w:rPr>
          <w:rStyle w:val="CharDefText"/>
        </w:rPr>
        <w:t>responsible person</w:t>
      </w:r>
      <w:r>
        <w:t>, for a vehicle, means the person responsible for the vehicle under</w:t>
      </w:r>
      <w:r>
        <w:rPr>
          <w:rStyle w:val="CharDefText"/>
        </w:rPr>
        <w:t xml:space="preserve"> </w:t>
      </w:r>
      <w:r>
        <w:t xml:space="preserve">the </w:t>
      </w:r>
      <w:r>
        <w:rPr>
          <w:i/>
        </w:rPr>
        <w:t>Road Traffic (Administration) Act 2008</w:t>
      </w:r>
      <w:r>
        <w:t xml:space="preserve"> section 6;</w:t>
      </w:r>
    </w:p>
    <w:p>
      <w:pPr>
        <w:pStyle w:val="BlankClose"/>
      </w:pPr>
    </w:p>
    <w:p>
      <w:pPr>
        <w:pStyle w:val="nzSubsection"/>
      </w:pPr>
      <w:r>
        <w:tab/>
        <w:t>(3)</w:t>
      </w:r>
      <w:r>
        <w:tab/>
        <w:t>In by</w:t>
      </w:r>
      <w:r>
        <w:noBreakHyphen/>
        <w:t xml:space="preserve">law 3(1) in the definition of </w:t>
      </w:r>
      <w:r>
        <w:rPr>
          <w:b/>
          <w:i/>
        </w:rPr>
        <w:t>roadway</w:t>
      </w:r>
      <w:r>
        <w:t xml:space="preserve"> delete “definition of the </w:t>
      </w:r>
      <w:r>
        <w:rPr>
          <w:i/>
        </w:rPr>
        <w:t>Road Traffic Act 1974</w:t>
      </w:r>
      <w:r>
        <w:t>,” and insert:</w:t>
      </w:r>
    </w:p>
    <w:p>
      <w:pPr>
        <w:pStyle w:val="BlankOpen"/>
      </w:pPr>
    </w:p>
    <w:p>
      <w:pPr>
        <w:pStyle w:val="nzSubsection"/>
      </w:pPr>
      <w:r>
        <w:tab/>
      </w:r>
      <w:r>
        <w:tab/>
        <w:t xml:space="preserve">meaning of the </w:t>
      </w:r>
      <w:r>
        <w:rPr>
          <w:i/>
        </w:rPr>
        <w:t xml:space="preserve">Road Traffic (Administration) Act 2008 </w:t>
      </w:r>
      <w:r>
        <w:t>section 4,</w:t>
      </w:r>
    </w:p>
    <w:p>
      <w:pPr>
        <w:pStyle w:val="BlankClose"/>
      </w:pPr>
    </w:p>
    <w:p>
      <w:pPr>
        <w:pStyle w:val="nzSubsection"/>
      </w:pPr>
      <w:r>
        <w:tab/>
        <w:t>(4)</w:t>
      </w:r>
      <w:r>
        <w:tab/>
        <w:t>In by</w:t>
      </w:r>
      <w:r>
        <w:noBreakHyphen/>
        <w:t xml:space="preserve">law 3(1) in the definition of </w:t>
      </w:r>
      <w:r>
        <w:rPr>
          <w:b/>
          <w:i/>
        </w:rPr>
        <w:t>vehicle</w:t>
      </w:r>
      <w:r>
        <w:t xml:space="preserve"> delete “same definition as in the </w:t>
      </w:r>
      <w:r>
        <w:rPr>
          <w:i/>
        </w:rPr>
        <w:t>Road Traffic Act 1974</w:t>
      </w:r>
      <w:r>
        <w:t>;” and insert:</w:t>
      </w:r>
    </w:p>
    <w:p>
      <w:pPr>
        <w:pStyle w:val="BlankOpen"/>
      </w:pPr>
    </w:p>
    <w:p>
      <w:pPr>
        <w:pStyle w:val="nzSubsection"/>
      </w:pPr>
      <w:r>
        <w:tab/>
      </w:r>
      <w:r>
        <w:tab/>
        <w:t xml:space="preserve">meaning given in the </w:t>
      </w:r>
      <w:r>
        <w:rPr>
          <w:i/>
        </w:rPr>
        <w:t xml:space="preserve">Road Traffic (Administration) Act 2008 </w:t>
      </w:r>
      <w:r>
        <w:t>section 4;</w:t>
      </w:r>
    </w:p>
    <w:p>
      <w:pPr>
        <w:pStyle w:val="BlankClose"/>
      </w:pPr>
    </w:p>
    <w:p>
      <w:pPr>
        <w:pStyle w:val="nzHeading5"/>
      </w:pPr>
      <w:r>
        <w:rPr>
          <w:rStyle w:val="CharSectno"/>
        </w:rPr>
        <w:t>5</w:t>
      </w:r>
      <w:r>
        <w:t>.</w:t>
      </w:r>
      <w:r>
        <w:tab/>
        <w:t>By</w:t>
      </w:r>
      <w:r>
        <w:noBreakHyphen/>
        <w:t>law 19 amended</w:t>
      </w:r>
    </w:p>
    <w:p>
      <w:pPr>
        <w:pStyle w:val="nzSubsection"/>
      </w:pPr>
      <w:r>
        <w:tab/>
      </w:r>
      <w:r>
        <w:tab/>
        <w:t>In by</w:t>
      </w:r>
      <w:r>
        <w:noBreakHyphen/>
        <w:t xml:space="preserve">law 19 in the definition of </w:t>
      </w:r>
      <w:r>
        <w:rPr>
          <w:b/>
          <w:i/>
        </w:rPr>
        <w:t>alleged offender</w:t>
      </w:r>
      <w:r>
        <w:t xml:space="preserve"> delete “registered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Heading5"/>
      </w:pPr>
      <w:r>
        <w:rPr>
          <w:rStyle w:val="CharSectno"/>
        </w:rPr>
        <w:t>6</w:t>
      </w:r>
      <w:r>
        <w:t>.</w:t>
      </w:r>
      <w:r>
        <w:tab/>
        <w:t>By</w:t>
      </w:r>
      <w:r>
        <w:noBreakHyphen/>
        <w:t>law 24 amended</w:t>
      </w:r>
    </w:p>
    <w:p>
      <w:pPr>
        <w:pStyle w:val="nzSubsection"/>
      </w:pPr>
      <w:r>
        <w:tab/>
      </w:r>
      <w:r>
        <w:tab/>
        <w:t>Delete by</w:t>
      </w:r>
      <w:r>
        <w:noBreakHyphen/>
        <w:t>law 24(a) and insert:</w:t>
      </w:r>
    </w:p>
    <w:p>
      <w:pPr>
        <w:pStyle w:val="BlankOpen"/>
      </w:pPr>
    </w:p>
    <w:p>
      <w:pPr>
        <w:pStyle w:val="nzIndenta"/>
      </w:pPr>
      <w:r>
        <w:tab/>
        <w:t>(a)</w:t>
      </w:r>
      <w:r>
        <w:tab/>
        <w:t>the driver of, responsible person for, or person in charge of, the vehicle; or</w:t>
      </w:r>
    </w:p>
    <w:p>
      <w:pPr>
        <w:pStyle w:val="BlankClose"/>
      </w:pPr>
    </w:p>
    <w:p>
      <w:pPr>
        <w:pStyle w:val="nzHeading5"/>
      </w:pPr>
      <w:r>
        <w:rPr>
          <w:rStyle w:val="CharSectno"/>
        </w:rPr>
        <w:t>7</w:t>
      </w:r>
      <w:r>
        <w:t>.</w:t>
      </w:r>
      <w:r>
        <w:tab/>
        <w:t>By</w:t>
      </w:r>
      <w:r>
        <w:noBreakHyphen/>
        <w:t>law 25 amended</w:t>
      </w:r>
    </w:p>
    <w:p>
      <w:pPr>
        <w:pStyle w:val="nzSubsection"/>
      </w:pPr>
      <w:r>
        <w:tab/>
      </w:r>
      <w:r>
        <w:tab/>
        <w:t>In by</w:t>
      </w:r>
      <w:r>
        <w:noBreakHyphen/>
        <w:t>law 25(4):</w:t>
      </w:r>
    </w:p>
    <w:p>
      <w:pPr>
        <w:pStyle w:val="nzIndenta"/>
      </w:pPr>
      <w:r>
        <w:tab/>
        <w:t>(a)</w:t>
      </w:r>
      <w:r>
        <w:tab/>
        <w:t>in paragraph (a) delete “owner o</w:t>
      </w:r>
      <w:r>
        <w:rPr>
          <w:spacing w:val="32"/>
        </w:rPr>
        <w:t>f”</w:t>
      </w:r>
      <w:r>
        <w:t xml:space="preserve"> and insert:</w:t>
      </w:r>
    </w:p>
    <w:p>
      <w:pPr>
        <w:pStyle w:val="BlankOpen"/>
      </w:pPr>
    </w:p>
    <w:p>
      <w:pPr>
        <w:pStyle w:val="nzIndenta"/>
      </w:pPr>
      <w:r>
        <w:tab/>
      </w:r>
      <w:r>
        <w:tab/>
        <w:t>responsible person for</w:t>
      </w:r>
    </w:p>
    <w:p>
      <w:pPr>
        <w:pStyle w:val="BlankClose"/>
      </w:pPr>
    </w:p>
    <w:p>
      <w:pPr>
        <w:pStyle w:val="nzIndenta"/>
      </w:pPr>
      <w:r>
        <w:tab/>
        <w:t>(b)</w:t>
      </w:r>
      <w:r>
        <w:tab/>
        <w:t>in paragraph (b) delete “owner” and insert:</w:t>
      </w:r>
    </w:p>
    <w:p>
      <w:pPr>
        <w:pStyle w:val="BlankOpen"/>
      </w:pPr>
    </w:p>
    <w:p>
      <w:pPr>
        <w:pStyle w:val="nzIndenta"/>
      </w:pPr>
      <w:r>
        <w:tab/>
      </w:r>
      <w:r>
        <w:tab/>
        <w:t>responsible person for</w:t>
      </w:r>
    </w:p>
    <w:p>
      <w:pPr>
        <w:pStyle w:val="BlankClose"/>
      </w:pPr>
    </w:p>
    <w:p>
      <w:pPr>
        <w:pStyle w:val="nzHeading5"/>
      </w:pPr>
      <w:r>
        <w:rPr>
          <w:rStyle w:val="CharSectno"/>
        </w:rPr>
        <w:t>8</w:t>
      </w:r>
      <w:r>
        <w:t>.</w:t>
      </w:r>
      <w:r>
        <w:tab/>
        <w:t>By</w:t>
      </w:r>
      <w:r>
        <w:noBreakHyphen/>
        <w:t>law 26 amended</w:t>
      </w:r>
    </w:p>
    <w:p>
      <w:pPr>
        <w:pStyle w:val="nzSubsection"/>
      </w:pPr>
      <w:r>
        <w:tab/>
        <w:t>(1)</w:t>
      </w:r>
      <w:r>
        <w:tab/>
        <w:t>In by</w:t>
      </w:r>
      <w:r>
        <w:noBreakHyphen/>
        <w:t>law 26(1) delete “registered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Subsection"/>
      </w:pPr>
      <w:r>
        <w:tab/>
        <w:t>(2)</w:t>
      </w:r>
      <w:r>
        <w:tab/>
        <w:t>In by</w:t>
      </w:r>
      <w:r>
        <w:noBreakHyphen/>
        <w:t>law 26(2):</w:t>
      </w:r>
    </w:p>
    <w:p>
      <w:pPr>
        <w:pStyle w:val="nzIndenta"/>
      </w:pPr>
      <w:r>
        <w:tab/>
        <w:t>(a)</w:t>
      </w:r>
      <w:r>
        <w:tab/>
        <w:t>delete “registered owner o</w:t>
      </w:r>
      <w:r>
        <w:rPr>
          <w:spacing w:val="32"/>
        </w:rPr>
        <w:t>f”</w:t>
      </w:r>
      <w:r>
        <w:t xml:space="preserve"> and insert:</w:t>
      </w:r>
    </w:p>
    <w:p>
      <w:pPr>
        <w:pStyle w:val="BlankOpen"/>
      </w:pPr>
    </w:p>
    <w:p>
      <w:pPr>
        <w:pStyle w:val="nzIndenta"/>
      </w:pPr>
      <w:r>
        <w:tab/>
      </w:r>
      <w:r>
        <w:tab/>
        <w:t>responsible person for</w:t>
      </w:r>
    </w:p>
    <w:p>
      <w:pPr>
        <w:pStyle w:val="BlankClose"/>
      </w:pPr>
    </w:p>
    <w:p>
      <w:pPr>
        <w:pStyle w:val="nzIndenta"/>
      </w:pPr>
      <w:r>
        <w:tab/>
        <w:t>(b)</w:t>
      </w:r>
      <w:r>
        <w:tab/>
        <w:t>delete “registered owner is” and insert:</w:t>
      </w:r>
    </w:p>
    <w:p>
      <w:pPr>
        <w:pStyle w:val="BlankOpen"/>
      </w:pPr>
    </w:p>
    <w:p>
      <w:pPr>
        <w:pStyle w:val="nzIndenta"/>
      </w:pPr>
      <w:r>
        <w:tab/>
      </w:r>
      <w:r>
        <w:tab/>
        <w:t>responsible person is</w:t>
      </w:r>
    </w:p>
    <w:p>
      <w:pPr>
        <w:pStyle w:val="BlankClose"/>
      </w:pPr>
    </w:p>
    <w:p>
      <w:pPr>
        <w:pStyle w:val="nzNotesPerm"/>
        <w:tabs>
          <w:tab w:val="left" w:pos="1985"/>
        </w:tabs>
      </w:pPr>
      <w:r>
        <w:tab/>
        <w:t>Note:</w:t>
      </w:r>
      <w:r>
        <w:tab/>
        <w:t>The heading to amended by</w:t>
      </w:r>
      <w:r>
        <w:noBreakHyphen/>
        <w:t>law 26 is to read:</w:t>
      </w:r>
    </w:p>
    <w:p>
      <w:pPr>
        <w:pStyle w:val="nzNotesPerm"/>
        <w:tabs>
          <w:tab w:val="left" w:pos="1985"/>
        </w:tabs>
        <w:ind w:left="1985" w:hanging="1418"/>
        <w:rPr>
          <w:b/>
          <w:snapToGrid w:val="0"/>
        </w:rPr>
      </w:pPr>
      <w:r>
        <w:tab/>
      </w:r>
      <w:r>
        <w:tab/>
      </w:r>
      <w:r>
        <w:rPr>
          <w:b/>
          <w:snapToGrid w:val="0"/>
        </w:rPr>
        <w:t>Responsible person may be treated as driver or person in charge of vehicle</w:t>
      </w:r>
    </w:p>
    <w:p>
      <w:pPr>
        <w:pStyle w:val="nzHeading5"/>
      </w:pPr>
      <w:r>
        <w:rPr>
          <w:rStyle w:val="CharSectno"/>
        </w:rPr>
        <w:t>9</w:t>
      </w:r>
      <w:r>
        <w:t>.</w:t>
      </w:r>
      <w:r>
        <w:tab/>
        <w:t>Schedule 3 amended</w:t>
      </w:r>
    </w:p>
    <w:p>
      <w:pPr>
        <w:pStyle w:val="nzSubsection"/>
        <w:keepNext/>
      </w:pPr>
      <w:r>
        <w:tab/>
      </w:r>
      <w:r>
        <w:tab/>
        <w:t>In Schedule 3 Form 1:</w:t>
      </w:r>
    </w:p>
    <w:p>
      <w:pPr>
        <w:pStyle w:val="nzIndenta"/>
        <w:keepNext/>
      </w:pPr>
      <w:r>
        <w:tab/>
        <w:t>(a)</w:t>
      </w:r>
      <w:r>
        <w:tab/>
        <w:t>delete “</w:t>
      </w:r>
      <w:r>
        <w:rPr>
          <w:sz w:val="22"/>
          <w:szCs w:val="22"/>
        </w:rPr>
        <w:t>owner of</w:t>
      </w:r>
      <w:r>
        <w:t>” and insert:</w:t>
      </w:r>
    </w:p>
    <w:p>
      <w:pPr>
        <w:pStyle w:val="BlankOpen"/>
      </w:pPr>
    </w:p>
    <w:p>
      <w:pPr>
        <w:pStyle w:val="nzIndenta"/>
      </w:pPr>
      <w:r>
        <w:tab/>
      </w:r>
      <w:r>
        <w:tab/>
      </w:r>
      <w:r>
        <w:rPr>
          <w:sz w:val="22"/>
          <w:szCs w:val="22"/>
        </w:rPr>
        <w:t>responsible person for</w:t>
      </w:r>
    </w:p>
    <w:p>
      <w:pPr>
        <w:pStyle w:val="BlankClose"/>
      </w:pPr>
    </w:p>
    <w:p>
      <w:pPr>
        <w:pStyle w:val="nzIndenta"/>
      </w:pPr>
      <w:r>
        <w:tab/>
        <w:t>(b)</w:t>
      </w:r>
      <w:r>
        <w:tab/>
        <w:t>delete “</w:t>
      </w:r>
      <w:r>
        <w:rPr>
          <w:sz w:val="22"/>
          <w:szCs w:val="22"/>
        </w:rPr>
        <w:t>owner.</w:t>
      </w:r>
      <w:r>
        <w:t>” and insert:</w:t>
      </w:r>
    </w:p>
    <w:p>
      <w:pPr>
        <w:pStyle w:val="BlankOpen"/>
      </w:pPr>
    </w:p>
    <w:p>
      <w:pPr>
        <w:pStyle w:val="nzIndenta"/>
      </w:pPr>
      <w:r>
        <w:tab/>
      </w:r>
      <w:r>
        <w:tab/>
      </w:r>
      <w:r>
        <w:rPr>
          <w:sz w:val="22"/>
          <w:szCs w:val="22"/>
        </w:rPr>
        <w:t>responsible person.</w:t>
      </w:r>
    </w:p>
    <w:p>
      <w:pPr>
        <w:pStyle w:val="BlankClose"/>
      </w:pPr>
    </w:p>
    <w:p>
      <w:pPr>
        <w:pStyle w:val="BlankClose"/>
      </w:pPr>
    </w:p>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00" w:name="_Toc416692988"/>
      <w:r>
        <w:rPr>
          <w:sz w:val="28"/>
        </w:rPr>
        <w:t>Defined terms</w:t>
      </w:r>
      <w:bookmarkEnd w:id="1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19</w:t>
      </w:r>
    </w:p>
    <w:p>
      <w:pPr>
        <w:pStyle w:val="DefinedTerms"/>
      </w:pPr>
      <w:r>
        <w:t>authorised person</w:t>
      </w:r>
      <w:r>
        <w:tab/>
        <w:t>3(1)</w:t>
      </w:r>
    </w:p>
    <w:p>
      <w:pPr>
        <w:pStyle w:val="DefinedTerms"/>
      </w:pPr>
      <w:r>
        <w:t>chief executive officer</w:t>
      </w:r>
      <w:r>
        <w:tab/>
        <w:t>3(1)</w:t>
      </w:r>
    </w:p>
    <w:p>
      <w:pPr>
        <w:pStyle w:val="DefinedTerms"/>
      </w:pPr>
      <w:r>
        <w:t>driver</w:t>
      </w:r>
      <w:r>
        <w:tab/>
        <w:t>3(1)</w:t>
      </w:r>
    </w:p>
    <w:p>
      <w:pPr>
        <w:pStyle w:val="DefinedTerms"/>
      </w:pPr>
      <w:r>
        <w:t>Hospital</w:t>
      </w:r>
      <w:r>
        <w:tab/>
        <w:t>3(1)</w:t>
      </w:r>
    </w:p>
    <w:p>
      <w:pPr>
        <w:pStyle w:val="DefinedTerms"/>
      </w:pPr>
      <w:r>
        <w:t>infringement notice</w:t>
      </w:r>
      <w:r>
        <w:tab/>
        <w:t>19</w:t>
      </w:r>
    </w:p>
    <w:p>
      <w:pPr>
        <w:pStyle w:val="DefinedTerms"/>
      </w:pPr>
      <w:r>
        <w:t>modified penalty</w:t>
      </w:r>
      <w:r>
        <w:tab/>
        <w:t>19</w:t>
      </w:r>
    </w:p>
    <w:p>
      <w:pPr>
        <w:pStyle w:val="DefinedTerms"/>
      </w:pPr>
      <w:r>
        <w:t>parking facility</w:t>
      </w:r>
      <w:r>
        <w:tab/>
        <w:t>3(1)</w:t>
      </w:r>
    </w:p>
    <w:p>
      <w:pPr>
        <w:pStyle w:val="DefinedTerms"/>
      </w:pPr>
      <w:r>
        <w:t>parking space</w:t>
      </w:r>
      <w:r>
        <w:tab/>
        <w:t>3(1)</w:t>
      </w:r>
    </w:p>
    <w:p>
      <w:pPr>
        <w:pStyle w:val="DefinedTerms"/>
      </w:pPr>
      <w:r>
        <w:t>permission</w:t>
      </w:r>
      <w:r>
        <w:tab/>
        <w:t>3(2)</w:t>
      </w:r>
    </w:p>
    <w:p>
      <w:pPr>
        <w:pStyle w:val="DefinedTerms"/>
      </w:pPr>
      <w:r>
        <w:t>permit</w:t>
      </w:r>
      <w:r>
        <w:tab/>
        <w:t>3(1)</w:t>
      </w:r>
    </w:p>
    <w:p>
      <w:pPr>
        <w:pStyle w:val="DefinedTerms"/>
      </w:pPr>
      <w:r>
        <w:t>registered owner</w:t>
      </w:r>
      <w:r>
        <w:tab/>
        <w:t>3(1)</w:t>
      </w:r>
    </w:p>
    <w:p>
      <w:pPr>
        <w:pStyle w:val="DefinedTerms"/>
      </w:pPr>
      <w:r>
        <w:t>roadway</w:t>
      </w:r>
      <w:r>
        <w:tab/>
        <w:t>3(1)</w:t>
      </w:r>
    </w:p>
    <w:p>
      <w:pPr>
        <w:pStyle w:val="DefinedTerms"/>
      </w:pPr>
      <w:r>
        <w:t>sign</w:t>
      </w:r>
      <w:r>
        <w:tab/>
        <w:t>3(1)</w:t>
      </w:r>
    </w:p>
    <w:p>
      <w:pPr>
        <w:pStyle w:val="DefinedTerms"/>
      </w:pPr>
      <w:r>
        <w:t>site</w:t>
      </w:r>
      <w:r>
        <w:tab/>
        <w:t>3(1)</w:t>
      </w:r>
    </w:p>
    <w:p>
      <w:pPr>
        <w:pStyle w:val="DefinedTerms"/>
      </w:pPr>
      <w:r>
        <w:t>specified</w:t>
      </w:r>
      <w:r>
        <w:tab/>
        <w:t>5(1), 16(1), 17(1)</w:t>
      </w:r>
    </w:p>
    <w:p>
      <w:pPr>
        <w:pStyle w:val="DefinedTerms"/>
      </w:pPr>
      <w:r>
        <w:t>speed restriction sign</w:t>
      </w:r>
      <w:r>
        <w:tab/>
        <w:t>3(1)</w:t>
      </w:r>
    </w:p>
    <w:p>
      <w:pPr>
        <w:pStyle w:val="DefinedTerms"/>
      </w:pPr>
      <w:r>
        <w:t>vehicle</w:t>
      </w:r>
      <w:r>
        <w:tab/>
        <w:t>3(1)</w:t>
      </w:r>
    </w:p>
    <w:p>
      <w:pPr>
        <w:pStyle w:val="DefinedTerms"/>
      </w:pPr>
      <w:r>
        <w:t>Wellington Street Campus</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Royal Perth Hospital By-laws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Royal Perth Hospital By-laws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1Schedule 3</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2ASchedule 3</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bookmarkStart w:id="88" w:name="Schedule"/>
    <w:bookmarkEnd w:id="8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1Schedule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2ASchedule 3</w:instrText>
          </w:r>
          <w:r>
            <w:rPr>
              <w:b/>
            </w:rPr>
            <w:fldChar w:fldCharType="separate"/>
          </w:r>
          <w:r>
            <w:rPr>
              <w:b/>
            </w:rPr>
            <w:t>Schedule 2</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9" w:name="Compilation"/>
    <w:bookmarkEnd w:id="9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Royal Perth Hospital By-laws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Royal Perth Hospital By-laws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1" w:name="DefinedTerms"/>
    <w:bookmarkEnd w:id="101"/>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2" w:name="Coversheet"/>
    <w:bookmarkEnd w:id="1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B80A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28E231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3C02F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DB0A2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B8C03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B26DD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600CA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A7AA9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EE8A58"/>
    <w:lvl w:ilvl="0">
      <w:start w:val="1"/>
      <w:numFmt w:val="decimal"/>
      <w:pStyle w:val="ListNumber"/>
      <w:lvlText w:val="%1."/>
      <w:lvlJc w:val="left"/>
      <w:pPr>
        <w:tabs>
          <w:tab w:val="num" w:pos="360"/>
        </w:tabs>
        <w:ind w:left="360" w:hanging="360"/>
      </w:pPr>
    </w:lvl>
  </w:abstractNum>
  <w:abstractNum w:abstractNumId="9">
    <w:nsid w:val="FFFFFF89"/>
    <w:multiLevelType w:val="singleLevel"/>
    <w:tmpl w:val="556A5C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745C7D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C6567688"/>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710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3123646"/>
    <w:docVar w:name="WAFER_20140115152818" w:val="RemoveTocBookmarks,RemoveUnusedBookmarks,RemoveLanguageTags,UsedStyles,ResetPageSize,UpdateArrangement"/>
    <w:docVar w:name="WAFER_20140115152818_GUID" w:val="c814223c-d7a3-403b-a473-646056d69939"/>
    <w:docVar w:name="WAFER_20140115160117" w:val="RemoveTocBookmarks,RunningHeaders"/>
    <w:docVar w:name="WAFER_20140115160117_GUID" w:val="c73a1589-94ea-4266-9d70-2b23e0d476e0"/>
    <w:docVar w:name="WAFER_20140613141632" w:val="RemoveTocBookmarks,RunningHeaders"/>
    <w:docVar w:name="WAFER_20140613141632_GUID" w:val="e5e29e2b-9db3-4b0d-be71-4b849917899d"/>
    <w:docVar w:name="WAFER_20140626125937" w:val="RemoveTocBookmarks,RemoveUnusedBookmarks,RemoveLanguageTags,UsedStyles,ResetPageSize,UpdateArrangement"/>
    <w:docVar w:name="WAFER_20140626125937_GUID" w:val="b6069b1c-7b6c-4e1b-a6ef-42d2d44a205e"/>
    <w:docVar w:name="WAFER_20140630170917" w:val="RemoveTocBookmarks,RunningHeaders"/>
    <w:docVar w:name="WAFER_20140630170917_GUID" w:val="1fefc326-15d2-42b4-8176-cd5a765fe896"/>
    <w:docVar w:name="WAFER_20150109114806" w:val="RemoveTocBookmarks,RunningHeaders"/>
    <w:docVar w:name="WAFER_20150109114806_GUID" w:val="234260ab-457a-415a-9e8a-9b2451c43df8"/>
    <w:docVar w:name="WAFER_20150413123646" w:val="ResetPageSize,UpdateArrangement,UpdateNTable"/>
    <w:docVar w:name="WAFER_20150413123646_GUID" w:val="cb4f6137-9657-4a22-b56c-1db58363a4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5157</Words>
  <Characters>25220</Characters>
  <Application>Microsoft Office Word</Application>
  <DocSecurity>0</DocSecurity>
  <Lines>900</Lines>
  <Paragraphs>632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Perth Hospital By-laws 2009 - 01-d0-01</dc:title>
  <dc:subject/>
  <dc:creator/>
  <cp:keywords/>
  <dc:description/>
  <cp:lastModifiedBy>svcMRProcess</cp:lastModifiedBy>
  <cp:revision>4</cp:revision>
  <cp:lastPrinted>2013-07-11T06:14:00Z</cp:lastPrinted>
  <dcterms:created xsi:type="dcterms:W3CDTF">2018-09-18T00:43:00Z</dcterms:created>
  <dcterms:modified xsi:type="dcterms:W3CDTF">2018-09-18T00:43:00Z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 2009 p 1295-315</vt:lpwstr>
  </property>
  <property fmtid="{D5CDD505-2E9C-101B-9397-08002B2CF9AE}" pid="3" name="CommencementDate">
    <vt:lpwstr>20150108</vt:lpwstr>
  </property>
  <property fmtid="{D5CDD505-2E9C-101B-9397-08002B2CF9AE}" pid="4" name="OwlsUID">
    <vt:i4>40847</vt:i4>
  </property>
  <property fmtid="{D5CDD505-2E9C-101B-9397-08002B2CF9AE}" pid="5" name="ReprintNo">
    <vt:lpwstr>1</vt:lpwstr>
  </property>
  <property fmtid="{D5CDD505-2E9C-101B-9397-08002B2CF9AE}" pid="6" name="ReprintedAsAt">
    <vt:filetime>2013-07-04T16:00:00Z</vt:filetime>
  </property>
  <property fmtid="{D5CDD505-2E9C-101B-9397-08002B2CF9AE}" pid="7" name="DocumentType">
    <vt:lpwstr>Reg</vt:lpwstr>
  </property>
  <property fmtid="{D5CDD505-2E9C-101B-9397-08002B2CF9AE}" pid="8" name="AsAtDate">
    <vt:lpwstr>08 Jan 2015</vt:lpwstr>
  </property>
  <property fmtid="{D5CDD505-2E9C-101B-9397-08002B2CF9AE}" pid="9" name="Suffix">
    <vt:lpwstr>01-d0-01</vt:lpwstr>
  </property>
</Properties>
</file>