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Mines Regulation Act 1946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Mines Safety and Inspection Act 1994</w:t>
      </w:r>
      <w:r>
        <w:rPr>
          <w:color w:val="000000"/>
          <w:sz w:val="22"/>
          <w:szCs w:val="22"/>
        </w:rPr>
        <w:t xml:space="preserve"> s. 107(a) (No. 62 of 1994) as at 9 Dec 1995.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222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2221" w:val="UsedStyles"/>
    <w:docVar w:name="WAFER_20160418102221_GUID" w:val="c98321b4-f051-413f-9797-6f78fe92bd8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Regulation Act 1946 - 08-b0-02</dc:title>
  <dc:subject/>
  <dc:creator/>
  <cp:keywords/>
  <dc:description/>
  <cp:lastModifiedBy>svcMRProcess</cp:lastModifiedBy>
  <cp:revision>3</cp:revision>
  <dcterms:created xsi:type="dcterms:W3CDTF">2016-04-18T02:42:00Z</dcterms:created>
  <dcterms:modified xsi:type="dcterms:W3CDTF">2016-04-18T02:42:00Z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08-b0-02</vt:lpwstr>
  </property>
  <property fmtid="{D5CDD505-2E9C-101B-9397-08002B2CF9AE}" pid="3" name="AsAtDate">
    <vt:lpwstr>09 Dec 1995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19951209</vt:lpwstr>
  </property>
</Properties>
</file>