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Co-ordination Act 1966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_Toc415734601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_Toc415734602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_Toc415734603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Fares and charges (Sch. 1)</w:t>
      </w:r>
      <w:r>
        <w:tab/>
      </w:r>
      <w:r>
        <w:fldChar w:fldCharType="begin"/>
      </w:r>
      <w:r>
        <w:instrText xml:space="preserve"> PAGEREF _Toc415734604 \h </w:instrText>
      </w:r>
      <w:r>
        <w:fldChar w:fldCharType="separate"/>
      </w:r>
      <w:r>
        <w:t>2</w:t>
      </w:r>
      <w:r>
        <w:fldChar w:fldCharType="end"/>
      </w:r>
    </w:p>
    <w:p>
      <w:pPr>
        <w:pStyle w:val="TOC8"/>
        <w:rPr>
          <w:rFonts w:asciiTheme="minorHAnsi" w:eastAsiaTheme="minorEastAsia" w:hAnsiTheme="minorHAnsi" w:cstheme="minorBidi"/>
          <w:szCs w:val="22"/>
        </w:rPr>
      </w:pPr>
      <w:r>
        <w:t>3A.</w:t>
      </w:r>
      <w:r>
        <w:tab/>
        <w:t>Providing a payment terminal</w:t>
      </w:r>
      <w:r>
        <w:tab/>
      </w:r>
      <w:r>
        <w:fldChar w:fldCharType="begin"/>
      </w:r>
      <w:r>
        <w:instrText xml:space="preserve"> PAGEREF _Toc415734605 \h </w:instrText>
      </w:r>
      <w:r>
        <w:fldChar w:fldCharType="separate"/>
      </w:r>
      <w:r>
        <w:t>3</w:t>
      </w:r>
      <w:r>
        <w:fldChar w:fldCharType="end"/>
      </w:r>
    </w:p>
    <w:p>
      <w:pPr>
        <w:pStyle w:val="TOC8"/>
        <w:rPr>
          <w:rFonts w:asciiTheme="minorHAnsi" w:eastAsiaTheme="minorEastAsia" w:hAnsiTheme="minorHAnsi" w:cstheme="minorBidi"/>
          <w:szCs w:val="22"/>
        </w:rPr>
      </w:pPr>
      <w:r>
        <w:t>3B.</w:t>
      </w:r>
      <w:r>
        <w:tab/>
        <w:t>Surcharge for non</w:t>
      </w:r>
      <w:r>
        <w:noBreakHyphen/>
        <w:t>cash payment</w:t>
      </w:r>
      <w:r>
        <w:tab/>
      </w:r>
      <w:r>
        <w:fldChar w:fldCharType="begin"/>
      </w:r>
      <w:r>
        <w:instrText xml:space="preserve"> PAGEREF _Toc415734606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 and charges</w:t>
      </w:r>
      <w:r>
        <w:tab/>
      </w:r>
      <w:r>
        <w:fldChar w:fldCharType="begin"/>
      </w:r>
      <w:r>
        <w:instrText xml:space="preserve"> PAGEREF _Toc415734607 \h </w:instrText>
      </w:r>
      <w:r>
        <w:fldChar w:fldCharType="separate"/>
      </w:r>
      <w:r>
        <w:t>4</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_Toc415734608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Separate fares</w:t>
      </w:r>
      <w:r>
        <w:tab/>
      </w:r>
      <w:r>
        <w:fldChar w:fldCharType="begin"/>
      </w:r>
      <w:r>
        <w:instrText xml:space="preserve"> PAGEREF _Toc415734609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Schedule of rates and charges to be available to hirers</w:t>
      </w:r>
      <w:r>
        <w:tab/>
      </w:r>
      <w:r>
        <w:fldChar w:fldCharType="begin"/>
      </w:r>
      <w:r>
        <w:instrText xml:space="preserve"> PAGEREF _Toc415734610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_Toc415734611 \h </w:instrText>
      </w:r>
      <w:r>
        <w:fldChar w:fldCharType="separate"/>
      </w:r>
      <w:r>
        <w:t>6</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_Toc415734612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and charges</w:t>
      </w:r>
    </w:p>
    <w:p>
      <w:pPr>
        <w:pStyle w:val="TOC4"/>
        <w:tabs>
          <w:tab w:val="right" w:leader="dot" w:pos="7077"/>
        </w:tabs>
        <w:rPr>
          <w:rFonts w:asciiTheme="minorHAnsi" w:eastAsiaTheme="minorEastAsia" w:hAnsiTheme="minorHAnsi" w:cstheme="minorBidi"/>
          <w:b w:val="0"/>
          <w:szCs w:val="22"/>
        </w:rPr>
      </w:pPr>
      <w:r>
        <w:t>Division 1</w:t>
      </w:r>
      <w:r>
        <w:rPr>
          <w:b w:val="0"/>
        </w:rPr>
        <w:t> — </w:t>
      </w:r>
      <w:r>
        <w:t>Gascoyne region</w:t>
      </w:r>
    </w:p>
    <w:p>
      <w:pPr>
        <w:pStyle w:val="TOC4"/>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77"/>
        </w:tabs>
        <w:rPr>
          <w:rFonts w:asciiTheme="minorHAnsi" w:eastAsiaTheme="minorEastAsia" w:hAnsiTheme="minorHAnsi" w:cstheme="minorBidi"/>
          <w:b w:val="0"/>
          <w:szCs w:val="22"/>
        </w:rPr>
      </w:pPr>
      <w:r>
        <w:t>Division 3 — Great Southern region</w:t>
      </w:r>
    </w:p>
    <w:p>
      <w:pPr>
        <w:pStyle w:val="TOC4"/>
        <w:tabs>
          <w:tab w:val="right" w:leader="dot" w:pos="7077"/>
        </w:tabs>
        <w:rPr>
          <w:rFonts w:asciiTheme="minorHAnsi" w:eastAsiaTheme="minorEastAsia" w:hAnsiTheme="minorHAnsi" w:cstheme="minorBidi"/>
          <w:b w:val="0"/>
          <w:szCs w:val="22"/>
        </w:rPr>
      </w:pPr>
      <w:r>
        <w:t>Division 4 — Kimberley region</w:t>
      </w:r>
    </w:p>
    <w:p>
      <w:pPr>
        <w:pStyle w:val="TOC4"/>
        <w:tabs>
          <w:tab w:val="right" w:leader="dot" w:pos="7077"/>
        </w:tabs>
        <w:rPr>
          <w:rFonts w:asciiTheme="minorHAnsi" w:eastAsiaTheme="minorEastAsia" w:hAnsiTheme="minorHAnsi" w:cstheme="minorBidi"/>
          <w:b w:val="0"/>
          <w:szCs w:val="22"/>
        </w:rPr>
      </w:pPr>
      <w:r>
        <w:t>Division 5 — Mid West region</w:t>
      </w:r>
    </w:p>
    <w:p>
      <w:pPr>
        <w:pStyle w:val="TOC4"/>
        <w:tabs>
          <w:tab w:val="right" w:leader="dot" w:pos="7077"/>
        </w:tabs>
        <w:rPr>
          <w:rFonts w:asciiTheme="minorHAnsi" w:eastAsiaTheme="minorEastAsia" w:hAnsiTheme="minorHAnsi" w:cstheme="minorBidi"/>
          <w:b w:val="0"/>
          <w:szCs w:val="22"/>
        </w:rPr>
      </w:pPr>
      <w:r>
        <w:t>Division 6 — Peel region</w:t>
      </w:r>
    </w:p>
    <w:p>
      <w:pPr>
        <w:pStyle w:val="TOC4"/>
        <w:tabs>
          <w:tab w:val="right" w:leader="dot" w:pos="7077"/>
        </w:tabs>
        <w:rPr>
          <w:rFonts w:asciiTheme="minorHAnsi" w:eastAsiaTheme="minorEastAsia" w:hAnsiTheme="minorHAnsi" w:cstheme="minorBidi"/>
          <w:b w:val="0"/>
          <w:szCs w:val="22"/>
        </w:rPr>
      </w:pPr>
      <w:r>
        <w:t>Division 7 — Pilbara region</w:t>
      </w:r>
    </w:p>
    <w:p>
      <w:pPr>
        <w:pStyle w:val="TOC4"/>
        <w:tabs>
          <w:tab w:val="right" w:leader="dot" w:pos="7077"/>
        </w:tabs>
        <w:rPr>
          <w:rFonts w:asciiTheme="minorHAnsi" w:eastAsiaTheme="minorEastAsia" w:hAnsiTheme="minorHAnsi" w:cstheme="minorBidi"/>
          <w:b w:val="0"/>
          <w:szCs w:val="22"/>
        </w:rPr>
      </w:pPr>
      <w:r>
        <w:t>Division 8 — South West region</w:t>
      </w:r>
    </w:p>
    <w:p>
      <w:pPr>
        <w:pStyle w:val="TOC4"/>
        <w:tabs>
          <w:tab w:val="right" w:leader="dot" w:pos="7077"/>
        </w:tabs>
        <w:rPr>
          <w:rFonts w:asciiTheme="minorHAnsi" w:eastAsiaTheme="minorEastAsia" w:hAnsiTheme="minorHAnsi" w:cstheme="minorBidi"/>
          <w:b w:val="0"/>
          <w:szCs w:val="22"/>
        </w:rPr>
      </w:pPr>
      <w:r>
        <w:t>Division 9 — Wheatbelt region</w:t>
      </w:r>
    </w:p>
    <w:p>
      <w:pPr>
        <w:pStyle w:val="TOC2"/>
        <w:tabs>
          <w:tab w:val="right" w:leader="dot" w:pos="7077"/>
        </w:tabs>
        <w:rPr>
          <w:rFonts w:asciiTheme="minorHAnsi" w:eastAsiaTheme="minorEastAsia" w:hAnsiTheme="minorHAnsi" w:cstheme="minorBidi"/>
          <w:b w:val="0"/>
          <w:sz w:val="22"/>
          <w:szCs w:val="22"/>
        </w:rPr>
      </w:pPr>
      <w:r>
        <w:t>Schedule 2 —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_Toc415734626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3" w:name="_Toc412206670"/>
      <w:bookmarkStart w:id="4" w:name="_Toc415734601"/>
      <w:r>
        <w:rPr>
          <w:rStyle w:val="CharSectno"/>
        </w:rPr>
        <w:t>1</w:t>
      </w:r>
      <w:r>
        <w:rPr>
          <w:snapToGrid w:val="0"/>
        </w:rPr>
        <w:t>.</w:t>
      </w:r>
      <w:r>
        <w:rPr>
          <w:snapToGrid w:val="0"/>
        </w:rPr>
        <w:tab/>
        <w:t>Citation</w:t>
      </w:r>
      <w:bookmarkEnd w:id="3"/>
      <w:bookmarkEnd w:id="4"/>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5" w:name="_Toc412206671"/>
      <w:bookmarkStart w:id="6" w:name="_Toc415734602"/>
      <w:r>
        <w:rPr>
          <w:rStyle w:val="CharSectno"/>
        </w:rPr>
        <w:t>2</w:t>
      </w:r>
      <w:r>
        <w:rPr>
          <w:snapToGrid w:val="0"/>
        </w:rPr>
        <w:t>.</w:t>
      </w:r>
      <w:r>
        <w:rPr>
          <w:snapToGrid w:val="0"/>
        </w:rPr>
        <w:tab/>
        <w:t>Commencement</w:t>
      </w:r>
      <w:bookmarkEnd w:id="5"/>
      <w:bookmarkEnd w:id="6"/>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7" w:name="_Toc412206672"/>
      <w:bookmarkStart w:id="8" w:name="_Toc415734603"/>
      <w:r>
        <w:rPr>
          <w:rStyle w:val="CharSectno"/>
        </w:rPr>
        <w:t>2A</w:t>
      </w:r>
      <w:r>
        <w:t>.</w:t>
      </w:r>
      <w:r>
        <w:tab/>
        <w:t>Terms used</w:t>
      </w:r>
      <w:bookmarkEnd w:id="7"/>
      <w:bookmarkEnd w:id="8"/>
    </w:p>
    <w:p>
      <w:pPr>
        <w:pStyle w:val="Subsection"/>
      </w:pPr>
      <w:r>
        <w:tab/>
        <w:t>(1)</w:t>
      </w:r>
      <w:r>
        <w:tab/>
        <w:t xml:space="preserve">In these regulations, unless the contrary intention appears — </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w:t>
      </w:r>
    </w:p>
    <w:p>
      <w:pPr>
        <w:pStyle w:val="Heading5"/>
        <w:rPr>
          <w:snapToGrid w:val="0"/>
        </w:rPr>
      </w:pPr>
      <w:bookmarkStart w:id="9" w:name="_Toc412206673"/>
      <w:bookmarkStart w:id="10" w:name="_Toc415734604"/>
      <w:r>
        <w:rPr>
          <w:rStyle w:val="CharSectno"/>
        </w:rPr>
        <w:t>3</w:t>
      </w:r>
      <w:r>
        <w:rPr>
          <w:snapToGrid w:val="0"/>
        </w:rPr>
        <w:t>.</w:t>
      </w:r>
      <w:r>
        <w:rPr>
          <w:snapToGrid w:val="0"/>
        </w:rPr>
        <w:tab/>
        <w:t>Fares and charges (Sch. 1)</w:t>
      </w:r>
      <w:bookmarkEnd w:id="9"/>
      <w:bookmarkEnd w:id="10"/>
    </w:p>
    <w:p>
      <w:pPr>
        <w:pStyle w:val="Subsection"/>
        <w:rPr>
          <w:snapToGrid w:val="0"/>
        </w:rPr>
      </w:pPr>
      <w:r>
        <w:rPr>
          <w:snapToGrid w:val="0"/>
        </w:rPr>
        <w:tab/>
        <w:t>(1)</w:t>
      </w:r>
      <w:r>
        <w:rPr>
          <w:snapToGrid w:val="0"/>
        </w:rPr>
        <w:tab/>
        <w:t>Subject to this regulation where a taxi</w:t>
      </w:r>
      <w:r>
        <w:rPr>
          <w:snapToGrid w:val="0"/>
        </w:rPr>
        <w:noBreakHyphen/>
        <w:t xml:space="preserve">car is hired in a </w:t>
      </w:r>
      <w:r>
        <w:t>region</w:t>
      </w:r>
      <w:r>
        <w:rPr>
          <w:snapToGrid w:val="0"/>
        </w:rPr>
        <w:t xml:space="preserve"> 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 xml:space="preserve">in respect of that </w:t>
      </w:r>
      <w:r>
        <w:t>region.</w:t>
      </w:r>
    </w:p>
    <w:p>
      <w:pPr>
        <w:pStyle w:val="Subsection"/>
      </w:pPr>
      <w:r>
        <w:tab/>
        <w:t>(1a)</w:t>
      </w:r>
      <w:r>
        <w:tab/>
        <w:t>Fares and charges less than those set out in Schedule 1 shall be taken or made, and fares and charges more than those set out in the Schedule may be taken or made, if the Director General approves such fares and charges as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pPr>
      <w:r>
        <w:tab/>
        <w:t>(b)</w:t>
      </w:r>
      <w:r>
        <w:tab/>
        <w:t>for a taxi</w:t>
      </w:r>
      <w:r>
        <w:noBreakHyphen/>
        <w:t>car hired in any other region — a 30 km radius of the post office designated in the relevant taxi</w:t>
      </w:r>
      <w: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 29 Jun 2012 p. 2963; 13 Dec 2013 p. 6179.]</w:t>
      </w:r>
    </w:p>
    <w:p>
      <w:pPr>
        <w:pStyle w:val="Heading5"/>
      </w:pPr>
      <w:bookmarkStart w:id="11" w:name="_Toc412206674"/>
      <w:bookmarkStart w:id="12" w:name="_Toc415734605"/>
      <w:r>
        <w:rPr>
          <w:rStyle w:val="CharSectno"/>
        </w:rPr>
        <w:t>3A</w:t>
      </w:r>
      <w:r>
        <w:t>.</w:t>
      </w:r>
      <w:r>
        <w:tab/>
        <w:t>Providing a payment terminal</w:t>
      </w:r>
      <w:bookmarkEnd w:id="11"/>
      <w:bookmarkEnd w:id="12"/>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13" w:name="_Toc412206675"/>
      <w:bookmarkStart w:id="14" w:name="_Toc415734606"/>
      <w:r>
        <w:rPr>
          <w:rStyle w:val="CharSectno"/>
        </w:rPr>
        <w:t>3B</w:t>
      </w:r>
      <w:r>
        <w:t>.</w:t>
      </w:r>
      <w:r>
        <w:tab/>
        <w:t>Surcharge for non</w:t>
      </w:r>
      <w:r>
        <w:noBreakHyphen/>
        <w:t>cash payment</w:t>
      </w:r>
      <w:bookmarkEnd w:id="13"/>
      <w:bookmarkEnd w:id="14"/>
    </w:p>
    <w:p>
      <w:pPr>
        <w:pStyle w:val="Subsection"/>
      </w:pPr>
      <w:r>
        <w:tab/>
        <w:t>(1)</w:t>
      </w:r>
      <w:r>
        <w:tab/>
        <w:t>If a surcharge is added because a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a fine of $200.</w:t>
      </w:r>
    </w:p>
    <w:p>
      <w:pPr>
        <w:pStyle w:val="Footnotesection"/>
      </w:pPr>
      <w:r>
        <w:tab/>
        <w:t>[Regulation 3B inserted in Gazette 20 Feb 2015 p. 691.]</w:t>
      </w:r>
    </w:p>
    <w:p>
      <w:pPr>
        <w:pStyle w:val="Heading5"/>
        <w:rPr>
          <w:snapToGrid w:val="0"/>
        </w:rPr>
      </w:pPr>
      <w:bookmarkStart w:id="15" w:name="_Toc412206676"/>
      <w:bookmarkStart w:id="16" w:name="_Toc415734607"/>
      <w:r>
        <w:rPr>
          <w:rStyle w:val="CharSectno"/>
        </w:rPr>
        <w:t>4</w:t>
      </w:r>
      <w:r>
        <w:rPr>
          <w:snapToGrid w:val="0"/>
        </w:rPr>
        <w:t>.</w:t>
      </w:r>
      <w:r>
        <w:rPr>
          <w:snapToGrid w:val="0"/>
        </w:rPr>
        <w:tab/>
        <w:t>Evading fares and charges</w:t>
      </w:r>
      <w:bookmarkEnd w:id="15"/>
      <w:bookmarkEnd w:id="16"/>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r>
        <w:tab/>
        <w:t>[Regulation 4 amended in Gazette 24 Dec 2002 p. 6605.]</w:t>
      </w:r>
    </w:p>
    <w:p>
      <w:pPr>
        <w:pStyle w:val="Heading5"/>
      </w:pPr>
      <w:bookmarkStart w:id="17" w:name="_Toc412206677"/>
      <w:bookmarkStart w:id="18" w:name="_Toc415734608"/>
      <w:r>
        <w:rPr>
          <w:rStyle w:val="CharSectno"/>
        </w:rPr>
        <w:t>4A</w:t>
      </w:r>
      <w:r>
        <w:t>.</w:t>
      </w:r>
      <w:r>
        <w:tab/>
        <w:t>Deposit of fare in advance, driver may require</w:t>
      </w:r>
      <w:bookmarkEnd w:id="17"/>
      <w:bookmarkEnd w:id="18"/>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19" w:name="_Toc412206678"/>
      <w:bookmarkStart w:id="20" w:name="_Toc415734609"/>
      <w:r>
        <w:rPr>
          <w:rStyle w:val="CharSectno"/>
        </w:rPr>
        <w:t>5</w:t>
      </w:r>
      <w:r>
        <w:rPr>
          <w:snapToGrid w:val="0"/>
        </w:rPr>
        <w:t>.</w:t>
      </w:r>
      <w:r>
        <w:rPr>
          <w:snapToGrid w:val="0"/>
        </w:rPr>
        <w:tab/>
        <w:t>Separate fares</w:t>
      </w:r>
      <w:bookmarkEnd w:id="19"/>
      <w:bookmarkEnd w:id="20"/>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21" w:name="_Toc412206679"/>
      <w:bookmarkStart w:id="22" w:name="_Toc415734610"/>
      <w:r>
        <w:rPr>
          <w:rStyle w:val="CharSectno"/>
        </w:rPr>
        <w:t>6</w:t>
      </w:r>
      <w:r>
        <w:rPr>
          <w:snapToGrid w:val="0"/>
        </w:rPr>
        <w:t>.</w:t>
      </w:r>
      <w:r>
        <w:rPr>
          <w:snapToGrid w:val="0"/>
        </w:rPr>
        <w:tab/>
        <w:t>Schedule of rates and charges to be available to hirers</w:t>
      </w:r>
      <w:bookmarkEnd w:id="21"/>
      <w:bookmarkEnd w:id="22"/>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23" w:name="_Toc412206680"/>
      <w:bookmarkStart w:id="24" w:name="_Toc415734611"/>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23"/>
      <w:bookmarkEnd w:id="24"/>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25" w:name="_Toc412206681"/>
      <w:bookmarkStart w:id="26" w:name="_Toc415734612"/>
      <w:r>
        <w:rPr>
          <w:rStyle w:val="CharSectno"/>
        </w:rPr>
        <w:t>7A</w:t>
      </w:r>
      <w:r>
        <w:t>.</w:t>
      </w:r>
      <w:r>
        <w:tab/>
        <w:t>Offences and modified penalties prescribed (Act s. 58A)</w:t>
      </w:r>
      <w:bookmarkEnd w:id="25"/>
      <w:bookmarkEnd w:id="26"/>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2"/>
          <w:headerReference w:type="default" r:id="rId23"/>
          <w:footerReference w:type="even" r:id="rId24"/>
          <w:footerReference w:type="default" r:id="rId25"/>
          <w:pgSz w:w="11907" w:h="16840" w:code="9"/>
          <w:pgMar w:top="2376" w:right="2405" w:bottom="3542" w:left="2405" w:header="706" w:footer="3380" w:gutter="0"/>
          <w:pgNumType w:start="1"/>
          <w:cols w:space="720"/>
          <w:noEndnote/>
          <w:titlePg/>
          <w:docGrid w:linePitch="326"/>
        </w:sectPr>
      </w:pPr>
    </w:p>
    <w:p>
      <w:pPr>
        <w:pStyle w:val="yScheduleHeading"/>
      </w:pPr>
      <w:bookmarkStart w:id="27" w:name="_Toc412206682"/>
      <w:bookmarkStart w:id="28" w:name="_Toc415734484"/>
      <w:bookmarkStart w:id="29" w:name="_Toc415734510"/>
      <w:bookmarkStart w:id="30" w:name="_Toc415734586"/>
      <w:bookmarkStart w:id="31" w:name="_Toc415734613"/>
      <w:r>
        <w:rPr>
          <w:rStyle w:val="CharSchNo"/>
        </w:rPr>
        <w:t>Schedule 1</w:t>
      </w:r>
      <w:r>
        <w:t> — </w:t>
      </w:r>
      <w:r>
        <w:rPr>
          <w:rStyle w:val="CharSchText"/>
        </w:rPr>
        <w:t>Fees and charges</w:t>
      </w:r>
      <w:bookmarkEnd w:id="27"/>
      <w:bookmarkEnd w:id="28"/>
      <w:bookmarkEnd w:id="29"/>
      <w:bookmarkEnd w:id="30"/>
      <w:bookmarkEnd w:id="31"/>
    </w:p>
    <w:p>
      <w:pPr>
        <w:pStyle w:val="zyShoulderClause"/>
        <w:keepNext/>
        <w:keepLines/>
      </w:pPr>
      <w:r>
        <w:t xml:space="preserve"> [r. 3]</w:t>
      </w:r>
    </w:p>
    <w:p>
      <w:pPr>
        <w:pStyle w:val="yFootnoteheading"/>
      </w:pPr>
      <w:r>
        <w:tab/>
        <w:t>[Heading inserted in Gazette 23 Dec 2014 p. 4898.]</w:t>
      </w:r>
    </w:p>
    <w:p>
      <w:pPr>
        <w:pStyle w:val="yHeading3"/>
        <w:rPr>
          <w:rStyle w:val="CharSDivText"/>
        </w:rPr>
      </w:pPr>
      <w:bookmarkStart w:id="32" w:name="_Toc412206683"/>
      <w:bookmarkStart w:id="33" w:name="_Toc415734485"/>
      <w:bookmarkStart w:id="34" w:name="_Toc415734511"/>
      <w:bookmarkStart w:id="35" w:name="_Toc415734587"/>
      <w:bookmarkStart w:id="36" w:name="_Toc415734614"/>
      <w:r>
        <w:rPr>
          <w:rStyle w:val="CharSDivNo"/>
        </w:rPr>
        <w:t>Division 1</w:t>
      </w:r>
      <w:r>
        <w:rPr>
          <w:b w:val="0"/>
        </w:rPr>
        <w:t> — </w:t>
      </w:r>
      <w:r>
        <w:rPr>
          <w:rStyle w:val="CharSDivText"/>
        </w:rPr>
        <w:t>Gascoyne region</w:t>
      </w:r>
      <w:bookmarkEnd w:id="32"/>
      <w:bookmarkEnd w:id="33"/>
      <w:bookmarkEnd w:id="34"/>
      <w:bookmarkEnd w:id="35"/>
      <w:bookmarkEnd w:id="36"/>
    </w:p>
    <w:p>
      <w:pPr>
        <w:pStyle w:val="yFootnoteheading"/>
      </w:pPr>
      <w:r>
        <w:tab/>
        <w:t>[Heading inserted in Gazette 23 Dec 2014 p. 4898.]</w:t>
      </w:r>
    </w:p>
    <w:p>
      <w:pPr>
        <w:pStyle w:val="yTHeadingNAm"/>
      </w:pPr>
      <w:r>
        <w:t>Metered rates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right w:val="nil"/>
            </w:tcBorders>
          </w:tcPr>
          <w:p>
            <w:pPr>
              <w:pStyle w:val="yTableNAm"/>
            </w:pPr>
          </w:p>
          <w:p>
            <w:pPr>
              <w:pStyle w:val="yTableNAm"/>
            </w:pPr>
            <w:r>
              <w:br/>
            </w:r>
            <w:r>
              <w:br/>
            </w:r>
            <w:r>
              <w:br/>
            </w:r>
            <w:r>
              <w:br/>
            </w:r>
            <w:r>
              <w:br/>
            </w:r>
            <w:r>
              <w:rPr>
                <w:szCs w:val="22"/>
              </w:rPr>
              <w:t>$6.10</w:t>
            </w:r>
          </w:p>
        </w:tc>
        <w:tc>
          <w:tcPr>
            <w:tcW w:w="1551" w:type="dxa"/>
            <w:tcBorders>
              <w:left w:val="nil"/>
              <w:bottom w:val="single" w:sz="4" w:space="0" w:color="auto"/>
              <w:right w:val="nil"/>
            </w:tcBorders>
          </w:tcPr>
          <w:p>
            <w:pPr>
              <w:pStyle w:val="yTableNAm"/>
            </w:pPr>
          </w:p>
          <w:p>
            <w:pPr>
              <w:pStyle w:val="yTableNAm"/>
            </w:pPr>
            <w:r>
              <w:br/>
            </w:r>
            <w:r>
              <w:br/>
            </w:r>
            <w:r>
              <w:br/>
            </w:r>
            <w:r>
              <w:br/>
            </w:r>
            <w:r>
              <w:br/>
            </w:r>
            <w:r>
              <w:rPr>
                <w:szCs w:val="22"/>
              </w:rPr>
              <w:t>$3.41/km</w:t>
            </w:r>
          </w:p>
        </w:tc>
        <w:tc>
          <w:tcPr>
            <w:tcW w:w="1426" w:type="dxa"/>
            <w:tcBorders>
              <w:left w:val="nil"/>
              <w:bottom w:val="single" w:sz="4" w:space="0" w:color="auto"/>
              <w:right w:val="nil"/>
            </w:tcBorders>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$1.90/km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w:t>
      </w:r>
    </w:p>
    <w:p>
      <w:pPr>
        <w:pStyle w:val="yHeading3"/>
      </w:pPr>
      <w:bookmarkStart w:id="37" w:name="_Toc412206684"/>
      <w:bookmarkStart w:id="38" w:name="_Toc415734486"/>
      <w:bookmarkStart w:id="39" w:name="_Toc415734512"/>
      <w:bookmarkStart w:id="40" w:name="_Toc415734588"/>
      <w:bookmarkStart w:id="41" w:name="_Toc415734615"/>
      <w:r>
        <w:rPr>
          <w:rStyle w:val="CharSDivNo"/>
        </w:rPr>
        <w:t>Division 2</w:t>
      </w:r>
      <w:r>
        <w:t> — </w:t>
      </w:r>
      <w:r>
        <w:rPr>
          <w:rStyle w:val="CharSDivText"/>
        </w:rPr>
        <w:t>Goldfields</w:t>
      </w:r>
      <w:r>
        <w:rPr>
          <w:rStyle w:val="CharSDivText"/>
        </w:rPr>
        <w:noBreakHyphen/>
        <w:t>Esperance region</w:t>
      </w:r>
      <w:bookmarkEnd w:id="37"/>
      <w:bookmarkEnd w:id="38"/>
      <w:bookmarkEnd w:id="39"/>
      <w:bookmarkEnd w:id="40"/>
      <w:bookmarkEnd w:id="41"/>
    </w:p>
    <w:p>
      <w:pPr>
        <w:pStyle w:val="yFootnoteheading"/>
      </w:pPr>
      <w:r>
        <w:tab/>
        <w:t>[Heading inserted in Gazette 23 Dec 2014 p. 4899.]</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$2.56/km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$1.66/km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w:t>
      </w:r>
    </w:p>
    <w:p>
      <w:pPr>
        <w:pStyle w:val="yHeading3"/>
        <w:rPr>
          <w:rStyle w:val="CharSDivNo"/>
        </w:rPr>
      </w:pPr>
      <w:bookmarkStart w:id="42" w:name="_Toc412206685"/>
      <w:bookmarkStart w:id="43" w:name="_Toc415734487"/>
      <w:bookmarkStart w:id="44" w:name="_Toc415734513"/>
      <w:bookmarkStart w:id="45" w:name="_Toc415734589"/>
      <w:bookmarkStart w:id="46" w:name="_Toc415734616"/>
      <w:r>
        <w:rPr>
          <w:rStyle w:val="CharSDivNo"/>
        </w:rPr>
        <w:t>Division 3 </w:t>
      </w:r>
      <w:r>
        <w:t>— </w:t>
      </w:r>
      <w:r>
        <w:rPr>
          <w:rStyle w:val="CharSDivText"/>
        </w:rPr>
        <w:t>Great Southern region</w:t>
      </w:r>
      <w:bookmarkEnd w:id="42"/>
      <w:bookmarkEnd w:id="43"/>
      <w:bookmarkEnd w:id="44"/>
      <w:bookmarkEnd w:id="45"/>
      <w:bookmarkEnd w:id="46"/>
    </w:p>
    <w:p>
      <w:pPr>
        <w:pStyle w:val="yFootnoteheading"/>
      </w:pPr>
      <w:r>
        <w:tab/>
        <w:t>[Heading inserted in Gazette 23 Dec 2014 p. 4901.]</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Borders>
              <w:bottom w:val="single" w:sz="4" w:space="0" w:color="auto"/>
            </w:tcBorders>
          </w:tcPr>
          <w:p>
            <w:pPr>
              <w:pStyle w:val="yTableNAm"/>
            </w:pPr>
          </w:p>
          <w:p>
            <w:pPr>
              <w:pStyle w:val="yTableNAm"/>
            </w:pPr>
            <w:r>
              <w:br/>
            </w:r>
            <w:r>
              <w:br/>
            </w:r>
            <w:r>
              <w:br/>
            </w:r>
            <w:r>
              <w:br/>
            </w:r>
            <w:r>
              <w:br/>
            </w:r>
            <w:r>
              <w:rPr>
                <w:szCs w:val="22"/>
              </w:rPr>
              <w:t>$2.60/km</w:t>
            </w:r>
          </w:p>
        </w:tc>
        <w:tc>
          <w:tcPr>
            <w:tcW w:w="1426" w:type="dxa"/>
            <w:tcBorders>
              <w:bottom w:val="single" w:sz="4" w:space="0" w:color="auto"/>
            </w:tcBorders>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in Gazette 23 Dec 2014 p. 4901-2.]</w:t>
      </w:r>
    </w:p>
    <w:p>
      <w:pPr>
        <w:pStyle w:val="yHeading3"/>
      </w:pPr>
      <w:bookmarkStart w:id="47" w:name="_Toc412206686"/>
      <w:bookmarkStart w:id="48" w:name="_Toc415734488"/>
      <w:bookmarkStart w:id="49" w:name="_Toc415734514"/>
      <w:bookmarkStart w:id="50" w:name="_Toc415734590"/>
      <w:bookmarkStart w:id="51" w:name="_Toc415734617"/>
      <w:r>
        <w:rPr>
          <w:rStyle w:val="CharSDivNo"/>
        </w:rPr>
        <w:t>Division 4</w:t>
      </w:r>
      <w:r>
        <w:t> — </w:t>
      </w:r>
      <w:r>
        <w:rPr>
          <w:rStyle w:val="CharSDivText"/>
        </w:rPr>
        <w:t>Kimberley region</w:t>
      </w:r>
      <w:bookmarkEnd w:id="47"/>
      <w:bookmarkEnd w:id="48"/>
      <w:bookmarkEnd w:id="49"/>
      <w:bookmarkEnd w:id="50"/>
      <w:bookmarkEnd w:id="51"/>
    </w:p>
    <w:p>
      <w:pPr>
        <w:pStyle w:val="yFootnoteheading"/>
        <w:keepNext/>
      </w:pPr>
      <w:r>
        <w:tab/>
        <w:t>[Heading inserted in Gazette 23 Dec 2014 p. 4902.]</w:t>
      </w:r>
    </w:p>
    <w:p>
      <w:pPr>
        <w:pStyle w:val="yTHeadingNAm"/>
      </w:pPr>
      <w:r>
        <w:t>Metered rates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60" w:type="dxa"/>
            <w:tcBorders>
              <w:bottom w:val="single" w:sz="4" w:space="0" w:color="auto"/>
            </w:tcBorders>
          </w:tcPr>
          <w:p>
            <w:pPr>
              <w:pStyle w:val="yTableNAm"/>
            </w:pPr>
          </w:p>
          <w:p>
            <w:pPr>
              <w:pStyle w:val="yTableNAm"/>
            </w:pPr>
            <w:r>
              <w:br/>
            </w:r>
            <w:r>
              <w:br/>
            </w:r>
            <w:r>
              <w:br/>
            </w:r>
            <w:r>
              <w:br/>
            </w: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$1.92/km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317"/>
              </w:tabs>
              <w:ind w:left="317" w:hanging="317"/>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w:t>
      </w:r>
    </w:p>
    <w:p>
      <w:pPr>
        <w:pStyle w:val="yHeading3"/>
      </w:pPr>
      <w:bookmarkStart w:id="52" w:name="_Toc412206687"/>
      <w:bookmarkStart w:id="53" w:name="_Toc415734489"/>
      <w:bookmarkStart w:id="54" w:name="_Toc415734515"/>
      <w:bookmarkStart w:id="55" w:name="_Toc415734591"/>
      <w:bookmarkStart w:id="56" w:name="_Toc415734618"/>
      <w:r>
        <w:rPr>
          <w:rStyle w:val="CharSDivNo"/>
        </w:rPr>
        <w:t>Division 5</w:t>
      </w:r>
      <w:r>
        <w:t> — </w:t>
      </w:r>
      <w:r>
        <w:rPr>
          <w:rStyle w:val="CharSDivText"/>
        </w:rPr>
        <w:t>Mid West region</w:t>
      </w:r>
      <w:bookmarkEnd w:id="52"/>
      <w:bookmarkEnd w:id="53"/>
      <w:bookmarkEnd w:id="54"/>
      <w:bookmarkEnd w:id="55"/>
      <w:bookmarkEnd w:id="56"/>
    </w:p>
    <w:p>
      <w:pPr>
        <w:pStyle w:val="yFootnoteheading"/>
      </w:pPr>
      <w:r>
        <w:tab/>
        <w:t>[Heading inserted in Gazette 23 Dec 2014 p. 4904.]</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$6.20</w:t>
            </w:r>
          </w:p>
        </w:tc>
        <w:tc>
          <w:tcPr>
            <w:tcW w:w="1551" w:type="dxa"/>
            <w:tcBorders>
              <w:bottom w:val="single" w:sz="4" w:space="0" w:color="auto"/>
            </w:tcBorders>
          </w:tcPr>
          <w:p>
            <w:pPr>
              <w:pStyle w:val="yTableNAm"/>
            </w:pPr>
          </w:p>
          <w:p>
            <w:pPr>
              <w:pStyle w:val="yTableNAm"/>
            </w:pPr>
            <w:r>
              <w:br/>
            </w:r>
            <w:r>
              <w:br/>
            </w:r>
            <w:r>
              <w:br/>
            </w:r>
            <w:r>
              <w:br/>
            </w:r>
            <w:r>
              <w:br/>
            </w:r>
            <w:r>
              <w:rPr>
                <w:szCs w:val="22"/>
              </w:rPr>
              <w:t>$2.60/km</w:t>
            </w:r>
          </w:p>
        </w:tc>
        <w:tc>
          <w:tcPr>
            <w:tcW w:w="1426" w:type="dxa"/>
            <w:tcBorders>
              <w:bottom w:val="single" w:sz="4" w:space="0" w:color="auto"/>
            </w:tcBorders>
          </w:tcPr>
          <w:p>
            <w:pPr>
              <w:pStyle w:val="yTableNAm"/>
            </w:pPr>
          </w:p>
          <w:p>
            <w:pPr>
              <w:pStyle w:val="yTableNAm"/>
            </w:pPr>
            <w:r>
              <w:br/>
            </w:r>
            <w:r>
              <w:br/>
            </w:r>
            <w:r>
              <w:br/>
            </w:r>
            <w:r>
              <w:br/>
            </w:r>
            <w:r>
              <w:br/>
            </w:r>
            <w:r>
              <w:rPr>
                <w:szCs w:val="22"/>
              </w:rPr>
              <w:t>$76.60/hour</w:t>
            </w:r>
          </w:p>
        </w:tc>
      </w:tr>
    </w:tbl>
    <w:p>
      <w:pPr>
        <w:pStyle w:val="yTHeadingNAm"/>
      </w:pPr>
      <w:r>
        <w:t>Off meter rates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single" w:sz="4" w:space="0" w:color="auto"/>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$49.45/hour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w:t>
      </w:r>
    </w:p>
    <w:p>
      <w:pPr>
        <w:pStyle w:val="yHeading3"/>
      </w:pPr>
      <w:bookmarkStart w:id="57" w:name="_Toc412206688"/>
      <w:bookmarkStart w:id="58" w:name="_Toc415734490"/>
      <w:bookmarkStart w:id="59" w:name="_Toc415734516"/>
      <w:bookmarkStart w:id="60" w:name="_Toc415734592"/>
      <w:bookmarkStart w:id="61" w:name="_Toc415734619"/>
      <w:r>
        <w:rPr>
          <w:rStyle w:val="CharSDivNo"/>
        </w:rPr>
        <w:t>Division 6</w:t>
      </w:r>
      <w:r>
        <w:t> — </w:t>
      </w:r>
      <w:r>
        <w:rPr>
          <w:rStyle w:val="CharSDivText"/>
        </w:rPr>
        <w:t>Peel region</w:t>
      </w:r>
      <w:bookmarkEnd w:id="57"/>
      <w:bookmarkEnd w:id="58"/>
      <w:bookmarkEnd w:id="59"/>
      <w:bookmarkEnd w:id="60"/>
      <w:bookmarkEnd w:id="61"/>
    </w:p>
    <w:p>
      <w:pPr>
        <w:pStyle w:val="yFootnoteheading"/>
      </w:pPr>
      <w:r>
        <w:tab/>
        <w:t>[Heading inserted in Gazette 23 Dec 2014 p. 4905.]</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$2.60/km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in Gazette 23 Dec 2014 p. 4905-7.]</w:t>
      </w:r>
    </w:p>
    <w:p>
      <w:pPr>
        <w:pStyle w:val="yHeading3"/>
        <w:pageBreakBefore/>
      </w:pPr>
      <w:bookmarkStart w:id="62" w:name="_Toc412206689"/>
      <w:bookmarkStart w:id="63" w:name="_Toc415734491"/>
      <w:bookmarkStart w:id="64" w:name="_Toc415734517"/>
      <w:bookmarkStart w:id="65" w:name="_Toc415734593"/>
      <w:bookmarkStart w:id="66" w:name="_Toc415734620"/>
      <w:r>
        <w:rPr>
          <w:rStyle w:val="CharSDivNo"/>
        </w:rPr>
        <w:t>Division 7</w:t>
      </w:r>
      <w:r>
        <w:t> — </w:t>
      </w:r>
      <w:r>
        <w:rPr>
          <w:rStyle w:val="CharSDivText"/>
        </w:rPr>
        <w:t>Pilbara region</w:t>
      </w:r>
      <w:bookmarkEnd w:id="62"/>
      <w:bookmarkEnd w:id="63"/>
      <w:bookmarkEnd w:id="64"/>
      <w:bookmarkEnd w:id="65"/>
      <w:bookmarkEnd w:id="66"/>
    </w:p>
    <w:p>
      <w:pPr>
        <w:pStyle w:val="yFootnoteheading"/>
        <w:keepNext/>
      </w:pPr>
      <w:r>
        <w:tab/>
        <w:t>[Heading inserted in Gazette 23 Dec 2014 p. 4907.]</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Borders>
              <w:bottom w:val="single" w:sz="4" w:space="0" w:color="auto"/>
            </w:tcBorders>
          </w:tcPr>
          <w:p>
            <w:pPr>
              <w:pStyle w:val="yTableNAm"/>
            </w:pPr>
          </w:p>
          <w:p>
            <w:pPr>
              <w:pStyle w:val="yTableNAm"/>
            </w:pPr>
            <w:r>
              <w:br/>
            </w:r>
            <w:r>
              <w:br/>
            </w:r>
            <w:r>
              <w:br/>
            </w:r>
            <w:r>
              <w:br/>
            </w:r>
            <w:r>
              <w:br/>
            </w:r>
            <w:r>
              <w:rPr>
                <w:szCs w:val="22"/>
              </w:rPr>
              <w:t>$3.41/km</w:t>
            </w:r>
          </w:p>
        </w:tc>
        <w:tc>
          <w:tcPr>
            <w:tcW w:w="1426" w:type="dxa"/>
            <w:tcBorders>
              <w:bottom w:val="single" w:sz="4" w:space="0" w:color="auto"/>
            </w:tcBorders>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$1.90/km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7 inserted in Gazette 23 Dec 2014 p. 4907-8.]</w:t>
      </w:r>
    </w:p>
    <w:p>
      <w:pPr>
        <w:pStyle w:val="yHeading3"/>
      </w:pPr>
      <w:bookmarkStart w:id="67" w:name="_Toc412206690"/>
      <w:bookmarkStart w:id="68" w:name="_Toc415734492"/>
      <w:bookmarkStart w:id="69" w:name="_Toc415734518"/>
      <w:bookmarkStart w:id="70" w:name="_Toc415734594"/>
      <w:bookmarkStart w:id="71" w:name="_Toc415734621"/>
      <w:r>
        <w:rPr>
          <w:rStyle w:val="CharSDivNo"/>
        </w:rPr>
        <w:t>Division 8</w:t>
      </w:r>
      <w:r>
        <w:t> — </w:t>
      </w:r>
      <w:r>
        <w:rPr>
          <w:rStyle w:val="CharSDivText"/>
        </w:rPr>
        <w:t>South West region</w:t>
      </w:r>
      <w:bookmarkEnd w:id="67"/>
      <w:bookmarkEnd w:id="68"/>
      <w:bookmarkEnd w:id="69"/>
      <w:bookmarkEnd w:id="70"/>
      <w:bookmarkEnd w:id="71"/>
    </w:p>
    <w:p>
      <w:pPr>
        <w:pStyle w:val="yFootnoteheading"/>
      </w:pPr>
      <w:r>
        <w:tab/>
        <w:t>[Heading inserted in Gazette 23 Dec 2014 p. 4908.]</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$2.60/km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w:t>
      </w:r>
    </w:p>
    <w:p>
      <w:pPr>
        <w:pStyle w:val="yHeading3"/>
      </w:pPr>
      <w:bookmarkStart w:id="72" w:name="_Toc412206691"/>
      <w:bookmarkStart w:id="73" w:name="_Toc415734493"/>
      <w:bookmarkStart w:id="74" w:name="_Toc415734519"/>
      <w:bookmarkStart w:id="75" w:name="_Toc415734595"/>
      <w:bookmarkStart w:id="76" w:name="_Toc415734622"/>
      <w:r>
        <w:rPr>
          <w:rStyle w:val="CharSDivNo"/>
        </w:rPr>
        <w:t>Division 9</w:t>
      </w:r>
      <w:r>
        <w:t> — </w:t>
      </w:r>
      <w:r>
        <w:rPr>
          <w:rStyle w:val="CharSDivText"/>
        </w:rPr>
        <w:t>Wheatbelt region</w:t>
      </w:r>
      <w:bookmarkEnd w:id="72"/>
      <w:bookmarkEnd w:id="73"/>
      <w:bookmarkEnd w:id="74"/>
      <w:bookmarkEnd w:id="75"/>
      <w:bookmarkEnd w:id="76"/>
    </w:p>
    <w:p>
      <w:pPr>
        <w:pStyle w:val="yFootnoteheading"/>
      </w:pPr>
      <w:r>
        <w:tab/>
        <w:t>[Heading inserted in Gazette 23 Dec 2014 p. 4910.]</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$2.56/km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$1.66/km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9 inserted in Gazette 23 Dec 2014 p. 4910-11.]</w:t>
      </w:r>
    </w:p>
    <w:p>
      <w:pPr>
        <w:pStyle w:val="yScheduleHeading"/>
      </w:pPr>
      <w:bookmarkStart w:id="77" w:name="_Toc412206692"/>
      <w:bookmarkStart w:id="78" w:name="_Toc415734494"/>
      <w:bookmarkStart w:id="79" w:name="_Toc415734520"/>
      <w:bookmarkStart w:id="80" w:name="_Toc415734596"/>
      <w:bookmarkStart w:id="81" w:name="_Toc415734623"/>
      <w:r>
        <w:rPr>
          <w:rStyle w:val="CharSchNo"/>
        </w:rPr>
        <w:t>Schedule 2</w:t>
      </w:r>
      <w:r>
        <w:rPr>
          <w:rStyle w:val="CharSDivNo"/>
        </w:rPr>
        <w:t> </w:t>
      </w:r>
      <w:r>
        <w:t>—</w:t>
      </w:r>
      <w:r>
        <w:rPr>
          <w:rStyle w:val="CharSDivText"/>
        </w:rPr>
        <w:t> </w:t>
      </w:r>
      <w:r>
        <w:rPr>
          <w:rStyle w:val="CharSchText"/>
        </w:rPr>
        <w:t>Modified penalties</w:t>
      </w:r>
      <w:bookmarkEnd w:id="77"/>
      <w:bookmarkEnd w:id="78"/>
      <w:bookmarkEnd w:id="79"/>
      <w:bookmarkEnd w:id="80"/>
      <w:bookmarkEnd w:id="81"/>
    </w:p>
    <w:p>
      <w:pPr>
        <w:pStyle w:val="yShoulderClause"/>
      </w:pPr>
      <w:r>
        <w:t>[r. 7A(1)]</w:t>
      </w:r>
    </w:p>
    <w:p>
      <w:pPr>
        <w:pStyle w:val="yFootnoteheading"/>
        <w:spacing w:after="60"/>
      </w:pPr>
      <w:r>
        <w:tab/>
        <w:t>[Heading inserted in Gazette 14 Jul 2006 p. 2572.]</w:t>
      </w:r>
    </w:p>
    <w:tbl>
      <w:tblPr>
        <w:tblW w:w="7125" w:type="dxa"/>
        <w:tblInd w:w="108" w:type="dxa"/>
        <w:tblLayout w:type="fixed"/>
        <w:tblLook w:val="0000" w:firstRow="0" w:lastRow="0" w:firstColumn="0" w:lastColumn="0" w:noHBand="0" w:noVBand="0"/>
      </w:tblPr>
      <w:tblGrid>
        <w:gridCol w:w="798"/>
        <w:gridCol w:w="1482"/>
        <w:gridCol w:w="3648"/>
        <w:gridCol w:w="1197"/>
      </w:tblGrid>
      <w:tr>
        <w:trPr>
          <w:tblHeader/>
        </w:trPr>
        <w:tc>
          <w:tcPr>
            <w:tcW w:w="798" w:type="dxa"/>
            <w:tcBorders>
              <w:top w:val="single" w:sz="4" w:space="0" w:color="auto"/>
              <w:bottom w:val="single" w:sz="4" w:space="0" w:color="auto"/>
            </w:tcBorders>
          </w:tcPr>
          <w:p>
            <w:pPr>
              <w:pStyle w:val="yTable"/>
              <w:spacing w:after="60"/>
            </w:pPr>
            <w:r>
              <w:rPr>
                <w:b/>
                <w:bCs/>
              </w:rPr>
              <w:t>Item</w:t>
            </w:r>
          </w:p>
        </w:tc>
        <w:tc>
          <w:tcPr>
            <w:tcW w:w="1482" w:type="dxa"/>
            <w:tcBorders>
              <w:top w:val="single" w:sz="4" w:space="0" w:color="auto"/>
              <w:bottom w:val="single" w:sz="4" w:space="0" w:color="auto"/>
            </w:tcBorders>
          </w:tcPr>
          <w:p>
            <w:pPr>
              <w:pStyle w:val="yTable"/>
              <w:spacing w:after="60"/>
            </w:pPr>
            <w:r>
              <w:rPr>
                <w:rFonts w:ascii="Times" w:hAnsi="Times"/>
                <w:b/>
                <w:bCs/>
                <w:spacing w:val="-4"/>
              </w:rPr>
              <w:t>Regulation</w:t>
            </w:r>
          </w:p>
        </w:tc>
        <w:tc>
          <w:tcPr>
            <w:tcW w:w="3648" w:type="dxa"/>
            <w:tcBorders>
              <w:top w:val="single" w:sz="4" w:space="0" w:color="auto"/>
              <w:bottom w:val="single" w:sz="4" w:space="0" w:color="auto"/>
            </w:tcBorders>
          </w:tcPr>
          <w:p>
            <w:pPr>
              <w:pStyle w:val="yTable"/>
              <w:spacing w:after="60"/>
            </w:pPr>
            <w:r>
              <w:rPr>
                <w:b/>
                <w:bCs/>
              </w:rPr>
              <w:t>Description of offence</w:t>
            </w:r>
          </w:p>
        </w:tc>
        <w:tc>
          <w:tcPr>
            <w:tcW w:w="1197" w:type="dxa"/>
            <w:tcBorders>
              <w:top w:val="single" w:sz="4" w:space="0" w:color="auto"/>
              <w:bottom w:val="single" w:sz="4" w:space="0" w:color="auto"/>
            </w:tcBorders>
          </w:tcPr>
          <w:p>
            <w:pPr>
              <w:pStyle w:val="yTable"/>
              <w:spacing w:after="60"/>
            </w:pPr>
            <w:r>
              <w:rPr>
                <w:b/>
                <w:bCs/>
              </w:rPr>
              <w:t>Modified penalty</w:t>
            </w:r>
          </w:p>
        </w:tc>
      </w:tr>
      <w:tr>
        <w:tc>
          <w:tcPr>
            <w:tcW w:w="798" w:type="dxa"/>
            <w:tcBorders>
              <w:top w:val="single" w:sz="4" w:space="0" w:color="auto"/>
            </w:tcBorders>
          </w:tcPr>
          <w:p>
            <w:pPr>
              <w:pStyle w:val="yTable"/>
            </w:pPr>
            <w:r>
              <w:t>1</w:t>
            </w:r>
          </w:p>
        </w:tc>
        <w:tc>
          <w:tcPr>
            <w:tcW w:w="1482" w:type="dxa"/>
            <w:tcBorders>
              <w:top w:val="single" w:sz="4" w:space="0" w:color="auto"/>
            </w:tcBorders>
          </w:tcPr>
          <w:p>
            <w:pPr>
              <w:pStyle w:val="yTable"/>
            </w:pPr>
            <w:r>
              <w:t>r. 3(1)</w:t>
            </w:r>
          </w:p>
        </w:tc>
        <w:tc>
          <w:tcPr>
            <w:tcW w:w="3648"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97" w:type="dxa"/>
            <w:tcBorders>
              <w:top w:val="single" w:sz="4" w:space="0" w:color="auto"/>
            </w:tcBorders>
          </w:tcPr>
          <w:p>
            <w:pPr>
              <w:pStyle w:val="yTable"/>
            </w:pPr>
            <w:r>
              <w:br/>
            </w:r>
            <w:r>
              <w:br/>
            </w:r>
            <w:r>
              <w:br/>
              <w:t>$50</w:t>
            </w:r>
          </w:p>
        </w:tc>
      </w:tr>
      <w:tr>
        <w:trPr>
          <w:cantSplit/>
        </w:trPr>
        <w:tc>
          <w:tcPr>
            <w:tcW w:w="798" w:type="dxa"/>
          </w:tcPr>
          <w:p>
            <w:pPr>
              <w:pStyle w:val="yTable"/>
            </w:pPr>
            <w:r>
              <w:t>2</w:t>
            </w:r>
          </w:p>
        </w:tc>
        <w:tc>
          <w:tcPr>
            <w:tcW w:w="1482" w:type="dxa"/>
          </w:tcPr>
          <w:p>
            <w:pPr>
              <w:pStyle w:val="yTable"/>
            </w:pPr>
            <w:r>
              <w:t>r. 3(1a)</w:t>
            </w:r>
          </w:p>
        </w:tc>
        <w:tc>
          <w:tcPr>
            <w:tcW w:w="3648" w:type="dxa"/>
          </w:tcPr>
          <w:p>
            <w:pPr>
              <w:pStyle w:val="yTable"/>
            </w:pPr>
            <w:r>
              <w:t>Taking or making fare or charge for hire of taxi</w:t>
            </w:r>
            <w:r>
              <w:noBreakHyphen/>
              <w:t>car that is more than relevant special fare or charge or contract rate approved by Director General</w:t>
            </w:r>
          </w:p>
        </w:tc>
        <w:tc>
          <w:tcPr>
            <w:tcW w:w="1197" w:type="dxa"/>
          </w:tcPr>
          <w:p>
            <w:pPr>
              <w:pStyle w:val="yTable"/>
            </w:pPr>
            <w:r>
              <w:br/>
            </w:r>
            <w:r>
              <w:br/>
            </w:r>
            <w:r>
              <w:br/>
            </w:r>
            <w:r>
              <w:br/>
              <w:t>$50</w:t>
            </w:r>
          </w:p>
        </w:tc>
      </w:tr>
      <w:tr>
        <w:trPr>
          <w:cantSplit/>
        </w:trPr>
        <w:tc>
          <w:tcPr>
            <w:tcW w:w="798" w:type="dxa"/>
          </w:tcPr>
          <w:p>
            <w:pPr>
              <w:pStyle w:val="yTable"/>
            </w:pPr>
            <w:r>
              <w:t>3</w:t>
            </w:r>
          </w:p>
        </w:tc>
        <w:tc>
          <w:tcPr>
            <w:tcW w:w="1482" w:type="dxa"/>
          </w:tcPr>
          <w:p>
            <w:pPr>
              <w:pStyle w:val="yTable"/>
            </w:pPr>
            <w:r>
              <w:t>r. 3(5)</w:t>
            </w:r>
          </w:p>
        </w:tc>
        <w:tc>
          <w:tcPr>
            <w:tcW w:w="3648" w:type="dxa"/>
          </w:tcPr>
          <w:p>
            <w:pPr>
              <w:pStyle w:val="yTable"/>
            </w:pPr>
            <w:r>
              <w:t>Hirer of taxi</w:t>
            </w:r>
            <w:r>
              <w:noBreakHyphen/>
              <w:t>car failing to pay toll or parking fee incurred upon request</w:t>
            </w:r>
          </w:p>
        </w:tc>
        <w:tc>
          <w:tcPr>
            <w:tcW w:w="1197" w:type="dxa"/>
          </w:tcPr>
          <w:p>
            <w:pPr>
              <w:pStyle w:val="yTable"/>
            </w:pPr>
            <w:r>
              <w:br/>
              <w:t>$50</w:t>
            </w:r>
          </w:p>
        </w:tc>
      </w:tr>
      <w:tr>
        <w:trPr>
          <w:cantSplit/>
        </w:trPr>
        <w:tc>
          <w:tcPr>
            <w:tcW w:w="798" w:type="dxa"/>
          </w:tcPr>
          <w:p>
            <w:pPr>
              <w:pStyle w:val="yTable"/>
            </w:pPr>
            <w:r>
              <w:t>4A</w:t>
            </w:r>
          </w:p>
        </w:tc>
        <w:tc>
          <w:tcPr>
            <w:tcW w:w="1482" w:type="dxa"/>
          </w:tcPr>
          <w:p>
            <w:pPr>
              <w:pStyle w:val="yTable"/>
            </w:pPr>
            <w:r>
              <w:t>r. 3B(2)</w:t>
            </w:r>
          </w:p>
        </w:tc>
        <w:tc>
          <w:tcPr>
            <w:tcW w:w="3648" w:type="dxa"/>
          </w:tcPr>
          <w:p>
            <w:pPr>
              <w:pStyle w:val="yTable"/>
            </w:pPr>
            <w:r>
              <w:t>Imposing excessive surcharge</w:t>
            </w:r>
          </w:p>
        </w:tc>
        <w:tc>
          <w:tcPr>
            <w:tcW w:w="1197" w:type="dxa"/>
          </w:tcPr>
          <w:p>
            <w:pPr>
              <w:pStyle w:val="yTable"/>
            </w:pPr>
            <w:r>
              <w:t>50</w:t>
            </w:r>
          </w:p>
        </w:tc>
      </w:tr>
      <w:tr>
        <w:trPr>
          <w:cantSplit/>
        </w:trPr>
        <w:tc>
          <w:tcPr>
            <w:tcW w:w="798" w:type="dxa"/>
          </w:tcPr>
          <w:p>
            <w:pPr>
              <w:pStyle w:val="yTable"/>
            </w:pPr>
            <w:r>
              <w:t>4B</w:t>
            </w:r>
          </w:p>
        </w:tc>
        <w:tc>
          <w:tcPr>
            <w:tcW w:w="1482" w:type="dxa"/>
          </w:tcPr>
          <w:p>
            <w:pPr>
              <w:pStyle w:val="yTable"/>
            </w:pPr>
            <w:r>
              <w:t>r. 3B(3)</w:t>
            </w:r>
          </w:p>
        </w:tc>
        <w:tc>
          <w:tcPr>
            <w:tcW w:w="3648" w:type="dxa"/>
          </w:tcPr>
          <w:p>
            <w:pPr>
              <w:pStyle w:val="yTable"/>
            </w:pPr>
            <w:r>
              <w:t>Not using correct payment terminal</w:t>
            </w:r>
          </w:p>
        </w:tc>
        <w:tc>
          <w:tcPr>
            <w:tcW w:w="1197" w:type="dxa"/>
          </w:tcPr>
          <w:p>
            <w:pPr>
              <w:pStyle w:val="yTable"/>
            </w:pPr>
            <w:r>
              <w:t>50</w:t>
            </w:r>
          </w:p>
        </w:tc>
      </w:tr>
      <w:tr>
        <w:trPr>
          <w:cantSplit/>
        </w:trPr>
        <w:tc>
          <w:tcPr>
            <w:tcW w:w="798" w:type="dxa"/>
          </w:tcPr>
          <w:p>
            <w:pPr>
              <w:pStyle w:val="yTable"/>
            </w:pPr>
            <w:r>
              <w:t>4</w:t>
            </w:r>
          </w:p>
        </w:tc>
        <w:tc>
          <w:tcPr>
            <w:tcW w:w="1482" w:type="dxa"/>
          </w:tcPr>
          <w:p>
            <w:pPr>
              <w:pStyle w:val="yTable"/>
            </w:pPr>
            <w:r>
              <w:t>r. 4(1)</w:t>
            </w:r>
          </w:p>
        </w:tc>
        <w:tc>
          <w:tcPr>
            <w:tcW w:w="3648" w:type="dxa"/>
          </w:tcPr>
          <w:p>
            <w:pPr>
              <w:pStyle w:val="yTable"/>
            </w:pPr>
            <w:r>
              <w:rPr>
                <w:rFonts w:ascii="Times" w:hAnsi="Times"/>
                <w:spacing w:val="-4"/>
              </w:rPr>
              <w:t>Evading or attempting to evade payment of fare or charge</w:t>
            </w:r>
          </w:p>
        </w:tc>
        <w:tc>
          <w:tcPr>
            <w:tcW w:w="1197" w:type="dxa"/>
          </w:tcPr>
          <w:p>
            <w:pPr>
              <w:pStyle w:val="yTable"/>
            </w:pPr>
            <w:r>
              <w:br/>
              <w:t>$50</w:t>
            </w:r>
          </w:p>
        </w:tc>
      </w:tr>
      <w:tr>
        <w:trPr>
          <w:cantSplit/>
        </w:trPr>
        <w:tc>
          <w:tcPr>
            <w:tcW w:w="798" w:type="dxa"/>
          </w:tcPr>
          <w:p>
            <w:pPr>
              <w:pStyle w:val="yTable"/>
            </w:pPr>
            <w:r>
              <w:t>5</w:t>
            </w:r>
          </w:p>
        </w:tc>
        <w:tc>
          <w:tcPr>
            <w:tcW w:w="1482" w:type="dxa"/>
          </w:tcPr>
          <w:p>
            <w:pPr>
              <w:pStyle w:val="yTable"/>
            </w:pPr>
            <w:r>
              <w:t>r. 4(2)</w:t>
            </w:r>
          </w:p>
        </w:tc>
        <w:tc>
          <w:tcPr>
            <w:tcW w:w="3648" w:type="dxa"/>
          </w:tcPr>
          <w:p>
            <w:pPr>
              <w:pStyle w:val="yTable"/>
            </w:pPr>
            <w:r>
              <w:t>Driver of taxi</w:t>
            </w:r>
            <w:r>
              <w:noBreakHyphen/>
              <w:t>car failing to report evasion or attempted evasion of payment of fare or charge to Director General</w:t>
            </w:r>
          </w:p>
        </w:tc>
        <w:tc>
          <w:tcPr>
            <w:tcW w:w="1197" w:type="dxa"/>
          </w:tcPr>
          <w:p>
            <w:pPr>
              <w:pStyle w:val="yTable"/>
            </w:pPr>
            <w:r>
              <w:br/>
            </w:r>
            <w:r>
              <w:br/>
            </w:r>
            <w:r>
              <w:br/>
              <w:t>$50</w:t>
            </w:r>
          </w:p>
        </w:tc>
      </w:tr>
      <w:tr>
        <w:trPr>
          <w:cantSplit/>
        </w:trPr>
        <w:tc>
          <w:tcPr>
            <w:tcW w:w="798" w:type="dxa"/>
          </w:tcPr>
          <w:p>
            <w:pPr>
              <w:pStyle w:val="yTable"/>
            </w:pPr>
            <w:r>
              <w:t>6</w:t>
            </w:r>
          </w:p>
        </w:tc>
        <w:tc>
          <w:tcPr>
            <w:tcW w:w="1482" w:type="dxa"/>
          </w:tcPr>
          <w:p>
            <w:pPr>
              <w:pStyle w:val="yTable"/>
            </w:pPr>
            <w:r>
              <w:t>r. 6(1)</w:t>
            </w:r>
          </w:p>
        </w:tc>
        <w:tc>
          <w:tcPr>
            <w:tcW w:w="3648" w:type="dxa"/>
          </w:tcPr>
          <w:p>
            <w:pPr>
              <w:pStyle w:val="yTable"/>
            </w:pPr>
            <w:r>
              <w:t>Owner of taxi</w:t>
            </w:r>
            <w:r>
              <w:noBreakHyphen/>
              <w:t>car failing to have schedule detailing rates and charges in vehicle or driver failing to make schedule available to hirer upon request</w:t>
            </w:r>
          </w:p>
        </w:tc>
        <w:tc>
          <w:tcPr>
            <w:tcW w:w="1197" w:type="dxa"/>
          </w:tcPr>
          <w:p>
            <w:pPr>
              <w:pStyle w:val="yTable"/>
            </w:pPr>
            <w:r>
              <w:br/>
            </w:r>
            <w:r>
              <w:br/>
            </w:r>
            <w:r>
              <w:br/>
            </w:r>
            <w:r>
              <w:br/>
              <w:t>$50</w:t>
            </w:r>
          </w:p>
        </w:tc>
      </w:tr>
      <w:tr>
        <w:trPr>
          <w:cantSplit/>
        </w:trPr>
        <w:tc>
          <w:tcPr>
            <w:tcW w:w="798" w:type="dxa"/>
            <w:tcBorders>
              <w:bottom w:val="single" w:sz="4" w:space="0" w:color="auto"/>
            </w:tcBorders>
          </w:tcPr>
          <w:p>
            <w:pPr>
              <w:pStyle w:val="yTable"/>
            </w:pPr>
            <w:r>
              <w:t>7</w:t>
            </w:r>
          </w:p>
        </w:tc>
        <w:tc>
          <w:tcPr>
            <w:tcW w:w="1482" w:type="dxa"/>
            <w:tcBorders>
              <w:bottom w:val="single" w:sz="4" w:space="0" w:color="auto"/>
            </w:tcBorders>
          </w:tcPr>
          <w:p>
            <w:pPr>
              <w:pStyle w:val="yTable"/>
            </w:pPr>
            <w:r>
              <w:t>r. 6(2)</w:t>
            </w:r>
          </w:p>
        </w:tc>
        <w:tc>
          <w:tcPr>
            <w:tcW w:w="3648" w:type="dxa"/>
            <w:tcBorders>
              <w:bottom w:val="single" w:sz="4" w:space="0" w:color="auto"/>
            </w:tcBorders>
          </w:tcPr>
          <w:p>
            <w:pPr>
              <w:pStyle w:val="yTable"/>
            </w:pPr>
            <w:r>
              <w:t>Driving a taxi</w:t>
            </w:r>
            <w:r>
              <w:noBreakHyphen/>
              <w:t>car in which schedule detailing rates and charges is not carried</w:t>
            </w:r>
          </w:p>
        </w:tc>
        <w:tc>
          <w:tcPr>
            <w:tcW w:w="1197" w:type="dxa"/>
            <w:tcBorders>
              <w:bottom w:val="single" w:sz="4" w:space="0" w:color="auto"/>
            </w:tcBorders>
          </w:tcPr>
          <w:p>
            <w:pPr>
              <w:pStyle w:val="yTable"/>
            </w:pPr>
            <w:r>
              <w:br/>
            </w:r>
            <w:r>
              <w:br/>
              <w:t>$50</w:t>
            </w:r>
          </w:p>
        </w:tc>
      </w:tr>
    </w:tbl>
    <w:p>
      <w:pPr>
        <w:pStyle w:val="yFootnotesection"/>
      </w:pPr>
      <w:r>
        <w:tab/>
        <w:t>[Schedule 2 inserted in Gazette 14 Jul 2006 p. 2572; amended in Gazette 20 Feb 2015 p. 692.]</w:t>
      </w:r>
    </w:p>
    <w:p>
      <w:pPr>
        <w:pStyle w:val="yScheduleHeading"/>
      </w:pPr>
      <w:bookmarkStart w:id="82" w:name="_Toc412206693"/>
      <w:bookmarkStart w:id="83" w:name="_Toc415734495"/>
      <w:bookmarkStart w:id="84" w:name="_Toc415734521"/>
      <w:bookmarkStart w:id="85" w:name="_Toc415734597"/>
      <w:bookmarkStart w:id="86" w:name="_Toc415734624"/>
      <w:r>
        <w:rPr>
          <w:rStyle w:val="CharSchNo"/>
        </w:rPr>
        <w:t>Schedule 3</w:t>
      </w:r>
      <w:r>
        <w:rPr>
          <w:rStyle w:val="CharSDivNo"/>
        </w:rPr>
        <w:t> </w:t>
      </w:r>
      <w:r>
        <w:t>—</w:t>
      </w:r>
      <w:r>
        <w:rPr>
          <w:rStyle w:val="CharSDivText"/>
        </w:rPr>
        <w:t> </w:t>
      </w:r>
      <w:r>
        <w:rPr>
          <w:rStyle w:val="CharSchText"/>
        </w:rPr>
        <w:t>Forms</w:t>
      </w:r>
      <w:bookmarkEnd w:id="82"/>
      <w:bookmarkEnd w:id="83"/>
      <w:bookmarkEnd w:id="84"/>
      <w:bookmarkEnd w:id="85"/>
      <w:bookmarkEnd w:id="86"/>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3</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4</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w:t>
      </w:r>
      <w:r>
        <w:rPr>
          <w:sz w:val="20"/>
          <w:vertAlign w:val="superscript"/>
        </w:rPr>
        <w:t> 2</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87" w:name="_Toc412206694"/>
      <w:bookmarkStart w:id="88" w:name="_Toc415734496"/>
      <w:bookmarkStart w:id="89" w:name="_Toc415734522"/>
      <w:bookmarkStart w:id="90" w:name="_Toc415734598"/>
      <w:bookmarkStart w:id="91" w:name="_Toc415734625"/>
      <w:r>
        <w:t>Notes</w:t>
      </w:r>
      <w:bookmarkEnd w:id="87"/>
      <w:bookmarkEnd w:id="88"/>
      <w:bookmarkEnd w:id="89"/>
      <w:bookmarkEnd w:id="90"/>
      <w:bookmarkEnd w:id="91"/>
    </w:p>
    <w:p>
      <w:pPr>
        <w:pStyle w:val="nSubsection"/>
        <w:rPr>
          <w:snapToGrid w:val="0"/>
        </w:rPr>
      </w:pPr>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2" w:name="_Toc412206695"/>
      <w:bookmarkStart w:id="93" w:name="_Toc415734626"/>
      <w:r>
        <w:rPr>
          <w:snapToGrid w:val="0"/>
        </w:rPr>
        <w:t>Compilation table</w:t>
      </w:r>
      <w:bookmarkEnd w:id="92"/>
      <w:bookmarkEnd w:id="9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tcBorders>
              <w:top w:val="single" w:sz="8" w:space="0" w:color="auto"/>
            </w:tcBorders>
          </w:tcPr>
          <w:p>
            <w:pPr>
              <w:pStyle w:val="nTable"/>
              <w:spacing w:after="40"/>
            </w:pPr>
            <w:r>
              <w:t>19 Apr 1991 p. 1815</w:t>
            </w:r>
            <w:r>
              <w:noBreakHyphen/>
              <w:t>20</w:t>
            </w:r>
          </w:p>
        </w:tc>
        <w:tc>
          <w:tcPr>
            <w:tcW w:w="2693" w:type="dxa"/>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tcPr>
          <w:p>
            <w:pPr>
              <w:pStyle w:val="nTable"/>
              <w:spacing w:after="40"/>
            </w:pPr>
            <w:r>
              <w:t>12 Jul 1991 p. 3484</w:t>
            </w:r>
            <w:r>
              <w:noBreakHyphen/>
              <w:t>6</w:t>
            </w:r>
          </w:p>
        </w:tc>
        <w:tc>
          <w:tcPr>
            <w:tcW w:w="2693" w:type="dxa"/>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tcPr>
          <w:p>
            <w:pPr>
              <w:pStyle w:val="nTable"/>
              <w:spacing w:after="40"/>
            </w:pPr>
            <w:r>
              <w:t>2 Aug 1991 p. 4080</w:t>
            </w:r>
            <w:r>
              <w:noBreakHyphen/>
              <w:t>1</w:t>
            </w:r>
          </w:p>
        </w:tc>
        <w:tc>
          <w:tcPr>
            <w:tcW w:w="2693" w:type="dxa"/>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tcPr>
          <w:p>
            <w:pPr>
              <w:pStyle w:val="nTable"/>
              <w:spacing w:after="40"/>
            </w:pPr>
            <w:r>
              <w:t>6 Sep 1991 p. 4717</w:t>
            </w:r>
            <w:r>
              <w:noBreakHyphen/>
              <w:t>18</w:t>
            </w:r>
          </w:p>
        </w:tc>
        <w:tc>
          <w:tcPr>
            <w:tcW w:w="2693" w:type="dxa"/>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tcPr>
          <w:p>
            <w:pPr>
              <w:pStyle w:val="nTable"/>
              <w:spacing w:after="40"/>
            </w:pPr>
            <w:r>
              <w:t>11 Oct 1991 p. 5236</w:t>
            </w:r>
            <w:r>
              <w:noBreakHyphen/>
              <w:t>7</w:t>
            </w:r>
          </w:p>
        </w:tc>
        <w:tc>
          <w:tcPr>
            <w:tcW w:w="2693" w:type="dxa"/>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tcPr>
          <w:p>
            <w:pPr>
              <w:pStyle w:val="nTable"/>
              <w:spacing w:after="40"/>
            </w:pPr>
            <w:r>
              <w:t>29 Nov 1991 p. 6044</w:t>
            </w:r>
            <w:r>
              <w:noBreakHyphen/>
              <w:t>5</w:t>
            </w:r>
          </w:p>
        </w:tc>
        <w:tc>
          <w:tcPr>
            <w:tcW w:w="2693" w:type="dxa"/>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tcPr>
          <w:p>
            <w:pPr>
              <w:pStyle w:val="nTable"/>
              <w:spacing w:after="40"/>
            </w:pPr>
            <w:r>
              <w:t>14 Aug 1992 p. 4068</w:t>
            </w:r>
            <w:r>
              <w:noBreakHyphen/>
              <w:t>9</w:t>
            </w:r>
          </w:p>
        </w:tc>
        <w:tc>
          <w:tcPr>
            <w:tcW w:w="2693" w:type="dxa"/>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tcPr>
          <w:p>
            <w:pPr>
              <w:pStyle w:val="nTable"/>
              <w:spacing w:after="40"/>
            </w:pPr>
            <w:r>
              <w:t>1 Oct 1993 p. 5394</w:t>
            </w:r>
            <w:r>
              <w:noBreakHyphen/>
              <w:t>5</w:t>
            </w:r>
          </w:p>
        </w:tc>
        <w:tc>
          <w:tcPr>
            <w:tcW w:w="2693" w:type="dxa"/>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tcPr>
          <w:p>
            <w:pPr>
              <w:pStyle w:val="nTable"/>
              <w:spacing w:after="40"/>
            </w:pPr>
            <w:r>
              <w:t>4 Mar 1994 p. 899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tcPr>
          <w:p>
            <w:pPr>
              <w:pStyle w:val="nTable"/>
              <w:spacing w:after="40"/>
            </w:pPr>
            <w:r>
              <w:t>10 Jun 1994 p. 2418</w:t>
            </w:r>
            <w:r>
              <w:noBreakHyphen/>
              <w:t>19</w:t>
            </w:r>
          </w:p>
        </w:tc>
        <w:tc>
          <w:tcPr>
            <w:tcW w:w="2693" w:type="dxa"/>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tcPr>
          <w:p>
            <w:pPr>
              <w:pStyle w:val="nTable"/>
              <w:keepNext/>
              <w:spacing w:after="40"/>
            </w:pPr>
            <w:r>
              <w:t>30 Sep 1994 p. 5057</w:t>
            </w:r>
            <w:r>
              <w:noBreakHyphen/>
              <w:t>8</w:t>
            </w:r>
          </w:p>
        </w:tc>
        <w:tc>
          <w:tcPr>
            <w:tcW w:w="2693" w:type="dxa"/>
          </w:tcPr>
          <w:p>
            <w:pPr>
              <w:pStyle w:val="nTable"/>
              <w:keepNext/>
              <w:spacing w:after="40"/>
            </w:pPr>
            <w:r>
              <w:t>3 Oct 1994 (see r. 2)</w:t>
            </w:r>
          </w:p>
        </w:tc>
      </w:tr>
      <w:tr>
        <w:trPr>
          <w:cantSplit/>
        </w:trPr>
        <w:tc>
          <w:tcPr>
            <w:tcW w:w="3119" w:type="dxa"/>
          </w:tcPr>
          <w:p>
            <w:pPr>
              <w:pStyle w:val="nTable"/>
              <w:spacing w:before="30" w:after="30"/>
              <w:ind w:right="113"/>
            </w:pPr>
            <w:r>
              <w:rPr>
                <w:i/>
              </w:rPr>
              <w:t>Country Taxi</w:t>
            </w:r>
            <w:r>
              <w:rPr>
                <w:i/>
              </w:rPr>
              <w:noBreakHyphen/>
              <w:t>cars (Fares and Charges) Amendment Regulations 1995</w:t>
            </w:r>
          </w:p>
        </w:tc>
        <w:tc>
          <w:tcPr>
            <w:tcW w:w="1276" w:type="dxa"/>
          </w:tcPr>
          <w:p>
            <w:pPr>
              <w:pStyle w:val="nTable"/>
              <w:spacing w:before="30" w:after="30"/>
            </w:pPr>
            <w:r>
              <w:t>30 Jun 1995 p. 2696</w:t>
            </w:r>
            <w:r>
              <w:noBreakHyphen/>
              <w:t>7</w:t>
            </w:r>
          </w:p>
        </w:tc>
        <w:tc>
          <w:tcPr>
            <w:tcW w:w="2693" w:type="dxa"/>
          </w:tcPr>
          <w:p>
            <w:pPr>
              <w:pStyle w:val="nTable"/>
              <w:spacing w:before="30" w:after="30"/>
            </w:pPr>
            <w:r>
              <w:t>3 Jul 1995 (see r. 2)</w:t>
            </w:r>
          </w:p>
        </w:tc>
      </w:tr>
      <w:tr>
        <w:trPr>
          <w:cantSplit/>
        </w:trPr>
        <w:tc>
          <w:tcPr>
            <w:tcW w:w="3119" w:type="dxa"/>
          </w:tcPr>
          <w:p>
            <w:pPr>
              <w:pStyle w:val="nTable"/>
              <w:spacing w:before="30" w:after="30"/>
              <w:ind w:right="113"/>
            </w:pPr>
            <w:r>
              <w:rPr>
                <w:i/>
              </w:rPr>
              <w:t>Country Taxi</w:t>
            </w:r>
            <w:r>
              <w:rPr>
                <w:i/>
              </w:rPr>
              <w:noBreakHyphen/>
              <w:t>cars (Fares and Charges) Amendment Regulations 1996</w:t>
            </w:r>
          </w:p>
        </w:tc>
        <w:tc>
          <w:tcPr>
            <w:tcW w:w="1276" w:type="dxa"/>
          </w:tcPr>
          <w:p>
            <w:pPr>
              <w:pStyle w:val="nTable"/>
              <w:spacing w:before="30" w:after="30"/>
            </w:pPr>
            <w:r>
              <w:t>23 Feb 1996 p. 683</w:t>
            </w:r>
            <w:r>
              <w:noBreakHyphen/>
              <w:t>4</w:t>
            </w:r>
          </w:p>
        </w:tc>
        <w:tc>
          <w:tcPr>
            <w:tcW w:w="2693" w:type="dxa"/>
          </w:tcPr>
          <w:p>
            <w:pPr>
              <w:pStyle w:val="nTable"/>
              <w:spacing w:before="30" w:after="30"/>
            </w:pPr>
            <w:r>
              <w:t>23 Feb 1996</w:t>
            </w:r>
          </w:p>
        </w:tc>
      </w:tr>
      <w:tr>
        <w:trPr>
          <w:cantSplit/>
        </w:trPr>
        <w:tc>
          <w:tcPr>
            <w:tcW w:w="3119" w:type="dxa"/>
          </w:tcPr>
          <w:p>
            <w:pPr>
              <w:pStyle w:val="nTable"/>
              <w:spacing w:before="30" w:after="30"/>
              <w:ind w:right="113"/>
            </w:pPr>
            <w:r>
              <w:rPr>
                <w:i/>
              </w:rPr>
              <w:t>Country Taxi</w:t>
            </w:r>
            <w:r>
              <w:rPr>
                <w:i/>
              </w:rPr>
              <w:noBreakHyphen/>
              <w:t>cars (Fares and Charges) Amendment Regulations (No. 2) 1996</w:t>
            </w:r>
          </w:p>
        </w:tc>
        <w:tc>
          <w:tcPr>
            <w:tcW w:w="1276" w:type="dxa"/>
          </w:tcPr>
          <w:p>
            <w:pPr>
              <w:pStyle w:val="nTable"/>
              <w:spacing w:before="30" w:after="30"/>
            </w:pPr>
            <w:r>
              <w:t>23 Feb 1996 p. 685</w:t>
            </w:r>
            <w:r>
              <w:noBreakHyphen/>
              <w:t>7</w:t>
            </w:r>
          </w:p>
        </w:tc>
        <w:tc>
          <w:tcPr>
            <w:tcW w:w="2693" w:type="dxa"/>
          </w:tcPr>
          <w:p>
            <w:pPr>
              <w:pStyle w:val="nTable"/>
              <w:spacing w:before="30" w:after="30"/>
            </w:pPr>
            <w:r>
              <w:t>23 Feb 1996</w:t>
            </w:r>
          </w:p>
        </w:tc>
      </w:tr>
      <w:tr>
        <w:trPr>
          <w:cantSplit/>
        </w:trPr>
        <w:tc>
          <w:tcPr>
            <w:tcW w:w="3119" w:type="dxa"/>
          </w:tcPr>
          <w:p>
            <w:pPr>
              <w:pStyle w:val="nTable"/>
              <w:spacing w:before="30" w:after="30"/>
              <w:ind w:right="113"/>
            </w:pPr>
            <w:r>
              <w:rPr>
                <w:i/>
              </w:rPr>
              <w:t>Country Taxi</w:t>
            </w:r>
            <w:r>
              <w:rPr>
                <w:i/>
              </w:rPr>
              <w:noBreakHyphen/>
              <w:t>cars (Fares and Charges) Amendment Regulations (No. 3) 1996</w:t>
            </w:r>
          </w:p>
        </w:tc>
        <w:tc>
          <w:tcPr>
            <w:tcW w:w="1276" w:type="dxa"/>
          </w:tcPr>
          <w:p>
            <w:pPr>
              <w:pStyle w:val="nTable"/>
              <w:spacing w:before="30" w:after="30"/>
            </w:pPr>
            <w:r>
              <w:t>7 Jun 1996 p. 2423</w:t>
            </w:r>
          </w:p>
        </w:tc>
        <w:tc>
          <w:tcPr>
            <w:tcW w:w="2693" w:type="dxa"/>
          </w:tcPr>
          <w:p>
            <w:pPr>
              <w:pStyle w:val="nTable"/>
              <w:spacing w:before="30" w:after="30"/>
            </w:pPr>
            <w:r>
              <w:t>7 Jun 1996</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2000</w:t>
            </w:r>
          </w:p>
        </w:tc>
        <w:tc>
          <w:tcPr>
            <w:tcW w:w="1276" w:type="dxa"/>
          </w:tcPr>
          <w:p>
            <w:pPr>
              <w:pStyle w:val="nTable"/>
              <w:spacing w:before="30" w:after="30"/>
            </w:pPr>
            <w:r>
              <w:t>28 Mar 2000 p. 1688</w:t>
            </w:r>
            <w:r>
              <w:noBreakHyphen/>
              <w:t>94</w:t>
            </w:r>
          </w:p>
        </w:tc>
        <w:tc>
          <w:tcPr>
            <w:tcW w:w="2693" w:type="dxa"/>
          </w:tcPr>
          <w:p>
            <w:pPr>
              <w:pStyle w:val="nTable"/>
              <w:spacing w:before="30" w:after="30"/>
            </w:pPr>
            <w:r>
              <w:t>28 Mar 2000</w:t>
            </w:r>
          </w:p>
        </w:tc>
      </w:tr>
      <w:tr>
        <w:trPr>
          <w:cantSplit/>
        </w:trPr>
        <w:tc>
          <w:tcPr>
            <w:tcW w:w="7088" w:type="dxa"/>
            <w:gridSpan w:val="3"/>
          </w:tcPr>
          <w:p>
            <w:pPr>
              <w:pStyle w:val="nTable"/>
              <w:spacing w:before="30" w:after="3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(No. 2) 2000</w:t>
            </w:r>
          </w:p>
        </w:tc>
        <w:tc>
          <w:tcPr>
            <w:tcW w:w="1276" w:type="dxa"/>
          </w:tcPr>
          <w:p>
            <w:pPr>
              <w:pStyle w:val="nTable"/>
              <w:spacing w:before="30" w:after="30"/>
            </w:pPr>
            <w:r>
              <w:t>20 Jun 2000 p. 3071</w:t>
            </w:r>
            <w:r>
              <w:noBreakHyphen/>
              <w:t>5</w:t>
            </w:r>
          </w:p>
        </w:tc>
        <w:tc>
          <w:tcPr>
            <w:tcW w:w="2693" w:type="dxa"/>
          </w:tcPr>
          <w:p>
            <w:pPr>
              <w:pStyle w:val="nTable"/>
              <w:spacing w:before="30" w:after="30"/>
            </w:pPr>
            <w:r>
              <w:t>1 Jul 2000 (see r. 2)</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(No. 3) 2000</w:t>
            </w:r>
          </w:p>
        </w:tc>
        <w:tc>
          <w:tcPr>
            <w:tcW w:w="1276" w:type="dxa"/>
          </w:tcPr>
          <w:p>
            <w:pPr>
              <w:pStyle w:val="nTable"/>
              <w:spacing w:before="30" w:after="30"/>
            </w:pPr>
            <w:r>
              <w:t>21 Nov 2000 p. 6326</w:t>
            </w:r>
            <w:r>
              <w:noBreakHyphen/>
              <w:t>9</w:t>
            </w:r>
          </w:p>
        </w:tc>
        <w:tc>
          <w:tcPr>
            <w:tcW w:w="2693" w:type="dxa"/>
          </w:tcPr>
          <w:p>
            <w:pPr>
              <w:pStyle w:val="nTable"/>
              <w:spacing w:before="30" w:after="30"/>
            </w:pPr>
            <w:r>
              <w:t>21 Nov 2000</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2002</w:t>
            </w:r>
          </w:p>
        </w:tc>
        <w:tc>
          <w:tcPr>
            <w:tcW w:w="1276" w:type="dxa"/>
          </w:tcPr>
          <w:p>
            <w:pPr>
              <w:pStyle w:val="nTable"/>
              <w:spacing w:before="30" w:after="30"/>
            </w:pPr>
            <w:r>
              <w:t>24 Dec 2002 p. 6605</w:t>
            </w:r>
            <w:r>
              <w:noBreakHyphen/>
              <w:t>6</w:t>
            </w:r>
          </w:p>
        </w:tc>
        <w:tc>
          <w:tcPr>
            <w:tcW w:w="2693" w:type="dxa"/>
          </w:tcPr>
          <w:p>
            <w:pPr>
              <w:pStyle w:val="nTable"/>
              <w:spacing w:before="30" w:after="30"/>
            </w:pPr>
            <w:r>
              <w:t>24 Dec 2002</w:t>
            </w:r>
          </w:p>
        </w:tc>
      </w:tr>
      <w:tr>
        <w:trPr>
          <w:cantSplit/>
        </w:trPr>
        <w:tc>
          <w:tcPr>
            <w:tcW w:w="3119" w:type="dxa"/>
          </w:tcPr>
          <w:p>
            <w:pPr>
              <w:pStyle w:val="nTable"/>
              <w:spacing w:before="30" w:after="30"/>
              <w:ind w:right="113"/>
              <w:rPr>
                <w:i/>
              </w:rPr>
            </w:pPr>
            <w:r>
              <w:rPr>
                <w:i/>
                <w:noProof/>
                <w:snapToGrid w:val="0"/>
              </w:rPr>
              <w:t>Country Taxi</w:t>
            </w:r>
            <w:r>
              <w:rPr>
                <w:i/>
                <w:noProof/>
                <w:snapToGrid w:val="0"/>
              </w:rPr>
              <w:noBreakHyphen/>
              <w:t>cars (Fares and Charges) Amendment Regulations 2003</w:t>
            </w:r>
          </w:p>
        </w:tc>
        <w:tc>
          <w:tcPr>
            <w:tcW w:w="1276" w:type="dxa"/>
          </w:tcPr>
          <w:p>
            <w:pPr>
              <w:pStyle w:val="nTable"/>
              <w:spacing w:before="30" w:after="30"/>
            </w:pPr>
            <w:r>
              <w:t>24 Dec 2003 p. 5267</w:t>
            </w:r>
            <w:r>
              <w:noBreakHyphen/>
              <w:t>71</w:t>
            </w:r>
          </w:p>
        </w:tc>
        <w:tc>
          <w:tcPr>
            <w:tcW w:w="2693" w:type="dxa"/>
          </w:tcPr>
          <w:p>
            <w:pPr>
              <w:pStyle w:val="nTable"/>
              <w:spacing w:before="30" w:after="30"/>
            </w:pPr>
            <w:r>
              <w:t>24 Dec 2003</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2004</w:t>
            </w:r>
          </w:p>
        </w:tc>
        <w:tc>
          <w:tcPr>
            <w:tcW w:w="1276" w:type="dxa"/>
          </w:tcPr>
          <w:p>
            <w:pPr>
              <w:pStyle w:val="nTable"/>
              <w:spacing w:before="30" w:after="30"/>
            </w:pPr>
            <w:r>
              <w:t>10 Dec 2004 p. 5911</w:t>
            </w:r>
            <w:r>
              <w:noBreakHyphen/>
              <w:t>15</w:t>
            </w:r>
          </w:p>
        </w:tc>
        <w:tc>
          <w:tcPr>
            <w:tcW w:w="2693" w:type="dxa"/>
          </w:tcPr>
          <w:p>
            <w:pPr>
              <w:pStyle w:val="nTable"/>
              <w:spacing w:before="30" w:after="30"/>
            </w:pPr>
            <w:r>
              <w:t>10 Dec 2004</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2005</w:t>
            </w:r>
          </w:p>
        </w:tc>
        <w:tc>
          <w:tcPr>
            <w:tcW w:w="1276" w:type="dxa"/>
          </w:tcPr>
          <w:p>
            <w:pPr>
              <w:pStyle w:val="nTable"/>
              <w:spacing w:before="30" w:after="30"/>
            </w:pPr>
            <w:r>
              <w:t>21 Jan 2005 p. 270</w:t>
            </w:r>
            <w:r>
              <w:noBreakHyphen/>
              <w:t>4</w:t>
            </w:r>
          </w:p>
        </w:tc>
        <w:tc>
          <w:tcPr>
            <w:tcW w:w="2693" w:type="dxa"/>
          </w:tcPr>
          <w:p>
            <w:pPr>
              <w:pStyle w:val="nTable"/>
              <w:spacing w:before="30" w:after="30"/>
            </w:pPr>
            <w:r>
              <w:t>21 Jan 2005</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tcPr>
          <w:p>
            <w:pPr>
              <w:pStyle w:val="nTable"/>
              <w:spacing w:before="30" w:after="30"/>
            </w:pPr>
            <w:r>
              <w:t>1 Dec 2005 p. 5791</w:t>
            </w:r>
            <w:r>
              <w:noBreakHyphen/>
              <w:t>801</w:t>
            </w:r>
          </w:p>
        </w:tc>
        <w:tc>
          <w:tcPr>
            <w:tcW w:w="2693" w:type="dxa"/>
          </w:tcPr>
          <w:p>
            <w:pPr>
              <w:pStyle w:val="nTable"/>
              <w:spacing w:before="30" w:after="30"/>
            </w:pPr>
            <w:r>
              <w:t>1 Dec 2005</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2006</w:t>
            </w:r>
          </w:p>
        </w:tc>
        <w:tc>
          <w:tcPr>
            <w:tcW w:w="1276" w:type="dxa"/>
          </w:tcPr>
          <w:p>
            <w:pPr>
              <w:pStyle w:val="nTable"/>
              <w:spacing w:before="30" w:after="30"/>
            </w:pPr>
            <w:r>
              <w:t>14 Jul 2006 p. 2570</w:t>
            </w:r>
            <w:r>
              <w:noBreakHyphen/>
              <w:t>5</w:t>
            </w:r>
          </w:p>
        </w:tc>
        <w:tc>
          <w:tcPr>
            <w:tcW w:w="2693" w:type="dxa"/>
          </w:tcPr>
          <w:p>
            <w:pPr>
              <w:pStyle w:val="nTable"/>
              <w:spacing w:before="30" w:after="3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tcPr>
          <w:p>
            <w:pPr>
              <w:pStyle w:val="nTable"/>
              <w:spacing w:after="40"/>
            </w:pPr>
            <w:r>
              <w:t>8 Dec 2006 p. 5393</w:t>
            </w:r>
            <w:r>
              <w:noBreakHyphen/>
              <w:t>9</w:t>
            </w:r>
          </w:p>
        </w:tc>
        <w:tc>
          <w:tcPr>
            <w:tcW w:w="2693" w:type="dxa"/>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tcPr>
          <w:p>
            <w:pPr>
              <w:pStyle w:val="nTable"/>
              <w:spacing w:after="40"/>
            </w:pPr>
            <w:r>
              <w:t>21 Dec 2007 p. 6329</w:t>
            </w:r>
            <w:r>
              <w:noBreakHyphen/>
              <w:t>38</w:t>
            </w:r>
          </w:p>
        </w:tc>
        <w:tc>
          <w:tcPr>
            <w:tcW w:w="2693" w:type="dxa"/>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tcPr>
          <w:p>
            <w:pPr>
              <w:pStyle w:val="nTable"/>
              <w:spacing w:after="40"/>
            </w:pPr>
            <w:r>
              <w:t>31 Jul 2008 p. 3437</w:t>
            </w:r>
            <w:r>
              <w:noBreakHyphen/>
              <w:t>48</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tcPr>
          <w:p>
            <w:pPr>
              <w:pStyle w:val="nTable"/>
              <w:spacing w:after="40"/>
            </w:pPr>
            <w:r>
              <w:t>17 Dec 2008 p. 5335</w:t>
            </w:r>
            <w:r>
              <w:noBreakHyphen/>
              <w:t>46</w:t>
            </w:r>
          </w:p>
        </w:tc>
        <w:tc>
          <w:tcPr>
            <w:tcW w:w="2693" w:type="dxa"/>
          </w:tcPr>
          <w:p>
            <w:pPr>
              <w:pStyle w:val="nTable"/>
              <w:spacing w:after="40"/>
            </w:pPr>
            <w:r>
              <w:t>r. 1 and 2: 17 Dec 2008 (see r. 2(a));</w:t>
            </w:r>
            <w:r>
              <w:br/>
              <w:t>Regulations other than r. 1 and 2: 18 Dec 2008 (see r. 2(b))</w:t>
            </w:r>
          </w:p>
        </w:tc>
      </w:tr>
      <w:tr>
        <w:trPr>
          <w:cantSplit/>
        </w:trPr>
        <w:tc>
          <w:tcPr>
            <w:tcW w:w="7088" w:type="dxa"/>
            <w:gridSpan w:val="3"/>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tcPr>
          <w:p>
            <w:pPr>
              <w:pStyle w:val="nTable"/>
              <w:spacing w:after="40"/>
            </w:pPr>
            <w:r>
              <w:t>9 Feb 2010 p. 272-81</w:t>
            </w:r>
          </w:p>
        </w:tc>
        <w:tc>
          <w:tcPr>
            <w:tcW w:w="2693" w:type="dxa"/>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tcPr>
          <w:p>
            <w:pPr>
              <w:pStyle w:val="nTable"/>
              <w:spacing w:after="40"/>
            </w:pPr>
            <w: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tcPr>
          <w:p>
            <w:pPr>
              <w:pStyle w:val="nTable"/>
              <w:spacing w:after="40"/>
            </w:pPr>
            <w:r>
              <w:t>30 Nov 2011 p. 4973-7</w:t>
            </w:r>
          </w:p>
        </w:tc>
        <w:tc>
          <w:tcPr>
            <w:tcW w:w="2693" w:type="dxa"/>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tcPr>
          <w:p>
            <w:pPr>
              <w:pStyle w:val="nTable"/>
              <w:spacing w:after="40"/>
            </w:pPr>
            <w:r>
              <w:t>22 Jun 2012 p. 2798-9</w:t>
            </w:r>
          </w:p>
        </w:tc>
        <w:tc>
          <w:tcPr>
            <w:tcW w:w="2693" w:type="dxa"/>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shd w:val="clear" w:color="auto" w:fill="auto"/>
          </w:tcPr>
          <w:p>
            <w:pPr>
              <w:pStyle w:val="nTable"/>
              <w:spacing w:after="40"/>
            </w:pPr>
            <w:r>
              <w:t>29 Jun 2012 p. 2962</w:t>
            </w:r>
            <w:r>
              <w:noBreakHyphen/>
              <w:t>3</w:t>
            </w:r>
          </w:p>
        </w:tc>
        <w:tc>
          <w:tcPr>
            <w:tcW w:w="2693" w:type="dxa"/>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3"/>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shd w:val="clear" w:color="auto" w:fill="auto"/>
          </w:tcPr>
          <w:p>
            <w:pPr>
              <w:pStyle w:val="nTable"/>
              <w:spacing w:after="40"/>
            </w:pPr>
            <w:r>
              <w:t>30 Nov 2012 p. 5808</w:t>
            </w:r>
            <w:r>
              <w:noBreakHyphen/>
              <w:t>12</w:t>
            </w:r>
          </w:p>
        </w:tc>
        <w:tc>
          <w:tcPr>
            <w:tcW w:w="2693" w:type="dxa"/>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shd w:val="clear" w:color="auto" w:fill="auto"/>
          </w:tcPr>
          <w:p>
            <w:pPr>
              <w:pStyle w:val="nTable"/>
              <w:spacing w:after="40"/>
            </w:pPr>
            <w:r>
              <w:t>13 Dec 2013 p. 6178</w:t>
            </w:r>
            <w:r>
              <w:noBreakHyphen/>
              <w:t>89</w:t>
            </w:r>
          </w:p>
        </w:tc>
        <w:tc>
          <w:tcPr>
            <w:tcW w:w="2693" w:type="dxa"/>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shd w:val="clear" w:color="auto" w:fill="auto"/>
          </w:tcPr>
          <w:p>
            <w:pPr>
              <w:pStyle w:val="nTable"/>
              <w:spacing w:after="40"/>
            </w:pPr>
            <w:r>
              <w:t>23 Dec 2014 p. 4897-911</w:t>
            </w:r>
          </w:p>
        </w:tc>
        <w:tc>
          <w:tcPr>
            <w:tcW w:w="2693" w:type="dxa"/>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tcBorders>
              <w:bottom w:val="single" w:sz="4" w:space="0" w:color="auto"/>
            </w:tcBorders>
            <w:shd w:val="clear" w:color="auto" w:fill="auto"/>
          </w:tcPr>
          <w:p>
            <w:pPr>
              <w:pStyle w:val="nTable"/>
              <w:spacing w:after="40"/>
              <w:ind w:right="113"/>
              <w:rPr>
                <w:i/>
              </w:rPr>
            </w:pPr>
            <w:r>
              <w:rPr>
                <w:i/>
              </w:rPr>
              <w:t>Country Taxi-cars (Fares and Charges) Amendment Regulations 2015</w:t>
            </w:r>
          </w:p>
        </w:tc>
        <w:tc>
          <w:tcPr>
            <w:tcW w:w="1276" w:type="dxa"/>
            <w:tcBorders>
              <w:bottom w:val="single" w:sz="4" w:space="0" w:color="auto"/>
            </w:tcBorders>
            <w:shd w:val="clear" w:color="auto" w:fill="auto"/>
          </w:tcPr>
          <w:p>
            <w:pPr>
              <w:pStyle w:val="nTable"/>
              <w:spacing w:after="40"/>
            </w:pPr>
            <w:r>
              <w:t>20 Feb 2015 p. 690</w:t>
            </w:r>
            <w:r>
              <w:noBreakHyphen/>
              <w:t>2</w:t>
            </w:r>
          </w:p>
        </w:tc>
        <w:tc>
          <w:tcPr>
            <w:tcW w:w="2693" w:type="dxa"/>
            <w:tcBorders>
              <w:bottom w:val="single" w:sz="4" w:space="0" w:color="auto"/>
            </w:tcBorders>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bl>
    <w:p>
      <w:pPr>
        <w:pStyle w:val="nSubsection"/>
        <w:spacing w:before="120"/>
      </w:pPr>
      <w:r>
        <w:rPr>
          <w:vertAlign w:val="superscript"/>
        </w:rPr>
        <w:t>2</w:t>
      </w:r>
      <w:r>
        <w:rPr>
          <w:rFonts w:ascii="Times" w:hAnsi="Times"/>
        </w:rPr>
        <w:tab/>
        <w:t xml:space="preserve">Under the </w:t>
      </w:r>
      <w:r>
        <w:rPr>
          <w:i/>
          <w:iCs/>
        </w:rPr>
        <w:t>Alteration of Statutory Designations (DPI) Order 2009</w:t>
      </w:r>
      <w:r>
        <w:t xml:space="preserve"> a reference in a law to the Department of Planning and Infrastructure is to be read and construed as a reference to the Department of Transport.</w:t>
      </w:r>
    </w:p>
    <w:p>
      <w:pPr>
        <w:pStyle w:val="nSubsection"/>
        <w:spacing w:before="120"/>
      </w:pPr>
      <w:r>
        <w:rPr>
          <w:vertAlign w:val="superscript"/>
        </w:rPr>
        <w:t>3</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4</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95" w:name="_Toc415734524"/>
      <w:bookmarkStart w:id="96" w:name="_Toc415734600"/>
      <w:bookmarkStart w:id="97" w:name="_Toc415734627"/>
      <w:r>
        <w:rPr>
          <w:sz w:val="28"/>
        </w:rPr>
        <w:t>Defined terms</w:t>
      </w:r>
      <w:bookmarkEnd w:id="95"/>
      <w:bookmarkEnd w:id="96"/>
      <w:bookmarkEnd w:id="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business entity</w:t>
      </w:r>
      <w:r>
        <w:tab/>
        <w:t>2A(1)</w:t>
      </w:r>
    </w:p>
    <w:p>
      <w:pPr>
        <w:pStyle w:val="DefinedTerms"/>
      </w:pPr>
      <w:r>
        <w:t>call out</w:t>
      </w:r>
      <w:r>
        <w:tab/>
        <w:t>2A(1)</w:t>
      </w:r>
    </w:p>
    <w:p>
      <w:pPr>
        <w:pStyle w:val="DefinedTerms"/>
      </w:pPr>
      <w:r>
        <w:t>designated radius</w:t>
      </w:r>
      <w:r>
        <w:tab/>
        <w:t>3(4)</w:t>
      </w:r>
    </w:p>
    <w:p>
      <w:pPr>
        <w:pStyle w:val="DefinedTerms"/>
      </w:pPr>
      <w:r>
        <w:t>non</w:t>
      </w:r>
      <w:r>
        <w:noBreakHyphen/>
        <w:t xml:space="preserve">cash payment </w:t>
      </w:r>
      <w:r>
        <w:tab/>
        <w:t>2A(1)</w:t>
      </w:r>
    </w:p>
    <w:p>
      <w:pPr>
        <w:pStyle w:val="DefinedTerms"/>
      </w:pPr>
      <w:r>
        <w:t>payment terminal</w:t>
      </w:r>
      <w:r>
        <w:tab/>
        <w:t>2A(1)</w:t>
      </w:r>
    </w:p>
    <w:p>
      <w:pPr>
        <w:pStyle w:val="DefinedTerms"/>
      </w:pPr>
      <w:r>
        <w:t>region</w:t>
      </w:r>
      <w:r>
        <w:tab/>
        <w:t>2A(1)</w:t>
      </w:r>
    </w:p>
    <w:p>
      <w:pPr>
        <w:pStyle w:val="DefinedTerms"/>
      </w:pPr>
      <w:r>
        <w:t>surcharge</w:t>
      </w:r>
      <w:r>
        <w:tab/>
        <w:t>2A(1)</w:t>
      </w:r>
    </w:p>
    <w:p>
      <w:pPr>
        <w:rPr>
          <w:noProof/>
          <w:snapToGrid w:val="0"/>
        </w:rPr>
      </w:pPr>
    </w:p>
    <w:p>
      <w:pPr>
        <w:rPr>
          <w:noProof/>
          <w:snapToGrid w:val="0"/>
        </w:rPr>
        <w:sectPr>
          <w:headerReference w:type="even" r:id="rId33"/>
          <w:headerReference w:type="default" r:id="rId34"/>
          <w:pgSz w:w="11907" w:h="16840" w:code="9"/>
          <w:pgMar w:top="2381" w:right="2409" w:bottom="3543" w:left="2409" w:header="720" w:footer="3380" w:gutter="0"/>
          <w:cols w:space="720"/>
          <w:noEndnote/>
          <w:docGrid w:linePitch="326"/>
        </w:sectPr>
      </w:pPr>
    </w:p>
    <w:p>
      <w:pPr>
        <w:rPr>
          <w:noProof/>
          <w:snapToGrid w:val="0"/>
        </w:rPr>
      </w:pP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Feb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Feb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03-e0-04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Feb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Feb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03-e0-04</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4" w:name="Compilation"/>
    <w:bookmarkEnd w:id="9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8" w:name="DefinedTerms"/>
    <w:bookmarkEnd w:id="9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9" w:name="Coversheet"/>
    <w:bookmarkEnd w:id="9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02250"/>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4E9E2-D4D9-46D5-B1E9-D4244AB73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5558</Words>
  <Characters>27794</Characters>
  <Application>Microsoft Office Word</Application>
  <DocSecurity>0</DocSecurity>
  <Lines>1985</Lines>
  <Paragraphs>980</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1991 - 03-e0-04</dc:title>
  <dc:subject/>
  <dc:creator/>
  <cp:keywords/>
  <dc:description/>
  <cp:lastModifiedBy>svcMRProcess</cp:lastModifiedBy>
  <cp:revision>4</cp:revision>
  <cp:lastPrinted>2012-10-30T01:46:00Z</cp:lastPrinted>
  <dcterms:created xsi:type="dcterms:W3CDTF">2018-09-10T09:24:00Z</dcterms:created>
  <dcterms:modified xsi:type="dcterms:W3CDTF">2018-09-10T09:25:00Z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20150224</vt:lpwstr>
  </property>
  <property fmtid="{D5CDD505-2E9C-101B-9397-08002B2CF9AE}" pid="4" name="DocumentType">
    <vt:lpwstr>Reg</vt:lpwstr>
  </property>
  <property fmtid="{D5CDD505-2E9C-101B-9397-08002B2CF9AE}" pid="5" name="OwlsUID">
    <vt:i4>4376</vt:i4>
  </property>
  <property fmtid="{D5CDD505-2E9C-101B-9397-08002B2CF9AE}" pid="6" name="ReprintNo">
    <vt:lpwstr>3</vt:lpwstr>
  </property>
  <property fmtid="{D5CDD505-2E9C-101B-9397-08002B2CF9AE}" pid="7" name="ReprintedAsAt">
    <vt:filetime>2012-10-25T16:00:00Z</vt:filetime>
  </property>
  <property fmtid="{D5CDD505-2E9C-101B-9397-08002B2CF9AE}" pid="8" name="AsAtDate">
    <vt:lpwstr>24 Feb 2015</vt:lpwstr>
  </property>
  <property fmtid="{D5CDD505-2E9C-101B-9397-08002B2CF9AE}" pid="9" name="Suffix">
    <vt:lpwstr>03-e0-04</vt:lpwstr>
  </property>
</Properties>
</file>