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Taxi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Taxi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Taxi Regulations 1995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_Toc422122495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_Toc422122496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_Toc422122497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Control area prescribed (Act s. 3(1))</w:t>
      </w:r>
      <w:r>
        <w:tab/>
      </w:r>
      <w:r>
        <w:fldChar w:fldCharType="begin"/>
      </w:r>
      <w:r>
        <w:instrText xml:space="preserve"> PAGEREF _Toc422122498 \h </w:instrText>
      </w:r>
      <w:r>
        <w:fldChar w:fldCharType="separate"/>
      </w:r>
      <w:r>
        <w:t>2</w:t>
      </w:r>
      <w:r>
        <w:fldChar w:fldCharType="end"/>
      </w:r>
    </w:p>
    <w:p>
      <w:pPr>
        <w:pStyle w:val="TOC8"/>
        <w:rPr>
          <w:rFonts w:asciiTheme="minorHAnsi" w:eastAsiaTheme="minorEastAsia" w:hAnsiTheme="minorHAnsi" w:cstheme="minorBidi"/>
          <w:szCs w:val="22"/>
        </w:rPr>
      </w:pPr>
      <w:r>
        <w:t>4A.</w:t>
      </w:r>
      <w:r>
        <w:tab/>
        <w:t>Relevant percentage prescribed (Act s. 16(10))</w:t>
      </w:r>
      <w:r>
        <w:tab/>
      </w:r>
      <w:r>
        <w:fldChar w:fldCharType="begin"/>
      </w:r>
      <w:r>
        <w:instrText xml:space="preserve"> PAGEREF _Toc422122499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Conditions imposable under Act s. 20(1) on multi-purpose taxis, prescribed</w:t>
      </w:r>
      <w:r>
        <w:tab/>
      </w:r>
      <w:r>
        <w:fldChar w:fldCharType="begin"/>
      </w:r>
      <w:r>
        <w:instrText xml:space="preserve"> PAGEREF _Toc422122500 \h </w:instrText>
      </w:r>
      <w:r>
        <w:fldChar w:fldCharType="separate"/>
      </w:r>
      <w:r>
        <w:t>2</w:t>
      </w:r>
      <w:r>
        <w:fldChar w:fldCharType="end"/>
      </w:r>
    </w:p>
    <w:p>
      <w:pPr>
        <w:pStyle w:val="TOC8"/>
        <w:rPr>
          <w:rFonts w:asciiTheme="minorHAnsi" w:eastAsiaTheme="minorEastAsia" w:hAnsiTheme="minorHAnsi" w:cstheme="minorBidi"/>
          <w:szCs w:val="22"/>
        </w:rPr>
      </w:pPr>
      <w:r>
        <w:t>5A.</w:t>
      </w:r>
      <w:r>
        <w:tab/>
        <w:t>Conditions imposable under Act s. 20(1) about leasing taxis, prescribed</w:t>
      </w:r>
      <w:r>
        <w:tab/>
      </w:r>
      <w:r>
        <w:fldChar w:fldCharType="begin"/>
      </w:r>
      <w:r>
        <w:instrText xml:space="preserve"> PAGEREF _Toc422122501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Fare schedule etc. to be displayed in taxis</w:t>
      </w:r>
      <w:r>
        <w:tab/>
      </w:r>
      <w:r>
        <w:fldChar w:fldCharType="begin"/>
      </w:r>
      <w:r>
        <w:instrText xml:space="preserve"> PAGEREF _Toc422122502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Fares chargeable; vouchers, use of</w:t>
      </w:r>
      <w:r>
        <w:tab/>
      </w:r>
      <w:r>
        <w:fldChar w:fldCharType="begin"/>
      </w:r>
      <w:r>
        <w:instrText xml:space="preserve"> PAGEREF _Toc422122503 \h </w:instrText>
      </w:r>
      <w:r>
        <w:fldChar w:fldCharType="separate"/>
      </w:r>
      <w:r>
        <w:t>2</w:t>
      </w:r>
      <w:r>
        <w:fldChar w:fldCharType="end"/>
      </w:r>
    </w:p>
    <w:p>
      <w:pPr>
        <w:pStyle w:val="TOC8"/>
        <w:rPr>
          <w:rFonts w:asciiTheme="minorHAnsi" w:eastAsiaTheme="minorEastAsia" w:hAnsiTheme="minorHAnsi" w:cstheme="minorBidi"/>
          <w:szCs w:val="22"/>
        </w:rPr>
      </w:pPr>
      <w:r>
        <w:t>8A.</w:t>
      </w:r>
      <w:r>
        <w:tab/>
        <w:t>Providing a payment terminal</w:t>
      </w:r>
      <w:r>
        <w:tab/>
      </w:r>
      <w:r>
        <w:fldChar w:fldCharType="begin"/>
      </w:r>
      <w:r>
        <w:instrText xml:space="preserve"> PAGEREF _Toc422122504 \h </w:instrText>
      </w:r>
      <w:r>
        <w:fldChar w:fldCharType="separate"/>
      </w:r>
      <w:r>
        <w:t>2</w:t>
      </w:r>
      <w:r>
        <w:fldChar w:fldCharType="end"/>
      </w:r>
    </w:p>
    <w:p>
      <w:pPr>
        <w:pStyle w:val="TOC8"/>
        <w:rPr>
          <w:rFonts w:asciiTheme="minorHAnsi" w:eastAsiaTheme="minorEastAsia" w:hAnsiTheme="minorHAnsi" w:cstheme="minorBidi"/>
          <w:szCs w:val="22"/>
        </w:rPr>
      </w:pPr>
      <w:r>
        <w:t>8B.</w:t>
      </w:r>
      <w:r>
        <w:tab/>
        <w:t>Surcharge for non</w:t>
      </w:r>
      <w:r>
        <w:noBreakHyphen/>
        <w:t>cash payment</w:t>
      </w:r>
      <w:r>
        <w:tab/>
      </w:r>
      <w:r>
        <w:fldChar w:fldCharType="begin"/>
      </w:r>
      <w:r>
        <w:instrText xml:space="preserve"> PAGEREF _Toc422122505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Commencement and termination of hiring</w:t>
      </w:r>
      <w:r>
        <w:tab/>
      </w:r>
      <w:r>
        <w:fldChar w:fldCharType="begin"/>
      </w:r>
      <w:r>
        <w:instrText xml:space="preserve"> PAGEREF _Toc422122506 \h </w:instrText>
      </w:r>
      <w:r>
        <w:fldChar w:fldCharType="separate"/>
      </w:r>
      <w:r>
        <w:t>2</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Hirer not paying fare at termination of hiring or as otherwise agreed, offence</w:t>
      </w:r>
      <w:r>
        <w:tab/>
      </w:r>
      <w:r>
        <w:fldChar w:fldCharType="begin"/>
      </w:r>
      <w:r>
        <w:instrText xml:space="preserve"> PAGEREF _Toc422122507 \h </w:instrText>
      </w:r>
      <w:r>
        <w:fldChar w:fldCharType="separate"/>
      </w:r>
      <w:r>
        <w:t>2</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Unpaid fare may be added to modified penalty in infringement notice</w:t>
      </w:r>
      <w:r>
        <w:tab/>
      </w:r>
      <w:r>
        <w:fldChar w:fldCharType="begin"/>
      </w:r>
      <w:r>
        <w:instrText xml:space="preserve"> PAGEREF _Toc422122508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Hirer may refuse multiple hiring</w:t>
      </w:r>
      <w:r>
        <w:tab/>
      </w:r>
      <w:r>
        <w:fldChar w:fldCharType="begin"/>
      </w:r>
      <w:r>
        <w:instrText xml:space="preserve"> PAGEREF _Toc422122509 \h </w:instrText>
      </w:r>
      <w:r>
        <w:fldChar w:fldCharType="separate"/>
      </w:r>
      <w:r>
        <w:t>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Most economical route to be taken unless hirer directs otherwise</w:t>
      </w:r>
      <w:r>
        <w:tab/>
      </w:r>
      <w:r>
        <w:fldChar w:fldCharType="begin"/>
      </w:r>
      <w:r>
        <w:instrText xml:space="preserve"> PAGEREF _Toc422122510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Driver may require deposit from hirer</w:t>
      </w:r>
      <w:r>
        <w:tab/>
      </w:r>
      <w:r>
        <w:fldChar w:fldCharType="begin"/>
      </w:r>
      <w:r>
        <w:instrText xml:space="preserve"> PAGEREF _Toc422122511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Driver must accept hirer except in certain circumstances; when driver can terminate hiring</w:t>
      </w:r>
      <w:r>
        <w:tab/>
      </w:r>
      <w:r>
        <w:fldChar w:fldCharType="begin"/>
      </w:r>
      <w:r>
        <w:instrText xml:space="preserve"> PAGEREF _Toc422122512 \h </w:instrText>
      </w:r>
      <w:r>
        <w:fldChar w:fldCharType="separate"/>
      </w:r>
      <w:r>
        <w:t>2</w:t>
      </w:r>
      <w:r>
        <w:fldChar w:fldCharType="end"/>
      </w:r>
    </w:p>
    <w:p>
      <w:pPr>
        <w:pStyle w:val="TOC8"/>
        <w:rPr>
          <w:rFonts w:asciiTheme="minorHAnsi" w:eastAsiaTheme="minorEastAsia" w:hAnsiTheme="minorHAnsi" w:cstheme="minorBidi"/>
          <w:szCs w:val="22"/>
        </w:rPr>
      </w:pPr>
      <w:r>
        <w:t>13A.</w:t>
      </w:r>
      <w:r>
        <w:tab/>
        <w:t>Driver to inform taxi dispatch service of certain matters</w:t>
      </w:r>
      <w:r>
        <w:tab/>
      </w:r>
      <w:r>
        <w:fldChar w:fldCharType="begin"/>
      </w:r>
      <w:r>
        <w:instrText xml:space="preserve"> PAGEREF _Toc422122513 \h </w:instrText>
      </w:r>
      <w:r>
        <w:fldChar w:fldCharType="separate"/>
      </w:r>
      <w:r>
        <w:t>2</w:t>
      </w:r>
      <w:r>
        <w:fldChar w:fldCharType="end"/>
      </w:r>
    </w:p>
    <w:p>
      <w:pPr>
        <w:pStyle w:val="TOC8"/>
        <w:rPr>
          <w:rFonts w:asciiTheme="minorHAnsi" w:eastAsiaTheme="minorEastAsia" w:hAnsiTheme="minorHAnsi" w:cstheme="minorBidi"/>
          <w:szCs w:val="22"/>
        </w:rPr>
      </w:pPr>
      <w:r>
        <w:t>13B.</w:t>
      </w:r>
      <w:r>
        <w:tab/>
        <w:t>Camera surveillance units in taxis, requirements as to</w:t>
      </w:r>
      <w:r>
        <w:tab/>
      </w:r>
      <w:r>
        <w:fldChar w:fldCharType="begin"/>
      </w:r>
      <w:r>
        <w:instrText xml:space="preserve"> PAGEREF _Toc422122514 \h </w:instrText>
      </w:r>
      <w:r>
        <w:fldChar w:fldCharType="separate"/>
      </w:r>
      <w:r>
        <w:t>2</w:t>
      </w:r>
      <w:r>
        <w:fldChar w:fldCharType="end"/>
      </w:r>
    </w:p>
    <w:p>
      <w:pPr>
        <w:pStyle w:val="TOC8"/>
        <w:rPr>
          <w:rFonts w:asciiTheme="minorHAnsi" w:eastAsiaTheme="minorEastAsia" w:hAnsiTheme="minorHAnsi" w:cstheme="minorBidi"/>
          <w:szCs w:val="22"/>
        </w:rPr>
      </w:pPr>
      <w:r>
        <w:lastRenderedPageBreak/>
        <w:t>13C.</w:t>
      </w:r>
      <w:r>
        <w:tab/>
        <w:t>Directions under r. 13B(3), effect of etc.</w:t>
      </w:r>
      <w:r>
        <w:tab/>
      </w:r>
      <w:r>
        <w:fldChar w:fldCharType="begin"/>
      </w:r>
      <w:r>
        <w:instrText xml:space="preserve"> PAGEREF _Toc422122515 \h </w:instrText>
      </w:r>
      <w:r>
        <w:fldChar w:fldCharType="separate"/>
      </w:r>
      <w:r>
        <w:t>2</w:t>
      </w:r>
      <w:r>
        <w:fldChar w:fldCharType="end"/>
      </w:r>
    </w:p>
    <w:p>
      <w:pPr>
        <w:pStyle w:val="TOC8"/>
        <w:rPr>
          <w:rFonts w:asciiTheme="minorHAnsi" w:eastAsiaTheme="minorEastAsia" w:hAnsiTheme="minorHAnsi" w:cstheme="minorBidi"/>
          <w:szCs w:val="22"/>
        </w:rPr>
      </w:pPr>
      <w:r>
        <w:t>13D.</w:t>
      </w:r>
      <w:r>
        <w:tab/>
        <w:t>Camera surveillance units in taxis, who can install etc.</w:t>
      </w:r>
      <w:r>
        <w:tab/>
      </w:r>
      <w:r>
        <w:fldChar w:fldCharType="begin"/>
      </w:r>
      <w:r>
        <w:instrText xml:space="preserve"> PAGEREF _Toc422122516 \h </w:instrText>
      </w:r>
      <w:r>
        <w:fldChar w:fldCharType="separate"/>
      </w:r>
      <w:r>
        <w:t>2</w:t>
      </w:r>
      <w:r>
        <w:fldChar w:fldCharType="end"/>
      </w:r>
    </w:p>
    <w:p>
      <w:pPr>
        <w:pStyle w:val="TOC8"/>
        <w:rPr>
          <w:rFonts w:asciiTheme="minorHAnsi" w:eastAsiaTheme="minorEastAsia" w:hAnsiTheme="minorHAnsi" w:cstheme="minorBidi"/>
          <w:szCs w:val="22"/>
        </w:rPr>
      </w:pPr>
      <w:r>
        <w:t>13E.</w:t>
      </w:r>
      <w:r>
        <w:tab/>
        <w:t>Camera surveillance units, who can view etc. information in</w:t>
      </w:r>
      <w:r>
        <w:tab/>
      </w:r>
      <w:r>
        <w:fldChar w:fldCharType="begin"/>
      </w:r>
      <w:r>
        <w:instrText xml:space="preserve"> PAGEREF _Toc422122517 \h </w:instrText>
      </w:r>
      <w:r>
        <w:fldChar w:fldCharType="separate"/>
      </w:r>
      <w:r>
        <w:t>2</w:t>
      </w:r>
      <w:r>
        <w:fldChar w:fldCharType="end"/>
      </w:r>
    </w:p>
    <w:p>
      <w:pPr>
        <w:pStyle w:val="TOC8"/>
        <w:rPr>
          <w:rFonts w:asciiTheme="minorHAnsi" w:eastAsiaTheme="minorEastAsia" w:hAnsiTheme="minorHAnsi" w:cstheme="minorBidi"/>
          <w:szCs w:val="22"/>
        </w:rPr>
      </w:pPr>
      <w:r>
        <w:t>13F.</w:t>
      </w:r>
      <w:r>
        <w:tab/>
        <w:t>Camera surveillance units, obstruction of etc.</w:t>
      </w:r>
      <w:r>
        <w:tab/>
      </w:r>
      <w:r>
        <w:fldChar w:fldCharType="begin"/>
      </w:r>
      <w:r>
        <w:instrText xml:space="preserve"> PAGEREF _Toc422122518 \h </w:instrText>
      </w:r>
      <w:r>
        <w:fldChar w:fldCharType="separate"/>
      </w:r>
      <w:r>
        <w:t>2</w:t>
      </w:r>
      <w:r>
        <w:fldChar w:fldCharType="end"/>
      </w:r>
    </w:p>
    <w:p>
      <w:pPr>
        <w:pStyle w:val="TOC8"/>
        <w:rPr>
          <w:rFonts w:asciiTheme="minorHAnsi" w:eastAsiaTheme="minorEastAsia" w:hAnsiTheme="minorHAnsi" w:cstheme="minorBidi"/>
          <w:szCs w:val="22"/>
        </w:rPr>
      </w:pPr>
      <w:r>
        <w:t>13G.</w:t>
      </w:r>
      <w:r>
        <w:tab/>
        <w:t>Camera surveillance units, certificates as to proper working order of</w:t>
      </w:r>
      <w:r>
        <w:tab/>
      </w:r>
      <w:r>
        <w:fldChar w:fldCharType="begin"/>
      </w:r>
      <w:r>
        <w:instrText xml:space="preserve"> PAGEREF _Toc422122519 \h </w:instrText>
      </w:r>
      <w:r>
        <w:fldChar w:fldCharType="separate"/>
      </w:r>
      <w:r>
        <w:t>2</w:t>
      </w:r>
      <w:r>
        <w:fldChar w:fldCharType="end"/>
      </w:r>
    </w:p>
    <w:p>
      <w:pPr>
        <w:pStyle w:val="TOC8"/>
        <w:rPr>
          <w:rFonts w:asciiTheme="minorHAnsi" w:eastAsiaTheme="minorEastAsia" w:hAnsiTheme="minorHAnsi" w:cstheme="minorBidi"/>
          <w:szCs w:val="22"/>
        </w:rPr>
      </w:pPr>
      <w:r>
        <w:t>13H.</w:t>
      </w:r>
      <w:r>
        <w:tab/>
        <w:t>Camera surveillance units, transitional provisions for</w:t>
      </w:r>
      <w:r>
        <w:tab/>
      </w:r>
      <w:r>
        <w:fldChar w:fldCharType="begin"/>
      </w:r>
      <w:r>
        <w:instrText xml:space="preserve"> PAGEREF _Toc422122520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Guide dogs, transport of</w:t>
      </w:r>
      <w:r>
        <w:tab/>
      </w:r>
      <w:r>
        <w:fldChar w:fldCharType="begin"/>
      </w:r>
      <w:r>
        <w:instrText xml:space="preserve"> PAGEREF _Toc422122521 \h </w:instrText>
      </w:r>
      <w:r>
        <w:fldChar w:fldCharType="separate"/>
      </w:r>
      <w:r>
        <w:t>2</w:t>
      </w:r>
      <w:r>
        <w:fldChar w:fldCharType="end"/>
      </w:r>
    </w:p>
    <w:p>
      <w:pPr>
        <w:pStyle w:val="TOC8"/>
        <w:rPr>
          <w:rFonts w:asciiTheme="minorHAnsi" w:eastAsiaTheme="minorEastAsia" w:hAnsiTheme="minorHAnsi" w:cstheme="minorBidi"/>
          <w:szCs w:val="22"/>
        </w:rPr>
      </w:pPr>
      <w:r>
        <w:t>15.</w:t>
      </w:r>
      <w:r>
        <w:tab/>
        <w:t>Driver identification to be displayed</w:t>
      </w:r>
      <w:r>
        <w:tab/>
      </w:r>
      <w:r>
        <w:fldChar w:fldCharType="begin"/>
      </w:r>
      <w:r>
        <w:instrText xml:space="preserve"> PAGEREF _Toc422122522 \h </w:instrText>
      </w:r>
      <w:r>
        <w:fldChar w:fldCharType="separate"/>
      </w:r>
      <w:r>
        <w:t>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Conduct of drivers while driving or plying for hire</w:t>
      </w:r>
      <w:r>
        <w:tab/>
      </w:r>
      <w:r>
        <w:fldChar w:fldCharType="begin"/>
      </w:r>
      <w:r>
        <w:instrText xml:space="preserve"> PAGEREF _Toc422122523 \h </w:instrText>
      </w:r>
      <w:r>
        <w:fldChar w:fldCharType="separate"/>
      </w:r>
      <w:r>
        <w:t>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drivers at taxi ranks</w:t>
      </w:r>
      <w:r>
        <w:tab/>
      </w:r>
      <w:r>
        <w:fldChar w:fldCharType="begin"/>
      </w:r>
      <w:r>
        <w:instrText xml:space="preserve"> PAGEREF _Toc422122524 \h </w:instrText>
      </w:r>
      <w:r>
        <w:fldChar w:fldCharType="separate"/>
      </w:r>
      <w:r>
        <w:t>2</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Driver’s uniforms, approval of</w:t>
      </w:r>
      <w:r>
        <w:tab/>
      </w:r>
      <w:r>
        <w:fldChar w:fldCharType="begin"/>
      </w:r>
      <w:r>
        <w:instrText xml:space="preserve"> PAGEREF _Toc422122525 \h </w:instrText>
      </w:r>
      <w:r>
        <w:fldChar w:fldCharType="separate"/>
      </w:r>
      <w:r>
        <w:t>2</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Driver’s uniforms to be worn etc.</w:t>
      </w:r>
      <w:r>
        <w:tab/>
      </w:r>
      <w:r>
        <w:fldChar w:fldCharType="begin"/>
      </w:r>
      <w:r>
        <w:instrText xml:space="preserve"> PAGEREF _Toc422122526 \h </w:instrText>
      </w:r>
      <w:r>
        <w:fldChar w:fldCharType="separate"/>
      </w:r>
      <w:r>
        <w:t>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Authorised meter mechanics; taxi meters, fitting and testing of etc.</w:t>
      </w:r>
      <w:r>
        <w:tab/>
      </w:r>
      <w:r>
        <w:fldChar w:fldCharType="begin"/>
      </w:r>
      <w:r>
        <w:instrText xml:space="preserve"> PAGEREF _Toc422122527 \h </w:instrText>
      </w:r>
      <w:r>
        <w:fldChar w:fldCharType="separate"/>
      </w:r>
      <w:r>
        <w:t>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Fees prescribed (Act s. 19 and 24)</w:t>
      </w:r>
      <w:r>
        <w:tab/>
      </w:r>
      <w:r>
        <w:fldChar w:fldCharType="begin"/>
      </w:r>
      <w:r>
        <w:instrText xml:space="preserve"> PAGEREF _Toc422122528 \h </w:instrText>
      </w:r>
      <w:r>
        <w:fldChar w:fldCharType="separate"/>
      </w:r>
      <w:r>
        <w:t>2</w:t>
      </w:r>
      <w:r>
        <w:fldChar w:fldCharType="end"/>
      </w:r>
    </w:p>
    <w:p>
      <w:pPr>
        <w:pStyle w:val="TOC8"/>
        <w:rPr>
          <w:rFonts w:asciiTheme="minorHAnsi" w:eastAsiaTheme="minorEastAsia" w:hAnsiTheme="minorHAnsi" w:cstheme="minorBidi"/>
          <w:szCs w:val="22"/>
        </w:rPr>
      </w:pPr>
      <w:r>
        <w:t>19A.</w:t>
      </w:r>
      <w:r>
        <w:tab/>
        <w:t>Conditions imposable under Act s. 29 on taxi dispatch service providers</w:t>
      </w:r>
      <w:r>
        <w:tab/>
      </w:r>
      <w:r>
        <w:fldChar w:fldCharType="begin"/>
      </w:r>
      <w:r>
        <w:instrText xml:space="preserve"> PAGEREF _Toc422122529 \h </w:instrText>
      </w:r>
      <w:r>
        <w:fldChar w:fldCharType="separate"/>
      </w:r>
      <w:r>
        <w:t>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rate prescribed (Act s. 36(8))</w:t>
      </w:r>
      <w:r>
        <w:tab/>
      </w:r>
      <w:r>
        <w:fldChar w:fldCharType="begin"/>
      </w:r>
      <w:r>
        <w:instrText xml:space="preserve"> PAGEREF _Toc422122530 \h </w:instrText>
      </w:r>
      <w:r>
        <w:fldChar w:fldCharType="separate"/>
      </w:r>
      <w:r>
        <w:t>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Offences and penalties</w:t>
      </w:r>
      <w:r>
        <w:tab/>
      </w:r>
      <w:r>
        <w:fldChar w:fldCharType="begin"/>
      </w:r>
      <w:r>
        <w:instrText xml:space="preserve"> PAGEREF _Toc422122531 \h </w:instrText>
      </w:r>
      <w:r>
        <w:fldChar w:fldCharType="separate"/>
      </w:r>
      <w:r>
        <w:t>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Infringement notices and modified penalties (Act s. 39)</w:t>
      </w:r>
      <w:r>
        <w:tab/>
      </w:r>
      <w:r>
        <w:fldChar w:fldCharType="begin"/>
      </w:r>
      <w:r>
        <w:instrText xml:space="preserve"> PAGEREF _Toc422122532 \h </w:instrText>
      </w:r>
      <w:r>
        <w:fldChar w:fldCharType="separate"/>
      </w:r>
      <w:r>
        <w:t>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Forms prescribed (Act s. 34 and 35)</w:t>
      </w:r>
      <w:r>
        <w:tab/>
      </w:r>
      <w:r>
        <w:fldChar w:fldCharType="begin"/>
      </w:r>
      <w:r>
        <w:instrText xml:space="preserve"> PAGEREF _Toc422122533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for which infringement notices may be issued</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_Toc422122537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Taxi Act 1994</w:t>
      </w:r>
    </w:p>
    <w:p>
      <w:pPr>
        <w:pStyle w:val="NameofActReg"/>
        <w:spacing w:before="600" w:after="720"/>
      </w:pPr>
      <w:r>
        <w:t>Taxi Regulations 1995</w:t>
      </w:r>
    </w:p>
    <w:p>
      <w:pPr>
        <w:pStyle w:val="Heading5"/>
        <w:rPr>
          <w:snapToGrid w:val="0"/>
        </w:rPr>
      </w:pPr>
      <w:bookmarkStart w:id="3" w:name="_Toc412208806"/>
      <w:bookmarkStart w:id="4" w:name="_Toc422122495"/>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5" w:name="_Toc412208807"/>
      <w:bookmarkStart w:id="6" w:name="_Toc422122496"/>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412208808"/>
      <w:bookmarkStart w:id="8" w:name="_Toc422122497"/>
      <w:r>
        <w:rPr>
          <w:rStyle w:val="CharSectno"/>
        </w:rPr>
        <w:t>3</w:t>
      </w:r>
      <w:r>
        <w:rPr>
          <w:snapToGrid w:val="0"/>
        </w:rPr>
        <w:t>.</w:t>
      </w:r>
      <w:r>
        <w:rPr>
          <w:snapToGrid w:val="0"/>
        </w:rPr>
        <w:tab/>
        <w:t>Terms used</w:t>
      </w:r>
      <w:bookmarkEnd w:id="7"/>
      <w:bookmarkEnd w:id="8"/>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 xml:space="preserve">camera surveillance unit </w:t>
      </w:r>
      <w:r>
        <w:t>means an approved device that takes visual or audio</w:t>
      </w:r>
      <w:r>
        <w:noBreakHyphen/>
        <w:t>visual recordings;</w:t>
      </w:r>
    </w:p>
    <w:p>
      <w:pPr>
        <w:pStyle w:val="Defstart"/>
      </w:pPr>
      <w:r>
        <w:rPr>
          <w:b/>
        </w:rPr>
        <w:tab/>
      </w:r>
      <w:r>
        <w:rPr>
          <w:rStyle w:val="CharDefText"/>
        </w:rPr>
        <w:t>driver</w:t>
      </w:r>
      <w:r>
        <w:t xml:space="preserve"> means taxi driver;</w:t>
      </w:r>
    </w:p>
    <w:p>
      <w:pPr>
        <w:pStyle w:val="Defstart"/>
      </w:pPr>
      <w:r>
        <w:rPr>
          <w:b/>
        </w:rPr>
        <w:tab/>
      </w:r>
      <w:r>
        <w:rPr>
          <w:rStyle w:val="CharDefText"/>
        </w:rPr>
        <w:t>fare</w:t>
      </w:r>
      <w:r>
        <w:t xml:space="preserve"> includes any other amount payable in relation to the hiring of a taxi that is authorised by regulation 8(1aa);</w:t>
      </w:r>
    </w:p>
    <w:p>
      <w:pPr>
        <w:pStyle w:val="Defstart"/>
        <w:keepLines/>
      </w:pPr>
      <w:r>
        <w:rPr>
          <w:b/>
        </w:rPr>
        <w:tab/>
      </w:r>
      <w:r>
        <w:rPr>
          <w:rStyle w:val="CharDefText"/>
        </w:rPr>
        <w:t>fare schedule</w:t>
      </w:r>
      <w:r>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pPr>
        <w:pStyle w:val="Defstart"/>
      </w:pPr>
      <w:r>
        <w:rPr>
          <w:b/>
        </w:rPr>
        <w:tab/>
      </w:r>
      <w:r>
        <w:rPr>
          <w:rStyle w:val="CharDefText"/>
        </w:rPr>
        <w:t>hirer</w:t>
      </w:r>
      <w:r>
        <w:t xml:space="preserve"> includes prospective hirer;</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hiring of a taxi;</w:t>
      </w:r>
    </w:p>
    <w:p>
      <w:pPr>
        <w:pStyle w:val="Defstart"/>
      </w:pPr>
      <w:r>
        <w:tab/>
      </w:r>
      <w:r>
        <w:rPr>
          <w:rStyle w:val="CharDefText"/>
        </w:rPr>
        <w:t>payment terminal</w:t>
      </w:r>
      <w:r>
        <w:t xml:space="preserve"> means a device or system used to facilitate a non</w:t>
      </w:r>
      <w:r>
        <w:noBreakHyphen/>
        <w:t>cash payment and provided in accordance with regulation 8A;</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Defstart"/>
      </w:pPr>
      <w:r>
        <w:tab/>
      </w:r>
      <w:r>
        <w:rPr>
          <w:rStyle w:val="CharDefText"/>
        </w:rPr>
        <w:t>surcharge</w:t>
      </w:r>
      <w:r>
        <w:t xml:space="preserve"> does not include a fee or charge that is imposed on a non</w:t>
      </w:r>
      <w:r>
        <w:noBreakHyphen/>
        <w:t xml:space="preserve">cash payment by — </w:t>
      </w:r>
    </w:p>
    <w:p>
      <w:pPr>
        <w:pStyle w:val="Defpara"/>
      </w:pPr>
      <w:r>
        <w:tab/>
        <w:t>(a)</w:t>
      </w:r>
      <w:r>
        <w:tab/>
        <w:t xml:space="preserve">a participant in a designated payment system within the meaning of the </w:t>
      </w:r>
      <w:r>
        <w:rPr>
          <w:i/>
        </w:rPr>
        <w:t>Payment Systems (Regulation) Act 1998</w:t>
      </w:r>
      <w:r>
        <w:t xml:space="preserve"> (Commonwealth); or</w:t>
      </w:r>
    </w:p>
    <w:p>
      <w:pPr>
        <w:pStyle w:val="Defpara"/>
      </w:pPr>
      <w:r>
        <w:tab/>
        <w:t>(b)</w:t>
      </w:r>
      <w:r>
        <w:tab/>
        <w:t>a person consistently within a voluntary undertaking given by the person to, and accepted by, the Reserve Bank of Australia,</w:t>
      </w:r>
    </w:p>
    <w:p>
      <w:pPr>
        <w:pStyle w:val="Defstart"/>
      </w:pPr>
      <w:r>
        <w:tab/>
        <w:t>but includes any GST consequent on the payment terminal being made available.</w:t>
      </w:r>
    </w:p>
    <w:p>
      <w:pPr>
        <w:pStyle w:val="Footnotesection"/>
      </w:pPr>
      <w:r>
        <w:tab/>
        <w:t>[Regulation 3 amended in Gazette 25 Jun 1996 p. 2995</w:t>
      </w:r>
      <w:r>
        <w:noBreakHyphen/>
        <w:t>6; 23 Jan 2004 p. 320; 8 Dec 2006 p. 5391; 7 Jun 2011 p. 2058; 20 Feb 2015 p. 692</w:t>
      </w:r>
      <w:r>
        <w:noBreakHyphen/>
        <w:t xml:space="preserve">3.] </w:t>
      </w:r>
    </w:p>
    <w:p>
      <w:pPr>
        <w:pStyle w:val="Heading5"/>
        <w:spacing w:before="240"/>
        <w:rPr>
          <w:snapToGrid w:val="0"/>
        </w:rPr>
      </w:pPr>
      <w:bookmarkStart w:id="9" w:name="_Toc412208809"/>
      <w:bookmarkStart w:id="10" w:name="_Toc422122498"/>
      <w:r>
        <w:rPr>
          <w:rStyle w:val="CharSectno"/>
        </w:rPr>
        <w:t>4</w:t>
      </w:r>
      <w:r>
        <w:rPr>
          <w:snapToGrid w:val="0"/>
        </w:rPr>
        <w:t>.</w:t>
      </w:r>
      <w:r>
        <w:rPr>
          <w:snapToGrid w:val="0"/>
        </w:rPr>
        <w:tab/>
        <w:t>Control area prescribed (Act s. 3(1))</w:t>
      </w:r>
      <w:bookmarkEnd w:id="9"/>
      <w:bookmarkEnd w:id="10"/>
    </w:p>
    <w:p>
      <w:pPr>
        <w:pStyle w:val="Subsection"/>
        <w:spacing w:before="180"/>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spacing w:before="180"/>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spacing w:before="240"/>
      </w:pPr>
      <w:bookmarkStart w:id="11" w:name="_Toc412208810"/>
      <w:bookmarkStart w:id="12" w:name="_Toc422122499"/>
      <w:r>
        <w:rPr>
          <w:rStyle w:val="CharSectno"/>
        </w:rPr>
        <w:t>4A</w:t>
      </w:r>
      <w:r>
        <w:t>.</w:t>
      </w:r>
      <w:r>
        <w:tab/>
        <w:t>Relevant percentage prescribed (Act s. 16(10))</w:t>
      </w:r>
      <w:bookmarkEnd w:id="11"/>
      <w:bookmarkEnd w:id="12"/>
    </w:p>
    <w:p>
      <w:pPr>
        <w:pStyle w:val="Subsection"/>
        <w:keepNext/>
        <w:keepLines/>
      </w:pPr>
      <w:r>
        <w:tab/>
      </w:r>
      <w:r>
        <w:tab/>
        <w:t xml:space="preserve">For the purpose of paragraph (b) of the definition of </w:t>
      </w:r>
      <w:r>
        <w:rPr>
          <w:b/>
          <w:i/>
        </w:rPr>
        <w:t>relevant percentage</w:t>
      </w:r>
      <w:r>
        <w:t xml:space="preserve"> in section 16(10), the prescribed percentage is 45%.</w:t>
      </w:r>
    </w:p>
    <w:p>
      <w:pPr>
        <w:pStyle w:val="Footnotesection"/>
        <w:keepLines w:val="0"/>
      </w:pPr>
      <w:r>
        <w:tab/>
        <w:t>[Regulation 4A inserted in Gazette 13 Apr 2006 p. 1554; amended in Gazette 22 Dec 2006 p. 5823; 5 Aug 2011 p. 3188.]</w:t>
      </w:r>
    </w:p>
    <w:p>
      <w:pPr>
        <w:pStyle w:val="Heading5"/>
        <w:rPr>
          <w:snapToGrid w:val="0"/>
        </w:rPr>
      </w:pPr>
      <w:bookmarkStart w:id="13" w:name="_Toc412208811"/>
      <w:bookmarkStart w:id="14" w:name="_Toc422122500"/>
      <w:r>
        <w:rPr>
          <w:rStyle w:val="CharSectno"/>
        </w:rPr>
        <w:t>5</w:t>
      </w:r>
      <w:r>
        <w:rPr>
          <w:snapToGrid w:val="0"/>
        </w:rPr>
        <w:t>.</w:t>
      </w:r>
      <w:r>
        <w:rPr>
          <w:snapToGrid w:val="0"/>
        </w:rPr>
        <w:tab/>
        <w:t>Conditions imposable under Act s. 20(1) on multi-purpose taxis, prescribed</w:t>
      </w:r>
      <w:bookmarkEnd w:id="13"/>
      <w:bookmarkEnd w:id="14"/>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 and</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in Gazette 22 Mar 2002 p. 1654; 20 Feb 2004 p. 609.]</w:t>
      </w:r>
    </w:p>
    <w:p>
      <w:pPr>
        <w:pStyle w:val="Heading5"/>
      </w:pPr>
      <w:bookmarkStart w:id="15" w:name="_Toc412208812"/>
      <w:bookmarkStart w:id="16" w:name="_Toc422122501"/>
      <w:r>
        <w:rPr>
          <w:rStyle w:val="CharSectno"/>
        </w:rPr>
        <w:t>5A</w:t>
      </w:r>
      <w:r>
        <w:t>.</w:t>
      </w:r>
      <w:r>
        <w:tab/>
        <w:t>Conditions imposable under Act s. 20(1) about leasing taxis, prescribed</w:t>
      </w:r>
      <w:bookmarkEnd w:id="15"/>
      <w:bookmarkEnd w:id="16"/>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outlineLvl w:val="9"/>
      </w:pPr>
      <w:r>
        <w:t>[</w:t>
      </w:r>
      <w:r>
        <w:rPr>
          <w:b/>
        </w:rPr>
        <w:t>5B.</w:t>
      </w:r>
      <w:r>
        <w:tab/>
        <w:t>Deleted in Gazette 10 Dec 2004 p. 5910.]</w:t>
      </w:r>
    </w:p>
    <w:p>
      <w:pPr>
        <w:pStyle w:val="Ednotesection"/>
      </w:pPr>
      <w:r>
        <w:t>[</w:t>
      </w:r>
      <w:r>
        <w:rPr>
          <w:b/>
          <w:bCs/>
        </w:rPr>
        <w:t>6.</w:t>
      </w:r>
      <w:r>
        <w:rPr>
          <w:b/>
          <w:bCs/>
        </w:rPr>
        <w:tab/>
      </w:r>
      <w:r>
        <w:t>Deleted in Gazette 7 Mar 2008 p. 750.]</w:t>
      </w:r>
    </w:p>
    <w:p>
      <w:pPr>
        <w:pStyle w:val="Heading5"/>
        <w:rPr>
          <w:snapToGrid w:val="0"/>
        </w:rPr>
      </w:pPr>
      <w:bookmarkStart w:id="17" w:name="_Toc412208813"/>
      <w:bookmarkStart w:id="18" w:name="_Toc422122502"/>
      <w:r>
        <w:rPr>
          <w:rStyle w:val="CharSectno"/>
        </w:rPr>
        <w:t>7</w:t>
      </w:r>
      <w:r>
        <w:rPr>
          <w:snapToGrid w:val="0"/>
        </w:rPr>
        <w:t>.</w:t>
      </w:r>
      <w:r>
        <w:rPr>
          <w:snapToGrid w:val="0"/>
        </w:rPr>
        <w:tab/>
        <w:t>Fare schedule etc. to be displayed in taxis</w:t>
      </w:r>
      <w:bookmarkEnd w:id="17"/>
      <w:bookmarkEnd w:id="18"/>
    </w:p>
    <w:p>
      <w:pPr>
        <w:pStyle w:val="Subsection"/>
        <w:rPr>
          <w:snapToGrid w:val="0"/>
        </w:rPr>
      </w:pPr>
      <w:r>
        <w:rPr>
          <w:snapToGrid w:val="0"/>
        </w:rPr>
        <w:tab/>
        <w:t>(1)</w:t>
      </w:r>
      <w:r>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w:t>
      </w:r>
    </w:p>
    <w:p>
      <w:pPr>
        <w:pStyle w:val="Heading5"/>
        <w:spacing w:before="180"/>
        <w:rPr>
          <w:snapToGrid w:val="0"/>
        </w:rPr>
      </w:pPr>
      <w:bookmarkStart w:id="19" w:name="_Toc412208814"/>
      <w:bookmarkStart w:id="20" w:name="_Toc422122503"/>
      <w:r>
        <w:rPr>
          <w:rStyle w:val="CharSectno"/>
        </w:rPr>
        <w:t>8</w:t>
      </w:r>
      <w:r>
        <w:rPr>
          <w:snapToGrid w:val="0"/>
        </w:rPr>
        <w:t>.</w:t>
      </w:r>
      <w:r>
        <w:rPr>
          <w:snapToGrid w:val="0"/>
        </w:rPr>
        <w:tab/>
        <w:t>Fares chargeable; vouchers, use of</w:t>
      </w:r>
      <w:bookmarkEnd w:id="19"/>
      <w:bookmarkEnd w:id="20"/>
    </w:p>
    <w:p>
      <w:pPr>
        <w:pStyle w:val="Subsection"/>
        <w:keepNext/>
        <w:rPr>
          <w:snapToGrid w:val="0"/>
        </w:rPr>
      </w:pPr>
      <w:r>
        <w:rPr>
          <w:snapToGrid w:val="0"/>
        </w:rPr>
        <w:tab/>
        <w:t>(1)</w:t>
      </w:r>
      <w:r>
        <w:rPr>
          <w:snapToGrid w:val="0"/>
        </w:rPr>
        <w:tab/>
      </w:r>
      <w:r>
        <w:t>Subject to subregulation (1aa), a</w:t>
      </w:r>
      <w:r>
        <w:rPr>
          <w:snapToGrid w:val="0"/>
        </w:rPr>
        <w:t xml:space="preserve"> driver shall charge not more than — </w:t>
      </w:r>
    </w:p>
    <w:p>
      <w:pPr>
        <w:pStyle w:val="Indenta"/>
        <w:rPr>
          <w:snapToGrid w:val="0"/>
        </w:rPr>
      </w:pPr>
      <w:r>
        <w:rPr>
          <w:snapToGrid w:val="0"/>
        </w:rPr>
        <w:tab/>
        <w:t>(a)</w:t>
      </w:r>
      <w:r>
        <w:rPr>
          <w:snapToGrid w:val="0"/>
        </w:rPr>
        <w:tab/>
        <w:t>the fare which is shown on the meter at the termination of the hiring; or</w:t>
      </w:r>
    </w:p>
    <w:p>
      <w:pPr>
        <w:pStyle w:val="Indenta"/>
        <w:rPr>
          <w:snapToGrid w:val="0"/>
        </w:rPr>
      </w:pPr>
      <w:r>
        <w:rPr>
          <w:snapToGrid w:val="0"/>
        </w:rPr>
        <w:tab/>
        <w:t>(b)</w:t>
      </w:r>
      <w:r>
        <w:rPr>
          <w:snapToGrid w:val="0"/>
        </w:rPr>
        <w:tab/>
        <w:t>where the hiring involves travelling outside the control area, a fare calculated in the manner set out in the fare schedule in relation to such travelling.</w:t>
      </w:r>
    </w:p>
    <w:p>
      <w:pPr>
        <w:pStyle w:val="Subsection"/>
      </w:pPr>
      <w:r>
        <w:tab/>
        <w:t>(1aa)</w:t>
      </w:r>
      <w:r>
        <w:tab/>
        <w:t xml:space="preserve">A driver may charge in addition to a fare authorised by subregulation (1) an amount that — </w:t>
      </w:r>
    </w:p>
    <w:p>
      <w:pPr>
        <w:pStyle w:val="Indenta"/>
      </w:pPr>
      <w:r>
        <w:tab/>
        <w:t>(a)</w:t>
      </w:r>
      <w:r>
        <w:tab/>
        <w:t>is set out in the fare schedule required to be displayed in the taxi under regulation 7; and</w:t>
      </w:r>
    </w:p>
    <w:p>
      <w:pPr>
        <w:pStyle w:val="Indenta"/>
      </w:pPr>
      <w:r>
        <w:tab/>
        <w:t>(b)</w:t>
      </w:r>
      <w:r>
        <w:tab/>
        <w:t>in accordance with that fare schedule, applies to the hiring.</w:t>
      </w:r>
    </w:p>
    <w:p>
      <w:pPr>
        <w:pStyle w:val="Subsection"/>
        <w:spacing w:before="120"/>
      </w:pPr>
      <w:r>
        <w:tab/>
        <w:t>(1a)</w:t>
      </w:r>
      <w:r>
        <w:tab/>
        <w:t>A driver shall not select a tariff for a passenger that is not the appropriate tariff as set out in the fare schedule required to be displayed in the taxi under regulation 7.</w:t>
      </w:r>
    </w:p>
    <w:p>
      <w:pPr>
        <w:pStyle w:val="Subsection"/>
        <w:spacing w:before="120"/>
        <w:rPr>
          <w:snapToGrid w:val="0"/>
        </w:rPr>
      </w:pPr>
      <w:r>
        <w:rPr>
          <w:snapToGrid w:val="0"/>
        </w:rPr>
        <w:tab/>
        <w:t>(2)</w:t>
      </w:r>
      <w:r>
        <w:rPr>
          <w:snapToGrid w:val="0"/>
        </w:rPr>
        <w:tab/>
        <w:t>A driver shall not refuse to accept a voucher as payment or part</w:t>
      </w:r>
      <w:r>
        <w:rPr>
          <w:snapToGrid w:val="0"/>
        </w:rPr>
        <w:noBreakHyphen/>
        <w:t>payment of a fare in accordance with guidelines published by the Director General.</w:t>
      </w:r>
    </w:p>
    <w:p>
      <w:pPr>
        <w:pStyle w:val="Subsection"/>
        <w:spacing w:before="120"/>
        <w:rPr>
          <w:snapToGrid w:val="0"/>
        </w:rPr>
      </w:pPr>
      <w:r>
        <w:rPr>
          <w:snapToGrid w:val="0"/>
        </w:rPr>
        <w:tab/>
        <w:t>(2a)</w:t>
      </w:r>
      <w:r>
        <w:rPr>
          <w:snapToGrid w:val="0"/>
        </w:rPr>
        <w:tab/>
        <w:t>A driver who accepts a voucher shall not enter on the voucher any information that the driver knows to be false or misleading.</w:t>
      </w:r>
    </w:p>
    <w:p>
      <w:pPr>
        <w:pStyle w:val="Subsection"/>
        <w:spacing w:before="120"/>
      </w:pPr>
      <w:r>
        <w:tab/>
        <w:t>(2b)</w:t>
      </w:r>
      <w:r>
        <w:tab/>
        <w:t>A driver shall not accept a voucher that contains information that the driver knows or ought to know to be false in a material particular.</w:t>
      </w:r>
    </w:p>
    <w:p>
      <w:pPr>
        <w:pStyle w:val="Subsection"/>
        <w:spacing w:before="120"/>
      </w:pPr>
      <w:r>
        <w:tab/>
        <w:t>(2c)</w:t>
      </w:r>
      <w:r>
        <w:tab/>
        <w:t>A person shall not tender a voucher to which they are not entitled, or that contains information that is false in a material particular.</w:t>
      </w:r>
    </w:p>
    <w:p>
      <w:pPr>
        <w:pStyle w:val="Subsection"/>
        <w:rPr>
          <w:snapToGrid w:val="0"/>
        </w:rPr>
      </w:pPr>
      <w:r>
        <w:rPr>
          <w:snapToGrid w:val="0"/>
        </w:rPr>
        <w:tab/>
        <w:t>(3)</w:t>
      </w:r>
      <w:r>
        <w:rPr>
          <w:snapToGrid w:val="0"/>
        </w:rPr>
        <w:tab/>
        <w:t>A plate holder, an operator or a person providing a taxi dispatch service shall not direct a driver to charge a fare</w:t>
      </w:r>
      <w:r>
        <w:t xml:space="preserve"> or other amount</w:t>
      </w:r>
      <w:r>
        <w:rPr>
          <w:snapToGrid w:val="0"/>
        </w:rPr>
        <w:t xml:space="preserve"> other than a fare authorised by subregulation (1)</w:t>
      </w:r>
      <w:r>
        <w:t xml:space="preserve"> or an amount authorised by subregulation (1aa)</w:t>
      </w:r>
      <w:r>
        <w:rPr>
          <w:snapToGrid w:val="0"/>
        </w:rPr>
        <w:t xml:space="preserve"> or to refuse to accept a voucher referred to in subregulation (2).</w:t>
      </w:r>
    </w:p>
    <w:p>
      <w:pPr>
        <w:pStyle w:val="Subsection"/>
        <w:rPr>
          <w:snapToGrid w:val="0"/>
        </w:rPr>
      </w:pPr>
      <w:r>
        <w:rPr>
          <w:snapToGrid w:val="0"/>
        </w:rPr>
        <w:tab/>
        <w:t>(4)</w:t>
      </w:r>
      <w:r>
        <w:rPr>
          <w:snapToGrid w:val="0"/>
        </w:rPr>
        <w:tab/>
        <w:t xml:space="preserve">In this regulation </w:t>
      </w:r>
      <w:r>
        <w:rPr>
          <w:rStyle w:val="CharDefText"/>
        </w:rPr>
        <w:t>voucher</w:t>
      </w:r>
      <w:r>
        <w:rPr>
          <w:snapToGrid w:val="0"/>
        </w:rPr>
        <w:t xml:space="preserve"> means a voucher issued under an approved State or Commonwealth Government scheme which is intended to make taxi travel available to persons who have a disability or who are financially disadvantaged.</w:t>
      </w:r>
    </w:p>
    <w:p>
      <w:pPr>
        <w:pStyle w:val="Footnotesection"/>
      </w:pPr>
      <w:r>
        <w:tab/>
        <w:t>[Regulation 8 amended in Gazette 8 Dec 1998 p. 6585; 9 Jan 2004 p. 97; 23 Jan 2004 p. 321; 8 Dec 2006 p. 5391</w:t>
      </w:r>
      <w:r>
        <w:noBreakHyphen/>
        <w:t>2.]</w:t>
      </w:r>
    </w:p>
    <w:p>
      <w:pPr>
        <w:pStyle w:val="Heading5"/>
      </w:pPr>
      <w:bookmarkStart w:id="21" w:name="_Toc412208815"/>
      <w:bookmarkStart w:id="22" w:name="_Toc422122504"/>
      <w:r>
        <w:rPr>
          <w:rStyle w:val="CharSectno"/>
        </w:rPr>
        <w:t>8A</w:t>
      </w:r>
      <w:r>
        <w:t>.</w:t>
      </w:r>
      <w:r>
        <w:tab/>
        <w:t>Providing a payment terminal</w:t>
      </w:r>
      <w:bookmarkEnd w:id="21"/>
      <w:bookmarkEnd w:id="22"/>
    </w:p>
    <w:p>
      <w:pPr>
        <w:pStyle w:val="Subsection"/>
      </w:pPr>
      <w:r>
        <w:tab/>
      </w:r>
      <w:r>
        <w:tab/>
        <w:t xml:space="preserve">Where a payment terminal is available for use in a taxi — </w:t>
      </w:r>
    </w:p>
    <w:p>
      <w:pPr>
        <w:pStyle w:val="Indenta"/>
      </w:pPr>
      <w:r>
        <w:tab/>
        <w:t>(a)</w:t>
      </w:r>
      <w:r>
        <w:tab/>
        <w:t>if the provider of a Taxi Dispatch Service was involved in requesting or enabling the use of that type of payment terminal, then that Taxi Dispatch Service provider provides the terminal for the purposes of regulation 8B(2);</w:t>
      </w:r>
    </w:p>
    <w:p>
      <w:pPr>
        <w:pStyle w:val="Indenta"/>
      </w:pPr>
      <w:r>
        <w:tab/>
        <w:t>(b)</w:t>
      </w:r>
      <w:r>
        <w:tab/>
        <w:t>if the plate holder was involved in requesting or enabling the use of that type of payment terminal, then the plate holder provides the terminal for the purposes of regulation 8B(2);</w:t>
      </w:r>
    </w:p>
    <w:p>
      <w:pPr>
        <w:pStyle w:val="Indenta"/>
      </w:pPr>
      <w:r>
        <w:tab/>
        <w:t>(c)</w:t>
      </w:r>
      <w:r>
        <w:tab/>
        <w:t>if another operator who is not the taxi driver was involved in requesting or enabling the use of that type of payment terminal, then that operator provides the terminal for the purposes of regulation 8B(2);</w:t>
      </w:r>
    </w:p>
    <w:p>
      <w:pPr>
        <w:pStyle w:val="Indenta"/>
      </w:pPr>
      <w:r>
        <w:tab/>
        <w:t>(d)</w:t>
      </w:r>
      <w:r>
        <w:tab/>
        <w:t>in any other case, the driver provides the terminal for the purposes of regulation 8B(2).</w:t>
      </w:r>
    </w:p>
    <w:p>
      <w:pPr>
        <w:pStyle w:val="Footnotesection"/>
      </w:pPr>
      <w:r>
        <w:tab/>
        <w:t>[Regulation 8A inserted in Gazette 20 Feb 2015 p. 693.]</w:t>
      </w:r>
    </w:p>
    <w:p>
      <w:pPr>
        <w:pStyle w:val="Heading5"/>
      </w:pPr>
      <w:bookmarkStart w:id="23" w:name="_Toc412208816"/>
      <w:bookmarkStart w:id="24" w:name="_Toc422122505"/>
      <w:r>
        <w:rPr>
          <w:rStyle w:val="CharSectno"/>
        </w:rPr>
        <w:t>8B</w:t>
      </w:r>
      <w:r>
        <w:t>.</w:t>
      </w:r>
      <w:r>
        <w:tab/>
        <w:t>Surcharge for non</w:t>
      </w:r>
      <w:r>
        <w:noBreakHyphen/>
        <w:t>cash payment</w:t>
      </w:r>
      <w:bookmarkEnd w:id="23"/>
      <w:bookmarkEnd w:id="24"/>
    </w:p>
    <w:p>
      <w:pPr>
        <w:pStyle w:val="Subsection"/>
      </w:pPr>
      <w:r>
        <w:tab/>
        <w:t>(1)</w:t>
      </w:r>
      <w:r>
        <w:tab/>
        <w:t>If a surcharge is added because a fare calculated using the fare schedule is being paid using a non</w:t>
      </w:r>
      <w:r>
        <w:noBreakHyphen/>
        <w:t>cash payment, that surcharge is to be no more than 5% of all amounts to be paid by the hirer that relate to the hiring (except the surcharge itself).</w:t>
      </w:r>
    </w:p>
    <w:p>
      <w:pPr>
        <w:pStyle w:val="Subsection"/>
      </w:pPr>
      <w:r>
        <w:tab/>
        <w:t>(2)</w:t>
      </w:r>
      <w:r>
        <w:tab/>
        <w:t>A person who provides a payment terminal that results in the imposition of a surcharge of more than 5% commits an offence.</w:t>
      </w:r>
    </w:p>
    <w:p>
      <w:pPr>
        <w:pStyle w:val="Penstart"/>
      </w:pPr>
      <w:r>
        <w:tab/>
        <w:t>Penalty: a fine of $1 000.</w:t>
      </w:r>
    </w:p>
    <w:p>
      <w:pPr>
        <w:pStyle w:val="Subsection"/>
      </w:pPr>
      <w:r>
        <w:tab/>
        <w:t>(3)</w:t>
      </w:r>
      <w:r>
        <w:tab/>
        <w:t>Where more than one payment terminal is available for a taxi, the driver must use the terminal that results in the lowest surcharge, if any, being imposed when the non</w:t>
      </w:r>
      <w:r>
        <w:noBreakHyphen/>
        <w:t>cash payment is made.</w:t>
      </w:r>
    </w:p>
    <w:p>
      <w:pPr>
        <w:pStyle w:val="Penstart"/>
      </w:pPr>
      <w:r>
        <w:tab/>
        <w:t>Penalty: a fine of $1 000.</w:t>
      </w:r>
    </w:p>
    <w:p>
      <w:pPr>
        <w:pStyle w:val="Footnotesection"/>
      </w:pPr>
      <w:r>
        <w:tab/>
        <w:t>[Regulation 8B inserted in Gazette 20 Feb 2015 p. 693</w:t>
      </w:r>
      <w:r>
        <w:noBreakHyphen/>
        <w:t>4.]</w:t>
      </w:r>
    </w:p>
    <w:p>
      <w:pPr>
        <w:pStyle w:val="Heading5"/>
        <w:rPr>
          <w:snapToGrid w:val="0"/>
        </w:rPr>
      </w:pPr>
      <w:bookmarkStart w:id="25" w:name="_Toc412208817"/>
      <w:bookmarkStart w:id="26" w:name="_Toc422122506"/>
      <w:r>
        <w:rPr>
          <w:rStyle w:val="CharSectno"/>
        </w:rPr>
        <w:t>9</w:t>
      </w:r>
      <w:r>
        <w:rPr>
          <w:snapToGrid w:val="0"/>
        </w:rPr>
        <w:t>.</w:t>
      </w:r>
      <w:r>
        <w:rPr>
          <w:snapToGrid w:val="0"/>
        </w:rPr>
        <w:tab/>
        <w:t>Commencement and termination of hiring</w:t>
      </w:r>
      <w:bookmarkEnd w:id="25"/>
      <w:bookmarkEnd w:id="26"/>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 or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A driver shall set the meter to zero at the commencement of a hiring and stop the meter at the termination of a hiring.</w:t>
      </w:r>
    </w:p>
    <w:p>
      <w:pPr>
        <w:pStyle w:val="Subsection"/>
        <w:rPr>
          <w:snapToGrid w:val="0"/>
        </w:rPr>
      </w:pPr>
      <w:r>
        <w:rPr>
          <w:snapToGrid w:val="0"/>
        </w:rPr>
        <w:tab/>
        <w:t>(3)</w:t>
      </w:r>
      <w:r>
        <w:rPr>
          <w:snapToGrid w:val="0"/>
        </w:rPr>
        <w:tab/>
        <w:t>If a driver stops the taxi during the period of a hiring to refuel the taxi, consult a road directory or for some other purpose not requested by the hirer, he or she shall pause the meter until the journey is recommenced.</w:t>
      </w:r>
    </w:p>
    <w:p>
      <w:pPr>
        <w:pStyle w:val="Heading5"/>
        <w:rPr>
          <w:snapToGrid w:val="0"/>
        </w:rPr>
      </w:pPr>
      <w:bookmarkStart w:id="27" w:name="_Toc412208818"/>
      <w:bookmarkStart w:id="28" w:name="_Toc422122507"/>
      <w:r>
        <w:rPr>
          <w:rStyle w:val="CharSectno"/>
        </w:rPr>
        <w:t>9A</w:t>
      </w:r>
      <w:r>
        <w:rPr>
          <w:snapToGrid w:val="0"/>
        </w:rPr>
        <w:t>.</w:t>
      </w:r>
      <w:r>
        <w:rPr>
          <w:snapToGrid w:val="0"/>
        </w:rPr>
        <w:tab/>
        <w:t>Hirer not paying fare at termination of hiring or as otherwise agreed, offence</w:t>
      </w:r>
      <w:bookmarkEnd w:id="27"/>
      <w:bookmarkEnd w:id="28"/>
    </w:p>
    <w:p>
      <w:pPr>
        <w:pStyle w:val="Subsection"/>
        <w:spacing w:before="200"/>
        <w:rPr>
          <w:snapToGrid w:val="0"/>
        </w:rPr>
      </w:pPr>
      <w:r>
        <w:rPr>
          <w:snapToGrid w:val="0"/>
        </w:rPr>
        <w:tab/>
      </w:r>
      <w:r>
        <w:rPr>
          <w:snapToGrid w:val="0"/>
        </w:rPr>
        <w:tab/>
        <w:t>The hirer of a taxi who is obliged to pay for carriage in the taxi any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spacing w:before="200"/>
        <w:rPr>
          <w:snapToGrid w:val="0"/>
        </w:rPr>
      </w:pPr>
      <w:r>
        <w:rPr>
          <w:snapToGrid w:val="0"/>
        </w:rPr>
        <w:tab/>
      </w:r>
      <w:r>
        <w:rPr>
          <w:snapToGrid w:val="0"/>
        </w:rPr>
        <w:tab/>
        <w:t>the hirer fails to pay the fare.</w:t>
      </w:r>
    </w:p>
    <w:p>
      <w:pPr>
        <w:pStyle w:val="Penstart"/>
        <w:rPr>
          <w:snapToGrid w:val="0"/>
        </w:rPr>
      </w:pPr>
      <w:r>
        <w:rPr>
          <w:snapToGrid w:val="0"/>
        </w:rPr>
        <w:tab/>
        <w:t>Penalty: $1 000.</w:t>
      </w:r>
    </w:p>
    <w:p>
      <w:pPr>
        <w:pStyle w:val="Footnotesection"/>
      </w:pPr>
      <w:r>
        <w:tab/>
        <w:t>[Regulation 9A inserted in Gazette 8 Dec 1998 p. 6585.]</w:t>
      </w:r>
    </w:p>
    <w:p>
      <w:pPr>
        <w:pStyle w:val="Heading5"/>
        <w:rPr>
          <w:snapToGrid w:val="0"/>
        </w:rPr>
      </w:pPr>
      <w:bookmarkStart w:id="29" w:name="_Toc412208819"/>
      <w:bookmarkStart w:id="30" w:name="_Toc422122508"/>
      <w:r>
        <w:rPr>
          <w:rStyle w:val="CharSectno"/>
        </w:rPr>
        <w:t>9B</w:t>
      </w:r>
      <w:r>
        <w:rPr>
          <w:snapToGrid w:val="0"/>
        </w:rPr>
        <w:t>.</w:t>
      </w:r>
      <w:r>
        <w:rPr>
          <w:snapToGrid w:val="0"/>
        </w:rPr>
        <w:tab/>
        <w:t>Unpaid fare may be added to modified penalty in infringement notice</w:t>
      </w:r>
      <w:bookmarkEnd w:id="29"/>
      <w:bookmarkEnd w:id="30"/>
    </w:p>
    <w:p>
      <w:pPr>
        <w:pStyle w:val="Subsection"/>
        <w:spacing w:before="200"/>
        <w:rPr>
          <w:snapToGrid w:val="0"/>
        </w:rPr>
      </w:pPr>
      <w:r>
        <w:rPr>
          <w:snapToGrid w:val="0"/>
        </w:rPr>
        <w:tab/>
        <w:t>(1)</w:t>
      </w:r>
      <w:r>
        <w:rPr>
          <w:snapToGrid w:val="0"/>
        </w:rPr>
        <w:tab/>
        <w:t>If an infringement notice is given under section 39 for an offence under regulation 9A, the amount of the fare that the hirer failed to pay may be added to the amount that would otherwise be payable as the modified penalty.</w:t>
      </w:r>
    </w:p>
    <w:p>
      <w:pPr>
        <w:pStyle w:val="Subsection"/>
        <w:spacing w:before="20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w:t>
      </w:r>
    </w:p>
    <w:p>
      <w:pPr>
        <w:pStyle w:val="Heading5"/>
        <w:rPr>
          <w:snapToGrid w:val="0"/>
        </w:rPr>
      </w:pPr>
      <w:bookmarkStart w:id="31" w:name="_Toc412208820"/>
      <w:bookmarkStart w:id="32" w:name="_Toc422122509"/>
      <w:r>
        <w:rPr>
          <w:rStyle w:val="CharSectno"/>
        </w:rPr>
        <w:t>10</w:t>
      </w:r>
      <w:r>
        <w:rPr>
          <w:snapToGrid w:val="0"/>
        </w:rPr>
        <w:t>.</w:t>
      </w:r>
      <w:r>
        <w:rPr>
          <w:snapToGrid w:val="0"/>
        </w:rPr>
        <w:tab/>
        <w:t>Hirer may refuse multiple hiring</w:t>
      </w:r>
      <w:bookmarkEnd w:id="31"/>
      <w:bookmarkEnd w:id="32"/>
      <w:r>
        <w:rPr>
          <w:snapToGrid w:val="0"/>
        </w:rPr>
        <w:t xml:space="preserve"> </w:t>
      </w:r>
    </w:p>
    <w:p>
      <w:pPr>
        <w:pStyle w:val="Subsection"/>
        <w:spacing w:before="200"/>
        <w:rPr>
          <w:snapToGrid w:val="0"/>
        </w:rPr>
      </w:pPr>
      <w:r>
        <w:rPr>
          <w:snapToGrid w:val="0"/>
        </w:rPr>
        <w:tab/>
      </w:r>
      <w:r>
        <w:rPr>
          <w:snapToGrid w:val="0"/>
        </w:rPr>
        <w:tab/>
        <w:t>The hirer of a taxi may refuse to consent to the carriage of passengers, other than those accompanying the hirer, during the period of the hiring.</w:t>
      </w:r>
    </w:p>
    <w:p>
      <w:pPr>
        <w:pStyle w:val="Heading5"/>
        <w:keepLines w:val="0"/>
        <w:spacing w:before="180"/>
        <w:rPr>
          <w:snapToGrid w:val="0"/>
        </w:rPr>
      </w:pPr>
      <w:bookmarkStart w:id="33" w:name="_Toc412208821"/>
      <w:bookmarkStart w:id="34" w:name="_Toc422122510"/>
      <w:r>
        <w:rPr>
          <w:rStyle w:val="CharSectno"/>
        </w:rPr>
        <w:t>11</w:t>
      </w:r>
      <w:r>
        <w:rPr>
          <w:snapToGrid w:val="0"/>
        </w:rPr>
        <w:t>.</w:t>
      </w:r>
      <w:r>
        <w:rPr>
          <w:snapToGrid w:val="0"/>
        </w:rPr>
        <w:tab/>
        <w:t>Most economical route to be taken unless hirer directs otherwise</w:t>
      </w:r>
      <w:bookmarkEnd w:id="33"/>
      <w:bookmarkEnd w:id="34"/>
    </w:p>
    <w:p>
      <w:pPr>
        <w:pStyle w:val="Subsection"/>
        <w:spacing w:before="100"/>
        <w:rPr>
          <w:snapToGrid w:val="0"/>
        </w:rPr>
      </w:pPr>
      <w:r>
        <w:rPr>
          <w:snapToGrid w:val="0"/>
        </w:rPr>
        <w:tab/>
      </w:r>
      <w:r>
        <w:rPr>
          <w:snapToGrid w:val="0"/>
        </w:rPr>
        <w:tab/>
        <w:t>Unless otherwise directed by the hirer, a driver shall take the hirer to his or her destination by the most economical route, once the hirer has informed the driver of the destination.</w:t>
      </w:r>
    </w:p>
    <w:p>
      <w:pPr>
        <w:pStyle w:val="Footnotesection"/>
        <w:spacing w:before="100"/>
        <w:ind w:left="890" w:hanging="890"/>
      </w:pPr>
      <w:r>
        <w:tab/>
        <w:t>[Regulation 11 amended in Gazette 23 Jan 2004 p. 321.]</w:t>
      </w:r>
    </w:p>
    <w:p>
      <w:pPr>
        <w:pStyle w:val="Heading5"/>
        <w:spacing w:before="160"/>
        <w:rPr>
          <w:snapToGrid w:val="0"/>
        </w:rPr>
      </w:pPr>
      <w:bookmarkStart w:id="35" w:name="_Toc412208822"/>
      <w:bookmarkStart w:id="36" w:name="_Toc422122511"/>
      <w:r>
        <w:rPr>
          <w:rStyle w:val="CharSectno"/>
        </w:rPr>
        <w:t>12</w:t>
      </w:r>
      <w:r>
        <w:rPr>
          <w:snapToGrid w:val="0"/>
        </w:rPr>
        <w:t>.</w:t>
      </w:r>
      <w:r>
        <w:rPr>
          <w:snapToGrid w:val="0"/>
        </w:rPr>
        <w:tab/>
        <w:t>Driver may require deposit from hirer</w:t>
      </w:r>
      <w:bookmarkEnd w:id="35"/>
      <w:bookmarkEnd w:id="36"/>
      <w:r>
        <w:rPr>
          <w:snapToGrid w:val="0"/>
        </w:rPr>
        <w:t xml:space="preserve"> </w:t>
      </w:r>
    </w:p>
    <w:p>
      <w:pPr>
        <w:pStyle w:val="Subsection"/>
        <w:spacing w:before="100"/>
        <w:rPr>
          <w:snapToGrid w:val="0"/>
        </w:rPr>
      </w:pPr>
      <w:r>
        <w:rPr>
          <w:snapToGrid w:val="0"/>
        </w:rPr>
        <w:tab/>
      </w:r>
      <w:r>
        <w:rPr>
          <w:snapToGrid w:val="0"/>
        </w:rPr>
        <w:tab/>
        <w:t>Prior to accepting a hiring, a driver may require a hirer to pay a deposit equal to the anticipated fare as estimated by the driver.</w:t>
      </w:r>
    </w:p>
    <w:p>
      <w:pPr>
        <w:pStyle w:val="Heading5"/>
        <w:spacing w:before="160"/>
        <w:rPr>
          <w:snapToGrid w:val="0"/>
        </w:rPr>
      </w:pPr>
      <w:bookmarkStart w:id="37" w:name="_Toc412208823"/>
      <w:bookmarkStart w:id="38" w:name="_Toc422122512"/>
      <w:r>
        <w:rPr>
          <w:rStyle w:val="CharSectno"/>
        </w:rPr>
        <w:t>13</w:t>
      </w:r>
      <w:r>
        <w:rPr>
          <w:snapToGrid w:val="0"/>
        </w:rPr>
        <w:t>.</w:t>
      </w:r>
      <w:r>
        <w:rPr>
          <w:snapToGrid w:val="0"/>
        </w:rPr>
        <w:tab/>
        <w:t>Driver must accept hirer except in certain circumstances; when driver can terminate hiring</w:t>
      </w:r>
      <w:bookmarkEnd w:id="37"/>
      <w:bookmarkEnd w:id="38"/>
      <w:r>
        <w:rPr>
          <w:snapToGrid w:val="0"/>
        </w:rPr>
        <w:t xml:space="preserve"> </w:t>
      </w:r>
    </w:p>
    <w:p>
      <w:pPr>
        <w:pStyle w:val="Subsection"/>
        <w:spacing w:before="10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spacing w:before="60"/>
        <w:rPr>
          <w:snapToGrid w:val="0"/>
        </w:rPr>
      </w:pPr>
      <w:r>
        <w:rPr>
          <w:snapToGrid w:val="0"/>
        </w:rPr>
        <w:tab/>
        <w:t>(aa)</w:t>
      </w:r>
      <w:r>
        <w:rPr>
          <w:snapToGrid w:val="0"/>
        </w:rPr>
        <w:tab/>
        <w:t xml:space="preserve">the driver has reasonable grounds to believe that — </w:t>
      </w:r>
    </w:p>
    <w:p>
      <w:pPr>
        <w:pStyle w:val="Indenti"/>
        <w:spacing w:before="60"/>
        <w:rPr>
          <w:snapToGrid w:val="0"/>
        </w:rPr>
      </w:pPr>
      <w:r>
        <w:rPr>
          <w:snapToGrid w:val="0"/>
        </w:rPr>
        <w:tab/>
        <w:t>(i)</w:t>
      </w:r>
      <w:r>
        <w:rPr>
          <w:snapToGrid w:val="0"/>
        </w:rPr>
        <w:tab/>
        <w:t>the hirer or a person accompanying the hirer; or</w:t>
      </w:r>
    </w:p>
    <w:p>
      <w:pPr>
        <w:pStyle w:val="Indenti"/>
        <w:spacing w:before="60"/>
        <w:rPr>
          <w:snapToGrid w:val="0"/>
        </w:rPr>
      </w:pPr>
      <w:r>
        <w:rPr>
          <w:snapToGrid w:val="0"/>
        </w:rPr>
        <w:tab/>
        <w:t>(ii)</w:t>
      </w:r>
      <w:r>
        <w:rPr>
          <w:snapToGrid w:val="0"/>
        </w:rPr>
        <w:tab/>
        <w:t>the place at which the hiring is to commence or terminate,</w:t>
      </w:r>
    </w:p>
    <w:p>
      <w:pPr>
        <w:pStyle w:val="Indenta"/>
        <w:spacing w:before="60"/>
      </w:pPr>
      <w:r>
        <w:rPr>
          <w:snapToGrid w:val="0"/>
        </w:rPr>
        <w:tab/>
      </w:r>
      <w:r>
        <w:rPr>
          <w:snapToGrid w:val="0"/>
        </w:rPr>
        <w:tab/>
        <w:t xml:space="preserve">poses a threat to the driver’s safety; </w:t>
      </w:r>
      <w:r>
        <w:t>or</w:t>
      </w:r>
    </w:p>
    <w:p>
      <w:pPr>
        <w:pStyle w:val="Indenta"/>
        <w:spacing w:before="60"/>
      </w:pPr>
      <w:r>
        <w:tab/>
        <w:t>(ab)</w:t>
      </w:r>
      <w:r>
        <w:tab/>
        <w:t>the driver has reasonable grounds to believe that the hiring would result in a breach of a condition imposed by the Director General under section 20 on the operation of the taxi; or</w:t>
      </w:r>
    </w:p>
    <w:p>
      <w:pPr>
        <w:pStyle w:val="Indenta"/>
        <w:spacing w:before="60"/>
        <w:rPr>
          <w:snapToGrid w:val="0"/>
        </w:rPr>
      </w:pPr>
      <w:r>
        <w:rPr>
          <w:snapToGrid w:val="0"/>
        </w:rPr>
        <w:tab/>
        <w:t>(a)</w:t>
      </w:r>
      <w:r>
        <w:rPr>
          <w:snapToGrid w:val="0"/>
        </w:rPr>
        <w:tab/>
        <w:t>the hirer or a person accompanying the hirer is in such an unclean condition that he or she will soil the taxi; or</w:t>
      </w:r>
    </w:p>
    <w:p>
      <w:pPr>
        <w:pStyle w:val="Indenta"/>
        <w:spacing w:before="60"/>
        <w:rPr>
          <w:snapToGrid w:val="0"/>
        </w:rPr>
      </w:pPr>
      <w:r>
        <w:rPr>
          <w:snapToGrid w:val="0"/>
        </w:rPr>
        <w:tab/>
        <w:t>(b)</w:t>
      </w:r>
      <w:r>
        <w:rPr>
          <w:snapToGrid w:val="0"/>
        </w:rPr>
        <w:tab/>
        <w:t>the hirer or a person accompanying the hirer is abusive</w:t>
      </w:r>
      <w:r>
        <w:t xml:space="preserve"> or aggressive</w:t>
      </w:r>
      <w:r>
        <w:rPr>
          <w:snapToGrid w:val="0"/>
        </w:rPr>
        <w:t>; or</w:t>
      </w:r>
    </w:p>
    <w:p>
      <w:pPr>
        <w:pStyle w:val="Indenta"/>
        <w:spacing w:before="60"/>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 or</w:t>
      </w:r>
    </w:p>
    <w:p>
      <w:pPr>
        <w:pStyle w:val="Indenta"/>
        <w:spacing w:before="60"/>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 or</w:t>
      </w:r>
    </w:p>
    <w:p>
      <w:pPr>
        <w:pStyle w:val="Indenta"/>
        <w:keepNext/>
        <w:spacing w:before="60"/>
      </w:pPr>
      <w:r>
        <w:tab/>
        <w:t>(e)</w:t>
      </w:r>
      <w:r>
        <w:tab/>
        <w:t>the driver requires the hirer to pay a deposit under regulation 12, and the hirer does not pay it; or</w:t>
      </w:r>
    </w:p>
    <w:p>
      <w:pPr>
        <w:pStyle w:val="Indenta"/>
        <w:spacing w:before="60"/>
      </w:pPr>
      <w:r>
        <w:tab/>
        <w:t>(f)</w:t>
      </w:r>
      <w:r>
        <w:tab/>
        <w:t>the hirer and persons accompanying the hirer aged 12 or over exceed the number of available seatbelts in the taxi.</w:t>
      </w:r>
    </w:p>
    <w:p>
      <w:pPr>
        <w:pStyle w:val="Subsection"/>
        <w:spacing w:before="120"/>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keepNext/>
        <w:spacing w:before="60"/>
        <w:rPr>
          <w:snapToGrid w:val="0"/>
        </w:rPr>
      </w:pPr>
      <w:r>
        <w:rPr>
          <w:snapToGrid w:val="0"/>
        </w:rPr>
        <w:tab/>
        <w:t>(a)</w:t>
      </w:r>
      <w:r>
        <w:rPr>
          <w:snapToGrid w:val="0"/>
        </w:rPr>
        <w:tab/>
        <w:t>the fare that would have been due if the hiring had terminated at that point in the normal course of events; and</w:t>
      </w:r>
    </w:p>
    <w:p>
      <w:pPr>
        <w:pStyle w:val="Indenta"/>
        <w:keepNext/>
        <w:spacing w:before="60"/>
        <w:rPr>
          <w:snapToGrid w:val="0"/>
        </w:rPr>
      </w:pPr>
      <w:r>
        <w:rPr>
          <w:snapToGrid w:val="0"/>
        </w:rPr>
        <w:tab/>
        <w:t>(b)</w:t>
      </w:r>
      <w:r>
        <w:rPr>
          <w:snapToGrid w:val="0"/>
        </w:rPr>
        <w:tab/>
        <w:t>a charge to cover the cost of cleaning the taxi, as set out in the fare schedule.</w:t>
      </w:r>
    </w:p>
    <w:p>
      <w:pPr>
        <w:pStyle w:val="Subsection"/>
        <w:spacing w:before="120"/>
      </w:pPr>
      <w:r>
        <w:tab/>
        <w:t>(3)</w:t>
      </w:r>
      <w:r>
        <w:tab/>
        <w:t>A driver shall not terminate a hiring before reaching the agreed destination, for reasons other than those set out in subregulation (2).</w:t>
      </w:r>
    </w:p>
    <w:p>
      <w:pPr>
        <w:pStyle w:val="Footnotesection"/>
        <w:spacing w:before="100"/>
        <w:ind w:left="890" w:hanging="890"/>
      </w:pPr>
      <w:r>
        <w:tab/>
        <w:t>[Regulation 13 amended in Gazette 8 Dec 1998 p. 6586; 23 Jan 2004 p. 321</w:t>
      </w:r>
      <w:r>
        <w:noBreakHyphen/>
        <w:t>2; 10 Sep 2004 p. 3923</w:t>
      </w:r>
      <w:r>
        <w:noBreakHyphen/>
        <w:t>4; 10 Dec 2004 p. 5911.]</w:t>
      </w:r>
    </w:p>
    <w:p>
      <w:pPr>
        <w:pStyle w:val="Heading5"/>
        <w:spacing w:before="180"/>
      </w:pPr>
      <w:bookmarkStart w:id="39" w:name="_Toc412208824"/>
      <w:bookmarkStart w:id="40" w:name="_Toc422122513"/>
      <w:r>
        <w:rPr>
          <w:rStyle w:val="CharSectno"/>
        </w:rPr>
        <w:t>13A</w:t>
      </w:r>
      <w:r>
        <w:t>.</w:t>
      </w:r>
      <w:r>
        <w:tab/>
        <w:t>Driver to inform taxi dispatch service of certain matters</w:t>
      </w:r>
      <w:bookmarkEnd w:id="39"/>
      <w:bookmarkEnd w:id="40"/>
    </w:p>
    <w:p>
      <w:pPr>
        <w:pStyle w:val="Subsection"/>
        <w:spacing w:before="120"/>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spacing w:before="120"/>
      </w:pPr>
      <w:r>
        <w:rPr>
          <w:snapToGrid w:val="0"/>
        </w:rPr>
        <w:tab/>
        <w:t>(3)</w:t>
      </w:r>
      <w:r>
        <w:rPr>
          <w:snapToGrid w:val="0"/>
        </w:rPr>
        <w:tab/>
        <w:t>When contacting the provider of a taxi dispatch service for the</w:t>
      </w:r>
      <w:r>
        <w:t xml:space="preserve"> purpose of complying with subregulation (1), a driver shall correctly identify himself or herself to the provider.</w:t>
      </w:r>
    </w:p>
    <w:p>
      <w:pPr>
        <w:pStyle w:val="Footnotesection"/>
        <w:keepLines w:val="0"/>
      </w:pPr>
      <w:r>
        <w:tab/>
        <w:t>[Regulation 13A inserted in Gazette 8 Dec 1998 p. 6586</w:t>
      </w:r>
      <w:r>
        <w:noBreakHyphen/>
        <w:t>7; amended in Gazette 23 Jan 2004 p. 322.]</w:t>
      </w:r>
    </w:p>
    <w:p>
      <w:pPr>
        <w:pStyle w:val="Heading5"/>
      </w:pPr>
      <w:bookmarkStart w:id="41" w:name="_Toc412208825"/>
      <w:bookmarkStart w:id="42" w:name="_Toc422122514"/>
      <w:r>
        <w:rPr>
          <w:rStyle w:val="CharSectno"/>
        </w:rPr>
        <w:t>13B</w:t>
      </w:r>
      <w:r>
        <w:t>.</w:t>
      </w:r>
      <w:r>
        <w:tab/>
        <w:t>Camera surveillance units in taxis, requirements as to</w:t>
      </w:r>
      <w:bookmarkEnd w:id="41"/>
      <w:bookmarkEnd w:id="42"/>
    </w:p>
    <w:p>
      <w:pPr>
        <w:pStyle w:val="Subsection"/>
      </w:pPr>
      <w:r>
        <w:tab/>
        <w:t>(1)</w:t>
      </w:r>
      <w:r>
        <w:tab/>
        <w:t xml:space="preserve">A person must not operate a vehicle as a taxi at any time (the </w:t>
      </w:r>
      <w:r>
        <w:rPr>
          <w:rStyle w:val="CharDefText"/>
        </w:rPr>
        <w:t>relevant time</w:t>
      </w:r>
      <w:r>
        <w:t xml:space="preserve">) unless — </w:t>
      </w:r>
    </w:p>
    <w:p>
      <w:pPr>
        <w:pStyle w:val="Indenta"/>
      </w:pPr>
      <w:r>
        <w:tab/>
        <w:t>(a)</w:t>
      </w:r>
      <w:r>
        <w:tab/>
        <w:t>a camera surveillance unit has been installed in the vehicle in an approved manner by an approved person; and</w:t>
      </w:r>
    </w:p>
    <w:p>
      <w:pPr>
        <w:pStyle w:val="Indenta"/>
      </w:pPr>
      <w:r>
        <w:tab/>
        <w:t>(b)</w:t>
      </w:r>
      <w:r>
        <w:tab/>
        <w:t>a certificate has been given under regulation 13G(2) by an approved person in respect of the camera surveillance unit within 12 months before the relevant time; and</w:t>
      </w:r>
    </w:p>
    <w:p>
      <w:pPr>
        <w:pStyle w:val="Indenta"/>
      </w:pPr>
      <w:r>
        <w:tab/>
        <w:t>(c)</w:t>
      </w:r>
      <w:r>
        <w:tab/>
        <w:t xml:space="preserve">the camera surveillance unit — </w:t>
      </w:r>
    </w:p>
    <w:p>
      <w:pPr>
        <w:pStyle w:val="Indenti"/>
      </w:pPr>
      <w:r>
        <w:tab/>
        <w:t>(i)</w:t>
      </w:r>
      <w:r>
        <w:tab/>
        <w:t>subject to subregulation (2), was first installed in the vehicle or in any other vehicle within 5 years before the relevant time; and</w:t>
      </w:r>
    </w:p>
    <w:p>
      <w:pPr>
        <w:pStyle w:val="Indenti"/>
      </w:pPr>
      <w:r>
        <w:tab/>
        <w:t>(ii)</w:t>
      </w:r>
      <w:r>
        <w:tab/>
        <w:t>is in the same position as it was when installed in the vehicle in the approved manner; and</w:t>
      </w:r>
    </w:p>
    <w:p>
      <w:pPr>
        <w:pStyle w:val="Indenti"/>
      </w:pPr>
      <w:r>
        <w:tab/>
        <w:t>(iii)</w:t>
      </w:r>
      <w:r>
        <w:tab/>
        <w:t>is in proper working order; and</w:t>
      </w:r>
    </w:p>
    <w:p>
      <w:pPr>
        <w:pStyle w:val="Indenti"/>
      </w:pPr>
      <w:r>
        <w:tab/>
        <w:t>(iv)</w:t>
      </w:r>
      <w:r>
        <w:tab/>
        <w:t>is in operation in the vehicle whenever the vehicle is in use as a taxi.</w:t>
      </w:r>
    </w:p>
    <w:p>
      <w:pPr>
        <w:pStyle w:val="Subsection"/>
      </w:pPr>
      <w:r>
        <w:tab/>
        <w:t>(2)</w:t>
      </w:r>
      <w:r>
        <w:tab/>
        <w:t>Subregulation (1)(c)(i) applies to a camera surveillance unit that is first installed on or after 1 July 2011 in a vehicle operated as a taxi.</w:t>
      </w:r>
    </w:p>
    <w:p>
      <w:pPr>
        <w:pStyle w:val="Subsection"/>
      </w:pPr>
      <w:r>
        <w:tab/>
        <w:t>(3)</w:t>
      </w:r>
      <w:r>
        <w:tab/>
        <w:t xml:space="preserve">If an authorised officer is of the opinion that a vehicle operated as a taxi does not comply with the requirements of subregulation (1), the officer may — </w:t>
      </w:r>
    </w:p>
    <w:p>
      <w:pPr>
        <w:pStyle w:val="Indenta"/>
      </w:pPr>
      <w:r>
        <w:tab/>
        <w:t>(a)</w:t>
      </w:r>
      <w:r>
        <w:tab/>
        <w:t xml:space="preserve">by notice in writing, direct the plate holder or the operator — </w:t>
      </w:r>
    </w:p>
    <w:p>
      <w:pPr>
        <w:pStyle w:val="Indenti"/>
      </w:pPr>
      <w:r>
        <w:tab/>
        <w:t>(i)</w:t>
      </w:r>
      <w:r>
        <w:tab/>
        <w:t>to remedy any defect that relates to the camera surveillance unit in the vehicle, as specified in the notice; and</w:t>
      </w:r>
    </w:p>
    <w:p>
      <w:pPr>
        <w:pStyle w:val="Indenti"/>
      </w:pPr>
      <w:r>
        <w:tab/>
        <w:t>(ii)</w:t>
      </w:r>
      <w:r>
        <w:tab/>
        <w:t>to have the vehicle inspected at a specified place by an approved person or an authorised officer,</w:t>
      </w:r>
    </w:p>
    <w:p>
      <w:pPr>
        <w:pStyle w:val="Indenta"/>
      </w:pPr>
      <w:r>
        <w:tab/>
      </w:r>
      <w:r>
        <w:tab/>
        <w:t>within the period specified in the notice; and</w:t>
      </w:r>
    </w:p>
    <w:p>
      <w:pPr>
        <w:pStyle w:val="Indenta"/>
      </w:pPr>
      <w:r>
        <w:tab/>
        <w:t>(b)</w:t>
      </w:r>
      <w:r>
        <w:tab/>
        <w:t xml:space="preserve">by attaching a copy of the notice to the vehicle, prohibit the continued operation of the vehicle as a taxi until — </w:t>
      </w:r>
    </w:p>
    <w:p>
      <w:pPr>
        <w:pStyle w:val="Indenti"/>
      </w:pPr>
      <w:r>
        <w:tab/>
        <w:t>(i)</w:t>
      </w:r>
      <w:r>
        <w:tab/>
        <w:t>it has been inspected by an approved person or an authorised officer and the camera surveillance unit found to be in a satisfactory condition; and</w:t>
      </w:r>
    </w:p>
    <w:p>
      <w:pPr>
        <w:pStyle w:val="Indenti"/>
      </w:pPr>
      <w:r>
        <w:tab/>
        <w:t>(ii)</w:t>
      </w:r>
      <w:r>
        <w:tab/>
        <w:t>the approved person or authorised officer has removed the notice from the vehicle.</w:t>
      </w:r>
    </w:p>
    <w:p>
      <w:pPr>
        <w:pStyle w:val="Subsection"/>
      </w:pPr>
      <w:r>
        <w:tab/>
        <w:t>(4)</w:t>
      </w:r>
      <w:r>
        <w:tab/>
        <w:t>A person must not operate a vehicle as a taxi unless an approved sign stating that a camera surveillance unit is in operation in the vehicle is displayed at an approved place on each door of the vehicle.</w:t>
      </w:r>
    </w:p>
    <w:p>
      <w:pPr>
        <w:pStyle w:val="Footnotesection"/>
      </w:pPr>
      <w:r>
        <w:tab/>
        <w:t>[Regulation 13B inserted in Gazette 7 Jun 2011 p. 2058</w:t>
      </w:r>
      <w:r>
        <w:noBreakHyphen/>
        <w:t>9.]</w:t>
      </w:r>
    </w:p>
    <w:p>
      <w:pPr>
        <w:pStyle w:val="Heading5"/>
      </w:pPr>
      <w:bookmarkStart w:id="43" w:name="_Toc412208826"/>
      <w:bookmarkStart w:id="44" w:name="_Toc422122515"/>
      <w:r>
        <w:rPr>
          <w:rStyle w:val="CharSectno"/>
        </w:rPr>
        <w:t>13C</w:t>
      </w:r>
      <w:r>
        <w:t>.</w:t>
      </w:r>
      <w:r>
        <w:tab/>
        <w:t>Directions under r. 13B(3), effect of etc.</w:t>
      </w:r>
      <w:bookmarkEnd w:id="43"/>
      <w:bookmarkEnd w:id="44"/>
    </w:p>
    <w:p>
      <w:pPr>
        <w:pStyle w:val="Subsection"/>
      </w:pPr>
      <w:r>
        <w:tab/>
        <w:t>(1)</w:t>
      </w:r>
      <w:r>
        <w:tab/>
        <w:t xml:space="preserve">A person given a direction under regulation 13B(3)(a) — </w:t>
      </w:r>
    </w:p>
    <w:p>
      <w:pPr>
        <w:pStyle w:val="Indenta"/>
      </w:pPr>
      <w:r>
        <w:tab/>
        <w:t>(a)</w:t>
      </w:r>
      <w:r>
        <w:tab/>
        <w:t>must comply with the direction; and</w:t>
      </w:r>
    </w:p>
    <w:p>
      <w:pPr>
        <w:pStyle w:val="Indenta"/>
      </w:pPr>
      <w:r>
        <w:tab/>
        <w:t>(b)</w:t>
      </w:r>
      <w:r>
        <w:tab/>
        <w:t>must rectify any defect relating to the camera surveillance unit in the vehicle that is found during an inspection by an approved person or an authorised officer.</w:t>
      </w:r>
    </w:p>
    <w:p>
      <w:pPr>
        <w:pStyle w:val="Subsection"/>
      </w:pPr>
      <w:r>
        <w:tab/>
        <w:t>(2)</w:t>
      </w:r>
      <w:r>
        <w:tab/>
        <w:t>A person other than an approved person or an authorised officer must not remove, interfere with or destroy a notice attached to a vehicle under regulation 13B(3)(b).</w:t>
      </w:r>
    </w:p>
    <w:p>
      <w:pPr>
        <w:pStyle w:val="Subsection"/>
      </w:pPr>
      <w:r>
        <w:tab/>
        <w:t>(3)</w:t>
      </w:r>
      <w:r>
        <w:tab/>
        <w:t>A person must not operate a vehicle as a taxi while the vehicle is subject to a prohibition under regulation 13B(3)(b).</w:t>
      </w:r>
    </w:p>
    <w:p>
      <w:pPr>
        <w:pStyle w:val="Footnotesection"/>
      </w:pPr>
      <w:r>
        <w:tab/>
        <w:t>[Regulation 13C inserted in Gazette 7 Jun 2011 p. 2059.]</w:t>
      </w:r>
    </w:p>
    <w:p>
      <w:pPr>
        <w:pStyle w:val="Heading5"/>
      </w:pPr>
      <w:bookmarkStart w:id="45" w:name="_Toc412208827"/>
      <w:bookmarkStart w:id="46" w:name="_Toc422122516"/>
      <w:r>
        <w:rPr>
          <w:rStyle w:val="CharSectno"/>
        </w:rPr>
        <w:t>13D</w:t>
      </w:r>
      <w:r>
        <w:t>.</w:t>
      </w:r>
      <w:r>
        <w:tab/>
        <w:t>Camera surveillance units in taxis, who can install etc.</w:t>
      </w:r>
      <w:bookmarkEnd w:id="45"/>
      <w:bookmarkEnd w:id="46"/>
    </w:p>
    <w:p>
      <w:pPr>
        <w:pStyle w:val="Subsection"/>
      </w:pPr>
      <w:r>
        <w:tab/>
        <w:t>(1)</w:t>
      </w:r>
      <w:r>
        <w:tab/>
        <w:t xml:space="preserve">In this regulation — </w:t>
      </w:r>
    </w:p>
    <w:p>
      <w:pPr>
        <w:pStyle w:val="Defstart"/>
      </w:pPr>
      <w:r>
        <w:tab/>
      </w:r>
      <w:r>
        <w:rPr>
          <w:rStyle w:val="CharDefText"/>
        </w:rPr>
        <w:t>service</w:t>
      </w:r>
      <w:r>
        <w:t xml:space="preserve"> includes repair, maintain, adjust, modify, inspect and test.</w:t>
      </w:r>
    </w:p>
    <w:p>
      <w:pPr>
        <w:pStyle w:val="Subsection"/>
        <w:keepNext/>
      </w:pPr>
      <w:r>
        <w:tab/>
        <w:t>(2)</w:t>
      </w:r>
      <w:r>
        <w:tab/>
        <w:t xml:space="preserve">A person other than an approved person must not — </w:t>
      </w:r>
    </w:p>
    <w:p>
      <w:pPr>
        <w:pStyle w:val="Indenta"/>
      </w:pPr>
      <w:r>
        <w:tab/>
        <w:t>(a)</w:t>
      </w:r>
      <w:r>
        <w:tab/>
        <w:t>install a camera surveillance unit in a vehicle operated as a taxi; or</w:t>
      </w:r>
    </w:p>
    <w:p>
      <w:pPr>
        <w:pStyle w:val="Indenta"/>
      </w:pPr>
      <w:r>
        <w:tab/>
        <w:t>(b)</w:t>
      </w:r>
      <w:r>
        <w:tab/>
        <w:t>remove a camera surveillance unit from a vehicle operated as a taxi; or</w:t>
      </w:r>
    </w:p>
    <w:p>
      <w:pPr>
        <w:pStyle w:val="Indenta"/>
      </w:pPr>
      <w:r>
        <w:tab/>
        <w:t>(c)</w:t>
      </w:r>
      <w:r>
        <w:tab/>
        <w:t>service a camera surveillance unit installed in a vehicle operated as a taxi.</w:t>
      </w:r>
    </w:p>
    <w:p>
      <w:pPr>
        <w:pStyle w:val="Footnotesection"/>
      </w:pPr>
      <w:r>
        <w:tab/>
        <w:t>[Regulation 13D inserted in Gazette 7 Jun 2011 p. 2059</w:t>
      </w:r>
      <w:r>
        <w:noBreakHyphen/>
        <w:t>60.]</w:t>
      </w:r>
    </w:p>
    <w:p>
      <w:pPr>
        <w:pStyle w:val="Heading5"/>
      </w:pPr>
      <w:bookmarkStart w:id="47" w:name="_Toc412208828"/>
      <w:bookmarkStart w:id="48" w:name="_Toc422122517"/>
      <w:r>
        <w:rPr>
          <w:rStyle w:val="CharSectno"/>
        </w:rPr>
        <w:t>13E</w:t>
      </w:r>
      <w:r>
        <w:t>.</w:t>
      </w:r>
      <w:r>
        <w:tab/>
        <w:t>Camera surveillance units, who can view etc. information in</w:t>
      </w:r>
      <w:bookmarkEnd w:id="47"/>
      <w:bookmarkEnd w:id="48"/>
    </w:p>
    <w:p>
      <w:pPr>
        <w:pStyle w:val="Subsection"/>
      </w:pPr>
      <w:r>
        <w:tab/>
        <w:t>(1)</w:t>
      </w:r>
      <w:r>
        <w:tab/>
        <w:t>A person must not view, download, copy, play, edit or erase any visual or audio</w:t>
      </w:r>
      <w:r>
        <w:noBreakHyphen/>
        <w:t>visual recording stored in a camera surveillance unit installed in a vehicle operated as a taxi.</w:t>
      </w:r>
    </w:p>
    <w:p>
      <w:pPr>
        <w:pStyle w:val="Subsection"/>
      </w:pPr>
      <w:r>
        <w:tab/>
        <w:t>(2)</w:t>
      </w:r>
      <w:r>
        <w:tab/>
        <w:t xml:space="preserve">Subregulation (1) does not apply to — </w:t>
      </w:r>
    </w:p>
    <w:p>
      <w:pPr>
        <w:pStyle w:val="Indenta"/>
      </w:pPr>
      <w:r>
        <w:tab/>
        <w:t>(a)</w:t>
      </w:r>
      <w:r>
        <w:tab/>
        <w:t>an authorised officer; or</w:t>
      </w:r>
    </w:p>
    <w:p>
      <w:pPr>
        <w:pStyle w:val="Indenta"/>
      </w:pPr>
      <w:r>
        <w:tab/>
        <w:t>(b)</w:t>
      </w:r>
      <w:r>
        <w:tab/>
        <w:t>an approved person who is authorised to view, download, copy, play, edit or erase the visual or audio</w:t>
      </w:r>
      <w:r>
        <w:noBreakHyphen/>
        <w:t>visual recording by an authorised officer.</w:t>
      </w:r>
    </w:p>
    <w:p>
      <w:pPr>
        <w:pStyle w:val="Footnotesection"/>
      </w:pPr>
      <w:r>
        <w:tab/>
        <w:t>[Regulation 13E inserted in Gazette 7 Jun 2011 p. 2060.]</w:t>
      </w:r>
    </w:p>
    <w:p>
      <w:pPr>
        <w:pStyle w:val="Heading5"/>
      </w:pPr>
      <w:bookmarkStart w:id="49" w:name="_Toc412208829"/>
      <w:bookmarkStart w:id="50" w:name="_Toc422122518"/>
      <w:r>
        <w:rPr>
          <w:rStyle w:val="CharSectno"/>
        </w:rPr>
        <w:t>13F</w:t>
      </w:r>
      <w:r>
        <w:t>.</w:t>
      </w:r>
      <w:r>
        <w:tab/>
        <w:t>Camera surveillance units, obstruction of etc.</w:t>
      </w:r>
      <w:bookmarkEnd w:id="49"/>
      <w:bookmarkEnd w:id="50"/>
    </w:p>
    <w:p>
      <w:pPr>
        <w:pStyle w:val="Subsection"/>
      </w:pPr>
      <w:r>
        <w:tab/>
        <w:t>(1)</w:t>
      </w:r>
      <w:r>
        <w:tab/>
        <w:t>A person must not obstruct, interfere with or destroy a camera surveillance unit installed in a vehicle operated as a taxi.</w:t>
      </w:r>
    </w:p>
    <w:p>
      <w:pPr>
        <w:pStyle w:val="Subsection"/>
      </w:pPr>
      <w:r>
        <w:tab/>
        <w:t>(2)</w:t>
      </w:r>
      <w:r>
        <w:tab/>
        <w:t xml:space="preserve">Subregulation (1) does not apply to or in relation to — </w:t>
      </w:r>
    </w:p>
    <w:p>
      <w:pPr>
        <w:pStyle w:val="Indenta"/>
      </w:pPr>
      <w:r>
        <w:tab/>
        <w:t>(a)</w:t>
      </w:r>
      <w:r>
        <w:tab/>
        <w:t>anything done by an approved person in accordance with regulation 13D(2); or</w:t>
      </w:r>
    </w:p>
    <w:p>
      <w:pPr>
        <w:pStyle w:val="Indenta"/>
      </w:pPr>
      <w:r>
        <w:tab/>
        <w:t>(b)</w:t>
      </w:r>
      <w:r>
        <w:tab/>
        <w:t>anything done by an authorised officer or an approved person in accordance with regulation 13E(2).</w:t>
      </w:r>
    </w:p>
    <w:p>
      <w:pPr>
        <w:pStyle w:val="Footnotesection"/>
      </w:pPr>
      <w:r>
        <w:tab/>
        <w:t>[Regulation 13F inserted in Gazette 7 Jun 2011 p. 2060.]</w:t>
      </w:r>
    </w:p>
    <w:p>
      <w:pPr>
        <w:pStyle w:val="Heading5"/>
      </w:pPr>
      <w:bookmarkStart w:id="51" w:name="_Toc412208830"/>
      <w:bookmarkStart w:id="52" w:name="_Toc422122519"/>
      <w:r>
        <w:rPr>
          <w:rStyle w:val="CharSectno"/>
        </w:rPr>
        <w:t>13G</w:t>
      </w:r>
      <w:r>
        <w:t>.</w:t>
      </w:r>
      <w:r>
        <w:tab/>
        <w:t>Camera surveillance units, certificates as to proper working order of</w:t>
      </w:r>
      <w:bookmarkEnd w:id="51"/>
      <w:bookmarkEnd w:id="52"/>
    </w:p>
    <w:p>
      <w:pPr>
        <w:pStyle w:val="Subsection"/>
      </w:pPr>
      <w:r>
        <w:tab/>
        <w:t>(1)</w:t>
      </w:r>
      <w:r>
        <w:tab/>
        <w:t xml:space="preserve">In subregulation (2) — </w:t>
      </w:r>
    </w:p>
    <w:p>
      <w:pPr>
        <w:pStyle w:val="Defstart"/>
      </w:pPr>
      <w:r>
        <w:tab/>
      </w:r>
      <w:r>
        <w:rPr>
          <w:rStyle w:val="CharDefText"/>
        </w:rPr>
        <w:t>current certificate</w:t>
      </w:r>
      <w:r>
        <w:t xml:space="preserve"> means a certificate given within 12 months before the certificate is provided to the Director General under that subregulation.</w:t>
      </w:r>
    </w:p>
    <w:p>
      <w:pPr>
        <w:pStyle w:val="Subsection"/>
      </w:pPr>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pPr>
        <w:pStyle w:val="Subsection"/>
      </w:pPr>
      <w:r>
        <w:tab/>
        <w:t>(3)</w:t>
      </w:r>
      <w:r>
        <w:tab/>
        <w:t>An approved person must not state any false or misleading information in a certificate that is given by the person for the purposes of this regulation.</w:t>
      </w:r>
    </w:p>
    <w:p>
      <w:pPr>
        <w:pStyle w:val="Footnotesection"/>
      </w:pPr>
      <w:r>
        <w:tab/>
        <w:t>[Regulation 13G inserted in Gazette 7 Jun 2011 p. 2060</w:t>
      </w:r>
      <w:r>
        <w:noBreakHyphen/>
        <w:t>1.]</w:t>
      </w:r>
    </w:p>
    <w:p>
      <w:pPr>
        <w:pStyle w:val="Heading5"/>
      </w:pPr>
      <w:bookmarkStart w:id="53" w:name="_Toc412208831"/>
      <w:bookmarkStart w:id="54" w:name="_Toc422122520"/>
      <w:r>
        <w:rPr>
          <w:rStyle w:val="CharSectno"/>
        </w:rPr>
        <w:t>13H</w:t>
      </w:r>
      <w:r>
        <w:t>.</w:t>
      </w:r>
      <w:r>
        <w:tab/>
        <w:t>Camera surveillance units, transitional provisions for</w:t>
      </w:r>
      <w:bookmarkEnd w:id="53"/>
      <w:bookmarkEnd w:id="54"/>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Taxi Amendment Regulations 2011</w:t>
      </w:r>
      <w:r>
        <w:t xml:space="preserve"> regulation 5 comes into operation.</w:t>
      </w:r>
    </w:p>
    <w:p>
      <w:pPr>
        <w:pStyle w:val="Subsection"/>
        <w:rPr>
          <w:shd w:val="clear" w:color="auto" w:fill="FFCC00"/>
        </w:rPr>
      </w:pPr>
      <w:r>
        <w:tab/>
        <w:t>(2)</w:t>
      </w:r>
      <w:r>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pPr>
        <w:pStyle w:val="Subsection"/>
        <w:keepNext/>
      </w:pPr>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p>
    <w:p>
      <w:pPr>
        <w:pStyle w:val="Indenta"/>
      </w:pPr>
      <w:r>
        <w:tab/>
        <w:t>(a)</w:t>
      </w:r>
      <w:r>
        <w:tab/>
        <w:t xml:space="preserve">the day after the day on which the notice is published in the </w:t>
      </w:r>
      <w:r>
        <w:rPr>
          <w:i/>
        </w:rPr>
        <w:t>Gazette</w:t>
      </w:r>
      <w:r>
        <w:t>; or</w:t>
      </w:r>
    </w:p>
    <w:p>
      <w:pPr>
        <w:pStyle w:val="Indenta"/>
      </w:pPr>
      <w:r>
        <w:tab/>
        <w:t>(b)</w:t>
      </w:r>
      <w:r>
        <w:tab/>
        <w:t>any later day specified in the notice.</w:t>
      </w:r>
    </w:p>
    <w:p>
      <w:pPr>
        <w:pStyle w:val="Subsection"/>
      </w:pPr>
      <w:r>
        <w:tab/>
        <w:t>(4)</w:t>
      </w:r>
      <w:r>
        <w:tab/>
        <w:t>Subregulation (2) ceases to have effect as stated in a notice under subregulation (3) in relation to a camera surveillance unit of a type specified in the notice.</w:t>
      </w:r>
    </w:p>
    <w:p>
      <w:pPr>
        <w:pStyle w:val="Footnotesection"/>
      </w:pPr>
      <w:r>
        <w:tab/>
        <w:t>[Regulation 13H inserted in Gazette 7 Jun 2011 p. 2061.]</w:t>
      </w:r>
    </w:p>
    <w:p>
      <w:pPr>
        <w:pStyle w:val="Heading5"/>
        <w:rPr>
          <w:snapToGrid w:val="0"/>
        </w:rPr>
      </w:pPr>
      <w:bookmarkStart w:id="55" w:name="_Toc412208832"/>
      <w:bookmarkStart w:id="56" w:name="_Toc422122521"/>
      <w:r>
        <w:rPr>
          <w:rStyle w:val="CharSectno"/>
        </w:rPr>
        <w:t>14</w:t>
      </w:r>
      <w:r>
        <w:rPr>
          <w:snapToGrid w:val="0"/>
        </w:rPr>
        <w:t>.</w:t>
      </w:r>
      <w:r>
        <w:rPr>
          <w:snapToGrid w:val="0"/>
        </w:rPr>
        <w:tab/>
        <w:t>Guide dogs, transport of</w:t>
      </w:r>
      <w:bookmarkEnd w:id="55"/>
      <w:bookmarkEnd w:id="56"/>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57" w:name="_Toc412208833"/>
      <w:bookmarkStart w:id="58" w:name="_Toc422122522"/>
      <w:r>
        <w:rPr>
          <w:rStyle w:val="CharSectno"/>
        </w:rPr>
        <w:t>15</w:t>
      </w:r>
      <w:r>
        <w:t>.</w:t>
      </w:r>
      <w:r>
        <w:tab/>
        <w:t>Driver identification to be displayed</w:t>
      </w:r>
      <w:bookmarkEnd w:id="57"/>
      <w:bookmarkEnd w:id="58"/>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59" w:name="_Toc412208834"/>
      <w:bookmarkStart w:id="60" w:name="_Toc422122523"/>
      <w:r>
        <w:rPr>
          <w:rStyle w:val="CharSectno"/>
        </w:rPr>
        <w:t>16</w:t>
      </w:r>
      <w:r>
        <w:rPr>
          <w:snapToGrid w:val="0"/>
        </w:rPr>
        <w:t>.</w:t>
      </w:r>
      <w:r>
        <w:rPr>
          <w:snapToGrid w:val="0"/>
        </w:rPr>
        <w:tab/>
        <w:t>Conduct of drivers while driving or plying for hire</w:t>
      </w:r>
      <w:bookmarkEnd w:id="59"/>
      <w:bookmarkEnd w:id="60"/>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 and</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spacing w:before="180"/>
        <w:rPr>
          <w:snapToGrid w:val="0"/>
        </w:rPr>
      </w:pPr>
      <w:bookmarkStart w:id="61" w:name="_Toc412208835"/>
      <w:bookmarkStart w:id="62" w:name="_Toc422122524"/>
      <w:r>
        <w:rPr>
          <w:rStyle w:val="CharSectno"/>
        </w:rPr>
        <w:t>17</w:t>
      </w:r>
      <w:r>
        <w:rPr>
          <w:snapToGrid w:val="0"/>
        </w:rPr>
        <w:t>.</w:t>
      </w:r>
      <w:r>
        <w:rPr>
          <w:snapToGrid w:val="0"/>
        </w:rPr>
        <w:tab/>
        <w:t>Conduct of drivers at taxi ranks</w:t>
      </w:r>
      <w:bookmarkEnd w:id="61"/>
      <w:bookmarkEnd w:id="62"/>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Heading5"/>
        <w:spacing w:before="180"/>
        <w:rPr>
          <w:snapToGrid w:val="0"/>
        </w:rPr>
      </w:pPr>
      <w:bookmarkStart w:id="63" w:name="_Toc412208836"/>
      <w:bookmarkStart w:id="64" w:name="_Toc422122525"/>
      <w:r>
        <w:rPr>
          <w:rStyle w:val="CharSectno"/>
        </w:rPr>
        <w:t>17A</w:t>
      </w:r>
      <w:r>
        <w:rPr>
          <w:snapToGrid w:val="0"/>
        </w:rPr>
        <w:t>.</w:t>
      </w:r>
      <w:r>
        <w:rPr>
          <w:snapToGrid w:val="0"/>
        </w:rPr>
        <w:tab/>
        <w:t>Driver’s uniforms, approval of</w:t>
      </w:r>
      <w:bookmarkEnd w:id="63"/>
      <w:bookmarkEnd w:id="64"/>
      <w:r>
        <w:rPr>
          <w:snapToGrid w:val="0"/>
        </w:rPr>
        <w:t xml:space="preserve"> </w:t>
      </w:r>
    </w:p>
    <w:p>
      <w:pPr>
        <w:pStyle w:val="Subsection"/>
        <w:spacing w:before="120"/>
        <w:rPr>
          <w:snapToGrid w:val="0"/>
        </w:rPr>
      </w:pPr>
      <w:r>
        <w:rPr>
          <w:snapToGrid w:val="0"/>
        </w:rPr>
        <w:tab/>
        <w:t>(1)</w:t>
      </w:r>
      <w:r>
        <w:rPr>
          <w:snapToGrid w:val="0"/>
        </w:rPr>
        <w:tab/>
        <w:t>The provider of a taxi dispatch service and any operator who is independent from a taxi dispatch service must have a driver’s uniform approved under subregulation (3).</w:t>
      </w:r>
    </w:p>
    <w:p>
      <w:pPr>
        <w:pStyle w:val="Subsection"/>
        <w:spacing w:before="120"/>
        <w:rPr>
          <w:snapToGrid w:val="0"/>
        </w:rPr>
      </w:pPr>
      <w:r>
        <w:rPr>
          <w:snapToGrid w:val="0"/>
        </w:rPr>
        <w:tab/>
        <w:t>(2)</w:t>
      </w:r>
      <w:r>
        <w:rPr>
          <w:snapToGrid w:val="0"/>
        </w:rPr>
        <w:tab/>
        <w:t>The provider of a taxi dispatch service or an independent operator may apply to the Director General, in the approved form, for — </w:t>
      </w:r>
    </w:p>
    <w:p>
      <w:pPr>
        <w:pStyle w:val="Indenta"/>
        <w:rPr>
          <w:snapToGrid w:val="0"/>
        </w:rPr>
      </w:pPr>
      <w:r>
        <w:rPr>
          <w:snapToGrid w:val="0"/>
        </w:rPr>
        <w:tab/>
        <w:t>(a)</w:t>
      </w:r>
      <w:r>
        <w:rPr>
          <w:snapToGrid w:val="0"/>
        </w:rPr>
        <w:tab/>
        <w:t>approval of a uniform; or</w:t>
      </w:r>
    </w:p>
    <w:p>
      <w:pPr>
        <w:pStyle w:val="Indenta"/>
        <w:rPr>
          <w:snapToGrid w:val="0"/>
        </w:rPr>
      </w:pPr>
      <w:r>
        <w:rPr>
          <w:snapToGrid w:val="0"/>
        </w:rPr>
        <w:tab/>
        <w:t>(b)</w:t>
      </w:r>
      <w:r>
        <w:rPr>
          <w:snapToGrid w:val="0"/>
        </w:rPr>
        <w:tab/>
        <w:t>approval to alter or add to a previously approved uniform; or</w:t>
      </w:r>
    </w:p>
    <w:p>
      <w:pPr>
        <w:pStyle w:val="Indenta"/>
        <w:rPr>
          <w:snapToGrid w:val="0"/>
        </w:rPr>
      </w:pPr>
      <w:r>
        <w:rPr>
          <w:snapToGrid w:val="0"/>
        </w:rPr>
        <w:tab/>
        <w:t>(c)</w:t>
      </w:r>
      <w:r>
        <w:rPr>
          <w:snapToGrid w:val="0"/>
        </w:rPr>
        <w:tab/>
        <w:t>approval of a new uniform in place of a previously approved uniform.</w:t>
      </w:r>
    </w:p>
    <w:p>
      <w:pPr>
        <w:pStyle w:val="Subsection"/>
        <w:rPr>
          <w:snapToGrid w:val="0"/>
        </w:rPr>
      </w:pPr>
      <w:r>
        <w:rPr>
          <w:snapToGrid w:val="0"/>
        </w:rPr>
        <w:tab/>
        <w:t>(3)</w:t>
      </w:r>
      <w:r>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pPr>
        <w:pStyle w:val="Subsection"/>
        <w:spacing w:before="120"/>
        <w:rPr>
          <w:snapToGrid w:val="0"/>
        </w:rPr>
      </w:pPr>
      <w:r>
        <w:rPr>
          <w:snapToGrid w:val="0"/>
        </w:rPr>
        <w:tab/>
        <w:t>(4)</w:t>
      </w:r>
      <w:r>
        <w:rPr>
          <w:snapToGrid w:val="0"/>
        </w:rPr>
        <w:tab/>
        <w:t>The Director General must notify an applicant, in writing — </w:t>
      </w:r>
    </w:p>
    <w:p>
      <w:pPr>
        <w:pStyle w:val="Indenta"/>
        <w:rPr>
          <w:snapToGrid w:val="0"/>
        </w:rPr>
      </w:pPr>
      <w:r>
        <w:rPr>
          <w:snapToGrid w:val="0"/>
        </w:rPr>
        <w:tab/>
        <w:t>(a)</w:t>
      </w:r>
      <w:r>
        <w:rPr>
          <w:snapToGrid w:val="0"/>
        </w:rPr>
        <w:tab/>
        <w:t xml:space="preserve">whether the application has been approved; and </w:t>
      </w:r>
    </w:p>
    <w:p>
      <w:pPr>
        <w:pStyle w:val="Indenta"/>
        <w:rPr>
          <w:snapToGrid w:val="0"/>
        </w:rPr>
      </w:pPr>
      <w:r>
        <w:rPr>
          <w:snapToGrid w:val="0"/>
        </w:rPr>
        <w:tab/>
        <w:t>(b)</w:t>
      </w:r>
      <w:r>
        <w:rPr>
          <w:snapToGrid w:val="0"/>
        </w:rPr>
        <w:tab/>
        <w:t>if the application is refused, the reasons for the refusal.</w:t>
      </w:r>
    </w:p>
    <w:p>
      <w:pPr>
        <w:pStyle w:val="Subsection"/>
        <w:spacing w:before="120"/>
        <w:rPr>
          <w:snapToGrid w:val="0"/>
        </w:rPr>
      </w:pPr>
      <w:r>
        <w:rPr>
          <w:snapToGrid w:val="0"/>
        </w:rPr>
        <w:tab/>
        <w:t>(5)</w:t>
      </w:r>
      <w:r>
        <w:rPr>
          <w:snapToGrid w:val="0"/>
        </w:rPr>
        <w:tab/>
        <w:t>A uniform may include any or all of the following — </w:t>
      </w:r>
    </w:p>
    <w:p>
      <w:pPr>
        <w:pStyle w:val="Indenta"/>
        <w:rPr>
          <w:snapToGrid w:val="0"/>
        </w:rPr>
      </w:pPr>
      <w:r>
        <w:rPr>
          <w:snapToGrid w:val="0"/>
        </w:rPr>
        <w:tab/>
        <w:t>(a)</w:t>
      </w:r>
      <w:r>
        <w:rPr>
          <w:snapToGrid w:val="0"/>
        </w:rPr>
        <w:tab/>
        <w:t>summer and winter outfits; and</w:t>
      </w:r>
    </w:p>
    <w:p>
      <w:pPr>
        <w:pStyle w:val="Indenta"/>
        <w:rPr>
          <w:snapToGrid w:val="0"/>
        </w:rPr>
      </w:pPr>
      <w:r>
        <w:rPr>
          <w:snapToGrid w:val="0"/>
        </w:rPr>
        <w:tab/>
        <w:t>(b)</w:t>
      </w:r>
      <w:r>
        <w:rPr>
          <w:snapToGrid w:val="0"/>
        </w:rPr>
        <w:tab/>
        <w:t>men’s and women’s outfits; and</w:t>
      </w:r>
    </w:p>
    <w:p>
      <w:pPr>
        <w:pStyle w:val="Indenta"/>
        <w:rPr>
          <w:snapToGrid w:val="0"/>
        </w:rPr>
      </w:pPr>
      <w:r>
        <w:rPr>
          <w:snapToGrid w:val="0"/>
        </w:rPr>
        <w:tab/>
        <w:t>(c)</w:t>
      </w:r>
      <w:r>
        <w:rPr>
          <w:snapToGrid w:val="0"/>
        </w:rPr>
        <w:tab/>
        <w:t xml:space="preserve">several items of clothing that may be worn in various combinations; and </w:t>
      </w:r>
    </w:p>
    <w:p>
      <w:pPr>
        <w:pStyle w:val="Indenta"/>
        <w:rPr>
          <w:snapToGrid w:val="0"/>
        </w:rPr>
      </w:pPr>
      <w:r>
        <w:rPr>
          <w:snapToGrid w:val="0"/>
        </w:rPr>
        <w:tab/>
        <w:t>(d)</w:t>
      </w:r>
      <w:r>
        <w:rPr>
          <w:snapToGrid w:val="0"/>
        </w:rPr>
        <w:tab/>
        <w:t>optional extras (such as a raincoat, tie or hat).</w:t>
      </w:r>
    </w:p>
    <w:p>
      <w:pPr>
        <w:pStyle w:val="Footnotesection"/>
      </w:pPr>
      <w:r>
        <w:tab/>
        <w:t xml:space="preserve">[Regulation 17A inserted in Gazette 25 Jun 1996 p. 2997.] </w:t>
      </w:r>
    </w:p>
    <w:p>
      <w:pPr>
        <w:pStyle w:val="Heading5"/>
        <w:rPr>
          <w:snapToGrid w:val="0"/>
        </w:rPr>
      </w:pPr>
      <w:bookmarkStart w:id="65" w:name="_Toc412208837"/>
      <w:bookmarkStart w:id="66" w:name="_Toc422122526"/>
      <w:r>
        <w:rPr>
          <w:rStyle w:val="CharSectno"/>
        </w:rPr>
        <w:t>17B</w:t>
      </w:r>
      <w:r>
        <w:rPr>
          <w:snapToGrid w:val="0"/>
        </w:rPr>
        <w:t>.</w:t>
      </w:r>
      <w:r>
        <w:rPr>
          <w:snapToGrid w:val="0"/>
        </w:rPr>
        <w:tab/>
        <w:t>Driver’s uniforms to be worn etc.</w:t>
      </w:r>
      <w:bookmarkEnd w:id="65"/>
      <w:bookmarkEnd w:id="66"/>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approved uniform</w:t>
      </w:r>
      <w:r>
        <w:rPr>
          <w:b/>
        </w:rPr>
        <w:t xml:space="preserve"> </w:t>
      </w:r>
      <w:r>
        <w:t>means a uniform approved by the Director General under regulation 17A.</w:t>
      </w:r>
    </w:p>
    <w:p>
      <w:pPr>
        <w:pStyle w:val="Subsection"/>
        <w:spacing w:before="120"/>
      </w:pPr>
      <w:r>
        <w:tab/>
        <w:t>(2)</w:t>
      </w:r>
      <w:r>
        <w:tab/>
        <w:t xml:space="preserve">A driver must wear the approved uniform of — </w:t>
      </w:r>
    </w:p>
    <w:p>
      <w:pPr>
        <w:pStyle w:val="Indenta"/>
      </w:pPr>
      <w:r>
        <w:tab/>
        <w:t>(a)</w:t>
      </w:r>
      <w:r>
        <w:tab/>
        <w:t>the taxi dispatch service shown on the fare schedule required to be displayed under regulation 7; or</w:t>
      </w:r>
    </w:p>
    <w:p>
      <w:pPr>
        <w:pStyle w:val="Indenta"/>
      </w:pPr>
      <w:r>
        <w:tab/>
        <w:t>(b)</w:t>
      </w:r>
      <w:r>
        <w:tab/>
        <w:t>the independent operator whose vehicle the driver is using as a taxi,</w:t>
      </w:r>
    </w:p>
    <w:p>
      <w:pPr>
        <w:pStyle w:val="Subsection"/>
      </w:pPr>
      <w:r>
        <w:tab/>
      </w:r>
      <w:r>
        <w:tab/>
        <w:t>at all times while engaged as a driver of a taxi or when plying for hire.</w:t>
      </w:r>
    </w:p>
    <w:p>
      <w:pPr>
        <w:pStyle w:val="Subsection"/>
        <w:spacing w:before="120"/>
        <w:rPr>
          <w:snapToGrid w:val="0"/>
        </w:rPr>
      </w:pPr>
      <w:r>
        <w:rPr>
          <w:snapToGrid w:val="0"/>
        </w:rPr>
        <w:tab/>
        <w:t>(3)</w:t>
      </w:r>
      <w:r>
        <w:rPr>
          <w:snapToGrid w:val="0"/>
        </w:rPr>
        <w:tab/>
        <w:t>A driver must — </w:t>
      </w:r>
    </w:p>
    <w:p>
      <w:pPr>
        <w:pStyle w:val="Indenta"/>
        <w:rPr>
          <w:snapToGrid w:val="0"/>
        </w:rPr>
      </w:pPr>
      <w:r>
        <w:rPr>
          <w:snapToGrid w:val="0"/>
        </w:rPr>
        <w:tab/>
        <w:t>(a)</w:t>
      </w:r>
      <w:r>
        <w:rPr>
          <w:snapToGrid w:val="0"/>
        </w:rPr>
        <w:tab/>
        <w:t>ensure that the driver’s approved uniform is clean and in good repair; and</w:t>
      </w:r>
    </w:p>
    <w:p>
      <w:pPr>
        <w:pStyle w:val="Indenta"/>
        <w:rPr>
          <w:snapToGrid w:val="0"/>
        </w:rPr>
      </w:pPr>
      <w:r>
        <w:rPr>
          <w:snapToGrid w:val="0"/>
        </w:rPr>
        <w:tab/>
        <w:t>(b)</w:t>
      </w:r>
      <w:r>
        <w:rPr>
          <w:snapToGrid w:val="0"/>
        </w:rPr>
        <w:tab/>
        <w:t>must wear the approved uniform in a neat and tidy manner.</w:t>
      </w:r>
    </w:p>
    <w:p>
      <w:pPr>
        <w:pStyle w:val="Subsection"/>
        <w:rPr>
          <w:snapToGrid w:val="0"/>
        </w:rPr>
      </w:pPr>
      <w:r>
        <w:rPr>
          <w:snapToGrid w:val="0"/>
        </w:rPr>
        <w:tab/>
        <w:t>(4)</w:t>
      </w:r>
      <w:r>
        <w:rPr>
          <w:snapToGrid w:val="0"/>
        </w:rPr>
        <w:tab/>
        <w:t>A driver may wear other items of clothing, in addition to the approved uniform, if — </w:t>
      </w:r>
    </w:p>
    <w:p>
      <w:pPr>
        <w:pStyle w:val="Indenta"/>
        <w:rPr>
          <w:snapToGrid w:val="0"/>
        </w:rPr>
      </w:pPr>
      <w:r>
        <w:rPr>
          <w:snapToGrid w:val="0"/>
        </w:rPr>
        <w:tab/>
        <w:t>(a)</w:t>
      </w:r>
      <w:r>
        <w:rPr>
          <w:snapToGrid w:val="0"/>
        </w:rPr>
        <w:tab/>
        <w:t>the approved uniform does not include items of that nature; and</w:t>
      </w:r>
    </w:p>
    <w:p>
      <w:pPr>
        <w:pStyle w:val="Indenta"/>
        <w:rPr>
          <w:snapToGrid w:val="0"/>
        </w:rPr>
      </w:pPr>
      <w:r>
        <w:rPr>
          <w:snapToGrid w:val="0"/>
        </w:rPr>
        <w:tab/>
        <w:t>(b)</w:t>
      </w:r>
      <w:r>
        <w:rPr>
          <w:snapToGrid w:val="0"/>
        </w:rPr>
        <w:tab/>
        <w:t>those items are in keeping with the approved uniform.</w:t>
      </w:r>
    </w:p>
    <w:p>
      <w:pPr>
        <w:pStyle w:val="Footnotesection"/>
      </w:pPr>
      <w:r>
        <w:tab/>
        <w:t xml:space="preserve">[Regulation 17B inserted in Gazette 25 Jun 1996 p. 2997; amended in Gazette 23 Jan 2004 p. 323.] </w:t>
      </w:r>
    </w:p>
    <w:p>
      <w:pPr>
        <w:pStyle w:val="Heading5"/>
        <w:rPr>
          <w:snapToGrid w:val="0"/>
        </w:rPr>
      </w:pPr>
      <w:bookmarkStart w:id="67" w:name="_Toc412208838"/>
      <w:bookmarkStart w:id="68" w:name="_Toc422122527"/>
      <w:r>
        <w:rPr>
          <w:rStyle w:val="CharSectno"/>
        </w:rPr>
        <w:t>18</w:t>
      </w:r>
      <w:r>
        <w:rPr>
          <w:snapToGrid w:val="0"/>
        </w:rPr>
        <w:t>.</w:t>
      </w:r>
      <w:r>
        <w:rPr>
          <w:snapToGrid w:val="0"/>
        </w:rPr>
        <w:tab/>
        <w:t>Authorised meter mechanics; taxi meters, fitting and testing of etc.</w:t>
      </w:r>
      <w:bookmarkEnd w:id="67"/>
      <w:bookmarkEnd w:id="68"/>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7 Jun 2011 p. 2061.] </w:t>
      </w:r>
    </w:p>
    <w:p>
      <w:pPr>
        <w:pStyle w:val="Heading5"/>
        <w:rPr>
          <w:snapToGrid w:val="0"/>
        </w:rPr>
      </w:pPr>
      <w:bookmarkStart w:id="69" w:name="_Toc412208839"/>
      <w:bookmarkStart w:id="70" w:name="_Toc422122528"/>
      <w:r>
        <w:rPr>
          <w:rStyle w:val="CharSectno"/>
        </w:rPr>
        <w:t>19</w:t>
      </w:r>
      <w:r>
        <w:rPr>
          <w:snapToGrid w:val="0"/>
        </w:rPr>
        <w:t>.</w:t>
      </w:r>
      <w:r>
        <w:rPr>
          <w:snapToGrid w:val="0"/>
        </w:rPr>
        <w:tab/>
        <w:t>Fees prescribed (Act s. 19 and 24)</w:t>
      </w:r>
      <w:bookmarkEnd w:id="69"/>
      <w:bookmarkEnd w:id="70"/>
    </w:p>
    <w:p>
      <w:pPr>
        <w:pStyle w:val="Subsection"/>
      </w:pPr>
      <w:r>
        <w:tab/>
        <w:t>(1)</w:t>
      </w:r>
      <w:r>
        <w:tab/>
        <w:t>For the purposes of section 19(1), the prescribed annual fee payable by plate holders for taxi plates is $200 where the fee is paid within the time allowed by section 19(2).</w:t>
      </w:r>
    </w:p>
    <w:p>
      <w:pPr>
        <w:pStyle w:val="Subsection"/>
        <w:rPr>
          <w:snapToGrid w:val="0"/>
        </w:rPr>
      </w:pPr>
      <w:r>
        <w:rPr>
          <w:snapToGrid w:val="0"/>
        </w:rPr>
        <w:tab/>
        <w:t>(2)</w:t>
      </w:r>
      <w:r>
        <w:rPr>
          <w:snapToGrid w:val="0"/>
        </w:rPr>
        <w:tab/>
        <w:t>Subject to subregulations (3)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 and</w:t>
      </w:r>
    </w:p>
    <w:p>
      <w:pPr>
        <w:pStyle w:val="Indenta"/>
        <w:rPr>
          <w:snapToGrid w:val="0"/>
        </w:rPr>
      </w:pPr>
      <w:r>
        <w:rPr>
          <w:snapToGrid w:val="0"/>
        </w:rPr>
        <w:tab/>
        <w:t>(b)</w:t>
      </w:r>
      <w:r>
        <w:rPr>
          <w:snapToGrid w:val="0"/>
        </w:rPr>
        <w:tab/>
        <w:t>the value of taxi plates for a multi</w:t>
      </w:r>
      <w:r>
        <w:rPr>
          <w:snapToGrid w:val="0"/>
        </w:rPr>
        <w:noBreakHyphen/>
        <w:t>purpose taxi as declared in an application for approval of a transfer is less than the average of the values declared in the preceding 10 applications to transfer taxi plates for multi</w:t>
      </w:r>
      <w:r>
        <w:rPr>
          <w:snapToGrid w:val="0"/>
        </w:rPr>
        <w:noBreakHyphen/>
        <w:t>purpose taxis received by the Director General, the fee shall be calculated on that average; and</w:t>
      </w:r>
    </w:p>
    <w:p>
      <w:pPr>
        <w:pStyle w:val="Indenta"/>
        <w:rPr>
          <w:snapToGrid w:val="0"/>
        </w:rPr>
      </w:pPr>
      <w:r>
        <w:rPr>
          <w:snapToGrid w:val="0"/>
        </w:rPr>
        <w:tab/>
        <w:t>(c)</w:t>
      </w:r>
      <w:r>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 and</w:t>
      </w:r>
    </w:p>
    <w:p>
      <w:pPr>
        <w:pStyle w:val="Indenta"/>
        <w:rPr>
          <w:snapToGrid w:val="0"/>
        </w:rPr>
      </w:pPr>
      <w:r>
        <w:rPr>
          <w:snapToGrid w:val="0"/>
        </w:rPr>
        <w:tab/>
        <w:t>(d)</w:t>
      </w:r>
      <w:r>
        <w:rPr>
          <w:snapToGrid w:val="0"/>
        </w:rPr>
        <w:tab/>
        <w: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pPr>
        <w:pStyle w:val="Indenta"/>
        <w:rPr>
          <w:snapToGrid w:val="0"/>
        </w:rPr>
      </w:pPr>
      <w:r>
        <w:rPr>
          <w:snapToGrid w:val="0"/>
        </w:rPr>
        <w:tab/>
        <w:t>(e)</w:t>
      </w:r>
      <w:r>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pPr>
        <w:pStyle w:val="Subsection"/>
        <w:rPr>
          <w:snapToGrid w:val="0"/>
        </w:rPr>
      </w:pPr>
      <w:r>
        <w:rPr>
          <w:snapToGrid w:val="0"/>
        </w:rPr>
        <w:tab/>
        <w:t>(3a)</w:t>
      </w:r>
      <w:r>
        <w:rPr>
          <w:snapToGrid w:val="0"/>
        </w:rPr>
        <w:tab/>
        <w:t>If the Director General is satisfied that — </w:t>
      </w:r>
    </w:p>
    <w:p>
      <w:pPr>
        <w:pStyle w:val="Indenta"/>
        <w:rPr>
          <w:snapToGrid w:val="0"/>
        </w:rPr>
      </w:pPr>
      <w:r>
        <w:rPr>
          <w:snapToGrid w:val="0"/>
        </w:rPr>
        <w:tab/>
        <w:t>(a)</w:t>
      </w:r>
      <w:r>
        <w:rPr>
          <w:snapToGrid w:val="0"/>
        </w:rPr>
        <w:tab/>
        <w:t>the transfer of the ownership of, or an interest in the ownership of, taxi plates arises by way of a willed transfer from a deceased estate; and</w:t>
      </w:r>
    </w:p>
    <w:p>
      <w:pPr>
        <w:pStyle w:val="Indenta"/>
        <w:rPr>
          <w:snapToGrid w:val="0"/>
        </w:rPr>
      </w:pPr>
      <w:r>
        <w:rPr>
          <w:snapToGrid w:val="0"/>
        </w:rPr>
        <w:tab/>
        <w:t>(b)</w:t>
      </w:r>
      <w:r>
        <w:rPr>
          <w:snapToGrid w:val="0"/>
        </w:rPr>
        <w:tab/>
        <w:t>the transfer is initially — </w:t>
      </w:r>
    </w:p>
    <w:p>
      <w:pPr>
        <w:pStyle w:val="Indenti"/>
        <w:rPr>
          <w:snapToGrid w:val="0"/>
        </w:rPr>
      </w:pPr>
      <w:r>
        <w:rPr>
          <w:snapToGrid w:val="0"/>
        </w:rPr>
        <w:tab/>
        <w:t>(i)</w:t>
      </w:r>
      <w:r>
        <w:rPr>
          <w:snapToGrid w:val="0"/>
        </w:rPr>
        <w:tab/>
        <w:t>to the spouse, son, daughter, parent, brother or sister of the deceased</w:t>
      </w:r>
      <w:r>
        <w:t>, or to a person who was the de facto partner of the deceased immediately before the death of the deceased</w:t>
      </w:r>
      <w:r>
        <w:rPr>
          <w:snapToGrid w:val="0"/>
        </w:rPr>
        <w:t>; or</w:t>
      </w:r>
    </w:p>
    <w:p>
      <w:pPr>
        <w:pStyle w:val="Indenti"/>
        <w:rPr>
          <w:snapToGrid w:val="0"/>
        </w:rPr>
      </w:pPr>
      <w:r>
        <w:rPr>
          <w:snapToGrid w:val="0"/>
        </w:rPr>
        <w:tab/>
        <w:t>(ii)</w:t>
      </w:r>
      <w:r>
        <w:rPr>
          <w:snapToGrid w:val="0"/>
        </w:rPr>
        <w:tab/>
        <w:t>to the spouse, son, daughter, parent, brother or sister of the deceased</w:t>
      </w:r>
      <w:r>
        <w:t xml:space="preserve">, or to a person who was the de facto partner of the deceased immediately before the death of the deceased, </w:t>
      </w:r>
      <w:r>
        <w:rPr>
          <w:snapToGrid w:val="0"/>
        </w:rPr>
        <w:t>by way of a family company or trust in which the only partners, principals or trustees are one or more of the persons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probate in relation to the bequest giving rise to that transfer has been granted,</w:t>
      </w:r>
    </w:p>
    <w:p>
      <w:pPr>
        <w:pStyle w:val="Subsection"/>
        <w:rPr>
          <w:snapToGrid w:val="0"/>
        </w:rPr>
      </w:pPr>
      <w:r>
        <w:rPr>
          <w:snapToGrid w:val="0"/>
        </w:rPr>
        <w:tab/>
      </w:r>
      <w:r>
        <w:rPr>
          <w:snapToGrid w:val="0"/>
        </w:rPr>
        <w:tab/>
        <w:t xml:space="preserve">the fee payable for that transfer under section 24 is </w:t>
      </w:r>
      <w:r>
        <w:t>$107.10.</w:t>
      </w:r>
    </w:p>
    <w:p>
      <w:pPr>
        <w:pStyle w:val="Subsection"/>
        <w:keepNext/>
      </w:pPr>
      <w:r>
        <w:tab/>
        <w:t>(4)</w:t>
      </w:r>
      <w:r>
        <w:tab/>
      </w:r>
      <w:r>
        <w:rPr>
          <w:snapToGrid w:val="0"/>
        </w:rPr>
        <w:t>The charge payable for the issue of taxi plates or the issue of replacements for lost, damaged or stolen taxi plates is $35.75.</w:t>
      </w:r>
    </w:p>
    <w:p>
      <w:pPr>
        <w:pStyle w:val="Footnotesection"/>
      </w:pPr>
      <w:r>
        <w:tab/>
        <w:t>[Regulation 19 amended in Gazette 26 Mar 1996 p. 1483</w:t>
      </w:r>
      <w:r>
        <w:noBreakHyphen/>
        <w:t xml:space="preserve">4; 25 Jun 1996 p. 2996; 30 Jun 2003 p. 2634; 9 Jan 2004 p. 98; 23 Jun 2006 p. 2227; 12 Jun 2007 p. 2739; 29 Sep 2009 p. 3854; 17 May 2011 p. 1825; 5 Jun 2012 p. 2369; 13 Jun 2014 p. 1903.] </w:t>
      </w:r>
    </w:p>
    <w:p>
      <w:pPr>
        <w:pStyle w:val="Heading5"/>
      </w:pPr>
      <w:bookmarkStart w:id="71" w:name="_Toc412208840"/>
      <w:bookmarkStart w:id="72" w:name="_Toc422122529"/>
      <w:r>
        <w:rPr>
          <w:rStyle w:val="CharSectno"/>
        </w:rPr>
        <w:t>19A</w:t>
      </w:r>
      <w:r>
        <w:t>.</w:t>
      </w:r>
      <w:r>
        <w:tab/>
        <w:t>Conditions imposable under Act s. 29 on taxi dispatch service providers</w:t>
      </w:r>
      <w:bookmarkEnd w:id="71"/>
      <w:bookmarkEnd w:id="72"/>
      <w:r>
        <w:t xml:space="preserve"> </w:t>
      </w:r>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rPr>
          <w:snapToGrid w:val="0"/>
        </w:rPr>
      </w:pPr>
      <w:bookmarkStart w:id="73" w:name="_Toc412208841"/>
      <w:bookmarkStart w:id="74" w:name="_Toc422122530"/>
      <w:r>
        <w:rPr>
          <w:rStyle w:val="CharSectno"/>
        </w:rPr>
        <w:t>20</w:t>
      </w:r>
      <w:r>
        <w:rPr>
          <w:snapToGrid w:val="0"/>
        </w:rPr>
        <w:t>.</w:t>
      </w:r>
      <w:r>
        <w:rPr>
          <w:snapToGrid w:val="0"/>
        </w:rPr>
        <w:tab/>
        <w:t>Interest rate prescribed (Act s. 36(8))</w:t>
      </w:r>
      <w:bookmarkEnd w:id="73"/>
      <w:bookmarkEnd w:id="74"/>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75" w:name="_Toc412208842"/>
      <w:bookmarkStart w:id="76" w:name="_Toc422122531"/>
      <w:r>
        <w:rPr>
          <w:rStyle w:val="CharSectno"/>
        </w:rPr>
        <w:t>21</w:t>
      </w:r>
      <w:r>
        <w:rPr>
          <w:snapToGrid w:val="0"/>
        </w:rPr>
        <w:t>.</w:t>
      </w:r>
      <w:r>
        <w:rPr>
          <w:snapToGrid w:val="0"/>
        </w:rPr>
        <w:tab/>
        <w:t>Offences and penalties</w:t>
      </w:r>
      <w:bookmarkEnd w:id="75"/>
      <w:bookmarkEnd w:id="76"/>
      <w:r>
        <w:rPr>
          <w:snapToGrid w:val="0"/>
        </w:rPr>
        <w:t xml:space="preserve"> </w:t>
      </w:r>
    </w:p>
    <w:p>
      <w:pPr>
        <w:pStyle w:val="Subsection"/>
        <w:rPr>
          <w:snapToGrid w:val="0"/>
        </w:rPr>
      </w:pPr>
      <w:r>
        <w:rPr>
          <w:snapToGrid w:val="0"/>
        </w:rPr>
        <w:tab/>
      </w:r>
      <w:r>
        <w:rPr>
          <w:snapToGrid w:val="0"/>
        </w:rPr>
        <w:tab/>
        <w:t>A person who contravenes a provision of these regulations commits an offence.</w:t>
      </w:r>
    </w:p>
    <w:p>
      <w:pPr>
        <w:pStyle w:val="Penstart"/>
        <w:rPr>
          <w:snapToGrid w:val="0"/>
        </w:rPr>
      </w:pPr>
      <w:r>
        <w:rPr>
          <w:snapToGrid w:val="0"/>
        </w:rPr>
        <w:tab/>
        <w:t>Penalty: $1 000.</w:t>
      </w:r>
    </w:p>
    <w:p>
      <w:pPr>
        <w:pStyle w:val="Heading5"/>
        <w:rPr>
          <w:snapToGrid w:val="0"/>
        </w:rPr>
      </w:pPr>
      <w:bookmarkStart w:id="77" w:name="_Toc412208843"/>
      <w:bookmarkStart w:id="78" w:name="_Toc422122532"/>
      <w:r>
        <w:rPr>
          <w:rStyle w:val="CharSectno"/>
        </w:rPr>
        <w:t>22</w:t>
      </w:r>
      <w:r>
        <w:rPr>
          <w:snapToGrid w:val="0"/>
        </w:rPr>
        <w:t>.</w:t>
      </w:r>
      <w:r>
        <w:rPr>
          <w:snapToGrid w:val="0"/>
        </w:rPr>
        <w:tab/>
        <w:t>Infringement notices and modified penalties (Act s. 39)</w:t>
      </w:r>
      <w:bookmarkEnd w:id="77"/>
      <w:bookmarkEnd w:id="78"/>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Heading5"/>
        <w:rPr>
          <w:snapToGrid w:val="0"/>
        </w:rPr>
      </w:pPr>
      <w:bookmarkStart w:id="79" w:name="_Toc412208844"/>
      <w:bookmarkStart w:id="80" w:name="_Toc422122533"/>
      <w:r>
        <w:rPr>
          <w:rStyle w:val="CharSectno"/>
        </w:rPr>
        <w:t>23</w:t>
      </w:r>
      <w:r>
        <w:rPr>
          <w:snapToGrid w:val="0"/>
        </w:rPr>
        <w:t>.</w:t>
      </w:r>
      <w:r>
        <w:rPr>
          <w:snapToGrid w:val="0"/>
        </w:rPr>
        <w:tab/>
        <w:t>Forms prescribed (Act s. 34 and 35)</w:t>
      </w:r>
      <w:bookmarkEnd w:id="79"/>
      <w:bookmarkEnd w:id="80"/>
    </w:p>
    <w:p>
      <w:pPr>
        <w:pStyle w:val="Subsection"/>
        <w:rPr>
          <w:snapToGrid w:val="0"/>
        </w:rPr>
      </w:pPr>
      <w:r>
        <w:rPr>
          <w:snapToGrid w:val="0"/>
        </w:rPr>
        <w:tab/>
        <w:t>(1)</w:t>
      </w:r>
      <w:r>
        <w:rPr>
          <w:snapToGrid w:val="0"/>
        </w:rPr>
        <w:tab/>
        <w:t>For the purposes of section 34(1)(b)</w:t>
      </w:r>
      <w:r>
        <w:rPr>
          <w:snapToGrid w:val="0"/>
          <w:vertAlign w:val="superscript"/>
        </w:rPr>
        <w:t> 4</w:t>
      </w:r>
      <w:r>
        <w:rPr>
          <w:snapToGrid w:val="0"/>
        </w:rPr>
        <w:t> — </w:t>
      </w:r>
    </w:p>
    <w:p>
      <w:pPr>
        <w:pStyle w:val="Indenta"/>
        <w:rPr>
          <w:snapToGrid w:val="0"/>
        </w:rPr>
      </w:pPr>
      <w:r>
        <w:rPr>
          <w:snapToGrid w:val="0"/>
        </w:rPr>
        <w:tab/>
        <w:t>(a)</w:t>
      </w:r>
      <w:r>
        <w:rPr>
          <w:snapToGrid w:val="0"/>
        </w:rPr>
        <w:tab/>
        <w:t>the prescribed form of notice is Form 3 in Schedule 2; and</w:t>
      </w:r>
    </w:p>
    <w:p>
      <w:pPr>
        <w:pStyle w:val="Indenta"/>
        <w:rPr>
          <w:snapToGrid w:val="0"/>
        </w:rPr>
      </w:pPr>
      <w:r>
        <w:rPr>
          <w:snapToGrid w:val="0"/>
        </w:rPr>
        <w:tab/>
        <w:t>(b)</w:t>
      </w:r>
      <w:r>
        <w:rPr>
          <w:snapToGrid w:val="0"/>
        </w:rPr>
        <w:tab/>
        <w:t>the prescribed form of election is Form 4 in Schedule 2.</w:t>
      </w:r>
    </w:p>
    <w:p>
      <w:pPr>
        <w:pStyle w:val="Subsection"/>
        <w:rPr>
          <w:snapToGrid w:val="0"/>
        </w:rPr>
      </w:pPr>
      <w:r>
        <w:rPr>
          <w:snapToGrid w:val="0"/>
        </w:rPr>
        <w:tab/>
        <w:t>(2)</w:t>
      </w:r>
      <w:r>
        <w:rPr>
          <w:snapToGrid w:val="0"/>
        </w:rPr>
        <w:tab/>
        <w:t>For the purposes of section 35(1)</w:t>
      </w:r>
      <w:r>
        <w:rPr>
          <w:snapToGrid w:val="0"/>
          <w:vertAlign w:val="superscript"/>
        </w:rPr>
        <w:t> 4</w:t>
      </w:r>
      <w:r>
        <w:rPr>
          <w:snapToGrid w:val="0"/>
        </w:rPr>
        <w:t> the prescribed form of document is Form 5 in Schedule 2.</w:t>
      </w:r>
    </w:p>
    <w:p>
      <w:pPr>
        <w:pStyle w:val="Ednotesection"/>
      </w:pPr>
      <w:r>
        <w:t>[</w:t>
      </w:r>
      <w:r>
        <w:rPr>
          <w:b/>
        </w:rPr>
        <w:t>24.</w:t>
      </w:r>
      <w:r>
        <w:tab/>
        <w:t>Omitted under the Reprints Act 1984 s. 7(4)(f).]</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81" w:name="_Toc412208845"/>
      <w:bookmarkStart w:id="82" w:name="_Toc422122534"/>
      <w:r>
        <w:rPr>
          <w:rStyle w:val="CharSchNo"/>
        </w:rPr>
        <w:t>Schedule 1</w:t>
      </w:r>
      <w:r>
        <w:rPr>
          <w:rStyle w:val="CharSDivNo"/>
        </w:rPr>
        <w:t> </w:t>
      </w:r>
      <w:r>
        <w:t>—</w:t>
      </w:r>
      <w:r>
        <w:rPr>
          <w:rStyle w:val="CharSDivText"/>
        </w:rPr>
        <w:t> </w:t>
      </w:r>
      <w:r>
        <w:rPr>
          <w:rStyle w:val="CharSchText"/>
        </w:rPr>
        <w:t>Offences for which infringement notices may be issued</w:t>
      </w:r>
      <w:bookmarkEnd w:id="81"/>
      <w:bookmarkEnd w:id="82"/>
    </w:p>
    <w:p>
      <w:pPr>
        <w:pStyle w:val="yShoulderClause"/>
        <w:spacing w:before="80" w:after="40"/>
      </w:pPr>
      <w:r>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1200"/>
      </w:tblGrid>
      <w:tr>
        <w:trPr>
          <w:tblHeader/>
        </w:trPr>
        <w:tc>
          <w:tcPr>
            <w:tcW w:w="741"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38"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41" w:type="dxa"/>
            <w:tcBorders>
              <w:top w:val="nil"/>
            </w:tcBorders>
          </w:tcPr>
          <w:p>
            <w:pPr>
              <w:pStyle w:val="yTable"/>
            </w:pPr>
            <w:r>
              <w:t>1</w:t>
            </w:r>
          </w:p>
        </w:tc>
        <w:tc>
          <w:tcPr>
            <w:tcW w:w="1938" w:type="dxa"/>
            <w:tcBorders>
              <w:top w:val="nil"/>
            </w:tcBorders>
          </w:tcPr>
          <w:p>
            <w:pPr>
              <w:pStyle w:val="yTable"/>
            </w:pPr>
            <w:r>
              <w:t>Section 15(1)</w:t>
            </w:r>
          </w:p>
        </w:tc>
        <w:tc>
          <w:tcPr>
            <w:tcW w:w="3231"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41" w:type="dxa"/>
          </w:tcPr>
          <w:p>
            <w:pPr>
              <w:pStyle w:val="yTable"/>
            </w:pPr>
            <w:r>
              <w:t>2</w:t>
            </w:r>
          </w:p>
        </w:tc>
        <w:tc>
          <w:tcPr>
            <w:tcW w:w="1938" w:type="dxa"/>
          </w:tcPr>
          <w:p>
            <w:pPr>
              <w:pStyle w:val="yTable"/>
            </w:pPr>
            <w:r>
              <w:t>Section 20(2)</w:t>
            </w:r>
          </w:p>
        </w:tc>
        <w:tc>
          <w:tcPr>
            <w:tcW w:w="3231"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t>250</w:t>
            </w:r>
          </w:p>
        </w:tc>
      </w:tr>
      <w:tr>
        <w:trPr>
          <w:cantSplit/>
        </w:trPr>
        <w:tc>
          <w:tcPr>
            <w:tcW w:w="741" w:type="dxa"/>
          </w:tcPr>
          <w:p>
            <w:pPr>
              <w:pStyle w:val="yTable"/>
            </w:pPr>
          </w:p>
        </w:tc>
        <w:tc>
          <w:tcPr>
            <w:tcW w:w="1938" w:type="dxa"/>
          </w:tcPr>
          <w:p>
            <w:pPr>
              <w:pStyle w:val="yTable"/>
            </w:pPr>
          </w:p>
        </w:tc>
        <w:tc>
          <w:tcPr>
            <w:tcW w:w="3231"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41" w:type="dxa"/>
          </w:tcPr>
          <w:p>
            <w:pPr>
              <w:pStyle w:val="yTable"/>
            </w:pPr>
            <w:r>
              <w:t>3</w:t>
            </w:r>
          </w:p>
        </w:tc>
        <w:tc>
          <w:tcPr>
            <w:tcW w:w="1938" w:type="dxa"/>
          </w:tcPr>
          <w:p>
            <w:pPr>
              <w:pStyle w:val="yTable"/>
            </w:pPr>
            <w:r>
              <w:t>Section 21(1)</w:t>
            </w:r>
          </w:p>
        </w:tc>
        <w:tc>
          <w:tcPr>
            <w:tcW w:w="3231" w:type="dxa"/>
          </w:tcPr>
          <w:p>
            <w:pPr>
              <w:pStyle w:val="yTable"/>
            </w:pPr>
            <w:r>
              <w:t>Plate holder failing to ensure that plates used in manner directed</w:t>
            </w:r>
          </w:p>
        </w:tc>
        <w:tc>
          <w:tcPr>
            <w:tcW w:w="1200" w:type="dxa"/>
          </w:tcPr>
          <w:p>
            <w:pPr>
              <w:pStyle w:val="yTable"/>
              <w:jc w:val="center"/>
            </w:pPr>
            <w:r>
              <w:br/>
              <w:t>100</w:t>
            </w:r>
          </w:p>
        </w:tc>
      </w:tr>
      <w:tr>
        <w:trPr>
          <w:cantSplit/>
        </w:trPr>
        <w:tc>
          <w:tcPr>
            <w:tcW w:w="741" w:type="dxa"/>
          </w:tcPr>
          <w:p>
            <w:pPr>
              <w:pStyle w:val="yTable"/>
            </w:pPr>
            <w:r>
              <w:t>4</w:t>
            </w:r>
          </w:p>
        </w:tc>
        <w:tc>
          <w:tcPr>
            <w:tcW w:w="1938" w:type="dxa"/>
          </w:tcPr>
          <w:p>
            <w:pPr>
              <w:pStyle w:val="yTable"/>
              <w:pageBreakBefore/>
            </w:pPr>
            <w:r>
              <w:t>Section 21(2)</w:t>
            </w:r>
          </w:p>
        </w:tc>
        <w:tc>
          <w:tcPr>
            <w:tcW w:w="3231"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41" w:type="dxa"/>
          </w:tcPr>
          <w:p>
            <w:pPr>
              <w:pStyle w:val="yTable"/>
            </w:pPr>
            <w:r>
              <w:t>5</w:t>
            </w:r>
          </w:p>
        </w:tc>
        <w:tc>
          <w:tcPr>
            <w:tcW w:w="1938" w:type="dxa"/>
          </w:tcPr>
          <w:p>
            <w:pPr>
              <w:pStyle w:val="yTable"/>
            </w:pPr>
            <w:r>
              <w:t>Section 25(1)</w:t>
            </w:r>
          </w:p>
        </w:tc>
        <w:tc>
          <w:tcPr>
            <w:tcW w:w="3231" w:type="dxa"/>
          </w:tcPr>
          <w:p>
            <w:pPr>
              <w:pStyle w:val="yTable"/>
            </w:pPr>
            <w:r>
              <w:t>Failure to return taxi plates</w:t>
            </w:r>
          </w:p>
        </w:tc>
        <w:tc>
          <w:tcPr>
            <w:tcW w:w="1200" w:type="dxa"/>
          </w:tcPr>
          <w:p>
            <w:pPr>
              <w:pStyle w:val="yTable"/>
              <w:jc w:val="center"/>
            </w:pPr>
            <w:r>
              <w:t>150</w:t>
            </w:r>
          </w:p>
        </w:tc>
      </w:tr>
      <w:tr>
        <w:trPr>
          <w:cantSplit/>
        </w:trPr>
        <w:tc>
          <w:tcPr>
            <w:tcW w:w="741" w:type="dxa"/>
          </w:tcPr>
          <w:p>
            <w:pPr>
              <w:pStyle w:val="yTable"/>
            </w:pPr>
            <w:r>
              <w:t>6</w:t>
            </w:r>
          </w:p>
        </w:tc>
        <w:tc>
          <w:tcPr>
            <w:tcW w:w="1938" w:type="dxa"/>
          </w:tcPr>
          <w:p>
            <w:pPr>
              <w:pStyle w:val="yTable"/>
            </w:pPr>
            <w:r>
              <w:t>Section 26</w:t>
            </w:r>
          </w:p>
        </w:tc>
        <w:tc>
          <w:tcPr>
            <w:tcW w:w="3231" w:type="dxa"/>
          </w:tcPr>
          <w:p>
            <w:pPr>
              <w:pStyle w:val="yTable"/>
            </w:pPr>
            <w:r>
              <w:t>Provide or advertise an unregistered taxi dispatch service</w:t>
            </w:r>
          </w:p>
        </w:tc>
        <w:tc>
          <w:tcPr>
            <w:tcW w:w="1200" w:type="dxa"/>
          </w:tcPr>
          <w:p>
            <w:pPr>
              <w:pStyle w:val="yTable"/>
              <w:jc w:val="center"/>
            </w:pPr>
            <w:r>
              <w:br/>
              <w:t>250</w:t>
            </w:r>
          </w:p>
        </w:tc>
      </w:tr>
      <w:tr>
        <w:trPr>
          <w:cantSplit/>
        </w:trPr>
        <w:tc>
          <w:tcPr>
            <w:tcW w:w="741" w:type="dxa"/>
          </w:tcPr>
          <w:p>
            <w:pPr>
              <w:pStyle w:val="yTable"/>
            </w:pPr>
            <w:r>
              <w:t>7</w:t>
            </w:r>
          </w:p>
        </w:tc>
        <w:tc>
          <w:tcPr>
            <w:tcW w:w="1938" w:type="dxa"/>
          </w:tcPr>
          <w:p>
            <w:pPr>
              <w:pStyle w:val="yTable"/>
            </w:pPr>
            <w:r>
              <w:t>Section 29(2)</w:t>
            </w:r>
          </w:p>
        </w:tc>
        <w:tc>
          <w:tcPr>
            <w:tcW w:w="3231" w:type="dxa"/>
          </w:tcPr>
          <w:p>
            <w:pPr>
              <w:pStyle w:val="yTable"/>
            </w:pPr>
            <w:r>
              <w:t>Failure to comply with taxi dispatch service conditions</w:t>
            </w:r>
          </w:p>
        </w:tc>
        <w:tc>
          <w:tcPr>
            <w:tcW w:w="1200" w:type="dxa"/>
          </w:tcPr>
          <w:p>
            <w:pPr>
              <w:pStyle w:val="yTable"/>
              <w:jc w:val="center"/>
            </w:pPr>
            <w:r>
              <w:br/>
              <w:t>300</w:t>
            </w:r>
          </w:p>
        </w:tc>
      </w:tr>
      <w:tr>
        <w:trPr>
          <w:cantSplit/>
        </w:trPr>
        <w:tc>
          <w:tcPr>
            <w:tcW w:w="741" w:type="dxa"/>
          </w:tcPr>
          <w:p>
            <w:pPr>
              <w:pStyle w:val="yTable"/>
            </w:pPr>
            <w:r>
              <w:t>8</w:t>
            </w:r>
          </w:p>
        </w:tc>
        <w:tc>
          <w:tcPr>
            <w:tcW w:w="1938" w:type="dxa"/>
          </w:tcPr>
          <w:p>
            <w:pPr>
              <w:pStyle w:val="yTable"/>
              <w:keepNext/>
            </w:pPr>
            <w:r>
              <w:t>Section 32(5)</w:t>
            </w:r>
          </w:p>
        </w:tc>
        <w:tc>
          <w:tcPr>
            <w:tcW w:w="3231"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41" w:type="dxa"/>
          </w:tcPr>
          <w:p>
            <w:pPr>
              <w:pStyle w:val="yTable"/>
            </w:pPr>
            <w:r>
              <w:t>9</w:t>
            </w:r>
          </w:p>
        </w:tc>
        <w:tc>
          <w:tcPr>
            <w:tcW w:w="1938" w:type="dxa"/>
          </w:tcPr>
          <w:p>
            <w:pPr>
              <w:pStyle w:val="yTable"/>
              <w:keepNext/>
            </w:pPr>
            <w:r>
              <w:t>Section 32(6)</w:t>
            </w:r>
          </w:p>
        </w:tc>
        <w:tc>
          <w:tcPr>
            <w:tcW w:w="3231"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41" w:type="dxa"/>
          </w:tcPr>
          <w:p>
            <w:pPr>
              <w:pStyle w:val="yTable"/>
            </w:pPr>
            <w:r>
              <w:t>10</w:t>
            </w:r>
          </w:p>
        </w:tc>
        <w:tc>
          <w:tcPr>
            <w:tcW w:w="1938" w:type="dxa"/>
          </w:tcPr>
          <w:p>
            <w:pPr>
              <w:pStyle w:val="yTable"/>
            </w:pPr>
            <w:r>
              <w:t>Section 36(2) and (5)</w:t>
            </w:r>
          </w:p>
        </w:tc>
        <w:tc>
          <w:tcPr>
            <w:tcW w:w="3231"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41" w:type="dxa"/>
          </w:tcPr>
          <w:p>
            <w:pPr>
              <w:pStyle w:val="yTable"/>
            </w:pPr>
            <w:r>
              <w:t>11</w:t>
            </w:r>
          </w:p>
        </w:tc>
        <w:tc>
          <w:tcPr>
            <w:tcW w:w="1938" w:type="dxa"/>
          </w:tcPr>
          <w:p>
            <w:pPr>
              <w:pStyle w:val="yTable"/>
            </w:pPr>
            <w:r>
              <w:t>Section 36(8)</w:t>
            </w:r>
          </w:p>
        </w:tc>
        <w:tc>
          <w:tcPr>
            <w:tcW w:w="3231"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741" w:type="dxa"/>
          </w:tcPr>
          <w:p>
            <w:pPr>
              <w:pStyle w:val="yTable"/>
            </w:pPr>
            <w:r>
              <w:t>12</w:t>
            </w:r>
          </w:p>
        </w:tc>
        <w:tc>
          <w:tcPr>
            <w:tcW w:w="1938" w:type="dxa"/>
          </w:tcPr>
          <w:p>
            <w:pPr>
              <w:pStyle w:val="yTable"/>
            </w:pPr>
            <w:r>
              <w:t>Regulation 7</w:t>
            </w:r>
          </w:p>
        </w:tc>
        <w:tc>
          <w:tcPr>
            <w:tcW w:w="3231" w:type="dxa"/>
          </w:tcPr>
          <w:p>
            <w:pPr>
              <w:pStyle w:val="yTable"/>
            </w:pPr>
            <w:r>
              <w:t>Failure to ensure display of fare schedule</w:t>
            </w:r>
          </w:p>
        </w:tc>
        <w:tc>
          <w:tcPr>
            <w:tcW w:w="1200" w:type="dxa"/>
          </w:tcPr>
          <w:p>
            <w:pPr>
              <w:pStyle w:val="yTable"/>
              <w:jc w:val="center"/>
            </w:pPr>
            <w:r>
              <w:br/>
              <w:t>100</w:t>
            </w:r>
          </w:p>
        </w:tc>
      </w:tr>
      <w:tr>
        <w:trPr>
          <w:cantSplit/>
        </w:trPr>
        <w:tc>
          <w:tcPr>
            <w:tcW w:w="741" w:type="dxa"/>
          </w:tcPr>
          <w:p>
            <w:pPr>
              <w:pStyle w:val="yTable"/>
            </w:pPr>
            <w:r>
              <w:t>13</w:t>
            </w:r>
          </w:p>
        </w:tc>
        <w:tc>
          <w:tcPr>
            <w:tcW w:w="1938" w:type="dxa"/>
          </w:tcPr>
          <w:p>
            <w:pPr>
              <w:pStyle w:val="yTable"/>
            </w:pPr>
            <w:r>
              <w:t>Regulation 8(1)</w:t>
            </w:r>
          </w:p>
        </w:tc>
        <w:tc>
          <w:tcPr>
            <w:tcW w:w="3231" w:type="dxa"/>
          </w:tcPr>
          <w:p>
            <w:pPr>
              <w:pStyle w:val="yTable"/>
            </w:pPr>
            <w:r>
              <w:t>Charge more than fare shown on meter</w:t>
            </w:r>
          </w:p>
        </w:tc>
        <w:tc>
          <w:tcPr>
            <w:tcW w:w="1200" w:type="dxa"/>
          </w:tcPr>
          <w:p>
            <w:pPr>
              <w:pStyle w:val="yTable"/>
              <w:jc w:val="center"/>
            </w:pPr>
            <w:r>
              <w:br/>
              <w:t>200</w:t>
            </w:r>
          </w:p>
        </w:tc>
      </w:tr>
      <w:tr>
        <w:trPr>
          <w:cantSplit/>
        </w:trPr>
        <w:tc>
          <w:tcPr>
            <w:tcW w:w="741" w:type="dxa"/>
          </w:tcPr>
          <w:p>
            <w:pPr>
              <w:pStyle w:val="yTable"/>
            </w:pPr>
            <w:r>
              <w:t>14</w:t>
            </w:r>
          </w:p>
        </w:tc>
        <w:tc>
          <w:tcPr>
            <w:tcW w:w="1938" w:type="dxa"/>
          </w:tcPr>
          <w:p>
            <w:pPr>
              <w:pStyle w:val="yTable"/>
            </w:pPr>
            <w:r>
              <w:t>Regulation 8(1a)</w:t>
            </w:r>
          </w:p>
        </w:tc>
        <w:tc>
          <w:tcPr>
            <w:tcW w:w="3231" w:type="dxa"/>
          </w:tcPr>
          <w:p>
            <w:pPr>
              <w:pStyle w:val="yTable"/>
            </w:pPr>
            <w:r>
              <w:t>Selecting a tariff that is not the appropriate tariff as set out in the fare schedule</w:t>
            </w:r>
          </w:p>
        </w:tc>
        <w:tc>
          <w:tcPr>
            <w:tcW w:w="1200" w:type="dxa"/>
          </w:tcPr>
          <w:p>
            <w:pPr>
              <w:pStyle w:val="yTable"/>
              <w:jc w:val="center"/>
            </w:pPr>
            <w:r>
              <w:br/>
            </w:r>
            <w:r>
              <w:br/>
              <w:t>200</w:t>
            </w:r>
          </w:p>
        </w:tc>
      </w:tr>
      <w:tr>
        <w:trPr>
          <w:cantSplit/>
        </w:trPr>
        <w:tc>
          <w:tcPr>
            <w:tcW w:w="741" w:type="dxa"/>
          </w:tcPr>
          <w:p>
            <w:pPr>
              <w:pStyle w:val="yTable"/>
            </w:pPr>
            <w:r>
              <w:t>15</w:t>
            </w:r>
          </w:p>
        </w:tc>
        <w:tc>
          <w:tcPr>
            <w:tcW w:w="1938" w:type="dxa"/>
          </w:tcPr>
          <w:p>
            <w:pPr>
              <w:pStyle w:val="yTable"/>
            </w:pPr>
            <w:r>
              <w:t>Regulation 8(2)</w:t>
            </w:r>
          </w:p>
        </w:tc>
        <w:tc>
          <w:tcPr>
            <w:tcW w:w="3231" w:type="dxa"/>
          </w:tcPr>
          <w:p>
            <w:pPr>
              <w:pStyle w:val="yTable"/>
            </w:pPr>
            <w:r>
              <w:t>Failure to accept fare voucher</w:t>
            </w:r>
          </w:p>
        </w:tc>
        <w:tc>
          <w:tcPr>
            <w:tcW w:w="1200" w:type="dxa"/>
          </w:tcPr>
          <w:p>
            <w:pPr>
              <w:pStyle w:val="yTable"/>
              <w:jc w:val="center"/>
            </w:pPr>
            <w:r>
              <w:t>200</w:t>
            </w:r>
          </w:p>
        </w:tc>
      </w:tr>
      <w:tr>
        <w:trPr>
          <w:cantSplit/>
        </w:trPr>
        <w:tc>
          <w:tcPr>
            <w:tcW w:w="741" w:type="dxa"/>
          </w:tcPr>
          <w:p>
            <w:pPr>
              <w:pStyle w:val="yTable"/>
            </w:pPr>
            <w:r>
              <w:t>16</w:t>
            </w:r>
          </w:p>
        </w:tc>
        <w:tc>
          <w:tcPr>
            <w:tcW w:w="1938" w:type="dxa"/>
          </w:tcPr>
          <w:p>
            <w:pPr>
              <w:pStyle w:val="yTable"/>
            </w:pPr>
            <w:r>
              <w:t>Regulation 8(2a)</w:t>
            </w:r>
          </w:p>
        </w:tc>
        <w:tc>
          <w:tcPr>
            <w:tcW w:w="3231" w:type="dxa"/>
          </w:tcPr>
          <w:p>
            <w:pPr>
              <w:pStyle w:val="yTable"/>
            </w:pPr>
            <w:r>
              <w:t>Driver entering false or misleading information on fare voucher</w:t>
            </w:r>
          </w:p>
        </w:tc>
        <w:tc>
          <w:tcPr>
            <w:tcW w:w="1200" w:type="dxa"/>
          </w:tcPr>
          <w:p>
            <w:pPr>
              <w:pStyle w:val="yTable"/>
              <w:jc w:val="center"/>
            </w:pPr>
            <w:r>
              <w:br/>
            </w:r>
            <w:r>
              <w:br/>
              <w:t>200</w:t>
            </w:r>
          </w:p>
        </w:tc>
      </w:tr>
      <w:tr>
        <w:trPr>
          <w:cantSplit/>
        </w:trPr>
        <w:tc>
          <w:tcPr>
            <w:tcW w:w="741" w:type="dxa"/>
          </w:tcPr>
          <w:p>
            <w:pPr>
              <w:pStyle w:val="yTable"/>
            </w:pPr>
            <w:r>
              <w:t>17</w:t>
            </w:r>
          </w:p>
        </w:tc>
        <w:tc>
          <w:tcPr>
            <w:tcW w:w="1938" w:type="dxa"/>
          </w:tcPr>
          <w:p>
            <w:pPr>
              <w:pStyle w:val="yTable"/>
            </w:pPr>
            <w:r>
              <w:t>Regulation 8(3)</w:t>
            </w:r>
          </w:p>
        </w:tc>
        <w:tc>
          <w:tcPr>
            <w:tcW w:w="3231" w:type="dxa"/>
          </w:tcPr>
          <w:p>
            <w:pPr>
              <w:pStyle w:val="yTable"/>
            </w:pPr>
            <w:r>
              <w:t>Directing driver to contravene fare regulations</w:t>
            </w:r>
          </w:p>
        </w:tc>
        <w:tc>
          <w:tcPr>
            <w:tcW w:w="1200" w:type="dxa"/>
          </w:tcPr>
          <w:p>
            <w:pPr>
              <w:pStyle w:val="yTable"/>
              <w:jc w:val="center"/>
            </w:pPr>
            <w:r>
              <w:br/>
              <w:t>200</w:t>
            </w:r>
          </w:p>
        </w:tc>
      </w:tr>
      <w:tr>
        <w:trPr>
          <w:cantSplit/>
        </w:trPr>
        <w:tc>
          <w:tcPr>
            <w:tcW w:w="741" w:type="dxa"/>
          </w:tcPr>
          <w:p>
            <w:pPr>
              <w:pStyle w:val="yTable"/>
            </w:pPr>
            <w:r>
              <w:t>18A</w:t>
            </w:r>
          </w:p>
        </w:tc>
        <w:tc>
          <w:tcPr>
            <w:tcW w:w="1938" w:type="dxa"/>
          </w:tcPr>
          <w:p>
            <w:pPr>
              <w:pStyle w:val="yTable"/>
            </w:pPr>
            <w:r>
              <w:t>Regulation 8B(2)</w:t>
            </w:r>
          </w:p>
        </w:tc>
        <w:tc>
          <w:tcPr>
            <w:tcW w:w="3231" w:type="dxa"/>
          </w:tcPr>
          <w:p>
            <w:pPr>
              <w:pStyle w:val="yTable"/>
            </w:pPr>
            <w:r>
              <w:t>Imposing excessive surcharge</w:t>
            </w:r>
          </w:p>
        </w:tc>
        <w:tc>
          <w:tcPr>
            <w:tcW w:w="1200" w:type="dxa"/>
          </w:tcPr>
          <w:p>
            <w:pPr>
              <w:pStyle w:val="yTable"/>
              <w:jc w:val="center"/>
            </w:pPr>
            <w:r>
              <w:t>200</w:t>
            </w:r>
          </w:p>
        </w:tc>
      </w:tr>
      <w:tr>
        <w:trPr>
          <w:cantSplit/>
        </w:trPr>
        <w:tc>
          <w:tcPr>
            <w:tcW w:w="741" w:type="dxa"/>
          </w:tcPr>
          <w:p>
            <w:pPr>
              <w:pStyle w:val="yTable"/>
            </w:pPr>
            <w:r>
              <w:t>18B</w:t>
            </w:r>
          </w:p>
        </w:tc>
        <w:tc>
          <w:tcPr>
            <w:tcW w:w="1938" w:type="dxa"/>
          </w:tcPr>
          <w:p>
            <w:pPr>
              <w:pStyle w:val="yTable"/>
            </w:pPr>
            <w:r>
              <w:t>Regulation 8B(3)</w:t>
            </w:r>
          </w:p>
        </w:tc>
        <w:tc>
          <w:tcPr>
            <w:tcW w:w="3231" w:type="dxa"/>
          </w:tcPr>
          <w:p>
            <w:pPr>
              <w:pStyle w:val="yTable"/>
            </w:pPr>
            <w:r>
              <w:t>Not using correct payment terminal</w:t>
            </w:r>
          </w:p>
        </w:tc>
        <w:tc>
          <w:tcPr>
            <w:tcW w:w="1200" w:type="dxa"/>
          </w:tcPr>
          <w:p>
            <w:pPr>
              <w:pStyle w:val="yTable"/>
              <w:jc w:val="center"/>
            </w:pPr>
            <w:r>
              <w:t>200</w:t>
            </w:r>
          </w:p>
        </w:tc>
      </w:tr>
      <w:tr>
        <w:trPr>
          <w:cantSplit/>
        </w:trPr>
        <w:tc>
          <w:tcPr>
            <w:tcW w:w="741" w:type="dxa"/>
          </w:tcPr>
          <w:p>
            <w:pPr>
              <w:pStyle w:val="yTable"/>
            </w:pPr>
            <w:r>
              <w:t>18</w:t>
            </w:r>
          </w:p>
        </w:tc>
        <w:tc>
          <w:tcPr>
            <w:tcW w:w="1938" w:type="dxa"/>
          </w:tcPr>
          <w:p>
            <w:pPr>
              <w:pStyle w:val="yTable"/>
            </w:pPr>
            <w:r>
              <w:t>Regulation 9(2) and (3)</w:t>
            </w:r>
          </w:p>
        </w:tc>
        <w:tc>
          <w:tcPr>
            <w:tcW w:w="3231" w:type="dxa"/>
          </w:tcPr>
          <w:p>
            <w:pPr>
              <w:pStyle w:val="yTable"/>
            </w:pPr>
            <w:r>
              <w:t>Offences relating to setting and stopping meter</w:t>
            </w:r>
          </w:p>
        </w:tc>
        <w:tc>
          <w:tcPr>
            <w:tcW w:w="1200" w:type="dxa"/>
          </w:tcPr>
          <w:p>
            <w:pPr>
              <w:pStyle w:val="yTable"/>
              <w:jc w:val="center"/>
            </w:pPr>
            <w:r>
              <w:br/>
              <w:t>200</w:t>
            </w:r>
          </w:p>
        </w:tc>
      </w:tr>
      <w:tr>
        <w:trPr>
          <w:cantSplit/>
        </w:trPr>
        <w:tc>
          <w:tcPr>
            <w:tcW w:w="741" w:type="dxa"/>
          </w:tcPr>
          <w:p>
            <w:pPr>
              <w:pStyle w:val="yTable"/>
            </w:pPr>
            <w:r>
              <w:t>19</w:t>
            </w:r>
          </w:p>
        </w:tc>
        <w:tc>
          <w:tcPr>
            <w:tcW w:w="1938" w:type="dxa"/>
          </w:tcPr>
          <w:p>
            <w:pPr>
              <w:pStyle w:val="yTable"/>
            </w:pPr>
            <w:r>
              <w:t>Regulation 9A</w:t>
            </w:r>
          </w:p>
        </w:tc>
        <w:tc>
          <w:tcPr>
            <w:tcW w:w="3231" w:type="dxa"/>
          </w:tcPr>
          <w:p>
            <w:pPr>
              <w:pStyle w:val="yTable"/>
            </w:pPr>
            <w:r>
              <w:t>Hirer failing to pay fare at termination of hiring or as agreed</w:t>
            </w:r>
          </w:p>
        </w:tc>
        <w:tc>
          <w:tcPr>
            <w:tcW w:w="1200" w:type="dxa"/>
          </w:tcPr>
          <w:p>
            <w:pPr>
              <w:pStyle w:val="yTable"/>
              <w:jc w:val="center"/>
            </w:pPr>
            <w:r>
              <w:br/>
              <w:t>250</w:t>
            </w:r>
          </w:p>
        </w:tc>
      </w:tr>
      <w:tr>
        <w:trPr>
          <w:cantSplit/>
        </w:trPr>
        <w:tc>
          <w:tcPr>
            <w:tcW w:w="741" w:type="dxa"/>
          </w:tcPr>
          <w:p>
            <w:pPr>
              <w:pStyle w:val="yTable"/>
            </w:pPr>
            <w:r>
              <w:t>20</w:t>
            </w:r>
          </w:p>
        </w:tc>
        <w:tc>
          <w:tcPr>
            <w:tcW w:w="1938" w:type="dxa"/>
          </w:tcPr>
          <w:p>
            <w:pPr>
              <w:pStyle w:val="yTable"/>
            </w:pPr>
            <w:r>
              <w:t>Regulation 11</w:t>
            </w:r>
          </w:p>
        </w:tc>
        <w:tc>
          <w:tcPr>
            <w:tcW w:w="3231" w:type="dxa"/>
          </w:tcPr>
          <w:p>
            <w:pPr>
              <w:pStyle w:val="yTable"/>
            </w:pPr>
            <w:r>
              <w:t>Driver failing to use most economical route</w:t>
            </w:r>
          </w:p>
        </w:tc>
        <w:tc>
          <w:tcPr>
            <w:tcW w:w="1200" w:type="dxa"/>
          </w:tcPr>
          <w:p>
            <w:pPr>
              <w:pStyle w:val="yTable"/>
              <w:jc w:val="center"/>
            </w:pPr>
            <w:r>
              <w:br/>
              <w:t>100</w:t>
            </w:r>
          </w:p>
        </w:tc>
      </w:tr>
      <w:tr>
        <w:trPr>
          <w:cantSplit/>
        </w:trPr>
        <w:tc>
          <w:tcPr>
            <w:tcW w:w="741" w:type="dxa"/>
          </w:tcPr>
          <w:p>
            <w:pPr>
              <w:pStyle w:val="Indenta"/>
              <w:ind w:left="0" w:firstLine="0"/>
              <w:rPr>
                <w:sz w:val="22"/>
              </w:rPr>
            </w:pPr>
            <w:r>
              <w:rPr>
                <w:sz w:val="22"/>
              </w:rPr>
              <w:t>21</w:t>
            </w:r>
          </w:p>
        </w:tc>
        <w:tc>
          <w:tcPr>
            <w:tcW w:w="1938" w:type="dxa"/>
          </w:tcPr>
          <w:p>
            <w:pPr>
              <w:pStyle w:val="Indenta"/>
              <w:ind w:left="0" w:firstLine="0"/>
              <w:rPr>
                <w:sz w:val="22"/>
              </w:rPr>
            </w:pPr>
            <w:r>
              <w:rPr>
                <w:sz w:val="22"/>
              </w:rPr>
              <w:t>Regulation 13(1)</w:t>
            </w:r>
          </w:p>
        </w:tc>
        <w:tc>
          <w:tcPr>
            <w:tcW w:w="3231"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41" w:type="dxa"/>
          </w:tcPr>
          <w:p>
            <w:pPr>
              <w:pStyle w:val="Indenta"/>
              <w:ind w:left="0" w:firstLine="0"/>
              <w:rPr>
                <w:sz w:val="22"/>
              </w:rPr>
            </w:pPr>
            <w:r>
              <w:rPr>
                <w:sz w:val="22"/>
              </w:rPr>
              <w:t>22</w:t>
            </w:r>
          </w:p>
        </w:tc>
        <w:tc>
          <w:tcPr>
            <w:tcW w:w="1938" w:type="dxa"/>
          </w:tcPr>
          <w:p>
            <w:pPr>
              <w:pStyle w:val="Indenta"/>
              <w:ind w:left="0" w:firstLine="0"/>
              <w:rPr>
                <w:sz w:val="22"/>
              </w:rPr>
            </w:pPr>
            <w:r>
              <w:rPr>
                <w:sz w:val="22"/>
              </w:rPr>
              <w:t>Regulation 13(3)</w:t>
            </w:r>
          </w:p>
        </w:tc>
        <w:tc>
          <w:tcPr>
            <w:tcW w:w="3231"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23</w:t>
            </w:r>
          </w:p>
        </w:tc>
        <w:tc>
          <w:tcPr>
            <w:tcW w:w="1938" w:type="dxa"/>
          </w:tcPr>
          <w:p>
            <w:pPr>
              <w:pStyle w:val="Indenta"/>
              <w:ind w:left="0" w:firstLine="0"/>
              <w:rPr>
                <w:sz w:val="22"/>
              </w:rPr>
            </w:pPr>
            <w:r>
              <w:rPr>
                <w:sz w:val="22"/>
              </w:rPr>
              <w:t>Regulation 13A(1)</w:t>
            </w:r>
          </w:p>
        </w:tc>
        <w:tc>
          <w:tcPr>
            <w:tcW w:w="3231"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41" w:type="dxa"/>
          </w:tcPr>
          <w:p>
            <w:pPr>
              <w:pStyle w:val="Indenta"/>
              <w:ind w:left="0" w:firstLine="0"/>
              <w:rPr>
                <w:sz w:val="22"/>
              </w:rPr>
            </w:pPr>
            <w:r>
              <w:rPr>
                <w:sz w:val="22"/>
              </w:rPr>
              <w:t>24</w:t>
            </w:r>
          </w:p>
        </w:tc>
        <w:tc>
          <w:tcPr>
            <w:tcW w:w="1938" w:type="dxa"/>
          </w:tcPr>
          <w:p>
            <w:pPr>
              <w:pStyle w:val="Indenta"/>
              <w:ind w:left="0" w:firstLine="0"/>
              <w:rPr>
                <w:sz w:val="22"/>
              </w:rPr>
            </w:pPr>
            <w:r>
              <w:rPr>
                <w:sz w:val="22"/>
              </w:rPr>
              <w:t>Regulation 13A(3)</w:t>
            </w:r>
            <w:r>
              <w:rPr>
                <w:sz w:val="22"/>
              </w:rPr>
              <w:br/>
            </w:r>
          </w:p>
        </w:tc>
        <w:tc>
          <w:tcPr>
            <w:tcW w:w="3231"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25</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26A</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100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26B</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26C</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26D</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26E</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26F</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26G</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26H</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26I</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26</w:t>
            </w:r>
          </w:p>
        </w:tc>
        <w:tc>
          <w:tcPr>
            <w:tcW w:w="1938" w:type="dxa"/>
          </w:tcPr>
          <w:p>
            <w:pPr>
              <w:pStyle w:val="Indenta"/>
              <w:ind w:left="0" w:firstLine="0"/>
              <w:rPr>
                <w:sz w:val="22"/>
              </w:rPr>
            </w:pPr>
            <w:r>
              <w:rPr>
                <w:sz w:val="22"/>
              </w:rPr>
              <w:t>Regulation 14</w:t>
            </w:r>
          </w:p>
        </w:tc>
        <w:tc>
          <w:tcPr>
            <w:tcW w:w="3231"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41" w:type="dxa"/>
          </w:tcPr>
          <w:p>
            <w:pPr>
              <w:pStyle w:val="Indenta"/>
              <w:ind w:left="0" w:firstLine="0"/>
              <w:rPr>
                <w:sz w:val="22"/>
              </w:rPr>
            </w:pPr>
            <w:r>
              <w:rPr>
                <w:sz w:val="22"/>
              </w:rPr>
              <w:t>27</w:t>
            </w:r>
          </w:p>
        </w:tc>
        <w:tc>
          <w:tcPr>
            <w:tcW w:w="1938" w:type="dxa"/>
          </w:tcPr>
          <w:p>
            <w:pPr>
              <w:pStyle w:val="Indenta"/>
              <w:ind w:left="0" w:firstLine="0"/>
              <w:rPr>
                <w:sz w:val="22"/>
              </w:rPr>
            </w:pPr>
            <w:r>
              <w:rPr>
                <w:sz w:val="22"/>
              </w:rPr>
              <w:t>Regulation 15</w:t>
            </w:r>
          </w:p>
        </w:tc>
        <w:tc>
          <w:tcPr>
            <w:tcW w:w="3231"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28</w:t>
            </w:r>
          </w:p>
        </w:tc>
        <w:tc>
          <w:tcPr>
            <w:tcW w:w="1938" w:type="dxa"/>
          </w:tcPr>
          <w:p>
            <w:pPr>
              <w:pStyle w:val="Indenta"/>
              <w:ind w:left="0" w:firstLine="0"/>
              <w:rPr>
                <w:sz w:val="22"/>
              </w:rPr>
            </w:pPr>
            <w:r>
              <w:rPr>
                <w:sz w:val="22"/>
              </w:rPr>
              <w:t>Regulation 16(1)</w:t>
            </w:r>
          </w:p>
        </w:tc>
        <w:tc>
          <w:tcPr>
            <w:tcW w:w="3231"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29</w:t>
            </w:r>
          </w:p>
        </w:tc>
        <w:tc>
          <w:tcPr>
            <w:tcW w:w="1938" w:type="dxa"/>
          </w:tcPr>
          <w:p>
            <w:pPr>
              <w:pStyle w:val="Indenta"/>
              <w:ind w:left="0" w:firstLine="0"/>
              <w:rPr>
                <w:sz w:val="22"/>
              </w:rPr>
            </w:pPr>
            <w:r>
              <w:rPr>
                <w:sz w:val="22"/>
              </w:rPr>
              <w:t>Regulation 17</w:t>
            </w:r>
          </w:p>
        </w:tc>
        <w:tc>
          <w:tcPr>
            <w:tcW w:w="3231"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30</w:t>
            </w:r>
          </w:p>
        </w:tc>
        <w:tc>
          <w:tcPr>
            <w:tcW w:w="1938" w:type="dxa"/>
          </w:tcPr>
          <w:p>
            <w:pPr>
              <w:pStyle w:val="Indenta"/>
              <w:ind w:left="0" w:firstLine="0"/>
              <w:rPr>
                <w:sz w:val="22"/>
              </w:rPr>
            </w:pPr>
            <w:r>
              <w:rPr>
                <w:sz w:val="22"/>
              </w:rPr>
              <w:t>Regulation 17B</w:t>
            </w:r>
          </w:p>
        </w:tc>
        <w:tc>
          <w:tcPr>
            <w:tcW w:w="3231" w:type="dxa"/>
          </w:tcPr>
          <w:p>
            <w:pPr>
              <w:pStyle w:val="Indenta"/>
              <w:ind w:left="0" w:firstLine="0"/>
              <w:rPr>
                <w:sz w:val="22"/>
              </w:rPr>
            </w:pPr>
            <w:r>
              <w:rPr>
                <w:sz w:val="22"/>
              </w:rPr>
              <w:t>Driver failing to wear uniform, uniform not clean etc.</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31</w:t>
            </w:r>
          </w:p>
        </w:tc>
        <w:tc>
          <w:tcPr>
            <w:tcW w:w="1938" w:type="dxa"/>
          </w:tcPr>
          <w:p>
            <w:pPr>
              <w:pStyle w:val="Indenta"/>
              <w:ind w:left="0" w:firstLine="0"/>
              <w:rPr>
                <w:sz w:val="22"/>
              </w:rPr>
            </w:pPr>
            <w:r>
              <w:rPr>
                <w:sz w:val="22"/>
              </w:rPr>
              <w:t>Regulation 18(2)</w:t>
            </w:r>
          </w:p>
        </w:tc>
        <w:tc>
          <w:tcPr>
            <w:tcW w:w="3231" w:type="dxa"/>
          </w:tcPr>
          <w:p>
            <w:pPr>
              <w:pStyle w:val="Indenta"/>
              <w:ind w:left="0" w:firstLine="0"/>
              <w:rPr>
                <w:sz w:val="22"/>
              </w:rPr>
            </w:pPr>
            <w:r>
              <w:rPr>
                <w:sz w:val="22"/>
              </w:rPr>
              <w:t>Operating taxi with an unsealed meter</w:t>
            </w:r>
          </w:p>
        </w:tc>
        <w:tc>
          <w:tcPr>
            <w:tcW w:w="1200" w:type="dxa"/>
          </w:tcPr>
          <w:p>
            <w:pPr>
              <w:pStyle w:val="Indenta"/>
              <w:ind w:left="0" w:firstLine="0"/>
              <w:jc w:val="center"/>
              <w:rPr>
                <w:sz w:val="22"/>
              </w:rPr>
            </w:pPr>
            <w:r>
              <w:rPr>
                <w:sz w:val="22"/>
              </w:rPr>
              <w:br/>
              <w:t>250</w:t>
            </w:r>
          </w:p>
        </w:tc>
      </w:tr>
      <w:tr>
        <w:trPr>
          <w:cantSplit/>
        </w:trPr>
        <w:tc>
          <w:tcPr>
            <w:tcW w:w="741" w:type="dxa"/>
          </w:tcPr>
          <w:p>
            <w:pPr>
              <w:pStyle w:val="Indenta"/>
              <w:ind w:left="0" w:firstLine="0"/>
              <w:rPr>
                <w:sz w:val="22"/>
              </w:rPr>
            </w:pPr>
            <w:r>
              <w:rPr>
                <w:sz w:val="22"/>
              </w:rPr>
              <w:t>32</w:t>
            </w:r>
          </w:p>
        </w:tc>
        <w:tc>
          <w:tcPr>
            <w:tcW w:w="1938" w:type="dxa"/>
          </w:tcPr>
          <w:p>
            <w:pPr>
              <w:pStyle w:val="Indenta"/>
              <w:ind w:left="0" w:firstLine="0"/>
              <w:rPr>
                <w:sz w:val="22"/>
              </w:rPr>
            </w:pPr>
            <w:r>
              <w:rPr>
                <w:sz w:val="22"/>
              </w:rPr>
              <w:t>Regulation 18(4) and (5)</w:t>
            </w:r>
          </w:p>
        </w:tc>
        <w:tc>
          <w:tcPr>
            <w:tcW w:w="3231"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t>250</w:t>
            </w:r>
          </w:p>
        </w:tc>
      </w:tr>
    </w:tbl>
    <w:p>
      <w:pPr>
        <w:pStyle w:val="yFootnotesection"/>
      </w:pPr>
      <w:r>
        <w:tab/>
        <w:t>[Schedule 1 inserted in Gazette 23 Jan 2004 p. 323</w:t>
      </w:r>
      <w:r>
        <w:noBreakHyphen/>
        <w:t>5; amended in Gazette 24 Feb 2006 p. 883; 24 Apr 2009 p. 1387; 7 Jun 2011 p. 2061</w:t>
      </w:r>
      <w:r>
        <w:noBreakHyphen/>
        <w:t>2; 20 Feb 2015 p. 694.]</w:t>
      </w:r>
    </w:p>
    <w:p>
      <w:pPr>
        <w:pStyle w:val="yScheduleHeading"/>
      </w:pPr>
      <w:bookmarkStart w:id="83" w:name="_Toc412208846"/>
      <w:bookmarkStart w:id="84" w:name="_Toc422122535"/>
      <w:r>
        <w:rPr>
          <w:rStyle w:val="CharSchNo"/>
        </w:rPr>
        <w:t>Schedule 2</w:t>
      </w:r>
      <w:bookmarkEnd w:id="83"/>
      <w:bookmarkEnd w:id="84"/>
      <w:r>
        <w:rPr>
          <w:rStyle w:val="CharSchText"/>
        </w:rPr>
        <w:t xml:space="preserve"> </w:t>
      </w:r>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FORM 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smartTag w:uri="urn:schemas-microsoft-com:office:smarttags" w:element="State">
        <w:smartTag w:uri="urn:schemas-microsoft-com:office:smarttags" w:element="place">
          <w:r>
            <w:t>Western Australia</w:t>
          </w:r>
        </w:smartTag>
      </w:smartTag>
    </w:p>
    <w:p>
      <w:pPr>
        <w:pStyle w:val="yTable"/>
        <w:jc w:val="center"/>
        <w:rPr>
          <w:szCs w:val="22"/>
        </w:rPr>
      </w:pPr>
      <w:r>
        <w:t>Department for Planning and Infrastructure </w:t>
      </w:r>
      <w:r>
        <w:rPr>
          <w:szCs w:val="22"/>
          <w:vertAlign w:val="superscript"/>
        </w:rPr>
        <w:t>5</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vertAlign w:val="superscript"/>
        </w:rPr>
        <w:t> 6</w:t>
      </w:r>
      <w:r>
        <w:rPr>
          <w:sz w:val="18"/>
        </w:rPr>
        <w:br/>
      </w:r>
      <w:r>
        <w:rPr>
          <w:sz w:val="18"/>
        </w:rPr>
        <w:tab/>
      </w: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F317</w:t>
        </w:r>
      </w:smartTag>
      <w:r>
        <w:rPr>
          <w:sz w:val="18"/>
        </w:rPr>
        <w:br/>
      </w:r>
      <w:r>
        <w:rPr>
          <w:sz w:val="18"/>
        </w:rPr>
        <w:tab/>
      </w:r>
      <w:r>
        <w:rPr>
          <w:sz w:val="18"/>
        </w:rPr>
        <w:tab/>
      </w:r>
      <w:smartTag w:uri="urn:schemas-microsoft-com:office:smarttags" w:element="place">
        <w:smartTag w:uri="urn:schemas-microsoft-com:office:smarttags" w:element="City">
          <w:r>
            <w:rPr>
              <w:sz w:val="18"/>
            </w:rPr>
            <w:t>PERTH</w:t>
          </w:r>
        </w:smartTag>
      </w:smartTag>
      <w:r>
        <w:rPr>
          <w:sz w:val="18"/>
        </w:rPr>
        <w:t xml:space="preserve">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7</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8</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w:t>
      </w:r>
      <w:r>
        <w:rPr>
          <w:sz w:val="18"/>
          <w:vertAlign w:val="superscript"/>
        </w:rPr>
        <w:t>5</w:t>
      </w:r>
      <w:r>
        <w:rPr>
          <w:b/>
          <w:sz w:val="18"/>
        </w:rPr>
        <w:t xml:space="preserv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vertAlign w:val="superscript"/>
        </w:rPr>
        <w:t> 6</w:t>
      </w:r>
      <w:r>
        <w:rPr>
          <w:sz w:val="18"/>
        </w:rPr>
        <w:br/>
        <w:t>Box F317 G.P.O.</w:t>
      </w:r>
      <w:r>
        <w:rPr>
          <w:sz w:val="18"/>
        </w:rPr>
        <w:br/>
      </w:r>
      <w:smartTag w:uri="urn:schemas-microsoft-com:office:smarttags" w:element="place">
        <w:smartTag w:uri="urn:schemas-microsoft-com:office:smarttags" w:element="City">
          <w:r>
            <w:rPr>
              <w:sz w:val="18"/>
            </w:rPr>
            <w:t>PERTH</w:t>
          </w:r>
        </w:smartTag>
      </w:smartTag>
      <w:r>
        <w:rPr>
          <w:sz w:val="18"/>
        </w:rPr>
        <w:t xml:space="preserve">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FORM 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smartTag w:uri="urn:schemas-microsoft-com:office:smarttags" w:element="State">
        <w:smartTag w:uri="urn:schemas-microsoft-com:office:smarttags" w:element="place">
          <w:r>
            <w:t>Western Australia</w:t>
          </w:r>
        </w:smartTag>
      </w:smartTag>
    </w:p>
    <w:p>
      <w:pPr>
        <w:pStyle w:val="yTable"/>
        <w:keepNext/>
        <w:jc w:val="center"/>
        <w:rPr>
          <w:szCs w:val="22"/>
        </w:rPr>
      </w:pPr>
      <w:r>
        <w:t>Department for Planning and Infrastructure </w:t>
      </w:r>
      <w:r>
        <w:rPr>
          <w:szCs w:val="22"/>
          <w:vertAlign w:val="superscript"/>
        </w:rPr>
        <w:t>5</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FORM 3</w:t>
      </w:r>
    </w:p>
    <w:p>
      <w:pPr>
        <w:pStyle w:val="yTable"/>
        <w:keepNext/>
        <w:spacing w:before="120"/>
        <w:jc w:val="center"/>
        <w:rPr>
          <w:vertAlign w:val="superscript"/>
        </w:rPr>
      </w:pPr>
      <w:r>
        <w:rPr>
          <w:i/>
        </w:rPr>
        <w:t>TAXI ACT 1994</w:t>
      </w:r>
      <w:r>
        <w:t> — section 34(1)(b) </w:t>
      </w:r>
      <w:r>
        <w:rPr>
          <w:vertAlign w:val="superscript"/>
        </w:rPr>
        <w:t>4</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THIS IS TO ADVISE you that under section 34 </w:t>
      </w:r>
      <w:r>
        <w:rPr>
          <w:sz w:val="18"/>
          <w:vertAlign w:val="superscript"/>
        </w:rPr>
        <w:t>4</w:t>
      </w:r>
      <w:r>
        <w:rPr>
          <w:sz w:val="18"/>
        </w:rPr>
        <w:t xml:space="preserve">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9</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8</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to determine the complaint on such particulars in the affidavits in support of the matters alleged in the complaint as would, under the laws of evidence apart from section 34 </w:t>
      </w:r>
      <w:r>
        <w:rPr>
          <w:sz w:val="18"/>
          <w:vertAlign w:val="superscript"/>
        </w:rPr>
        <w:t>4</w:t>
      </w:r>
      <w:r>
        <w:rPr>
          <w:sz w:val="18"/>
        </w:rPr>
        <w:t xml:space="preserve">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15pt" o:ole="" fillcolor="window">
            <v:imagedata r:id="rId25" o:title=""/>
          </v:shape>
          <o:OLEObject Type="Embed" ProgID="PBrush" ShapeID="_x0000_i1025" DrawAspect="Content" ObjectID="_1495864388" r:id="rId26"/>
        </w:object>
      </w:r>
    </w:p>
    <w:p>
      <w:pPr>
        <w:pStyle w:val="yTable"/>
        <w:spacing w:before="0"/>
        <w:ind w:firstLine="425"/>
        <w:jc w:val="center"/>
        <w:rPr>
          <w:sz w:val="18"/>
        </w:rPr>
      </w:pPr>
    </w:p>
    <w:p>
      <w:pPr>
        <w:pStyle w:val="yTable"/>
        <w:widowControl w:val="0"/>
        <w:jc w:val="center"/>
        <w:rPr>
          <w:b/>
        </w:rPr>
      </w:pPr>
      <w:r>
        <w:rPr>
          <w:b/>
        </w:rPr>
        <w:t>FORM 4</w:t>
      </w:r>
    </w:p>
    <w:p>
      <w:pPr>
        <w:pStyle w:val="yTable"/>
        <w:widowControl w:val="0"/>
        <w:spacing w:before="120"/>
        <w:jc w:val="center"/>
      </w:pPr>
      <w:r>
        <w:rPr>
          <w:i/>
        </w:rPr>
        <w:t>TAXI ACT 1994</w:t>
      </w:r>
      <w:r>
        <w:t> — section 34(1)(b) </w:t>
      </w:r>
      <w:r>
        <w:rPr>
          <w:vertAlign w:val="superscript"/>
        </w:rPr>
        <w:t>4</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w:t>
      </w:r>
      <w:r>
        <w:rPr>
          <w:vertAlign w:val="superscript"/>
        </w:rPr>
        <w:t>4</w:t>
      </w:r>
      <w:r>
        <w:t xml:space="preserve"> of the Act, elect to appear or not to appear at the court of petty sessions</w:t>
      </w:r>
      <w:r>
        <w:rPr>
          <w:vertAlign w:val="superscript"/>
        </w:rPr>
        <w:t> 8</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object w:dxaOrig="1830" w:dyaOrig="285">
          <v:shape id="_x0000_i1026" type="#_x0000_t75" style="width:92pt;height:15pt" o:ole="" fillcolor="window">
            <v:imagedata r:id="rId25" o:title=""/>
          </v:shape>
          <o:OLEObject Type="Embed" ProgID="PBrush" ShapeID="_x0000_i1026" DrawAspect="Content" ObjectID="_1495864389" r:id="rId27"/>
        </w:object>
      </w:r>
    </w:p>
    <w:p>
      <w:pPr>
        <w:pStyle w:val="yTable"/>
        <w:keepNext/>
        <w:pageBreakBefore/>
        <w:widowControl w:val="0"/>
        <w:jc w:val="center"/>
        <w:rPr>
          <w:b/>
        </w:rPr>
      </w:pPr>
      <w:r>
        <w:rPr>
          <w:b/>
        </w:rPr>
        <w:t>FORM 5</w:t>
      </w:r>
    </w:p>
    <w:p>
      <w:pPr>
        <w:pStyle w:val="yTable"/>
        <w:keepNext/>
        <w:widowControl w:val="0"/>
        <w:spacing w:before="120"/>
        <w:jc w:val="center"/>
        <w:rPr>
          <w:vertAlign w:val="superscript"/>
        </w:rPr>
      </w:pPr>
      <w:r>
        <w:rPr>
          <w:i/>
        </w:rPr>
        <w:t>TAXI ACT 1994</w:t>
      </w:r>
      <w:r>
        <w:t> — section 35(1) </w:t>
      </w:r>
      <w:r>
        <w:rPr>
          <w:vertAlign w:val="superscript"/>
        </w:rPr>
        <w:t>4</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this document shall be admissible evidence under section 35 </w:t>
      </w:r>
      <w:r>
        <w:rPr>
          <w:vertAlign w:val="superscript"/>
        </w:rPr>
        <w:t>4</w:t>
      </w:r>
      <w:r>
        <w:t xml:space="preserve">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Table"/>
        <w:spacing w:before="0"/>
        <w:jc w:val="right"/>
        <w:rPr>
          <w:sz w:val="20"/>
        </w:rPr>
      </w:pPr>
      <w:r>
        <w:rPr>
          <w:sz w:val="20"/>
        </w:rPr>
        <w:t xml:space="preserve">    COMPLAINANT</w:t>
      </w:r>
      <w:r>
        <w:rPr>
          <w:sz w:val="20"/>
        </w:rPr>
        <w:tab/>
      </w:r>
    </w:p>
    <w:p>
      <w:pPr>
        <w:pStyle w:val="yTable"/>
        <w:spacing w:before="0"/>
        <w:jc w:val="right"/>
        <w:rPr>
          <w:sz w:val="20"/>
        </w:rPr>
      </w:pP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spacing w:before="0"/>
        <w:jc w:val="right"/>
        <w:rPr>
          <w:sz w:val="20"/>
        </w:rPr>
      </w:pP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86" w:name="_Toc412208847"/>
      <w:bookmarkStart w:id="87" w:name="_Toc422122536"/>
      <w:r>
        <w:t>Notes</w:t>
      </w:r>
      <w:bookmarkEnd w:id="86"/>
      <w:bookmarkEnd w:id="87"/>
    </w:p>
    <w:p>
      <w:pPr>
        <w:pStyle w:val="nSubsection"/>
        <w:rPr>
          <w:snapToGrid w:val="0"/>
        </w:rPr>
      </w:pPr>
      <w:r>
        <w:rPr>
          <w:snapToGrid w:val="0"/>
          <w:vertAlign w:val="superscript"/>
        </w:rPr>
        <w:t>1</w:t>
      </w:r>
      <w:r>
        <w:rPr>
          <w:snapToGrid w:val="0"/>
        </w:rPr>
        <w:tab/>
        <w:t xml:space="preserve">This is a compilation of the </w:t>
      </w:r>
      <w:r>
        <w:rPr>
          <w:i/>
          <w:noProof/>
          <w:snapToGrid w:val="0"/>
        </w:rPr>
        <w:t>Taxi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8" w:name="_Toc412208848"/>
      <w:bookmarkStart w:id="89" w:name="_Toc422122537"/>
      <w:r>
        <w:rPr>
          <w:snapToGrid w:val="0"/>
        </w:rPr>
        <w:t>Compilation table</w:t>
      </w:r>
      <w:bookmarkEnd w:id="88"/>
      <w:bookmarkEnd w:id="8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Taxi Regulations 1995</w:t>
            </w:r>
          </w:p>
        </w:tc>
        <w:tc>
          <w:tcPr>
            <w:tcW w:w="1276" w:type="dxa"/>
            <w:tcBorders>
              <w:top w:val="single" w:sz="8" w:space="0" w:color="auto"/>
            </w:tcBorders>
          </w:tcPr>
          <w:p>
            <w:pPr>
              <w:pStyle w:val="nTable"/>
              <w:spacing w:after="40"/>
            </w:pPr>
            <w:r>
              <w:t>10 Jan 1995 p. 75</w:t>
            </w:r>
            <w:r>
              <w:noBreakHyphen/>
              <w:t>90</w:t>
            </w:r>
          </w:p>
        </w:tc>
        <w:tc>
          <w:tcPr>
            <w:tcW w:w="2693" w:type="dxa"/>
            <w:tcBorders>
              <w:top w:val="single" w:sz="8" w:space="0" w:color="auto"/>
            </w:tcBorders>
          </w:tcPr>
          <w:p>
            <w:pPr>
              <w:pStyle w:val="nTable"/>
              <w:spacing w:after="40"/>
            </w:pPr>
            <w:r>
              <w:t xml:space="preserve">10 Jan 1995 (see r. 2 and </w:t>
            </w:r>
            <w:r>
              <w:rPr>
                <w:i/>
              </w:rPr>
              <w:t>Gazette</w:t>
            </w:r>
            <w:r>
              <w:t xml:space="preserve"> 10 Jan 1995 p. 73)</w:t>
            </w:r>
          </w:p>
        </w:tc>
      </w:tr>
      <w:tr>
        <w:tc>
          <w:tcPr>
            <w:tcW w:w="3119" w:type="dxa"/>
          </w:tcPr>
          <w:p>
            <w:pPr>
              <w:pStyle w:val="nTable"/>
              <w:spacing w:after="40"/>
            </w:pPr>
            <w:r>
              <w:rPr>
                <w:i/>
              </w:rPr>
              <w:t>Taxi Amendment Regulations 1996</w:t>
            </w:r>
          </w:p>
        </w:tc>
        <w:tc>
          <w:tcPr>
            <w:tcW w:w="1276" w:type="dxa"/>
          </w:tcPr>
          <w:p>
            <w:pPr>
              <w:pStyle w:val="nTable"/>
              <w:spacing w:after="40"/>
            </w:pPr>
            <w:r>
              <w:t>26 Mar 1996 p. 1483</w:t>
            </w:r>
            <w:r>
              <w:noBreakHyphen/>
              <w:t>5</w:t>
            </w:r>
          </w:p>
        </w:tc>
        <w:tc>
          <w:tcPr>
            <w:tcW w:w="2693" w:type="dxa"/>
          </w:tcPr>
          <w:p>
            <w:pPr>
              <w:pStyle w:val="nTable"/>
              <w:spacing w:after="40"/>
            </w:pPr>
            <w:r>
              <w:t>26 Mar 1996</w:t>
            </w:r>
          </w:p>
        </w:tc>
      </w:tr>
      <w:tr>
        <w:tc>
          <w:tcPr>
            <w:tcW w:w="3119" w:type="dxa"/>
          </w:tcPr>
          <w:p>
            <w:pPr>
              <w:pStyle w:val="nTable"/>
              <w:spacing w:after="40"/>
            </w:pPr>
            <w:r>
              <w:rPr>
                <w:i/>
              </w:rPr>
              <w:t>Taxi Amendment Regulations (No. 2) 1996</w:t>
            </w:r>
          </w:p>
        </w:tc>
        <w:tc>
          <w:tcPr>
            <w:tcW w:w="1276" w:type="dxa"/>
          </w:tcPr>
          <w:p>
            <w:pPr>
              <w:pStyle w:val="nTable"/>
              <w:spacing w:after="40"/>
            </w:pPr>
            <w:r>
              <w:t>25 Jun 1996 p. 2995</w:t>
            </w:r>
            <w:r>
              <w:noBreakHyphen/>
              <w:t>6</w:t>
            </w:r>
          </w:p>
        </w:tc>
        <w:tc>
          <w:tcPr>
            <w:tcW w:w="2693" w:type="dxa"/>
          </w:tcPr>
          <w:p>
            <w:pPr>
              <w:pStyle w:val="nTable"/>
              <w:spacing w:after="40"/>
            </w:pPr>
            <w:r>
              <w:t>25 Jun 1996</w:t>
            </w:r>
          </w:p>
        </w:tc>
      </w:tr>
      <w:tr>
        <w:tc>
          <w:tcPr>
            <w:tcW w:w="3119" w:type="dxa"/>
          </w:tcPr>
          <w:p>
            <w:pPr>
              <w:pStyle w:val="nTable"/>
              <w:spacing w:after="40"/>
            </w:pPr>
            <w:r>
              <w:rPr>
                <w:i/>
              </w:rPr>
              <w:t>Taxi Amendment Regulations (No. 3) 1996</w:t>
            </w:r>
          </w:p>
        </w:tc>
        <w:tc>
          <w:tcPr>
            <w:tcW w:w="1276" w:type="dxa"/>
          </w:tcPr>
          <w:p>
            <w:pPr>
              <w:pStyle w:val="nTable"/>
              <w:spacing w:after="40"/>
            </w:pPr>
            <w:r>
              <w:t>25 Jun 1996 p. 2996</w:t>
            </w:r>
            <w:r>
              <w:noBreakHyphen/>
              <w:t>8</w:t>
            </w:r>
          </w:p>
        </w:tc>
        <w:tc>
          <w:tcPr>
            <w:tcW w:w="2693" w:type="dxa"/>
          </w:tcPr>
          <w:p>
            <w:pPr>
              <w:pStyle w:val="nTable"/>
              <w:spacing w:after="40"/>
            </w:pPr>
            <w:r>
              <w:t>25 Jun 1996</w:t>
            </w:r>
          </w:p>
        </w:tc>
      </w:tr>
      <w:tr>
        <w:tc>
          <w:tcPr>
            <w:tcW w:w="3119" w:type="dxa"/>
          </w:tcPr>
          <w:p>
            <w:pPr>
              <w:pStyle w:val="nTable"/>
              <w:spacing w:after="40"/>
            </w:pPr>
            <w:r>
              <w:rPr>
                <w:i/>
              </w:rPr>
              <w:t>Taxi Amendment Regulations 1997</w:t>
            </w:r>
          </w:p>
        </w:tc>
        <w:tc>
          <w:tcPr>
            <w:tcW w:w="1276" w:type="dxa"/>
          </w:tcPr>
          <w:p>
            <w:pPr>
              <w:pStyle w:val="nTable"/>
              <w:spacing w:after="40"/>
            </w:pPr>
            <w:r>
              <w:t>4 Feb 1997 p. 707</w:t>
            </w:r>
          </w:p>
        </w:tc>
        <w:tc>
          <w:tcPr>
            <w:tcW w:w="2693" w:type="dxa"/>
          </w:tcPr>
          <w:p>
            <w:pPr>
              <w:pStyle w:val="nTable"/>
              <w:spacing w:after="40"/>
            </w:pPr>
            <w:r>
              <w:t>4 Feb 1997</w:t>
            </w:r>
          </w:p>
        </w:tc>
      </w:tr>
      <w:tr>
        <w:trPr>
          <w:cantSplit/>
        </w:trPr>
        <w:tc>
          <w:tcPr>
            <w:tcW w:w="7088" w:type="dxa"/>
            <w:gridSpan w:val="3"/>
          </w:tcPr>
          <w:p>
            <w:pPr>
              <w:pStyle w:val="nTable"/>
              <w:spacing w:after="40"/>
            </w:pPr>
            <w:r>
              <w:rPr>
                <w:b/>
              </w:rPr>
              <w:t xml:space="preserve">Reprint of the </w:t>
            </w:r>
            <w:r>
              <w:rPr>
                <w:b/>
                <w:i/>
              </w:rPr>
              <w:t>Taxi Regulations 1995</w:t>
            </w:r>
            <w:r>
              <w:rPr>
                <w:b/>
              </w:rPr>
              <w:t xml:space="preserve"> as at 12 Dec 1997</w:t>
            </w:r>
            <w:r>
              <w:t xml:space="preserve"> (includes amendments listed above)</w:t>
            </w:r>
          </w:p>
        </w:tc>
      </w:tr>
      <w:tr>
        <w:tc>
          <w:tcPr>
            <w:tcW w:w="3119" w:type="dxa"/>
          </w:tcPr>
          <w:p>
            <w:pPr>
              <w:pStyle w:val="nTable"/>
              <w:spacing w:after="40"/>
              <w:rPr>
                <w:i/>
              </w:rPr>
            </w:pPr>
            <w:r>
              <w:rPr>
                <w:i/>
              </w:rPr>
              <w:t>Taxi Amendment Regulations 1998</w:t>
            </w:r>
          </w:p>
        </w:tc>
        <w:tc>
          <w:tcPr>
            <w:tcW w:w="1276" w:type="dxa"/>
          </w:tcPr>
          <w:p>
            <w:pPr>
              <w:pStyle w:val="nTable"/>
              <w:spacing w:after="40"/>
            </w:pPr>
            <w:r>
              <w:t>8 Dec 1998 p. 6585</w:t>
            </w:r>
            <w:r>
              <w:noBreakHyphen/>
              <w:t>8</w:t>
            </w:r>
          </w:p>
        </w:tc>
        <w:tc>
          <w:tcPr>
            <w:tcW w:w="2693" w:type="dxa"/>
          </w:tcPr>
          <w:p>
            <w:pPr>
              <w:pStyle w:val="nTable"/>
              <w:spacing w:after="40"/>
            </w:pPr>
            <w:r>
              <w:t>17 Dec 1998 (see r. 2)</w:t>
            </w:r>
          </w:p>
        </w:tc>
      </w:tr>
      <w:tr>
        <w:tc>
          <w:tcPr>
            <w:tcW w:w="3119" w:type="dxa"/>
          </w:tcPr>
          <w:p>
            <w:pPr>
              <w:pStyle w:val="nTable"/>
              <w:spacing w:after="40"/>
              <w:rPr>
                <w:i/>
              </w:rPr>
            </w:pPr>
            <w:r>
              <w:rPr>
                <w:i/>
              </w:rPr>
              <w:t>Taxi Amendment Regulations 2000</w:t>
            </w:r>
          </w:p>
        </w:tc>
        <w:tc>
          <w:tcPr>
            <w:tcW w:w="1276" w:type="dxa"/>
          </w:tcPr>
          <w:p>
            <w:pPr>
              <w:pStyle w:val="nTable"/>
              <w:spacing w:after="40"/>
            </w:pPr>
            <w:r>
              <w:t>1 Feb 2000 p. 382</w:t>
            </w:r>
            <w:r>
              <w:noBreakHyphen/>
              <w:t>3</w:t>
            </w:r>
          </w:p>
        </w:tc>
        <w:tc>
          <w:tcPr>
            <w:tcW w:w="2693" w:type="dxa"/>
          </w:tcPr>
          <w:p>
            <w:pPr>
              <w:pStyle w:val="nTable"/>
              <w:spacing w:after="40"/>
            </w:pPr>
            <w:r>
              <w:t>1 Feb 2000</w:t>
            </w:r>
          </w:p>
        </w:tc>
      </w:tr>
      <w:tr>
        <w:tc>
          <w:tcPr>
            <w:tcW w:w="3119" w:type="dxa"/>
          </w:tcPr>
          <w:p>
            <w:pPr>
              <w:pStyle w:val="nTable"/>
              <w:spacing w:after="40"/>
              <w:rPr>
                <w:i/>
              </w:rPr>
            </w:pPr>
            <w:r>
              <w:rPr>
                <w:i/>
              </w:rPr>
              <w:t>Taxi Amendment Regulations 2002</w:t>
            </w:r>
          </w:p>
        </w:tc>
        <w:tc>
          <w:tcPr>
            <w:tcW w:w="1276" w:type="dxa"/>
          </w:tcPr>
          <w:p>
            <w:pPr>
              <w:pStyle w:val="nTable"/>
              <w:spacing w:after="40"/>
            </w:pPr>
            <w:r>
              <w:t>22 Mar 2002 p. 1654</w:t>
            </w:r>
            <w:r>
              <w:noBreakHyphen/>
              <w:t>5</w:t>
            </w:r>
          </w:p>
        </w:tc>
        <w:tc>
          <w:tcPr>
            <w:tcW w:w="2693" w:type="dxa"/>
          </w:tcPr>
          <w:p>
            <w:pPr>
              <w:pStyle w:val="nTable"/>
              <w:spacing w:after="40"/>
            </w:pPr>
            <w:r>
              <w:t>22 Mar 2002</w:t>
            </w:r>
          </w:p>
        </w:tc>
      </w:tr>
      <w:tr>
        <w:trPr>
          <w:cantSplit/>
        </w:trPr>
        <w:tc>
          <w:tcPr>
            <w:tcW w:w="3119" w:type="dxa"/>
          </w:tcPr>
          <w:p>
            <w:pPr>
              <w:pStyle w:val="nTable"/>
              <w:spacing w:after="40"/>
              <w:rPr>
                <w:i/>
              </w:rPr>
            </w:pPr>
            <w:r>
              <w:rPr>
                <w:i/>
              </w:rPr>
              <w:t>Taxi Amendment Regulations 2003</w:t>
            </w:r>
          </w:p>
        </w:tc>
        <w:tc>
          <w:tcPr>
            <w:tcW w:w="1276" w:type="dxa"/>
          </w:tcPr>
          <w:p>
            <w:pPr>
              <w:pStyle w:val="nTable"/>
              <w:spacing w:after="40"/>
            </w:pPr>
            <w:r>
              <w:t>28 Feb 2003 p. 681</w:t>
            </w:r>
            <w:r>
              <w:noBreakHyphen/>
              <w:t>2</w:t>
            </w:r>
          </w:p>
        </w:tc>
        <w:tc>
          <w:tcPr>
            <w:tcW w:w="2693" w:type="dxa"/>
          </w:tcPr>
          <w:p>
            <w:pPr>
              <w:pStyle w:val="nTable"/>
              <w:spacing w:after="40"/>
            </w:pPr>
            <w:r>
              <w:t>28 Feb 2003</w:t>
            </w:r>
          </w:p>
        </w:tc>
      </w:tr>
      <w:tr>
        <w:tc>
          <w:tcPr>
            <w:tcW w:w="3119" w:type="dxa"/>
          </w:tcPr>
          <w:p>
            <w:pPr>
              <w:pStyle w:val="nTable"/>
              <w:spacing w:after="40"/>
              <w:rPr>
                <w:i/>
              </w:rPr>
            </w:pPr>
            <w:r>
              <w:rPr>
                <w:i/>
              </w:rPr>
              <w:t>Equality of Status Subsidiary Legislation Amendment Regulations 2003</w:t>
            </w:r>
            <w:r>
              <w:t xml:space="preserve"> Pt. 39</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Taxi Amendment Regulations 2004</w:t>
            </w:r>
          </w:p>
        </w:tc>
        <w:tc>
          <w:tcPr>
            <w:tcW w:w="1276" w:type="dxa"/>
          </w:tcPr>
          <w:p>
            <w:pPr>
              <w:pStyle w:val="nTable"/>
              <w:spacing w:after="40"/>
            </w:pPr>
            <w:r>
              <w:t>9 Jan 2004 p. 96</w:t>
            </w:r>
            <w:r>
              <w:noBreakHyphen/>
              <w:t>8</w:t>
            </w:r>
          </w:p>
        </w:tc>
        <w:tc>
          <w:tcPr>
            <w:tcW w:w="2693" w:type="dxa"/>
          </w:tcPr>
          <w:p>
            <w:pPr>
              <w:pStyle w:val="nTable"/>
              <w:spacing w:after="40"/>
            </w:pPr>
            <w:r>
              <w:t>9 Jan 2004</w:t>
            </w:r>
          </w:p>
        </w:tc>
      </w:tr>
      <w:tr>
        <w:tc>
          <w:tcPr>
            <w:tcW w:w="3119" w:type="dxa"/>
          </w:tcPr>
          <w:p>
            <w:pPr>
              <w:pStyle w:val="nTable"/>
              <w:spacing w:after="40"/>
              <w:rPr>
                <w:i/>
              </w:rPr>
            </w:pPr>
            <w:r>
              <w:rPr>
                <w:i/>
              </w:rPr>
              <w:t>Taxi Amendment Regulations (No. 2) 2004</w:t>
            </w:r>
          </w:p>
        </w:tc>
        <w:tc>
          <w:tcPr>
            <w:tcW w:w="1276" w:type="dxa"/>
          </w:tcPr>
          <w:p>
            <w:pPr>
              <w:pStyle w:val="nTable"/>
              <w:spacing w:after="40"/>
            </w:pPr>
            <w:r>
              <w:t>23 Jan 2004 p. 320</w:t>
            </w:r>
            <w:r>
              <w:noBreakHyphen/>
              <w:t>5</w:t>
            </w:r>
          </w:p>
        </w:tc>
        <w:tc>
          <w:tcPr>
            <w:tcW w:w="2693" w:type="dxa"/>
          </w:tcPr>
          <w:p>
            <w:pPr>
              <w:pStyle w:val="nTable"/>
              <w:spacing w:after="40"/>
            </w:pPr>
            <w:r>
              <w:t>23 Jan 2004</w:t>
            </w:r>
          </w:p>
        </w:tc>
      </w:tr>
      <w:tr>
        <w:tc>
          <w:tcPr>
            <w:tcW w:w="3119" w:type="dxa"/>
          </w:tcPr>
          <w:p>
            <w:pPr>
              <w:pStyle w:val="nTable"/>
              <w:spacing w:after="40"/>
              <w:rPr>
                <w:i/>
              </w:rPr>
            </w:pPr>
            <w:r>
              <w:rPr>
                <w:i/>
              </w:rPr>
              <w:t>Taxi Amendment Regulations (No. 3) 2004</w:t>
            </w:r>
          </w:p>
        </w:tc>
        <w:tc>
          <w:tcPr>
            <w:tcW w:w="1276" w:type="dxa"/>
          </w:tcPr>
          <w:p>
            <w:pPr>
              <w:pStyle w:val="nTable"/>
              <w:spacing w:after="40"/>
            </w:pPr>
            <w:r>
              <w:t>20 Feb 2004 p. 608</w:t>
            </w:r>
            <w:r>
              <w:noBreakHyphen/>
              <w:t>9</w:t>
            </w:r>
          </w:p>
        </w:tc>
        <w:tc>
          <w:tcPr>
            <w:tcW w:w="2693" w:type="dxa"/>
          </w:tcPr>
          <w:p>
            <w:pPr>
              <w:pStyle w:val="nTable"/>
              <w:spacing w:after="40"/>
            </w:pPr>
            <w:r>
              <w:t>20 Feb 2004</w:t>
            </w:r>
          </w:p>
        </w:tc>
      </w:tr>
      <w:tr>
        <w:tc>
          <w:tcPr>
            <w:tcW w:w="3119" w:type="dxa"/>
          </w:tcPr>
          <w:p>
            <w:pPr>
              <w:pStyle w:val="nTable"/>
              <w:spacing w:after="40"/>
              <w:rPr>
                <w:i/>
              </w:rPr>
            </w:pPr>
            <w:r>
              <w:rPr>
                <w:i/>
              </w:rPr>
              <w:t>Taxi Amendment Regulations (No. 4) 2004</w:t>
            </w:r>
          </w:p>
        </w:tc>
        <w:tc>
          <w:tcPr>
            <w:tcW w:w="1276" w:type="dxa"/>
          </w:tcPr>
          <w:p>
            <w:pPr>
              <w:pStyle w:val="nTable"/>
              <w:spacing w:after="40"/>
            </w:pPr>
            <w:r>
              <w:t>10 Sep 2004 p. 3923</w:t>
            </w:r>
            <w:r>
              <w:noBreakHyphen/>
              <w:t>4</w:t>
            </w:r>
          </w:p>
        </w:tc>
        <w:tc>
          <w:tcPr>
            <w:tcW w:w="2693" w:type="dxa"/>
          </w:tcPr>
          <w:p>
            <w:pPr>
              <w:pStyle w:val="nTable"/>
              <w:spacing w:after="40"/>
            </w:pPr>
            <w:r>
              <w:t>10 Sep 2004</w:t>
            </w:r>
          </w:p>
        </w:tc>
      </w:tr>
      <w:tr>
        <w:tc>
          <w:tcPr>
            <w:tcW w:w="3119" w:type="dxa"/>
          </w:tcPr>
          <w:p>
            <w:pPr>
              <w:pStyle w:val="nTable"/>
              <w:keepNext/>
              <w:keepLines/>
              <w:spacing w:after="40"/>
              <w:rPr>
                <w:i/>
              </w:rPr>
            </w:pPr>
            <w:r>
              <w:rPr>
                <w:i/>
              </w:rPr>
              <w:t>Taxi Amendment Regulations (No. 5) 2004</w:t>
            </w:r>
          </w:p>
        </w:tc>
        <w:tc>
          <w:tcPr>
            <w:tcW w:w="1276" w:type="dxa"/>
          </w:tcPr>
          <w:p>
            <w:pPr>
              <w:pStyle w:val="nTable"/>
              <w:keepNext/>
              <w:keepLines/>
              <w:spacing w:after="40"/>
            </w:pPr>
            <w:r>
              <w:t>10 Dec 2004 p. 5910</w:t>
            </w:r>
            <w:r>
              <w:noBreakHyphen/>
              <w:t>11</w:t>
            </w:r>
          </w:p>
        </w:tc>
        <w:tc>
          <w:tcPr>
            <w:tcW w:w="2693" w:type="dxa"/>
          </w:tcPr>
          <w:p>
            <w:pPr>
              <w:pStyle w:val="nTable"/>
              <w:keepNext/>
              <w:keepLines/>
              <w:spacing w:after="40"/>
            </w:pPr>
            <w:r>
              <w:t>10 Dec 2004</w:t>
            </w:r>
          </w:p>
        </w:tc>
      </w:tr>
      <w:tr>
        <w:trPr>
          <w:cantSplit/>
        </w:trPr>
        <w:tc>
          <w:tcPr>
            <w:tcW w:w="7088" w:type="dxa"/>
            <w:gridSpan w:val="3"/>
          </w:tcPr>
          <w:p>
            <w:pPr>
              <w:pStyle w:val="nTable"/>
              <w:spacing w:after="40"/>
            </w:pPr>
            <w:r>
              <w:rPr>
                <w:b/>
              </w:rPr>
              <w:t xml:space="preserve">Reprint 2: The </w:t>
            </w:r>
            <w:r>
              <w:rPr>
                <w:b/>
                <w:i/>
              </w:rPr>
              <w:t>Taxi Regulations 1995</w:t>
            </w:r>
            <w:r>
              <w:rPr>
                <w:b/>
              </w:rPr>
              <w:t xml:space="preserve"> as at 4 Mar 2005</w:t>
            </w:r>
            <w:r>
              <w:t xml:space="preserve"> (includes amendments listed above)</w:t>
            </w:r>
          </w:p>
        </w:tc>
      </w:tr>
      <w:tr>
        <w:trPr>
          <w:cantSplit/>
        </w:trPr>
        <w:tc>
          <w:tcPr>
            <w:tcW w:w="3119" w:type="dxa"/>
          </w:tcPr>
          <w:p>
            <w:pPr>
              <w:pStyle w:val="nTable"/>
              <w:spacing w:after="40"/>
              <w:rPr>
                <w:i/>
              </w:rPr>
            </w:pPr>
            <w:r>
              <w:rPr>
                <w:i/>
              </w:rPr>
              <w:t>Taxi Amendment Regulations 2006</w:t>
            </w:r>
          </w:p>
        </w:tc>
        <w:tc>
          <w:tcPr>
            <w:tcW w:w="1276" w:type="dxa"/>
          </w:tcPr>
          <w:p>
            <w:pPr>
              <w:pStyle w:val="nTable"/>
              <w:spacing w:after="40"/>
            </w:pPr>
            <w:r>
              <w:t>24 Feb 2006 p. 882</w:t>
            </w:r>
            <w:r>
              <w:noBreakHyphen/>
              <w:t>3</w:t>
            </w:r>
          </w:p>
        </w:tc>
        <w:tc>
          <w:tcPr>
            <w:tcW w:w="2693" w:type="dxa"/>
          </w:tcPr>
          <w:p>
            <w:pPr>
              <w:pStyle w:val="nTable"/>
              <w:spacing w:after="40"/>
            </w:pPr>
            <w:r>
              <w:t>24 Feb 2006</w:t>
            </w:r>
          </w:p>
        </w:tc>
      </w:tr>
      <w:tr>
        <w:trPr>
          <w:cantSplit/>
        </w:trPr>
        <w:tc>
          <w:tcPr>
            <w:tcW w:w="3119" w:type="dxa"/>
          </w:tcPr>
          <w:p>
            <w:pPr>
              <w:pStyle w:val="nTable"/>
              <w:spacing w:after="40"/>
              <w:rPr>
                <w:i/>
              </w:rPr>
            </w:pPr>
            <w:r>
              <w:rPr>
                <w:i/>
              </w:rPr>
              <w:t>Taxi Amendment Regulations (No. 3) 2006</w:t>
            </w:r>
          </w:p>
        </w:tc>
        <w:tc>
          <w:tcPr>
            <w:tcW w:w="1276" w:type="dxa"/>
          </w:tcPr>
          <w:p>
            <w:pPr>
              <w:pStyle w:val="nTable"/>
              <w:spacing w:after="40"/>
            </w:pPr>
            <w:r>
              <w:t>13 Apr 2006 p. 1554</w:t>
            </w:r>
          </w:p>
        </w:tc>
        <w:tc>
          <w:tcPr>
            <w:tcW w:w="2693" w:type="dxa"/>
          </w:tcPr>
          <w:p>
            <w:pPr>
              <w:pStyle w:val="nTable"/>
              <w:spacing w:after="40"/>
            </w:pPr>
            <w:r>
              <w:t>13 Apr 2006</w:t>
            </w:r>
          </w:p>
        </w:tc>
      </w:tr>
      <w:tr>
        <w:trPr>
          <w:cantSplit/>
        </w:trPr>
        <w:tc>
          <w:tcPr>
            <w:tcW w:w="3119" w:type="dxa"/>
          </w:tcPr>
          <w:p>
            <w:pPr>
              <w:pStyle w:val="nTable"/>
              <w:spacing w:after="40"/>
              <w:rPr>
                <w:i/>
              </w:rPr>
            </w:pPr>
            <w:r>
              <w:rPr>
                <w:i/>
              </w:rPr>
              <w:t>Taxi Amendment Regulations (No. 4) 2006</w:t>
            </w:r>
          </w:p>
        </w:tc>
        <w:tc>
          <w:tcPr>
            <w:tcW w:w="1276" w:type="dxa"/>
          </w:tcPr>
          <w:p>
            <w:pPr>
              <w:pStyle w:val="nTable"/>
              <w:spacing w:after="40"/>
            </w:pPr>
            <w:r>
              <w:t>23 Jun 2006 p. 2227</w:t>
            </w:r>
          </w:p>
        </w:tc>
        <w:tc>
          <w:tcPr>
            <w:tcW w:w="2693" w:type="dxa"/>
          </w:tcPr>
          <w:p>
            <w:pPr>
              <w:pStyle w:val="nTable"/>
              <w:spacing w:after="40"/>
            </w:pPr>
            <w:r>
              <w:t>1 Jul 2006 (see r. 2)</w:t>
            </w:r>
          </w:p>
        </w:tc>
      </w:tr>
      <w:tr>
        <w:trPr>
          <w:cantSplit/>
        </w:trPr>
        <w:tc>
          <w:tcPr>
            <w:tcW w:w="3119" w:type="dxa"/>
          </w:tcPr>
          <w:p>
            <w:pPr>
              <w:pStyle w:val="nTable"/>
              <w:spacing w:after="40"/>
              <w:rPr>
                <w:i/>
              </w:rPr>
            </w:pPr>
            <w:r>
              <w:rPr>
                <w:i/>
              </w:rPr>
              <w:t>Taxi Amendment Regulations (No. 5) 2006</w:t>
            </w:r>
          </w:p>
        </w:tc>
        <w:tc>
          <w:tcPr>
            <w:tcW w:w="1276" w:type="dxa"/>
          </w:tcPr>
          <w:p>
            <w:pPr>
              <w:pStyle w:val="nTable"/>
              <w:spacing w:after="40"/>
            </w:pPr>
            <w:r>
              <w:t>8 Dec 2006 p. 5391</w:t>
            </w:r>
            <w:r>
              <w:noBreakHyphen/>
              <w:t>2</w:t>
            </w:r>
          </w:p>
        </w:tc>
        <w:tc>
          <w:tcPr>
            <w:tcW w:w="2693" w:type="dxa"/>
          </w:tcPr>
          <w:p>
            <w:pPr>
              <w:pStyle w:val="nTable"/>
              <w:spacing w:after="40"/>
            </w:pPr>
            <w:r>
              <w:t>8 Dec 2006</w:t>
            </w:r>
          </w:p>
        </w:tc>
      </w:tr>
      <w:tr>
        <w:trPr>
          <w:cantSplit/>
        </w:trPr>
        <w:tc>
          <w:tcPr>
            <w:tcW w:w="3119" w:type="dxa"/>
          </w:tcPr>
          <w:p>
            <w:pPr>
              <w:pStyle w:val="nTable"/>
              <w:spacing w:after="40"/>
              <w:rPr>
                <w:i/>
              </w:rPr>
            </w:pPr>
            <w:r>
              <w:rPr>
                <w:i/>
              </w:rPr>
              <w:t>Taxi Amendment Regulations (No. 6) 2006</w:t>
            </w:r>
          </w:p>
        </w:tc>
        <w:tc>
          <w:tcPr>
            <w:tcW w:w="1276" w:type="dxa"/>
          </w:tcPr>
          <w:p>
            <w:pPr>
              <w:pStyle w:val="nTable"/>
              <w:spacing w:after="40"/>
            </w:pPr>
            <w:r>
              <w:t>22 Dec 2006 p. 5822</w:t>
            </w:r>
            <w:r>
              <w:noBreakHyphen/>
              <w:t>3</w:t>
            </w:r>
          </w:p>
        </w:tc>
        <w:tc>
          <w:tcPr>
            <w:tcW w:w="2693" w:type="dxa"/>
          </w:tcPr>
          <w:p>
            <w:pPr>
              <w:pStyle w:val="nTable"/>
              <w:spacing w:after="40"/>
            </w:pPr>
            <w:r>
              <w:t>22 Dec 2006</w:t>
            </w:r>
          </w:p>
        </w:tc>
      </w:tr>
      <w:tr>
        <w:trPr>
          <w:cantSplit/>
        </w:trPr>
        <w:tc>
          <w:tcPr>
            <w:tcW w:w="7088" w:type="dxa"/>
            <w:gridSpan w:val="3"/>
          </w:tcPr>
          <w:p>
            <w:pPr>
              <w:pStyle w:val="nTable"/>
              <w:spacing w:after="40"/>
            </w:pPr>
            <w:r>
              <w:rPr>
                <w:b/>
              </w:rPr>
              <w:t xml:space="preserve">Reprint 3: The </w:t>
            </w:r>
            <w:r>
              <w:rPr>
                <w:b/>
                <w:i/>
              </w:rPr>
              <w:t>Taxi Regulations 1995</w:t>
            </w:r>
            <w:r>
              <w:rPr>
                <w:b/>
              </w:rPr>
              <w:t xml:space="preserve"> as at 25 May 2007</w:t>
            </w:r>
            <w:r>
              <w:t xml:space="preserve"> (includes amendments listed above)</w:t>
            </w:r>
          </w:p>
        </w:tc>
      </w:tr>
      <w:tr>
        <w:trPr>
          <w:cantSplit/>
        </w:trPr>
        <w:tc>
          <w:tcPr>
            <w:tcW w:w="3119" w:type="dxa"/>
          </w:tcPr>
          <w:p>
            <w:pPr>
              <w:pStyle w:val="nTable"/>
              <w:spacing w:after="40"/>
              <w:ind w:right="113"/>
            </w:pPr>
            <w:r>
              <w:rPr>
                <w:i/>
              </w:rPr>
              <w:t>Taxi Amendment Regulations 2007</w:t>
            </w:r>
          </w:p>
        </w:tc>
        <w:tc>
          <w:tcPr>
            <w:tcW w:w="1276" w:type="dxa"/>
          </w:tcPr>
          <w:p>
            <w:pPr>
              <w:pStyle w:val="nTable"/>
              <w:spacing w:after="40"/>
            </w:pPr>
            <w:r>
              <w:t>12 Jun 2007 p. 2738</w:t>
            </w:r>
            <w:r>
              <w:noBreakHyphen/>
              <w:t>9</w:t>
            </w:r>
          </w:p>
        </w:tc>
        <w:tc>
          <w:tcPr>
            <w:tcW w:w="2693" w:type="dxa"/>
          </w:tcPr>
          <w:p>
            <w:pPr>
              <w:pStyle w:val="nTable"/>
              <w:spacing w:after="40"/>
            </w:pPr>
            <w:r>
              <w:rPr>
                <w:snapToGrid w:val="0"/>
              </w:rPr>
              <w:t xml:space="preserve">r. 1 and 2: </w:t>
            </w:r>
            <w:r>
              <w:t xml:space="preserve">12 Jun 2007 </w:t>
            </w:r>
            <w:r>
              <w:rPr>
                <w:snapToGrid w:val="0"/>
              </w:rPr>
              <w:t>(see r. 2(a));</w:t>
            </w:r>
            <w:r>
              <w:rPr>
                <w:snapToGrid w:val="0"/>
              </w:rPr>
              <w:br/>
              <w:t xml:space="preserve">Regulations other than r. 1 and 2: </w:t>
            </w:r>
            <w:r>
              <w:t>1 Jul 2007 (see r. 2(b))</w:t>
            </w:r>
          </w:p>
        </w:tc>
      </w:tr>
      <w:tr>
        <w:trPr>
          <w:cantSplit/>
        </w:trPr>
        <w:tc>
          <w:tcPr>
            <w:tcW w:w="3119" w:type="dxa"/>
          </w:tcPr>
          <w:p>
            <w:pPr>
              <w:pStyle w:val="nTable"/>
              <w:spacing w:after="40"/>
              <w:ind w:right="113"/>
              <w:rPr>
                <w:i/>
              </w:rPr>
            </w:pPr>
            <w:r>
              <w:rPr>
                <w:i/>
              </w:rPr>
              <w:t>Taxi Amendment Regulations 2008</w:t>
            </w:r>
          </w:p>
        </w:tc>
        <w:tc>
          <w:tcPr>
            <w:tcW w:w="1276" w:type="dxa"/>
          </w:tcPr>
          <w:p>
            <w:pPr>
              <w:pStyle w:val="nTable"/>
              <w:spacing w:after="40"/>
            </w:pPr>
            <w:r>
              <w:t>7 Mar 2008 p. 750</w:t>
            </w:r>
          </w:p>
        </w:tc>
        <w:tc>
          <w:tcPr>
            <w:tcW w:w="2693" w:type="dxa"/>
          </w:tcPr>
          <w:p>
            <w:pPr>
              <w:pStyle w:val="nTable"/>
              <w:spacing w:after="40"/>
            </w:pPr>
            <w:r>
              <w:rPr>
                <w:snapToGrid w:val="0"/>
              </w:rPr>
              <w:t>r. 1 and 2: 7 Mar 2008 (see r. 2(a));</w:t>
            </w:r>
            <w:r>
              <w:rPr>
                <w:snapToGrid w:val="0"/>
              </w:rPr>
              <w:br/>
              <w:t>Regulations other than r. 1 and 2: 8 Mar 2008 (see r. 2(b))</w:t>
            </w:r>
          </w:p>
        </w:tc>
      </w:tr>
      <w:tr>
        <w:trPr>
          <w:cantSplit/>
        </w:trPr>
        <w:tc>
          <w:tcPr>
            <w:tcW w:w="3119" w:type="dxa"/>
          </w:tcPr>
          <w:p>
            <w:pPr>
              <w:pStyle w:val="nTable"/>
              <w:spacing w:after="40"/>
              <w:ind w:right="113"/>
              <w:rPr>
                <w:i/>
              </w:rPr>
            </w:pPr>
            <w:r>
              <w:rPr>
                <w:i/>
              </w:rPr>
              <w:t>Taxi Amendment Regulations 2009</w:t>
            </w:r>
          </w:p>
        </w:tc>
        <w:tc>
          <w:tcPr>
            <w:tcW w:w="1276" w:type="dxa"/>
          </w:tcPr>
          <w:p>
            <w:pPr>
              <w:pStyle w:val="nTable"/>
              <w:spacing w:after="40"/>
            </w:pPr>
            <w:r>
              <w:t>24 Apr 2009 p. 1387</w:t>
            </w:r>
          </w:p>
        </w:tc>
        <w:tc>
          <w:tcPr>
            <w:tcW w:w="2693" w:type="dxa"/>
          </w:tcPr>
          <w:p>
            <w:pPr>
              <w:pStyle w:val="nTable"/>
              <w:spacing w:after="40"/>
              <w:rPr>
                <w:snapToGrid w:val="0"/>
              </w:rPr>
            </w:pPr>
            <w:r>
              <w:rPr>
                <w:snapToGrid w:val="0"/>
              </w:rPr>
              <w:t>r. 1 and 2: 24 Apr 2009 (see r. 2(a));</w:t>
            </w:r>
            <w:r>
              <w:rPr>
                <w:snapToGrid w:val="0"/>
              </w:rPr>
              <w:br/>
              <w:t>Regulations other than r. 1 and 2: 25 Apr 2009 (see r. 2(b))</w:t>
            </w:r>
          </w:p>
        </w:tc>
      </w:tr>
      <w:tr>
        <w:trPr>
          <w:cantSplit/>
        </w:trPr>
        <w:tc>
          <w:tcPr>
            <w:tcW w:w="3119" w:type="dxa"/>
          </w:tcPr>
          <w:p>
            <w:pPr>
              <w:pStyle w:val="nTable"/>
              <w:spacing w:after="40"/>
              <w:ind w:right="113"/>
              <w:rPr>
                <w:i/>
              </w:rPr>
            </w:pPr>
            <w:r>
              <w:rPr>
                <w:i/>
              </w:rPr>
              <w:t>Taxi Amendment Regulations (No. 2) 2009</w:t>
            </w:r>
          </w:p>
        </w:tc>
        <w:tc>
          <w:tcPr>
            <w:tcW w:w="1276" w:type="dxa"/>
          </w:tcPr>
          <w:p>
            <w:pPr>
              <w:pStyle w:val="nTable"/>
              <w:spacing w:after="40"/>
            </w:pPr>
            <w:r>
              <w:t>29 Sep 2009 p. 3854</w:t>
            </w:r>
          </w:p>
        </w:tc>
        <w:tc>
          <w:tcPr>
            <w:tcW w:w="2693" w:type="dxa"/>
          </w:tcPr>
          <w:p>
            <w:pPr>
              <w:pStyle w:val="nTable"/>
              <w:spacing w:after="40"/>
              <w:rPr>
                <w:snapToGrid w:val="0"/>
              </w:rPr>
            </w:pPr>
            <w:r>
              <w:rPr>
                <w:snapToGrid w:val="0"/>
                <w:spacing w:val="-2"/>
              </w:rPr>
              <w:t>r. 1 and 2: 29 Sep 2009 (see r. 2(a));</w:t>
            </w:r>
            <w:r>
              <w:rPr>
                <w:snapToGrid w:val="0"/>
                <w:spacing w:val="-2"/>
              </w:rPr>
              <w:br/>
              <w:t>Regulations other than r. 1 and 2: 30 Sep 2009 (see r. 2(b))</w:t>
            </w:r>
          </w:p>
        </w:tc>
      </w:tr>
      <w:tr>
        <w:trPr>
          <w:cantSplit/>
        </w:trPr>
        <w:tc>
          <w:tcPr>
            <w:tcW w:w="3119" w:type="dxa"/>
          </w:tcPr>
          <w:p>
            <w:pPr>
              <w:pStyle w:val="nTable"/>
              <w:spacing w:after="40"/>
              <w:ind w:right="113"/>
              <w:rPr>
                <w:i/>
              </w:rPr>
            </w:pPr>
            <w:r>
              <w:rPr>
                <w:i/>
              </w:rPr>
              <w:t>Taxi Amendment Regulations (No. 2) 2011</w:t>
            </w:r>
          </w:p>
        </w:tc>
        <w:tc>
          <w:tcPr>
            <w:tcW w:w="1276" w:type="dxa"/>
          </w:tcPr>
          <w:p>
            <w:pPr>
              <w:pStyle w:val="nTable"/>
              <w:spacing w:after="40"/>
            </w:pPr>
            <w:r>
              <w:t>17 May 2011 p. 1825</w:t>
            </w:r>
          </w:p>
        </w:tc>
        <w:tc>
          <w:tcPr>
            <w:tcW w:w="2693" w:type="dxa"/>
          </w:tcPr>
          <w:p>
            <w:pPr>
              <w:pStyle w:val="nTable"/>
              <w:spacing w:after="40"/>
              <w:rPr>
                <w:snapToGrid w:val="0"/>
                <w:spacing w:val="-2"/>
              </w:rPr>
            </w:pPr>
            <w:r>
              <w:rPr>
                <w:snapToGrid w:val="0"/>
                <w:spacing w:val="-2"/>
              </w:rPr>
              <w:t>r. 1 and 2: 17 May 2011 (see r. 2(a));</w:t>
            </w:r>
            <w:r>
              <w:rPr>
                <w:snapToGrid w:val="0"/>
                <w:spacing w:val="-2"/>
              </w:rPr>
              <w:br/>
              <w:t>Regulations other than r. 1 and 2: 1 Jul 2011 (see r. 2(b))</w:t>
            </w:r>
          </w:p>
        </w:tc>
      </w:tr>
      <w:tr>
        <w:trPr>
          <w:cantSplit/>
        </w:trPr>
        <w:tc>
          <w:tcPr>
            <w:tcW w:w="3119" w:type="dxa"/>
          </w:tcPr>
          <w:p>
            <w:pPr>
              <w:pStyle w:val="nTable"/>
              <w:spacing w:after="40"/>
              <w:ind w:right="113"/>
              <w:rPr>
                <w:i/>
              </w:rPr>
            </w:pPr>
            <w:r>
              <w:rPr>
                <w:i/>
              </w:rPr>
              <w:t>Taxi Amendment Regulations 2011</w:t>
            </w:r>
          </w:p>
        </w:tc>
        <w:tc>
          <w:tcPr>
            <w:tcW w:w="1276" w:type="dxa"/>
          </w:tcPr>
          <w:p>
            <w:pPr>
              <w:pStyle w:val="nTable"/>
              <w:spacing w:after="40"/>
            </w:pPr>
            <w:r>
              <w:t>7 Jun 2011 p. 2057</w:t>
            </w:r>
            <w:r>
              <w:noBreakHyphen/>
              <w:t>62</w:t>
            </w:r>
          </w:p>
        </w:tc>
        <w:tc>
          <w:tcPr>
            <w:tcW w:w="2693" w:type="dxa"/>
          </w:tcPr>
          <w:p>
            <w:pPr>
              <w:pStyle w:val="nTable"/>
              <w:spacing w:after="40"/>
              <w:rPr>
                <w:snapToGrid w:val="0"/>
                <w:spacing w:val="-2"/>
              </w:rPr>
            </w:pPr>
            <w:r>
              <w:rPr>
                <w:snapToGrid w:val="0"/>
                <w:spacing w:val="-2"/>
              </w:rPr>
              <w:t>r. 1 and 2: 7 Jun 2011 (see r. 2(a));</w:t>
            </w:r>
            <w:r>
              <w:rPr>
                <w:snapToGrid w:val="0"/>
                <w:spacing w:val="-2"/>
              </w:rPr>
              <w:br/>
              <w:t>Regulations other than r. 1 and 2: 1 Jul 2011 (see r. 2(b))</w:t>
            </w:r>
          </w:p>
        </w:tc>
      </w:tr>
      <w:tr>
        <w:trPr>
          <w:cantSplit/>
        </w:trPr>
        <w:tc>
          <w:tcPr>
            <w:tcW w:w="3119" w:type="dxa"/>
            <w:shd w:val="clear" w:color="auto" w:fill="auto"/>
          </w:tcPr>
          <w:p>
            <w:pPr>
              <w:pStyle w:val="nTable"/>
              <w:spacing w:after="40"/>
              <w:ind w:right="113"/>
              <w:rPr>
                <w:i/>
              </w:rPr>
            </w:pPr>
            <w:r>
              <w:rPr>
                <w:i/>
              </w:rPr>
              <w:t>Taxi Amendment Regulations (No. 3) 2011</w:t>
            </w:r>
          </w:p>
        </w:tc>
        <w:tc>
          <w:tcPr>
            <w:tcW w:w="1276" w:type="dxa"/>
            <w:shd w:val="clear" w:color="auto" w:fill="auto"/>
          </w:tcPr>
          <w:p>
            <w:pPr>
              <w:pStyle w:val="nTable"/>
              <w:spacing w:after="40"/>
            </w:pPr>
            <w:r>
              <w:t>5 Aug 2011 p. 3187</w:t>
            </w:r>
            <w:r>
              <w:noBreakHyphen/>
              <w:t>8</w:t>
            </w:r>
          </w:p>
        </w:tc>
        <w:tc>
          <w:tcPr>
            <w:tcW w:w="2693" w:type="dxa"/>
            <w:shd w:val="clear" w:color="auto" w:fill="auto"/>
          </w:tcPr>
          <w:p>
            <w:pPr>
              <w:pStyle w:val="nTable"/>
              <w:spacing w:after="40"/>
              <w:rPr>
                <w:snapToGrid w:val="0"/>
                <w:spacing w:val="-2"/>
              </w:rPr>
            </w:pPr>
            <w:r>
              <w:rPr>
                <w:snapToGrid w:val="0"/>
                <w:spacing w:val="-2"/>
              </w:rPr>
              <w:t>r. 1 and 2: 5 Aug 2011 (see r. 2(a));</w:t>
            </w:r>
            <w:r>
              <w:rPr>
                <w:snapToGrid w:val="0"/>
                <w:spacing w:val="-2"/>
              </w:rPr>
              <w:br/>
              <w:t>Regulations other than r. 1 and 2: 6 Aug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4: The </w:t>
            </w:r>
            <w:r>
              <w:rPr>
                <w:b/>
                <w:i/>
              </w:rPr>
              <w:t>Taxi Regulations 1995</w:t>
            </w:r>
            <w:r>
              <w:rPr>
                <w:b/>
              </w:rPr>
              <w:t xml:space="preserve"> as at 13 Jan 2012</w:t>
            </w:r>
            <w:r>
              <w:t xml:space="preserve"> (includes amendments listed above)</w:t>
            </w:r>
          </w:p>
        </w:tc>
      </w:tr>
      <w:tr>
        <w:trPr>
          <w:cantSplit/>
        </w:trPr>
        <w:tc>
          <w:tcPr>
            <w:tcW w:w="3119" w:type="dxa"/>
            <w:shd w:val="clear" w:color="auto" w:fill="auto"/>
          </w:tcPr>
          <w:p>
            <w:pPr>
              <w:pStyle w:val="nTable"/>
              <w:spacing w:after="40"/>
              <w:ind w:right="113"/>
              <w:rPr>
                <w:i/>
              </w:rPr>
            </w:pPr>
            <w:r>
              <w:rPr>
                <w:i/>
              </w:rPr>
              <w:t>Taxi Amendment Regulations 2012</w:t>
            </w:r>
          </w:p>
        </w:tc>
        <w:tc>
          <w:tcPr>
            <w:tcW w:w="1276" w:type="dxa"/>
            <w:shd w:val="clear" w:color="auto" w:fill="auto"/>
          </w:tcPr>
          <w:p>
            <w:pPr>
              <w:pStyle w:val="nTable"/>
              <w:spacing w:after="40"/>
            </w:pPr>
            <w:r>
              <w:t>5 Jun 2012 p. 2368</w:t>
            </w:r>
            <w:r>
              <w:noBreakHyphen/>
              <w:t>9</w:t>
            </w:r>
          </w:p>
        </w:tc>
        <w:tc>
          <w:tcPr>
            <w:tcW w:w="2693" w:type="dxa"/>
            <w:shd w:val="clear" w:color="auto" w:fill="auto"/>
          </w:tcPr>
          <w:p>
            <w:pPr>
              <w:pStyle w:val="nTable"/>
              <w:spacing w:after="40"/>
              <w:rPr>
                <w:snapToGrid w:val="0"/>
                <w:spacing w:val="-2"/>
              </w:rPr>
            </w:pPr>
            <w:r>
              <w:rPr>
                <w:snapToGrid w:val="0"/>
                <w:spacing w:val="-2"/>
              </w:rPr>
              <w:t>r. 1 and 2: 5 Jun 2012 (see r. 2(a));</w:t>
            </w:r>
            <w:r>
              <w:rPr>
                <w:snapToGrid w:val="0"/>
                <w:spacing w:val="-2"/>
              </w:rPr>
              <w:br/>
              <w:t>Regulations other than r. 1 and 2: 1 Jul 2012 (see r. 2(b))</w:t>
            </w:r>
          </w:p>
        </w:tc>
      </w:tr>
      <w:tr>
        <w:trPr>
          <w:cantSplit/>
        </w:trPr>
        <w:tc>
          <w:tcPr>
            <w:tcW w:w="3119" w:type="dxa"/>
            <w:shd w:val="clear" w:color="auto" w:fill="auto"/>
          </w:tcPr>
          <w:p>
            <w:pPr>
              <w:pStyle w:val="nTable"/>
              <w:spacing w:after="40"/>
              <w:ind w:right="113"/>
              <w:rPr>
                <w:i/>
              </w:rPr>
            </w:pPr>
            <w:r>
              <w:rPr>
                <w:i/>
              </w:rPr>
              <w:t>Taxi Amendment Regulations 2014</w:t>
            </w:r>
          </w:p>
        </w:tc>
        <w:tc>
          <w:tcPr>
            <w:tcW w:w="1276" w:type="dxa"/>
            <w:shd w:val="clear" w:color="auto" w:fill="auto"/>
          </w:tcPr>
          <w:p>
            <w:pPr>
              <w:pStyle w:val="nTable"/>
              <w:spacing w:after="40"/>
            </w:pPr>
            <w:r>
              <w:t>13 Jun 2014 p. 1903</w:t>
            </w:r>
          </w:p>
        </w:tc>
        <w:tc>
          <w:tcPr>
            <w:tcW w:w="2693" w:type="dxa"/>
            <w:shd w:val="clear" w:color="auto" w:fill="auto"/>
          </w:tcPr>
          <w:p>
            <w:pPr>
              <w:pStyle w:val="nTable"/>
              <w:spacing w:after="40"/>
              <w:rPr>
                <w:snapToGrid w:val="0"/>
                <w:spacing w:val="-2"/>
              </w:rPr>
            </w:pPr>
            <w:r>
              <w:rPr>
                <w:snapToGrid w:val="0"/>
                <w:spacing w:val="-2"/>
              </w:rPr>
              <w:t>r. 1 and 2: 13 Jun 2014 (see r. 2(a));</w:t>
            </w:r>
            <w:r>
              <w:rPr>
                <w:snapToGrid w:val="0"/>
                <w:spacing w:val="-2"/>
              </w:rPr>
              <w:br/>
              <w:t>Regulations other than r. 1 and 2: 1 Jul 2014 (see r. 2(b))</w:t>
            </w:r>
          </w:p>
        </w:tc>
      </w:tr>
      <w:tr>
        <w:trPr>
          <w:cantSplit/>
        </w:trPr>
        <w:tc>
          <w:tcPr>
            <w:tcW w:w="3119" w:type="dxa"/>
            <w:tcBorders>
              <w:bottom w:val="single" w:sz="4" w:space="0" w:color="auto"/>
            </w:tcBorders>
            <w:shd w:val="clear" w:color="auto" w:fill="auto"/>
          </w:tcPr>
          <w:p>
            <w:pPr>
              <w:pStyle w:val="nTable"/>
              <w:spacing w:after="40"/>
              <w:ind w:right="113"/>
              <w:rPr>
                <w:i/>
              </w:rPr>
            </w:pPr>
            <w:r>
              <w:rPr>
                <w:i/>
              </w:rPr>
              <w:t>Taxi Amendment Regulations 2015</w:t>
            </w:r>
          </w:p>
        </w:tc>
        <w:tc>
          <w:tcPr>
            <w:tcW w:w="1276" w:type="dxa"/>
            <w:tcBorders>
              <w:bottom w:val="single" w:sz="4" w:space="0" w:color="auto"/>
            </w:tcBorders>
            <w:shd w:val="clear" w:color="auto" w:fill="auto"/>
          </w:tcPr>
          <w:p>
            <w:pPr>
              <w:pStyle w:val="nTable"/>
              <w:spacing w:after="40"/>
            </w:pPr>
            <w:r>
              <w:t>20 Feb 2015 p. 692</w:t>
            </w:r>
            <w:r>
              <w:noBreakHyphen/>
              <w:t>4</w:t>
            </w:r>
          </w:p>
        </w:tc>
        <w:tc>
          <w:tcPr>
            <w:tcW w:w="2693" w:type="dxa"/>
            <w:tcBorders>
              <w:bottom w:val="single" w:sz="4" w:space="0" w:color="auto"/>
            </w:tcBorders>
            <w:shd w:val="clear" w:color="auto" w:fill="auto"/>
          </w:tcPr>
          <w:p>
            <w:pPr>
              <w:pStyle w:val="nTable"/>
              <w:spacing w:after="40"/>
              <w:rPr>
                <w:snapToGrid w:val="0"/>
                <w:spacing w:val="-2"/>
              </w:rPr>
            </w:pPr>
            <w:r>
              <w:rPr>
                <w:snapToGrid w:val="0"/>
                <w:spacing w:val="-2"/>
              </w:rPr>
              <w:t>r. 1 and 2: 20 Feb 2015 (see r. 2(a));</w:t>
            </w:r>
            <w:r>
              <w:rPr>
                <w:snapToGrid w:val="0"/>
                <w:spacing w:val="-2"/>
              </w:rPr>
              <w:br/>
              <w:t>Regulations other than r. 1 and 2: 24 Feb 2015 (see r. 2(b))</w:t>
            </w:r>
          </w:p>
        </w:tc>
      </w:tr>
    </w:tbl>
    <w:p>
      <w:pPr>
        <w:pStyle w:val="nSubsection"/>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rPr>
          <w:vertAlign w:val="superscript"/>
        </w:rPr>
      </w:pPr>
      <w:r>
        <w:rPr>
          <w:vertAlign w:val="superscript"/>
        </w:rPr>
        <w:t>4</w:t>
      </w:r>
      <w:r>
        <w:rPr>
          <w:rFonts w:ascii="Times" w:hAnsi="Times"/>
        </w:rPr>
        <w:tab/>
      </w:r>
      <w:r>
        <w:t xml:space="preserve">The </w:t>
      </w:r>
      <w:r>
        <w:rPr>
          <w:i/>
        </w:rPr>
        <w:t>Taxi Act 1994</w:t>
      </w:r>
      <w:r>
        <w:t xml:space="preserve"> s. 34 and 35 were deleted by the </w:t>
      </w:r>
      <w:r>
        <w:rPr>
          <w:i/>
        </w:rPr>
        <w:t>Acts Amendment (Criminal Procedure) Act 1999</w:t>
      </w:r>
      <w:r>
        <w:t xml:space="preserve"> s. 9.</w:t>
      </w:r>
    </w:p>
    <w:p>
      <w:pPr>
        <w:pStyle w:val="nSubsection"/>
      </w:pPr>
      <w:r>
        <w:rPr>
          <w:vertAlign w:val="superscript"/>
        </w:rPr>
        <w:t>5</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rPr>
          <w:i/>
        </w:rPr>
      </w:pPr>
      <w:r>
        <w:rPr>
          <w:vertAlign w:val="superscript"/>
        </w:rPr>
        <w:t>6</w:t>
      </w:r>
      <w:r>
        <w:rPr>
          <w:snapToGrid w:val="0"/>
        </w:rPr>
        <w:tab/>
        <w:t xml:space="preserve">Under the </w:t>
      </w:r>
      <w:r>
        <w:rPr>
          <w:i/>
          <w:iCs/>
          <w:snapToGrid w:val="0"/>
        </w:rPr>
        <w:t xml:space="preserve">Public Sector Management Act 1994 </w:t>
      </w:r>
      <w:r>
        <w:rPr>
          <w:snapToGrid w:val="0"/>
        </w:rPr>
        <w:t>departments can be established and named.  At the time this compilation was prepared, the designation of the department known as the Department of Justice had been altered to the Department of the Attorney General, and the Department of Corrective Services is established.</w:t>
      </w:r>
    </w:p>
    <w:p>
      <w:pPr>
        <w:pStyle w:val="nSubsection"/>
      </w:pPr>
      <w:r>
        <w:rPr>
          <w:vertAlign w:val="superscript"/>
        </w:rPr>
        <w:t>7</w:t>
      </w:r>
      <w:r>
        <w:rPr>
          <w:rFonts w:ascii="Times" w:hAnsi="Times"/>
        </w:rPr>
        <w:tab/>
      </w:r>
      <w:r>
        <w:t xml:space="preserve">Now known as the registrar of the </w:t>
      </w:r>
      <w:smartTag w:uri="urn:schemas-microsoft-com:office:smarttags" w:element="Street">
        <w:smartTag w:uri="urn:schemas-microsoft-com:office:smarttags" w:element="address">
          <w:r>
            <w:t>Magistrates Court</w:t>
          </w:r>
        </w:smartTag>
      </w:smartTag>
      <w:r>
        <w:rPr>
          <w:i/>
        </w:rPr>
        <w:t>.</w:t>
      </w:r>
    </w:p>
    <w:p>
      <w:pPr>
        <w:pStyle w:val="nSubsection"/>
      </w:pPr>
      <w:r>
        <w:rPr>
          <w:vertAlign w:val="superscript"/>
        </w:rPr>
        <w:t>8</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w:t>
      </w:r>
    </w:p>
    <w:p>
      <w:pPr>
        <w:pStyle w:val="nSubsection"/>
      </w:pPr>
      <w:r>
        <w:rPr>
          <w:vertAlign w:val="superscript"/>
        </w:rPr>
        <w:t>9</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w:t>
      </w:r>
    </w:p>
    <w:p/>
    <w:p>
      <w:pPr>
        <w:sectPr>
          <w:headerReference w:type="even" r:id="rId32"/>
          <w:headerReference w:type="default" r:id="rId33"/>
          <w:foot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person</w:t>
      </w:r>
      <w:r>
        <w:tab/>
        <w:t>3</w:t>
      </w:r>
    </w:p>
    <w:p>
      <w:pPr>
        <w:pStyle w:val="DefinedTerms"/>
      </w:pPr>
      <w:r>
        <w:t>approved uniform</w:t>
      </w:r>
      <w:r>
        <w:tab/>
        <w:t>17B(1)</w:t>
      </w:r>
    </w:p>
    <w:p>
      <w:pPr>
        <w:pStyle w:val="DefinedTerms"/>
      </w:pPr>
      <w:r>
        <w:t xml:space="preserve">camera surveillance unit </w:t>
      </w:r>
      <w:r>
        <w:tab/>
        <w:t>3</w:t>
      </w:r>
    </w:p>
    <w:p>
      <w:pPr>
        <w:pStyle w:val="DefinedTerms"/>
      </w:pPr>
      <w:r>
        <w:t>commencement day</w:t>
      </w:r>
      <w:r>
        <w:tab/>
        <w:t>13H(1)</w:t>
      </w:r>
    </w:p>
    <w:p>
      <w:pPr>
        <w:pStyle w:val="DefinedTerms"/>
      </w:pPr>
      <w:r>
        <w:t>current certificate</w:t>
      </w:r>
      <w:r>
        <w:tab/>
        <w:t>13G(1)</w:t>
      </w:r>
    </w:p>
    <w:p>
      <w:pPr>
        <w:pStyle w:val="DefinedTerms"/>
      </w:pPr>
      <w:r>
        <w:t>district</w:t>
      </w:r>
      <w:r>
        <w:tab/>
        <w:t>4(2)</w:t>
      </w:r>
    </w:p>
    <w:p>
      <w:pPr>
        <w:pStyle w:val="DefinedTerms"/>
      </w:pPr>
      <w:r>
        <w:t>driver</w:t>
      </w:r>
      <w:r>
        <w:tab/>
        <w:t>3</w:t>
      </w:r>
    </w:p>
    <w:p>
      <w:pPr>
        <w:pStyle w:val="DefinedTerms"/>
      </w:pPr>
      <w:r>
        <w:t>fare</w:t>
      </w:r>
      <w:r>
        <w:tab/>
        <w:t>3</w:t>
      </w:r>
    </w:p>
    <w:p>
      <w:pPr>
        <w:pStyle w:val="DefinedTerms"/>
      </w:pPr>
      <w:r>
        <w:t>fare schedule</w:t>
      </w:r>
      <w:r>
        <w:tab/>
        <w:t>3</w:t>
      </w:r>
    </w:p>
    <w:p>
      <w:pPr>
        <w:pStyle w:val="DefinedTerms"/>
      </w:pPr>
      <w:r>
        <w:t>hirer</w:t>
      </w:r>
      <w:r>
        <w:tab/>
        <w:t>3</w:t>
      </w:r>
    </w:p>
    <w:p>
      <w:pPr>
        <w:pStyle w:val="DefinedTerms"/>
      </w:pPr>
      <w:r>
        <w:t>metered taxi</w:t>
      </w:r>
      <w:r>
        <w:tab/>
        <w:t>3</w:t>
      </w:r>
    </w:p>
    <w:p>
      <w:pPr>
        <w:pStyle w:val="DefinedTerms"/>
      </w:pPr>
      <w:r>
        <w:t>multi</w:t>
      </w:r>
      <w:r>
        <w:noBreakHyphen/>
        <w:t>purpose taxi</w:t>
      </w:r>
      <w:r>
        <w:tab/>
        <w:t>3</w:t>
      </w:r>
    </w:p>
    <w:p>
      <w:pPr>
        <w:pStyle w:val="DefinedTerms"/>
      </w:pPr>
      <w:r>
        <w:t>non</w:t>
      </w:r>
      <w:r>
        <w:noBreakHyphen/>
        <w:t>cash payment</w:t>
      </w:r>
      <w:r>
        <w:tab/>
        <w:t>3</w:t>
      </w:r>
    </w:p>
    <w:p>
      <w:pPr>
        <w:pStyle w:val="DefinedTerms"/>
      </w:pPr>
      <w:r>
        <w:t>payment terminal</w:t>
      </w:r>
      <w:r>
        <w:tab/>
        <w:t>3</w:t>
      </w:r>
    </w:p>
    <w:p>
      <w:pPr>
        <w:pStyle w:val="DefinedTerms"/>
      </w:pPr>
      <w:r>
        <w:t>plying for hire</w:t>
      </w:r>
      <w:r>
        <w:tab/>
        <w:t>3</w:t>
      </w:r>
    </w:p>
    <w:p>
      <w:pPr>
        <w:pStyle w:val="DefinedTerms"/>
      </w:pPr>
      <w:r>
        <w:t>relevant time</w:t>
      </w:r>
      <w:r>
        <w:tab/>
        <w:t>13B(1)</w:t>
      </w:r>
    </w:p>
    <w:p>
      <w:pPr>
        <w:pStyle w:val="DefinedTerms"/>
      </w:pPr>
      <w:r>
        <w:t>restricted taxi</w:t>
      </w:r>
      <w:r>
        <w:tab/>
        <w:t>3</w:t>
      </w:r>
    </w:p>
    <w:p>
      <w:pPr>
        <w:pStyle w:val="DefinedTerms"/>
      </w:pPr>
      <w:r>
        <w:t>section</w:t>
      </w:r>
      <w:r>
        <w:tab/>
        <w:t>3</w:t>
      </w:r>
    </w:p>
    <w:p>
      <w:pPr>
        <w:pStyle w:val="DefinedTerms"/>
      </w:pPr>
      <w:r>
        <w:t>service</w:t>
      </w:r>
      <w:r>
        <w:tab/>
        <w:t>13D(1)</w:t>
      </w:r>
    </w:p>
    <w:p>
      <w:pPr>
        <w:pStyle w:val="DefinedTerms"/>
      </w:pPr>
      <w:r>
        <w:t>substitute taxi</w:t>
      </w:r>
      <w:r>
        <w:tab/>
        <w:t>3</w:t>
      </w:r>
    </w:p>
    <w:p>
      <w:pPr>
        <w:pStyle w:val="DefinedTerms"/>
      </w:pPr>
      <w:r>
        <w:t>surcharge</w:t>
      </w:r>
      <w:r>
        <w:tab/>
        <w:t>3</w:t>
      </w:r>
    </w:p>
    <w:p>
      <w:pPr>
        <w:pStyle w:val="DefinedTerms"/>
      </w:pPr>
      <w:r>
        <w:t>voucher</w:t>
      </w:r>
      <w:r>
        <w:tab/>
        <w:t>8(4)</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Feb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Feb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5" w:name="Schedule"/>
    <w:bookmarkEnd w:id="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1" w:name="DefinedTerms"/>
    <w:bookmarkEnd w:id="9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2" w:name="Coversheet"/>
    <w:bookmarkEnd w:id="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F702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9E3614D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15090532"/>
    <w:docVar w:name="WAFER_20140203171725" w:val="RemoveTocBookmarks,RemoveUnusedBookmarks,RemoveLanguageTags,UsedStyles,ResetPageSize,UpdateArrangement"/>
    <w:docVar w:name="WAFER_20140203171725_GUID" w:val="90bbf7c1-6dde-4724-9f13-563e3944136e"/>
    <w:docVar w:name="WAFER_20140204100253" w:val="RemoveTocBookmarks,RunningHeaders"/>
    <w:docVar w:name="WAFER_20140204100253_GUID" w:val="681521e8-a71b-4d8a-b8c0-ba6e0c963c0c"/>
    <w:docVar w:name="WAFER_20140613141643" w:val="RemoveTocBookmarks,RunningHeaders"/>
    <w:docVar w:name="WAFER_20140613141643_GUID" w:val="7ee78fb5-2a48-4f6b-a530-ad75b6579ea0"/>
    <w:docVar w:name="WAFER_20150219142016" w:val="RemoveTocBookmarks,RemoveUnusedBookmarks,RemoveLanguageTags,UsedStyles,ResetPageSize,UpdateArrangement"/>
    <w:docVar w:name="WAFER_20150219142016_GUID" w:val="ea221333-012e-443b-bea8-143c58e48e3a"/>
    <w:docVar w:name="WAFER_20150220151435" w:val="RemoveTocBookmarks,RunningHeaders"/>
    <w:docVar w:name="WAFER_20150220151435_GUID" w:val="a4834531-9556-4141-8c85-9ccc721f9bb1"/>
    <w:docVar w:name="WAFER_20150615090532" w:val="ResetPageSize,UpdateArrangement,UpdateNTable"/>
    <w:docVar w:name="WAFER_20150615090532_GUID" w:val="6fc1a21d-9c4e-4111-9ad5-961ef8efce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Heading5Char">
    <w:name w:val="Heading 5 Char"/>
    <w:basedOn w:val="DefaultParagraphFont"/>
    <w:link w:val="Heading5"/>
    <w:rPr>
      <w:b/>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Heading5Char">
    <w:name w:val="Heading 5 Char"/>
    <w:basedOn w:val="DefaultParagraphFont"/>
    <w:link w:val="Heading5"/>
    <w:rPr>
      <w:b/>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4.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footer" Target="footer9.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3.pn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2.bin"/><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9347</Words>
  <Characters>46830</Characters>
  <Application>Microsoft Office Word</Application>
  <DocSecurity>0</DocSecurity>
  <Lines>1561</Lines>
  <Paragraphs>985</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Ministry of Justice</Company>
  <LinksUpToDate>false</LinksUpToDate>
  <CharactersWithSpaces>55192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1995 - 04-f0-01</dc:title>
  <dc:subject>SubIF_T</dc:subject>
  <dc:creator>Matthew Pether</dc:creator>
  <cp:keywords/>
  <dc:description/>
  <cp:lastModifiedBy>svcMRProcess</cp:lastModifiedBy>
  <cp:revision>4</cp:revision>
  <cp:lastPrinted>2012-02-03T00:48:00Z</cp:lastPrinted>
  <dcterms:created xsi:type="dcterms:W3CDTF">2015-06-15T01:07:00Z</dcterms:created>
  <dcterms:modified xsi:type="dcterms:W3CDTF">2015-06-15T01:07:00Z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CommencementDate">
    <vt:lpwstr>20150224</vt:lpwstr>
  </property>
  <property fmtid="{D5CDD505-2E9C-101B-9397-08002B2CF9AE}" pid="4" name="DocumentType">
    <vt:lpwstr>Reg</vt:lpwstr>
  </property>
  <property fmtid="{D5CDD505-2E9C-101B-9397-08002B2CF9AE}" pid="5" name="OwlsUID">
    <vt:i4>4802</vt:i4>
  </property>
  <property fmtid="{D5CDD505-2E9C-101B-9397-08002B2CF9AE}" pid="6" name="ReprintedAsAt">
    <vt:filetime>2012-01-12T16:00:00Z</vt:filetime>
  </property>
  <property fmtid="{D5CDD505-2E9C-101B-9397-08002B2CF9AE}" pid="7" name="ReprintNo">
    <vt:lpwstr>4</vt:lpwstr>
  </property>
  <property fmtid="{D5CDD505-2E9C-101B-9397-08002B2CF9AE}" pid="8" name="AsAtDate">
    <vt:lpwstr>24 Feb 2015</vt:lpwstr>
  </property>
  <property fmtid="{D5CDD505-2E9C-101B-9397-08002B2CF9AE}" pid="9" name="Suffix">
    <vt:lpwstr>04-f0-01</vt:lpwstr>
  </property>
</Properties>
</file>