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_Toc413677716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_Toc413677717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_Toc413677718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_Toc413677720 \h </w:instrText>
      </w:r>
      <w:r>
        <w:fldChar w:fldCharType="separate"/>
      </w:r>
      <w:r>
        <w:t>3</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_Toc413677721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_Toc413677722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_Toc413677725 \h </w:instrText>
      </w:r>
      <w:r>
        <w:fldChar w:fldCharType="separate"/>
      </w:r>
      <w:r>
        <w:t>5</w:t>
      </w:r>
      <w:r>
        <w:fldChar w:fldCharType="end"/>
      </w:r>
    </w:p>
    <w:p>
      <w:pPr>
        <w:pStyle w:val="TOC8"/>
        <w:rPr>
          <w:rFonts w:asciiTheme="minorHAnsi" w:eastAsiaTheme="minorEastAsia" w:hAnsiTheme="minorHAnsi" w:cstheme="minorBidi"/>
          <w:szCs w:val="22"/>
        </w:rPr>
      </w:pPr>
      <w:r>
        <w:t>8.</w:t>
      </w:r>
      <w:r>
        <w:tab/>
        <w:t>Council to have regard to Standards for VET Regulators</w:t>
      </w:r>
      <w:r>
        <w:tab/>
      </w:r>
      <w:r>
        <w:fldChar w:fldCharType="begin"/>
      </w:r>
      <w:r>
        <w:instrText xml:space="preserve"> PAGEREF _Toc413677726 \h </w:instrText>
      </w:r>
      <w:r>
        <w:fldChar w:fldCharType="separate"/>
      </w:r>
      <w:r>
        <w:t>6</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_Toc413677727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_Toc413677729 \h </w:instrText>
      </w:r>
      <w:r>
        <w:fldChar w:fldCharType="separate"/>
      </w:r>
      <w:r>
        <w:t>8</w:t>
      </w:r>
      <w:r>
        <w:fldChar w:fldCharType="end"/>
      </w:r>
    </w:p>
    <w:p>
      <w:pPr>
        <w:pStyle w:val="TOC8"/>
        <w:rPr>
          <w:rFonts w:asciiTheme="minorHAnsi" w:eastAsiaTheme="minorEastAsia" w:hAnsiTheme="minorHAnsi" w:cstheme="minorBidi"/>
          <w:szCs w:val="22"/>
        </w:rPr>
      </w:pPr>
      <w:r>
        <w:t>11.</w:t>
      </w:r>
      <w:r>
        <w:tab/>
        <w:t>Dealing with applications</w:t>
      </w:r>
      <w:r>
        <w:tab/>
      </w:r>
      <w:r>
        <w:fldChar w:fldCharType="begin"/>
      </w:r>
      <w:r>
        <w:instrText xml:space="preserve"> PAGEREF _Toc413677730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_Toc413677731 \h </w:instrText>
      </w:r>
      <w:r>
        <w:fldChar w:fldCharType="separate"/>
      </w:r>
      <w:r>
        <w:t>9</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_Toc413677732 \h </w:instrText>
      </w:r>
      <w:r>
        <w:fldChar w:fldCharType="separate"/>
      </w:r>
      <w:r>
        <w:t>11</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_Toc413677733 \h </w:instrText>
      </w:r>
      <w:r>
        <w:fldChar w:fldCharType="separate"/>
      </w:r>
      <w:r>
        <w:t>13</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_Toc413677734 \h </w:instrText>
      </w:r>
      <w:r>
        <w:fldChar w:fldCharType="separate"/>
      </w:r>
      <w:r>
        <w:t>13</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_Toc413677735 \h </w:instrText>
      </w:r>
      <w:r>
        <w:fldChar w:fldCharType="separate"/>
      </w:r>
      <w:r>
        <w:t>13</w:t>
      </w:r>
      <w:r>
        <w:fldChar w:fldCharType="end"/>
      </w:r>
    </w:p>
    <w:p>
      <w:pPr>
        <w:pStyle w:val="TOC8"/>
        <w:rPr>
          <w:rFonts w:asciiTheme="minorHAnsi" w:eastAsiaTheme="minorEastAsia" w:hAnsiTheme="minorHAnsi" w:cstheme="minorBidi"/>
          <w:szCs w:val="22"/>
        </w:rPr>
      </w:pPr>
      <w:r>
        <w:t>17.</w:t>
      </w:r>
      <w:r>
        <w:tab/>
        <w:t>Varying registrations</w:t>
      </w:r>
      <w:r>
        <w:tab/>
      </w:r>
      <w:r>
        <w:fldChar w:fldCharType="begin"/>
      </w:r>
      <w:r>
        <w:instrText xml:space="preserve"> PAGEREF _Toc413677736 \h </w:instrText>
      </w:r>
      <w:r>
        <w:fldChar w:fldCharType="separate"/>
      </w:r>
      <w:r>
        <w:t>14</w:t>
      </w:r>
      <w:r>
        <w:fldChar w:fldCharType="end"/>
      </w:r>
    </w:p>
    <w:p>
      <w:pPr>
        <w:pStyle w:val="TOC8"/>
        <w:rPr>
          <w:rFonts w:asciiTheme="minorHAnsi" w:eastAsiaTheme="minorEastAsia" w:hAnsiTheme="minorHAnsi" w:cstheme="minorBidi"/>
          <w:szCs w:val="22"/>
        </w:rPr>
      </w:pPr>
      <w:r>
        <w:t>18.</w:t>
      </w:r>
      <w:r>
        <w:tab/>
        <w:t>Cancelling registration if provider’s operations change</w:t>
      </w:r>
      <w:r>
        <w:tab/>
      </w:r>
      <w:r>
        <w:fldChar w:fldCharType="begin"/>
      </w:r>
      <w:r>
        <w:instrText xml:space="preserve"> PAGEREF _Toc413677737 \h </w:instrText>
      </w:r>
      <w:r>
        <w:fldChar w:fldCharType="separate"/>
      </w:r>
      <w:r>
        <w:t>16</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_Toc413677738 \h </w:instrText>
      </w:r>
      <w:r>
        <w:fldChar w:fldCharType="separate"/>
      </w:r>
      <w:r>
        <w:t>16</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_Toc413677739 \h </w:instrText>
      </w:r>
      <w:r>
        <w:fldChar w:fldCharType="separate"/>
      </w:r>
      <w:r>
        <w:t>18</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_Toc413677740 \h </w:instrText>
      </w:r>
      <w:r>
        <w:fldChar w:fldCharType="separate"/>
      </w:r>
      <w:r>
        <w:t>18</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_Toc413677741 \h </w:instrText>
      </w:r>
      <w:r>
        <w:fldChar w:fldCharType="separate"/>
      </w:r>
      <w:r>
        <w:t>19</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_Toc413677742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_Toc413677744 \h </w:instrText>
      </w:r>
      <w:r>
        <w:fldChar w:fldCharType="separate"/>
      </w:r>
      <w:r>
        <w:t>20</w:t>
      </w:r>
      <w:r>
        <w:fldChar w:fldCharType="end"/>
      </w:r>
    </w:p>
    <w:p>
      <w:pPr>
        <w:pStyle w:val="TOC8"/>
        <w:rPr>
          <w:rFonts w:asciiTheme="minorHAnsi" w:eastAsiaTheme="minorEastAsia" w:hAnsiTheme="minorHAnsi" w:cstheme="minorBidi"/>
          <w:szCs w:val="22"/>
        </w:rPr>
      </w:pPr>
      <w:r>
        <w:t>25.</w:t>
      </w:r>
      <w:r>
        <w:tab/>
        <w:t>Compliance audits</w:t>
      </w:r>
      <w:r>
        <w:tab/>
      </w:r>
      <w:r>
        <w:fldChar w:fldCharType="begin"/>
      </w:r>
      <w:r>
        <w:instrText xml:space="preserve"> PAGEREF _Toc413677745 \h </w:instrText>
      </w:r>
      <w:r>
        <w:fldChar w:fldCharType="separate"/>
      </w:r>
      <w:r>
        <w:t>21</w:t>
      </w:r>
      <w:r>
        <w:fldChar w:fldCharType="end"/>
      </w:r>
    </w:p>
    <w:p>
      <w:pPr>
        <w:pStyle w:val="TOC8"/>
        <w:rPr>
          <w:rFonts w:asciiTheme="minorHAnsi" w:eastAsiaTheme="minorEastAsia" w:hAnsiTheme="minorHAnsi" w:cstheme="minorBidi"/>
          <w:szCs w:val="22"/>
        </w:rPr>
      </w:pPr>
      <w:r>
        <w:t>26A.</w:t>
      </w:r>
      <w:r>
        <w:tab/>
        <w:t>Compliance monitoring audits</w:t>
      </w:r>
      <w:r>
        <w:tab/>
      </w:r>
      <w:r>
        <w:fldChar w:fldCharType="begin"/>
      </w:r>
      <w:r>
        <w:instrText xml:space="preserve"> PAGEREF _Toc413677746 \h </w:instrText>
      </w:r>
      <w:r>
        <w:fldChar w:fldCharType="separate"/>
      </w:r>
      <w:r>
        <w:t>21</w:t>
      </w:r>
      <w:r>
        <w:fldChar w:fldCharType="end"/>
      </w:r>
    </w:p>
    <w:p>
      <w:pPr>
        <w:pStyle w:val="TOC8"/>
        <w:rPr>
          <w:rFonts w:asciiTheme="minorHAnsi" w:eastAsiaTheme="minorEastAsia" w:hAnsiTheme="minorHAnsi" w:cstheme="minorBidi"/>
          <w:szCs w:val="22"/>
        </w:rPr>
      </w:pPr>
      <w:r>
        <w:t>26B.</w:t>
      </w:r>
      <w:r>
        <w:tab/>
        <w:t>Investigations of complaints</w:t>
      </w:r>
      <w:r>
        <w:tab/>
      </w:r>
      <w:r>
        <w:fldChar w:fldCharType="begin"/>
      </w:r>
      <w:r>
        <w:instrText xml:space="preserve"> PAGEREF _Toc413677747 \h </w:instrText>
      </w:r>
      <w:r>
        <w:fldChar w:fldCharType="separate"/>
      </w:r>
      <w:r>
        <w:t>22</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_Toc413677748 \h </w:instrText>
      </w:r>
      <w:r>
        <w:fldChar w:fldCharType="separate"/>
      </w:r>
      <w:r>
        <w:t>23</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_Toc413677749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_Toc413677751 \h </w:instrText>
      </w:r>
      <w:r>
        <w:fldChar w:fldCharType="separate"/>
      </w:r>
      <w:r>
        <w:t>25</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_Toc413677752 \h </w:instrText>
      </w:r>
      <w:r>
        <w:fldChar w:fldCharType="separate"/>
      </w:r>
      <w:r>
        <w:t>26</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_Toc413677753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_Toc413677755 \h </w:instrText>
      </w:r>
      <w:r>
        <w:fldChar w:fldCharType="separate"/>
      </w:r>
      <w:r>
        <w:t>27</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_Toc413677756 \h </w:instrText>
      </w:r>
      <w:r>
        <w:fldChar w:fldCharType="separate"/>
      </w:r>
      <w:r>
        <w:t>28</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_Toc413677757 \h </w:instrText>
      </w:r>
      <w:r>
        <w:fldChar w:fldCharType="separate"/>
      </w:r>
      <w:r>
        <w:t>28</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_Toc413677758 \h </w:instrText>
      </w:r>
      <w:r>
        <w:fldChar w:fldCharType="separate"/>
      </w:r>
      <w:r>
        <w:t>29</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_Toc413677759 \h </w:instrText>
      </w:r>
      <w:r>
        <w:fldChar w:fldCharType="separate"/>
      </w:r>
      <w:r>
        <w:t>29</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_Toc413677760 \h </w:instrText>
      </w:r>
      <w:r>
        <w:fldChar w:fldCharType="separate"/>
      </w:r>
      <w:r>
        <w:t>30</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_Toc413677761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_Toc413677764 \h </w:instrText>
      </w:r>
      <w:r>
        <w:fldChar w:fldCharType="separate"/>
      </w:r>
      <w:r>
        <w:t>32</w:t>
      </w:r>
      <w:r>
        <w:fldChar w:fldCharType="end"/>
      </w:r>
    </w:p>
    <w:p>
      <w:pPr>
        <w:pStyle w:val="TOC8"/>
        <w:rPr>
          <w:rFonts w:asciiTheme="minorHAnsi" w:eastAsiaTheme="minorEastAsia" w:hAnsiTheme="minorHAnsi" w:cstheme="minorBidi"/>
          <w:szCs w:val="22"/>
        </w:rPr>
      </w:pPr>
      <w:r>
        <w:t>35.</w:t>
      </w:r>
      <w:r>
        <w:tab/>
        <w:t>Chief executive may delegate</w:t>
      </w:r>
      <w:r>
        <w:tab/>
      </w:r>
      <w:r>
        <w:fldChar w:fldCharType="begin"/>
      </w:r>
      <w:r>
        <w:instrText xml:space="preserve"> PAGEREF _Toc413677765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_Toc413677767 \h </w:instrText>
      </w:r>
      <w:r>
        <w:fldChar w:fldCharType="separate"/>
      </w:r>
      <w:r>
        <w:t>33</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_Toc413677768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_Toc413677770 \h </w:instrText>
      </w:r>
      <w:r>
        <w:fldChar w:fldCharType="separate"/>
      </w:r>
      <w:r>
        <w:t>34</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_Toc413677771 \h </w:instrText>
      </w:r>
      <w:r>
        <w:fldChar w:fldCharType="separate"/>
      </w:r>
      <w:r>
        <w:t>35</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_Toc413677772 \h </w:instrText>
      </w:r>
      <w:r>
        <w:fldChar w:fldCharType="separate"/>
      </w:r>
      <w:r>
        <w:t>36</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_Toc413677773 \h </w:instrText>
      </w:r>
      <w:r>
        <w:fldChar w:fldCharType="separate"/>
      </w:r>
      <w:r>
        <w:t>37</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_Toc413677774 \h </w:instrText>
      </w:r>
      <w:r>
        <w:fldChar w:fldCharType="separate"/>
      </w:r>
      <w:r>
        <w:t>38</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_Toc413677775 \h </w:instrText>
      </w:r>
      <w:r>
        <w:fldChar w:fldCharType="separate"/>
      </w:r>
      <w:r>
        <w:t>39</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_Toc413677776 \h </w:instrText>
      </w:r>
      <w:r>
        <w:fldChar w:fldCharType="separate"/>
      </w:r>
      <w:r>
        <w:t>40</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_Toc413677777 \h </w:instrText>
      </w:r>
      <w:r>
        <w:fldChar w:fldCharType="separate"/>
      </w:r>
      <w:r>
        <w:t>41</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_Toc413677778 \h </w:instrText>
      </w:r>
      <w:r>
        <w:fldChar w:fldCharType="separate"/>
      </w:r>
      <w:r>
        <w:t>41</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_Toc413677779 \h </w:instrText>
      </w:r>
      <w:r>
        <w:fldChar w:fldCharType="separate"/>
      </w:r>
      <w:r>
        <w:t>42</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_Toc413677780 \h </w:instrText>
      </w:r>
      <w:r>
        <w:fldChar w:fldCharType="separate"/>
      </w:r>
      <w:r>
        <w:t>43</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_Toc413677781 \h </w:instrText>
      </w:r>
      <w:r>
        <w:fldChar w:fldCharType="separate"/>
      </w:r>
      <w:r>
        <w:t>44</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_Toc413677782 \h </w:instrText>
      </w:r>
      <w:r>
        <w:fldChar w:fldCharType="separate"/>
      </w:r>
      <w:r>
        <w:t>45</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_Toc413677783 \h </w:instrText>
      </w:r>
      <w:r>
        <w:fldChar w:fldCharType="separate"/>
      </w:r>
      <w:r>
        <w:t>46</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_Toc413677784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_Toc413677786 \h </w:instrText>
      </w:r>
      <w:r>
        <w:fldChar w:fldCharType="separate"/>
      </w:r>
      <w:r>
        <w:t>46</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_Toc413677787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_Toc413677789 \h </w:instrText>
      </w:r>
      <w:r>
        <w:fldChar w:fldCharType="separate"/>
      </w:r>
      <w:r>
        <w:t>48</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_Toc413677790 \h </w:instrText>
      </w:r>
      <w:r>
        <w:fldChar w:fldCharType="separate"/>
      </w:r>
      <w:r>
        <w:t>48</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_Toc413677791 \h </w:instrText>
      </w:r>
      <w:r>
        <w:fldChar w:fldCharType="separate"/>
      </w:r>
      <w:r>
        <w:t>48</w:t>
      </w:r>
      <w:r>
        <w:fldChar w:fldCharType="end"/>
      </w:r>
    </w:p>
    <w:p>
      <w:pPr>
        <w:pStyle w:val="TOC8"/>
        <w:rPr>
          <w:rFonts w:asciiTheme="minorHAnsi" w:eastAsiaTheme="minorEastAsia" w:hAnsiTheme="minorHAnsi" w:cstheme="minorBidi"/>
          <w:szCs w:val="22"/>
        </w:rPr>
      </w:pPr>
      <w:r>
        <w:t>59.</w:t>
      </w:r>
      <w:r>
        <w:tab/>
        <w:t>Traineeship contracts</w:t>
      </w:r>
      <w:r>
        <w:tab/>
      </w:r>
      <w:r>
        <w:fldChar w:fldCharType="begin"/>
      </w:r>
      <w:r>
        <w:instrText xml:space="preserve"> PAGEREF _Toc413677792 \h </w:instrText>
      </w:r>
      <w:r>
        <w:fldChar w:fldCharType="separate"/>
      </w:r>
      <w:r>
        <w:t>48</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_Toc413677793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_Toc413677796 \h </w:instrText>
      </w:r>
      <w:r>
        <w:fldChar w:fldCharType="separate"/>
      </w:r>
      <w:r>
        <w:t>71</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_Toc413677797 \h </w:instrText>
      </w:r>
      <w:r>
        <w:fldChar w:fldCharType="separate"/>
      </w:r>
      <w:r>
        <w:t>71</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_Toc413677798 \h </w:instrText>
      </w:r>
      <w:r>
        <w:fldChar w:fldCharType="separate"/>
      </w:r>
      <w:r>
        <w:t>73</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_Toc413677799 \h </w:instrText>
      </w:r>
      <w:r>
        <w:fldChar w:fldCharType="separate"/>
      </w:r>
      <w:r>
        <w:t>73</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_Toc413677800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_Toc413677802 \h </w:instrText>
      </w:r>
      <w:r>
        <w:fldChar w:fldCharType="separate"/>
      </w:r>
      <w:r>
        <w:t>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_Toc413677803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3" w:name="_Toc394914706"/>
      <w:bookmarkStart w:id="4" w:name="_Toc405799711"/>
      <w:bookmarkStart w:id="5" w:name="_Toc405806894"/>
      <w:bookmarkStart w:id="6" w:name="_Toc413661866"/>
      <w:bookmarkStart w:id="7" w:name="_Toc413677715"/>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p>
    <w:p>
      <w:pPr>
        <w:pStyle w:val="Heading5"/>
      </w:pPr>
      <w:bookmarkStart w:id="8" w:name="_Toc405806895"/>
      <w:bookmarkStart w:id="9" w:name="_Toc413677716"/>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Vocational Education and Training (General) Regulations 2009</w:t>
      </w:r>
      <w:r>
        <w:t> </w:t>
      </w:r>
      <w:r>
        <w:rPr>
          <w:iCs/>
          <w:vertAlign w:val="superscript"/>
        </w:rPr>
        <w:t>1</w:t>
      </w:r>
      <w:r>
        <w:t>.</w:t>
      </w:r>
    </w:p>
    <w:p>
      <w:pPr>
        <w:pStyle w:val="Heading5"/>
        <w:rPr>
          <w:spacing w:val="-2"/>
        </w:rPr>
      </w:pPr>
      <w:bookmarkStart w:id="11" w:name="_Toc405806896"/>
      <w:bookmarkStart w:id="12" w:name="_Toc41367771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r>
        <w:rPr>
          <w:vertAlign w:val="superscript"/>
        </w:rPr>
        <w:t> 1</w:t>
      </w:r>
      <w:r>
        <w:t>.</w:t>
      </w:r>
    </w:p>
    <w:p>
      <w:pPr>
        <w:pStyle w:val="Heading5"/>
      </w:pPr>
      <w:bookmarkStart w:id="13" w:name="_Toc405806897"/>
      <w:bookmarkStart w:id="14" w:name="_Toc413677718"/>
      <w:r>
        <w:rPr>
          <w:rStyle w:val="CharSectno"/>
        </w:rPr>
        <w:t>3</w:t>
      </w:r>
      <w:r>
        <w:t>.</w:t>
      </w:r>
      <w:r>
        <w:tab/>
        <w:t>Terms used</w:t>
      </w:r>
      <w:bookmarkEnd w:id="13"/>
      <w:bookmarkEnd w:id="14"/>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 xml:space="preserve">AQF </w:t>
      </w:r>
      <w:r>
        <w:t>means the Australian Qualifications Framework as defined in the Commonwealth Act section 3;</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has the meaning given in the Commonwealth Act section 3;</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Footnotesection"/>
      </w:pPr>
      <w:r>
        <w:tab/>
        <w:t>[Regulation 3 amended in Gazette 17 Dec 2013 p.</w:t>
      </w:r>
      <w:r>
        <w:rPr>
          <w:sz w:val="19"/>
        </w:rPr>
        <w:t> </w:t>
      </w:r>
      <w:r>
        <w:t>6219.]</w:t>
      </w:r>
    </w:p>
    <w:p>
      <w:pPr>
        <w:pStyle w:val="Heading2"/>
      </w:pPr>
      <w:bookmarkStart w:id="15" w:name="_Toc394914710"/>
      <w:bookmarkStart w:id="16" w:name="_Toc405799715"/>
      <w:bookmarkStart w:id="17" w:name="_Toc405806898"/>
      <w:bookmarkStart w:id="18" w:name="_Toc413661870"/>
      <w:bookmarkStart w:id="19" w:name="_Toc413677719"/>
      <w:r>
        <w:rPr>
          <w:rStyle w:val="CharPartNo"/>
        </w:rPr>
        <w:t>Part 2</w:t>
      </w:r>
      <w:r>
        <w:rPr>
          <w:rStyle w:val="CharDivNo"/>
        </w:rPr>
        <w:t> </w:t>
      </w:r>
      <w:r>
        <w:t>—</w:t>
      </w:r>
      <w:r>
        <w:rPr>
          <w:rStyle w:val="CharDivText"/>
        </w:rPr>
        <w:t> </w:t>
      </w:r>
      <w:r>
        <w:rPr>
          <w:rStyle w:val="CharPartText"/>
        </w:rPr>
        <w:t>General matters</w:t>
      </w:r>
      <w:bookmarkEnd w:id="15"/>
      <w:bookmarkEnd w:id="16"/>
      <w:bookmarkEnd w:id="17"/>
      <w:bookmarkEnd w:id="18"/>
      <w:bookmarkEnd w:id="19"/>
    </w:p>
    <w:p>
      <w:pPr>
        <w:pStyle w:val="Heading5"/>
      </w:pPr>
      <w:bookmarkStart w:id="20" w:name="_Toc405806899"/>
      <w:bookmarkStart w:id="21" w:name="_Toc413677720"/>
      <w:r>
        <w:rPr>
          <w:rStyle w:val="CharSectno"/>
        </w:rPr>
        <w:t>4</w:t>
      </w:r>
      <w:r>
        <w:t>.</w:t>
      </w:r>
      <w:r>
        <w:tab/>
        <w:t>Approved VET courses (Act s. 5(1))</w:t>
      </w:r>
      <w:bookmarkEnd w:id="20"/>
      <w:bookmarkEnd w:id="21"/>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Footnotesection"/>
      </w:pPr>
      <w:r>
        <w:tab/>
        <w:t>[Regulation 4 amended in Gazette 17 Dec 2013 p.</w:t>
      </w:r>
      <w:r>
        <w:rPr>
          <w:sz w:val="19"/>
        </w:rPr>
        <w:t> </w:t>
      </w:r>
      <w:r>
        <w:t>6220.]</w:t>
      </w:r>
    </w:p>
    <w:p>
      <w:pPr>
        <w:pStyle w:val="Heading5"/>
      </w:pPr>
      <w:bookmarkStart w:id="22" w:name="_Toc405806900"/>
      <w:bookmarkStart w:id="23" w:name="_Toc413677721"/>
      <w:r>
        <w:rPr>
          <w:rStyle w:val="CharSectno"/>
        </w:rPr>
        <w:t>5</w:t>
      </w:r>
      <w:r>
        <w:t>.</w:t>
      </w:r>
      <w:r>
        <w:tab/>
        <w:t>Corresponding laws (Act s. 5(1))</w:t>
      </w:r>
      <w:bookmarkEnd w:id="22"/>
      <w:bookmarkEnd w:id="23"/>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24" w:name="_Toc405806901"/>
      <w:bookmarkStart w:id="25" w:name="_Toc413677722"/>
      <w:r>
        <w:rPr>
          <w:rStyle w:val="CharSectno"/>
        </w:rPr>
        <w:t>6</w:t>
      </w:r>
      <w:r>
        <w:t>.</w:t>
      </w:r>
      <w:r>
        <w:tab/>
        <w:t>Prescribed VET qualifications (Act s. 5(1))</w:t>
      </w:r>
      <w:bookmarkEnd w:id="24"/>
      <w:bookmarkEnd w:id="25"/>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26" w:name="_Toc394914714"/>
      <w:bookmarkStart w:id="27" w:name="_Toc405799719"/>
      <w:bookmarkStart w:id="28" w:name="_Toc405806902"/>
      <w:bookmarkStart w:id="29" w:name="_Toc413661874"/>
      <w:bookmarkStart w:id="30" w:name="_Toc413677723"/>
      <w:r>
        <w:rPr>
          <w:rStyle w:val="CharPartNo"/>
        </w:rPr>
        <w:t>Part 3</w:t>
      </w:r>
      <w:r>
        <w:t> — </w:t>
      </w:r>
      <w:r>
        <w:rPr>
          <w:rStyle w:val="CharPartText"/>
        </w:rPr>
        <w:t>Regulations for Part 7A of the Act</w:t>
      </w:r>
      <w:bookmarkEnd w:id="26"/>
      <w:bookmarkEnd w:id="27"/>
      <w:bookmarkEnd w:id="28"/>
      <w:bookmarkEnd w:id="29"/>
      <w:bookmarkEnd w:id="30"/>
    </w:p>
    <w:p>
      <w:pPr>
        <w:pStyle w:val="Heading3"/>
      </w:pPr>
      <w:bookmarkStart w:id="31" w:name="_Toc394914715"/>
      <w:bookmarkStart w:id="32" w:name="_Toc405799720"/>
      <w:bookmarkStart w:id="33" w:name="_Toc405806903"/>
      <w:bookmarkStart w:id="34" w:name="_Toc413661875"/>
      <w:bookmarkStart w:id="35" w:name="_Toc413677724"/>
      <w:r>
        <w:rPr>
          <w:rStyle w:val="CharDivNo"/>
        </w:rPr>
        <w:t>Division 1</w:t>
      </w:r>
      <w:r>
        <w:t> — </w:t>
      </w:r>
      <w:r>
        <w:rPr>
          <w:rStyle w:val="CharDivText"/>
        </w:rPr>
        <w:t>General matters</w:t>
      </w:r>
      <w:bookmarkEnd w:id="31"/>
      <w:bookmarkEnd w:id="32"/>
      <w:bookmarkEnd w:id="33"/>
      <w:bookmarkEnd w:id="34"/>
      <w:bookmarkEnd w:id="35"/>
    </w:p>
    <w:p>
      <w:pPr>
        <w:pStyle w:val="Heading5"/>
      </w:pPr>
      <w:bookmarkStart w:id="36" w:name="_Toc405806904"/>
      <w:bookmarkStart w:id="37" w:name="_Toc413677725"/>
      <w:r>
        <w:rPr>
          <w:rStyle w:val="CharSectno"/>
        </w:rPr>
        <w:t>7</w:t>
      </w:r>
      <w:r>
        <w:t>.</w:t>
      </w:r>
      <w:r>
        <w:tab/>
        <w:t>Terms used</w:t>
      </w:r>
      <w:bookmarkEnd w:id="36"/>
      <w:bookmarkEnd w:id="37"/>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rPr>
          <w:b/>
          <w:i/>
        </w:rPr>
        <w:tab/>
      </w:r>
      <w:r>
        <w:rPr>
          <w:rStyle w:val="CharDefText"/>
        </w:rPr>
        <w:t>compliance monitoring audit</w:t>
      </w:r>
      <w:r>
        <w:t xml:space="preserve"> means a compliance monitoring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Standards for VET Regulators</w:t>
      </w:r>
      <w:r>
        <w:t xml:space="preserve"> has the meaning given in the Commonwealth Act section 189;</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or the Standards for VET Regulators is a reference to the standard as published from time to time.</w:t>
      </w:r>
    </w:p>
    <w:p>
      <w:pPr>
        <w:pStyle w:val="Footnotesection"/>
      </w:pPr>
      <w:r>
        <w:tab/>
        <w:t>[Regulation 7 amended in Gazette 25 Oct 2011 p. 4509; 17 Dec 2013 p. 6220.]</w:t>
      </w:r>
    </w:p>
    <w:p>
      <w:pPr>
        <w:pStyle w:val="Heading5"/>
      </w:pPr>
      <w:bookmarkStart w:id="38" w:name="_Toc405806905"/>
      <w:bookmarkStart w:id="39" w:name="_Toc413677726"/>
      <w:r>
        <w:rPr>
          <w:rStyle w:val="CharSectno"/>
        </w:rPr>
        <w:t>8</w:t>
      </w:r>
      <w:r>
        <w:t>.</w:t>
      </w:r>
      <w:r>
        <w:tab/>
        <w:t>Council to have regard to Standards for VET Regulators</w:t>
      </w:r>
      <w:bookmarkEnd w:id="38"/>
      <w:bookmarkEnd w:id="39"/>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r>
        <w:tab/>
        <w:t>[Regulation 8 amended in Gazette 25 Oct 2011 p. 4509; 17 Dec 2013 p. 6220.]</w:t>
      </w:r>
    </w:p>
    <w:p>
      <w:pPr>
        <w:pStyle w:val="Heading5"/>
      </w:pPr>
      <w:bookmarkStart w:id="40" w:name="_Toc405806906"/>
      <w:bookmarkStart w:id="41" w:name="_Toc413677727"/>
      <w:r>
        <w:rPr>
          <w:rStyle w:val="CharSectno"/>
        </w:rPr>
        <w:t>9</w:t>
      </w:r>
      <w:r>
        <w:t>.</w:t>
      </w:r>
      <w:r>
        <w:tab/>
        <w:t>Register</w:t>
      </w:r>
      <w:bookmarkEnd w:id="40"/>
      <w:bookmarkEnd w:id="41"/>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in Gazette 17 Dec 2013 p.</w:t>
      </w:r>
      <w:r>
        <w:rPr>
          <w:sz w:val="19"/>
        </w:rPr>
        <w:t> </w:t>
      </w:r>
      <w:r>
        <w:t>6220.]</w:t>
      </w:r>
    </w:p>
    <w:p>
      <w:pPr>
        <w:pStyle w:val="Heading3"/>
      </w:pPr>
      <w:bookmarkStart w:id="42" w:name="_Toc394914719"/>
      <w:bookmarkStart w:id="43" w:name="_Toc405799724"/>
      <w:bookmarkStart w:id="44" w:name="_Toc405806907"/>
      <w:bookmarkStart w:id="45" w:name="_Toc413661879"/>
      <w:bookmarkStart w:id="46" w:name="_Toc413677728"/>
      <w:r>
        <w:rPr>
          <w:rStyle w:val="CharDivNo"/>
        </w:rPr>
        <w:t>Division 2</w:t>
      </w:r>
      <w:r>
        <w:t> — </w:t>
      </w:r>
      <w:r>
        <w:rPr>
          <w:rStyle w:val="CharDivText"/>
        </w:rPr>
        <w:t>Registration of training providers</w:t>
      </w:r>
      <w:bookmarkEnd w:id="42"/>
      <w:bookmarkEnd w:id="43"/>
      <w:bookmarkEnd w:id="44"/>
      <w:bookmarkEnd w:id="45"/>
      <w:bookmarkEnd w:id="46"/>
    </w:p>
    <w:p>
      <w:pPr>
        <w:pStyle w:val="Heading5"/>
      </w:pPr>
      <w:bookmarkStart w:id="47" w:name="_Toc405806908"/>
      <w:bookmarkStart w:id="48" w:name="_Toc413677729"/>
      <w:r>
        <w:rPr>
          <w:rStyle w:val="CharSectno"/>
        </w:rPr>
        <w:t>10</w:t>
      </w:r>
      <w:r>
        <w:t>.</w:t>
      </w:r>
      <w:r>
        <w:tab/>
        <w:t>Applying to be registered training provider</w:t>
      </w:r>
      <w:bookmarkEnd w:id="47"/>
      <w:bookmarkEnd w:id="48"/>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in Gazette 17 Dec 2013 p.</w:t>
      </w:r>
      <w:r>
        <w:rPr>
          <w:sz w:val="19"/>
        </w:rPr>
        <w:t> </w:t>
      </w:r>
      <w:r>
        <w:t>6221.]</w:t>
      </w:r>
    </w:p>
    <w:p>
      <w:pPr>
        <w:pStyle w:val="Heading5"/>
      </w:pPr>
      <w:bookmarkStart w:id="49" w:name="_Toc405806909"/>
      <w:bookmarkStart w:id="50" w:name="_Toc413677730"/>
      <w:r>
        <w:rPr>
          <w:rStyle w:val="CharSectno"/>
        </w:rPr>
        <w:t>11</w:t>
      </w:r>
      <w:r>
        <w:t>.</w:t>
      </w:r>
      <w:r>
        <w:tab/>
        <w:t>Dealing with applications</w:t>
      </w:r>
      <w:bookmarkEnd w:id="49"/>
      <w:bookmarkEnd w:id="50"/>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51" w:name="_Toc405806910"/>
      <w:bookmarkStart w:id="52" w:name="_Toc413677731"/>
      <w:r>
        <w:rPr>
          <w:rStyle w:val="CharSectno"/>
        </w:rPr>
        <w:t>12</w:t>
      </w:r>
      <w:r>
        <w:t>.</w:t>
      </w:r>
      <w:r>
        <w:tab/>
        <w:t>Registering training providers</w:t>
      </w:r>
      <w:bookmarkEnd w:id="51"/>
      <w:bookmarkEnd w:id="52"/>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the provider satisfies the criteria for making an application for registration under regulation 10(1)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or the Commonwealth Act 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in Gazette 25 Oct 2011 p. 4509; 17 Dec 2013 p. 6221.]</w:t>
      </w:r>
    </w:p>
    <w:p>
      <w:pPr>
        <w:pStyle w:val="Heading5"/>
      </w:pPr>
      <w:bookmarkStart w:id="53" w:name="_Toc405806911"/>
      <w:bookmarkStart w:id="54" w:name="_Toc413677732"/>
      <w:r>
        <w:rPr>
          <w:rStyle w:val="CharSectno"/>
        </w:rPr>
        <w:t>13</w:t>
      </w:r>
      <w:r>
        <w:t>.</w:t>
      </w:r>
      <w:r>
        <w:tab/>
        <w:t>Conditions of registration</w:t>
      </w:r>
      <w:bookmarkEnd w:id="53"/>
      <w:bookmarkEnd w:id="54"/>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or a compliance monitoring audit shows the provider does meet those 3 standards, take all steps necessary to meet them;</w:t>
      </w:r>
    </w:p>
    <w:p>
      <w:pPr>
        <w:pStyle w:val="Ednotepara"/>
      </w:pPr>
      <w:r>
        <w:tab/>
        <w:t>[(c)</w:t>
      </w:r>
      <w:r>
        <w:tab/>
        <w:t>deleted]</w:t>
      </w:r>
    </w:p>
    <w:p>
      <w:pPr>
        <w:pStyle w:val="Indenta"/>
      </w:pPr>
      <w:r>
        <w:tab/>
        <w:t>(d)</w:t>
      </w:r>
      <w:r>
        <w:tab/>
        <w:t>the provider must, if a compliance audit or a compliance monitoring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keepNext/>
      </w:pPr>
      <w:r>
        <w:tab/>
        <w:t>(4)</w:t>
      </w:r>
      <w:r>
        <w:tab/>
        <w:t>Any condition imposed under subregulation (3) must be consistent with the continuing registration requirements.</w:t>
      </w:r>
    </w:p>
    <w:p>
      <w:pPr>
        <w:pStyle w:val="Footnotesection"/>
      </w:pPr>
      <w:r>
        <w:tab/>
        <w:t>[Regulation 13 amended in Gazette 25 Oct 2011 p. 4510; 17 Dec 2013 p. 6222.]</w:t>
      </w:r>
    </w:p>
    <w:p>
      <w:pPr>
        <w:pStyle w:val="Heading5"/>
      </w:pPr>
      <w:bookmarkStart w:id="55" w:name="_Toc405806912"/>
      <w:bookmarkStart w:id="56" w:name="_Toc413677733"/>
      <w:r>
        <w:rPr>
          <w:rStyle w:val="CharSectno"/>
        </w:rPr>
        <w:t>14</w:t>
      </w:r>
      <w:r>
        <w:t>.</w:t>
      </w:r>
      <w:r>
        <w:tab/>
        <w:t>Period of registration</w:t>
      </w:r>
      <w:bookmarkEnd w:id="55"/>
      <w:bookmarkEnd w:id="56"/>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57" w:name="_Toc405806913"/>
      <w:bookmarkStart w:id="58" w:name="_Toc413677734"/>
      <w:r>
        <w:rPr>
          <w:rStyle w:val="CharSectno"/>
        </w:rPr>
        <w:t>15</w:t>
      </w:r>
      <w:r>
        <w:t>.</w:t>
      </w:r>
      <w:r>
        <w:tab/>
        <w:t>Annual fees payable by registered training providers</w:t>
      </w:r>
      <w:bookmarkEnd w:id="57"/>
      <w:bookmarkEnd w:id="58"/>
    </w:p>
    <w:p>
      <w:pPr>
        <w:pStyle w:val="Subsection"/>
      </w:pPr>
      <w:r>
        <w:tab/>
      </w:r>
      <w:r>
        <w:tab/>
        <w:t>A WA registered provider must pay an annual fee set under regulation 23 on or before each anniversary of the provider’s registration or its renewal.</w:t>
      </w:r>
    </w:p>
    <w:p>
      <w:pPr>
        <w:pStyle w:val="Heading5"/>
      </w:pPr>
      <w:bookmarkStart w:id="59" w:name="_Toc405806914"/>
      <w:bookmarkStart w:id="60" w:name="_Toc413677735"/>
      <w:r>
        <w:rPr>
          <w:rStyle w:val="CharSectno"/>
        </w:rPr>
        <w:t>16</w:t>
      </w:r>
      <w:r>
        <w:t>.</w:t>
      </w:r>
      <w:r>
        <w:tab/>
        <w:t>Renewal of registration</w:t>
      </w:r>
      <w:bookmarkEnd w:id="59"/>
      <w:bookmarkEnd w:id="60"/>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person satisfies the criteria for making an application for registration under regulation 10(1);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r>
        <w:tab/>
        <w:t>[Regulation 16 amended in Gazette 25 Oct 2011 p. 4510; 17 Dec 2013 p. 6222.]</w:t>
      </w:r>
    </w:p>
    <w:p>
      <w:pPr>
        <w:pStyle w:val="Heading5"/>
      </w:pPr>
      <w:bookmarkStart w:id="61" w:name="_Toc405806915"/>
      <w:bookmarkStart w:id="62" w:name="_Toc413677736"/>
      <w:r>
        <w:rPr>
          <w:rStyle w:val="CharSectno"/>
        </w:rPr>
        <w:t>17</w:t>
      </w:r>
      <w:r>
        <w:t>.</w:t>
      </w:r>
      <w:r>
        <w:tab/>
        <w:t>Varying registrations</w:t>
      </w:r>
      <w:bookmarkEnd w:id="61"/>
      <w:bookmarkEnd w:id="62"/>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spacing w:before="120"/>
      </w:pPr>
      <w:r>
        <w:tab/>
        <w:t>(4)</w:t>
      </w:r>
      <w:r>
        <w:tab/>
        <w:t>The Council must not vary a WA registered provider’s registration to change the provider’s scope of registration unless it is satisfied that the provider satisfies the criteria for making an application for registration under regulation 10(1) and that —</w:t>
      </w:r>
    </w:p>
    <w:p>
      <w:pPr>
        <w:pStyle w:val="Indenta"/>
      </w:pPr>
      <w:r>
        <w:tab/>
        <w:t>(a)</w:t>
      </w:r>
      <w:r>
        <w:tab/>
        <w:t>the provider meets the standards in the continuing registration requirements; or</w:t>
      </w:r>
    </w:p>
    <w:p>
      <w:pPr>
        <w:pStyle w:val="Indenta"/>
      </w:pPr>
      <w:r>
        <w:tab/>
        <w:t>(b)</w:t>
      </w:r>
      <w:r>
        <w:tab/>
        <w:t>a compliance audit or a compliance monitoring audit has been conducted on the provider within the previous 3 months and the provider has been found to meet those standards,</w:t>
      </w:r>
    </w:p>
    <w:p>
      <w:pPr>
        <w:pStyle w:val="Subsection"/>
        <w:spacing w:before="120"/>
      </w:pPr>
      <w:r>
        <w:tab/>
      </w:r>
      <w:r>
        <w:tab/>
        <w:t>in relation to any operations that the change would authorise the provider to conduct and that, without the change, the provider is not authorised to conduct.</w:t>
      </w:r>
    </w:p>
    <w:p>
      <w:pPr>
        <w:pStyle w:val="Subsection"/>
        <w:spacing w:before="120"/>
      </w:pPr>
      <w:r>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in Gazette 25 Oct 2011 p. 4510; 17 Dec 2013 p. 6222.]</w:t>
      </w:r>
    </w:p>
    <w:p>
      <w:pPr>
        <w:pStyle w:val="Heading5"/>
      </w:pPr>
      <w:bookmarkStart w:id="63" w:name="_Toc405806916"/>
      <w:bookmarkStart w:id="64" w:name="_Toc413677737"/>
      <w:r>
        <w:rPr>
          <w:rStyle w:val="CharSectno"/>
        </w:rPr>
        <w:t>18</w:t>
      </w:r>
      <w:r>
        <w:t>.</w:t>
      </w:r>
      <w:r>
        <w:tab/>
        <w:t>Cancelling registration if provider’s operations change</w:t>
      </w:r>
      <w:bookmarkEnd w:id="63"/>
      <w:bookmarkEnd w:id="64"/>
    </w:p>
    <w:p>
      <w:pPr>
        <w:pStyle w:val="Subsection"/>
      </w:pPr>
      <w:r>
        <w:tab/>
        <w:t>(1)</w:t>
      </w:r>
      <w:r>
        <w:tab/>
        <w:t>Under section 58B of the Act, the Council may cancel a WA registered provider’s registration if it is satisfied that the provider is a person who does not satisfy, or no longer satisfies, the criteria for making an application for registration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in Gazette 17 Dec 2013 p.</w:t>
      </w:r>
      <w:r>
        <w:rPr>
          <w:sz w:val="19"/>
        </w:rPr>
        <w:t> </w:t>
      </w:r>
      <w:r>
        <w:t>6222.]</w:t>
      </w:r>
    </w:p>
    <w:p>
      <w:pPr>
        <w:pStyle w:val="Heading5"/>
      </w:pPr>
      <w:bookmarkStart w:id="65" w:name="_Toc405806917"/>
      <w:bookmarkStart w:id="66" w:name="_Toc413677738"/>
      <w:r>
        <w:rPr>
          <w:rStyle w:val="CharSectno"/>
        </w:rPr>
        <w:t>19</w:t>
      </w:r>
      <w:r>
        <w:t>.</w:t>
      </w:r>
      <w:r>
        <w:tab/>
        <w:t>Suspending or cancelling registration</w:t>
      </w:r>
      <w:bookmarkEnd w:id="65"/>
      <w:bookmarkEnd w:id="66"/>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Council is no longer satisfied that the provider satisfies the criteria for making an application for registration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Ednotesubsection"/>
      </w:pPr>
      <w:r>
        <w:tab/>
        <w:t>[(9)</w:t>
      </w:r>
      <w:r>
        <w:tab/>
        <w:t>deleted]</w:t>
      </w:r>
    </w:p>
    <w:p>
      <w:pPr>
        <w:pStyle w:val="Footnotesection"/>
      </w:pPr>
      <w:r>
        <w:tab/>
        <w:t>[Regulation 19 amended in Gazette 25 Oct 2011 p. 4510; 17 Dec 2013 p. 6223; 15 Jul 2014 p. 2463.]</w:t>
      </w:r>
    </w:p>
    <w:p>
      <w:pPr>
        <w:pStyle w:val="Heading5"/>
      </w:pPr>
      <w:bookmarkStart w:id="67" w:name="_Toc405806918"/>
      <w:bookmarkStart w:id="68" w:name="_Toc413677739"/>
      <w:r>
        <w:rPr>
          <w:rStyle w:val="CharSectno"/>
        </w:rPr>
        <w:t>20</w:t>
      </w:r>
      <w:r>
        <w:t>.</w:t>
      </w:r>
      <w:r>
        <w:tab/>
        <w:t>Suspension of WA registered provider may be on terms</w:t>
      </w:r>
      <w:bookmarkEnd w:id="67"/>
      <w:bookmarkEnd w:id="68"/>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69" w:name="_Toc405806919"/>
      <w:bookmarkStart w:id="70" w:name="_Toc413677740"/>
      <w:r>
        <w:rPr>
          <w:rStyle w:val="CharSectno"/>
        </w:rPr>
        <w:t>21</w:t>
      </w:r>
      <w:r>
        <w:t>.</w:t>
      </w:r>
      <w:r>
        <w:tab/>
        <w:t>Effect of suspension of WA registered provider</w:t>
      </w:r>
      <w:bookmarkEnd w:id="69"/>
      <w:bookmarkEnd w:id="70"/>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71" w:name="_Toc405806920"/>
      <w:bookmarkStart w:id="72" w:name="_Toc413677741"/>
      <w:r>
        <w:rPr>
          <w:rStyle w:val="CharSectno"/>
        </w:rPr>
        <w:t>22</w:t>
      </w:r>
      <w:r>
        <w:t>.</w:t>
      </w:r>
      <w:r>
        <w:tab/>
        <w:t>Requests for reassessment of decision to suspend WA registered provider</w:t>
      </w:r>
      <w:bookmarkEnd w:id="71"/>
      <w:bookmarkEnd w:id="72"/>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in Gazette 17 Dec 2013 p.</w:t>
      </w:r>
      <w:r>
        <w:rPr>
          <w:sz w:val="19"/>
        </w:rPr>
        <w:t> </w:t>
      </w:r>
      <w:r>
        <w:t>6223</w:t>
      </w:r>
      <w:r>
        <w:noBreakHyphen/>
        <w:t>4.]</w:t>
      </w:r>
    </w:p>
    <w:p>
      <w:pPr>
        <w:pStyle w:val="Heading5"/>
        <w:spacing w:before="180"/>
      </w:pPr>
      <w:bookmarkStart w:id="73" w:name="_Toc405806921"/>
      <w:bookmarkStart w:id="74" w:name="_Toc413677742"/>
      <w:r>
        <w:rPr>
          <w:rStyle w:val="CharSectno"/>
        </w:rPr>
        <w:t>23</w:t>
      </w:r>
      <w:r>
        <w:t>.</w:t>
      </w:r>
      <w:r>
        <w:tab/>
        <w:t>Fees</w:t>
      </w:r>
      <w:bookmarkEnd w:id="73"/>
      <w:bookmarkEnd w:id="74"/>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rPr>
          <w:rStyle w:val="CharDivText"/>
        </w:rPr>
      </w:pPr>
      <w:bookmarkStart w:id="75" w:name="_Toc394914734"/>
      <w:bookmarkStart w:id="76" w:name="_Toc405799739"/>
      <w:bookmarkStart w:id="77" w:name="_Toc405806922"/>
      <w:bookmarkStart w:id="78" w:name="_Toc413661894"/>
      <w:bookmarkStart w:id="79" w:name="_Toc413677743"/>
      <w:r>
        <w:rPr>
          <w:rStyle w:val="CharDivNo"/>
        </w:rPr>
        <w:t>Division 3</w:t>
      </w:r>
      <w:r>
        <w:t> — </w:t>
      </w:r>
      <w:r>
        <w:rPr>
          <w:rStyle w:val="CharDivText"/>
        </w:rPr>
        <w:t>Audits of, and investigations into, training providers</w:t>
      </w:r>
      <w:bookmarkEnd w:id="75"/>
      <w:bookmarkEnd w:id="76"/>
      <w:bookmarkEnd w:id="77"/>
      <w:bookmarkEnd w:id="78"/>
      <w:bookmarkEnd w:id="79"/>
    </w:p>
    <w:p>
      <w:pPr>
        <w:pStyle w:val="Footnoteheading"/>
      </w:pPr>
      <w:r>
        <w:tab/>
        <w:t>[Heading amended in Gazette 17 Dec 2013 p. 6224.]</w:t>
      </w:r>
    </w:p>
    <w:p>
      <w:pPr>
        <w:pStyle w:val="Heading5"/>
      </w:pPr>
      <w:bookmarkStart w:id="80" w:name="_Toc405806923"/>
      <w:bookmarkStart w:id="81" w:name="_Toc413677744"/>
      <w:r>
        <w:rPr>
          <w:rStyle w:val="CharSectno"/>
        </w:rPr>
        <w:t>24</w:t>
      </w:r>
      <w:r>
        <w:t>.</w:t>
      </w:r>
      <w:r>
        <w:tab/>
        <w:t>Terms used</w:t>
      </w:r>
      <w:bookmarkEnd w:id="80"/>
      <w:bookmarkEnd w:id="81"/>
    </w:p>
    <w:p>
      <w:pPr>
        <w:pStyle w:val="Subsection"/>
      </w:pPr>
      <w:r>
        <w:tab/>
      </w:r>
      <w:r>
        <w:tab/>
        <w:t>In this Division —</w:t>
      </w:r>
    </w:p>
    <w:p>
      <w:pPr>
        <w:pStyle w:val="Defstart"/>
      </w:pPr>
      <w:r>
        <w:tab/>
      </w:r>
      <w:r>
        <w:rPr>
          <w:rStyle w:val="CharDefText"/>
        </w:rPr>
        <w:t>compliance audit</w:t>
      </w:r>
      <w:r>
        <w:t xml:space="preserve"> means an audit to establish whether a training provider meets the relevant registration requirements or is complying with the Act;</w:t>
      </w:r>
    </w:p>
    <w:p>
      <w:pPr>
        <w:pStyle w:val="Defstart"/>
      </w:pPr>
      <w:r>
        <w:rPr>
          <w:b/>
          <w:i/>
        </w:rPr>
        <w:tab/>
      </w:r>
      <w:r>
        <w:rPr>
          <w:rStyle w:val="CharDefText"/>
        </w:rPr>
        <w:t>compliance monitoring audit</w:t>
      </w:r>
      <w:r>
        <w:rPr>
          <w:b/>
          <w:i/>
        </w:rPr>
        <w:t xml:space="preserve"> </w:t>
      </w:r>
      <w:r>
        <w:t xml:space="preserve">means an audit in the form of a review or examination of all or any particular aspect of a WA registered provider’s operations — </w:t>
      </w:r>
    </w:p>
    <w:p>
      <w:pPr>
        <w:pStyle w:val="Defpara"/>
      </w:pPr>
      <w:r>
        <w:tab/>
        <w:t>(a)</w:t>
      </w:r>
      <w:r>
        <w:tab/>
        <w:t>following a compliance audit; or</w:t>
      </w:r>
    </w:p>
    <w:p>
      <w:pPr>
        <w:pStyle w:val="Defpara"/>
      </w:pPr>
      <w:r>
        <w:tab/>
        <w:t>(b)</w:t>
      </w:r>
      <w:r>
        <w:tab/>
        <w:t>as part of an investigation of a complaint;</w:t>
      </w:r>
    </w:p>
    <w:p>
      <w:pPr>
        <w:pStyle w:val="Defstart"/>
      </w:pPr>
      <w:r>
        <w:rPr>
          <w:b/>
          <w:i/>
        </w:rPr>
        <w:tab/>
      </w:r>
      <w:r>
        <w:rPr>
          <w:rStyle w:val="CharDefText"/>
        </w:rPr>
        <w:t>investigation</w:t>
      </w:r>
      <w:r>
        <w:t>, in relation to a complaint, means an investigation into a WA registered provider conducted by the Council as a result of a complaint made about the provider’s compliance with the AQTF;</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tab/>
        <w:t>(b)</w:t>
      </w:r>
      <w:r>
        <w:tab/>
        <w:t>such other travel expenses which may reasonably be incurred, including but not limited to accommodation, car rental and meals.</w:t>
      </w:r>
    </w:p>
    <w:p>
      <w:pPr>
        <w:pStyle w:val="Footnotesection"/>
      </w:pPr>
      <w:r>
        <w:tab/>
        <w:t>[Regulation 24 inserted in Gazette 17 Dec 2013 p.</w:t>
      </w:r>
      <w:r>
        <w:rPr>
          <w:sz w:val="19"/>
        </w:rPr>
        <w:t> </w:t>
      </w:r>
      <w:r>
        <w:t>6224.]</w:t>
      </w:r>
    </w:p>
    <w:p>
      <w:pPr>
        <w:pStyle w:val="Heading5"/>
      </w:pPr>
      <w:bookmarkStart w:id="82" w:name="_Toc405806924"/>
      <w:bookmarkStart w:id="83" w:name="_Toc413677745"/>
      <w:r>
        <w:rPr>
          <w:rStyle w:val="CharSectno"/>
        </w:rPr>
        <w:t>25</w:t>
      </w:r>
      <w:r>
        <w:t>.</w:t>
      </w:r>
      <w:r>
        <w:tab/>
        <w:t>Compliance audits</w:t>
      </w:r>
      <w:bookmarkEnd w:id="82"/>
      <w:bookmarkEnd w:id="83"/>
    </w:p>
    <w:p>
      <w:pPr>
        <w:pStyle w:val="Subsection"/>
      </w:pPr>
      <w:r>
        <w:tab/>
        <w:t>(1)</w:t>
      </w:r>
      <w:r>
        <w:tab/>
        <w:t>An inquiry conducted under section 58D of the Act may be in the form of a compliance audit.</w:t>
      </w:r>
    </w:p>
    <w:p>
      <w:pPr>
        <w:pStyle w:val="Subsection"/>
      </w:pPr>
      <w:r>
        <w:tab/>
        <w:t>(2A)</w:t>
      </w:r>
      <w:r>
        <w:tab/>
        <w:t>The Council may conduct a compliance audit at any time on a training provider if the Council thinks fit having regard to the Act and the relevant registration requirements.</w:t>
      </w:r>
    </w:p>
    <w:p>
      <w:pPr>
        <w:pStyle w:val="Subsection"/>
      </w:pPr>
      <w:r>
        <w:tab/>
        <w:t>(2)</w:t>
      </w:r>
      <w:r>
        <w:tab/>
        <w:t>A compliance audit must comply with the Standards for VET Regulators.</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Footnotesection"/>
      </w:pPr>
      <w:r>
        <w:tab/>
        <w:t>[Regulation 25 amended in Gazette 17 Dec 2013 p.</w:t>
      </w:r>
      <w:r>
        <w:rPr>
          <w:sz w:val="19"/>
        </w:rPr>
        <w:t> </w:t>
      </w:r>
      <w:r>
        <w:t>6225.]</w:t>
      </w:r>
    </w:p>
    <w:p>
      <w:pPr>
        <w:pStyle w:val="Heading5"/>
      </w:pPr>
      <w:bookmarkStart w:id="84" w:name="_Toc405806925"/>
      <w:bookmarkStart w:id="85" w:name="_Toc413677746"/>
      <w:r>
        <w:rPr>
          <w:rStyle w:val="CharSectno"/>
        </w:rPr>
        <w:t>26A</w:t>
      </w:r>
      <w:r>
        <w:t>.</w:t>
      </w:r>
      <w:r>
        <w:tab/>
        <w:t>Compliance monitoring audits</w:t>
      </w:r>
      <w:bookmarkEnd w:id="84"/>
      <w:bookmarkEnd w:id="85"/>
    </w:p>
    <w:p>
      <w:pPr>
        <w:pStyle w:val="Subsection"/>
      </w:pPr>
      <w:r>
        <w:tab/>
        <w:t>(1)</w:t>
      </w:r>
      <w:r>
        <w:tab/>
        <w:t>An inquiry conducted under section 58D of the Act may be in the form of a compliance monitoring audit on a WA registered provider.</w:t>
      </w:r>
    </w:p>
    <w:p>
      <w:pPr>
        <w:pStyle w:val="Subsection"/>
      </w:pPr>
      <w:r>
        <w:tab/>
        <w:t>(2)</w:t>
      </w:r>
      <w:r>
        <w:tab/>
        <w:t xml:space="preserve">The Council may conduct a compliance monitoring audit on a WA registered provider — </w:t>
      </w:r>
    </w:p>
    <w:p>
      <w:pPr>
        <w:pStyle w:val="Indenta"/>
      </w:pPr>
      <w:r>
        <w:tab/>
        <w:t>(a)</w:t>
      </w:r>
      <w:r>
        <w:tab/>
        <w:t>if the Council thinks fit after assessing the results of a compliance audit; or</w:t>
      </w:r>
    </w:p>
    <w:p>
      <w:pPr>
        <w:pStyle w:val="Indenta"/>
      </w:pPr>
      <w:r>
        <w:tab/>
        <w:t>(b)</w:t>
      </w:r>
      <w:r>
        <w:tab/>
        <w:t>as part of an investigation of a complaint.</w:t>
      </w:r>
    </w:p>
    <w:p>
      <w:pPr>
        <w:pStyle w:val="Subsection"/>
      </w:pPr>
      <w:r>
        <w:tab/>
        <w:t>(3)</w:t>
      </w:r>
      <w:r>
        <w:tab/>
        <w:t xml:space="preserve">If the Council conducts a compliance monitoring audit on a WA registered provider, a charge is payable for — </w:t>
      </w:r>
    </w:p>
    <w:p>
      <w:pPr>
        <w:pStyle w:val="Indenta"/>
      </w:pPr>
      <w:r>
        <w:tab/>
        <w:t>(a)</w:t>
      </w:r>
      <w:r>
        <w:tab/>
        <w:t xml:space="preserve">the costs and expenses incurred by the Council in conducting the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any part of the audit is conducted outside Australia — any additional expenses reasonably incurred by the Council relating to that part of the audit.</w:t>
      </w:r>
    </w:p>
    <w:p>
      <w:pPr>
        <w:pStyle w:val="Subsection"/>
      </w:pPr>
      <w:r>
        <w:tab/>
        <w:t>(4)</w:t>
      </w:r>
      <w:r>
        <w:tab/>
        <w:t>A charge under subregulation (3) relating to a compliance monitoring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in Gazette 17 Dec 2013 p.</w:t>
      </w:r>
      <w:r>
        <w:rPr>
          <w:sz w:val="19"/>
        </w:rPr>
        <w:t> </w:t>
      </w:r>
      <w:r>
        <w:t>6225</w:t>
      </w:r>
      <w:r>
        <w:noBreakHyphen/>
        <w:t>6.]</w:t>
      </w:r>
    </w:p>
    <w:p>
      <w:pPr>
        <w:pStyle w:val="Heading5"/>
      </w:pPr>
      <w:bookmarkStart w:id="86" w:name="_Toc405806926"/>
      <w:bookmarkStart w:id="87" w:name="_Toc413677747"/>
      <w:r>
        <w:rPr>
          <w:rStyle w:val="CharSectno"/>
        </w:rPr>
        <w:t>26B</w:t>
      </w:r>
      <w:r>
        <w:t>.</w:t>
      </w:r>
      <w:r>
        <w:tab/>
        <w:t>Investigations of complaints</w:t>
      </w:r>
      <w:bookmarkEnd w:id="86"/>
      <w:bookmarkEnd w:id="87"/>
    </w:p>
    <w:p>
      <w:pPr>
        <w:pStyle w:val="Subsection"/>
      </w:pPr>
      <w:r>
        <w:tab/>
        <w:t>(1)</w:t>
      </w:r>
      <w:r>
        <w:tab/>
        <w:t>An inquiry conducted under section 58D of the Act may be in the form of the investigation of a complaint made about compliance with the AQTF by a WA registered provider.</w:t>
      </w:r>
    </w:p>
    <w:p>
      <w:pPr>
        <w:pStyle w:val="Subsection"/>
      </w:pPr>
      <w:r>
        <w:tab/>
        <w:t>(2)</w:t>
      </w:r>
      <w:r>
        <w:tab/>
        <w:t>An investigation of a complaint must comply with the National Guidelines for Responding to Complaints about Vocational Education and Training Quality in the National Guidelines for a Registering Body, part of the AQTF.</w:t>
      </w:r>
    </w:p>
    <w:p>
      <w:pPr>
        <w:pStyle w:val="Subsection"/>
      </w:pPr>
      <w:r>
        <w:tab/>
        <w:t>(3)</w:t>
      </w:r>
      <w:r>
        <w:tab/>
        <w:t>A contravention of subregulation (2) does not affect the validity of the investigation of a complaint if the contravention —</w:t>
      </w:r>
    </w:p>
    <w:p>
      <w:pPr>
        <w:pStyle w:val="Indenta"/>
      </w:pPr>
      <w:r>
        <w:tab/>
        <w:t>(a)</w:t>
      </w:r>
      <w:r>
        <w:tab/>
        <w:t>does not substantially affect the outcome of the investigation; or</w:t>
      </w:r>
    </w:p>
    <w:p>
      <w:pPr>
        <w:pStyle w:val="Indenta"/>
      </w:pPr>
      <w:r>
        <w:tab/>
        <w:t>(b)</w:t>
      </w:r>
      <w:r>
        <w:tab/>
        <w:t>arises out of an inconsistency between the National Guidelines for Responding to Complaints about Vocational Education and Training Quality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tab/>
        <w:t>(ii)</w:t>
      </w:r>
      <w:r>
        <w:tab/>
        <w:t>the official travel costs;</w:t>
      </w:r>
    </w:p>
    <w:p>
      <w:pPr>
        <w:pStyle w:val="Indenta"/>
      </w:pPr>
      <w:r>
        <w:tab/>
      </w:r>
      <w:r>
        <w:tab/>
        <w:t>and</w:t>
      </w:r>
    </w:p>
    <w:p>
      <w:pPr>
        <w:pStyle w:val="Indenta"/>
      </w:pPr>
      <w:r>
        <w:tab/>
        <w:t>(b)</w:t>
      </w:r>
      <w:r>
        <w:tab/>
        <w:t>if a compliance monitoring audit is conducted as part of the investigation — the charges prescribed under regulation 26A(3)(a); and</w:t>
      </w:r>
    </w:p>
    <w:p>
      <w:pPr>
        <w:pStyle w:val="Indenta"/>
      </w:pPr>
      <w:r>
        <w:tab/>
        <w:t>(c)</w:t>
      </w:r>
      <w:r>
        <w:tab/>
        <w:t>if any part of the investigation, or compliance monitoring audit referred to in paragraph (b), is conducted outside Australia — any additional expenses reasonably incurred by the Council relating to that part of the investigation or audit.</w:t>
      </w:r>
    </w:p>
    <w:p>
      <w:pPr>
        <w:pStyle w:val="Subsection"/>
      </w:pPr>
      <w:r>
        <w:tab/>
        <w:t>(5)</w:t>
      </w:r>
      <w:r>
        <w:tab/>
        <w:t>A charge under subregulation (4) relating to an investigation of a complaint about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in Gazette 17 Dec 2013 p.</w:t>
      </w:r>
      <w:r>
        <w:rPr>
          <w:sz w:val="19"/>
        </w:rPr>
        <w:t> </w:t>
      </w:r>
      <w:r>
        <w:t>6226.]</w:t>
      </w:r>
    </w:p>
    <w:p>
      <w:pPr>
        <w:pStyle w:val="Heading5"/>
      </w:pPr>
      <w:bookmarkStart w:id="88" w:name="_Toc405806927"/>
      <w:bookmarkStart w:id="89" w:name="_Toc413677748"/>
      <w:r>
        <w:rPr>
          <w:rStyle w:val="CharSectno"/>
        </w:rPr>
        <w:t>26C</w:t>
      </w:r>
      <w:r>
        <w:t>.</w:t>
      </w:r>
      <w:r>
        <w:tab/>
        <w:t>Circumstances in which a charge may be waived in whole or in part</w:t>
      </w:r>
      <w:bookmarkEnd w:id="88"/>
      <w:bookmarkEnd w:id="89"/>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monitoring audit or investigation that resulted in the imposition of a charge;</w:t>
      </w:r>
    </w:p>
    <w:p>
      <w:pPr>
        <w:pStyle w:val="Indenta"/>
      </w:pPr>
      <w:r>
        <w:tab/>
        <w:t>(b)</w:t>
      </w:r>
      <w:r>
        <w:tab/>
        <w:t>where the WA registered provider required to pay the charge does not agree with the outcome of the compliance monitoring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in Gazette 17 Dec 2013 p.</w:t>
      </w:r>
      <w:r>
        <w:rPr>
          <w:sz w:val="19"/>
        </w:rPr>
        <w:t> </w:t>
      </w:r>
      <w:r>
        <w:t>6227.]</w:t>
      </w:r>
    </w:p>
    <w:p>
      <w:pPr>
        <w:pStyle w:val="Heading5"/>
      </w:pPr>
      <w:bookmarkStart w:id="90" w:name="_Toc405806928"/>
      <w:bookmarkStart w:id="91" w:name="_Toc413677749"/>
      <w:r>
        <w:rPr>
          <w:rStyle w:val="CharSectno"/>
        </w:rPr>
        <w:t>26D</w:t>
      </w:r>
      <w:r>
        <w:t>.</w:t>
      </w:r>
      <w:r>
        <w:tab/>
        <w:t>Rounding</w:t>
      </w:r>
      <w:bookmarkEnd w:id="90"/>
      <w:bookmarkEnd w:id="91"/>
    </w:p>
    <w:p>
      <w:pPr>
        <w:pStyle w:val="Subsection"/>
      </w:pPr>
      <w:r>
        <w:tab/>
      </w:r>
      <w:r>
        <w:tab/>
        <w:t xml:space="preserve">When determining under regulations 26A(3)(a)(ii) and 26B(4)(a)(i) the amount of the charge payable for a compliance monitoring audit or investigation where the hourly rate is $250 per hour, the following amounts will apply in the following circumstances — </w:t>
      </w:r>
    </w:p>
    <w:p>
      <w:pPr>
        <w:pStyle w:val="Indenta"/>
      </w:pPr>
      <w:r>
        <w:tab/>
        <w:t>(a)</w:t>
      </w:r>
      <w:r>
        <w:tab/>
        <w:t>if the time taken to complete the compliance monitoring audit or an investigation is less than 30 minutes, the total amount payable will be zero dollars;</w:t>
      </w:r>
    </w:p>
    <w:p>
      <w:pPr>
        <w:pStyle w:val="Indenta"/>
      </w:pPr>
      <w:r>
        <w:tab/>
        <w:t>(b)</w:t>
      </w:r>
      <w:r>
        <w:tab/>
        <w:t>if the time taken to complete the compliance monitoring audit or investigation is less than one hour but equal to or greater than 30 minutes, the total amount payable will be $125.</w:t>
      </w:r>
    </w:p>
    <w:p>
      <w:pPr>
        <w:pStyle w:val="Footnotesection"/>
      </w:pPr>
      <w:r>
        <w:tab/>
        <w:t>[Regulation 26D inserted in Gazette 17 Dec 2013 p.</w:t>
      </w:r>
      <w:r>
        <w:rPr>
          <w:sz w:val="19"/>
        </w:rPr>
        <w:t> </w:t>
      </w:r>
      <w:r>
        <w:t>6227.]</w:t>
      </w:r>
    </w:p>
    <w:p>
      <w:pPr>
        <w:pStyle w:val="Heading3"/>
        <w:pageBreakBefore/>
      </w:pPr>
      <w:bookmarkStart w:id="92" w:name="_Toc394914741"/>
      <w:bookmarkStart w:id="93" w:name="_Toc405799746"/>
      <w:bookmarkStart w:id="94" w:name="_Toc405806929"/>
      <w:bookmarkStart w:id="95" w:name="_Toc413661901"/>
      <w:bookmarkStart w:id="96" w:name="_Toc413677750"/>
      <w:r>
        <w:rPr>
          <w:rStyle w:val="CharDivNo"/>
        </w:rPr>
        <w:t>Division 4</w:t>
      </w:r>
      <w:r>
        <w:t> — </w:t>
      </w:r>
      <w:r>
        <w:rPr>
          <w:rStyle w:val="CharDivText"/>
        </w:rPr>
        <w:t>Obligations of registered training providers and of the Council</w:t>
      </w:r>
      <w:bookmarkEnd w:id="92"/>
      <w:bookmarkEnd w:id="93"/>
      <w:bookmarkEnd w:id="94"/>
      <w:bookmarkEnd w:id="95"/>
      <w:bookmarkEnd w:id="96"/>
    </w:p>
    <w:p>
      <w:pPr>
        <w:pStyle w:val="Footnoteheading"/>
      </w:pPr>
      <w:r>
        <w:tab/>
        <w:t>[Heading amended in Gazette 17 Dec 2013 p. 6228.]</w:t>
      </w:r>
    </w:p>
    <w:p>
      <w:pPr>
        <w:pStyle w:val="Heading5"/>
      </w:pPr>
      <w:bookmarkStart w:id="97" w:name="_Toc405806930"/>
      <w:bookmarkStart w:id="98" w:name="_Toc413677751"/>
      <w:r>
        <w:rPr>
          <w:rStyle w:val="CharSectno"/>
        </w:rPr>
        <w:t>26</w:t>
      </w:r>
      <w:r>
        <w:t>.</w:t>
      </w:r>
      <w:r>
        <w:tab/>
        <w:t>Reporting to Council</w:t>
      </w:r>
      <w:bookmarkEnd w:id="97"/>
      <w:bookmarkEnd w:id="98"/>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spacing w:before="180"/>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keepNext/>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99" w:name="_Toc405806931"/>
      <w:bookmarkStart w:id="100" w:name="_Toc413677752"/>
      <w:r>
        <w:rPr>
          <w:rStyle w:val="CharSectno"/>
        </w:rPr>
        <w:t>27</w:t>
      </w:r>
      <w:r>
        <w:t>.</w:t>
      </w:r>
      <w:r>
        <w:tab/>
        <w:t>Giving Council information on ceasing operations</w:t>
      </w:r>
      <w:bookmarkEnd w:id="99"/>
      <w:bookmarkEnd w:id="100"/>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r>
        <w:tab/>
        <w:t>[Regulation 27 amended in Gazette 25 Oct 2011 p. 4511.]</w:t>
      </w:r>
    </w:p>
    <w:p>
      <w:pPr>
        <w:pStyle w:val="Heading5"/>
      </w:pPr>
      <w:bookmarkStart w:id="101" w:name="_Toc405806932"/>
      <w:bookmarkStart w:id="102" w:name="_Toc413677753"/>
      <w:r>
        <w:rPr>
          <w:rStyle w:val="CharSectno"/>
        </w:rPr>
        <w:t>28A</w:t>
      </w:r>
      <w:r>
        <w:t>.</w:t>
      </w:r>
      <w:r>
        <w:tab/>
        <w:t>Person may obtain from Council certified copies of information</w:t>
      </w:r>
      <w:bookmarkEnd w:id="101"/>
      <w:bookmarkEnd w:id="102"/>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registered training provider.</w:t>
      </w:r>
    </w:p>
    <w:p>
      <w:pPr>
        <w:pStyle w:val="Subsection"/>
      </w:pPr>
      <w:r>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in Gazette 17 Dec 2013 p.</w:t>
      </w:r>
      <w:r>
        <w:rPr>
          <w:sz w:val="19"/>
        </w:rPr>
        <w:t> </w:t>
      </w:r>
      <w:r>
        <w:t>6228.]</w:t>
      </w:r>
    </w:p>
    <w:p>
      <w:pPr>
        <w:pStyle w:val="Heading3"/>
      </w:pPr>
      <w:bookmarkStart w:id="103" w:name="_Toc394914745"/>
      <w:bookmarkStart w:id="104" w:name="_Toc405799750"/>
      <w:bookmarkStart w:id="105" w:name="_Toc405806933"/>
      <w:bookmarkStart w:id="106" w:name="_Toc413661905"/>
      <w:bookmarkStart w:id="107" w:name="_Toc413677754"/>
      <w:r>
        <w:rPr>
          <w:rStyle w:val="CharDivNo"/>
        </w:rPr>
        <w:t>Division 5</w:t>
      </w:r>
      <w:r>
        <w:t> — </w:t>
      </w:r>
      <w:r>
        <w:rPr>
          <w:rStyle w:val="CharDivText"/>
        </w:rPr>
        <w:t>Accreditation of VET courses</w:t>
      </w:r>
      <w:bookmarkEnd w:id="103"/>
      <w:bookmarkEnd w:id="104"/>
      <w:bookmarkEnd w:id="105"/>
      <w:bookmarkEnd w:id="106"/>
      <w:bookmarkEnd w:id="107"/>
    </w:p>
    <w:p>
      <w:pPr>
        <w:pStyle w:val="Heading5"/>
      </w:pPr>
      <w:bookmarkStart w:id="108" w:name="_Toc405806934"/>
      <w:bookmarkStart w:id="109" w:name="_Toc413677755"/>
      <w:r>
        <w:rPr>
          <w:rStyle w:val="CharSectno"/>
        </w:rPr>
        <w:t>28</w:t>
      </w:r>
      <w:r>
        <w:t>.</w:t>
      </w:r>
      <w:r>
        <w:tab/>
        <w:t>Applying to have VET course accredited</w:t>
      </w:r>
      <w:bookmarkEnd w:id="108"/>
      <w:bookmarkEnd w:id="109"/>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in Gazette 25 Oct 2011 p. 4512; 21 Aug 2012 p. 3927; 17 Dec 2013 p. 6228; 15 Jul 2014 p. 2464.]</w:t>
      </w:r>
    </w:p>
    <w:p>
      <w:pPr>
        <w:pStyle w:val="Heading5"/>
      </w:pPr>
      <w:bookmarkStart w:id="110" w:name="_Toc405806935"/>
      <w:bookmarkStart w:id="111" w:name="_Toc413677756"/>
      <w:r>
        <w:rPr>
          <w:rStyle w:val="CharSectno"/>
        </w:rPr>
        <w:t>29</w:t>
      </w:r>
      <w:r>
        <w:t>.</w:t>
      </w:r>
      <w:r>
        <w:tab/>
        <w:t>Dealing with applications</w:t>
      </w:r>
      <w:bookmarkEnd w:id="110"/>
      <w:bookmarkEnd w:id="111"/>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112" w:name="_Toc405806936"/>
      <w:bookmarkStart w:id="113" w:name="_Toc413677757"/>
      <w:r>
        <w:rPr>
          <w:rStyle w:val="CharSectno"/>
        </w:rPr>
        <w:t>30</w:t>
      </w:r>
      <w:r>
        <w:t>.</w:t>
      </w:r>
      <w:r>
        <w:tab/>
        <w:t>Accrediting VET courses</w:t>
      </w:r>
      <w:bookmarkEnd w:id="112"/>
      <w:bookmarkEnd w:id="113"/>
    </w:p>
    <w:p>
      <w:pPr>
        <w:pStyle w:val="Subsection"/>
        <w:keepNext/>
      </w:pPr>
      <w:r>
        <w:tab/>
        <w:t>(1)</w:t>
      </w:r>
      <w:r>
        <w:tab/>
        <w:t xml:space="preserve">The Council must not accredit a VET course unless — </w:t>
      </w:r>
    </w:p>
    <w:p>
      <w:pPr>
        <w:pStyle w:val="Indenta"/>
      </w:pPr>
      <w:r>
        <w:tab/>
        <w:t>(a)</w:t>
      </w:r>
      <w:r>
        <w:tab/>
        <w:t>it has assessed the VET course in accordance with the Standards for VET Regulators;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Standards for VET Regulators;</w:t>
      </w:r>
    </w:p>
    <w:p>
      <w:pPr>
        <w:pStyle w:val="Indenta"/>
      </w:pPr>
      <w:r>
        <w:tab/>
        <w:t>(c)</w:t>
      </w:r>
      <w:r>
        <w:tab/>
        <w:t>give that person written notice of any condition to which the accreditation is subject.</w:t>
      </w:r>
    </w:p>
    <w:p>
      <w:pPr>
        <w:pStyle w:val="Footnotesection"/>
      </w:pPr>
      <w:r>
        <w:tab/>
        <w:t>[Regulation 30 amended in Gazette 17 Dec 2013 p.</w:t>
      </w:r>
      <w:r>
        <w:rPr>
          <w:sz w:val="19"/>
        </w:rPr>
        <w:t> </w:t>
      </w:r>
      <w:r>
        <w:t>6228</w:t>
      </w:r>
      <w:r>
        <w:noBreakHyphen/>
        <w:t>9.]</w:t>
      </w:r>
    </w:p>
    <w:p>
      <w:pPr>
        <w:pStyle w:val="Heading5"/>
      </w:pPr>
      <w:bookmarkStart w:id="114" w:name="_Toc405806937"/>
      <w:bookmarkStart w:id="115" w:name="_Toc413677758"/>
      <w:r>
        <w:rPr>
          <w:rStyle w:val="CharSectno"/>
        </w:rPr>
        <w:t>31</w:t>
      </w:r>
      <w:r>
        <w:t>.</w:t>
      </w:r>
      <w:r>
        <w:tab/>
        <w:t>Period of accreditation</w:t>
      </w:r>
      <w:bookmarkEnd w:id="114"/>
      <w:bookmarkEnd w:id="115"/>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116" w:name="_Toc405806938"/>
      <w:bookmarkStart w:id="117" w:name="_Toc413677759"/>
      <w:r>
        <w:rPr>
          <w:rStyle w:val="CharSectno"/>
        </w:rPr>
        <w:t>32</w:t>
      </w:r>
      <w:r>
        <w:t>.</w:t>
      </w:r>
      <w:r>
        <w:tab/>
        <w:t>Renewing accreditation</w:t>
      </w:r>
      <w:bookmarkEnd w:id="116"/>
      <w:bookmarkEnd w:id="117"/>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118" w:name="_Toc405806939"/>
      <w:bookmarkStart w:id="119" w:name="_Toc413677760"/>
      <w:r>
        <w:rPr>
          <w:rStyle w:val="CharSectno"/>
        </w:rPr>
        <w:t>33A</w:t>
      </w:r>
      <w:r>
        <w:t>.</w:t>
      </w:r>
      <w:r>
        <w:tab/>
        <w:t>Varying accreditation</w:t>
      </w:r>
      <w:bookmarkEnd w:id="118"/>
      <w:bookmarkEnd w:id="119"/>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VET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VET course, it must give to the owner of the course —</w:t>
      </w:r>
    </w:p>
    <w:p>
      <w:pPr>
        <w:pStyle w:val="Indenta"/>
      </w:pPr>
      <w:r>
        <w:tab/>
        <w:t>(a)</w:t>
      </w:r>
      <w:r>
        <w:tab/>
        <w:t>a course accreditation document in accordance with the Standards for VET Regulators; and</w:t>
      </w:r>
    </w:p>
    <w:p>
      <w:pPr>
        <w:pStyle w:val="Indenta"/>
      </w:pPr>
      <w:r>
        <w:tab/>
        <w:t>(b)</w:t>
      </w:r>
      <w:r>
        <w:tab/>
        <w:t>written notice of any condition to which the accreditation as varied is subject.</w:t>
      </w:r>
    </w:p>
    <w:p>
      <w:pPr>
        <w:pStyle w:val="Footnotesection"/>
      </w:pPr>
      <w:r>
        <w:tab/>
        <w:t>[Regulation 33A inserted in Gazette 17 Dec 2013 p.</w:t>
      </w:r>
      <w:r>
        <w:rPr>
          <w:sz w:val="19"/>
        </w:rPr>
        <w:t> </w:t>
      </w:r>
      <w:r>
        <w:t>6229</w:t>
      </w:r>
      <w:r>
        <w:noBreakHyphen/>
        <w:t>30; amended in Gazette 15 Jul 2014 p. 2464.]</w:t>
      </w:r>
    </w:p>
    <w:p>
      <w:pPr>
        <w:pStyle w:val="Heading5"/>
      </w:pPr>
      <w:bookmarkStart w:id="120" w:name="_Toc405806940"/>
      <w:bookmarkStart w:id="121" w:name="_Toc413677761"/>
      <w:r>
        <w:rPr>
          <w:rStyle w:val="CharSectno"/>
        </w:rPr>
        <w:t>33</w:t>
      </w:r>
      <w:r>
        <w:t>.</w:t>
      </w:r>
      <w:r>
        <w:tab/>
        <w:t>Cancelling accreditation</w:t>
      </w:r>
      <w:bookmarkEnd w:id="120"/>
      <w:bookmarkEnd w:id="121"/>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122" w:name="_Toc394914753"/>
      <w:bookmarkStart w:id="123" w:name="_Toc405799758"/>
      <w:bookmarkStart w:id="124" w:name="_Toc405806941"/>
      <w:bookmarkStart w:id="125" w:name="_Toc413661913"/>
      <w:bookmarkStart w:id="126" w:name="_Toc413677762"/>
      <w:r>
        <w:rPr>
          <w:rStyle w:val="CharPartNo"/>
        </w:rPr>
        <w:t>Part 4</w:t>
      </w:r>
      <w:r>
        <w:t> — </w:t>
      </w:r>
      <w:r>
        <w:rPr>
          <w:rStyle w:val="CharPartText"/>
        </w:rPr>
        <w:t>Regulations for Part 7 of the Act</w:t>
      </w:r>
      <w:bookmarkEnd w:id="122"/>
      <w:bookmarkEnd w:id="123"/>
      <w:bookmarkEnd w:id="124"/>
      <w:bookmarkEnd w:id="125"/>
      <w:bookmarkEnd w:id="126"/>
    </w:p>
    <w:p>
      <w:pPr>
        <w:pStyle w:val="Heading3"/>
      </w:pPr>
      <w:bookmarkStart w:id="127" w:name="_Toc394914754"/>
      <w:bookmarkStart w:id="128" w:name="_Toc405799759"/>
      <w:bookmarkStart w:id="129" w:name="_Toc405806942"/>
      <w:bookmarkStart w:id="130" w:name="_Toc413661914"/>
      <w:bookmarkStart w:id="131" w:name="_Toc413677763"/>
      <w:r>
        <w:rPr>
          <w:rStyle w:val="CharDivNo"/>
        </w:rPr>
        <w:t>Division 1</w:t>
      </w:r>
      <w:r>
        <w:t> — </w:t>
      </w:r>
      <w:r>
        <w:rPr>
          <w:rStyle w:val="CharDivText"/>
        </w:rPr>
        <w:t>General matters</w:t>
      </w:r>
      <w:bookmarkEnd w:id="127"/>
      <w:bookmarkEnd w:id="128"/>
      <w:bookmarkEnd w:id="129"/>
      <w:bookmarkEnd w:id="130"/>
      <w:bookmarkEnd w:id="131"/>
    </w:p>
    <w:p>
      <w:pPr>
        <w:pStyle w:val="Heading5"/>
      </w:pPr>
      <w:bookmarkStart w:id="132" w:name="_Toc405806943"/>
      <w:bookmarkStart w:id="133" w:name="_Toc413677764"/>
      <w:r>
        <w:rPr>
          <w:rStyle w:val="CharSectno"/>
        </w:rPr>
        <w:t>34</w:t>
      </w:r>
      <w:r>
        <w:t>.</w:t>
      </w:r>
      <w:r>
        <w:tab/>
        <w:t>Term used: nominated training provider</w:t>
      </w:r>
      <w:bookmarkEnd w:id="132"/>
      <w:bookmarkEnd w:id="133"/>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134" w:name="_Toc405806944"/>
      <w:bookmarkStart w:id="135" w:name="_Toc413677765"/>
      <w:r>
        <w:rPr>
          <w:rStyle w:val="CharSectno"/>
        </w:rPr>
        <w:t>35</w:t>
      </w:r>
      <w:r>
        <w:t>.</w:t>
      </w:r>
      <w:r>
        <w:tab/>
        <w:t>Chief executive may delegate</w:t>
      </w:r>
      <w:bookmarkEnd w:id="134"/>
      <w:bookmarkEnd w:id="135"/>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136" w:name="_Toc394914757"/>
      <w:bookmarkStart w:id="137" w:name="_Toc405799762"/>
      <w:bookmarkStart w:id="138" w:name="_Toc405806945"/>
      <w:bookmarkStart w:id="139" w:name="_Toc413661917"/>
      <w:bookmarkStart w:id="140" w:name="_Toc413677766"/>
      <w:r>
        <w:rPr>
          <w:rStyle w:val="CharDivNo"/>
        </w:rPr>
        <w:t>Division 2</w:t>
      </w:r>
      <w:r>
        <w:t> — </w:t>
      </w:r>
      <w:r>
        <w:rPr>
          <w:rStyle w:val="CharDivText"/>
        </w:rPr>
        <w:t>Classifying prescribed VET qualifications</w:t>
      </w:r>
      <w:bookmarkEnd w:id="136"/>
      <w:bookmarkEnd w:id="137"/>
      <w:bookmarkEnd w:id="138"/>
      <w:bookmarkEnd w:id="139"/>
      <w:bookmarkEnd w:id="140"/>
    </w:p>
    <w:p>
      <w:pPr>
        <w:pStyle w:val="Heading5"/>
      </w:pPr>
      <w:bookmarkStart w:id="141" w:name="_Toc405806946"/>
      <w:bookmarkStart w:id="142" w:name="_Toc413677767"/>
      <w:r>
        <w:rPr>
          <w:rStyle w:val="CharSectno"/>
        </w:rPr>
        <w:t>36</w:t>
      </w:r>
      <w:r>
        <w:t>.</w:t>
      </w:r>
      <w:r>
        <w:tab/>
        <w:t>Who Board must consult (Act s. 60C)</w:t>
      </w:r>
      <w:bookmarkEnd w:id="141"/>
      <w:bookmarkEnd w:id="142"/>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143" w:name="_Toc405806947"/>
      <w:bookmarkStart w:id="144" w:name="_Toc413677768"/>
      <w:r>
        <w:rPr>
          <w:rStyle w:val="CharSectno"/>
        </w:rPr>
        <w:t>37</w:t>
      </w:r>
      <w:r>
        <w:t>.</w:t>
      </w:r>
      <w:r>
        <w:tab/>
        <w:t>Board’s advice and recommendations to Minister (Act s. 60C)</w:t>
      </w:r>
      <w:bookmarkEnd w:id="143"/>
      <w:bookmarkEnd w:id="144"/>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in Gazette 17 Dec 2013 p.</w:t>
      </w:r>
      <w:r>
        <w:rPr>
          <w:sz w:val="19"/>
        </w:rPr>
        <w:t> </w:t>
      </w:r>
      <w:r>
        <w:t>6230.]</w:t>
      </w:r>
    </w:p>
    <w:p>
      <w:pPr>
        <w:pStyle w:val="Heading3"/>
      </w:pPr>
      <w:bookmarkStart w:id="145" w:name="_Toc394914760"/>
      <w:bookmarkStart w:id="146" w:name="_Toc405799765"/>
      <w:bookmarkStart w:id="147" w:name="_Toc405806948"/>
      <w:bookmarkStart w:id="148" w:name="_Toc413661920"/>
      <w:bookmarkStart w:id="149" w:name="_Toc413677769"/>
      <w:r>
        <w:rPr>
          <w:rStyle w:val="CharDivNo"/>
        </w:rPr>
        <w:t>Division 3</w:t>
      </w:r>
      <w:r>
        <w:t> — </w:t>
      </w:r>
      <w:r>
        <w:rPr>
          <w:rStyle w:val="CharDivText"/>
        </w:rPr>
        <w:t>Training contracts</w:t>
      </w:r>
      <w:bookmarkEnd w:id="145"/>
      <w:bookmarkEnd w:id="146"/>
      <w:bookmarkEnd w:id="147"/>
      <w:bookmarkEnd w:id="148"/>
      <w:bookmarkEnd w:id="149"/>
    </w:p>
    <w:p>
      <w:pPr>
        <w:pStyle w:val="Heading5"/>
      </w:pPr>
      <w:bookmarkStart w:id="150" w:name="_Toc406141755"/>
      <w:bookmarkStart w:id="151" w:name="_Toc413677770"/>
      <w:bookmarkStart w:id="152" w:name="_Toc405806950"/>
      <w:r>
        <w:rPr>
          <w:rStyle w:val="CharSectno"/>
        </w:rPr>
        <w:t>38</w:t>
      </w:r>
      <w:r>
        <w:t>.</w:t>
      </w:r>
      <w:r>
        <w:tab/>
        <w:t>Form and content of training contracts</w:t>
      </w:r>
      <w:bookmarkEnd w:id="150"/>
      <w:bookmarkEnd w:id="151"/>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Footnotesection"/>
      </w:pPr>
      <w:r>
        <w:tab/>
        <w:t>[Regulation 38 amended in Gazette 12 Dec 2014 p.</w:t>
      </w:r>
      <w:r>
        <w:rPr>
          <w:sz w:val="19"/>
        </w:rPr>
        <w:t> </w:t>
      </w:r>
      <w:r>
        <w:t>4743.]</w:t>
      </w:r>
    </w:p>
    <w:p>
      <w:pPr>
        <w:pStyle w:val="Heading5"/>
        <w:spacing w:before="180"/>
      </w:pPr>
      <w:bookmarkStart w:id="153" w:name="_Toc413677771"/>
      <w:r>
        <w:rPr>
          <w:rStyle w:val="CharSectno"/>
        </w:rPr>
        <w:t>39</w:t>
      </w:r>
      <w:r>
        <w:t>.</w:t>
      </w:r>
      <w:r>
        <w:tab/>
        <w:t>Probation periods of training contracts</w:t>
      </w:r>
      <w:bookmarkEnd w:id="152"/>
      <w:bookmarkEnd w:id="153"/>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54" w:name="_Toc405806951"/>
      <w:bookmarkStart w:id="155" w:name="_Toc413677772"/>
      <w:r>
        <w:rPr>
          <w:rStyle w:val="CharSectno"/>
        </w:rPr>
        <w:t>40</w:t>
      </w:r>
      <w:r>
        <w:t>.</w:t>
      </w:r>
      <w:r>
        <w:tab/>
        <w:t>Children’s capacity to enter into training contracts</w:t>
      </w:r>
      <w:bookmarkEnd w:id="154"/>
      <w:bookmarkEnd w:id="155"/>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56" w:name="_Toc405806952"/>
      <w:bookmarkStart w:id="157" w:name="_Toc413677773"/>
      <w:r>
        <w:rPr>
          <w:rStyle w:val="CharSectno"/>
        </w:rPr>
        <w:t>41</w:t>
      </w:r>
      <w:r>
        <w:t>.</w:t>
      </w:r>
      <w:r>
        <w:tab/>
        <w:t>Lodging training contracts for registration (Act s. 60F)</w:t>
      </w:r>
      <w:bookmarkEnd w:id="156"/>
      <w:bookmarkEnd w:id="157"/>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58" w:name="_Toc405806953"/>
      <w:bookmarkStart w:id="159" w:name="_Toc413677774"/>
      <w:r>
        <w:rPr>
          <w:rStyle w:val="CharSectno"/>
        </w:rPr>
        <w:t>42</w:t>
      </w:r>
      <w:r>
        <w:t>.</w:t>
      </w:r>
      <w:r>
        <w:tab/>
        <w:t>Registering training contracts (Act s. 60F)</w:t>
      </w:r>
      <w:bookmarkEnd w:id="158"/>
      <w:bookmarkEnd w:id="159"/>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vocational outcome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Subsection"/>
      </w:pPr>
      <w:r>
        <w:tab/>
        <w:t>(3A)</w:t>
      </w:r>
      <w:r>
        <w:tab/>
        <w:t>For the purposes of subregulation (2)(ca), if the occupation during the contract is, in fact, the vocational outcome set out in the contract, that is an appropriate vocational outcome.</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Footnotesection"/>
      </w:pPr>
      <w:r>
        <w:tab/>
        <w:t>[Regulation 42 amended in Gazette 5 Dec 2014 p. 4525</w:t>
      </w:r>
      <w:r>
        <w:noBreakHyphen/>
        <w:t>6.]</w:t>
      </w:r>
    </w:p>
    <w:p>
      <w:pPr>
        <w:pStyle w:val="Heading5"/>
      </w:pPr>
      <w:bookmarkStart w:id="160" w:name="_Toc405806954"/>
      <w:bookmarkStart w:id="161" w:name="_Toc413677775"/>
      <w:r>
        <w:rPr>
          <w:rStyle w:val="CharSectno"/>
        </w:rPr>
        <w:t>43</w:t>
      </w:r>
      <w:r>
        <w:t>.</w:t>
      </w:r>
      <w:r>
        <w:tab/>
        <w:t>Training plans for training contracts</w:t>
      </w:r>
      <w:bookmarkEnd w:id="160"/>
      <w:bookmarkEnd w:id="161"/>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162" w:name="_Toc405806955"/>
      <w:bookmarkStart w:id="163" w:name="_Toc413677776"/>
      <w:r>
        <w:rPr>
          <w:rStyle w:val="CharSectno"/>
        </w:rPr>
        <w:t>44</w:t>
      </w:r>
      <w:r>
        <w:t>.</w:t>
      </w:r>
      <w:r>
        <w:tab/>
        <w:t>Cancellation of registration by chief executive (Act s. 60F)</w:t>
      </w:r>
      <w:bookmarkEnd w:id="162"/>
      <w:bookmarkEnd w:id="163"/>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164" w:name="_Toc405806956"/>
      <w:bookmarkStart w:id="165" w:name="_Toc413677777"/>
      <w:r>
        <w:rPr>
          <w:rStyle w:val="CharSectno"/>
        </w:rPr>
        <w:t>45</w:t>
      </w:r>
      <w:r>
        <w:t>.</w:t>
      </w:r>
      <w:r>
        <w:tab/>
        <w:t>Chief executive may require persons involved in training contracts to provide information</w:t>
      </w:r>
      <w:bookmarkEnd w:id="164"/>
      <w:bookmarkEnd w:id="165"/>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166" w:name="_Toc405806957"/>
      <w:bookmarkStart w:id="167" w:name="_Toc413677778"/>
      <w:r>
        <w:rPr>
          <w:rStyle w:val="CharSectno"/>
        </w:rPr>
        <w:t>46</w:t>
      </w:r>
      <w:r>
        <w:t>.</w:t>
      </w:r>
      <w:r>
        <w:tab/>
        <w:t>Variation of training contract by parties (Act s. 60E)</w:t>
      </w:r>
      <w:bookmarkEnd w:id="166"/>
      <w:bookmarkEnd w:id="167"/>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68" w:name="_Toc405806958"/>
      <w:bookmarkStart w:id="169" w:name="_Toc413677779"/>
      <w:r>
        <w:rPr>
          <w:rStyle w:val="CharSectno"/>
        </w:rPr>
        <w:t>47</w:t>
      </w:r>
      <w:r>
        <w:t>.</w:t>
      </w:r>
      <w:r>
        <w:tab/>
        <w:t>Assignment of training contract to another employer (Act s. 60E)</w:t>
      </w:r>
      <w:bookmarkEnd w:id="168"/>
      <w:bookmarkEnd w:id="169"/>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170" w:name="_Toc405806959"/>
      <w:bookmarkStart w:id="171" w:name="_Toc413677780"/>
      <w:r>
        <w:rPr>
          <w:rStyle w:val="CharSectno"/>
        </w:rPr>
        <w:t>48</w:t>
      </w:r>
      <w:r>
        <w:t>.</w:t>
      </w:r>
      <w:r>
        <w:tab/>
        <w:t>Suspension of training contract by parties (Act s. 60E)</w:t>
      </w:r>
      <w:bookmarkEnd w:id="170"/>
      <w:bookmarkEnd w:id="171"/>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172" w:name="_Toc405806960"/>
      <w:bookmarkStart w:id="173" w:name="_Toc413677781"/>
      <w:r>
        <w:rPr>
          <w:rStyle w:val="CharSectno"/>
        </w:rPr>
        <w:t>49</w:t>
      </w:r>
      <w:r>
        <w:t>.</w:t>
      </w:r>
      <w:r>
        <w:tab/>
        <w:t>Suspension by employer (Act s. 60E)</w:t>
      </w:r>
      <w:bookmarkEnd w:id="172"/>
      <w:bookmarkEnd w:id="173"/>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174" w:name="_Toc405806961"/>
      <w:bookmarkStart w:id="175" w:name="_Toc413677782"/>
      <w:r>
        <w:rPr>
          <w:rStyle w:val="CharSectno"/>
        </w:rPr>
        <w:t>50</w:t>
      </w:r>
      <w:r>
        <w:t>.</w:t>
      </w:r>
      <w:r>
        <w:tab/>
        <w:t>Termination of training contract by parties (Act s. 60G)</w:t>
      </w:r>
      <w:bookmarkEnd w:id="174"/>
      <w:bookmarkEnd w:id="175"/>
    </w:p>
    <w:p>
      <w:pPr>
        <w:pStyle w:val="Subsection"/>
      </w:pPr>
      <w:r>
        <w:tab/>
      </w:r>
      <w:r>
        <w:tab/>
        <w:t>A party to a training contract may terminate the contract during the contract’s probation period without the approval of the chief executive.</w:t>
      </w:r>
    </w:p>
    <w:p>
      <w:pPr>
        <w:pStyle w:val="Heading5"/>
      </w:pPr>
      <w:bookmarkStart w:id="176" w:name="_Toc405806962"/>
      <w:bookmarkStart w:id="177" w:name="_Toc413677783"/>
      <w:r>
        <w:rPr>
          <w:rStyle w:val="CharSectno"/>
        </w:rPr>
        <w:t>51</w:t>
      </w:r>
      <w:r>
        <w:t>.</w:t>
      </w:r>
      <w:r>
        <w:tab/>
        <w:t>Approval of termination of training contract by chief executive (Act s. 60G)</w:t>
      </w:r>
      <w:bookmarkEnd w:id="176"/>
      <w:bookmarkEnd w:id="177"/>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78" w:name="_Toc405806963"/>
      <w:bookmarkStart w:id="179" w:name="_Toc413677784"/>
      <w:r>
        <w:rPr>
          <w:rStyle w:val="CharSectno"/>
        </w:rPr>
        <w:t>52</w:t>
      </w:r>
      <w:r>
        <w:t>.</w:t>
      </w:r>
      <w:r>
        <w:tab/>
        <w:t>Completion of training contract</w:t>
      </w:r>
      <w:bookmarkEnd w:id="178"/>
      <w:bookmarkEnd w:id="179"/>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180" w:name="_Toc394914776"/>
      <w:bookmarkStart w:id="181" w:name="_Toc405799781"/>
      <w:bookmarkStart w:id="182" w:name="_Toc405806964"/>
      <w:bookmarkStart w:id="183" w:name="_Toc413661936"/>
      <w:bookmarkStart w:id="184" w:name="_Toc413677785"/>
      <w:r>
        <w:rPr>
          <w:rStyle w:val="CharDivNo"/>
        </w:rPr>
        <w:t>Division 4</w:t>
      </w:r>
      <w:r>
        <w:t> — </w:t>
      </w:r>
      <w:r>
        <w:rPr>
          <w:rStyle w:val="CharDivText"/>
        </w:rPr>
        <w:t>Procedure and appeals</w:t>
      </w:r>
      <w:bookmarkEnd w:id="180"/>
      <w:bookmarkEnd w:id="181"/>
      <w:bookmarkEnd w:id="182"/>
      <w:bookmarkEnd w:id="183"/>
      <w:bookmarkEnd w:id="184"/>
    </w:p>
    <w:p>
      <w:pPr>
        <w:pStyle w:val="Heading5"/>
      </w:pPr>
      <w:bookmarkStart w:id="185" w:name="_Toc405806965"/>
      <w:bookmarkStart w:id="186" w:name="_Toc413677786"/>
      <w:r>
        <w:rPr>
          <w:rStyle w:val="CharSectno"/>
        </w:rPr>
        <w:t>53</w:t>
      </w:r>
      <w:r>
        <w:t>.</w:t>
      </w:r>
      <w:r>
        <w:tab/>
        <w:t>Procedure on applications</w:t>
      </w:r>
      <w:bookmarkEnd w:id="185"/>
      <w:bookmarkEnd w:id="186"/>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187" w:name="_Toc405806966"/>
      <w:bookmarkStart w:id="188" w:name="_Toc413677787"/>
      <w:r>
        <w:rPr>
          <w:rStyle w:val="CharSectno"/>
        </w:rPr>
        <w:t>54</w:t>
      </w:r>
      <w:r>
        <w:t>.</w:t>
      </w:r>
      <w:r>
        <w:tab/>
        <w:t>Appeals</w:t>
      </w:r>
      <w:bookmarkEnd w:id="187"/>
      <w:bookmarkEnd w:id="188"/>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189" w:name="_Toc394914779"/>
      <w:bookmarkStart w:id="190" w:name="_Toc405799784"/>
      <w:bookmarkStart w:id="191" w:name="_Toc405806967"/>
      <w:bookmarkStart w:id="192" w:name="_Toc413661939"/>
      <w:bookmarkStart w:id="193" w:name="_Toc413677788"/>
      <w:r>
        <w:rPr>
          <w:rStyle w:val="CharPartNo"/>
        </w:rPr>
        <w:t>Part 5</w:t>
      </w:r>
      <w:r>
        <w:rPr>
          <w:rStyle w:val="CharDivNo"/>
        </w:rPr>
        <w:t> </w:t>
      </w:r>
      <w:r>
        <w:t>—</w:t>
      </w:r>
      <w:r>
        <w:rPr>
          <w:rStyle w:val="CharDivText"/>
        </w:rPr>
        <w:t> </w:t>
      </w:r>
      <w:r>
        <w:rPr>
          <w:rStyle w:val="CharPartText"/>
        </w:rPr>
        <w:t>Repeals and transitional matters</w:t>
      </w:r>
      <w:bookmarkEnd w:id="189"/>
      <w:bookmarkEnd w:id="190"/>
      <w:bookmarkEnd w:id="191"/>
      <w:bookmarkEnd w:id="192"/>
      <w:bookmarkEnd w:id="193"/>
    </w:p>
    <w:p>
      <w:pPr>
        <w:pStyle w:val="Heading5"/>
      </w:pPr>
      <w:bookmarkStart w:id="194" w:name="_Toc405806968"/>
      <w:bookmarkStart w:id="195" w:name="_Toc413677789"/>
      <w:r>
        <w:rPr>
          <w:rStyle w:val="CharSectno"/>
        </w:rPr>
        <w:t>55</w:t>
      </w:r>
      <w:r>
        <w:t>.</w:t>
      </w:r>
      <w:r>
        <w:tab/>
        <w:t>Term used: commencement</w:t>
      </w:r>
      <w:bookmarkEnd w:id="194"/>
      <w:bookmarkEnd w:id="195"/>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96" w:name="_Toc405806969"/>
      <w:bookmarkStart w:id="197" w:name="_Toc413677790"/>
      <w:r>
        <w:rPr>
          <w:rStyle w:val="CharSectno"/>
        </w:rPr>
        <w:t>57</w:t>
      </w:r>
      <w:r>
        <w:t>.</w:t>
      </w:r>
      <w:r>
        <w:tab/>
        <w:t>Registered training providers</w:t>
      </w:r>
      <w:bookmarkEnd w:id="196"/>
      <w:bookmarkEnd w:id="197"/>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98" w:name="_Toc405806970"/>
      <w:bookmarkStart w:id="199" w:name="_Toc413677791"/>
      <w:r>
        <w:rPr>
          <w:rStyle w:val="CharSectno"/>
        </w:rPr>
        <w:t>58</w:t>
      </w:r>
      <w:r>
        <w:t>.</w:t>
      </w:r>
      <w:r>
        <w:tab/>
        <w:t>Accredited courses</w:t>
      </w:r>
      <w:bookmarkEnd w:id="198"/>
      <w:bookmarkEnd w:id="199"/>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200" w:name="_Toc405806971"/>
      <w:bookmarkStart w:id="201" w:name="_Toc413677792"/>
      <w:r>
        <w:rPr>
          <w:rStyle w:val="CharSectno"/>
        </w:rPr>
        <w:t>59</w:t>
      </w:r>
      <w:r>
        <w:t>.</w:t>
      </w:r>
      <w:r>
        <w:tab/>
        <w:t>Traineeship contracts</w:t>
      </w:r>
      <w:bookmarkEnd w:id="200"/>
      <w:bookmarkEnd w:id="201"/>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3</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202" w:name="_Toc405806972"/>
      <w:bookmarkStart w:id="203" w:name="_Toc413677793"/>
      <w:r>
        <w:rPr>
          <w:rStyle w:val="CharSectno"/>
        </w:rPr>
        <w:t>60</w:t>
      </w:r>
      <w:r>
        <w:t>.</w:t>
      </w:r>
      <w:r>
        <w:tab/>
        <w:t>Apprentices learning trades, transitional provisions for</w:t>
      </w:r>
      <w:bookmarkEnd w:id="202"/>
      <w:bookmarkEnd w:id="203"/>
    </w:p>
    <w:p>
      <w:pPr>
        <w:pStyle w:val="Subsection"/>
      </w:pPr>
      <w:r>
        <w:tab/>
      </w:r>
      <w:r>
        <w:tab/>
        <w:t>Schedule 2 sets out transitional provisions.</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4" w:name="_Toc405799790"/>
      <w:bookmarkStart w:id="205" w:name="_Toc405806973"/>
      <w:bookmarkStart w:id="206" w:name="_Toc413661945"/>
      <w:bookmarkStart w:id="207" w:name="_Toc413677794"/>
      <w:bookmarkStart w:id="208" w:name="_Toc394914785"/>
      <w:r>
        <w:rPr>
          <w:rStyle w:val="CharSchNo"/>
        </w:rPr>
        <w:t>Schedule 1</w:t>
      </w:r>
      <w:r>
        <w:t> — </w:t>
      </w:r>
      <w:r>
        <w:rPr>
          <w:rStyle w:val="CharSchText"/>
        </w:rPr>
        <w:t>Training contract</w:t>
      </w:r>
      <w:bookmarkEnd w:id="204"/>
      <w:bookmarkEnd w:id="205"/>
      <w:bookmarkEnd w:id="206"/>
      <w:bookmarkEnd w:id="207"/>
    </w:p>
    <w:p>
      <w:pPr>
        <w:pStyle w:val="yShoulderClause"/>
      </w:pPr>
      <w:r>
        <w:t>[r. 38]</w:t>
      </w:r>
    </w:p>
    <w:p>
      <w:pPr>
        <w:pStyle w:val="yFootnoteheading"/>
      </w:pPr>
      <w:r>
        <w:tab/>
        <w:t>[Heading inserted in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spacing w:before="200"/>
        <w:rPr>
          <w:rFonts w:ascii="Arial" w:hAnsi="Arial" w:cs="Arial"/>
          <w:szCs w:val="22"/>
        </w:rPr>
      </w:pPr>
      <w:r>
        <w:rPr>
          <w:rFonts w:ascii="Arial" w:hAnsi="Arial" w:cs="Arial"/>
          <w:szCs w:val="22"/>
        </w:rPr>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rPr>
                <w:rFonts w:ascii="Arial" w:hAnsi="Arial"/>
                <w:b/>
                <w:bCs/>
                <w:sz w:val="20"/>
              </w:rPr>
            </w:pPr>
            <w:r>
              <w:rPr>
                <w:rFonts w:ascii="Arial" w:hAnsi="Arial"/>
                <w:b/>
                <w:bCs/>
                <w:sz w:val="20"/>
              </w:rPr>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rPr>
                <w:rFonts w:ascii="Arial" w:hAnsi="Arial"/>
                <w:b/>
                <w:bCs/>
                <w:sz w:val="20"/>
              </w:rPr>
            </w:pPr>
            <w:r>
              <w:rPr>
                <w:rFonts w:ascii="Arial" w:hAnsi="Arial"/>
                <w:b/>
                <w:bCs/>
                <w:sz w:val="20"/>
              </w:rPr>
              <w:t xml:space="preserve">Surname </w:t>
            </w:r>
            <w:r>
              <w:rPr>
                <w:rFonts w:ascii="Arial" w:hAnsi="Arial"/>
                <w:bCs/>
                <w:sz w:val="20"/>
              </w:rPr>
              <w:t>(family name)</w:t>
            </w:r>
          </w:p>
          <w:p>
            <w:pPr>
              <w:pStyle w:val="yTableNAm"/>
              <w:rPr>
                <w:rFonts w:ascii="Arial" w:hAnsi="Arial"/>
                <w:b/>
                <w:bCs/>
                <w:sz w:val="20"/>
              </w:rPr>
            </w:pPr>
          </w:p>
        </w:tc>
        <w:tc>
          <w:tcPr>
            <w:tcW w:w="3611" w:type="dxa"/>
            <w:tcBorders>
              <w:top w:val="nil"/>
              <w:left w:val="nil"/>
              <w:bottom w:val="nil"/>
            </w:tcBorders>
          </w:tcPr>
          <w:p>
            <w:pPr>
              <w:pStyle w:val="yTableNAm"/>
              <w:rPr>
                <w:rFonts w:ascii="Arial" w:hAnsi="Arial"/>
                <w:b/>
                <w:bCs/>
                <w:sz w:val="20"/>
              </w:rPr>
            </w:pPr>
            <w:r>
              <w:rPr>
                <w:rFonts w:ascii="Arial" w:hAnsi="Arial"/>
                <w:b/>
                <w:bCs/>
                <w:sz w:val="20"/>
              </w:rPr>
              <w:t xml:space="preserve">Given names </w:t>
            </w:r>
            <w:r>
              <w:rPr>
                <w:rFonts w:ascii="Arial" w:hAnsi="Arial"/>
                <w:bCs/>
                <w:sz w:val="20"/>
              </w:rPr>
              <w:t>(in full)</w:t>
            </w:r>
          </w:p>
          <w:p>
            <w:pPr>
              <w:pStyle w:val="yTableNAm"/>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spacing w:before="200"/>
        <w:ind w:left="284"/>
        <w:rPr>
          <w:rFonts w:ascii="Arial" w:hAnsi="Arial" w:cs="Arial"/>
          <w:b/>
          <w:bCs/>
          <w:szCs w:val="22"/>
        </w:rPr>
      </w:pPr>
      <w:r>
        <w:rPr>
          <w:rFonts w:ascii="Arial" w:hAnsi="Arial" w:cs="Arial"/>
          <w:b/>
          <w:bCs/>
          <w:sz w:val="20"/>
          <w:szCs w:val="22"/>
        </w:rPr>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keepLines/>
              <w:rPr>
                <w:rFonts w:ascii="Arial" w:hAnsi="Arial" w:cs="Arial"/>
                <w:sz w:val="20"/>
                <w:szCs w:val="22"/>
              </w:rPr>
            </w:pPr>
            <w:r>
              <w:rPr>
                <w:rFonts w:ascii="Arial" w:hAnsi="Arial" w:cs="Arial"/>
                <w:sz w:val="20"/>
                <w:szCs w:val="22"/>
              </w:rPr>
              <w:t>3</w:t>
            </w:r>
          </w:p>
        </w:tc>
        <w:tc>
          <w:tcPr>
            <w:tcW w:w="6521" w:type="dxa"/>
          </w:tcPr>
          <w:p>
            <w:pPr>
              <w:pStyle w:val="yTableNAm"/>
              <w:keepNext/>
              <w:keepLines/>
              <w:rPr>
                <w:rFonts w:ascii="Arial" w:hAnsi="Arial" w:cs="Arial"/>
                <w:sz w:val="20"/>
                <w:szCs w:val="22"/>
              </w:rPr>
            </w:pPr>
            <w:r>
              <w:rPr>
                <w:rFonts w:ascii="Arial" w:hAnsi="Arial" w:cs="Arial"/>
                <w:sz w:val="20"/>
                <w:szCs w:val="22"/>
              </w:rPr>
              <w:t>Commencement date of employment</w:t>
            </w:r>
          </w:p>
          <w:p>
            <w:pPr>
              <w:pStyle w:val="yTableNAm"/>
              <w:keepNext/>
              <w:keepLines/>
              <w:rPr>
                <w:rFonts w:ascii="Arial" w:hAnsi="Arial" w:cs="Arial"/>
                <w:sz w:val="20"/>
                <w:szCs w:val="22"/>
              </w:rPr>
            </w:pPr>
            <w:r>
              <w:rPr>
                <w:rFonts w:ascii="Arial" w:hAnsi="Arial" w:cs="Arial"/>
                <w:sz w:val="20"/>
                <w:szCs w:val="22"/>
              </w:rPr>
              <w:t>for Apprenticeship/Traineeship</w:t>
            </w:r>
            <w:r>
              <w:rPr>
                <w:rFonts w:ascii="Arial" w:hAnsi="Arial" w:cs="Arial"/>
                <w:sz w:val="20"/>
                <w:szCs w:val="22"/>
              </w:rPr>
              <w:tab/>
              <w:t>Day    /Month    /Year</w:t>
            </w: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22*</w:t>
            </w:r>
          </w:p>
        </w:tc>
        <w:tc>
          <w:tcPr>
            <w:tcW w:w="6521" w:type="dxa"/>
            <w:gridSpan w:val="4"/>
            <w:tcBorders>
              <w:bottom w:val="nil"/>
            </w:tcBorders>
          </w:tcPr>
          <w:p>
            <w:pPr>
              <w:pStyle w:val="yTableNAm"/>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30</w:t>
            </w:r>
          </w:p>
        </w:tc>
        <w:tc>
          <w:tcPr>
            <w:tcW w:w="6521" w:type="dxa"/>
          </w:tcPr>
          <w:p>
            <w:pPr>
              <w:pStyle w:val="yTableNAm"/>
              <w:rPr>
                <w:rFonts w:ascii="Arial" w:hAnsi="Arial" w:cs="Arial"/>
                <w:sz w:val="20"/>
              </w:rPr>
            </w:pPr>
            <w:r>
              <w:rPr>
                <w:rFonts w:ascii="Arial" w:hAnsi="Arial" w:cs="Arial"/>
                <w:sz w:val="20"/>
              </w:rPr>
              <w:t>Trading name</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rPr>
                <w:rFonts w:ascii="Arial" w:hAnsi="Arial"/>
                <w:sz w:val="20"/>
              </w:rPr>
            </w:pPr>
            <w:r>
              <w:rPr>
                <w:rFonts w:ascii="Arial" w:hAnsi="Arial"/>
                <w:sz w:val="20"/>
              </w:rPr>
              <w:t>41</w:t>
            </w:r>
          </w:p>
        </w:tc>
        <w:tc>
          <w:tcPr>
            <w:tcW w:w="6521" w:type="dxa"/>
            <w:gridSpan w:val="5"/>
          </w:tcPr>
          <w:p>
            <w:pPr>
              <w:pStyle w:val="yTableNAm"/>
              <w:rPr>
                <w:rFonts w:ascii="Arial" w:hAnsi="Arial"/>
                <w:sz w:val="20"/>
              </w:rPr>
            </w:pPr>
            <w:r>
              <w:rPr>
                <w:rFonts w:ascii="Arial" w:hAnsi="Arial"/>
                <w:sz w:val="20"/>
              </w:rPr>
              <w:t>Is the apprentice/trainee in a business relationship with this employer?</w:t>
            </w:r>
          </w:p>
          <w:p>
            <w:pPr>
              <w:pStyle w:val="yTableNAm"/>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Australian Apprenticeships Centre</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This code explains the rights and responsibilities of the people who sign this contract. 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widowControl w:val="0"/>
        <w:rPr>
          <w:rFonts w:ascii="Arial" w:hAnsi="Arial" w:cs="Arial"/>
          <w:b/>
          <w:bCs/>
          <w:sz w:val="20"/>
        </w:rPr>
      </w:pPr>
      <w:r>
        <w:rPr>
          <w:rFonts w:ascii="Arial" w:hAnsi="Arial" w:cs="Arial"/>
          <w:b/>
          <w:bCs/>
          <w:sz w:val="20"/>
        </w:rPr>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rPr>
          <w:rFonts w:ascii="Arial" w:hAnsi="Arial" w:cs="Arial"/>
          <w:b/>
          <w:bCs/>
          <w:sz w:val="18"/>
          <w:szCs w:val="18"/>
        </w:rPr>
      </w:pPr>
      <w:r>
        <w:rPr>
          <w:rFonts w:ascii="Arial" w:hAnsi="Arial" w:cs="Arial"/>
          <w:b/>
          <w:bCs/>
          <w:sz w:val="18"/>
          <w:szCs w:val="18"/>
        </w:rPr>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in Gazette 5 Dec 2014 p. 4526</w:t>
      </w:r>
      <w:r>
        <w:noBreakHyphen/>
        <w:t>41; 12 Dec 2014 p. 4743.]</w:t>
      </w:r>
    </w:p>
    <w:bookmarkEnd w:id="208"/>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ageBreakBefore w:val="0"/>
      </w:pPr>
      <w:bookmarkStart w:id="210" w:name="_Toc394914786"/>
      <w:bookmarkStart w:id="211" w:name="_Toc405799791"/>
      <w:bookmarkStart w:id="212" w:name="_Toc405806974"/>
      <w:bookmarkStart w:id="213" w:name="_Toc413661946"/>
      <w:bookmarkStart w:id="214" w:name="_Toc413677795"/>
      <w:r>
        <w:rPr>
          <w:rStyle w:val="CharSchNo"/>
        </w:rPr>
        <w:t>Schedule 2</w:t>
      </w:r>
      <w:r>
        <w:rPr>
          <w:rStyle w:val="CharSDivNo"/>
        </w:rPr>
        <w:t> </w:t>
      </w:r>
      <w:r>
        <w:t>—</w:t>
      </w:r>
      <w:r>
        <w:rPr>
          <w:rStyle w:val="CharSDivText"/>
        </w:rPr>
        <w:t> </w:t>
      </w:r>
      <w:r>
        <w:rPr>
          <w:rStyle w:val="CharSchText"/>
        </w:rPr>
        <w:t>Provisions about old agreements and old training contracts</w:t>
      </w:r>
      <w:bookmarkEnd w:id="210"/>
      <w:bookmarkEnd w:id="211"/>
      <w:bookmarkEnd w:id="212"/>
      <w:bookmarkEnd w:id="213"/>
      <w:bookmarkEnd w:id="214"/>
    </w:p>
    <w:p>
      <w:pPr>
        <w:pStyle w:val="yShoulderClause"/>
      </w:pPr>
      <w:r>
        <w:t>[r. 60]</w:t>
      </w:r>
    </w:p>
    <w:p>
      <w:pPr>
        <w:pStyle w:val="yHeading5"/>
      </w:pPr>
      <w:bookmarkStart w:id="215" w:name="_Toc405806975"/>
      <w:bookmarkStart w:id="216" w:name="_Toc413677796"/>
      <w:r>
        <w:rPr>
          <w:rStyle w:val="CharSClsNo"/>
        </w:rPr>
        <w:t>1</w:t>
      </w:r>
      <w:r>
        <w:t>.</w:t>
      </w:r>
      <w:r>
        <w:tab/>
        <w:t>Terms used</w:t>
      </w:r>
      <w:bookmarkEnd w:id="215"/>
      <w:bookmarkEnd w:id="216"/>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2</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4</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3</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3</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3</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3</w:t>
      </w:r>
      <w:r>
        <w:t>, whether or not the contract also specifies the apprentice is being trained for a prescribed VET qualification.</w:t>
      </w:r>
    </w:p>
    <w:p>
      <w:pPr>
        <w:pStyle w:val="yHeading5"/>
      </w:pPr>
      <w:bookmarkStart w:id="217" w:name="_Toc405806976"/>
      <w:bookmarkStart w:id="218" w:name="_Toc413677797"/>
      <w:r>
        <w:rPr>
          <w:rStyle w:val="CharSClsNo"/>
        </w:rPr>
        <w:t>2</w:t>
      </w:r>
      <w:r>
        <w:t>.</w:t>
      </w:r>
      <w:r>
        <w:tab/>
        <w:t>Old agreements to be read with modifications</w:t>
      </w:r>
      <w:bookmarkEnd w:id="217"/>
      <w:bookmarkEnd w:id="218"/>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3</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rPr>
          <w:vertAlign w:val="superscript"/>
        </w:rPr>
        <w:t> 3</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3</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3</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3</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219" w:name="_Toc405806977"/>
      <w:bookmarkStart w:id="220" w:name="_Toc413677798"/>
      <w:r>
        <w:rPr>
          <w:rStyle w:val="CharSClsNo"/>
        </w:rPr>
        <w:t>3</w:t>
      </w:r>
      <w:r>
        <w:t>.</w:t>
      </w:r>
      <w:r>
        <w:tab/>
        <w:t>Old agreements and contracts not terminated by sale of business</w:t>
      </w:r>
      <w:bookmarkEnd w:id="219"/>
      <w:bookmarkEnd w:id="220"/>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221" w:name="_Toc405806978"/>
      <w:bookmarkStart w:id="222" w:name="_Toc413677799"/>
      <w:r>
        <w:rPr>
          <w:rStyle w:val="CharSClsNo"/>
        </w:rPr>
        <w:t>4</w:t>
      </w:r>
      <w:r>
        <w:t>.</w:t>
      </w:r>
      <w:r>
        <w:tab/>
        <w:t>Technical instruction requirements for trade apprentices</w:t>
      </w:r>
      <w:bookmarkEnd w:id="221"/>
      <w:bookmarkEnd w:id="222"/>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223" w:name="_Toc405806979"/>
      <w:bookmarkStart w:id="224" w:name="_Toc413677800"/>
      <w:r>
        <w:rPr>
          <w:rStyle w:val="CharSClsNo"/>
        </w:rPr>
        <w:t>5</w:t>
      </w:r>
      <w:r>
        <w:t>.</w:t>
      </w:r>
      <w:r>
        <w:tab/>
        <w:t>Final certificates for trade apprentices</w:t>
      </w:r>
      <w:bookmarkEnd w:id="223"/>
      <w:bookmarkEnd w:id="224"/>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25" w:name="_Toc394914792"/>
      <w:bookmarkStart w:id="226" w:name="_Toc405799797"/>
      <w:bookmarkStart w:id="227" w:name="_Toc405806980"/>
      <w:bookmarkStart w:id="228" w:name="_Toc413661952"/>
      <w:bookmarkStart w:id="229" w:name="_Toc413677801"/>
      <w:r>
        <w:t>Notes</w:t>
      </w:r>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(General) Regulations 2009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30" w:name="_Toc405806981"/>
      <w:bookmarkStart w:id="231" w:name="_Toc413677802"/>
      <w:r>
        <w:t>Compilation table</w:t>
      </w:r>
      <w:bookmarkEnd w:id="230"/>
      <w:bookmarkEnd w:id="2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rFonts w:ascii="Times" w:hAnsi="Times"/>
                <w:b/>
              </w:rPr>
            </w:pPr>
            <w:r>
              <w:rPr>
                <w:rFonts w:ascii="Times" w:hAnsi="Times"/>
                <w:b/>
              </w:rPr>
              <w:t>Citation</w:t>
            </w:r>
          </w:p>
        </w:tc>
        <w:tc>
          <w:tcPr>
            <w:tcW w:w="1276" w:type="dxa"/>
            <w:tcBorders>
              <w:bottom w:val="single" w:sz="8" w:space="0" w:color="auto"/>
            </w:tcBorders>
            <w:shd w:val="clear" w:color="auto" w:fill="auto"/>
          </w:tcPr>
          <w:p>
            <w:pPr>
              <w:pStyle w:val="nTable"/>
              <w:spacing w:after="40"/>
              <w:rPr>
                <w:rFonts w:ascii="Times" w:hAnsi="Times"/>
                <w:b/>
              </w:rPr>
            </w:pPr>
            <w:r>
              <w:rPr>
                <w:rFonts w:ascii="Times" w:hAnsi="Times"/>
                <w:b/>
              </w:rPr>
              <w:t>Gazettal</w:t>
            </w:r>
          </w:p>
        </w:tc>
        <w:tc>
          <w:tcPr>
            <w:tcW w:w="2693" w:type="dxa"/>
            <w:tcBorders>
              <w:bottom w:val="single" w:sz="8" w:space="0" w:color="auto"/>
            </w:tcBorders>
            <w:shd w:val="clear" w:color="auto" w:fill="auto"/>
          </w:tcPr>
          <w:p>
            <w:pPr>
              <w:pStyle w:val="nTable"/>
              <w:spacing w:after="40"/>
              <w:rPr>
                <w:rFonts w:ascii="Times" w:hAnsi="Times"/>
                <w:b/>
              </w:rPr>
            </w:pPr>
            <w:r>
              <w:rPr>
                <w:rFonts w:ascii="Times" w:hAnsi="Times"/>
                <w:b/>
              </w:rPr>
              <w:t>Commencement</w:t>
            </w:r>
          </w:p>
        </w:tc>
      </w:tr>
      <w:tr>
        <w:tc>
          <w:tcPr>
            <w:tcW w:w="3118" w:type="dxa"/>
            <w:tcBorders>
              <w:top w:val="single" w:sz="8" w:space="0" w:color="auto"/>
              <w:bottom w:val="nil"/>
            </w:tcBorders>
          </w:tcPr>
          <w:p>
            <w:pPr>
              <w:pStyle w:val="nTable"/>
              <w:spacing w:after="40"/>
              <w:rPr>
                <w:rFonts w:ascii="Times" w:hAnsi="Times"/>
                <w:iCs/>
              </w:rPr>
            </w:pPr>
            <w:r>
              <w:rPr>
                <w:rFonts w:ascii="Times" w:hAnsi="Times"/>
                <w:i/>
                <w:noProof/>
                <w:snapToGrid w:val="0"/>
              </w:rPr>
              <w:t>Vocational Education and Training (General) Regulations 2009</w:t>
            </w:r>
          </w:p>
        </w:tc>
        <w:tc>
          <w:tcPr>
            <w:tcW w:w="1276" w:type="dxa"/>
            <w:tcBorders>
              <w:top w:val="single" w:sz="8" w:space="0" w:color="auto"/>
              <w:bottom w:val="nil"/>
            </w:tcBorders>
          </w:tcPr>
          <w:p>
            <w:pPr>
              <w:pStyle w:val="nTable"/>
              <w:spacing w:after="40"/>
              <w:rPr>
                <w:rFonts w:ascii="Times" w:hAnsi="Times"/>
              </w:rPr>
            </w:pPr>
            <w:r>
              <w:rPr>
                <w:rFonts w:ascii="Times" w:hAnsi="Times"/>
              </w:rPr>
              <w:t>22 May 2009 p. 1731</w:t>
            </w:r>
            <w:r>
              <w:rPr>
                <w:rFonts w:ascii="Times" w:hAnsi="Times"/>
              </w:rPr>
              <w:noBreakHyphen/>
              <w:t>97</w:t>
            </w:r>
          </w:p>
        </w:tc>
        <w:tc>
          <w:tcPr>
            <w:tcW w:w="2693" w:type="dxa"/>
            <w:tcBorders>
              <w:top w:val="single" w:sz="8" w:space="0" w:color="auto"/>
              <w:bottom w:val="nil"/>
            </w:tcBorders>
          </w:tcPr>
          <w:p>
            <w:pPr>
              <w:pStyle w:val="nTable"/>
              <w:spacing w:after="40"/>
              <w:rPr>
                <w:rFonts w:ascii="Times" w:hAnsi="Times"/>
              </w:rPr>
            </w:pPr>
            <w:r>
              <w:rPr>
                <w:rFonts w:ascii="Times" w:hAnsi="Times"/>
              </w:rPr>
              <w:t>r. 1 and 2: 22 May 2009 (see r. 2(a));</w:t>
            </w:r>
            <w:r>
              <w:rPr>
                <w:rFonts w:ascii="Times" w:hAnsi="Times"/>
              </w:rPr>
              <w:br/>
              <w:t>Regulations other than r. 1 and 2: 10 Jun 2009 (see r. 2(b) and No. 44 of 2008 s. 2(2))</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2011</w:t>
            </w:r>
          </w:p>
        </w:tc>
        <w:tc>
          <w:tcPr>
            <w:tcW w:w="1276" w:type="dxa"/>
            <w:tcBorders>
              <w:top w:val="nil"/>
              <w:bottom w:val="nil"/>
            </w:tcBorders>
          </w:tcPr>
          <w:p>
            <w:pPr>
              <w:pStyle w:val="nTable"/>
              <w:spacing w:after="40"/>
              <w:rPr>
                <w:rFonts w:ascii="Times" w:hAnsi="Times"/>
              </w:rPr>
            </w:pPr>
            <w:r>
              <w:rPr>
                <w:rFonts w:ascii="Times" w:hAnsi="Times"/>
              </w:rPr>
              <w:t>25 Oct 2011 p. 4508-11</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26 Oct 2011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Vocational Education and Training (General) Amendment Regulations (No. 2) 2011</w:t>
            </w:r>
          </w:p>
        </w:tc>
        <w:tc>
          <w:tcPr>
            <w:tcW w:w="1276" w:type="dxa"/>
            <w:tcBorders>
              <w:top w:val="nil"/>
              <w:bottom w:val="nil"/>
            </w:tcBorders>
          </w:tcPr>
          <w:p>
            <w:pPr>
              <w:pStyle w:val="nTable"/>
              <w:spacing w:after="40"/>
              <w:rPr>
                <w:rFonts w:ascii="Times" w:hAnsi="Times"/>
              </w:rPr>
            </w:pPr>
            <w:r>
              <w:rPr>
                <w:rFonts w:ascii="Times" w:hAnsi="Times"/>
              </w:rPr>
              <w:t>25 Oct 2011 p. 4511-12</w:t>
            </w:r>
          </w:p>
        </w:tc>
        <w:tc>
          <w:tcPr>
            <w:tcW w:w="2693" w:type="dxa"/>
            <w:tcBorders>
              <w:top w:val="nil"/>
              <w:bottom w:val="nil"/>
            </w:tcBorders>
          </w:tcPr>
          <w:p>
            <w:pPr>
              <w:pStyle w:val="nTable"/>
              <w:spacing w:after="40"/>
              <w:rPr>
                <w:rFonts w:ascii="Times" w:hAnsi="Times"/>
              </w:rPr>
            </w:pPr>
            <w:r>
              <w:rPr>
                <w:rFonts w:ascii="Times" w:hAnsi="Times"/>
              </w:rPr>
              <w:t>r. 1 and 2: 25 Oct 2011 (see r. 2(a));</w:t>
            </w:r>
            <w:r>
              <w:rPr>
                <w:rFonts w:ascii="Times" w:hAnsi="Times"/>
              </w:rPr>
              <w:br/>
              <w:t>Regulations other than r. 1 and 2: 1 Jan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rPr>
              <w:t>Vocational Education and Training (General) Amendment Regulations 2012</w:t>
            </w:r>
          </w:p>
        </w:tc>
        <w:tc>
          <w:tcPr>
            <w:tcW w:w="1276" w:type="dxa"/>
            <w:tcBorders>
              <w:top w:val="nil"/>
              <w:bottom w:val="nil"/>
            </w:tcBorders>
          </w:tcPr>
          <w:p>
            <w:pPr>
              <w:pStyle w:val="nTable"/>
              <w:spacing w:after="40"/>
              <w:rPr>
                <w:rFonts w:ascii="Times" w:hAnsi="Times"/>
              </w:rPr>
            </w:pPr>
            <w:r>
              <w:rPr>
                <w:rFonts w:ascii="Times" w:hAnsi="Times"/>
              </w:rPr>
              <w:t>16 Mar 2012 p. 1247</w:t>
            </w:r>
            <w:r>
              <w:rPr>
                <w:rFonts w:ascii="Times" w:hAnsi="Times"/>
              </w:rPr>
              <w:noBreakHyphen/>
              <w:t>8</w:t>
            </w:r>
          </w:p>
        </w:tc>
        <w:tc>
          <w:tcPr>
            <w:tcW w:w="2693" w:type="dxa"/>
            <w:tcBorders>
              <w:top w:val="nil"/>
              <w:bottom w:val="nil"/>
            </w:tcBorders>
          </w:tcPr>
          <w:p>
            <w:pPr>
              <w:pStyle w:val="nTable"/>
              <w:spacing w:after="40"/>
              <w:rPr>
                <w:rFonts w:ascii="Times" w:hAnsi="Times"/>
              </w:rPr>
            </w:pPr>
            <w:r>
              <w:rPr>
                <w:rFonts w:ascii="Times" w:hAnsi="Times"/>
                <w:snapToGrid w:val="0"/>
              </w:rPr>
              <w:t>r. 1 and 2: 16 Mar 2012 (see r. 2(a));</w:t>
            </w:r>
            <w:r>
              <w:rPr>
                <w:rFonts w:ascii="Times" w:hAnsi="Times"/>
                <w:snapToGrid w:val="0"/>
              </w:rPr>
              <w:br/>
              <w:t>Regulations other than r. 1 and 2: 17 Mar 2012 (see r. 2(b))</w:t>
            </w:r>
          </w:p>
        </w:tc>
      </w:tr>
      <w:tr>
        <w:tc>
          <w:tcPr>
            <w:tcW w:w="3118" w:type="dxa"/>
            <w:tcBorders>
              <w:top w:val="nil"/>
              <w:bottom w:val="nil"/>
            </w:tcBorders>
          </w:tcPr>
          <w:p>
            <w:pPr>
              <w:pStyle w:val="nTable"/>
              <w:spacing w:after="40"/>
              <w:rPr>
                <w:rFonts w:ascii="Times" w:hAnsi="Times"/>
                <w:i/>
              </w:rPr>
            </w:pPr>
            <w:r>
              <w:rPr>
                <w:rFonts w:ascii="Times" w:hAnsi="Times"/>
                <w:i/>
              </w:rPr>
              <w:t>Vocational Education and Training (General) Amendment Regulations (No. 2) 2012</w:t>
            </w:r>
          </w:p>
        </w:tc>
        <w:tc>
          <w:tcPr>
            <w:tcW w:w="1276" w:type="dxa"/>
            <w:tcBorders>
              <w:top w:val="nil"/>
              <w:bottom w:val="nil"/>
            </w:tcBorders>
          </w:tcPr>
          <w:p>
            <w:pPr>
              <w:pStyle w:val="nTable"/>
              <w:spacing w:after="40"/>
              <w:rPr>
                <w:rFonts w:ascii="Times" w:hAnsi="Times"/>
              </w:rPr>
            </w:pPr>
            <w:r>
              <w:rPr>
                <w:rFonts w:ascii="Times" w:hAnsi="Times"/>
              </w:rPr>
              <w:t>21 Aug 2012 p. 3927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21 Aug 2012 (see r. 2(a));</w:t>
            </w:r>
            <w:r>
              <w:rPr>
                <w:rFonts w:ascii="Times" w:hAnsi="Times"/>
                <w:snapToGrid w:val="0"/>
              </w:rPr>
              <w:br/>
              <w:t>Regulations other than r. 1 and 2: 1 Sep 2012 (see r. 2(b))</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2013</w:t>
            </w:r>
            <w:r>
              <w:t xml:space="preserve"> </w:t>
            </w:r>
          </w:p>
        </w:tc>
        <w:tc>
          <w:tcPr>
            <w:tcW w:w="1276" w:type="dxa"/>
            <w:tcBorders>
              <w:top w:val="nil"/>
              <w:bottom w:val="nil"/>
            </w:tcBorders>
          </w:tcPr>
          <w:p>
            <w:pPr>
              <w:pStyle w:val="nTable"/>
              <w:spacing w:after="40"/>
              <w:rPr>
                <w:rFonts w:ascii="Times" w:hAnsi="Times"/>
              </w:rPr>
            </w:pPr>
            <w:r>
              <w:rPr>
                <w:rFonts w:ascii="Times" w:hAnsi="Times"/>
              </w:rPr>
              <w:t>17 Dec 2013 p. 6218</w:t>
            </w:r>
            <w:r>
              <w:rPr>
                <w:rFonts w:ascii="Times" w:hAnsi="Times"/>
              </w:rPr>
              <w:noBreakHyphen/>
              <w:t>30</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17 Dec 2013 (see r. 2(a));</w:t>
            </w:r>
            <w:r>
              <w:rPr>
                <w:rFonts w:ascii="Times" w:hAnsi="Times"/>
                <w:bCs/>
                <w:snapToGrid w:val="0"/>
              </w:rPr>
              <w:br/>
              <w:t xml:space="preserve">Regulations other than r. 1 and 2: </w:t>
            </w:r>
            <w:r>
              <w:rPr>
                <w:rFonts w:ascii="Times" w:hAnsi="Times"/>
              </w:rPr>
              <w:t>1 Jan 2014 (see r. 2(b))</w:t>
            </w:r>
          </w:p>
        </w:tc>
      </w:tr>
      <w:tr>
        <w:tc>
          <w:tcPr>
            <w:tcW w:w="7087"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1:  The </w:t>
            </w:r>
            <w:r>
              <w:rPr>
                <w:rFonts w:ascii="Times" w:hAnsi="Times"/>
                <w:b/>
                <w:i/>
                <w:noProof/>
                <w:snapToGrid w:val="0"/>
              </w:rPr>
              <w:t xml:space="preserve">Vocational Education and Training (General) Regulations 2009 </w:t>
            </w:r>
            <w:r>
              <w:rPr>
                <w:rFonts w:ascii="Times" w:hAnsi="Times"/>
                <w:b/>
                <w:bCs/>
                <w:snapToGrid w:val="0"/>
              </w:rPr>
              <w:t>as at 7 Mar 2014</w:t>
            </w:r>
            <w:r>
              <w:rPr>
                <w:rFonts w:ascii="Times" w:hAnsi="Times"/>
                <w:bCs/>
                <w:snapToGrid w:val="0"/>
              </w:rPr>
              <w:t xml:space="preserve"> (includes amendments listed above) </w:t>
            </w:r>
          </w:p>
        </w:tc>
      </w:tr>
      <w:tr>
        <w:tc>
          <w:tcPr>
            <w:tcW w:w="3118" w:type="dxa"/>
            <w:tcBorders>
              <w:top w:val="nil"/>
              <w:bottom w:val="nil"/>
            </w:tcBorders>
          </w:tcPr>
          <w:p>
            <w:pPr>
              <w:pStyle w:val="nTable"/>
              <w:spacing w:after="40"/>
              <w:rPr>
                <w:rFonts w:ascii="Times" w:hAnsi="Times"/>
                <w:i/>
              </w:rPr>
            </w:pPr>
            <w:r>
              <w:rPr>
                <w:i/>
              </w:rPr>
              <w:t>Vocational Education and Training (General) Amendment Regulations (No. 2) 2014</w:t>
            </w:r>
          </w:p>
        </w:tc>
        <w:tc>
          <w:tcPr>
            <w:tcW w:w="1276" w:type="dxa"/>
            <w:tcBorders>
              <w:top w:val="nil"/>
              <w:bottom w:val="nil"/>
            </w:tcBorders>
          </w:tcPr>
          <w:p>
            <w:pPr>
              <w:pStyle w:val="nTable"/>
              <w:spacing w:after="40"/>
              <w:rPr>
                <w:rFonts w:ascii="Times" w:hAnsi="Times"/>
              </w:rPr>
            </w:pPr>
            <w:r>
              <w:t>15 Jul 2014 p. 2463</w:t>
            </w:r>
            <w:r>
              <w:noBreakHyphen/>
              <w:t>4</w:t>
            </w:r>
          </w:p>
        </w:tc>
        <w:tc>
          <w:tcPr>
            <w:tcW w:w="2693" w:type="dxa"/>
            <w:tcBorders>
              <w:top w:val="nil"/>
              <w:bottom w:val="nil"/>
            </w:tcBorders>
          </w:tcPr>
          <w:p>
            <w:pPr>
              <w:pStyle w:val="nTable"/>
              <w:spacing w:after="40"/>
              <w:rPr>
                <w:rFonts w:ascii="Times" w:hAnsi="Times"/>
                <w:snapToGrid w:val="0"/>
              </w:rPr>
            </w:pPr>
            <w:r>
              <w:rPr>
                <w:rFonts w:ascii="Times" w:hAnsi="Times"/>
                <w:bCs/>
                <w:snapToGrid w:val="0"/>
              </w:rPr>
              <w:t>r. 1 and 2: 15 Jul 2014 (see r. 2(a));</w:t>
            </w:r>
            <w:r>
              <w:rPr>
                <w:rFonts w:ascii="Times" w:hAnsi="Times"/>
                <w:bCs/>
                <w:snapToGrid w:val="0"/>
              </w:rPr>
              <w:br/>
              <w:t xml:space="preserve">Regulations other than r. 1 and 2: </w:t>
            </w:r>
            <w:r>
              <w:rPr>
                <w:rFonts w:ascii="Times" w:hAnsi="Times"/>
              </w:rPr>
              <w:t>1 Aug 2014 (see r. 2(b))</w:t>
            </w:r>
          </w:p>
        </w:tc>
      </w:tr>
      <w:tr>
        <w:tc>
          <w:tcPr>
            <w:tcW w:w="3118" w:type="dxa"/>
            <w:tcBorders>
              <w:top w:val="nil"/>
              <w:bottom w:val="nil"/>
            </w:tcBorders>
            <w:shd w:val="clear" w:color="auto" w:fill="auto"/>
          </w:tcPr>
          <w:p>
            <w:pPr>
              <w:pStyle w:val="nTable"/>
              <w:keepNext/>
              <w:spacing w:after="40"/>
              <w:rPr>
                <w:i/>
              </w:rPr>
            </w:pPr>
            <w:r>
              <w:rPr>
                <w:i/>
              </w:rPr>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rFonts w:ascii="Times" w:hAnsi="Times"/>
                <w:bCs/>
                <w:snapToGrid w:val="0"/>
              </w:rPr>
            </w:pPr>
            <w:r>
              <w:rPr>
                <w:rFonts w:ascii="Times" w:hAnsi="Times"/>
                <w:bCs/>
                <w:snapToGrid w:val="0"/>
                <w:spacing w:val="-2"/>
              </w:rPr>
              <w:t>r. 1 and 2: 5 Dec 2014 (see r. 2(a));</w:t>
            </w:r>
            <w:r>
              <w:rPr>
                <w:rFonts w:ascii="Times" w:hAnsi="Times"/>
                <w:bCs/>
                <w:snapToGrid w:val="0"/>
                <w:spacing w:val="-2"/>
              </w:rPr>
              <w:br/>
              <w:t>Regulations other than r. 1 and 2: 6 Dec 2014 (see r. 2(b))</w:t>
            </w:r>
          </w:p>
        </w:tc>
      </w:tr>
      <w:tr>
        <w:tc>
          <w:tcPr>
            <w:tcW w:w="3118" w:type="dxa"/>
            <w:tcBorders>
              <w:top w:val="nil"/>
              <w:bottom w:val="single" w:sz="4" w:space="0" w:color="auto"/>
              <w:right w:val="nil"/>
            </w:tcBorders>
            <w:shd w:val="clear" w:color="auto" w:fill="auto"/>
          </w:tcPr>
          <w:p>
            <w:pPr>
              <w:pStyle w:val="nTable"/>
              <w:keepNext/>
              <w:spacing w:after="40"/>
              <w:rPr>
                <w:i/>
              </w:rPr>
            </w:pPr>
            <w:r>
              <w:rPr>
                <w:i/>
              </w:rPr>
              <w:t>Vocational Education and Training (General) Amendment Regulations (No. 3) 2014</w:t>
            </w:r>
          </w:p>
        </w:tc>
        <w:tc>
          <w:tcPr>
            <w:tcW w:w="1276" w:type="dxa"/>
            <w:tcBorders>
              <w:top w:val="nil"/>
              <w:left w:val="nil"/>
              <w:bottom w:val="single" w:sz="4" w:space="0" w:color="auto"/>
              <w:right w:val="nil"/>
            </w:tcBorders>
            <w:shd w:val="clear" w:color="auto" w:fill="auto"/>
          </w:tcPr>
          <w:p>
            <w:pPr>
              <w:pStyle w:val="nTable"/>
              <w:keepNext/>
              <w:spacing w:after="40"/>
            </w:pPr>
            <w:r>
              <w:t>12 Dec 2014 p. 4742</w:t>
            </w:r>
            <w:r>
              <w:noBreakHyphen/>
              <w:t>3</w:t>
            </w:r>
          </w:p>
        </w:tc>
        <w:tc>
          <w:tcPr>
            <w:tcW w:w="2693" w:type="dxa"/>
            <w:tcBorders>
              <w:top w:val="nil"/>
              <w:left w:val="nil"/>
              <w:bottom w:val="single" w:sz="4" w:space="0" w:color="auto"/>
            </w:tcBorders>
            <w:shd w:val="clear" w:color="auto" w:fill="auto"/>
          </w:tcPr>
          <w:p>
            <w:pPr>
              <w:pStyle w:val="nTable"/>
              <w:keepNext/>
              <w:spacing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2" w:name="_Toc413677803"/>
      <w:r>
        <w:t>Provisions that have not come into operation</w:t>
      </w:r>
      <w:bookmarkEnd w:id="2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Vocational Education and Training (General) Amendment Regulations 2015</w:t>
            </w:r>
            <w:r>
              <w:rPr>
                <w:noProof/>
              </w:rPr>
              <w:t xml:space="preserve"> r. 3</w:t>
            </w:r>
            <w:r>
              <w:rPr>
                <w:noProof/>
              </w:rPr>
              <w:noBreakHyphen/>
              <w:t>25</w:t>
            </w:r>
            <w:r>
              <w:rPr>
                <w:noProof/>
                <w:vertAlign w:val="superscript"/>
              </w:rPr>
              <w:t> 5</w:t>
            </w:r>
          </w:p>
        </w:tc>
        <w:tc>
          <w:tcPr>
            <w:tcW w:w="1276" w:type="dxa"/>
          </w:tcPr>
          <w:p>
            <w:pPr>
              <w:pStyle w:val="nTable"/>
              <w:spacing w:after="40"/>
            </w:pPr>
            <w:r>
              <w:t>10 Mar 2015 p. 827</w:t>
            </w:r>
            <w:r>
              <w:noBreakHyphen/>
              <w:t>36</w:t>
            </w:r>
          </w:p>
        </w:tc>
        <w:tc>
          <w:tcPr>
            <w:tcW w:w="2693" w:type="dxa"/>
          </w:tcPr>
          <w:p>
            <w:pPr>
              <w:pStyle w:val="nTable"/>
              <w:spacing w:after="40"/>
            </w:pPr>
            <w:r>
              <w:t>6 Apr 2015 (see r. 2(b))</w:t>
            </w:r>
          </w:p>
        </w:tc>
      </w:tr>
    </w:tbl>
    <w:p>
      <w:pPr>
        <w:pStyle w:val="nSubsection"/>
        <w:spacing w:before="160"/>
        <w:rPr>
          <w:color w:val="000000"/>
        </w:rPr>
      </w:pPr>
      <w:r>
        <w:rPr>
          <w:color w:val="000000"/>
          <w:vertAlign w:val="superscript"/>
        </w:rPr>
        <w:t>2</w:t>
      </w:r>
      <w:r>
        <w:rPr>
          <w:color w:val="000000"/>
        </w:rPr>
        <w:tab/>
        <w:t>The</w:t>
      </w:r>
      <w:r>
        <w:rPr>
          <w:i/>
          <w:color w:val="000000"/>
        </w:rPr>
        <w:t xml:space="preserve"> Training Legislation Amendment and Repeal Act 2008 </w:t>
      </w:r>
      <w:r>
        <w:rPr>
          <w:color w:val="000000"/>
        </w:rPr>
        <w:t>(other than Pt. 1) commenced 10 Jun 2009.</w:t>
      </w:r>
    </w:p>
    <w:p>
      <w:pPr>
        <w:pStyle w:val="nSubsection"/>
        <w:rPr>
          <w:i/>
          <w:color w:val="000000"/>
        </w:rPr>
      </w:pPr>
      <w:r>
        <w:rPr>
          <w:vertAlign w:val="superscript"/>
        </w:rPr>
        <w:t>3</w:t>
      </w:r>
      <w:r>
        <w:tab/>
        <w:t xml:space="preserve">The </w:t>
      </w:r>
      <w:r>
        <w:rPr>
          <w:i/>
        </w:rPr>
        <w:t>Industrial Training Act 1975</w:t>
      </w:r>
      <w:r>
        <w:t xml:space="preserve"> was repealed by the </w:t>
      </w:r>
      <w:r>
        <w:rPr>
          <w:i/>
          <w:color w:val="000000"/>
        </w:rPr>
        <w:t>Training Legislation Amendment and Repeal Act 2008.</w:t>
      </w:r>
    </w:p>
    <w:p>
      <w:pPr>
        <w:pStyle w:val="nSubsection"/>
      </w:pPr>
      <w:r>
        <w:rPr>
          <w:color w:val="000000"/>
          <w:vertAlign w:val="superscript"/>
        </w:rPr>
        <w:t>4</w:t>
      </w:r>
      <w:r>
        <w:rPr>
          <w:color w:val="000000"/>
        </w:rPr>
        <w:tab/>
      </w:r>
      <w:r>
        <w:t xml:space="preserve">The </w:t>
      </w:r>
      <w:r>
        <w:rPr>
          <w:i/>
        </w:rPr>
        <w:t>Industrial Training (General Apprenticeship) Regulations 1981</w:t>
      </w:r>
      <w:r>
        <w:t xml:space="preserve"> were repealed by r. 56(2) of these regulations. Regulation 56 was omitted under the </w:t>
      </w:r>
      <w:r>
        <w:rPr>
          <w:i/>
        </w:rPr>
        <w:t>Reprints Act 1984</w:t>
      </w:r>
      <w:r>
        <w:t xml:space="preserve"> s. 7(4)(f).</w:t>
      </w:r>
    </w:p>
    <w:p>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 xml:space="preserve">Vocational Education and Training (General) Amendment Regulations 2015 </w:t>
      </w:r>
      <w:r>
        <w:t>r. 3</w:t>
      </w:r>
      <w:r>
        <w:noBreakHyphen/>
        <w:t>25</w:t>
      </w:r>
      <w:r>
        <w:rPr>
          <w:snapToGrid w:val="0"/>
        </w:rPr>
        <w:t xml:space="preserve"> had not come into operation.  They read as follows:</w:t>
      </w:r>
    </w:p>
    <w:p>
      <w:pPr>
        <w:pStyle w:val="BlankOpen"/>
      </w:pPr>
    </w:p>
    <w:p>
      <w:pPr>
        <w:pStyle w:val="nzHeading5"/>
        <w:rPr>
          <w:snapToGrid w:val="0"/>
        </w:rPr>
      </w:pPr>
      <w:bookmarkStart w:id="233" w:name="_Toc404592190"/>
      <w:r>
        <w:rPr>
          <w:rStyle w:val="CharSectno"/>
        </w:rPr>
        <w:t>3</w:t>
      </w:r>
      <w:r>
        <w:rPr>
          <w:snapToGrid w:val="0"/>
        </w:rPr>
        <w:t>.</w:t>
      </w:r>
      <w:r>
        <w:rPr>
          <w:snapToGrid w:val="0"/>
        </w:rPr>
        <w:tab/>
        <w:t>Regulations amended</w:t>
      </w:r>
      <w:bookmarkEnd w:id="233"/>
    </w:p>
    <w:p>
      <w:pPr>
        <w:pStyle w:val="nzSubsection"/>
      </w:pPr>
      <w:r>
        <w:tab/>
      </w:r>
      <w:r>
        <w:tab/>
      </w:r>
      <w:r>
        <w:rPr>
          <w:spacing w:val="-2"/>
        </w:rPr>
        <w:t>These</w:t>
      </w:r>
      <w:r>
        <w:t xml:space="preserve"> regulations amend the </w:t>
      </w:r>
      <w:r>
        <w:rPr>
          <w:i/>
        </w:rPr>
        <w:t>Vocational Education and Training (General) Regulations 2009</w:t>
      </w:r>
      <w:r>
        <w:t>.</w:t>
      </w:r>
    </w:p>
    <w:p>
      <w:pPr>
        <w:pStyle w:val="nzHeading5"/>
      </w:pPr>
      <w:r>
        <w:rPr>
          <w:rStyle w:val="CharSectno"/>
        </w:rPr>
        <w:t>4</w:t>
      </w:r>
      <w:r>
        <w:t>.</w:t>
      </w:r>
      <w:r>
        <w:tab/>
        <w:t>Regulation 3 amended</w:t>
      </w:r>
    </w:p>
    <w:p>
      <w:pPr>
        <w:pStyle w:val="nzSubsection"/>
      </w:pPr>
      <w:r>
        <w:tab/>
      </w:r>
      <w:r>
        <w:tab/>
        <w:t xml:space="preserve">In regulation 3 delete the definition of </w:t>
      </w:r>
      <w:r>
        <w:rPr>
          <w:b/>
          <w:i/>
        </w:rPr>
        <w:t>AQTF</w:t>
      </w:r>
      <w:r>
        <w:t>.</w:t>
      </w:r>
    </w:p>
    <w:p>
      <w:pPr>
        <w:pStyle w:val="nzHeading5"/>
      </w:pPr>
      <w:r>
        <w:rPr>
          <w:rStyle w:val="CharSectno"/>
        </w:rPr>
        <w:t>5</w:t>
      </w:r>
      <w:r>
        <w:t>.</w:t>
      </w:r>
      <w:r>
        <w:tab/>
        <w:t>Regulation 4 amended</w:t>
      </w:r>
    </w:p>
    <w:p>
      <w:pPr>
        <w:pStyle w:val="nzSubsection"/>
        <w:keepNext/>
      </w:pPr>
      <w:r>
        <w:tab/>
      </w:r>
      <w:r>
        <w:tab/>
        <w:t>Delete regulation 4(2) and insert:</w:t>
      </w:r>
    </w:p>
    <w:p>
      <w:pPr>
        <w:pStyle w:val="BlankOpen"/>
      </w:pPr>
    </w:p>
    <w:p>
      <w:pPr>
        <w:pStyle w:val="nzSubsection"/>
      </w:pPr>
      <w:r>
        <w:tab/>
        <w:t>(2)</w:t>
      </w:r>
      <w:r>
        <w:tab/>
        <w:t xml:space="preserve">For the purpose of the definition of </w:t>
      </w:r>
      <w:r>
        <w:rPr>
          <w:b/>
          <w:i/>
        </w:rPr>
        <w:t>approved VET course</w:t>
      </w:r>
      <w:r>
        <w:t xml:space="preserve"> in section 5(1) of the Act, the following are prescribed — </w:t>
      </w:r>
    </w:p>
    <w:p>
      <w:pPr>
        <w:pStyle w:val="nzIndenta"/>
      </w:pPr>
      <w:r>
        <w:tab/>
        <w:t>(a)</w:t>
      </w:r>
      <w:r>
        <w:tab/>
        <w:t>each listed unit of competency that forms part of a listed training package;</w:t>
      </w:r>
    </w:p>
    <w:p>
      <w:pPr>
        <w:pStyle w:val="nzIndenta"/>
      </w:pPr>
      <w:r>
        <w:tab/>
        <w:t>(b)</w:t>
      </w:r>
      <w:r>
        <w:tab/>
        <w:t>any VET course accredited by ASQA;</w:t>
      </w:r>
    </w:p>
    <w:p>
      <w:pPr>
        <w:pStyle w:val="nzIndenta"/>
      </w:pPr>
      <w:r>
        <w:tab/>
        <w:t>(c)</w:t>
      </w:r>
      <w:r>
        <w:tab/>
        <w:t>any VET course accredited by another non</w:t>
      </w:r>
      <w:r>
        <w:noBreakHyphen/>
        <w:t>referring State.</w:t>
      </w:r>
    </w:p>
    <w:p>
      <w:pPr>
        <w:pStyle w:val="BlankClose"/>
      </w:pPr>
    </w:p>
    <w:p>
      <w:pPr>
        <w:pStyle w:val="nzHeading5"/>
      </w:pPr>
      <w:r>
        <w:rPr>
          <w:rStyle w:val="CharSectno"/>
        </w:rPr>
        <w:t>6</w:t>
      </w:r>
      <w:r>
        <w:t>.</w:t>
      </w:r>
      <w:r>
        <w:tab/>
        <w:t>Regulation 7 amended</w:t>
      </w:r>
    </w:p>
    <w:p>
      <w:pPr>
        <w:pStyle w:val="nzSubsection"/>
      </w:pPr>
      <w:r>
        <w:tab/>
        <w:t>(1)</w:t>
      </w:r>
      <w:r>
        <w:tab/>
        <w:t>In regulation 7(1) delete the definitions of:</w:t>
      </w:r>
    </w:p>
    <w:p>
      <w:pPr>
        <w:pStyle w:val="DeleteListSub"/>
        <w:ind w:left="1418"/>
        <w:rPr>
          <w:b/>
          <w:i/>
          <w:sz w:val="20"/>
        </w:rPr>
      </w:pPr>
      <w:r>
        <w:rPr>
          <w:b/>
          <w:i/>
          <w:sz w:val="20"/>
        </w:rPr>
        <w:t>compliance monitoring audit</w:t>
      </w:r>
    </w:p>
    <w:p>
      <w:pPr>
        <w:pStyle w:val="DeleteListSub"/>
        <w:ind w:left="1418"/>
        <w:rPr>
          <w:b/>
          <w:i/>
          <w:sz w:val="20"/>
        </w:rPr>
      </w:pPr>
      <w:r>
        <w:rPr>
          <w:b/>
          <w:i/>
          <w:sz w:val="20"/>
        </w:rPr>
        <w:t>continuing registration requirements</w:t>
      </w:r>
    </w:p>
    <w:p>
      <w:pPr>
        <w:pStyle w:val="DeleteListSub"/>
        <w:ind w:left="1418"/>
        <w:rPr>
          <w:b/>
          <w:i/>
          <w:sz w:val="20"/>
        </w:rPr>
      </w:pPr>
      <w:r>
        <w:rPr>
          <w:b/>
          <w:i/>
          <w:sz w:val="20"/>
        </w:rPr>
        <w:t>initial registration requirements</w:t>
      </w:r>
    </w:p>
    <w:p>
      <w:pPr>
        <w:pStyle w:val="DeleteListSub"/>
        <w:ind w:left="1418"/>
        <w:rPr>
          <w:b/>
          <w:i/>
          <w:sz w:val="20"/>
        </w:rPr>
      </w:pPr>
      <w:r>
        <w:rPr>
          <w:b/>
          <w:i/>
          <w:sz w:val="20"/>
        </w:rPr>
        <w:t>prescribed registration document</w:t>
      </w:r>
    </w:p>
    <w:p>
      <w:pPr>
        <w:pStyle w:val="DeleteListSub"/>
        <w:ind w:left="1418"/>
        <w:rPr>
          <w:b/>
          <w:i/>
          <w:sz w:val="20"/>
        </w:rPr>
      </w:pPr>
      <w:r>
        <w:rPr>
          <w:b/>
          <w:i/>
          <w:sz w:val="20"/>
        </w:rPr>
        <w:t>registration requirements</w:t>
      </w:r>
    </w:p>
    <w:p>
      <w:pPr>
        <w:pStyle w:val="nzSubsection"/>
      </w:pPr>
      <w:r>
        <w:tab/>
        <w:t>(2)</w:t>
      </w:r>
      <w:r>
        <w:tab/>
        <w:t>In regulation 7(1) insert in alphabetical order:</w:t>
      </w:r>
    </w:p>
    <w:p>
      <w:pPr>
        <w:pStyle w:val="BlankOpen"/>
      </w:pPr>
    </w:p>
    <w:p>
      <w:pPr>
        <w:pStyle w:val="nzDefstart"/>
      </w:pPr>
      <w:r>
        <w:tab/>
      </w:r>
      <w:r>
        <w:rPr>
          <w:rStyle w:val="CharDefText"/>
        </w:rPr>
        <w:t>audit</w:t>
      </w:r>
      <w:r>
        <w:t xml:space="preserve"> means an audit conducted under Division 3;</w:t>
      </w:r>
    </w:p>
    <w:p>
      <w:pPr>
        <w:pStyle w:val="nzDefstart"/>
      </w:pPr>
      <w:r>
        <w:tab/>
      </w:r>
      <w:r>
        <w:rPr>
          <w:rStyle w:val="CharDefText"/>
        </w:rPr>
        <w:t>registration document</w:t>
      </w:r>
      <w:r>
        <w:t xml:space="preserve"> means a document that evidences the registration of a training provider and that complies with the requirements of the Standards for VET Regulators;</w:t>
      </w:r>
    </w:p>
    <w:p>
      <w:pPr>
        <w:pStyle w:val="nzDefstart"/>
      </w:pPr>
      <w:r>
        <w:tab/>
      </w:r>
      <w:r>
        <w:rPr>
          <w:rStyle w:val="CharDefText"/>
        </w:rPr>
        <w:t>registration standards</w:t>
      </w:r>
      <w:r>
        <w:t xml:space="preserve"> means the Standards for NVR Registered Training Organisations made under the Commonwealth Act section 185;</w:t>
      </w:r>
    </w:p>
    <w:p>
      <w:pPr>
        <w:pStyle w:val="BlankClose"/>
      </w:pPr>
    </w:p>
    <w:p>
      <w:pPr>
        <w:pStyle w:val="nzSubsection"/>
      </w:pPr>
      <w:r>
        <w:tab/>
        <w:t>(3)</w:t>
      </w:r>
      <w:r>
        <w:tab/>
        <w:t>In regulation 7(2) delete “forming part of the AQTF or the Standards for VET Regulators”.</w:t>
      </w:r>
    </w:p>
    <w:p>
      <w:pPr>
        <w:pStyle w:val="nzSubsection"/>
      </w:pPr>
      <w:r>
        <w:tab/>
        <w:t>(4)</w:t>
      </w:r>
      <w:r>
        <w:tab/>
        <w:t>After regulation 7(2) insert:</w:t>
      </w:r>
    </w:p>
    <w:p>
      <w:pPr>
        <w:pStyle w:val="BlankOpen"/>
      </w:pPr>
    </w:p>
    <w:p>
      <w:pPr>
        <w:pStyle w:val="nzSubsection"/>
      </w:pPr>
      <w:r>
        <w:tab/>
        <w:t>(3)</w:t>
      </w:r>
      <w:r>
        <w:tab/>
        <w:t>A reference in the registration standards to an RTO includes a reference to a WA registered provider.</w:t>
      </w:r>
    </w:p>
    <w:p>
      <w:pPr>
        <w:pStyle w:val="BlankClose"/>
      </w:pPr>
    </w:p>
    <w:p>
      <w:pPr>
        <w:pStyle w:val="nzHeading5"/>
      </w:pPr>
      <w:r>
        <w:rPr>
          <w:rStyle w:val="CharSectno"/>
        </w:rPr>
        <w:t>7</w:t>
      </w:r>
      <w:r>
        <w:t>.</w:t>
      </w:r>
      <w:r>
        <w:tab/>
        <w:t>Regulation 8 amended</w:t>
      </w:r>
    </w:p>
    <w:p>
      <w:pPr>
        <w:pStyle w:val="nzSubsection"/>
      </w:pPr>
      <w:r>
        <w:tab/>
      </w:r>
      <w:r>
        <w:tab/>
        <w:t>In regulation 8(2)(a) delete “requirements; and” and insert:</w:t>
      </w:r>
    </w:p>
    <w:p>
      <w:pPr>
        <w:pStyle w:val="BlankOpen"/>
      </w:pPr>
    </w:p>
    <w:p>
      <w:pPr>
        <w:pStyle w:val="nzSubsection"/>
      </w:pPr>
      <w:r>
        <w:tab/>
      </w:r>
      <w:r>
        <w:tab/>
        <w:t>standards; and</w:t>
      </w:r>
    </w:p>
    <w:p>
      <w:pPr>
        <w:pStyle w:val="BlankClose"/>
      </w:pPr>
    </w:p>
    <w:p>
      <w:pPr>
        <w:pStyle w:val="nzNotesPerm"/>
      </w:pPr>
      <w:r>
        <w:tab/>
        <w:t>Note:</w:t>
      </w:r>
      <w:r>
        <w:tab/>
        <w:t>The heading to amended regulation 8 is to read:</w:t>
      </w:r>
    </w:p>
    <w:p>
      <w:pPr>
        <w:pStyle w:val="nzNotesPerm"/>
        <w:tabs>
          <w:tab w:val="left" w:pos="2268"/>
        </w:tabs>
        <w:ind w:left="3420" w:hanging="2853"/>
        <w:rPr>
          <w:b/>
        </w:rPr>
      </w:pPr>
      <w:r>
        <w:tab/>
      </w:r>
      <w:r>
        <w:tab/>
      </w:r>
      <w:r>
        <w:rPr>
          <w:b/>
        </w:rPr>
        <w:t>Council to have regard to, and apply, certain standards</w:t>
      </w:r>
    </w:p>
    <w:p>
      <w:pPr>
        <w:pStyle w:val="nzHeading5"/>
      </w:pPr>
      <w:r>
        <w:rPr>
          <w:rStyle w:val="CharSectno"/>
        </w:rPr>
        <w:t>8</w:t>
      </w:r>
      <w:r>
        <w:t>.</w:t>
      </w:r>
      <w:r>
        <w:tab/>
        <w:t>Regulation 12 amended</w:t>
      </w:r>
    </w:p>
    <w:p>
      <w:pPr>
        <w:pStyle w:val="nzSubsection"/>
      </w:pPr>
      <w:r>
        <w:tab/>
        <w:t>(1)</w:t>
      </w:r>
      <w:r>
        <w:tab/>
        <w:t>In regulation 12(3):</w:t>
      </w:r>
    </w:p>
    <w:p>
      <w:pPr>
        <w:pStyle w:val="nzIndenta"/>
      </w:pPr>
      <w:r>
        <w:tab/>
        <w:t>(a)</w:t>
      </w:r>
      <w:r>
        <w:tab/>
        <w:t>after “regulation 10(1)” insert:</w:t>
      </w:r>
    </w:p>
    <w:p>
      <w:pPr>
        <w:pStyle w:val="BlankOpen"/>
      </w:pPr>
    </w:p>
    <w:p>
      <w:pPr>
        <w:pStyle w:val="nzIndenta"/>
      </w:pPr>
      <w:r>
        <w:tab/>
      </w:r>
      <w:r>
        <w:tab/>
        <w:t>and has sufficient resources to be a training provider</w:t>
      </w:r>
    </w:p>
    <w:p>
      <w:pPr>
        <w:pStyle w:val="BlankClose"/>
      </w:pPr>
    </w:p>
    <w:p>
      <w:pPr>
        <w:pStyle w:val="nzIndenta"/>
      </w:pPr>
      <w:r>
        <w:tab/>
        <w:t>(b)</w:t>
      </w:r>
      <w:r>
        <w:tab/>
        <w:t>in paragraph (a) delete “registration, and meets the standards, in the initial registration requirements; or” and insert:</w:t>
      </w:r>
    </w:p>
    <w:p>
      <w:pPr>
        <w:pStyle w:val="BlankOpen"/>
      </w:pPr>
    </w:p>
    <w:p>
      <w:pPr>
        <w:pStyle w:val="nzIndenta"/>
      </w:pPr>
      <w:r>
        <w:tab/>
      </w:r>
      <w:r>
        <w:tab/>
        <w:t>registration, the registration standards and the AQF; or</w:t>
      </w:r>
    </w:p>
    <w:p>
      <w:pPr>
        <w:pStyle w:val="BlankClose"/>
      </w:pPr>
    </w:p>
    <w:p>
      <w:pPr>
        <w:pStyle w:val="nzIndenta"/>
      </w:pPr>
      <w:r>
        <w:tab/>
        <w:t>(c)</w:t>
      </w:r>
      <w:r>
        <w:tab/>
        <w:t>delete paragraph (b) and insert:</w:t>
      </w:r>
    </w:p>
    <w:p>
      <w:pPr>
        <w:pStyle w:val="BlankOpen"/>
      </w:pPr>
    </w:p>
    <w:p>
      <w:pPr>
        <w:pStyle w:val="nzIndenta"/>
      </w:pPr>
      <w:r>
        <w:tab/>
        <w:t>(b)</w:t>
      </w:r>
      <w:r>
        <w:tab/>
        <w:t>an audit has been conducted on the provider within the previous 3 months and the provider has been found to comply with the conditions of registration, the registration standards and the AQF; or</w:t>
      </w:r>
    </w:p>
    <w:p>
      <w:pPr>
        <w:pStyle w:val="BlankClose"/>
      </w:pPr>
    </w:p>
    <w:p>
      <w:pPr>
        <w:pStyle w:val="nzSubsection"/>
      </w:pPr>
      <w:r>
        <w:tab/>
        <w:t>(2)</w:t>
      </w:r>
      <w:r>
        <w:tab/>
        <w:t>In regulation 12(7)(b) delete “prescribed”.</w:t>
      </w:r>
    </w:p>
    <w:p>
      <w:pPr>
        <w:pStyle w:val="nzHeading5"/>
      </w:pPr>
      <w:r>
        <w:rPr>
          <w:rStyle w:val="CharSectno"/>
        </w:rPr>
        <w:t>9</w:t>
      </w:r>
      <w:r>
        <w:t>.</w:t>
      </w:r>
      <w:r>
        <w:tab/>
        <w:t>Regulation 13 amended</w:t>
      </w:r>
    </w:p>
    <w:p>
      <w:pPr>
        <w:pStyle w:val="nzSubsection"/>
      </w:pPr>
      <w:r>
        <w:tab/>
        <w:t>(1)</w:t>
      </w:r>
      <w:r>
        <w:tab/>
        <w:t>Delete regulation 13(1)(a) and insert:</w:t>
      </w:r>
    </w:p>
    <w:p>
      <w:pPr>
        <w:pStyle w:val="BlankOpen"/>
      </w:pPr>
    </w:p>
    <w:p>
      <w:pPr>
        <w:pStyle w:val="nzIndenta"/>
      </w:pPr>
      <w:r>
        <w:tab/>
        <w:t>(a)</w:t>
      </w:r>
      <w:r>
        <w:tab/>
        <w:t>the registration standards and the AQF; and</w:t>
      </w:r>
    </w:p>
    <w:p>
      <w:pPr>
        <w:pStyle w:val="BlankClose"/>
      </w:pPr>
    </w:p>
    <w:p>
      <w:pPr>
        <w:pStyle w:val="nzSubsection"/>
      </w:pPr>
      <w:r>
        <w:tab/>
        <w:t>(2)</w:t>
      </w:r>
      <w:r>
        <w:tab/>
        <w:t>In regulation 13(2):</w:t>
      </w:r>
    </w:p>
    <w:p>
      <w:pPr>
        <w:pStyle w:val="nzIndenta"/>
      </w:pPr>
      <w:r>
        <w:tab/>
        <w:t>(a)</w:t>
      </w:r>
      <w:r>
        <w:tab/>
        <w:t>in paragraph (a) delete “meet the standards in the continuing registration requirements;” and insert:</w:t>
      </w:r>
    </w:p>
    <w:p>
      <w:pPr>
        <w:pStyle w:val="BlankOpen"/>
      </w:pPr>
    </w:p>
    <w:p>
      <w:pPr>
        <w:pStyle w:val="nzIndenta"/>
      </w:pPr>
      <w:r>
        <w:tab/>
      </w:r>
      <w:r>
        <w:tab/>
        <w:t>comply with the registration standards and the AQF;</w:t>
      </w:r>
    </w:p>
    <w:p>
      <w:pPr>
        <w:pStyle w:val="BlankClose"/>
      </w:pPr>
    </w:p>
    <w:p>
      <w:pPr>
        <w:pStyle w:val="nzIndenta"/>
      </w:pPr>
      <w:r>
        <w:tab/>
        <w:t>(b)</w:t>
      </w:r>
      <w:r>
        <w:tab/>
        <w:t>delete paragraph (b) and insert:</w:t>
      </w:r>
    </w:p>
    <w:p>
      <w:pPr>
        <w:pStyle w:val="BlankOpen"/>
      </w:pPr>
    </w:p>
    <w:p>
      <w:pPr>
        <w:pStyle w:val="nzIndenta"/>
      </w:pPr>
      <w:r>
        <w:tab/>
        <w:t>(b)</w:t>
      </w:r>
      <w:r>
        <w:tab/>
        <w:t>the provider must, if an audit or a compliance audit shows the provider does not comply with the registration standards or the AQF, take all steps necessary to comply with them;</w:t>
      </w:r>
    </w:p>
    <w:p>
      <w:pPr>
        <w:pStyle w:val="nzIndenta"/>
      </w:pPr>
      <w:r>
        <w:tab/>
        <w:t>(c)</w:t>
      </w:r>
      <w:r>
        <w:tab/>
        <w:t>the provider must have sufficient resources to be a training provider;</w:t>
      </w:r>
    </w:p>
    <w:p>
      <w:pPr>
        <w:pStyle w:val="BlankClose"/>
      </w:pPr>
    </w:p>
    <w:p>
      <w:pPr>
        <w:pStyle w:val="nzIndenta"/>
      </w:pPr>
      <w:r>
        <w:tab/>
        <w:t>(c)</w:t>
      </w:r>
      <w:r>
        <w:tab/>
        <w:t>in paragraph (d) delete “a compliance audit or a compliance monitoring audit” and insert:</w:t>
      </w:r>
    </w:p>
    <w:p>
      <w:pPr>
        <w:pStyle w:val="BlankOpen"/>
      </w:pPr>
    </w:p>
    <w:p>
      <w:pPr>
        <w:pStyle w:val="nzIndenta"/>
      </w:pPr>
      <w:r>
        <w:tab/>
      </w:r>
      <w:r>
        <w:tab/>
        <w:t xml:space="preserve">an audit or a compliance audit </w:t>
      </w:r>
    </w:p>
    <w:p>
      <w:pPr>
        <w:pStyle w:val="BlankClose"/>
      </w:pPr>
    </w:p>
    <w:p>
      <w:pPr>
        <w:pStyle w:val="nzIndenta"/>
      </w:pPr>
      <w:r>
        <w:tab/>
        <w:t>(d)</w:t>
      </w:r>
      <w:r>
        <w:tab/>
        <w:t>in paragraph (e)(ii) delete “operations;” and insert:</w:t>
      </w:r>
    </w:p>
    <w:p>
      <w:pPr>
        <w:pStyle w:val="BlankOpen"/>
      </w:pPr>
    </w:p>
    <w:p>
      <w:pPr>
        <w:pStyle w:val="nzIndenta"/>
      </w:pPr>
      <w:r>
        <w:tab/>
      </w:r>
      <w:r>
        <w:tab/>
        <w:t xml:space="preserve">operations or any other event that would significantly affect the provider’s ability to comply with the registration standards, the AQF or the conditions of registration; </w:t>
      </w:r>
    </w:p>
    <w:p>
      <w:pPr>
        <w:pStyle w:val="BlankClose"/>
      </w:pPr>
    </w:p>
    <w:p>
      <w:pPr>
        <w:pStyle w:val="nzIndenta"/>
      </w:pPr>
      <w:r>
        <w:tab/>
        <w:t>(e)</w:t>
      </w:r>
      <w:r>
        <w:tab/>
        <w:t>in paragraph (e)(iv) delete “WA.” and insert:</w:t>
      </w:r>
    </w:p>
    <w:p>
      <w:pPr>
        <w:pStyle w:val="BlankOpen"/>
      </w:pPr>
    </w:p>
    <w:p>
      <w:pPr>
        <w:pStyle w:val="nzIndenta"/>
      </w:pPr>
      <w:r>
        <w:tab/>
      </w:r>
      <w:r>
        <w:tab/>
        <w:t>WA;</w:t>
      </w:r>
    </w:p>
    <w:p>
      <w:pPr>
        <w:pStyle w:val="BlankClose"/>
      </w:pPr>
    </w:p>
    <w:p>
      <w:pPr>
        <w:pStyle w:val="nzIndenta"/>
      </w:pPr>
      <w:r>
        <w:tab/>
        <w:t>(f)</w:t>
      </w:r>
      <w:r>
        <w:tab/>
        <w:t>after paragraph (e) insert:</w:t>
      </w:r>
    </w:p>
    <w:p>
      <w:pPr>
        <w:pStyle w:val="BlankOpen"/>
      </w:pPr>
    </w:p>
    <w:p>
      <w:pPr>
        <w:pStyle w:val="nzIndenta"/>
      </w:pPr>
      <w:r>
        <w:tab/>
        <w:t>(f)</w:t>
      </w:r>
      <w:r>
        <w:tab/>
        <w:t>the provider must cooperate with the Council at least to the extent necessary for the Council to perform its functions or to facilitate the Council’s performance of its functions.</w:t>
      </w:r>
    </w:p>
    <w:p>
      <w:pPr>
        <w:pStyle w:val="BlankClose"/>
      </w:pPr>
    </w:p>
    <w:p>
      <w:pPr>
        <w:pStyle w:val="nzSubsection"/>
      </w:pPr>
      <w:r>
        <w:tab/>
        <w:t>(3)</w:t>
      </w:r>
      <w:r>
        <w:tab/>
        <w:t>In regulation 13(4) delete “continuing registration requirements.” and insert:</w:t>
      </w:r>
    </w:p>
    <w:p>
      <w:pPr>
        <w:pStyle w:val="BlankOpen"/>
      </w:pPr>
    </w:p>
    <w:p>
      <w:pPr>
        <w:pStyle w:val="nzSubsection"/>
      </w:pPr>
      <w:r>
        <w:tab/>
      </w:r>
      <w:r>
        <w:tab/>
        <w:t>registration standards.</w:t>
      </w:r>
    </w:p>
    <w:p>
      <w:pPr>
        <w:pStyle w:val="BlankClose"/>
      </w:pPr>
    </w:p>
    <w:p>
      <w:pPr>
        <w:pStyle w:val="nzHeading5"/>
      </w:pPr>
      <w:r>
        <w:rPr>
          <w:rStyle w:val="CharSectno"/>
        </w:rPr>
        <w:t>10</w:t>
      </w:r>
      <w:r>
        <w:t>.</w:t>
      </w:r>
      <w:r>
        <w:tab/>
        <w:t>Regulation 14 amended</w:t>
      </w:r>
    </w:p>
    <w:p>
      <w:pPr>
        <w:pStyle w:val="nzSubsection"/>
      </w:pPr>
      <w:r>
        <w:tab/>
      </w:r>
      <w:r>
        <w:tab/>
        <w:t>In regulation 14 delete “prescribed”.</w:t>
      </w:r>
    </w:p>
    <w:p>
      <w:pPr>
        <w:pStyle w:val="nzHeading5"/>
      </w:pPr>
      <w:r>
        <w:rPr>
          <w:rStyle w:val="CharSectno"/>
        </w:rPr>
        <w:t>11</w:t>
      </w:r>
      <w:r>
        <w:t>.</w:t>
      </w:r>
      <w:r>
        <w:tab/>
        <w:t>Regulation 16 amended</w:t>
      </w:r>
    </w:p>
    <w:p>
      <w:pPr>
        <w:pStyle w:val="nzSubsection"/>
      </w:pPr>
      <w:r>
        <w:tab/>
        <w:t>(1)</w:t>
      </w:r>
      <w:r>
        <w:tab/>
        <w:t>Delete regulation 16(3)(a)(ii) and insert:</w:t>
      </w:r>
    </w:p>
    <w:p>
      <w:pPr>
        <w:pStyle w:val="BlankOpen"/>
      </w:pPr>
    </w:p>
    <w:p>
      <w:pPr>
        <w:pStyle w:val="nzIndenti"/>
      </w:pPr>
      <w:r>
        <w:tab/>
        <w:t>(ii)</w:t>
      </w:r>
      <w:r>
        <w:tab/>
        <w:t>the provider complies with the registration standards and the AQF; and</w:t>
      </w:r>
    </w:p>
    <w:p>
      <w:pPr>
        <w:pStyle w:val="BlankClose"/>
      </w:pPr>
    </w:p>
    <w:p>
      <w:pPr>
        <w:pStyle w:val="nzSubsection"/>
      </w:pPr>
      <w:r>
        <w:tab/>
        <w:t>(2)</w:t>
      </w:r>
      <w:r>
        <w:tab/>
        <w:t>In regulation 16(4)(b) delete “prescribed”.</w:t>
      </w:r>
    </w:p>
    <w:p>
      <w:pPr>
        <w:pStyle w:val="nzHeading5"/>
      </w:pPr>
      <w:r>
        <w:rPr>
          <w:rStyle w:val="CharSectno"/>
        </w:rPr>
        <w:t>12</w:t>
      </w:r>
      <w:r>
        <w:t>.</w:t>
      </w:r>
      <w:r>
        <w:tab/>
        <w:t>Regulation 17 amended</w:t>
      </w:r>
    </w:p>
    <w:p>
      <w:pPr>
        <w:pStyle w:val="nzSubsection"/>
      </w:pPr>
      <w:r>
        <w:tab/>
        <w:t>(1)</w:t>
      </w:r>
      <w:r>
        <w:tab/>
        <w:t>In regulation 17(4):</w:t>
      </w:r>
    </w:p>
    <w:p>
      <w:pPr>
        <w:pStyle w:val="nzIndenta"/>
      </w:pPr>
      <w:r>
        <w:tab/>
        <w:t>(a)</w:t>
      </w:r>
      <w:r>
        <w:tab/>
        <w:t>delete paragraph (a) and insert:</w:t>
      </w:r>
    </w:p>
    <w:p>
      <w:pPr>
        <w:pStyle w:val="BlankOpen"/>
      </w:pPr>
    </w:p>
    <w:p>
      <w:pPr>
        <w:pStyle w:val="nzIndenta"/>
      </w:pPr>
      <w:r>
        <w:tab/>
        <w:t>(a)</w:t>
      </w:r>
      <w:r>
        <w:tab/>
        <w:t>the provider complies with the registration standards and the AQF; or</w:t>
      </w:r>
    </w:p>
    <w:p>
      <w:pPr>
        <w:pStyle w:val="BlankClose"/>
      </w:pPr>
    </w:p>
    <w:p>
      <w:pPr>
        <w:pStyle w:val="nzIndenta"/>
      </w:pPr>
      <w:r>
        <w:tab/>
        <w:t>(b)</w:t>
      </w:r>
      <w:r>
        <w:tab/>
        <w:t>in paragraph (b) delete “a compliance audit or a compliance monitoring audit” and insert:</w:t>
      </w:r>
    </w:p>
    <w:p>
      <w:pPr>
        <w:pStyle w:val="BlankOpen"/>
      </w:pPr>
    </w:p>
    <w:p>
      <w:pPr>
        <w:pStyle w:val="nzIndenta"/>
      </w:pPr>
      <w:r>
        <w:tab/>
      </w:r>
      <w:r>
        <w:tab/>
        <w:t xml:space="preserve">an audit or a compliance audit </w:t>
      </w:r>
    </w:p>
    <w:p>
      <w:pPr>
        <w:pStyle w:val="BlankClose"/>
      </w:pPr>
    </w:p>
    <w:p>
      <w:pPr>
        <w:pStyle w:val="nzIndenta"/>
      </w:pPr>
      <w:r>
        <w:tab/>
        <w:t>(c)</w:t>
      </w:r>
      <w:r>
        <w:tab/>
        <w:t>in paragraph (b) delete “meet” and insert:</w:t>
      </w:r>
    </w:p>
    <w:p>
      <w:pPr>
        <w:pStyle w:val="BlankOpen"/>
      </w:pPr>
    </w:p>
    <w:p>
      <w:pPr>
        <w:pStyle w:val="nzIndenta"/>
      </w:pPr>
      <w:r>
        <w:tab/>
      </w:r>
      <w:r>
        <w:tab/>
        <w:t xml:space="preserve">comply with </w:t>
      </w:r>
    </w:p>
    <w:p>
      <w:pPr>
        <w:pStyle w:val="BlankClose"/>
      </w:pPr>
    </w:p>
    <w:p>
      <w:pPr>
        <w:pStyle w:val="nzNotesPerm"/>
      </w:pPr>
      <w:r>
        <w:tab/>
        <w:t>Note:</w:t>
      </w:r>
      <w:r>
        <w:tab/>
        <w:t>The heading to amended regulation 17 is to read:</w:t>
      </w:r>
    </w:p>
    <w:p>
      <w:pPr>
        <w:pStyle w:val="nzNotesPerm"/>
        <w:rPr>
          <w:b/>
        </w:rPr>
      </w:pPr>
      <w:r>
        <w:tab/>
      </w:r>
      <w:r>
        <w:tab/>
      </w:r>
      <w:r>
        <w:rPr>
          <w:b/>
        </w:rPr>
        <w:t>Varying registration</w:t>
      </w:r>
    </w:p>
    <w:p>
      <w:pPr>
        <w:pStyle w:val="nzHeading5"/>
      </w:pPr>
      <w:r>
        <w:rPr>
          <w:rStyle w:val="CharSectno"/>
        </w:rPr>
        <w:t>13</w:t>
      </w:r>
      <w:r>
        <w:t>.</w:t>
      </w:r>
      <w:r>
        <w:tab/>
        <w:t>Regulation 19 amended</w:t>
      </w:r>
    </w:p>
    <w:p>
      <w:pPr>
        <w:pStyle w:val="nzSubsection"/>
      </w:pPr>
      <w:r>
        <w:tab/>
      </w:r>
      <w:r>
        <w:tab/>
        <w:t>Delete regulation 19(1)(d) and insert:</w:t>
      </w:r>
    </w:p>
    <w:p>
      <w:pPr>
        <w:pStyle w:val="BlankOpen"/>
      </w:pPr>
    </w:p>
    <w:p>
      <w:pPr>
        <w:pStyle w:val="nzIndenta"/>
      </w:pPr>
      <w:r>
        <w:tab/>
        <w:t>(d)</w:t>
      </w:r>
      <w:r>
        <w:tab/>
        <w:t>the provider does not comply with the registration standards or the AQF;</w:t>
      </w:r>
    </w:p>
    <w:p>
      <w:pPr>
        <w:pStyle w:val="BlankClose"/>
      </w:pPr>
    </w:p>
    <w:p>
      <w:pPr>
        <w:pStyle w:val="nzHeading5"/>
      </w:pPr>
      <w:r>
        <w:rPr>
          <w:rStyle w:val="CharSectno"/>
        </w:rPr>
        <w:t>14</w:t>
      </w:r>
      <w:r>
        <w:t>.</w:t>
      </w:r>
      <w:r>
        <w:tab/>
        <w:t>Regulation 24 amended</w:t>
      </w:r>
    </w:p>
    <w:p>
      <w:pPr>
        <w:pStyle w:val="nzSubsection"/>
      </w:pPr>
      <w:r>
        <w:tab/>
        <w:t>(1)</w:t>
      </w:r>
      <w:r>
        <w:tab/>
        <w:t>In regulation 24 delete the definitions of:</w:t>
      </w:r>
    </w:p>
    <w:p>
      <w:pPr>
        <w:pStyle w:val="DeleteListSub"/>
        <w:ind w:left="1418"/>
        <w:rPr>
          <w:b/>
          <w:i/>
          <w:sz w:val="20"/>
        </w:rPr>
      </w:pPr>
      <w:r>
        <w:rPr>
          <w:b/>
          <w:i/>
          <w:sz w:val="20"/>
        </w:rPr>
        <w:t>compliance audit</w:t>
      </w:r>
    </w:p>
    <w:p>
      <w:pPr>
        <w:pStyle w:val="DeleteListSub"/>
        <w:ind w:left="1418"/>
        <w:rPr>
          <w:b/>
          <w:i/>
          <w:sz w:val="20"/>
        </w:rPr>
      </w:pPr>
      <w:r>
        <w:rPr>
          <w:b/>
          <w:i/>
          <w:sz w:val="20"/>
        </w:rPr>
        <w:t>compliance monitoring audit</w:t>
      </w:r>
    </w:p>
    <w:p>
      <w:pPr>
        <w:pStyle w:val="nzSubsection"/>
        <w:keepNext/>
      </w:pPr>
      <w:r>
        <w:tab/>
        <w:t>(2)</w:t>
      </w:r>
      <w:r>
        <w:tab/>
        <w:t>In regulation 24 insert in alphabetical order:</w:t>
      </w:r>
    </w:p>
    <w:p>
      <w:pPr>
        <w:pStyle w:val="BlankOpen"/>
      </w:pPr>
    </w:p>
    <w:p>
      <w:pPr>
        <w:pStyle w:val="nzDefstart"/>
      </w:pPr>
      <w:r>
        <w:tab/>
      </w:r>
      <w:r>
        <w:rPr>
          <w:rStyle w:val="CharDefText"/>
        </w:rPr>
        <w:t>audit</w:t>
      </w:r>
      <w:r>
        <w:t xml:space="preserve"> means an audit to establish whether a training provider complies with the registration standards or is complying with the Act;</w:t>
      </w:r>
    </w:p>
    <w:p>
      <w:pPr>
        <w:pStyle w:val="nzDefstart"/>
      </w:pPr>
      <w:r>
        <w:rPr>
          <w:b/>
          <w:i/>
        </w:rPr>
        <w:tab/>
      </w:r>
      <w:r>
        <w:rPr>
          <w:rStyle w:val="CharDefText"/>
        </w:rPr>
        <w:t>compliance audit</w:t>
      </w:r>
      <w:r>
        <w:rPr>
          <w:b/>
          <w:i/>
        </w:rPr>
        <w:t xml:space="preserve"> </w:t>
      </w:r>
      <w:r>
        <w:t xml:space="preserve">means an audit in the form of a review or examination of all or any particular aspect of a WA registered provider’s operations — </w:t>
      </w:r>
    </w:p>
    <w:p>
      <w:pPr>
        <w:pStyle w:val="nzDefpara"/>
      </w:pPr>
      <w:r>
        <w:tab/>
        <w:t>(a)</w:t>
      </w:r>
      <w:r>
        <w:tab/>
        <w:t>following an audit; or</w:t>
      </w:r>
    </w:p>
    <w:p>
      <w:pPr>
        <w:pStyle w:val="nzDefpara"/>
      </w:pPr>
      <w:r>
        <w:tab/>
        <w:t>(b)</w:t>
      </w:r>
      <w:r>
        <w:tab/>
        <w:t>as part of an investigation of a complaint;</w:t>
      </w:r>
    </w:p>
    <w:p>
      <w:pPr>
        <w:pStyle w:val="BlankClose"/>
      </w:pPr>
    </w:p>
    <w:p>
      <w:pPr>
        <w:pStyle w:val="nzSubsection"/>
      </w:pPr>
      <w:r>
        <w:tab/>
        <w:t>(3)</w:t>
      </w:r>
      <w:r>
        <w:tab/>
        <w:t xml:space="preserve">In regulation 24 in the definition of </w:t>
      </w:r>
      <w:r>
        <w:rPr>
          <w:b/>
          <w:i/>
        </w:rPr>
        <w:t>investigation</w:t>
      </w:r>
      <w:r>
        <w:t xml:space="preserve"> delete “AQTF;” and insert:</w:t>
      </w:r>
    </w:p>
    <w:p>
      <w:pPr>
        <w:pStyle w:val="BlankOpen"/>
      </w:pPr>
    </w:p>
    <w:p>
      <w:pPr>
        <w:pStyle w:val="nzSubsection"/>
      </w:pPr>
      <w:r>
        <w:tab/>
      </w:r>
      <w:r>
        <w:tab/>
        <w:t>registration standards, the AQF, the conditions of registration or the accreditation standards;</w:t>
      </w:r>
    </w:p>
    <w:p>
      <w:pPr>
        <w:pStyle w:val="BlankClose"/>
      </w:pPr>
    </w:p>
    <w:p>
      <w:pPr>
        <w:pStyle w:val="nzHeading5"/>
      </w:pPr>
      <w:r>
        <w:rPr>
          <w:rStyle w:val="CharSectno"/>
        </w:rPr>
        <w:t>15</w:t>
      </w:r>
      <w:r>
        <w:t>.</w:t>
      </w:r>
      <w:r>
        <w:tab/>
        <w:t>Regulation 25 amended</w:t>
      </w:r>
    </w:p>
    <w:p>
      <w:pPr>
        <w:pStyle w:val="nzSubsection"/>
      </w:pPr>
      <w:r>
        <w:tab/>
        <w:t>(1)</w:t>
      </w:r>
      <w:r>
        <w:tab/>
        <w:t>In regulation 25(1) and (2A) delete “a compliance” and insert:</w:t>
      </w:r>
    </w:p>
    <w:p>
      <w:pPr>
        <w:pStyle w:val="BlankOpen"/>
      </w:pPr>
    </w:p>
    <w:p>
      <w:pPr>
        <w:pStyle w:val="nzSubsection"/>
      </w:pPr>
      <w:r>
        <w:tab/>
      </w:r>
      <w:r>
        <w:tab/>
        <w:t>an</w:t>
      </w:r>
    </w:p>
    <w:p>
      <w:pPr>
        <w:pStyle w:val="BlankClose"/>
      </w:pPr>
    </w:p>
    <w:p>
      <w:pPr>
        <w:pStyle w:val="nzSubsection"/>
      </w:pPr>
      <w:r>
        <w:tab/>
        <w:t>(2)</w:t>
      </w:r>
      <w:r>
        <w:tab/>
        <w:t>Delete regulation 25(2) and insert:</w:t>
      </w:r>
    </w:p>
    <w:p>
      <w:pPr>
        <w:pStyle w:val="BlankOpen"/>
      </w:pPr>
    </w:p>
    <w:p>
      <w:pPr>
        <w:pStyle w:val="nzSubsection"/>
      </w:pPr>
      <w:r>
        <w:tab/>
        <w:t>(2B)</w:t>
      </w:r>
      <w:r>
        <w:tab/>
        <w:t>A training provider must cooperate with the Council in its conduct of an audit and provide any relevant information that the Council requests.</w:t>
      </w:r>
    </w:p>
    <w:p>
      <w:pPr>
        <w:pStyle w:val="nzSubsection"/>
      </w:pPr>
      <w:r>
        <w:tab/>
        <w:t>(2)</w:t>
      </w:r>
      <w:r>
        <w:tab/>
        <w:t>An audit must comply with the Standards for VET Regulators to the extent that they relate to audits.</w:t>
      </w:r>
    </w:p>
    <w:p>
      <w:pPr>
        <w:pStyle w:val="BlankClose"/>
      </w:pPr>
    </w:p>
    <w:p>
      <w:pPr>
        <w:pStyle w:val="nzSubsection"/>
      </w:pPr>
      <w:r>
        <w:tab/>
        <w:t>(3)</w:t>
      </w:r>
      <w:r>
        <w:tab/>
        <w:t>In regulation 25(3):</w:t>
      </w:r>
    </w:p>
    <w:p>
      <w:pPr>
        <w:pStyle w:val="nzIndenta"/>
      </w:pPr>
      <w:r>
        <w:tab/>
        <w:t>(a)</w:t>
      </w:r>
      <w:r>
        <w:tab/>
        <w:t>delete “compliance”;</w:t>
      </w:r>
    </w:p>
    <w:p>
      <w:pPr>
        <w:pStyle w:val="nzIndenta"/>
      </w:pPr>
      <w:r>
        <w:tab/>
        <w:t>(b)</w:t>
      </w:r>
      <w:r>
        <w:tab/>
        <w:t>in paragraph (b) delete “audit standards” and insert:</w:t>
      </w:r>
    </w:p>
    <w:p>
      <w:pPr>
        <w:pStyle w:val="BlankOpen"/>
      </w:pPr>
    </w:p>
    <w:p>
      <w:pPr>
        <w:pStyle w:val="nzIndenta"/>
      </w:pPr>
      <w:r>
        <w:tab/>
      </w:r>
      <w:r>
        <w:tab/>
        <w:t xml:space="preserve">Standards for VET Regulators </w:t>
      </w:r>
    </w:p>
    <w:p>
      <w:pPr>
        <w:pStyle w:val="BlankClose"/>
        <w:keepNext/>
      </w:pPr>
    </w:p>
    <w:p>
      <w:pPr>
        <w:pStyle w:val="nzNotesPerm"/>
      </w:pPr>
      <w:r>
        <w:tab/>
        <w:t>Note:</w:t>
      </w:r>
      <w:r>
        <w:tab/>
        <w:t>The heading to amended regulation 25 is to read:</w:t>
      </w:r>
    </w:p>
    <w:p>
      <w:pPr>
        <w:pStyle w:val="nzNotesPerm"/>
        <w:rPr>
          <w:b/>
        </w:rPr>
      </w:pPr>
      <w:r>
        <w:tab/>
      </w:r>
      <w:r>
        <w:tab/>
      </w:r>
      <w:r>
        <w:rPr>
          <w:b/>
        </w:rPr>
        <w:t>Audits</w:t>
      </w:r>
    </w:p>
    <w:p>
      <w:pPr>
        <w:pStyle w:val="nzHeading5"/>
      </w:pPr>
      <w:r>
        <w:rPr>
          <w:rStyle w:val="CharSectno"/>
        </w:rPr>
        <w:t>16</w:t>
      </w:r>
      <w:r>
        <w:t>.</w:t>
      </w:r>
      <w:r>
        <w:tab/>
        <w:t>Regulation 26A amended</w:t>
      </w:r>
    </w:p>
    <w:p>
      <w:pPr>
        <w:pStyle w:val="nzSubsection"/>
      </w:pPr>
      <w:r>
        <w:tab/>
        <w:t>(1)</w:t>
      </w:r>
      <w:r>
        <w:tab/>
        <w:t>In regulation 26A(1), (2), (3) and (4) delete “monitoring” (each occurrence).</w:t>
      </w:r>
    </w:p>
    <w:p>
      <w:pPr>
        <w:pStyle w:val="nzSubsection"/>
      </w:pPr>
      <w:r>
        <w:tab/>
        <w:t>(2)</w:t>
      </w:r>
      <w:r>
        <w:tab/>
        <w:t>In regulation 26A(2)(a) delete “a compliance” and insert:</w:t>
      </w:r>
    </w:p>
    <w:p>
      <w:pPr>
        <w:pStyle w:val="BlankOpen"/>
      </w:pPr>
    </w:p>
    <w:p>
      <w:pPr>
        <w:pStyle w:val="nzSubsection"/>
      </w:pPr>
      <w:r>
        <w:tab/>
      </w:r>
      <w:r>
        <w:tab/>
        <w:t>an</w:t>
      </w:r>
    </w:p>
    <w:p>
      <w:pPr>
        <w:pStyle w:val="BlankClose"/>
      </w:pPr>
    </w:p>
    <w:p>
      <w:pPr>
        <w:pStyle w:val="nzSubsection"/>
      </w:pPr>
      <w:r>
        <w:tab/>
        <w:t>(3)</w:t>
      </w:r>
      <w:r>
        <w:tab/>
        <w:t>After regulation 26A(2) insert:</w:t>
      </w:r>
    </w:p>
    <w:p>
      <w:pPr>
        <w:pStyle w:val="BlankOpen"/>
      </w:pPr>
    </w:p>
    <w:p>
      <w:pPr>
        <w:pStyle w:val="nzSubsection"/>
      </w:pPr>
      <w:r>
        <w:tab/>
        <w:t>(3A)</w:t>
      </w:r>
      <w:r>
        <w:tab/>
        <w:t>A WA registered provider must cooperate with the Council in its conduct of a compliance audit and provide any relevant information that the Council requests.</w:t>
      </w:r>
    </w:p>
    <w:p>
      <w:pPr>
        <w:pStyle w:val="nzSubsection"/>
      </w:pPr>
      <w:r>
        <w:tab/>
        <w:t>(3B)</w:t>
      </w:r>
      <w:r>
        <w:tab/>
        <w:t>A compliance audit must comply with the Standards for VET Regulators to the extent that they relate to compliance audits.</w:t>
      </w:r>
    </w:p>
    <w:p>
      <w:pPr>
        <w:pStyle w:val="nzSubsection"/>
      </w:pPr>
      <w:r>
        <w:tab/>
        <w:t>(3C)</w:t>
      </w:r>
      <w:r>
        <w:tab/>
        <w:t xml:space="preserve">A contravention of subregulation (3B) does not affect the validity of the compliance audit if the contravention — </w:t>
      </w:r>
    </w:p>
    <w:p>
      <w:pPr>
        <w:pStyle w:val="nzIndenta"/>
      </w:pPr>
      <w:r>
        <w:tab/>
        <w:t>(a)</w:t>
      </w:r>
      <w:r>
        <w:tab/>
        <w:t>does not substantially affect the outcome of the compliance audit; or</w:t>
      </w:r>
    </w:p>
    <w:p>
      <w:pPr>
        <w:pStyle w:val="nzIndenta"/>
      </w:pPr>
      <w:r>
        <w:tab/>
        <w:t>(b)</w:t>
      </w:r>
      <w:r>
        <w:tab/>
        <w:t>arises out of an inconsistency between the Standards for VET Regulators and written laws.</w:t>
      </w:r>
    </w:p>
    <w:p>
      <w:pPr>
        <w:pStyle w:val="BlankClose"/>
        <w:keepNext/>
      </w:pPr>
    </w:p>
    <w:p>
      <w:pPr>
        <w:pStyle w:val="nzNotesPerm"/>
      </w:pPr>
      <w:r>
        <w:tab/>
        <w:t>Note:</w:t>
      </w:r>
      <w:r>
        <w:tab/>
        <w:t>The heading to amended regulation 26A is to read:</w:t>
      </w:r>
    </w:p>
    <w:p>
      <w:pPr>
        <w:pStyle w:val="nzNotesPerm"/>
        <w:rPr>
          <w:b/>
        </w:rPr>
      </w:pPr>
      <w:r>
        <w:tab/>
      </w:r>
      <w:r>
        <w:tab/>
      </w:r>
      <w:r>
        <w:rPr>
          <w:b/>
        </w:rPr>
        <w:t>Compliance audits</w:t>
      </w:r>
    </w:p>
    <w:p>
      <w:pPr>
        <w:pStyle w:val="nzHeading5"/>
      </w:pPr>
      <w:r>
        <w:rPr>
          <w:rStyle w:val="CharSectno"/>
        </w:rPr>
        <w:t>17</w:t>
      </w:r>
      <w:r>
        <w:t>.</w:t>
      </w:r>
      <w:r>
        <w:tab/>
        <w:t>Regulation 26B amended</w:t>
      </w:r>
    </w:p>
    <w:p>
      <w:pPr>
        <w:pStyle w:val="nzSubsection"/>
      </w:pPr>
      <w:r>
        <w:tab/>
        <w:t>(1)</w:t>
      </w:r>
      <w:r>
        <w:tab/>
        <w:t>Delete regulation 26B(1) and (2) and insert:</w:t>
      </w:r>
    </w:p>
    <w:p>
      <w:pPr>
        <w:pStyle w:val="BlankOpen"/>
      </w:pPr>
    </w:p>
    <w:p>
      <w:pPr>
        <w:pStyle w:val="nzSubsection"/>
      </w:pPr>
      <w:r>
        <w:tab/>
        <w:t>(1)</w:t>
      </w:r>
      <w:r>
        <w:tab/>
        <w:t>An inquiry conducted under section 58D of the Act may be in the form of an investigation of a complaint made about compliance by a WA registered provider with the registration standards, the AQF, the conditions of registration or the accreditation standards.</w:t>
      </w:r>
    </w:p>
    <w:p>
      <w:pPr>
        <w:pStyle w:val="nzSubsection"/>
      </w:pPr>
      <w:r>
        <w:tab/>
        <w:t>(2A)</w:t>
      </w:r>
      <w:r>
        <w:tab/>
        <w:t>A WA registered provider must cooperate with the Council in its conduct of an investigation and provide any relevant information that the Council requests.</w:t>
      </w:r>
    </w:p>
    <w:p>
      <w:pPr>
        <w:pStyle w:val="nzSubsection"/>
      </w:pPr>
      <w:r>
        <w:tab/>
        <w:t>(2)</w:t>
      </w:r>
      <w:r>
        <w:tab/>
        <w:t>The investigation of a complaint must comply with the Standards for VET Regulators to the extent that they relate to investigations of complaints.</w:t>
      </w:r>
    </w:p>
    <w:p>
      <w:pPr>
        <w:pStyle w:val="BlankClose"/>
      </w:pPr>
    </w:p>
    <w:p>
      <w:pPr>
        <w:pStyle w:val="nzSubsection"/>
        <w:keepNext/>
      </w:pPr>
      <w:r>
        <w:tab/>
        <w:t>(2)</w:t>
      </w:r>
      <w:r>
        <w:tab/>
        <w:t>Delete regulation 26B(3)(b) and insert:</w:t>
      </w:r>
    </w:p>
    <w:p>
      <w:pPr>
        <w:pStyle w:val="BlankOpen"/>
      </w:pPr>
    </w:p>
    <w:p>
      <w:pPr>
        <w:pStyle w:val="nzIndenta"/>
      </w:pPr>
      <w:r>
        <w:tab/>
        <w:t>(b)</w:t>
      </w:r>
      <w:r>
        <w:tab/>
        <w:t>arises out of an inconsistency between the Standards for VET Regulators and written laws.</w:t>
      </w:r>
    </w:p>
    <w:p>
      <w:pPr>
        <w:pStyle w:val="BlankClose"/>
      </w:pPr>
    </w:p>
    <w:p>
      <w:pPr>
        <w:pStyle w:val="nzSubsection"/>
      </w:pPr>
      <w:r>
        <w:tab/>
        <w:t>(3)</w:t>
      </w:r>
      <w:r>
        <w:tab/>
        <w:t>In regulation 26B(4) delete “monitoring” (each occurrence).</w:t>
      </w:r>
    </w:p>
    <w:p>
      <w:pPr>
        <w:pStyle w:val="nzHeading5"/>
      </w:pPr>
      <w:r>
        <w:rPr>
          <w:rStyle w:val="CharSectno"/>
        </w:rPr>
        <w:t>18</w:t>
      </w:r>
      <w:r>
        <w:t>.</w:t>
      </w:r>
      <w:r>
        <w:tab/>
        <w:t>Regulation 26C amended</w:t>
      </w:r>
    </w:p>
    <w:p>
      <w:pPr>
        <w:pStyle w:val="nzSubsection"/>
      </w:pPr>
      <w:r>
        <w:tab/>
      </w:r>
      <w:r>
        <w:tab/>
        <w:t>In regulation 26C(2) delete “monitoring” (each occurrence).</w:t>
      </w:r>
    </w:p>
    <w:p>
      <w:pPr>
        <w:pStyle w:val="nzHeading5"/>
      </w:pPr>
      <w:r>
        <w:rPr>
          <w:rStyle w:val="CharSectno"/>
        </w:rPr>
        <w:t>19</w:t>
      </w:r>
      <w:r>
        <w:t>.</w:t>
      </w:r>
      <w:r>
        <w:tab/>
        <w:t>Regulation 26D amended</w:t>
      </w:r>
    </w:p>
    <w:p>
      <w:pPr>
        <w:pStyle w:val="nzSubsection"/>
      </w:pPr>
      <w:r>
        <w:tab/>
      </w:r>
      <w:r>
        <w:tab/>
        <w:t>In regulation 26D delete “monitoring” (each occurrence).</w:t>
      </w:r>
    </w:p>
    <w:p>
      <w:pPr>
        <w:pStyle w:val="nzHeading5"/>
      </w:pPr>
      <w:r>
        <w:rPr>
          <w:rStyle w:val="CharSectno"/>
        </w:rPr>
        <w:t>20</w:t>
      </w:r>
      <w:r>
        <w:t>.</w:t>
      </w:r>
      <w:r>
        <w:tab/>
        <w:t>Regulation 26 amended</w:t>
      </w:r>
    </w:p>
    <w:p>
      <w:pPr>
        <w:pStyle w:val="nzSubsection"/>
      </w:pPr>
      <w:r>
        <w:tab/>
        <w:t>(1)</w:t>
      </w:r>
      <w:r>
        <w:tab/>
        <w:t>In regulation 26(3):</w:t>
      </w:r>
    </w:p>
    <w:p>
      <w:pPr>
        <w:pStyle w:val="nzIndenta"/>
      </w:pPr>
      <w:r>
        <w:tab/>
        <w:t>(a)</w:t>
      </w:r>
      <w:r>
        <w:tab/>
        <w:t>before “contain this information” insert:</w:t>
      </w:r>
    </w:p>
    <w:p>
      <w:pPr>
        <w:pStyle w:val="BlankOpen"/>
      </w:pPr>
    </w:p>
    <w:p>
      <w:pPr>
        <w:pStyle w:val="nzIndenta"/>
      </w:pPr>
      <w:r>
        <w:tab/>
      </w:r>
      <w:r>
        <w:tab/>
        <w:t>be in a form required by the Council and</w:t>
      </w:r>
    </w:p>
    <w:p>
      <w:pPr>
        <w:pStyle w:val="BlankClose"/>
      </w:pPr>
    </w:p>
    <w:p>
      <w:pPr>
        <w:pStyle w:val="nzIndenta"/>
      </w:pPr>
      <w:r>
        <w:tab/>
        <w:t>(b)</w:t>
      </w:r>
      <w:r>
        <w:tab/>
        <w:t>in paragraph (d) delete “conferred.” and insert:</w:t>
      </w:r>
    </w:p>
    <w:p>
      <w:pPr>
        <w:pStyle w:val="BlankOpen"/>
      </w:pPr>
    </w:p>
    <w:p>
      <w:pPr>
        <w:pStyle w:val="nzIndenta"/>
      </w:pPr>
      <w:r>
        <w:tab/>
      </w:r>
      <w:r>
        <w:tab/>
        <w:t xml:space="preserve">conferred; </w:t>
      </w:r>
    </w:p>
    <w:p>
      <w:pPr>
        <w:pStyle w:val="BlankClose"/>
      </w:pPr>
    </w:p>
    <w:p>
      <w:pPr>
        <w:pStyle w:val="nzIndenta"/>
      </w:pPr>
      <w:r>
        <w:tab/>
        <w:t>(c)</w:t>
      </w:r>
      <w:r>
        <w:tab/>
        <w:t>after paragraph (d) insert:</w:t>
      </w:r>
    </w:p>
    <w:p>
      <w:pPr>
        <w:pStyle w:val="BlankOpen"/>
      </w:pPr>
    </w:p>
    <w:p>
      <w:pPr>
        <w:pStyle w:val="nzIndenta"/>
      </w:pPr>
      <w:r>
        <w:tab/>
        <w:t>(e)</w:t>
      </w:r>
      <w:r>
        <w:tab/>
        <w:t xml:space="preserve">any other information — </w:t>
      </w:r>
    </w:p>
    <w:p>
      <w:pPr>
        <w:pStyle w:val="nzIndenti"/>
      </w:pPr>
      <w:r>
        <w:tab/>
        <w:t>(i)</w:t>
      </w:r>
      <w:r>
        <w:tab/>
        <w:t>referred to in the Data Provision Requirements made under the Commonwealth Act section 187; and</w:t>
      </w:r>
    </w:p>
    <w:p>
      <w:pPr>
        <w:pStyle w:val="nzIndenti"/>
      </w:pPr>
      <w:r>
        <w:tab/>
        <w:t>(ii)</w:t>
      </w:r>
      <w:r>
        <w:tab/>
        <w:t>required by the Council.</w:t>
      </w:r>
    </w:p>
    <w:p>
      <w:pPr>
        <w:pStyle w:val="BlankClose"/>
      </w:pPr>
    </w:p>
    <w:p>
      <w:pPr>
        <w:pStyle w:val="nzSubsection"/>
      </w:pPr>
      <w:r>
        <w:tab/>
        <w:t>(2)</w:t>
      </w:r>
      <w:r>
        <w:tab/>
        <w:t>In regulation 26(4) delete “training” and insert:</w:t>
      </w:r>
    </w:p>
    <w:p>
      <w:pPr>
        <w:pStyle w:val="BlankOpen"/>
      </w:pPr>
    </w:p>
    <w:p>
      <w:pPr>
        <w:pStyle w:val="nzSubsection"/>
      </w:pPr>
      <w:r>
        <w:tab/>
      </w:r>
      <w:r>
        <w:tab/>
        <w:t xml:space="preserve">WA registered </w:t>
      </w:r>
    </w:p>
    <w:p>
      <w:pPr>
        <w:pStyle w:val="BlankClose"/>
      </w:pPr>
    </w:p>
    <w:p>
      <w:pPr>
        <w:pStyle w:val="nzHeading5"/>
      </w:pPr>
      <w:r>
        <w:rPr>
          <w:rStyle w:val="CharSectno"/>
        </w:rPr>
        <w:t>21</w:t>
      </w:r>
      <w:r>
        <w:t>.</w:t>
      </w:r>
      <w:r>
        <w:tab/>
        <w:t>Regulation 27 amended</w:t>
      </w:r>
    </w:p>
    <w:p>
      <w:pPr>
        <w:pStyle w:val="nzSubsection"/>
        <w:keepNext/>
      </w:pPr>
      <w:r>
        <w:tab/>
      </w:r>
      <w:r>
        <w:tab/>
        <w:t>In regulation 27(2)(b) delete “conditions of registration in the continuing registration requirements of —” and insert:</w:t>
      </w:r>
    </w:p>
    <w:p>
      <w:pPr>
        <w:pStyle w:val="BlankOpen"/>
      </w:pPr>
    </w:p>
    <w:p>
      <w:pPr>
        <w:pStyle w:val="nzSubsection"/>
      </w:pPr>
      <w:r>
        <w:tab/>
      </w:r>
      <w:r>
        <w:tab/>
        <w:t>registration standards of —</w:t>
      </w:r>
    </w:p>
    <w:p>
      <w:pPr>
        <w:pStyle w:val="BlankClose"/>
        <w:keepNext/>
      </w:pPr>
    </w:p>
    <w:p>
      <w:pPr>
        <w:pStyle w:val="nzHeading5"/>
      </w:pPr>
      <w:r>
        <w:rPr>
          <w:rStyle w:val="CharSectno"/>
        </w:rPr>
        <w:t>22</w:t>
      </w:r>
      <w:r>
        <w:t>.</w:t>
      </w:r>
      <w:r>
        <w:tab/>
        <w:t>Regulation 30 amended</w:t>
      </w:r>
    </w:p>
    <w:p>
      <w:pPr>
        <w:pStyle w:val="nzSubsection"/>
      </w:pPr>
      <w:r>
        <w:tab/>
        <w:t>(1)</w:t>
      </w:r>
      <w:r>
        <w:tab/>
        <w:t>In regulation 30(1)(a) delete “Standards for VET Regulators; and” and insert:</w:t>
      </w:r>
    </w:p>
    <w:p>
      <w:pPr>
        <w:pStyle w:val="BlankOpen"/>
      </w:pPr>
    </w:p>
    <w:p>
      <w:pPr>
        <w:pStyle w:val="nzSubsection"/>
      </w:pPr>
      <w:r>
        <w:tab/>
      </w:r>
      <w:r>
        <w:tab/>
        <w:t>accreditation standards; and</w:t>
      </w:r>
    </w:p>
    <w:p>
      <w:pPr>
        <w:pStyle w:val="BlankClose"/>
      </w:pPr>
    </w:p>
    <w:p>
      <w:pPr>
        <w:pStyle w:val="nzSubsection"/>
      </w:pPr>
      <w:r>
        <w:tab/>
        <w:t>(2)</w:t>
      </w:r>
      <w:r>
        <w:tab/>
        <w:t>In regulation 30(2)(b) delete “Standards for VET Regulators;” and insert:</w:t>
      </w:r>
    </w:p>
    <w:p>
      <w:pPr>
        <w:pStyle w:val="BlankOpen"/>
      </w:pPr>
    </w:p>
    <w:p>
      <w:pPr>
        <w:pStyle w:val="nzSubsection"/>
      </w:pPr>
      <w:r>
        <w:tab/>
      </w:r>
      <w:r>
        <w:tab/>
        <w:t>accreditation standards;</w:t>
      </w:r>
    </w:p>
    <w:p>
      <w:pPr>
        <w:pStyle w:val="BlankClose"/>
      </w:pPr>
    </w:p>
    <w:p>
      <w:pPr>
        <w:pStyle w:val="nzHeading5"/>
      </w:pPr>
      <w:r>
        <w:rPr>
          <w:rStyle w:val="CharSectno"/>
        </w:rPr>
        <w:t>23</w:t>
      </w:r>
      <w:r>
        <w:t>.</w:t>
      </w:r>
      <w:r>
        <w:tab/>
        <w:t>Regulation 33A amended</w:t>
      </w:r>
    </w:p>
    <w:p>
      <w:pPr>
        <w:pStyle w:val="nzSubsection"/>
      </w:pPr>
      <w:r>
        <w:tab/>
        <w:t>(1)</w:t>
      </w:r>
      <w:r>
        <w:tab/>
        <w:t>In regulation 33A(2)(b)(i) delete “VET”.</w:t>
      </w:r>
    </w:p>
    <w:p>
      <w:pPr>
        <w:pStyle w:val="nzSubsection"/>
      </w:pPr>
      <w:r>
        <w:tab/>
        <w:t>(2)</w:t>
      </w:r>
      <w:r>
        <w:tab/>
        <w:t>In regulation 33A(7):</w:t>
      </w:r>
    </w:p>
    <w:p>
      <w:pPr>
        <w:pStyle w:val="nzIndenta"/>
      </w:pPr>
      <w:r>
        <w:tab/>
        <w:t>(a)</w:t>
      </w:r>
      <w:r>
        <w:tab/>
        <w:t>delete “VET course,” and insert:</w:t>
      </w:r>
    </w:p>
    <w:p>
      <w:pPr>
        <w:pStyle w:val="BlankOpen"/>
      </w:pPr>
    </w:p>
    <w:p>
      <w:pPr>
        <w:pStyle w:val="nzIndenta"/>
      </w:pPr>
      <w:r>
        <w:tab/>
      </w:r>
      <w:r>
        <w:tab/>
        <w:t>WA accredited course,</w:t>
      </w:r>
    </w:p>
    <w:p>
      <w:pPr>
        <w:pStyle w:val="BlankClose"/>
      </w:pPr>
    </w:p>
    <w:p>
      <w:pPr>
        <w:pStyle w:val="nzIndenta"/>
      </w:pPr>
      <w:r>
        <w:tab/>
        <w:t>(b)</w:t>
      </w:r>
      <w:r>
        <w:tab/>
        <w:t>in paragraph (a) delete “Standards for VET Regulators; and” and insert:</w:t>
      </w:r>
    </w:p>
    <w:p>
      <w:pPr>
        <w:pStyle w:val="BlankOpen"/>
      </w:pPr>
    </w:p>
    <w:p>
      <w:pPr>
        <w:pStyle w:val="nzIndenta"/>
      </w:pPr>
      <w:r>
        <w:tab/>
      </w:r>
      <w:r>
        <w:tab/>
        <w:t>accreditation standards; and</w:t>
      </w:r>
    </w:p>
    <w:p>
      <w:pPr>
        <w:pStyle w:val="BlankClose"/>
      </w:pPr>
    </w:p>
    <w:p>
      <w:pPr>
        <w:pStyle w:val="nzHeading5"/>
      </w:pPr>
      <w:r>
        <w:rPr>
          <w:rStyle w:val="CharSectno"/>
        </w:rPr>
        <w:t>24</w:t>
      </w:r>
      <w:r>
        <w:t>.</w:t>
      </w:r>
      <w:r>
        <w:tab/>
        <w:t>Regulation 34A inserted</w:t>
      </w:r>
    </w:p>
    <w:p>
      <w:pPr>
        <w:pStyle w:val="nzSubsection"/>
        <w:spacing w:before="40"/>
      </w:pPr>
      <w:r>
        <w:tab/>
      </w:r>
      <w:r>
        <w:tab/>
        <w:t>At the end of Part 3 Division 5 insert:</w:t>
      </w:r>
    </w:p>
    <w:p>
      <w:pPr>
        <w:pStyle w:val="BlankOpen"/>
      </w:pPr>
    </w:p>
    <w:p>
      <w:pPr>
        <w:pStyle w:val="nzHeading5"/>
      </w:pPr>
      <w:r>
        <w:t>34A.</w:t>
      </w:r>
      <w:r>
        <w:tab/>
        <w:t>Validity of decisions unaffected</w:t>
      </w:r>
    </w:p>
    <w:p>
      <w:pPr>
        <w:pStyle w:val="nzSubsection"/>
        <w:spacing w:before="40"/>
      </w:pPr>
      <w:r>
        <w:tab/>
      </w:r>
      <w:r>
        <w:tab/>
        <w:t xml:space="preserve">A contravention of the accreditation standards by the Council in making a decision under regulation 29, 30, 32 or 33A does not affect the validity of that decision if the contravention — </w:t>
      </w:r>
    </w:p>
    <w:p>
      <w:pPr>
        <w:pStyle w:val="nzIndenta"/>
      </w:pPr>
      <w:r>
        <w:tab/>
        <w:t>(a)</w:t>
      </w:r>
      <w:r>
        <w:tab/>
        <w:t>does not substantially affect the decision; or</w:t>
      </w:r>
    </w:p>
    <w:p>
      <w:pPr>
        <w:pStyle w:val="nzIndenta"/>
      </w:pPr>
      <w:r>
        <w:tab/>
        <w:t>(b)</w:t>
      </w:r>
      <w:r>
        <w:tab/>
        <w:t>arises out of an inconsistency between the accreditation standards and written laws.</w:t>
      </w:r>
    </w:p>
    <w:p>
      <w:pPr>
        <w:pStyle w:val="BlankClose"/>
      </w:pPr>
    </w:p>
    <w:p>
      <w:pPr>
        <w:pStyle w:val="nzHeading5"/>
      </w:pPr>
      <w:r>
        <w:rPr>
          <w:rStyle w:val="CharSectno"/>
        </w:rPr>
        <w:t>25</w:t>
      </w:r>
      <w:r>
        <w:t>.</w:t>
      </w:r>
      <w:r>
        <w:tab/>
        <w:t>Part 6 inserted</w:t>
      </w:r>
    </w:p>
    <w:p>
      <w:pPr>
        <w:pStyle w:val="nzSubsection"/>
      </w:pPr>
      <w:r>
        <w:tab/>
      </w:r>
      <w:r>
        <w:tab/>
        <w:t>After regulation 60 insert:</w:t>
      </w:r>
    </w:p>
    <w:p>
      <w:pPr>
        <w:pStyle w:val="BlankOpen"/>
      </w:pPr>
    </w:p>
    <w:p>
      <w:pPr>
        <w:pStyle w:val="nzHeading2"/>
      </w:pPr>
      <w:r>
        <w:t xml:space="preserve">Part 6 — Transitional provisions for </w:t>
      </w:r>
      <w:r>
        <w:rPr>
          <w:i/>
        </w:rPr>
        <w:t>Vocational Education and Training (General) Amendment Regulations 2015</w:t>
      </w:r>
    </w:p>
    <w:p>
      <w:pPr>
        <w:pStyle w:val="nzHeading5"/>
      </w:pPr>
      <w:r>
        <w:t>61.</w:t>
      </w:r>
      <w:r>
        <w:tab/>
        <w:t>Terms used</w:t>
      </w:r>
    </w:p>
    <w:p>
      <w:pPr>
        <w:pStyle w:val="nzSubsection"/>
      </w:pPr>
      <w:r>
        <w:tab/>
      </w:r>
      <w:r>
        <w:tab/>
        <w:t xml:space="preserve">In this Part — </w:t>
      </w:r>
    </w:p>
    <w:p>
      <w:pPr>
        <w:pStyle w:val="nzDefstart"/>
      </w:pPr>
      <w:r>
        <w:tab/>
      </w:r>
      <w:r>
        <w:rPr>
          <w:b/>
          <w:i/>
        </w:rPr>
        <w:t>amendment regulations</w:t>
      </w:r>
      <w:r>
        <w:t xml:space="preserve"> means the </w:t>
      </w:r>
      <w:r>
        <w:rPr>
          <w:i/>
        </w:rPr>
        <w:t>Vocational Education and Training (General) Amendment Regulations 2015</w:t>
      </w:r>
      <w:r>
        <w:t>;</w:t>
      </w:r>
    </w:p>
    <w:p>
      <w:pPr>
        <w:pStyle w:val="nzDefstart"/>
      </w:pPr>
      <w:r>
        <w:tab/>
      </w:r>
      <w:r>
        <w:rPr>
          <w:b/>
          <w:i/>
        </w:rPr>
        <w:t>AQTF</w:t>
      </w:r>
      <w:r>
        <w:t xml:space="preserve"> means the Australian Quality Training Framework as defined in the </w:t>
      </w:r>
      <w:r>
        <w:rPr>
          <w:i/>
        </w:rPr>
        <w:t>Higher Education Support Act 2003</w:t>
      </w:r>
      <w:r>
        <w:t xml:space="preserve"> (Commonwealth) Schedule 1;</w:t>
      </w:r>
    </w:p>
    <w:p>
      <w:pPr>
        <w:pStyle w:val="nzDefstart"/>
      </w:pPr>
      <w:r>
        <w:tab/>
      </w:r>
      <w:r>
        <w:rPr>
          <w:b/>
          <w:i/>
        </w:rPr>
        <w:t>commencement day</w:t>
      </w:r>
      <w:r>
        <w:t xml:space="preserve"> means the day on which regulation 3 of the amendment regulations came into operation;</w:t>
      </w:r>
    </w:p>
    <w:p>
      <w:pPr>
        <w:pStyle w:val="nzDefstart"/>
      </w:pPr>
      <w:r>
        <w:tab/>
      </w:r>
      <w:r>
        <w:rPr>
          <w:rStyle w:val="CharDefText"/>
        </w:rPr>
        <w:t>transitional period</w:t>
      </w:r>
      <w:r>
        <w:t xml:space="preserve"> means the period of 3 months beginning on the commencement day.</w:t>
      </w:r>
    </w:p>
    <w:p>
      <w:pPr>
        <w:pStyle w:val="nzHeading5"/>
      </w:pPr>
      <w:r>
        <w:t>62.</w:t>
      </w:r>
      <w:r>
        <w:tab/>
        <w:t>Mandatory conditions applicable to WA registered providers during transitional period</w:t>
      </w:r>
    </w:p>
    <w:p>
      <w:pPr>
        <w:pStyle w:val="nzSubsection"/>
      </w:pPr>
      <w:r>
        <w:tab/>
      </w:r>
      <w:r>
        <w:tab/>
        <w:t xml:space="preserve">During the transitional period a WA registered provider registered before the commencement day may comply with either — </w:t>
      </w:r>
    </w:p>
    <w:p>
      <w:pPr>
        <w:pStyle w:val="nzIndenta"/>
      </w:pPr>
      <w:r>
        <w:tab/>
        <w:t>(a)</w:t>
      </w:r>
      <w:r>
        <w:tab/>
        <w:t>the mandatory condition referred to in regulation 13(2)(a); or</w:t>
      </w:r>
    </w:p>
    <w:p>
      <w:pPr>
        <w:pStyle w:val="nzIndenta"/>
      </w:pPr>
      <w:r>
        <w:tab/>
        <w:t>(b)</w:t>
      </w:r>
      <w:r>
        <w:tab/>
        <w:t>the mandatory condition referred to in regulation 13(2)(a) as it was before the commencement day.</w:t>
      </w:r>
    </w:p>
    <w:p>
      <w:pPr>
        <w:pStyle w:val="nzHeading5"/>
      </w:pPr>
      <w:r>
        <w:t>63.</w:t>
      </w:r>
      <w:r>
        <w:tab/>
        <w:t>Applications before commencement day</w:t>
      </w:r>
    </w:p>
    <w:p>
      <w:pPr>
        <w:pStyle w:val="nzSubsection"/>
      </w:pPr>
      <w:r>
        <w:tab/>
        <w:t>(1)</w:t>
      </w:r>
      <w:r>
        <w:tab/>
        <w:t xml:space="preserve">An application for registration, renewal of registration or variation of registration made, but not decided, before the commencement day is, on and after the commencement day, to be decided — </w:t>
      </w:r>
    </w:p>
    <w:p>
      <w:pPr>
        <w:pStyle w:val="nzIndenta"/>
      </w:pPr>
      <w:r>
        <w:tab/>
        <w:t>(a)</w:t>
      </w:r>
      <w:r>
        <w:tab/>
        <w:t>if the application was prepared addressing the AQTF, in accordance with the AQTF under the regulations as they were before the commencement day; and</w:t>
      </w:r>
    </w:p>
    <w:p>
      <w:pPr>
        <w:pStyle w:val="nzIndenta"/>
      </w:pPr>
      <w:r>
        <w:tab/>
        <w:t>(b)</w:t>
      </w:r>
      <w:r>
        <w:tab/>
        <w:t>if the application was prepared addressing the registration standards, in accordance with the registration standards.</w:t>
      </w:r>
    </w:p>
    <w:p>
      <w:pPr>
        <w:pStyle w:val="nzSubsection"/>
      </w:pPr>
      <w:r>
        <w:tab/>
        <w:t>(2)</w:t>
      </w:r>
      <w:r>
        <w:tab/>
        <w:t>An application decided under subregulation (1)(a) cannot be granted except on the condition that the provider is to comply with the registration standards after the transitional period.</w:t>
      </w:r>
    </w:p>
    <w:p>
      <w:pPr>
        <w:pStyle w:val="BlankClose"/>
      </w:pPr>
    </w:p>
    <w:p>
      <w:pPr>
        <w:pStyle w:val="BlankClose"/>
      </w:pPr>
    </w:p>
    <w:p>
      <w:pPr>
        <w:pStyle w:val="nSubsection"/>
      </w:pP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35" w:name="_Toc413677804"/>
      <w:r>
        <w:rPr>
          <w:sz w:val="28"/>
        </w:rPr>
        <w:t>Defined terms</w:t>
      </w:r>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7(1)</w:t>
      </w:r>
    </w:p>
    <w:p>
      <w:pPr>
        <w:pStyle w:val="DefinedTerms"/>
      </w:pPr>
      <w:r>
        <w:t>accreditation standards</w:t>
      </w:r>
      <w:r>
        <w:tab/>
        <w:t>7(1)</w:t>
      </w:r>
    </w:p>
    <w:p>
      <w:pPr>
        <w:pStyle w:val="DefinedTerms"/>
      </w:pPr>
      <w:r>
        <w:t>Act</w:t>
      </w:r>
      <w:r>
        <w:tab/>
        <w:t>3</w:t>
      </w:r>
    </w:p>
    <w:p>
      <w:pPr>
        <w:pStyle w:val="DefinedTerms"/>
      </w:pPr>
      <w:r>
        <w:t>application</w:t>
      </w:r>
      <w:r>
        <w:tab/>
        <w:t>11(1)</w:t>
      </w:r>
    </w:p>
    <w:p>
      <w:pPr>
        <w:pStyle w:val="DefinedTerms"/>
      </w:pPr>
      <w:r>
        <w:t xml:space="preserve">AQF </w:t>
      </w:r>
      <w:r>
        <w:tab/>
        <w:t>3</w:t>
      </w:r>
    </w:p>
    <w:p>
      <w:pPr>
        <w:pStyle w:val="DefinedTerms"/>
      </w:pPr>
      <w:r>
        <w:t>AQTF</w:t>
      </w:r>
      <w:r>
        <w:tab/>
        <w:t>3</w:t>
      </w:r>
    </w:p>
    <w:p>
      <w:pPr>
        <w:pStyle w:val="DefinedTerms"/>
      </w:pPr>
      <w:r>
        <w:t>ASQA</w:t>
      </w:r>
      <w:r>
        <w:tab/>
        <w:t>3</w:t>
      </w:r>
    </w:p>
    <w:p>
      <w:pPr>
        <w:pStyle w:val="DefinedTerms"/>
      </w:pPr>
      <w:r>
        <w:t>associate</w:t>
      </w:r>
      <w:r>
        <w:tab/>
        <w:t>12(1)</w:t>
      </w:r>
    </w:p>
    <w:p>
      <w:pPr>
        <w:pStyle w:val="DefinedTerms"/>
      </w:pPr>
      <w:r>
        <w:t>child</w:t>
      </w:r>
      <w:r>
        <w:tab/>
        <w:t>40(1)</w:t>
      </w:r>
    </w:p>
    <w:p>
      <w:pPr>
        <w:pStyle w:val="DefinedTerms"/>
      </w:pPr>
      <w:r>
        <w:t>commencement</w:t>
      </w:r>
      <w:r>
        <w:tab/>
        <w:t>55, Sch. 2 cl. 1</w:t>
      </w:r>
    </w:p>
    <w:p>
      <w:pPr>
        <w:pStyle w:val="DefinedTerms"/>
      </w:pPr>
      <w:r>
        <w:t>Commonwealth Act</w:t>
      </w:r>
      <w:r>
        <w:tab/>
        <w:t>3</w:t>
      </w:r>
    </w:p>
    <w:p>
      <w:pPr>
        <w:pStyle w:val="DefinedTerms"/>
      </w:pPr>
      <w:r>
        <w:t>compliance audit</w:t>
      </w:r>
      <w:r>
        <w:tab/>
        <w:t>7(1), 24</w:t>
      </w:r>
    </w:p>
    <w:p>
      <w:pPr>
        <w:pStyle w:val="DefinedTerms"/>
      </w:pPr>
      <w:r>
        <w:t>compliance monitoring audit</w:t>
      </w:r>
      <w:r>
        <w:tab/>
        <w:t>7(1), 24</w:t>
      </w:r>
    </w:p>
    <w:p>
      <w:pPr>
        <w:pStyle w:val="DefinedTerms"/>
      </w:pPr>
      <w:r>
        <w:t>complying training plan</w:t>
      </w:r>
      <w:r>
        <w:tab/>
        <w:t>43(1)</w:t>
      </w:r>
    </w:p>
    <w:p>
      <w:pPr>
        <w:pStyle w:val="DefinedTerms"/>
      </w:pPr>
      <w:r>
        <w:t>compulsory education period</w:t>
      </w:r>
      <w:r>
        <w:tab/>
        <w:t>40(1)</w:t>
      </w:r>
    </w:p>
    <w:p>
      <w:pPr>
        <w:pStyle w:val="DefinedTerms"/>
      </w:pPr>
      <w:r>
        <w:t>continuing registration requirements</w:t>
      </w:r>
      <w:r>
        <w:tab/>
        <w:t>7(1)</w:t>
      </w:r>
    </w:p>
    <w:p>
      <w:pPr>
        <w:pStyle w:val="DefinedTerms"/>
      </w:pPr>
      <w:r>
        <w:t>initial registration requirements</w:t>
      </w:r>
      <w:r>
        <w:tab/>
        <w:t>7(1)</w:t>
      </w:r>
    </w:p>
    <w:p>
      <w:pPr>
        <w:pStyle w:val="DefinedTerms"/>
      </w:pPr>
      <w:r>
        <w:t>investigation</w:t>
      </w:r>
      <w:r>
        <w:tab/>
        <w:t>24</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w:t>
      </w:r>
      <w:r>
        <w:noBreakHyphen/>
        <w:t>referring State</w:t>
      </w:r>
      <w:r>
        <w:tab/>
        <w:t>7(1)</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owner</w:t>
      </w:r>
      <w:r>
        <w:tab/>
        <w:t>7(1)</w:t>
      </w:r>
    </w:p>
    <w:p>
      <w:pPr>
        <w:pStyle w:val="DefinedTerms"/>
      </w:pPr>
      <w:r>
        <w:t>parent</w:t>
      </w:r>
      <w:r>
        <w:tab/>
        <w:t>40(1)</w:t>
      </w:r>
    </w:p>
    <w:p>
      <w:pPr>
        <w:pStyle w:val="DefinedTerms"/>
      </w:pPr>
      <w:r>
        <w:t>personal details</w:t>
      </w:r>
      <w:r>
        <w:tab/>
        <w:t>3</w:t>
      </w:r>
    </w:p>
    <w:p>
      <w:pPr>
        <w:pStyle w:val="DefinedTerms"/>
      </w:pPr>
      <w:r>
        <w:t>prescribed registration document</w:t>
      </w:r>
      <w:r>
        <w:tab/>
        <w:t>7(1)</w:t>
      </w:r>
    </w:p>
    <w:p>
      <w:pPr>
        <w:pStyle w:val="DefinedTerms"/>
      </w:pPr>
      <w:r>
        <w:t>register</w:t>
      </w:r>
      <w:r>
        <w:tab/>
        <w:t>7(1)</w:t>
      </w:r>
    </w:p>
    <w:p>
      <w:pPr>
        <w:pStyle w:val="DefinedTerms"/>
      </w:pPr>
      <w:r>
        <w:t>registering body</w:t>
      </w:r>
      <w:r>
        <w:tab/>
        <w:t>3</w:t>
      </w:r>
    </w:p>
    <w:p>
      <w:pPr>
        <w:pStyle w:val="DefinedTerms"/>
      </w:pPr>
      <w:r>
        <w:t>registration application</w:t>
      </w:r>
      <w:r>
        <w:tab/>
        <w:t>7(1)</w:t>
      </w:r>
    </w:p>
    <w:p>
      <w:pPr>
        <w:pStyle w:val="DefinedTerms"/>
      </w:pPr>
      <w:r>
        <w:t>registration requirements</w:t>
      </w:r>
      <w:r>
        <w:tab/>
        <w:t>7(1)</w:t>
      </w:r>
    </w:p>
    <w:p>
      <w:pPr>
        <w:pStyle w:val="DefinedTerms"/>
      </w:pPr>
      <w:r>
        <w:t>scope of registration</w:t>
      </w:r>
      <w:r>
        <w:tab/>
        <w:t>7(1)</w:t>
      </w:r>
    </w:p>
    <w:p>
      <w:pPr>
        <w:pStyle w:val="DefinedTerms"/>
      </w:pPr>
      <w:r>
        <w:t>Standards for VET Regulators</w:t>
      </w:r>
      <w:r>
        <w:tab/>
        <w:t>7(1)</w:t>
      </w:r>
    </w:p>
    <w:p>
      <w:pPr>
        <w:pStyle w:val="DefinedTerms"/>
      </w:pPr>
      <w:r>
        <w:t>suspension notice</w:t>
      </w:r>
      <w:r>
        <w:tab/>
        <w:t>49(4)</w:t>
      </w:r>
    </w:p>
    <w:p>
      <w:pPr>
        <w:pStyle w:val="DefinedTerms"/>
      </w:pPr>
      <w:r>
        <w:t>trade apprentice</w:t>
      </w:r>
      <w:r>
        <w:tab/>
        <w:t>Sch. 2 cl. 1</w:t>
      </w:r>
    </w:p>
    <w:p>
      <w:pPr>
        <w:pStyle w:val="DefinedTerms"/>
      </w:pPr>
      <w:r>
        <w:t>units gained institutionally</w:t>
      </w:r>
      <w:r>
        <w:tab/>
        <w:t>38(3B)</w:t>
      </w:r>
    </w:p>
    <w:p>
      <w:pPr>
        <w:pStyle w:val="DefinedTerms"/>
      </w:pPr>
      <w:r>
        <w:t>VET course for a prescribed VET qualification</w:t>
      </w:r>
      <w:r>
        <w:tab/>
        <w:t>7(1)</w:t>
      </w:r>
    </w:p>
    <w:p>
      <w:pPr>
        <w:pStyle w:val="DefinedTerms"/>
      </w:pPr>
      <w:r>
        <w:t>WA</w:t>
      </w:r>
      <w:r>
        <w:tab/>
        <w:t>3</w:t>
      </w:r>
    </w:p>
    <w:p>
      <w:pPr>
        <w:pStyle w:val="DefinedTerms"/>
      </w:pPr>
      <w:r>
        <w:t>WA accredited course</w:t>
      </w:r>
      <w:r>
        <w:tab/>
        <w:t>7(1)</w:t>
      </w:r>
    </w:p>
    <w:p>
      <w:pPr>
        <w:pStyle w:val="DefinedTerms"/>
      </w:pPr>
      <w:r>
        <w:t>WA registered provider</w:t>
      </w:r>
      <w:r>
        <w:tab/>
        <w:t>7(1)</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Mar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4" w:name="Compilation"/>
    <w:bookmarkEnd w:id="23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7" w:name="Coversheet"/>
    <w:bookmarkEnd w:id="2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37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9105459"/>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737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19939</Words>
  <Characters>106081</Characters>
  <Application>Microsoft Office Word</Application>
  <DocSecurity>0</DocSecurity>
  <Lines>3030</Lines>
  <Paragraphs>1853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2009 - 01-f0-00</dc:title>
  <dc:subject/>
  <dc:creator/>
  <cp:keywords/>
  <dc:description/>
  <cp:lastModifiedBy>svcMRProcess</cp:lastModifiedBy>
  <cp:revision>4</cp:revision>
  <cp:lastPrinted>2014-03-13T01:01:00Z</cp:lastPrinted>
  <dcterms:created xsi:type="dcterms:W3CDTF">2018-09-18T07:39:00Z</dcterms:created>
  <dcterms:modified xsi:type="dcterms:W3CDTF">2018-09-18T07:39:00Z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ReprintNo">
    <vt:lpwstr>1</vt:lpwstr>
  </property>
  <property fmtid="{D5CDD505-2E9C-101B-9397-08002B2CF9AE}" pid="4" name="ReprintedAsAt">
    <vt:filetime>2014-03-06T16:00:00Z</vt:filetime>
  </property>
  <property fmtid="{D5CDD505-2E9C-101B-9397-08002B2CF9AE}" pid="5" name="AsAtDate">
    <vt:lpwstr>10 Mar 2015</vt:lpwstr>
  </property>
  <property fmtid="{D5CDD505-2E9C-101B-9397-08002B2CF9AE}" pid="6" name="Suffix">
    <vt:lpwstr>01-f0-00</vt:lpwstr>
  </property>
  <property fmtid="{D5CDD505-2E9C-101B-9397-08002B2CF9AE}" pid="7" name="CommencementDate">
    <vt:lpwstr>20150310</vt:lpwstr>
  </property>
  <property fmtid="{D5CDD505-2E9C-101B-9397-08002B2CF9AE}" pid="8" name="OWLSUId">
    <vt:i4>858</vt:i4>
  </property>
  <property fmtid="{D5CDD505-2E9C-101B-9397-08002B2CF9AE}" pid="9" name="DocumentType">
    <vt:lpwstr>Reg</vt:lpwstr>
  </property>
</Properties>
</file>