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Duties Act 2008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Duties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_Toc413847043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_Toc413847044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_Toc413847045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Relationship with </w:t>
      </w:r>
      <w:r>
        <w:rPr>
          <w:i/>
          <w:iCs/>
          <w:snapToGrid w:val="0"/>
        </w:rPr>
        <w:t>Taxation Administration Act 2003</w:t>
      </w:r>
      <w:r>
        <w:tab/>
      </w:r>
      <w:r>
        <w:fldChar w:fldCharType="begin"/>
      </w:r>
      <w:r>
        <w:instrText xml:space="preserve"> PAGEREF _Toc413847046 \h </w:instrText>
      </w:r>
      <w:r>
        <w:fldChar w:fldCharType="separate"/>
      </w:r>
      <w:r>
        <w:t>8</w:t>
      </w:r>
      <w:r>
        <w:fldChar w:fldCharType="end"/>
      </w:r>
    </w:p>
    <w:p>
      <w:pPr>
        <w:pStyle w:val="TOC8"/>
        <w:rPr>
          <w:rFonts w:asciiTheme="minorHAnsi" w:eastAsiaTheme="minorEastAsia" w:hAnsiTheme="minorHAnsi" w:cstheme="minorBidi"/>
          <w:szCs w:val="22"/>
        </w:rPr>
      </w:pPr>
      <w:r>
        <w:t>5.</w:t>
      </w:r>
      <w:r>
        <w:tab/>
        <w:t>GST, effect of on value or consideration</w:t>
      </w:r>
      <w:r>
        <w:tab/>
      </w:r>
      <w:r>
        <w:fldChar w:fldCharType="begin"/>
      </w:r>
      <w:r>
        <w:instrText xml:space="preserve"> PAGEREF _Toc413847047 \h </w:instrText>
      </w:r>
      <w:r>
        <w:fldChar w:fldCharType="separate"/>
      </w:r>
      <w:r>
        <w:t>9</w:t>
      </w:r>
      <w:r>
        <w:fldChar w:fldCharType="end"/>
      </w:r>
    </w:p>
    <w:p>
      <w:pPr>
        <w:pStyle w:val="TOC8"/>
        <w:rPr>
          <w:rFonts w:asciiTheme="minorHAnsi" w:eastAsiaTheme="minorEastAsia" w:hAnsiTheme="minorHAnsi" w:cstheme="minorBidi"/>
          <w:szCs w:val="22"/>
        </w:rPr>
      </w:pPr>
      <w:r>
        <w:t>6.</w:t>
      </w:r>
      <w:r>
        <w:tab/>
        <w:t>Family relationships, determining</w:t>
      </w:r>
      <w:r>
        <w:tab/>
      </w:r>
      <w:r>
        <w:fldChar w:fldCharType="begin"/>
      </w:r>
      <w:r>
        <w:instrText xml:space="preserve"> PAGEREF _Toc413847048 \h </w:instrText>
      </w:r>
      <w:r>
        <w:fldChar w:fldCharType="separate"/>
      </w:r>
      <w:r>
        <w:t>9</w:t>
      </w:r>
      <w:r>
        <w:fldChar w:fldCharType="end"/>
      </w:r>
    </w:p>
    <w:p>
      <w:pPr>
        <w:pStyle w:val="TOC8"/>
        <w:rPr>
          <w:rFonts w:asciiTheme="minorHAnsi" w:eastAsiaTheme="minorEastAsia" w:hAnsiTheme="minorHAnsi" w:cstheme="minorBidi"/>
          <w:szCs w:val="22"/>
        </w:rPr>
      </w:pPr>
      <w:r>
        <w:t>7.</w:t>
      </w:r>
      <w:r>
        <w:tab/>
        <w:t>References to being wound up</w:t>
      </w:r>
      <w:r>
        <w:tab/>
      </w:r>
      <w:r>
        <w:fldChar w:fldCharType="begin"/>
      </w:r>
      <w:r>
        <w:instrText xml:space="preserve"> PAGEREF _Toc413847049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Notes in text</w:t>
      </w:r>
      <w:r>
        <w:tab/>
      </w:r>
      <w:r>
        <w:fldChar w:fldCharType="begin"/>
      </w:r>
      <w:r>
        <w:instrText xml:space="preserve"> PAGEREF _Toc413847050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Chapter 2 — Transfer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9.</w:t>
      </w:r>
      <w:r>
        <w:tab/>
        <w:t>Terms used</w:t>
      </w:r>
      <w:r>
        <w:tab/>
      </w:r>
      <w:r>
        <w:fldChar w:fldCharType="begin"/>
      </w:r>
      <w:r>
        <w:instrText xml:space="preserve"> PAGEREF _Toc413847053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Part 2 — Imposition of transfer duty</w:t>
      </w:r>
    </w:p>
    <w:p>
      <w:pPr>
        <w:pStyle w:val="TOC8"/>
        <w:rPr>
          <w:rFonts w:asciiTheme="minorHAnsi" w:eastAsiaTheme="minorEastAsia" w:hAnsiTheme="minorHAnsi" w:cstheme="minorBidi"/>
          <w:szCs w:val="22"/>
        </w:rPr>
      </w:pPr>
      <w:r>
        <w:t>10.</w:t>
      </w:r>
      <w:r>
        <w:tab/>
        <w:t>Transfer duty imposed</w:t>
      </w:r>
      <w:r>
        <w:tab/>
      </w:r>
      <w:r>
        <w:fldChar w:fldCharType="begin"/>
      </w:r>
      <w:r>
        <w:instrText xml:space="preserve"> PAGEREF _Toc413847055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Part 3 — Dutiable transactions and dutiable property</w:t>
      </w:r>
    </w:p>
    <w:p>
      <w:pPr>
        <w:pStyle w:val="TOC6"/>
        <w:tabs>
          <w:tab w:val="right" w:leader="dot" w:pos="7077"/>
        </w:tabs>
        <w:rPr>
          <w:rFonts w:asciiTheme="minorHAnsi" w:eastAsiaTheme="minorEastAsia" w:hAnsiTheme="minorHAnsi" w:cstheme="minorBidi"/>
          <w:b w:val="0"/>
          <w:sz w:val="22"/>
          <w:szCs w:val="22"/>
        </w:rPr>
      </w:pPr>
      <w:r>
        <w:t>Division 1 — Dutiable transactions</w:t>
      </w:r>
    </w:p>
    <w:p>
      <w:pPr>
        <w:pStyle w:val="TOC8"/>
        <w:rPr>
          <w:rFonts w:asciiTheme="minorHAnsi" w:eastAsiaTheme="minorEastAsia" w:hAnsiTheme="minorHAnsi" w:cstheme="minorBidi"/>
          <w:szCs w:val="22"/>
        </w:rPr>
      </w:pPr>
      <w:r>
        <w:t>11.</w:t>
      </w:r>
      <w:r>
        <w:tab/>
        <w:t>Term used: dutiable transaction</w:t>
      </w:r>
      <w:r>
        <w:tab/>
      </w:r>
      <w:r>
        <w:fldChar w:fldCharType="begin"/>
      </w:r>
      <w:r>
        <w:instrText xml:space="preserve"> PAGEREF _Toc413847058 \h </w:instrText>
      </w:r>
      <w:r>
        <w:fldChar w:fldCharType="separate"/>
      </w:r>
      <w:r>
        <w:t>14</w:t>
      </w:r>
      <w:r>
        <w:fldChar w:fldCharType="end"/>
      </w:r>
    </w:p>
    <w:p>
      <w:pPr>
        <w:pStyle w:val="TOC8"/>
        <w:rPr>
          <w:rFonts w:asciiTheme="minorHAnsi" w:eastAsiaTheme="minorEastAsia" w:hAnsiTheme="minorHAnsi" w:cstheme="minorBidi"/>
          <w:szCs w:val="22"/>
        </w:rPr>
      </w:pPr>
      <w:r>
        <w:t>12.</w:t>
      </w:r>
      <w:r>
        <w:tab/>
        <w:t>Vesting of property by statute law</w:t>
      </w:r>
      <w:r>
        <w:tab/>
      </w:r>
      <w:r>
        <w:fldChar w:fldCharType="begin"/>
      </w:r>
      <w:r>
        <w:instrText xml:space="preserve"> PAGEREF _Toc413847059 \h </w:instrText>
      </w:r>
      <w:r>
        <w:fldChar w:fldCharType="separate"/>
      </w:r>
      <w:r>
        <w:t>15</w:t>
      </w:r>
      <w:r>
        <w:fldChar w:fldCharType="end"/>
      </w:r>
    </w:p>
    <w:p>
      <w:pPr>
        <w:pStyle w:val="TOC8"/>
        <w:rPr>
          <w:rFonts w:asciiTheme="minorHAnsi" w:eastAsiaTheme="minorEastAsia" w:hAnsiTheme="minorHAnsi" w:cstheme="minorBidi"/>
          <w:szCs w:val="22"/>
        </w:rPr>
      </w:pPr>
      <w:r>
        <w:t>13.</w:t>
      </w:r>
      <w:r>
        <w:tab/>
        <w:t>References to farm</w:t>
      </w:r>
      <w:r>
        <w:noBreakHyphen/>
        <w:t>in agreement</w:t>
      </w:r>
      <w:r>
        <w:tab/>
      </w:r>
      <w:r>
        <w:fldChar w:fldCharType="begin"/>
      </w:r>
      <w:r>
        <w:instrText xml:space="preserve"> PAGEREF _Toc413847060 \h </w:instrText>
      </w:r>
      <w:r>
        <w:fldChar w:fldCharType="separate"/>
      </w:r>
      <w:r>
        <w:t>16</w:t>
      </w:r>
      <w:r>
        <w:fldChar w:fldCharType="end"/>
      </w:r>
    </w:p>
    <w:p>
      <w:pPr>
        <w:pStyle w:val="TOC8"/>
        <w:rPr>
          <w:rFonts w:asciiTheme="minorHAnsi" w:eastAsiaTheme="minorEastAsia" w:hAnsiTheme="minorHAnsi" w:cstheme="minorBidi"/>
          <w:szCs w:val="22"/>
        </w:rPr>
      </w:pPr>
      <w:r>
        <w:t>14.</w:t>
      </w:r>
      <w:r>
        <w:tab/>
        <w:t>Transactions as to chattels, which are dutiable</w:t>
      </w:r>
      <w:r>
        <w:tab/>
      </w:r>
      <w:r>
        <w:fldChar w:fldCharType="begin"/>
      </w:r>
      <w:r>
        <w:instrText xml:space="preserve"> PAGEREF _Toc413847061 \h </w:instrText>
      </w:r>
      <w:r>
        <w:fldChar w:fldCharType="separate"/>
      </w:r>
      <w:r>
        <w:t>16</w:t>
      </w:r>
      <w:r>
        <w:fldChar w:fldCharType="end"/>
      </w:r>
    </w:p>
    <w:p>
      <w:pPr>
        <w:pStyle w:val="TOC6"/>
        <w:tabs>
          <w:tab w:val="right" w:leader="dot" w:pos="7077"/>
        </w:tabs>
        <w:rPr>
          <w:rFonts w:asciiTheme="minorHAnsi" w:eastAsiaTheme="minorEastAsia" w:hAnsiTheme="minorHAnsi" w:cstheme="minorBidi"/>
          <w:b w:val="0"/>
          <w:sz w:val="22"/>
          <w:szCs w:val="22"/>
        </w:rPr>
      </w:pPr>
      <w:r>
        <w:t>Division 2 — Dutiable property</w:t>
      </w:r>
    </w:p>
    <w:p>
      <w:pPr>
        <w:pStyle w:val="TOC8"/>
        <w:rPr>
          <w:rFonts w:asciiTheme="minorHAnsi" w:eastAsiaTheme="minorEastAsia" w:hAnsiTheme="minorHAnsi" w:cstheme="minorBidi"/>
          <w:szCs w:val="22"/>
        </w:rPr>
      </w:pPr>
      <w:r>
        <w:t>15.</w:t>
      </w:r>
      <w:r>
        <w:tab/>
        <w:t>Term used: dutiable property</w:t>
      </w:r>
      <w:r>
        <w:tab/>
      </w:r>
      <w:r>
        <w:fldChar w:fldCharType="begin"/>
      </w:r>
      <w:r>
        <w:instrText xml:space="preserve"> PAGEREF _Toc413847063 \h </w:instrText>
      </w:r>
      <w:r>
        <w:fldChar w:fldCharType="separate"/>
      </w:r>
      <w:r>
        <w:t>17</w:t>
      </w:r>
      <w:r>
        <w:fldChar w:fldCharType="end"/>
      </w:r>
    </w:p>
    <w:p>
      <w:pPr>
        <w:pStyle w:val="TOC8"/>
        <w:rPr>
          <w:rFonts w:asciiTheme="minorHAnsi" w:eastAsiaTheme="minorEastAsia" w:hAnsiTheme="minorHAnsi" w:cstheme="minorBidi"/>
          <w:szCs w:val="22"/>
        </w:rPr>
      </w:pPr>
      <w:r>
        <w:t>16.</w:t>
      </w:r>
      <w:r>
        <w:tab/>
        <w:t>References to right</w:t>
      </w:r>
      <w:r>
        <w:tab/>
      </w:r>
      <w:r>
        <w:fldChar w:fldCharType="begin"/>
      </w:r>
      <w:r>
        <w:instrText xml:space="preserve"> PAGEREF _Toc413847064 \h </w:instrText>
      </w:r>
      <w:r>
        <w:fldChar w:fldCharType="separate"/>
      </w:r>
      <w:r>
        <w:t>17</w:t>
      </w:r>
      <w:r>
        <w:fldChar w:fldCharType="end"/>
      </w:r>
    </w:p>
    <w:p>
      <w:pPr>
        <w:pStyle w:val="TOC8"/>
        <w:rPr>
          <w:rFonts w:asciiTheme="minorHAnsi" w:eastAsiaTheme="minorEastAsia" w:hAnsiTheme="minorHAnsi" w:cstheme="minorBidi"/>
          <w:szCs w:val="22"/>
        </w:rPr>
      </w:pPr>
      <w:r>
        <w:t>17.</w:t>
      </w:r>
      <w:r>
        <w:tab/>
        <w:t>Term used: new dutiable property</w:t>
      </w:r>
      <w:r>
        <w:tab/>
      </w:r>
      <w:r>
        <w:fldChar w:fldCharType="begin"/>
      </w:r>
      <w:r>
        <w:instrText xml:space="preserve"> PAGEREF _Toc413847065 \h </w:instrText>
      </w:r>
      <w:r>
        <w:fldChar w:fldCharType="separate"/>
      </w:r>
      <w:r>
        <w:t>18</w:t>
      </w:r>
      <w:r>
        <w:fldChar w:fldCharType="end"/>
      </w:r>
    </w:p>
    <w:p>
      <w:pPr>
        <w:pStyle w:val="TOC8"/>
        <w:rPr>
          <w:rFonts w:asciiTheme="minorHAnsi" w:eastAsiaTheme="minorEastAsia" w:hAnsiTheme="minorHAnsi" w:cstheme="minorBidi"/>
          <w:szCs w:val="22"/>
        </w:rPr>
      </w:pPr>
      <w:r>
        <w:lastRenderedPageBreak/>
        <w:t>18.</w:t>
      </w:r>
      <w:r>
        <w:tab/>
        <w:t>Term used: special dutiable property</w:t>
      </w:r>
      <w:r>
        <w:tab/>
      </w:r>
      <w:r>
        <w:fldChar w:fldCharType="begin"/>
      </w:r>
      <w:r>
        <w:instrText xml:space="preserve"> PAGEREF _Toc413847066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Part 4 — Collection of transfer duty</w:t>
      </w:r>
    </w:p>
    <w:p>
      <w:pPr>
        <w:pStyle w:val="TOC6"/>
        <w:tabs>
          <w:tab w:val="right" w:leader="dot" w:pos="7077"/>
        </w:tabs>
        <w:rPr>
          <w:rFonts w:asciiTheme="minorHAnsi" w:eastAsiaTheme="minorEastAsia" w:hAnsiTheme="minorHAnsi" w:cstheme="minorBidi"/>
          <w:b w:val="0"/>
          <w:sz w:val="22"/>
          <w:szCs w:val="22"/>
        </w:rPr>
      </w:pPr>
      <w:r>
        <w:t>Division 1 — Liability for transfer duty</w:t>
      </w:r>
    </w:p>
    <w:p>
      <w:pPr>
        <w:pStyle w:val="TOC8"/>
        <w:rPr>
          <w:rFonts w:asciiTheme="minorHAnsi" w:eastAsiaTheme="minorEastAsia" w:hAnsiTheme="minorHAnsi" w:cstheme="minorBidi"/>
          <w:szCs w:val="22"/>
        </w:rPr>
      </w:pPr>
      <w:r>
        <w:t>19.</w:t>
      </w:r>
      <w:r>
        <w:tab/>
        <w:t>When liability for duty arises</w:t>
      </w:r>
      <w:r>
        <w:tab/>
      </w:r>
      <w:r>
        <w:fldChar w:fldCharType="begin"/>
      </w:r>
      <w:r>
        <w:instrText xml:space="preserve"> PAGEREF _Toc413847069 \h </w:instrText>
      </w:r>
      <w:r>
        <w:fldChar w:fldCharType="separate"/>
      </w:r>
      <w:r>
        <w:t>19</w:t>
      </w:r>
      <w:r>
        <w:fldChar w:fldCharType="end"/>
      </w:r>
    </w:p>
    <w:p>
      <w:pPr>
        <w:pStyle w:val="TOC8"/>
        <w:rPr>
          <w:rFonts w:asciiTheme="minorHAnsi" w:eastAsiaTheme="minorEastAsia" w:hAnsiTheme="minorHAnsi" w:cstheme="minorBidi"/>
          <w:szCs w:val="22"/>
        </w:rPr>
      </w:pPr>
      <w:r>
        <w:t>20.</w:t>
      </w:r>
      <w:r>
        <w:tab/>
        <w:t>Who is liable to pay duty</w:t>
      </w:r>
      <w:r>
        <w:tab/>
      </w:r>
      <w:r>
        <w:fldChar w:fldCharType="begin"/>
      </w:r>
      <w:r>
        <w:instrText xml:space="preserve"> PAGEREF _Toc413847070 \h </w:instrText>
      </w:r>
      <w:r>
        <w:fldChar w:fldCharType="separate"/>
      </w:r>
      <w:r>
        <w:t>20</w:t>
      </w:r>
      <w:r>
        <w:fldChar w:fldCharType="end"/>
      </w:r>
    </w:p>
    <w:p>
      <w:pPr>
        <w:pStyle w:val="TOC8"/>
        <w:rPr>
          <w:rFonts w:asciiTheme="minorHAnsi" w:eastAsiaTheme="minorEastAsia" w:hAnsiTheme="minorHAnsi" w:cstheme="minorBidi"/>
          <w:szCs w:val="22"/>
        </w:rPr>
      </w:pPr>
      <w:r>
        <w:t>21.</w:t>
      </w:r>
      <w:r>
        <w:tab/>
        <w:t>Joint tenants to be treated as tenants in common in equal shares</w:t>
      </w:r>
      <w:r>
        <w:tab/>
      </w:r>
      <w:r>
        <w:fldChar w:fldCharType="begin"/>
      </w:r>
      <w:r>
        <w:instrText xml:space="preserve"> PAGEREF _Toc413847071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t>Division 2 — Lodging transaction records</w:t>
      </w:r>
    </w:p>
    <w:p>
      <w:pPr>
        <w:pStyle w:val="TOC8"/>
        <w:rPr>
          <w:rFonts w:asciiTheme="minorHAnsi" w:eastAsiaTheme="minorEastAsia" w:hAnsiTheme="minorHAnsi" w:cstheme="minorBidi"/>
          <w:szCs w:val="22"/>
        </w:rPr>
      </w:pPr>
      <w:r>
        <w:t>22A.</w:t>
      </w:r>
      <w:r>
        <w:tab/>
        <w:t>Terms used</w:t>
      </w:r>
      <w:r>
        <w:tab/>
      </w:r>
      <w:r>
        <w:fldChar w:fldCharType="begin"/>
      </w:r>
      <w:r>
        <w:instrText xml:space="preserve"> PAGEREF _Toc413847073 \h </w:instrText>
      </w:r>
      <w:r>
        <w:fldChar w:fldCharType="separate"/>
      </w:r>
      <w:r>
        <w:t>20</w:t>
      </w:r>
      <w:r>
        <w:fldChar w:fldCharType="end"/>
      </w:r>
    </w:p>
    <w:p>
      <w:pPr>
        <w:pStyle w:val="TOC8"/>
        <w:rPr>
          <w:rFonts w:asciiTheme="minorHAnsi" w:eastAsiaTheme="minorEastAsia" w:hAnsiTheme="minorHAnsi" w:cstheme="minorBidi"/>
          <w:szCs w:val="22"/>
        </w:rPr>
      </w:pPr>
      <w:r>
        <w:t>22.</w:t>
      </w:r>
      <w:r>
        <w:tab/>
        <w:t>Transfer duty statement to be made if no instrument</w:t>
      </w:r>
      <w:r>
        <w:tab/>
      </w:r>
      <w:r>
        <w:fldChar w:fldCharType="begin"/>
      </w:r>
      <w:r>
        <w:instrText xml:space="preserve"> PAGEREF _Toc413847074 \h </w:instrText>
      </w:r>
      <w:r>
        <w:fldChar w:fldCharType="separate"/>
      </w:r>
      <w:r>
        <w:t>21</w:t>
      </w:r>
      <w:r>
        <w:fldChar w:fldCharType="end"/>
      </w:r>
    </w:p>
    <w:p>
      <w:pPr>
        <w:pStyle w:val="TOC8"/>
        <w:rPr>
          <w:rFonts w:asciiTheme="minorHAnsi" w:eastAsiaTheme="minorEastAsia" w:hAnsiTheme="minorHAnsi" w:cstheme="minorBidi"/>
          <w:szCs w:val="22"/>
        </w:rPr>
      </w:pPr>
      <w:r>
        <w:t>23.</w:t>
      </w:r>
      <w:r>
        <w:tab/>
        <w:t>Instrument or statement for dutiable transaction, duty to lodge</w:t>
      </w:r>
      <w:r>
        <w:tab/>
      </w:r>
      <w:r>
        <w:fldChar w:fldCharType="begin"/>
      </w:r>
      <w:r>
        <w:instrText xml:space="preserve"> PAGEREF _Toc413847075 \h </w:instrText>
      </w:r>
      <w:r>
        <w:fldChar w:fldCharType="separate"/>
      </w:r>
      <w:r>
        <w:t>21</w:t>
      </w:r>
      <w:r>
        <w:fldChar w:fldCharType="end"/>
      </w:r>
    </w:p>
    <w:p>
      <w:pPr>
        <w:pStyle w:val="TOC8"/>
        <w:rPr>
          <w:rFonts w:asciiTheme="minorHAnsi" w:eastAsiaTheme="minorEastAsia" w:hAnsiTheme="minorHAnsi" w:cstheme="minorBidi"/>
          <w:szCs w:val="22"/>
        </w:rPr>
      </w:pPr>
      <w:r>
        <w:t>24.</w:t>
      </w:r>
      <w:r>
        <w:tab/>
        <w:t>Form of dutiable transaction</w:t>
      </w:r>
      <w:r>
        <w:tab/>
      </w:r>
      <w:r>
        <w:fldChar w:fldCharType="begin"/>
      </w:r>
      <w:r>
        <w:instrText xml:space="preserve"> PAGEREF _Toc413847076 \h </w:instrText>
      </w:r>
      <w:r>
        <w:fldChar w:fldCharType="separate"/>
      </w:r>
      <w:r>
        <w:t>22</w:t>
      </w:r>
      <w:r>
        <w:fldChar w:fldCharType="end"/>
      </w:r>
    </w:p>
    <w:p>
      <w:pPr>
        <w:pStyle w:val="TOC6"/>
        <w:tabs>
          <w:tab w:val="right" w:leader="dot" w:pos="7077"/>
        </w:tabs>
        <w:rPr>
          <w:rFonts w:asciiTheme="minorHAnsi" w:eastAsiaTheme="minorEastAsia" w:hAnsiTheme="minorHAnsi" w:cstheme="minorBidi"/>
          <w:b w:val="0"/>
          <w:sz w:val="22"/>
          <w:szCs w:val="22"/>
        </w:rPr>
      </w:pPr>
      <w:r>
        <w:t>Division 3 — Payment of transfer duty</w:t>
      </w:r>
    </w:p>
    <w:p>
      <w:pPr>
        <w:pStyle w:val="TOC8"/>
        <w:rPr>
          <w:rFonts w:asciiTheme="minorHAnsi" w:eastAsiaTheme="minorEastAsia" w:hAnsiTheme="minorHAnsi" w:cstheme="minorBidi"/>
          <w:szCs w:val="22"/>
        </w:rPr>
      </w:pPr>
      <w:r>
        <w:t>25.</w:t>
      </w:r>
      <w:r>
        <w:tab/>
        <w:t>When duty must be paid</w:t>
      </w:r>
      <w:r>
        <w:tab/>
      </w:r>
      <w:r>
        <w:fldChar w:fldCharType="begin"/>
      </w:r>
      <w:r>
        <w:instrText xml:space="preserve"> PAGEREF _Toc413847078 \h </w:instrText>
      </w:r>
      <w:r>
        <w:fldChar w:fldCharType="separate"/>
      </w:r>
      <w:r>
        <w:t>22</w:t>
      </w:r>
      <w:r>
        <w:fldChar w:fldCharType="end"/>
      </w:r>
    </w:p>
    <w:p>
      <w:pPr>
        <w:pStyle w:val="TOC6"/>
        <w:tabs>
          <w:tab w:val="right" w:leader="dot" w:pos="7077"/>
        </w:tabs>
        <w:rPr>
          <w:rFonts w:asciiTheme="minorHAnsi" w:eastAsiaTheme="minorEastAsia" w:hAnsiTheme="minorHAnsi" w:cstheme="minorBidi"/>
          <w:b w:val="0"/>
          <w:sz w:val="22"/>
          <w:szCs w:val="22"/>
        </w:rPr>
      </w:pPr>
      <w:r>
        <w:t>Division 4 — Rate of transfer duty</w:t>
      </w:r>
    </w:p>
    <w:p>
      <w:pPr>
        <w:pStyle w:val="TOC8"/>
        <w:rPr>
          <w:rFonts w:asciiTheme="minorHAnsi" w:eastAsiaTheme="minorEastAsia" w:hAnsiTheme="minorHAnsi" w:cstheme="minorBidi"/>
          <w:szCs w:val="22"/>
        </w:rPr>
      </w:pPr>
      <w:r>
        <w:t>26.</w:t>
      </w:r>
      <w:r>
        <w:tab/>
        <w:t>Rate of transfer duty</w:t>
      </w:r>
      <w:r>
        <w:tab/>
      </w:r>
      <w:r>
        <w:fldChar w:fldCharType="begin"/>
      </w:r>
      <w:r>
        <w:instrText xml:space="preserve"> PAGEREF _Toc413847080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t>Division 5 — Dutiable value</w:t>
      </w:r>
    </w:p>
    <w:p>
      <w:pPr>
        <w:pStyle w:val="TOC8"/>
        <w:rPr>
          <w:rFonts w:asciiTheme="minorHAnsi" w:eastAsiaTheme="minorEastAsia" w:hAnsiTheme="minorHAnsi" w:cstheme="minorBidi"/>
          <w:szCs w:val="22"/>
        </w:rPr>
      </w:pPr>
      <w:r>
        <w:t>27.</w:t>
      </w:r>
      <w:r>
        <w:tab/>
        <w:t>Dutiable value of dutiable transactions, unless otherwise provided</w:t>
      </w:r>
      <w:r>
        <w:tab/>
      </w:r>
      <w:r>
        <w:fldChar w:fldCharType="begin"/>
      </w:r>
      <w:r>
        <w:instrText xml:space="preserve"> PAGEREF _Toc413847082 \h </w:instrText>
      </w:r>
      <w:r>
        <w:fldChar w:fldCharType="separate"/>
      </w:r>
      <w:r>
        <w:t>23</w:t>
      </w:r>
      <w:r>
        <w:fldChar w:fldCharType="end"/>
      </w:r>
    </w:p>
    <w:p>
      <w:pPr>
        <w:pStyle w:val="TOC8"/>
        <w:rPr>
          <w:rFonts w:asciiTheme="minorHAnsi" w:eastAsiaTheme="minorEastAsia" w:hAnsiTheme="minorHAnsi" w:cstheme="minorBidi"/>
          <w:szCs w:val="22"/>
        </w:rPr>
      </w:pPr>
      <w:r>
        <w:t>28.</w:t>
      </w:r>
      <w:r>
        <w:tab/>
        <w:t>Dutiable value of certain dutiable transactions</w:t>
      </w:r>
      <w:r>
        <w:tab/>
      </w:r>
      <w:r>
        <w:fldChar w:fldCharType="begin"/>
      </w:r>
      <w:r>
        <w:instrText xml:space="preserve"> PAGEREF _Toc413847083 \h </w:instrText>
      </w:r>
      <w:r>
        <w:fldChar w:fldCharType="separate"/>
      </w:r>
      <w:r>
        <w:t>24</w:t>
      </w:r>
      <w:r>
        <w:fldChar w:fldCharType="end"/>
      </w:r>
    </w:p>
    <w:p>
      <w:pPr>
        <w:pStyle w:val="TOC8"/>
        <w:rPr>
          <w:rFonts w:asciiTheme="minorHAnsi" w:eastAsiaTheme="minorEastAsia" w:hAnsiTheme="minorHAnsi" w:cstheme="minorBidi"/>
          <w:szCs w:val="22"/>
        </w:rPr>
      </w:pPr>
      <w:r>
        <w:t>29.</w:t>
      </w:r>
      <w:r>
        <w:tab/>
        <w:t>Dutiable value of certain dutiable transactions relating to corporation or unit trust scheme property on winding up</w:t>
      </w:r>
      <w:r>
        <w:tab/>
      </w:r>
      <w:r>
        <w:fldChar w:fldCharType="begin"/>
      </w:r>
      <w:r>
        <w:instrText xml:space="preserve"> PAGEREF _Toc413847084 \h </w:instrText>
      </w:r>
      <w:r>
        <w:fldChar w:fldCharType="separate"/>
      </w:r>
      <w:r>
        <w:t>25</w:t>
      </w:r>
      <w:r>
        <w:fldChar w:fldCharType="end"/>
      </w:r>
    </w:p>
    <w:p>
      <w:pPr>
        <w:pStyle w:val="TOC8"/>
        <w:rPr>
          <w:rFonts w:asciiTheme="minorHAnsi" w:eastAsiaTheme="minorEastAsia" w:hAnsiTheme="minorHAnsi" w:cstheme="minorBidi"/>
          <w:szCs w:val="22"/>
        </w:rPr>
      </w:pPr>
      <w:r>
        <w:t>30.</w:t>
      </w:r>
      <w:r>
        <w:tab/>
        <w:t>Consideration for dutiable transaction</w:t>
      </w:r>
      <w:r>
        <w:tab/>
      </w:r>
      <w:r>
        <w:fldChar w:fldCharType="begin"/>
      </w:r>
      <w:r>
        <w:instrText xml:space="preserve"> PAGEREF _Toc413847085 \h </w:instrText>
      </w:r>
      <w:r>
        <w:fldChar w:fldCharType="separate"/>
      </w:r>
      <w:r>
        <w:t>30</w:t>
      </w:r>
      <w:r>
        <w:fldChar w:fldCharType="end"/>
      </w:r>
    </w:p>
    <w:p>
      <w:pPr>
        <w:pStyle w:val="TOC8"/>
        <w:rPr>
          <w:rFonts w:asciiTheme="minorHAnsi" w:eastAsiaTheme="minorEastAsia" w:hAnsiTheme="minorHAnsi" w:cstheme="minorBidi"/>
          <w:szCs w:val="22"/>
        </w:rPr>
      </w:pPr>
      <w:r>
        <w:t>31.</w:t>
      </w:r>
      <w:r>
        <w:tab/>
        <w:t>Changes to consideration before transfer, consequences of</w:t>
      </w:r>
      <w:r>
        <w:tab/>
      </w:r>
      <w:r>
        <w:fldChar w:fldCharType="begin"/>
      </w:r>
      <w:r>
        <w:instrText xml:space="preserve"> PAGEREF _Toc413847086 \h </w:instrText>
      </w:r>
      <w:r>
        <w:fldChar w:fldCharType="separate"/>
      </w:r>
      <w:r>
        <w:t>31</w:t>
      </w:r>
      <w:r>
        <w:fldChar w:fldCharType="end"/>
      </w:r>
    </w:p>
    <w:p>
      <w:pPr>
        <w:pStyle w:val="TOC8"/>
        <w:rPr>
          <w:rFonts w:asciiTheme="minorHAnsi" w:eastAsiaTheme="minorEastAsia" w:hAnsiTheme="minorHAnsi" w:cstheme="minorBidi"/>
          <w:szCs w:val="22"/>
        </w:rPr>
      </w:pPr>
      <w:r>
        <w:t>32.</w:t>
      </w:r>
      <w:r>
        <w:tab/>
        <w:t>Contingent consideration not paid, consequences of</w:t>
      </w:r>
      <w:r>
        <w:tab/>
      </w:r>
      <w:r>
        <w:fldChar w:fldCharType="begin"/>
      </w:r>
      <w:r>
        <w:instrText xml:space="preserve"> PAGEREF _Toc413847087 \h </w:instrText>
      </w:r>
      <w:r>
        <w:fldChar w:fldCharType="separate"/>
      </w:r>
      <w:r>
        <w:t>33</w:t>
      </w:r>
      <w:r>
        <w:fldChar w:fldCharType="end"/>
      </w:r>
    </w:p>
    <w:p>
      <w:pPr>
        <w:pStyle w:val="TOC8"/>
        <w:rPr>
          <w:rFonts w:asciiTheme="minorHAnsi" w:eastAsiaTheme="minorEastAsia" w:hAnsiTheme="minorHAnsi" w:cstheme="minorBidi"/>
          <w:szCs w:val="22"/>
        </w:rPr>
      </w:pPr>
      <w:r>
        <w:t>33.</w:t>
      </w:r>
      <w:r>
        <w:tab/>
        <w:t>Agreement by instalments determined before final payment, consequences of</w:t>
      </w:r>
      <w:r>
        <w:tab/>
      </w:r>
      <w:r>
        <w:fldChar w:fldCharType="begin"/>
      </w:r>
      <w:r>
        <w:instrText xml:space="preserve"> PAGEREF _Toc413847088 \h </w:instrText>
      </w:r>
      <w:r>
        <w:fldChar w:fldCharType="separate"/>
      </w:r>
      <w:r>
        <w:t>34</w:t>
      </w:r>
      <w:r>
        <w:fldChar w:fldCharType="end"/>
      </w:r>
    </w:p>
    <w:p>
      <w:pPr>
        <w:pStyle w:val="TOC8"/>
        <w:rPr>
          <w:rFonts w:asciiTheme="minorHAnsi" w:eastAsiaTheme="minorEastAsia" w:hAnsiTheme="minorHAnsi" w:cstheme="minorBidi"/>
          <w:szCs w:val="22"/>
        </w:rPr>
      </w:pPr>
      <w:r>
        <w:t>34.</w:t>
      </w:r>
      <w:r>
        <w:tab/>
        <w:t>Options conferred by dutiable transactions that are exercised or not renewed, consequences of</w:t>
      </w:r>
      <w:r>
        <w:tab/>
      </w:r>
      <w:r>
        <w:fldChar w:fldCharType="begin"/>
      </w:r>
      <w:r>
        <w:instrText xml:space="preserve"> PAGEREF _Toc413847089 \h </w:instrText>
      </w:r>
      <w:r>
        <w:fldChar w:fldCharType="separate"/>
      </w:r>
      <w:r>
        <w:t>34</w:t>
      </w:r>
      <w:r>
        <w:fldChar w:fldCharType="end"/>
      </w:r>
    </w:p>
    <w:p>
      <w:pPr>
        <w:pStyle w:val="TOC8"/>
        <w:rPr>
          <w:rFonts w:asciiTheme="minorHAnsi" w:eastAsiaTheme="minorEastAsia" w:hAnsiTheme="minorHAnsi" w:cstheme="minorBidi"/>
          <w:szCs w:val="22"/>
        </w:rPr>
      </w:pPr>
      <w:r>
        <w:t>35.</w:t>
      </w:r>
      <w:r>
        <w:tab/>
        <w:t>Option to acquire dutiable property, duty paid on to be credited</w:t>
      </w:r>
      <w:r>
        <w:tab/>
      </w:r>
      <w:r>
        <w:fldChar w:fldCharType="begin"/>
      </w:r>
      <w:r>
        <w:instrText xml:space="preserve"> PAGEREF _Toc413847090 \h </w:instrText>
      </w:r>
      <w:r>
        <w:fldChar w:fldCharType="separate"/>
      </w:r>
      <w:r>
        <w:t>35</w:t>
      </w:r>
      <w:r>
        <w:fldChar w:fldCharType="end"/>
      </w:r>
    </w:p>
    <w:p>
      <w:pPr>
        <w:pStyle w:val="TOC8"/>
        <w:rPr>
          <w:rFonts w:asciiTheme="minorHAnsi" w:eastAsiaTheme="minorEastAsia" w:hAnsiTheme="minorHAnsi" w:cstheme="minorBidi"/>
          <w:szCs w:val="22"/>
        </w:rPr>
      </w:pPr>
      <w:r>
        <w:t>36.</w:t>
      </w:r>
      <w:r>
        <w:tab/>
        <w:t>Unencumbered value of property, determining</w:t>
      </w:r>
      <w:r>
        <w:tab/>
      </w:r>
      <w:r>
        <w:fldChar w:fldCharType="begin"/>
      </w:r>
      <w:r>
        <w:instrText xml:space="preserve"> PAGEREF _Toc413847091 \h </w:instrText>
      </w:r>
      <w:r>
        <w:fldChar w:fldCharType="separate"/>
      </w:r>
      <w:r>
        <w:t>36</w:t>
      </w:r>
      <w:r>
        <w:fldChar w:fldCharType="end"/>
      </w:r>
    </w:p>
    <w:p>
      <w:pPr>
        <w:pStyle w:val="TOC8"/>
        <w:rPr>
          <w:rFonts w:asciiTheme="minorHAnsi" w:eastAsiaTheme="minorEastAsia" w:hAnsiTheme="minorHAnsi" w:cstheme="minorBidi"/>
          <w:szCs w:val="22"/>
        </w:rPr>
      </w:pPr>
      <w:r>
        <w:t>37.</w:t>
      </w:r>
      <w:r>
        <w:tab/>
        <w:t>Aggregation of dutiable transactions</w:t>
      </w:r>
      <w:r>
        <w:tab/>
      </w:r>
      <w:r>
        <w:fldChar w:fldCharType="begin"/>
      </w:r>
      <w:r>
        <w:instrText xml:space="preserve"> PAGEREF _Toc413847092 \h </w:instrText>
      </w:r>
      <w:r>
        <w:fldChar w:fldCharType="separate"/>
      </w:r>
      <w:r>
        <w:t>39</w:t>
      </w:r>
      <w:r>
        <w:fldChar w:fldCharType="end"/>
      </w:r>
    </w:p>
    <w:p>
      <w:pPr>
        <w:pStyle w:val="TOC8"/>
        <w:rPr>
          <w:rFonts w:asciiTheme="minorHAnsi" w:eastAsiaTheme="minorEastAsia" w:hAnsiTheme="minorHAnsi" w:cstheme="minorBidi"/>
          <w:szCs w:val="22"/>
        </w:rPr>
      </w:pPr>
      <w:r>
        <w:t>38.</w:t>
      </w:r>
      <w:r>
        <w:tab/>
        <w:t>Transactions as to dutiable and not dutiable property, duty on</w:t>
      </w:r>
      <w:r>
        <w:tab/>
      </w:r>
      <w:r>
        <w:fldChar w:fldCharType="begin"/>
      </w:r>
      <w:r>
        <w:instrText xml:space="preserve"> PAGEREF _Toc413847093 \h </w:instrText>
      </w:r>
      <w:r>
        <w:fldChar w:fldCharType="separate"/>
      </w:r>
      <w:r>
        <w:t>40</w:t>
      </w:r>
      <w:r>
        <w:fldChar w:fldCharType="end"/>
      </w:r>
    </w:p>
    <w:p>
      <w:pPr>
        <w:pStyle w:val="TOC8"/>
        <w:rPr>
          <w:rFonts w:asciiTheme="minorHAnsi" w:eastAsiaTheme="minorEastAsia" w:hAnsiTheme="minorHAnsi" w:cstheme="minorBidi"/>
          <w:szCs w:val="22"/>
        </w:rPr>
      </w:pPr>
      <w:r>
        <w:t>39.</w:t>
      </w:r>
      <w:r>
        <w:tab/>
        <w:t>Partitions of property, dutiable values in case of</w:t>
      </w:r>
      <w:r>
        <w:tab/>
      </w:r>
      <w:r>
        <w:fldChar w:fldCharType="begin"/>
      </w:r>
      <w:r>
        <w:instrText xml:space="preserve"> PAGEREF _Toc413847094 \h </w:instrText>
      </w:r>
      <w:r>
        <w:fldChar w:fldCharType="separate"/>
      </w:r>
      <w:r>
        <w:t>40</w:t>
      </w:r>
      <w:r>
        <w:fldChar w:fldCharType="end"/>
      </w:r>
    </w:p>
    <w:p>
      <w:pPr>
        <w:pStyle w:val="TOC8"/>
        <w:rPr>
          <w:rFonts w:asciiTheme="minorHAnsi" w:eastAsiaTheme="minorEastAsia" w:hAnsiTheme="minorHAnsi" w:cstheme="minorBidi"/>
          <w:szCs w:val="22"/>
        </w:rPr>
      </w:pPr>
      <w:r>
        <w:t>40.</w:t>
      </w:r>
      <w:r>
        <w:tab/>
        <w:t>Exchanges of dutiable property, duty on</w:t>
      </w:r>
      <w:r>
        <w:tab/>
      </w:r>
      <w:r>
        <w:fldChar w:fldCharType="begin"/>
      </w:r>
      <w:r>
        <w:instrText xml:space="preserve"> PAGEREF _Toc413847095 \h </w:instrText>
      </w:r>
      <w:r>
        <w:fldChar w:fldCharType="separate"/>
      </w:r>
      <w:r>
        <w:t>41</w:t>
      </w:r>
      <w:r>
        <w:fldChar w:fldCharType="end"/>
      </w:r>
    </w:p>
    <w:p>
      <w:pPr>
        <w:pStyle w:val="TOC6"/>
        <w:tabs>
          <w:tab w:val="right" w:leader="dot" w:pos="7077"/>
        </w:tabs>
        <w:rPr>
          <w:rFonts w:asciiTheme="minorHAnsi" w:eastAsiaTheme="minorEastAsia" w:hAnsiTheme="minorHAnsi" w:cstheme="minorBidi"/>
          <w:b w:val="0"/>
          <w:sz w:val="22"/>
          <w:szCs w:val="22"/>
        </w:rPr>
      </w:pPr>
      <w:r>
        <w:t>Division 6 — No double duty</w:t>
      </w:r>
    </w:p>
    <w:p>
      <w:pPr>
        <w:pStyle w:val="TOC8"/>
        <w:rPr>
          <w:rFonts w:asciiTheme="minorHAnsi" w:eastAsiaTheme="minorEastAsia" w:hAnsiTheme="minorHAnsi" w:cstheme="minorBidi"/>
          <w:szCs w:val="22"/>
        </w:rPr>
      </w:pPr>
      <w:r>
        <w:t>41.</w:t>
      </w:r>
      <w:r>
        <w:tab/>
        <w:t>No double duty — general</w:t>
      </w:r>
      <w:r>
        <w:tab/>
      </w:r>
      <w:r>
        <w:fldChar w:fldCharType="begin"/>
      </w:r>
      <w:r>
        <w:instrText xml:space="preserve"> PAGEREF _Toc413847097 \h </w:instrText>
      </w:r>
      <w:r>
        <w:fldChar w:fldCharType="separate"/>
      </w:r>
      <w:r>
        <w:t>42</w:t>
      </w:r>
      <w:r>
        <w:fldChar w:fldCharType="end"/>
      </w:r>
    </w:p>
    <w:p>
      <w:pPr>
        <w:pStyle w:val="TOC8"/>
        <w:rPr>
          <w:rFonts w:asciiTheme="minorHAnsi" w:eastAsiaTheme="minorEastAsia" w:hAnsiTheme="minorHAnsi" w:cstheme="minorBidi"/>
          <w:szCs w:val="22"/>
        </w:rPr>
      </w:pPr>
      <w:r>
        <w:t>42.</w:t>
      </w:r>
      <w:r>
        <w:tab/>
        <w:t>No double duty — particular dutiable transactions</w:t>
      </w:r>
      <w:r>
        <w:tab/>
      </w:r>
      <w:r>
        <w:fldChar w:fldCharType="begin"/>
      </w:r>
      <w:r>
        <w:instrText xml:space="preserve"> PAGEREF _Toc413847098 \h </w:instrText>
      </w:r>
      <w:r>
        <w:fldChar w:fldCharType="separate"/>
      </w:r>
      <w:r>
        <w:t>42</w:t>
      </w:r>
      <w:r>
        <w:fldChar w:fldCharType="end"/>
      </w:r>
    </w:p>
    <w:p>
      <w:pPr>
        <w:pStyle w:val="TOC8"/>
        <w:rPr>
          <w:rFonts w:asciiTheme="minorHAnsi" w:eastAsiaTheme="minorEastAsia" w:hAnsiTheme="minorHAnsi" w:cstheme="minorBidi"/>
          <w:szCs w:val="22"/>
        </w:rPr>
      </w:pPr>
      <w:r>
        <w:t>43.</w:t>
      </w:r>
      <w:r>
        <w:tab/>
        <w:t>Persons related to purchaser for s. 42(2)(a)</w:t>
      </w:r>
      <w:r>
        <w:tab/>
      </w:r>
      <w:r>
        <w:fldChar w:fldCharType="begin"/>
      </w:r>
      <w:r>
        <w:instrText xml:space="preserve"> PAGEREF _Toc413847099 \h </w:instrText>
      </w:r>
      <w:r>
        <w:fldChar w:fldCharType="separate"/>
      </w:r>
      <w:r>
        <w:t>48</w:t>
      </w:r>
      <w:r>
        <w:fldChar w:fldCharType="end"/>
      </w:r>
    </w:p>
    <w:p>
      <w:pPr>
        <w:pStyle w:val="TOC6"/>
        <w:tabs>
          <w:tab w:val="right" w:leader="dot" w:pos="7077"/>
        </w:tabs>
        <w:rPr>
          <w:rFonts w:asciiTheme="minorHAnsi" w:eastAsiaTheme="minorEastAsia" w:hAnsiTheme="minorHAnsi" w:cstheme="minorBidi"/>
          <w:b w:val="0"/>
          <w:sz w:val="22"/>
          <w:szCs w:val="22"/>
        </w:rPr>
      </w:pPr>
      <w:r>
        <w:t>Division 7 — Interim assessment of transfer duty</w:t>
      </w:r>
    </w:p>
    <w:p>
      <w:pPr>
        <w:pStyle w:val="TOC8"/>
        <w:rPr>
          <w:rFonts w:asciiTheme="minorHAnsi" w:eastAsiaTheme="minorEastAsia" w:hAnsiTheme="minorHAnsi" w:cstheme="minorBidi"/>
          <w:szCs w:val="22"/>
        </w:rPr>
      </w:pPr>
      <w:r>
        <w:t>44A.</w:t>
      </w:r>
      <w:r>
        <w:tab/>
        <w:t>Interim assessment of transfer duty</w:t>
      </w:r>
      <w:r>
        <w:tab/>
      </w:r>
      <w:r>
        <w:fldChar w:fldCharType="begin"/>
      </w:r>
      <w:r>
        <w:instrText xml:space="preserve"> PAGEREF _Toc413847101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Part 5 — Application of this Chapter to certain transactions</w:t>
      </w:r>
    </w:p>
    <w:p>
      <w:pPr>
        <w:pStyle w:val="TOC6"/>
        <w:tabs>
          <w:tab w:val="right" w:leader="dot" w:pos="7077"/>
        </w:tabs>
        <w:rPr>
          <w:rFonts w:asciiTheme="minorHAnsi" w:eastAsiaTheme="minorEastAsia" w:hAnsiTheme="minorHAnsi" w:cstheme="minorBidi"/>
          <w:b w:val="0"/>
          <w:sz w:val="22"/>
          <w:szCs w:val="22"/>
        </w:rPr>
      </w:pPr>
      <w:r>
        <w:t>Division 1 — Simultaneous put and call options</w:t>
      </w:r>
    </w:p>
    <w:p>
      <w:pPr>
        <w:pStyle w:val="TOC8"/>
        <w:rPr>
          <w:rFonts w:asciiTheme="minorHAnsi" w:eastAsiaTheme="minorEastAsia" w:hAnsiTheme="minorHAnsi" w:cstheme="minorBidi"/>
          <w:szCs w:val="22"/>
        </w:rPr>
      </w:pPr>
      <w:r>
        <w:t>44.</w:t>
      </w:r>
      <w:r>
        <w:tab/>
        <w:t>Terms used</w:t>
      </w:r>
      <w:r>
        <w:tab/>
      </w:r>
      <w:r>
        <w:fldChar w:fldCharType="begin"/>
      </w:r>
      <w:r>
        <w:instrText xml:space="preserve"> PAGEREF _Toc413847104 \h </w:instrText>
      </w:r>
      <w:r>
        <w:fldChar w:fldCharType="separate"/>
      </w:r>
      <w:r>
        <w:t>53</w:t>
      </w:r>
      <w:r>
        <w:fldChar w:fldCharType="end"/>
      </w:r>
    </w:p>
    <w:p>
      <w:pPr>
        <w:pStyle w:val="TOC8"/>
        <w:rPr>
          <w:rFonts w:asciiTheme="minorHAnsi" w:eastAsiaTheme="minorEastAsia" w:hAnsiTheme="minorHAnsi" w:cstheme="minorBidi"/>
          <w:szCs w:val="22"/>
        </w:rPr>
      </w:pPr>
      <w:r>
        <w:t>45.</w:t>
      </w:r>
      <w:r>
        <w:tab/>
        <w:t>Call option of simultaneous put and call option to be taken to be agreement for transfer of option property</w:t>
      </w:r>
      <w:r>
        <w:tab/>
      </w:r>
      <w:r>
        <w:fldChar w:fldCharType="begin"/>
      </w:r>
      <w:r>
        <w:instrText xml:space="preserve"> PAGEREF _Toc413847105 \h </w:instrText>
      </w:r>
      <w:r>
        <w:fldChar w:fldCharType="separate"/>
      </w:r>
      <w:r>
        <w:t>54</w:t>
      </w:r>
      <w:r>
        <w:fldChar w:fldCharType="end"/>
      </w:r>
    </w:p>
    <w:p>
      <w:pPr>
        <w:pStyle w:val="TOC8"/>
        <w:rPr>
          <w:rFonts w:asciiTheme="minorHAnsi" w:eastAsiaTheme="minorEastAsia" w:hAnsiTheme="minorHAnsi" w:cstheme="minorBidi"/>
          <w:szCs w:val="22"/>
        </w:rPr>
      </w:pPr>
      <w:r>
        <w:t>46.</w:t>
      </w:r>
      <w:r>
        <w:tab/>
        <w:t>Simultaneous put and call option, dutiable value of</w:t>
      </w:r>
      <w:r>
        <w:tab/>
      </w:r>
      <w:r>
        <w:fldChar w:fldCharType="begin"/>
      </w:r>
      <w:r>
        <w:instrText xml:space="preserve"> PAGEREF _Toc413847106 \h </w:instrText>
      </w:r>
      <w:r>
        <w:fldChar w:fldCharType="separate"/>
      </w:r>
      <w:r>
        <w:t>55</w:t>
      </w:r>
      <w:r>
        <w:fldChar w:fldCharType="end"/>
      </w:r>
    </w:p>
    <w:p>
      <w:pPr>
        <w:pStyle w:val="TOC8"/>
        <w:rPr>
          <w:rFonts w:asciiTheme="minorHAnsi" w:eastAsiaTheme="minorEastAsia" w:hAnsiTheme="minorHAnsi" w:cstheme="minorBidi"/>
          <w:szCs w:val="22"/>
        </w:rPr>
      </w:pPr>
      <w:r>
        <w:t>47.</w:t>
      </w:r>
      <w:r>
        <w:tab/>
        <w:t>Dutiable transaction referred to in s. 45, duty paid on to be credited</w:t>
      </w:r>
      <w:r>
        <w:tab/>
      </w:r>
      <w:r>
        <w:fldChar w:fldCharType="begin"/>
      </w:r>
      <w:r>
        <w:instrText xml:space="preserve"> PAGEREF _Toc413847107 \h </w:instrText>
      </w:r>
      <w:r>
        <w:fldChar w:fldCharType="separate"/>
      </w:r>
      <w:r>
        <w:t>55</w:t>
      </w:r>
      <w:r>
        <w:fldChar w:fldCharType="end"/>
      </w:r>
    </w:p>
    <w:p>
      <w:pPr>
        <w:pStyle w:val="TOC8"/>
        <w:rPr>
          <w:rFonts w:asciiTheme="minorHAnsi" w:eastAsiaTheme="minorEastAsia" w:hAnsiTheme="minorHAnsi" w:cstheme="minorBidi"/>
          <w:szCs w:val="22"/>
        </w:rPr>
      </w:pPr>
      <w:r>
        <w:t>48.</w:t>
      </w:r>
      <w:r>
        <w:tab/>
        <w:t>Simultaneous put and call option not exercised or assigned, consequences of</w:t>
      </w:r>
      <w:r>
        <w:tab/>
      </w:r>
      <w:r>
        <w:fldChar w:fldCharType="begin"/>
      </w:r>
      <w:r>
        <w:instrText xml:space="preserve"> PAGEREF _Toc413847108 \h </w:instrText>
      </w:r>
      <w:r>
        <w:fldChar w:fldCharType="separate"/>
      </w:r>
      <w:r>
        <w:t>56</w:t>
      </w:r>
      <w:r>
        <w:fldChar w:fldCharType="end"/>
      </w:r>
    </w:p>
    <w:p>
      <w:pPr>
        <w:pStyle w:val="TOC8"/>
        <w:rPr>
          <w:rFonts w:asciiTheme="minorHAnsi" w:eastAsiaTheme="minorEastAsia" w:hAnsiTheme="minorHAnsi" w:cstheme="minorBidi"/>
          <w:szCs w:val="22"/>
        </w:rPr>
      </w:pPr>
      <w:r>
        <w:t>49.</w:t>
      </w:r>
      <w:r>
        <w:tab/>
        <w:t>Assignment of call option to be taken to be agreement for transfer of option property</w:t>
      </w:r>
      <w:r>
        <w:tab/>
      </w:r>
      <w:r>
        <w:fldChar w:fldCharType="begin"/>
      </w:r>
      <w:r>
        <w:instrText xml:space="preserve"> PAGEREF _Toc413847109 \h </w:instrText>
      </w:r>
      <w:r>
        <w:fldChar w:fldCharType="separate"/>
      </w:r>
      <w:r>
        <w:t>56</w:t>
      </w:r>
      <w:r>
        <w:fldChar w:fldCharType="end"/>
      </w:r>
    </w:p>
    <w:p>
      <w:pPr>
        <w:pStyle w:val="TOC8"/>
        <w:rPr>
          <w:rFonts w:asciiTheme="minorHAnsi" w:eastAsiaTheme="minorEastAsia" w:hAnsiTheme="minorHAnsi" w:cstheme="minorBidi"/>
          <w:szCs w:val="22"/>
        </w:rPr>
      </w:pPr>
      <w:r>
        <w:t>50.</w:t>
      </w:r>
      <w:r>
        <w:tab/>
        <w:t>Assignment of call option, dutiable value of</w:t>
      </w:r>
      <w:r>
        <w:tab/>
      </w:r>
      <w:r>
        <w:fldChar w:fldCharType="begin"/>
      </w:r>
      <w:r>
        <w:instrText xml:space="preserve"> PAGEREF _Toc413847110 \h </w:instrText>
      </w:r>
      <w:r>
        <w:fldChar w:fldCharType="separate"/>
      </w:r>
      <w:r>
        <w:t>57</w:t>
      </w:r>
      <w:r>
        <w:fldChar w:fldCharType="end"/>
      </w:r>
    </w:p>
    <w:p>
      <w:pPr>
        <w:pStyle w:val="TOC8"/>
        <w:rPr>
          <w:rFonts w:asciiTheme="minorHAnsi" w:eastAsiaTheme="minorEastAsia" w:hAnsiTheme="minorHAnsi" w:cstheme="minorBidi"/>
          <w:szCs w:val="22"/>
        </w:rPr>
      </w:pPr>
      <w:r>
        <w:t>51.</w:t>
      </w:r>
      <w:r>
        <w:tab/>
        <w:t>Dutiable transaction referred to in s. 49, duty paid on to be credited</w:t>
      </w:r>
      <w:r>
        <w:tab/>
      </w:r>
      <w:r>
        <w:fldChar w:fldCharType="begin"/>
      </w:r>
      <w:r>
        <w:instrText xml:space="preserve"> PAGEREF _Toc413847111 \h </w:instrText>
      </w:r>
      <w:r>
        <w:fldChar w:fldCharType="separate"/>
      </w:r>
      <w:r>
        <w:t>58</w:t>
      </w:r>
      <w:r>
        <w:fldChar w:fldCharType="end"/>
      </w:r>
    </w:p>
    <w:p>
      <w:pPr>
        <w:pStyle w:val="TOC8"/>
        <w:rPr>
          <w:rFonts w:asciiTheme="minorHAnsi" w:eastAsiaTheme="minorEastAsia" w:hAnsiTheme="minorHAnsi" w:cstheme="minorBidi"/>
          <w:szCs w:val="22"/>
        </w:rPr>
      </w:pPr>
      <w:r>
        <w:t>52.</w:t>
      </w:r>
      <w:r>
        <w:tab/>
        <w:t>Assigned call option not exercised or further assigned, consequences of</w:t>
      </w:r>
      <w:r>
        <w:tab/>
      </w:r>
      <w:r>
        <w:fldChar w:fldCharType="begin"/>
      </w:r>
      <w:r>
        <w:instrText xml:space="preserve"> PAGEREF _Toc413847112 \h </w:instrText>
      </w:r>
      <w:r>
        <w:fldChar w:fldCharType="separate"/>
      </w:r>
      <w:r>
        <w:t>58</w:t>
      </w:r>
      <w:r>
        <w:fldChar w:fldCharType="end"/>
      </w:r>
    </w:p>
    <w:p>
      <w:pPr>
        <w:pStyle w:val="TOC6"/>
        <w:tabs>
          <w:tab w:val="right" w:leader="dot" w:pos="7077"/>
        </w:tabs>
        <w:rPr>
          <w:rFonts w:asciiTheme="minorHAnsi" w:eastAsiaTheme="minorEastAsia" w:hAnsiTheme="minorHAnsi" w:cstheme="minorBidi"/>
          <w:b w:val="0"/>
          <w:sz w:val="22"/>
          <w:szCs w:val="22"/>
        </w:rPr>
      </w:pPr>
      <w:r>
        <w:t>Division 2 — Discretionary trust acquisitions and surrenders</w:t>
      </w:r>
    </w:p>
    <w:p>
      <w:pPr>
        <w:pStyle w:val="TOC8"/>
        <w:rPr>
          <w:rFonts w:asciiTheme="minorHAnsi" w:eastAsiaTheme="minorEastAsia" w:hAnsiTheme="minorHAnsi" w:cstheme="minorBidi"/>
          <w:szCs w:val="22"/>
        </w:rPr>
      </w:pPr>
      <w:r>
        <w:t>53.</w:t>
      </w:r>
      <w:r>
        <w:tab/>
        <w:t>References to partnership or trust holding property</w:t>
      </w:r>
      <w:r>
        <w:tab/>
      </w:r>
      <w:r>
        <w:fldChar w:fldCharType="begin"/>
      </w:r>
      <w:r>
        <w:instrText xml:space="preserve"> PAGEREF _Toc413847114 \h </w:instrText>
      </w:r>
      <w:r>
        <w:fldChar w:fldCharType="separate"/>
      </w:r>
      <w:r>
        <w:t>59</w:t>
      </w:r>
      <w:r>
        <w:fldChar w:fldCharType="end"/>
      </w:r>
    </w:p>
    <w:p>
      <w:pPr>
        <w:pStyle w:val="TOC8"/>
        <w:rPr>
          <w:rFonts w:asciiTheme="minorHAnsi" w:eastAsiaTheme="minorEastAsia" w:hAnsiTheme="minorHAnsi" w:cstheme="minorBidi"/>
          <w:szCs w:val="22"/>
        </w:rPr>
      </w:pPr>
      <w:r>
        <w:t>54.</w:t>
      </w:r>
      <w:r>
        <w:tab/>
        <w:t>References to taker in default</w:t>
      </w:r>
      <w:r>
        <w:tab/>
      </w:r>
      <w:r>
        <w:fldChar w:fldCharType="begin"/>
      </w:r>
      <w:r>
        <w:instrText xml:space="preserve"> PAGEREF _Toc413847115 \h </w:instrText>
      </w:r>
      <w:r>
        <w:fldChar w:fldCharType="separate"/>
      </w:r>
      <w:r>
        <w:t>59</w:t>
      </w:r>
      <w:r>
        <w:fldChar w:fldCharType="end"/>
      </w:r>
    </w:p>
    <w:p>
      <w:pPr>
        <w:pStyle w:val="TOC8"/>
        <w:rPr>
          <w:rFonts w:asciiTheme="minorHAnsi" w:eastAsiaTheme="minorEastAsia" w:hAnsiTheme="minorHAnsi" w:cstheme="minorBidi"/>
          <w:szCs w:val="22"/>
        </w:rPr>
      </w:pPr>
      <w:r>
        <w:t>55.</w:t>
      </w:r>
      <w:r>
        <w:tab/>
        <w:t>References to trust acquisition</w:t>
      </w:r>
      <w:r>
        <w:tab/>
      </w:r>
      <w:r>
        <w:fldChar w:fldCharType="begin"/>
      </w:r>
      <w:r>
        <w:instrText xml:space="preserve"> PAGEREF _Toc413847116 \h </w:instrText>
      </w:r>
      <w:r>
        <w:fldChar w:fldCharType="separate"/>
      </w:r>
      <w:r>
        <w:t>59</w:t>
      </w:r>
      <w:r>
        <w:fldChar w:fldCharType="end"/>
      </w:r>
    </w:p>
    <w:p>
      <w:pPr>
        <w:pStyle w:val="TOC8"/>
        <w:rPr>
          <w:rFonts w:asciiTheme="minorHAnsi" w:eastAsiaTheme="minorEastAsia" w:hAnsiTheme="minorHAnsi" w:cstheme="minorBidi"/>
          <w:szCs w:val="22"/>
        </w:rPr>
      </w:pPr>
      <w:r>
        <w:t>56.</w:t>
      </w:r>
      <w:r>
        <w:tab/>
        <w:t>References to trust surrender</w:t>
      </w:r>
      <w:r>
        <w:tab/>
      </w:r>
      <w:r>
        <w:fldChar w:fldCharType="begin"/>
      </w:r>
      <w:r>
        <w:instrText xml:space="preserve"> PAGEREF _Toc413847117 \h </w:instrText>
      </w:r>
      <w:r>
        <w:fldChar w:fldCharType="separate"/>
      </w:r>
      <w:r>
        <w:t>59</w:t>
      </w:r>
      <w:r>
        <w:fldChar w:fldCharType="end"/>
      </w:r>
    </w:p>
    <w:p>
      <w:pPr>
        <w:pStyle w:val="TOC8"/>
        <w:rPr>
          <w:rFonts w:asciiTheme="minorHAnsi" w:eastAsiaTheme="minorEastAsia" w:hAnsiTheme="minorHAnsi" w:cstheme="minorBidi"/>
          <w:szCs w:val="22"/>
        </w:rPr>
      </w:pPr>
      <w:r>
        <w:t>57.</w:t>
      </w:r>
      <w:r>
        <w:tab/>
        <w:t>When discretionary trust holds indirect interest in dutiable property</w:t>
      </w:r>
      <w:r>
        <w:tab/>
      </w:r>
      <w:r>
        <w:fldChar w:fldCharType="begin"/>
      </w:r>
      <w:r>
        <w:instrText xml:space="preserve"> PAGEREF _Toc413847118 \h </w:instrText>
      </w:r>
      <w:r>
        <w:fldChar w:fldCharType="separate"/>
      </w:r>
      <w:r>
        <w:t>60</w:t>
      </w:r>
      <w:r>
        <w:fldChar w:fldCharType="end"/>
      </w:r>
    </w:p>
    <w:p>
      <w:pPr>
        <w:pStyle w:val="TOC8"/>
        <w:rPr>
          <w:rFonts w:asciiTheme="minorHAnsi" w:eastAsiaTheme="minorEastAsia" w:hAnsiTheme="minorHAnsi" w:cstheme="minorBidi"/>
          <w:szCs w:val="22"/>
        </w:rPr>
      </w:pPr>
      <w:r>
        <w:t>58.</w:t>
      </w:r>
      <w:r>
        <w:tab/>
        <w:t>When person acquires interest in discretionary trust</w:t>
      </w:r>
      <w:r>
        <w:tab/>
      </w:r>
      <w:r>
        <w:fldChar w:fldCharType="begin"/>
      </w:r>
      <w:r>
        <w:instrText xml:space="preserve"> PAGEREF _Toc413847119 \h </w:instrText>
      </w:r>
      <w:r>
        <w:fldChar w:fldCharType="separate"/>
      </w:r>
      <w:r>
        <w:t>60</w:t>
      </w:r>
      <w:r>
        <w:fldChar w:fldCharType="end"/>
      </w:r>
    </w:p>
    <w:p>
      <w:pPr>
        <w:pStyle w:val="TOC8"/>
        <w:rPr>
          <w:rFonts w:asciiTheme="minorHAnsi" w:eastAsiaTheme="minorEastAsia" w:hAnsiTheme="minorHAnsi" w:cstheme="minorBidi"/>
          <w:szCs w:val="22"/>
        </w:rPr>
      </w:pPr>
      <w:r>
        <w:t>59.</w:t>
      </w:r>
      <w:r>
        <w:tab/>
        <w:t>Trust acquisition or trust surrender, dutiable value of</w:t>
      </w:r>
      <w:r>
        <w:tab/>
      </w:r>
      <w:r>
        <w:fldChar w:fldCharType="begin"/>
      </w:r>
      <w:r>
        <w:instrText xml:space="preserve"> PAGEREF _Toc413847120 \h </w:instrText>
      </w:r>
      <w:r>
        <w:fldChar w:fldCharType="separate"/>
      </w:r>
      <w:r>
        <w:t>60</w:t>
      </w:r>
      <w:r>
        <w:fldChar w:fldCharType="end"/>
      </w:r>
    </w:p>
    <w:p>
      <w:pPr>
        <w:pStyle w:val="TOC8"/>
        <w:rPr>
          <w:rFonts w:asciiTheme="minorHAnsi" w:eastAsiaTheme="minorEastAsia" w:hAnsiTheme="minorHAnsi" w:cstheme="minorBidi"/>
          <w:szCs w:val="22"/>
        </w:rPr>
      </w:pPr>
      <w:r>
        <w:t>60.</w:t>
      </w:r>
      <w:r>
        <w:tab/>
        <w:t>References to interest in discretionary trust of taker in default</w:t>
      </w:r>
      <w:r>
        <w:tab/>
      </w:r>
      <w:r>
        <w:fldChar w:fldCharType="begin"/>
      </w:r>
      <w:r>
        <w:instrText xml:space="preserve"> PAGEREF _Toc413847121 \h </w:instrText>
      </w:r>
      <w:r>
        <w:fldChar w:fldCharType="separate"/>
      </w:r>
      <w:r>
        <w:t>61</w:t>
      </w:r>
      <w:r>
        <w:fldChar w:fldCharType="end"/>
      </w:r>
    </w:p>
    <w:p>
      <w:pPr>
        <w:pStyle w:val="TOC8"/>
        <w:rPr>
          <w:rFonts w:asciiTheme="minorHAnsi" w:eastAsiaTheme="minorEastAsia" w:hAnsiTheme="minorHAnsi" w:cstheme="minorBidi"/>
          <w:szCs w:val="22"/>
        </w:rPr>
      </w:pPr>
      <w:r>
        <w:t>61.</w:t>
      </w:r>
      <w:r>
        <w:tab/>
        <w:t>Taker in default’s interest, value of for s. 59(b)</w:t>
      </w:r>
      <w:r>
        <w:tab/>
      </w:r>
      <w:r>
        <w:fldChar w:fldCharType="begin"/>
      </w:r>
      <w:r>
        <w:instrText xml:space="preserve"> PAGEREF _Toc413847122 \h </w:instrText>
      </w:r>
      <w:r>
        <w:fldChar w:fldCharType="separate"/>
      </w:r>
      <w:r>
        <w:t>62</w:t>
      </w:r>
      <w:r>
        <w:fldChar w:fldCharType="end"/>
      </w:r>
    </w:p>
    <w:p>
      <w:pPr>
        <w:pStyle w:val="TOC8"/>
        <w:rPr>
          <w:rFonts w:asciiTheme="minorHAnsi" w:eastAsiaTheme="minorEastAsia" w:hAnsiTheme="minorHAnsi" w:cstheme="minorBidi"/>
          <w:szCs w:val="22"/>
        </w:rPr>
      </w:pPr>
      <w:r>
        <w:t>62.</w:t>
      </w:r>
      <w:r>
        <w:tab/>
        <w:t>When trust acquisition or trust surrender is not dutiable transaction</w:t>
      </w:r>
      <w:r>
        <w:tab/>
      </w:r>
      <w:r>
        <w:fldChar w:fldCharType="begin"/>
      </w:r>
      <w:r>
        <w:instrText xml:space="preserve"> PAGEREF _Toc413847123 \h </w:instrText>
      </w:r>
      <w:r>
        <w:fldChar w:fldCharType="separate"/>
      </w:r>
      <w:r>
        <w:t>62</w:t>
      </w:r>
      <w:r>
        <w:fldChar w:fldCharType="end"/>
      </w:r>
    </w:p>
    <w:p>
      <w:pPr>
        <w:pStyle w:val="TOC6"/>
        <w:tabs>
          <w:tab w:val="right" w:leader="dot" w:pos="7077"/>
        </w:tabs>
        <w:rPr>
          <w:rFonts w:asciiTheme="minorHAnsi" w:eastAsiaTheme="minorEastAsia" w:hAnsiTheme="minorHAnsi" w:cstheme="minorBidi"/>
          <w:b w:val="0"/>
          <w:sz w:val="22"/>
          <w:szCs w:val="22"/>
        </w:rPr>
      </w:pPr>
      <w:r>
        <w:t>Division 3 — Corporate trustees</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_Toc413847125 \h </w:instrText>
      </w:r>
      <w:r>
        <w:fldChar w:fldCharType="separate"/>
      </w:r>
      <w:r>
        <w:t>63</w:t>
      </w:r>
      <w:r>
        <w:fldChar w:fldCharType="end"/>
      </w:r>
    </w:p>
    <w:p>
      <w:pPr>
        <w:pStyle w:val="TOC8"/>
        <w:rPr>
          <w:rFonts w:asciiTheme="minorHAnsi" w:eastAsiaTheme="minorEastAsia" w:hAnsiTheme="minorHAnsi" w:cstheme="minorBidi"/>
          <w:szCs w:val="22"/>
        </w:rPr>
      </w:pPr>
      <w:r>
        <w:t>64.</w:t>
      </w:r>
      <w:r>
        <w:tab/>
        <w:t>References to trustee of discretionary trust holding property</w:t>
      </w:r>
      <w:r>
        <w:tab/>
      </w:r>
      <w:r>
        <w:fldChar w:fldCharType="begin"/>
      </w:r>
      <w:r>
        <w:instrText xml:space="preserve"> PAGEREF _Toc413847126 \h </w:instrText>
      </w:r>
      <w:r>
        <w:fldChar w:fldCharType="separate"/>
      </w:r>
      <w:r>
        <w:t>63</w:t>
      </w:r>
      <w:r>
        <w:fldChar w:fldCharType="end"/>
      </w:r>
    </w:p>
    <w:p>
      <w:pPr>
        <w:pStyle w:val="TOC8"/>
        <w:rPr>
          <w:rFonts w:asciiTheme="minorHAnsi" w:eastAsiaTheme="minorEastAsia" w:hAnsiTheme="minorHAnsi" w:cstheme="minorBidi"/>
          <w:szCs w:val="22"/>
        </w:rPr>
      </w:pPr>
      <w:r>
        <w:t>65.</w:t>
      </w:r>
      <w:r>
        <w:tab/>
        <w:t>References to corporate trustee</w:t>
      </w:r>
      <w:r>
        <w:tab/>
      </w:r>
      <w:r>
        <w:fldChar w:fldCharType="begin"/>
      </w:r>
      <w:r>
        <w:instrText xml:space="preserve"> PAGEREF _Toc413847127 \h </w:instrText>
      </w:r>
      <w:r>
        <w:fldChar w:fldCharType="separate"/>
      </w:r>
      <w:r>
        <w:t>64</w:t>
      </w:r>
      <w:r>
        <w:fldChar w:fldCharType="end"/>
      </w:r>
    </w:p>
    <w:p>
      <w:pPr>
        <w:pStyle w:val="TOC8"/>
        <w:rPr>
          <w:rFonts w:asciiTheme="minorHAnsi" w:eastAsiaTheme="minorEastAsia" w:hAnsiTheme="minorHAnsi" w:cstheme="minorBidi"/>
          <w:szCs w:val="22"/>
        </w:rPr>
      </w:pPr>
      <w:r>
        <w:t>66.</w:t>
      </w:r>
      <w:r>
        <w:tab/>
        <w:t>When corporate trustee holds indirect interest in dutiable property</w:t>
      </w:r>
      <w:r>
        <w:tab/>
      </w:r>
      <w:r>
        <w:fldChar w:fldCharType="begin"/>
      </w:r>
      <w:r>
        <w:instrText xml:space="preserve"> PAGEREF _Toc413847128 \h </w:instrText>
      </w:r>
      <w:r>
        <w:fldChar w:fldCharType="separate"/>
      </w:r>
      <w:r>
        <w:t>64</w:t>
      </w:r>
      <w:r>
        <w:fldChar w:fldCharType="end"/>
      </w:r>
    </w:p>
    <w:p>
      <w:pPr>
        <w:pStyle w:val="TOC8"/>
        <w:rPr>
          <w:rFonts w:asciiTheme="minorHAnsi" w:eastAsiaTheme="minorEastAsia" w:hAnsiTheme="minorHAnsi" w:cstheme="minorBidi"/>
          <w:szCs w:val="22"/>
        </w:rPr>
      </w:pPr>
      <w:r>
        <w:t>67.</w:t>
      </w:r>
      <w:r>
        <w:tab/>
        <w:t xml:space="preserve">Share disposition taken to be agreement </w:t>
      </w:r>
      <w:r>
        <w:rPr>
          <w:snapToGrid w:val="0"/>
        </w:rPr>
        <w:t>for transfer of</w:t>
      </w:r>
      <w:r>
        <w:t xml:space="preserve"> trust property</w:t>
      </w:r>
      <w:r>
        <w:tab/>
      </w:r>
      <w:r>
        <w:fldChar w:fldCharType="begin"/>
      </w:r>
      <w:r>
        <w:instrText xml:space="preserve"> PAGEREF _Toc413847129 \h </w:instrText>
      </w:r>
      <w:r>
        <w:fldChar w:fldCharType="separate"/>
      </w:r>
      <w:r>
        <w:t>64</w:t>
      </w:r>
      <w:r>
        <w:fldChar w:fldCharType="end"/>
      </w:r>
    </w:p>
    <w:p>
      <w:pPr>
        <w:pStyle w:val="TOC8"/>
        <w:rPr>
          <w:rFonts w:asciiTheme="minorHAnsi" w:eastAsiaTheme="minorEastAsia" w:hAnsiTheme="minorHAnsi" w:cstheme="minorBidi"/>
          <w:szCs w:val="22"/>
        </w:rPr>
      </w:pPr>
      <w:r>
        <w:t>68.</w:t>
      </w:r>
      <w:r>
        <w:tab/>
        <w:t>Transaction referred to in s. 67, dutiable value of</w:t>
      </w:r>
      <w:r>
        <w:tab/>
      </w:r>
      <w:r>
        <w:fldChar w:fldCharType="begin"/>
      </w:r>
      <w:r>
        <w:instrText xml:space="preserve"> PAGEREF _Toc413847130 \h </w:instrText>
      </w:r>
      <w:r>
        <w:fldChar w:fldCharType="separate"/>
      </w:r>
      <w:r>
        <w:t>65</w:t>
      </w:r>
      <w:r>
        <w:fldChar w:fldCharType="end"/>
      </w:r>
    </w:p>
    <w:p>
      <w:pPr>
        <w:pStyle w:val="TOC8"/>
        <w:rPr>
          <w:rFonts w:asciiTheme="minorHAnsi" w:eastAsiaTheme="minorEastAsia" w:hAnsiTheme="minorHAnsi" w:cstheme="minorBidi"/>
          <w:szCs w:val="22"/>
        </w:rPr>
      </w:pPr>
      <w:r>
        <w:t>69.</w:t>
      </w:r>
      <w:r>
        <w:tab/>
        <w:t>Person liable to pay duty on disposition of share</w:t>
      </w:r>
      <w:r>
        <w:tab/>
      </w:r>
      <w:r>
        <w:fldChar w:fldCharType="begin"/>
      </w:r>
      <w:r>
        <w:instrText xml:space="preserve"> PAGEREF _Toc413847131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Division 4 — Partnerships</w:t>
      </w:r>
    </w:p>
    <w:p>
      <w:pPr>
        <w:pStyle w:val="TOC8"/>
        <w:rPr>
          <w:rFonts w:asciiTheme="minorHAnsi" w:eastAsiaTheme="minorEastAsia" w:hAnsiTheme="minorHAnsi" w:cstheme="minorBidi"/>
          <w:szCs w:val="22"/>
        </w:rPr>
      </w:pPr>
      <w:r>
        <w:t>70.</w:t>
      </w:r>
      <w:r>
        <w:tab/>
        <w:t>Term used: dutiable property</w:t>
      </w:r>
      <w:r>
        <w:tab/>
      </w:r>
      <w:r>
        <w:fldChar w:fldCharType="begin"/>
      </w:r>
      <w:r>
        <w:instrText xml:space="preserve"> PAGEREF _Toc413847133 \h </w:instrText>
      </w:r>
      <w:r>
        <w:fldChar w:fldCharType="separate"/>
      </w:r>
      <w:r>
        <w:t>65</w:t>
      </w:r>
      <w:r>
        <w:fldChar w:fldCharType="end"/>
      </w:r>
    </w:p>
    <w:p>
      <w:pPr>
        <w:pStyle w:val="TOC8"/>
        <w:rPr>
          <w:rFonts w:asciiTheme="minorHAnsi" w:eastAsiaTheme="minorEastAsia" w:hAnsiTheme="minorHAnsi" w:cstheme="minorBidi"/>
          <w:szCs w:val="22"/>
        </w:rPr>
      </w:pPr>
      <w:r>
        <w:t>71.</w:t>
      </w:r>
      <w:r>
        <w:tab/>
        <w:t>References to partnership or trust holding property</w:t>
      </w:r>
      <w:r>
        <w:tab/>
      </w:r>
      <w:r>
        <w:fldChar w:fldCharType="begin"/>
      </w:r>
      <w:r>
        <w:instrText xml:space="preserve"> PAGEREF _Toc413847134 \h </w:instrText>
      </w:r>
      <w:r>
        <w:fldChar w:fldCharType="separate"/>
      </w:r>
      <w:r>
        <w:t>66</w:t>
      </w:r>
      <w:r>
        <w:fldChar w:fldCharType="end"/>
      </w:r>
    </w:p>
    <w:p>
      <w:pPr>
        <w:pStyle w:val="TOC8"/>
        <w:rPr>
          <w:rFonts w:asciiTheme="minorHAnsi" w:eastAsiaTheme="minorEastAsia" w:hAnsiTheme="minorHAnsi" w:cstheme="minorBidi"/>
          <w:szCs w:val="22"/>
        </w:rPr>
      </w:pPr>
      <w:r>
        <w:t>72.</w:t>
      </w:r>
      <w:r>
        <w:tab/>
        <w:t>References to partnership acquisition</w:t>
      </w:r>
      <w:r>
        <w:tab/>
      </w:r>
      <w:r>
        <w:fldChar w:fldCharType="begin"/>
      </w:r>
      <w:r>
        <w:instrText xml:space="preserve"> PAGEREF _Toc413847135 \h </w:instrText>
      </w:r>
      <w:r>
        <w:fldChar w:fldCharType="separate"/>
      </w:r>
      <w:r>
        <w:t>66</w:t>
      </w:r>
      <w:r>
        <w:fldChar w:fldCharType="end"/>
      </w:r>
    </w:p>
    <w:p>
      <w:pPr>
        <w:pStyle w:val="TOC8"/>
        <w:rPr>
          <w:rFonts w:asciiTheme="minorHAnsi" w:eastAsiaTheme="minorEastAsia" w:hAnsiTheme="minorHAnsi" w:cstheme="minorBidi"/>
          <w:szCs w:val="22"/>
        </w:rPr>
      </w:pPr>
      <w:r>
        <w:t>73.</w:t>
      </w:r>
      <w:r>
        <w:tab/>
        <w:t>When partnership holds indirect interest in WA land</w:t>
      </w:r>
      <w:r>
        <w:tab/>
      </w:r>
      <w:r>
        <w:fldChar w:fldCharType="begin"/>
      </w:r>
      <w:r>
        <w:instrText xml:space="preserve"> PAGEREF _Toc413847136 \h </w:instrText>
      </w:r>
      <w:r>
        <w:fldChar w:fldCharType="separate"/>
      </w:r>
      <w:r>
        <w:t>66</w:t>
      </w:r>
      <w:r>
        <w:fldChar w:fldCharType="end"/>
      </w:r>
    </w:p>
    <w:p>
      <w:pPr>
        <w:pStyle w:val="TOC8"/>
        <w:rPr>
          <w:rFonts w:asciiTheme="minorHAnsi" w:eastAsiaTheme="minorEastAsia" w:hAnsiTheme="minorHAnsi" w:cstheme="minorBidi"/>
          <w:szCs w:val="22"/>
        </w:rPr>
      </w:pPr>
      <w:r>
        <w:t>74.</w:t>
      </w:r>
      <w:r>
        <w:tab/>
        <w:t>References to partner’s partnership interest</w:t>
      </w:r>
      <w:r>
        <w:tab/>
      </w:r>
      <w:r>
        <w:fldChar w:fldCharType="begin"/>
      </w:r>
      <w:r>
        <w:instrText xml:space="preserve"> PAGEREF _Toc413847137 \h </w:instrText>
      </w:r>
      <w:r>
        <w:fldChar w:fldCharType="separate"/>
      </w:r>
      <w:r>
        <w:t>66</w:t>
      </w:r>
      <w:r>
        <w:fldChar w:fldCharType="end"/>
      </w:r>
    </w:p>
    <w:p>
      <w:pPr>
        <w:pStyle w:val="TOC8"/>
        <w:rPr>
          <w:rFonts w:asciiTheme="minorHAnsi" w:eastAsiaTheme="minorEastAsia" w:hAnsiTheme="minorHAnsi" w:cstheme="minorBidi"/>
          <w:szCs w:val="22"/>
        </w:rPr>
      </w:pPr>
      <w:r>
        <w:t>75.</w:t>
      </w:r>
      <w:r>
        <w:tab/>
        <w:t>When person acquires partnership interest</w:t>
      </w:r>
      <w:r>
        <w:tab/>
      </w:r>
      <w:r>
        <w:fldChar w:fldCharType="begin"/>
      </w:r>
      <w:r>
        <w:instrText xml:space="preserve"> PAGEREF _Toc413847138 \h </w:instrText>
      </w:r>
      <w:r>
        <w:fldChar w:fldCharType="separate"/>
      </w:r>
      <w:r>
        <w:t>67</w:t>
      </w:r>
      <w:r>
        <w:fldChar w:fldCharType="end"/>
      </w:r>
    </w:p>
    <w:p>
      <w:pPr>
        <w:pStyle w:val="TOC8"/>
        <w:rPr>
          <w:rFonts w:asciiTheme="minorHAnsi" w:eastAsiaTheme="minorEastAsia" w:hAnsiTheme="minorHAnsi" w:cstheme="minorBidi"/>
          <w:szCs w:val="22"/>
        </w:rPr>
      </w:pPr>
      <w:r>
        <w:t>76.</w:t>
      </w:r>
      <w:r>
        <w:tab/>
        <w:t>Partnership acquisition, dutiable value of</w:t>
      </w:r>
      <w:r>
        <w:tab/>
      </w:r>
      <w:r>
        <w:fldChar w:fldCharType="begin"/>
      </w:r>
      <w:r>
        <w:instrText xml:space="preserve"> PAGEREF _Toc413847139 \h </w:instrText>
      </w:r>
      <w:r>
        <w:fldChar w:fldCharType="separate"/>
      </w:r>
      <w:r>
        <w:t>67</w:t>
      </w:r>
      <w:r>
        <w:fldChar w:fldCharType="end"/>
      </w:r>
    </w:p>
    <w:p>
      <w:pPr>
        <w:pStyle w:val="TOC8"/>
        <w:rPr>
          <w:rFonts w:asciiTheme="minorHAnsi" w:eastAsiaTheme="minorEastAsia" w:hAnsiTheme="minorHAnsi" w:cstheme="minorBidi"/>
          <w:szCs w:val="22"/>
        </w:rPr>
      </w:pPr>
      <w:r>
        <w:t>77.</w:t>
      </w:r>
      <w:r>
        <w:tab/>
        <w:t>Partnership interest, value of for s. 76(b)</w:t>
      </w:r>
      <w:r>
        <w:tab/>
      </w:r>
      <w:r>
        <w:fldChar w:fldCharType="begin"/>
      </w:r>
      <w:r>
        <w:instrText xml:space="preserve"> PAGEREF _Toc413847140 \h </w:instrText>
      </w:r>
      <w:r>
        <w:fldChar w:fldCharType="separate"/>
      </w:r>
      <w:r>
        <w:t>68</w:t>
      </w:r>
      <w:r>
        <w:fldChar w:fldCharType="end"/>
      </w:r>
    </w:p>
    <w:p>
      <w:pPr>
        <w:pStyle w:val="TOC8"/>
        <w:rPr>
          <w:rFonts w:asciiTheme="minorHAnsi" w:eastAsiaTheme="minorEastAsia" w:hAnsiTheme="minorHAnsi" w:cstheme="minorBidi"/>
          <w:szCs w:val="22"/>
        </w:rPr>
      </w:pPr>
      <w:r>
        <w:t>78.</w:t>
      </w:r>
      <w:r>
        <w:tab/>
        <w:t>Transfer of dutiable property of partnership to retiring partner, dutiable value of</w:t>
      </w:r>
      <w:r>
        <w:tab/>
      </w:r>
      <w:r>
        <w:fldChar w:fldCharType="begin"/>
      </w:r>
      <w:r>
        <w:instrText xml:space="preserve"> PAGEREF _Toc413847141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Division 5 — Western Australian business assets</w:t>
      </w:r>
    </w:p>
    <w:p>
      <w:pPr>
        <w:pStyle w:val="TOC8"/>
        <w:rPr>
          <w:rFonts w:asciiTheme="minorHAnsi" w:eastAsiaTheme="minorEastAsia" w:hAnsiTheme="minorHAnsi" w:cstheme="minorBidi"/>
          <w:szCs w:val="22"/>
        </w:rPr>
      </w:pPr>
      <w:r>
        <w:t>79.</w:t>
      </w:r>
      <w:r>
        <w:tab/>
        <w:t>Terms used</w:t>
      </w:r>
      <w:r>
        <w:tab/>
      </w:r>
      <w:r>
        <w:fldChar w:fldCharType="begin"/>
      </w:r>
      <w:r>
        <w:instrText xml:space="preserve"> PAGEREF _Toc413847143 \h </w:instrText>
      </w:r>
      <w:r>
        <w:fldChar w:fldCharType="separate"/>
      </w:r>
      <w:r>
        <w:t>70</w:t>
      </w:r>
      <w:r>
        <w:fldChar w:fldCharType="end"/>
      </w:r>
    </w:p>
    <w:p>
      <w:pPr>
        <w:pStyle w:val="TOC8"/>
        <w:rPr>
          <w:rFonts w:asciiTheme="minorHAnsi" w:eastAsiaTheme="minorEastAsia" w:hAnsiTheme="minorHAnsi" w:cstheme="minorBidi"/>
          <w:szCs w:val="22"/>
        </w:rPr>
      </w:pPr>
      <w:r>
        <w:t>80.</w:t>
      </w:r>
      <w:r>
        <w:tab/>
        <w:t>Some transactions involving business licences to be taken to be agreements to transfer WA business assets</w:t>
      </w:r>
      <w:r>
        <w:tab/>
      </w:r>
      <w:r>
        <w:fldChar w:fldCharType="begin"/>
      </w:r>
      <w:r>
        <w:instrText xml:space="preserve"> PAGEREF _Toc413847144 \h </w:instrText>
      </w:r>
      <w:r>
        <w:fldChar w:fldCharType="separate"/>
      </w:r>
      <w:r>
        <w:t>73</w:t>
      </w:r>
      <w:r>
        <w:fldChar w:fldCharType="end"/>
      </w:r>
    </w:p>
    <w:p>
      <w:pPr>
        <w:pStyle w:val="TOC8"/>
        <w:rPr>
          <w:rFonts w:asciiTheme="minorHAnsi" w:eastAsiaTheme="minorEastAsia" w:hAnsiTheme="minorHAnsi" w:cstheme="minorBidi"/>
          <w:szCs w:val="22"/>
        </w:rPr>
      </w:pPr>
      <w:r>
        <w:t>81.</w:t>
      </w:r>
      <w:r>
        <w:tab/>
        <w:t>Transactions for particular WA business assets that are not dutiable transactions</w:t>
      </w:r>
      <w:r>
        <w:tab/>
      </w:r>
      <w:r>
        <w:fldChar w:fldCharType="begin"/>
      </w:r>
      <w:r>
        <w:instrText xml:space="preserve"> PAGEREF _Toc413847145 \h </w:instrText>
      </w:r>
      <w:r>
        <w:fldChar w:fldCharType="separate"/>
      </w:r>
      <w:r>
        <w:t>73</w:t>
      </w:r>
      <w:r>
        <w:fldChar w:fldCharType="end"/>
      </w:r>
    </w:p>
    <w:p>
      <w:pPr>
        <w:pStyle w:val="TOC8"/>
        <w:rPr>
          <w:rFonts w:asciiTheme="minorHAnsi" w:eastAsiaTheme="minorEastAsia" w:hAnsiTheme="minorHAnsi" w:cstheme="minorBidi"/>
          <w:szCs w:val="22"/>
        </w:rPr>
      </w:pPr>
      <w:r>
        <w:t>82.</w:t>
      </w:r>
      <w:r>
        <w:tab/>
        <w:t>Dutiable transaction for business asset, dutiable value of</w:t>
      </w:r>
      <w:r>
        <w:tab/>
      </w:r>
      <w:r>
        <w:fldChar w:fldCharType="begin"/>
      </w:r>
      <w:r>
        <w:instrText xml:space="preserve"> PAGEREF _Toc413847146 \h </w:instrText>
      </w:r>
      <w:r>
        <w:fldChar w:fldCharType="separate"/>
      </w:r>
      <w:r>
        <w:t>74</w:t>
      </w:r>
      <w:r>
        <w:fldChar w:fldCharType="end"/>
      </w:r>
    </w:p>
    <w:p>
      <w:pPr>
        <w:pStyle w:val="TOC8"/>
        <w:rPr>
          <w:rFonts w:asciiTheme="minorHAnsi" w:eastAsiaTheme="minorEastAsia" w:hAnsiTheme="minorHAnsi" w:cstheme="minorBidi"/>
          <w:szCs w:val="22"/>
        </w:rPr>
      </w:pPr>
      <w:r>
        <w:t>83.</w:t>
      </w:r>
      <w:r>
        <w:tab/>
        <w:t>Certain business licences required by Cwlth law, dutiable value of for s. 82(a)</w:t>
      </w:r>
      <w:r>
        <w:tab/>
      </w:r>
      <w:r>
        <w:fldChar w:fldCharType="begin"/>
      </w:r>
      <w:r>
        <w:instrText xml:space="preserve"> PAGEREF _Toc413847147 \h </w:instrText>
      </w:r>
      <w:r>
        <w:fldChar w:fldCharType="separate"/>
      </w:r>
      <w:r>
        <w:t>75</w:t>
      </w:r>
      <w:r>
        <w:fldChar w:fldCharType="end"/>
      </w:r>
    </w:p>
    <w:p>
      <w:pPr>
        <w:pStyle w:val="TOC8"/>
        <w:rPr>
          <w:rFonts w:asciiTheme="minorHAnsi" w:eastAsiaTheme="minorEastAsia" w:hAnsiTheme="minorHAnsi" w:cstheme="minorBidi"/>
          <w:szCs w:val="22"/>
        </w:rPr>
      </w:pPr>
      <w:r>
        <w:t>84.</w:t>
      </w:r>
      <w:r>
        <w:tab/>
        <w:t>Business licences required by WA law, dutiable value of for s. 82(b)</w:t>
      </w:r>
      <w:r>
        <w:tab/>
      </w:r>
      <w:r>
        <w:fldChar w:fldCharType="begin"/>
      </w:r>
      <w:r>
        <w:instrText xml:space="preserve"> PAGEREF _Toc413847148 \h </w:instrText>
      </w:r>
      <w:r>
        <w:fldChar w:fldCharType="separate"/>
      </w:r>
      <w:r>
        <w:t>75</w:t>
      </w:r>
      <w:r>
        <w:fldChar w:fldCharType="end"/>
      </w:r>
    </w:p>
    <w:p>
      <w:pPr>
        <w:pStyle w:val="TOC8"/>
        <w:rPr>
          <w:rFonts w:asciiTheme="minorHAnsi" w:eastAsiaTheme="minorEastAsia" w:hAnsiTheme="minorHAnsi" w:cstheme="minorBidi"/>
          <w:szCs w:val="22"/>
        </w:rPr>
      </w:pPr>
      <w:r>
        <w:t>85.</w:t>
      </w:r>
      <w:r>
        <w:tab/>
        <w:t>Dutiable value of business asset where principal place of business is in WA</w:t>
      </w:r>
      <w:r>
        <w:tab/>
      </w:r>
      <w:r>
        <w:fldChar w:fldCharType="begin"/>
      </w:r>
      <w:r>
        <w:instrText xml:space="preserve"> PAGEREF _Toc413847149 \h </w:instrText>
      </w:r>
      <w:r>
        <w:fldChar w:fldCharType="separate"/>
      </w:r>
      <w:r>
        <w:t>75</w:t>
      </w:r>
      <w:r>
        <w:fldChar w:fldCharType="end"/>
      </w:r>
    </w:p>
    <w:p>
      <w:pPr>
        <w:pStyle w:val="TOC8"/>
        <w:rPr>
          <w:rFonts w:asciiTheme="minorHAnsi" w:eastAsiaTheme="minorEastAsia" w:hAnsiTheme="minorHAnsi" w:cstheme="minorBidi"/>
          <w:szCs w:val="22"/>
        </w:rPr>
      </w:pPr>
      <w:r>
        <w:t>86.</w:t>
      </w:r>
      <w:r>
        <w:tab/>
        <w:t>Dutiable value of business asset where principal place of business is out of WA</w:t>
      </w:r>
      <w:r>
        <w:tab/>
      </w:r>
      <w:r>
        <w:fldChar w:fldCharType="begin"/>
      </w:r>
      <w:r>
        <w:instrText xml:space="preserve"> PAGEREF _Toc413847150 \h </w:instrText>
      </w:r>
      <w:r>
        <w:fldChar w:fldCharType="separate"/>
      </w:r>
      <w:r>
        <w:t>76</w:t>
      </w:r>
      <w:r>
        <w:fldChar w:fldCharType="end"/>
      </w:r>
    </w:p>
    <w:p>
      <w:pPr>
        <w:pStyle w:val="TOC6"/>
        <w:tabs>
          <w:tab w:val="right" w:leader="dot" w:pos="7077"/>
        </w:tabs>
        <w:rPr>
          <w:rFonts w:asciiTheme="minorHAnsi" w:eastAsiaTheme="minorEastAsia" w:hAnsiTheme="minorHAnsi" w:cstheme="minorBidi"/>
          <w:b w:val="0"/>
          <w:sz w:val="22"/>
          <w:szCs w:val="22"/>
        </w:rPr>
      </w:pPr>
      <w:r>
        <w:t>Division 6 — Conditional agreements</w:t>
      </w:r>
    </w:p>
    <w:p>
      <w:pPr>
        <w:pStyle w:val="TOC8"/>
        <w:rPr>
          <w:rFonts w:asciiTheme="minorHAnsi" w:eastAsiaTheme="minorEastAsia" w:hAnsiTheme="minorHAnsi" w:cstheme="minorBidi"/>
          <w:szCs w:val="22"/>
        </w:rPr>
      </w:pPr>
      <w:r>
        <w:t>87.</w:t>
      </w:r>
      <w:r>
        <w:tab/>
        <w:t>References to conditional agreement</w:t>
      </w:r>
      <w:r>
        <w:tab/>
      </w:r>
      <w:r>
        <w:fldChar w:fldCharType="begin"/>
      </w:r>
      <w:r>
        <w:instrText xml:space="preserve"> PAGEREF _Toc413847152 \h </w:instrText>
      </w:r>
      <w:r>
        <w:fldChar w:fldCharType="separate"/>
      </w:r>
      <w:r>
        <w:t>77</w:t>
      </w:r>
      <w:r>
        <w:fldChar w:fldCharType="end"/>
      </w:r>
    </w:p>
    <w:p>
      <w:pPr>
        <w:pStyle w:val="TOC8"/>
        <w:rPr>
          <w:rFonts w:asciiTheme="minorHAnsi" w:eastAsiaTheme="minorEastAsia" w:hAnsiTheme="minorHAnsi" w:cstheme="minorBidi"/>
          <w:szCs w:val="22"/>
        </w:rPr>
      </w:pPr>
      <w:r>
        <w:t>88A.</w:t>
      </w:r>
      <w:r>
        <w:tab/>
        <w:t>General conditional agreements, no duty on if terminated on relevant grounds</w:t>
      </w:r>
      <w:r>
        <w:tab/>
      </w:r>
      <w:r>
        <w:fldChar w:fldCharType="begin"/>
      </w:r>
      <w:r>
        <w:instrText xml:space="preserve"> PAGEREF _Toc413847153 \h </w:instrText>
      </w:r>
      <w:r>
        <w:fldChar w:fldCharType="separate"/>
      </w:r>
      <w:r>
        <w:t>81</w:t>
      </w:r>
      <w:r>
        <w:fldChar w:fldCharType="end"/>
      </w:r>
    </w:p>
    <w:p>
      <w:pPr>
        <w:pStyle w:val="TOC8"/>
        <w:rPr>
          <w:rFonts w:asciiTheme="minorHAnsi" w:eastAsiaTheme="minorEastAsia" w:hAnsiTheme="minorHAnsi" w:cstheme="minorBidi"/>
          <w:szCs w:val="22"/>
        </w:rPr>
      </w:pPr>
      <w:r>
        <w:t>88.</w:t>
      </w:r>
      <w:r>
        <w:tab/>
        <w:t>References to farming land conditional agreement</w:t>
      </w:r>
      <w:r>
        <w:tab/>
      </w:r>
      <w:r>
        <w:fldChar w:fldCharType="begin"/>
      </w:r>
      <w:r>
        <w:instrText xml:space="preserve"> PAGEREF _Toc413847154 \h </w:instrText>
      </w:r>
      <w:r>
        <w:fldChar w:fldCharType="separate"/>
      </w:r>
      <w:r>
        <w:t>82</w:t>
      </w:r>
      <w:r>
        <w:fldChar w:fldCharType="end"/>
      </w:r>
    </w:p>
    <w:p>
      <w:pPr>
        <w:pStyle w:val="TOC8"/>
        <w:rPr>
          <w:rFonts w:asciiTheme="minorHAnsi" w:eastAsiaTheme="minorEastAsia" w:hAnsiTheme="minorHAnsi" w:cstheme="minorBidi"/>
          <w:szCs w:val="22"/>
        </w:rPr>
      </w:pPr>
      <w:r>
        <w:t>89.</w:t>
      </w:r>
      <w:r>
        <w:tab/>
        <w:t>References to mining tenement conditional agreement</w:t>
      </w:r>
      <w:r>
        <w:tab/>
      </w:r>
      <w:r>
        <w:fldChar w:fldCharType="begin"/>
      </w:r>
      <w:r>
        <w:instrText xml:space="preserve"> PAGEREF _Toc413847155 \h </w:instrText>
      </w:r>
      <w:r>
        <w:fldChar w:fldCharType="separate"/>
      </w:r>
      <w:r>
        <w:t>82</w:t>
      </w:r>
      <w:r>
        <w:fldChar w:fldCharType="end"/>
      </w:r>
    </w:p>
    <w:p>
      <w:pPr>
        <w:pStyle w:val="TOC8"/>
        <w:rPr>
          <w:rFonts w:asciiTheme="minorHAnsi" w:eastAsiaTheme="minorEastAsia" w:hAnsiTheme="minorHAnsi" w:cstheme="minorBidi"/>
          <w:szCs w:val="22"/>
        </w:rPr>
      </w:pPr>
      <w:r>
        <w:t>90.</w:t>
      </w:r>
      <w:r>
        <w:tab/>
        <w:t>References to issue of title conditional agreement</w:t>
      </w:r>
      <w:r>
        <w:tab/>
      </w:r>
      <w:r>
        <w:fldChar w:fldCharType="begin"/>
      </w:r>
      <w:r>
        <w:instrText xml:space="preserve"> PAGEREF _Toc413847156 \h </w:instrText>
      </w:r>
      <w:r>
        <w:fldChar w:fldCharType="separate"/>
      </w:r>
      <w:r>
        <w:t>82</w:t>
      </w:r>
      <w:r>
        <w:fldChar w:fldCharType="end"/>
      </w:r>
    </w:p>
    <w:p>
      <w:pPr>
        <w:pStyle w:val="TOC8"/>
        <w:rPr>
          <w:rFonts w:asciiTheme="minorHAnsi" w:eastAsiaTheme="minorEastAsia" w:hAnsiTheme="minorHAnsi" w:cstheme="minorBidi"/>
          <w:szCs w:val="22"/>
        </w:rPr>
      </w:pPr>
      <w:r>
        <w:t>91.</w:t>
      </w:r>
      <w:r>
        <w:tab/>
        <w:t>References to subdivision conditional agreement</w:t>
      </w:r>
      <w:r>
        <w:tab/>
      </w:r>
      <w:r>
        <w:fldChar w:fldCharType="begin"/>
      </w:r>
      <w:r>
        <w:instrText xml:space="preserve"> PAGEREF _Toc413847157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Part 6 — Exemptions, nominal duty and concessions</w:t>
      </w:r>
    </w:p>
    <w:p>
      <w:pPr>
        <w:pStyle w:val="TOC6"/>
        <w:tabs>
          <w:tab w:val="right" w:leader="dot" w:pos="7077"/>
        </w:tabs>
        <w:rPr>
          <w:rFonts w:asciiTheme="minorHAnsi" w:eastAsiaTheme="minorEastAsia" w:hAnsiTheme="minorHAnsi" w:cstheme="minorBidi"/>
          <w:b w:val="0"/>
          <w:sz w:val="22"/>
          <w:szCs w:val="22"/>
        </w:rPr>
      </w:pPr>
      <w:r>
        <w:t>Division 1 — Exemptions</w:t>
      </w:r>
    </w:p>
    <w:p>
      <w:pPr>
        <w:pStyle w:val="TOC8"/>
        <w:rPr>
          <w:rFonts w:asciiTheme="minorHAnsi" w:eastAsiaTheme="minorEastAsia" w:hAnsiTheme="minorHAnsi" w:cstheme="minorBidi"/>
          <w:szCs w:val="22"/>
        </w:rPr>
      </w:pPr>
      <w:r>
        <w:t>92.</w:t>
      </w:r>
      <w:r>
        <w:tab/>
        <w:t>Public authorities, declaration of as exempt bodies</w:t>
      </w:r>
      <w:r>
        <w:tab/>
      </w:r>
      <w:r>
        <w:fldChar w:fldCharType="begin"/>
      </w:r>
      <w:r>
        <w:instrText xml:space="preserve"> PAGEREF _Toc413847160 \h </w:instrText>
      </w:r>
      <w:r>
        <w:fldChar w:fldCharType="separate"/>
      </w:r>
      <w:r>
        <w:t>83</w:t>
      </w:r>
      <w:r>
        <w:fldChar w:fldCharType="end"/>
      </w:r>
    </w:p>
    <w:p>
      <w:pPr>
        <w:pStyle w:val="TOC8"/>
        <w:rPr>
          <w:rFonts w:asciiTheme="minorHAnsi" w:eastAsiaTheme="minorEastAsia" w:hAnsiTheme="minorHAnsi" w:cstheme="minorBidi"/>
          <w:szCs w:val="22"/>
        </w:rPr>
      </w:pPr>
      <w:r>
        <w:t>93.</w:t>
      </w:r>
      <w:r>
        <w:tab/>
        <w:t>Transactions for which exempt body would be solely liable</w:t>
      </w:r>
      <w:r>
        <w:tab/>
      </w:r>
      <w:r>
        <w:fldChar w:fldCharType="begin"/>
      </w:r>
      <w:r>
        <w:instrText xml:space="preserve"> PAGEREF _Toc413847161 \h </w:instrText>
      </w:r>
      <w:r>
        <w:fldChar w:fldCharType="separate"/>
      </w:r>
      <w:r>
        <w:t>83</w:t>
      </w:r>
      <w:r>
        <w:fldChar w:fldCharType="end"/>
      </w:r>
    </w:p>
    <w:p>
      <w:pPr>
        <w:pStyle w:val="TOC8"/>
        <w:rPr>
          <w:rFonts w:asciiTheme="minorHAnsi" w:eastAsiaTheme="minorEastAsia" w:hAnsiTheme="minorHAnsi" w:cstheme="minorBidi"/>
          <w:szCs w:val="22"/>
        </w:rPr>
      </w:pPr>
      <w:r>
        <w:t>94.</w:t>
      </w:r>
      <w:r>
        <w:tab/>
        <w:t>Transactions for which exempt body and another party would be liable, duty reduction for etc.</w:t>
      </w:r>
      <w:r>
        <w:tab/>
      </w:r>
      <w:r>
        <w:fldChar w:fldCharType="begin"/>
      </w:r>
      <w:r>
        <w:instrText xml:space="preserve"> PAGEREF _Toc413847162 \h </w:instrText>
      </w:r>
      <w:r>
        <w:fldChar w:fldCharType="separate"/>
      </w:r>
      <w:r>
        <w:t>83</w:t>
      </w:r>
      <w:r>
        <w:fldChar w:fldCharType="end"/>
      </w:r>
    </w:p>
    <w:p>
      <w:pPr>
        <w:pStyle w:val="TOC8"/>
        <w:rPr>
          <w:rFonts w:asciiTheme="minorHAnsi" w:eastAsiaTheme="minorEastAsia" w:hAnsiTheme="minorHAnsi" w:cstheme="minorBidi"/>
          <w:szCs w:val="22"/>
        </w:rPr>
      </w:pPr>
      <w:r>
        <w:t>95.</w:t>
      </w:r>
      <w:r>
        <w:tab/>
        <w:t>Transactions for charitable etc. purposes</w:t>
      </w:r>
      <w:r>
        <w:tab/>
      </w:r>
      <w:r>
        <w:fldChar w:fldCharType="begin"/>
      </w:r>
      <w:r>
        <w:instrText xml:space="preserve"> PAGEREF _Toc413847163 \h </w:instrText>
      </w:r>
      <w:r>
        <w:fldChar w:fldCharType="separate"/>
      </w:r>
      <w:r>
        <w:t>84</w:t>
      </w:r>
      <w:r>
        <w:fldChar w:fldCharType="end"/>
      </w:r>
    </w:p>
    <w:p>
      <w:pPr>
        <w:pStyle w:val="TOC8"/>
        <w:rPr>
          <w:rFonts w:asciiTheme="minorHAnsi" w:eastAsiaTheme="minorEastAsia" w:hAnsiTheme="minorHAnsi" w:cstheme="minorBidi"/>
          <w:szCs w:val="22"/>
        </w:rPr>
      </w:pPr>
      <w:r>
        <w:t>96A.</w:t>
      </w:r>
      <w:r>
        <w:tab/>
        <w:t>What is a relevant body</w:t>
      </w:r>
      <w:r>
        <w:tab/>
      </w:r>
      <w:r>
        <w:fldChar w:fldCharType="begin"/>
      </w:r>
      <w:r>
        <w:instrText xml:space="preserve"> PAGEREF _Toc413847164 \h </w:instrText>
      </w:r>
      <w:r>
        <w:fldChar w:fldCharType="separate"/>
      </w:r>
      <w:r>
        <w:t>85</w:t>
      </w:r>
      <w:r>
        <w:fldChar w:fldCharType="end"/>
      </w:r>
    </w:p>
    <w:p>
      <w:pPr>
        <w:pStyle w:val="TOC8"/>
        <w:rPr>
          <w:rFonts w:asciiTheme="minorHAnsi" w:eastAsiaTheme="minorEastAsia" w:hAnsiTheme="minorHAnsi" w:cstheme="minorBidi"/>
          <w:szCs w:val="22"/>
        </w:rPr>
      </w:pPr>
      <w:r>
        <w:t>96B.</w:t>
      </w:r>
      <w:r>
        <w:tab/>
        <w:t>Application for a beneficial body determination</w:t>
      </w:r>
      <w:r>
        <w:tab/>
      </w:r>
      <w:r>
        <w:fldChar w:fldCharType="begin"/>
      </w:r>
      <w:r>
        <w:instrText xml:space="preserve"> PAGEREF _Toc413847165 \h </w:instrText>
      </w:r>
      <w:r>
        <w:fldChar w:fldCharType="separate"/>
      </w:r>
      <w:r>
        <w:t>86</w:t>
      </w:r>
      <w:r>
        <w:fldChar w:fldCharType="end"/>
      </w:r>
    </w:p>
    <w:p>
      <w:pPr>
        <w:pStyle w:val="TOC8"/>
        <w:rPr>
          <w:rFonts w:asciiTheme="minorHAnsi" w:eastAsiaTheme="minorEastAsia" w:hAnsiTheme="minorHAnsi" w:cstheme="minorBidi"/>
          <w:szCs w:val="22"/>
        </w:rPr>
      </w:pPr>
      <w:r>
        <w:t>96C.</w:t>
      </w:r>
      <w:r>
        <w:tab/>
        <w:t>Beneficial body determination</w:t>
      </w:r>
      <w:r>
        <w:tab/>
      </w:r>
      <w:r>
        <w:fldChar w:fldCharType="begin"/>
      </w:r>
      <w:r>
        <w:instrText xml:space="preserve"> PAGEREF _Toc413847166 \h </w:instrText>
      </w:r>
      <w:r>
        <w:fldChar w:fldCharType="separate"/>
      </w:r>
      <w:r>
        <w:t>87</w:t>
      </w:r>
      <w:r>
        <w:fldChar w:fldCharType="end"/>
      </w:r>
    </w:p>
    <w:p>
      <w:pPr>
        <w:pStyle w:val="TOC8"/>
        <w:rPr>
          <w:rFonts w:asciiTheme="minorHAnsi" w:eastAsiaTheme="minorEastAsia" w:hAnsiTheme="minorHAnsi" w:cstheme="minorBidi"/>
          <w:szCs w:val="22"/>
        </w:rPr>
      </w:pPr>
      <w:r>
        <w:t>96.</w:t>
      </w:r>
      <w:r>
        <w:tab/>
        <w:t>Terms used</w:t>
      </w:r>
      <w:r>
        <w:tab/>
      </w:r>
      <w:r>
        <w:fldChar w:fldCharType="begin"/>
      </w:r>
      <w:r>
        <w:instrText xml:space="preserve"> PAGEREF _Toc413847167 \h </w:instrText>
      </w:r>
      <w:r>
        <w:fldChar w:fldCharType="separate"/>
      </w:r>
      <w:r>
        <w:t>89</w:t>
      </w:r>
      <w:r>
        <w:fldChar w:fldCharType="end"/>
      </w:r>
    </w:p>
    <w:p>
      <w:pPr>
        <w:pStyle w:val="TOC8"/>
        <w:rPr>
          <w:rFonts w:asciiTheme="minorHAnsi" w:eastAsiaTheme="minorEastAsia" w:hAnsiTheme="minorHAnsi" w:cstheme="minorBidi"/>
          <w:szCs w:val="22"/>
        </w:rPr>
      </w:pPr>
      <w:r>
        <w:t>97.</w:t>
      </w:r>
      <w:r>
        <w:tab/>
        <w:t>Some transactions between spouses or de facto partners</w:t>
      </w:r>
      <w:r>
        <w:tab/>
      </w:r>
      <w:r>
        <w:fldChar w:fldCharType="begin"/>
      </w:r>
      <w:r>
        <w:instrText xml:space="preserve"> PAGEREF _Toc413847168 \h </w:instrText>
      </w:r>
      <w:r>
        <w:fldChar w:fldCharType="separate"/>
      </w:r>
      <w:r>
        <w:t>90</w:t>
      </w:r>
      <w:r>
        <w:fldChar w:fldCharType="end"/>
      </w:r>
    </w:p>
    <w:p>
      <w:pPr>
        <w:pStyle w:val="TOC8"/>
        <w:rPr>
          <w:rFonts w:asciiTheme="minorHAnsi" w:eastAsiaTheme="minorEastAsia" w:hAnsiTheme="minorHAnsi" w:cstheme="minorBidi"/>
          <w:szCs w:val="22"/>
        </w:rPr>
      </w:pPr>
      <w:r>
        <w:t>98.</w:t>
      </w:r>
      <w:r>
        <w:tab/>
        <w:t>Application for exemption under this Subdivision</w:t>
      </w:r>
      <w:r>
        <w:tab/>
      </w:r>
      <w:r>
        <w:fldChar w:fldCharType="begin"/>
      </w:r>
      <w:r>
        <w:instrText xml:space="preserve"> PAGEREF _Toc413847169 \h </w:instrText>
      </w:r>
      <w:r>
        <w:fldChar w:fldCharType="separate"/>
      </w:r>
      <w:r>
        <w:t>90</w:t>
      </w:r>
      <w:r>
        <w:fldChar w:fldCharType="end"/>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_Toc413847170 \h </w:instrText>
      </w:r>
      <w:r>
        <w:fldChar w:fldCharType="separate"/>
      </w:r>
      <w:r>
        <w:t>91</w:t>
      </w:r>
      <w:r>
        <w:fldChar w:fldCharType="end"/>
      </w:r>
    </w:p>
    <w:p>
      <w:pPr>
        <w:pStyle w:val="TOC8"/>
        <w:rPr>
          <w:rFonts w:asciiTheme="minorHAnsi" w:eastAsiaTheme="minorEastAsia" w:hAnsiTheme="minorHAnsi" w:cstheme="minorBidi"/>
          <w:szCs w:val="22"/>
        </w:rPr>
      </w:pPr>
      <w:r>
        <w:t>100.</w:t>
      </w:r>
      <w:r>
        <w:tab/>
        <w:t>References to family member</w:t>
      </w:r>
      <w:r>
        <w:tab/>
      </w:r>
      <w:r>
        <w:fldChar w:fldCharType="begin"/>
      </w:r>
      <w:r>
        <w:instrText xml:space="preserve"> PAGEREF _Toc413847171 \h </w:instrText>
      </w:r>
      <w:r>
        <w:fldChar w:fldCharType="separate"/>
      </w:r>
      <w:r>
        <w:t>92</w:t>
      </w:r>
      <w:r>
        <w:fldChar w:fldCharType="end"/>
      </w:r>
    </w:p>
    <w:p>
      <w:pPr>
        <w:pStyle w:val="TOC8"/>
        <w:rPr>
          <w:rFonts w:asciiTheme="minorHAnsi" w:eastAsiaTheme="minorEastAsia" w:hAnsiTheme="minorHAnsi" w:cstheme="minorBidi"/>
          <w:szCs w:val="22"/>
        </w:rPr>
      </w:pPr>
      <w:r>
        <w:t>101A.</w:t>
      </w:r>
      <w:r>
        <w:tab/>
        <w:t>References to primary production</w:t>
      </w:r>
      <w:r>
        <w:tab/>
      </w:r>
      <w:r>
        <w:fldChar w:fldCharType="begin"/>
      </w:r>
      <w:r>
        <w:instrText xml:space="preserve"> PAGEREF _Toc413847172 \h </w:instrText>
      </w:r>
      <w:r>
        <w:fldChar w:fldCharType="separate"/>
      </w:r>
      <w:r>
        <w:t>92</w:t>
      </w:r>
      <w:r>
        <w:fldChar w:fldCharType="end"/>
      </w:r>
    </w:p>
    <w:p>
      <w:pPr>
        <w:pStyle w:val="TOC8"/>
        <w:rPr>
          <w:rFonts w:asciiTheme="minorHAnsi" w:eastAsiaTheme="minorEastAsia" w:hAnsiTheme="minorHAnsi" w:cstheme="minorBidi"/>
          <w:szCs w:val="22"/>
        </w:rPr>
      </w:pPr>
      <w:r>
        <w:t>101.</w:t>
      </w:r>
      <w:r>
        <w:tab/>
        <w:t>References to transferee</w:t>
      </w:r>
      <w:r>
        <w:tab/>
      </w:r>
      <w:r>
        <w:fldChar w:fldCharType="begin"/>
      </w:r>
      <w:r>
        <w:instrText xml:space="preserve"> PAGEREF _Toc413847173 \h </w:instrText>
      </w:r>
      <w:r>
        <w:fldChar w:fldCharType="separate"/>
      </w:r>
      <w:r>
        <w:t>93</w:t>
      </w:r>
      <w:r>
        <w:fldChar w:fldCharType="end"/>
      </w:r>
    </w:p>
    <w:p>
      <w:pPr>
        <w:pStyle w:val="TOC8"/>
        <w:rPr>
          <w:rFonts w:asciiTheme="minorHAnsi" w:eastAsiaTheme="minorEastAsia" w:hAnsiTheme="minorHAnsi" w:cstheme="minorBidi"/>
          <w:szCs w:val="22"/>
        </w:rPr>
      </w:pPr>
      <w:r>
        <w:t>102.</w:t>
      </w:r>
      <w:r>
        <w:tab/>
        <w:t>References to exempt family farm transaction</w:t>
      </w:r>
      <w:r>
        <w:tab/>
      </w:r>
      <w:r>
        <w:fldChar w:fldCharType="begin"/>
      </w:r>
      <w:r>
        <w:instrText xml:space="preserve"> PAGEREF _Toc413847174 \h </w:instrText>
      </w:r>
      <w:r>
        <w:fldChar w:fldCharType="separate"/>
      </w:r>
      <w:r>
        <w:t>94</w:t>
      </w:r>
      <w:r>
        <w:fldChar w:fldCharType="end"/>
      </w:r>
    </w:p>
    <w:p>
      <w:pPr>
        <w:pStyle w:val="TOC8"/>
        <w:rPr>
          <w:rFonts w:asciiTheme="minorHAnsi" w:eastAsiaTheme="minorEastAsia" w:hAnsiTheme="minorHAnsi" w:cstheme="minorBidi"/>
          <w:szCs w:val="22"/>
        </w:rPr>
      </w:pPr>
      <w:r>
        <w:t>103.</w:t>
      </w:r>
      <w:r>
        <w:tab/>
        <w:t>Exempt family farm transactions, exemption for</w:t>
      </w:r>
      <w:r>
        <w:tab/>
      </w:r>
      <w:r>
        <w:fldChar w:fldCharType="begin"/>
      </w:r>
      <w:r>
        <w:instrText xml:space="preserve"> PAGEREF _Toc413847175 \h </w:instrText>
      </w:r>
      <w:r>
        <w:fldChar w:fldCharType="separate"/>
      </w:r>
      <w:r>
        <w:t>96</w:t>
      </w:r>
      <w:r>
        <w:fldChar w:fldCharType="end"/>
      </w:r>
    </w:p>
    <w:p>
      <w:pPr>
        <w:pStyle w:val="TOC8"/>
        <w:rPr>
          <w:rFonts w:asciiTheme="minorHAnsi" w:eastAsiaTheme="minorEastAsia" w:hAnsiTheme="minorHAnsi" w:cstheme="minorBidi"/>
          <w:szCs w:val="22"/>
        </w:rPr>
      </w:pPr>
      <w:r>
        <w:t>104.</w:t>
      </w:r>
      <w:r>
        <w:tab/>
        <w:t>No exemption for subsequent transactions for same farming property within 5 years</w:t>
      </w:r>
      <w:r>
        <w:tab/>
      </w:r>
      <w:r>
        <w:fldChar w:fldCharType="begin"/>
      </w:r>
      <w:r>
        <w:instrText xml:space="preserve"> PAGEREF _Toc413847176 \h </w:instrText>
      </w:r>
      <w:r>
        <w:fldChar w:fldCharType="separate"/>
      </w:r>
      <w:r>
        <w:t>96</w:t>
      </w:r>
      <w:r>
        <w:fldChar w:fldCharType="end"/>
      </w:r>
    </w:p>
    <w:p>
      <w:pPr>
        <w:pStyle w:val="TOC8"/>
        <w:rPr>
          <w:rFonts w:asciiTheme="minorHAnsi" w:eastAsiaTheme="minorEastAsia" w:hAnsiTheme="minorHAnsi" w:cstheme="minorBidi"/>
          <w:szCs w:val="22"/>
        </w:rPr>
      </w:pPr>
      <w:r>
        <w:t>105.</w:t>
      </w:r>
      <w:r>
        <w:tab/>
        <w:t>Subsequent liability to duty in certain circumstances</w:t>
      </w:r>
      <w:r>
        <w:tab/>
      </w:r>
      <w:r>
        <w:fldChar w:fldCharType="begin"/>
      </w:r>
      <w:r>
        <w:instrText xml:space="preserve"> PAGEREF _Toc413847177 \h </w:instrText>
      </w:r>
      <w:r>
        <w:fldChar w:fldCharType="separate"/>
      </w:r>
      <w:r>
        <w:t>97</w:t>
      </w:r>
      <w:r>
        <w:fldChar w:fldCharType="end"/>
      </w:r>
    </w:p>
    <w:p>
      <w:pPr>
        <w:pStyle w:val="TOC8"/>
        <w:rPr>
          <w:rFonts w:asciiTheme="minorHAnsi" w:eastAsiaTheme="minorEastAsia" w:hAnsiTheme="minorHAnsi" w:cstheme="minorBidi"/>
          <w:szCs w:val="22"/>
        </w:rPr>
      </w:pPr>
      <w:r>
        <w:t>106.</w:t>
      </w:r>
      <w:r>
        <w:tab/>
        <w:t>Application for an exemption under this Subdivision</w:t>
      </w:r>
      <w:r>
        <w:tab/>
      </w:r>
      <w:r>
        <w:fldChar w:fldCharType="begin"/>
      </w:r>
      <w:r>
        <w:instrText xml:space="preserve"> PAGEREF _Toc413847178 \h </w:instrText>
      </w:r>
      <w:r>
        <w:fldChar w:fldCharType="separate"/>
      </w:r>
      <w:r>
        <w:t>98</w:t>
      </w:r>
      <w:r>
        <w:fldChar w:fldCharType="end"/>
      </w:r>
    </w:p>
    <w:p>
      <w:pPr>
        <w:pStyle w:val="TOC8"/>
        <w:rPr>
          <w:rFonts w:asciiTheme="minorHAnsi" w:eastAsiaTheme="minorEastAsia" w:hAnsiTheme="minorHAnsi" w:cstheme="minorBidi"/>
          <w:szCs w:val="22"/>
        </w:rPr>
      </w:pPr>
      <w:r>
        <w:t>107.</w:t>
      </w:r>
      <w:r>
        <w:tab/>
        <w:t>Cancelled transactions</w:t>
      </w:r>
      <w:r>
        <w:tab/>
      </w:r>
      <w:r>
        <w:fldChar w:fldCharType="begin"/>
      </w:r>
      <w:r>
        <w:instrText xml:space="preserve"> PAGEREF _Toc413847179 \h </w:instrText>
      </w:r>
      <w:r>
        <w:fldChar w:fldCharType="separate"/>
      </w:r>
      <w:r>
        <w:t>98</w:t>
      </w:r>
      <w:r>
        <w:fldChar w:fldCharType="end"/>
      </w:r>
    </w:p>
    <w:p>
      <w:pPr>
        <w:pStyle w:val="TOC8"/>
        <w:rPr>
          <w:rFonts w:asciiTheme="minorHAnsi" w:eastAsiaTheme="minorEastAsia" w:hAnsiTheme="minorHAnsi" w:cstheme="minorBidi"/>
          <w:szCs w:val="22"/>
        </w:rPr>
      </w:pPr>
      <w:r>
        <w:t>108.</w:t>
      </w:r>
      <w:r>
        <w:tab/>
        <w:t>Bankruptcy transactions</w:t>
      </w:r>
      <w:r>
        <w:tab/>
      </w:r>
      <w:r>
        <w:fldChar w:fldCharType="begin"/>
      </w:r>
      <w:r>
        <w:instrText xml:space="preserve"> PAGEREF _Toc413847180 \h </w:instrText>
      </w:r>
      <w:r>
        <w:fldChar w:fldCharType="separate"/>
      </w:r>
      <w:r>
        <w:t>101</w:t>
      </w:r>
      <w:r>
        <w:fldChar w:fldCharType="end"/>
      </w:r>
    </w:p>
    <w:p>
      <w:pPr>
        <w:pStyle w:val="TOC8"/>
        <w:rPr>
          <w:rFonts w:asciiTheme="minorHAnsi" w:eastAsiaTheme="minorEastAsia" w:hAnsiTheme="minorHAnsi" w:cstheme="minorBidi"/>
          <w:szCs w:val="22"/>
        </w:rPr>
      </w:pPr>
      <w:r>
        <w:t>109.</w:t>
      </w:r>
      <w:r>
        <w:tab/>
        <w:t>Transfer etc. to foreign country’s representative etc.</w:t>
      </w:r>
      <w:r>
        <w:tab/>
      </w:r>
      <w:r>
        <w:fldChar w:fldCharType="begin"/>
      </w:r>
      <w:r>
        <w:instrText xml:space="preserve"> PAGEREF _Toc413847181 \h </w:instrText>
      </w:r>
      <w:r>
        <w:fldChar w:fldCharType="separate"/>
      </w:r>
      <w:r>
        <w:t>101</w:t>
      </w:r>
      <w:r>
        <w:fldChar w:fldCharType="end"/>
      </w:r>
    </w:p>
    <w:p>
      <w:pPr>
        <w:pStyle w:val="TOC8"/>
        <w:rPr>
          <w:rFonts w:asciiTheme="minorHAnsi" w:eastAsiaTheme="minorEastAsia" w:hAnsiTheme="minorHAnsi" w:cstheme="minorBidi"/>
          <w:szCs w:val="22"/>
        </w:rPr>
      </w:pPr>
      <w:r>
        <w:t>110.</w:t>
      </w:r>
      <w:r>
        <w:tab/>
      </w:r>
      <w:r>
        <w:rPr>
          <w:i/>
          <w:iCs/>
        </w:rPr>
        <w:t xml:space="preserve">Financial Sector (Business Transfer and Group Restructure) Act 1999 </w:t>
      </w:r>
      <w:r>
        <w:rPr>
          <w:iCs/>
        </w:rPr>
        <w:t>(Cwlth)</w:t>
      </w:r>
      <w:r>
        <w:rPr>
          <w:i/>
          <w:iCs/>
        </w:rPr>
        <w:t xml:space="preserve"> </w:t>
      </w:r>
      <w:r>
        <w:t>Part 4 transactions</w:t>
      </w:r>
      <w:r>
        <w:tab/>
      </w:r>
      <w:r>
        <w:fldChar w:fldCharType="begin"/>
      </w:r>
      <w:r>
        <w:instrText xml:space="preserve"> PAGEREF _Toc413847182 \h </w:instrText>
      </w:r>
      <w:r>
        <w:fldChar w:fldCharType="separate"/>
      </w:r>
      <w:r>
        <w:t>102</w:t>
      </w:r>
      <w:r>
        <w:fldChar w:fldCharType="end"/>
      </w:r>
    </w:p>
    <w:p>
      <w:pPr>
        <w:pStyle w:val="TOC8"/>
        <w:rPr>
          <w:rFonts w:asciiTheme="minorHAnsi" w:eastAsiaTheme="minorEastAsia" w:hAnsiTheme="minorHAnsi" w:cstheme="minorBidi"/>
          <w:szCs w:val="22"/>
        </w:rPr>
      </w:pPr>
      <w:r>
        <w:t>111.</w:t>
      </w:r>
      <w:r>
        <w:tab/>
        <w:t>Special disability trust transactions</w:t>
      </w:r>
      <w:r>
        <w:tab/>
      </w:r>
      <w:r>
        <w:fldChar w:fldCharType="begin"/>
      </w:r>
      <w:r>
        <w:instrText xml:space="preserve"> PAGEREF _Toc413847183 \h </w:instrText>
      </w:r>
      <w:r>
        <w:fldChar w:fldCharType="separate"/>
      </w:r>
      <w:r>
        <w:t>102</w:t>
      </w:r>
      <w:r>
        <w:fldChar w:fldCharType="end"/>
      </w:r>
    </w:p>
    <w:p>
      <w:pPr>
        <w:pStyle w:val="TOC8"/>
        <w:rPr>
          <w:rFonts w:asciiTheme="minorHAnsi" w:eastAsiaTheme="minorEastAsia" w:hAnsiTheme="minorHAnsi" w:cstheme="minorBidi"/>
          <w:szCs w:val="22"/>
        </w:rPr>
      </w:pPr>
      <w:r>
        <w:t>112.</w:t>
      </w:r>
      <w:r>
        <w:tab/>
        <w:t>Some transactions under other Acts</w:t>
      </w:r>
      <w:r>
        <w:tab/>
      </w:r>
      <w:r>
        <w:fldChar w:fldCharType="begin"/>
      </w:r>
      <w:r>
        <w:instrText xml:space="preserve"> PAGEREF _Toc413847184 \h </w:instrText>
      </w:r>
      <w:r>
        <w:fldChar w:fldCharType="separate"/>
      </w:r>
      <w:r>
        <w:t>102</w:t>
      </w:r>
      <w:r>
        <w:fldChar w:fldCharType="end"/>
      </w:r>
    </w:p>
    <w:p>
      <w:pPr>
        <w:pStyle w:val="TOC8"/>
        <w:rPr>
          <w:rFonts w:asciiTheme="minorHAnsi" w:eastAsiaTheme="minorEastAsia" w:hAnsiTheme="minorHAnsi" w:cstheme="minorBidi"/>
          <w:szCs w:val="22"/>
        </w:rPr>
      </w:pPr>
      <w:r>
        <w:t>113.</w:t>
      </w:r>
      <w:r>
        <w:tab/>
        <w:t>Transactions effected by matrimonial instrument or de facto relationship instrument</w:t>
      </w:r>
      <w:r>
        <w:tab/>
      </w:r>
      <w:r>
        <w:fldChar w:fldCharType="begin"/>
      </w:r>
      <w:r>
        <w:instrText xml:space="preserve"> PAGEREF _Toc413847185 \h </w:instrText>
      </w:r>
      <w:r>
        <w:fldChar w:fldCharType="separate"/>
      </w:r>
      <w:r>
        <w:t>104</w:t>
      </w:r>
      <w:r>
        <w:fldChar w:fldCharType="end"/>
      </w:r>
    </w:p>
    <w:p>
      <w:pPr>
        <w:pStyle w:val="TOC6"/>
        <w:tabs>
          <w:tab w:val="right" w:leader="dot" w:pos="7077"/>
        </w:tabs>
        <w:rPr>
          <w:rFonts w:asciiTheme="minorHAnsi" w:eastAsiaTheme="minorEastAsia" w:hAnsiTheme="minorHAnsi" w:cstheme="minorBidi"/>
          <w:b w:val="0"/>
          <w:sz w:val="22"/>
          <w:szCs w:val="22"/>
        </w:rPr>
      </w:pPr>
      <w:r>
        <w:t>Division 2 — Nominal duty</w:t>
      </w:r>
    </w:p>
    <w:p>
      <w:pPr>
        <w:pStyle w:val="TOC8"/>
        <w:rPr>
          <w:rFonts w:asciiTheme="minorHAnsi" w:eastAsiaTheme="minorEastAsia" w:hAnsiTheme="minorHAnsi" w:cstheme="minorBidi"/>
          <w:szCs w:val="22"/>
        </w:rPr>
      </w:pPr>
      <w:r>
        <w:t>114.</w:t>
      </w:r>
      <w:r>
        <w:tab/>
        <w:t>Some transfers etc. on vesting or termination of discretionary trust</w:t>
      </w:r>
      <w:r>
        <w:tab/>
      </w:r>
      <w:r>
        <w:fldChar w:fldCharType="begin"/>
      </w:r>
      <w:r>
        <w:instrText xml:space="preserve"> PAGEREF _Toc413847187 \h </w:instrText>
      </w:r>
      <w:r>
        <w:fldChar w:fldCharType="separate"/>
      </w:r>
      <w:r>
        <w:t>104</w:t>
      </w:r>
      <w:r>
        <w:fldChar w:fldCharType="end"/>
      </w:r>
    </w:p>
    <w:p>
      <w:pPr>
        <w:pStyle w:val="TOC8"/>
        <w:rPr>
          <w:rFonts w:asciiTheme="minorHAnsi" w:eastAsiaTheme="minorEastAsia" w:hAnsiTheme="minorHAnsi" w:cstheme="minorBidi"/>
          <w:szCs w:val="22"/>
        </w:rPr>
      </w:pPr>
      <w:r>
        <w:t>115.</w:t>
      </w:r>
      <w:r>
        <w:tab/>
        <w:t>Some transfers etc. on exercise of power of appointment by trustee of discretionary trust</w:t>
      </w:r>
      <w:r>
        <w:tab/>
      </w:r>
      <w:r>
        <w:fldChar w:fldCharType="begin"/>
      </w:r>
      <w:r>
        <w:instrText xml:space="preserve"> PAGEREF _Toc413847188 \h </w:instrText>
      </w:r>
      <w:r>
        <w:fldChar w:fldCharType="separate"/>
      </w:r>
      <w:r>
        <w:t>105</w:t>
      </w:r>
      <w:r>
        <w:fldChar w:fldCharType="end"/>
      </w:r>
    </w:p>
    <w:p>
      <w:pPr>
        <w:pStyle w:val="TOC8"/>
        <w:rPr>
          <w:rFonts w:asciiTheme="minorHAnsi" w:eastAsiaTheme="minorEastAsia" w:hAnsiTheme="minorHAnsi" w:cstheme="minorBidi"/>
          <w:szCs w:val="22"/>
        </w:rPr>
      </w:pPr>
      <w:r>
        <w:t>116.</w:t>
      </w:r>
      <w:r>
        <w:tab/>
        <w:t>Some transfers etc. of dutiable property to beneficiary</w:t>
      </w:r>
      <w:r>
        <w:tab/>
      </w:r>
      <w:r>
        <w:fldChar w:fldCharType="begin"/>
      </w:r>
      <w:r>
        <w:instrText xml:space="preserve"> PAGEREF _Toc413847189 \h </w:instrText>
      </w:r>
      <w:r>
        <w:fldChar w:fldCharType="separate"/>
      </w:r>
      <w:r>
        <w:t>105</w:t>
      </w:r>
      <w:r>
        <w:fldChar w:fldCharType="end"/>
      </w:r>
    </w:p>
    <w:p>
      <w:pPr>
        <w:pStyle w:val="TOC8"/>
        <w:rPr>
          <w:rFonts w:asciiTheme="minorHAnsi" w:eastAsiaTheme="minorEastAsia" w:hAnsiTheme="minorHAnsi" w:cstheme="minorBidi"/>
          <w:szCs w:val="22"/>
        </w:rPr>
      </w:pPr>
      <w:r>
        <w:t>117.</w:t>
      </w:r>
      <w:r>
        <w:tab/>
        <w:t>Transactions involving apparent purchaser</w:t>
      </w:r>
      <w:r>
        <w:tab/>
      </w:r>
      <w:r>
        <w:fldChar w:fldCharType="begin"/>
      </w:r>
      <w:r>
        <w:instrText xml:space="preserve"> PAGEREF _Toc413847190 \h </w:instrText>
      </w:r>
      <w:r>
        <w:fldChar w:fldCharType="separate"/>
      </w:r>
      <w:r>
        <w:t>106</w:t>
      </w:r>
      <w:r>
        <w:fldChar w:fldCharType="end"/>
      </w:r>
    </w:p>
    <w:p>
      <w:pPr>
        <w:pStyle w:val="TOC8"/>
        <w:rPr>
          <w:rFonts w:asciiTheme="minorHAnsi" w:eastAsiaTheme="minorEastAsia" w:hAnsiTheme="minorHAnsi" w:cstheme="minorBidi"/>
          <w:szCs w:val="22"/>
        </w:rPr>
      </w:pPr>
      <w:r>
        <w:t>118.</w:t>
      </w:r>
      <w:r>
        <w:tab/>
        <w:t>Transfer to and from trustee</w:t>
      </w:r>
      <w:r>
        <w:tab/>
      </w:r>
      <w:r>
        <w:fldChar w:fldCharType="begin"/>
      </w:r>
      <w:r>
        <w:instrText xml:space="preserve"> PAGEREF _Toc413847191 \h </w:instrText>
      </w:r>
      <w:r>
        <w:fldChar w:fldCharType="separate"/>
      </w:r>
      <w:r>
        <w:t>107</w:t>
      </w:r>
      <w:r>
        <w:fldChar w:fldCharType="end"/>
      </w:r>
    </w:p>
    <w:p>
      <w:pPr>
        <w:pStyle w:val="TOC8"/>
        <w:rPr>
          <w:rFonts w:asciiTheme="minorHAnsi" w:eastAsiaTheme="minorEastAsia" w:hAnsiTheme="minorHAnsi" w:cstheme="minorBidi"/>
          <w:szCs w:val="22"/>
        </w:rPr>
      </w:pPr>
      <w:r>
        <w:t>119.</w:t>
      </w:r>
      <w:r>
        <w:tab/>
        <w:t>Transactions related to changes in trustees and managed investment schemes</w:t>
      </w:r>
      <w:r>
        <w:tab/>
      </w:r>
      <w:r>
        <w:fldChar w:fldCharType="begin"/>
      </w:r>
      <w:r>
        <w:instrText xml:space="preserve"> PAGEREF _Toc413847192 \h </w:instrText>
      </w:r>
      <w:r>
        <w:fldChar w:fldCharType="separate"/>
      </w:r>
      <w:r>
        <w:t>108</w:t>
      </w:r>
      <w:r>
        <w:fldChar w:fldCharType="end"/>
      </w:r>
    </w:p>
    <w:p>
      <w:pPr>
        <w:pStyle w:val="TOC8"/>
        <w:rPr>
          <w:rFonts w:asciiTheme="minorHAnsi" w:eastAsiaTheme="minorEastAsia" w:hAnsiTheme="minorHAnsi" w:cstheme="minorBidi"/>
          <w:szCs w:val="22"/>
        </w:rPr>
      </w:pPr>
      <w:r>
        <w:t>120.</w:t>
      </w:r>
      <w:r>
        <w:tab/>
        <w:t>Transfer by way of security</w:t>
      </w:r>
      <w:r>
        <w:tab/>
      </w:r>
      <w:r>
        <w:fldChar w:fldCharType="begin"/>
      </w:r>
      <w:r>
        <w:instrText xml:space="preserve"> PAGEREF _Toc413847193 \h </w:instrText>
      </w:r>
      <w:r>
        <w:fldChar w:fldCharType="separate"/>
      </w:r>
      <w:r>
        <w:t>110</w:t>
      </w:r>
      <w:r>
        <w:fldChar w:fldCharType="end"/>
      </w:r>
    </w:p>
    <w:p>
      <w:pPr>
        <w:pStyle w:val="TOC8"/>
        <w:rPr>
          <w:rFonts w:asciiTheme="minorHAnsi" w:eastAsiaTheme="minorEastAsia" w:hAnsiTheme="minorHAnsi" w:cstheme="minorBidi"/>
          <w:szCs w:val="22"/>
        </w:rPr>
      </w:pPr>
      <w:r>
        <w:t>121.</w:t>
      </w:r>
      <w:r>
        <w:tab/>
        <w:t>Terms used</w:t>
      </w:r>
      <w:r>
        <w:tab/>
      </w:r>
      <w:r>
        <w:fldChar w:fldCharType="begin"/>
      </w:r>
      <w:r>
        <w:instrText xml:space="preserve"> PAGEREF _Toc413847194 \h </w:instrText>
      </w:r>
      <w:r>
        <w:fldChar w:fldCharType="separate"/>
      </w:r>
      <w:r>
        <w:t>110</w:t>
      </w:r>
      <w:r>
        <w:fldChar w:fldCharType="end"/>
      </w:r>
    </w:p>
    <w:p>
      <w:pPr>
        <w:pStyle w:val="TOC8"/>
        <w:rPr>
          <w:rFonts w:asciiTheme="minorHAnsi" w:eastAsiaTheme="minorEastAsia" w:hAnsiTheme="minorHAnsi" w:cstheme="minorBidi"/>
          <w:szCs w:val="22"/>
        </w:rPr>
      </w:pPr>
      <w:r>
        <w:t>122.</w:t>
      </w:r>
      <w:r>
        <w:tab/>
        <w:t>Some transfers etc. of dutiable property to superannuation fund for consideration</w:t>
      </w:r>
      <w:r>
        <w:tab/>
      </w:r>
      <w:r>
        <w:fldChar w:fldCharType="begin"/>
      </w:r>
      <w:r>
        <w:instrText xml:space="preserve"> PAGEREF _Toc413847195 \h </w:instrText>
      </w:r>
      <w:r>
        <w:fldChar w:fldCharType="separate"/>
      </w:r>
      <w:r>
        <w:t>111</w:t>
      </w:r>
      <w:r>
        <w:fldChar w:fldCharType="end"/>
      </w:r>
    </w:p>
    <w:p>
      <w:pPr>
        <w:pStyle w:val="TOC8"/>
        <w:rPr>
          <w:rFonts w:asciiTheme="minorHAnsi" w:eastAsiaTheme="minorEastAsia" w:hAnsiTheme="minorHAnsi" w:cstheme="minorBidi"/>
          <w:szCs w:val="22"/>
        </w:rPr>
      </w:pPr>
      <w:r>
        <w:t>123.</w:t>
      </w:r>
      <w:r>
        <w:tab/>
        <w:t>Subsequent liability in certain circumstances</w:t>
      </w:r>
      <w:r>
        <w:tab/>
      </w:r>
      <w:r>
        <w:fldChar w:fldCharType="begin"/>
      </w:r>
      <w:r>
        <w:instrText xml:space="preserve"> PAGEREF _Toc413847196 \h </w:instrText>
      </w:r>
      <w:r>
        <w:fldChar w:fldCharType="separate"/>
      </w:r>
      <w:r>
        <w:t>112</w:t>
      </w:r>
      <w:r>
        <w:fldChar w:fldCharType="end"/>
      </w:r>
    </w:p>
    <w:p>
      <w:pPr>
        <w:pStyle w:val="TOC8"/>
        <w:rPr>
          <w:rFonts w:asciiTheme="minorHAnsi" w:eastAsiaTheme="minorEastAsia" w:hAnsiTheme="minorHAnsi" w:cstheme="minorBidi"/>
          <w:szCs w:val="22"/>
        </w:rPr>
      </w:pPr>
      <w:r>
        <w:t>124.</w:t>
      </w:r>
      <w:r>
        <w:tab/>
        <w:t>Some transfers etc. of dutiable property to superannuation fund without consideration</w:t>
      </w:r>
      <w:r>
        <w:tab/>
      </w:r>
      <w:r>
        <w:fldChar w:fldCharType="begin"/>
      </w:r>
      <w:r>
        <w:instrText xml:space="preserve"> PAGEREF _Toc413847197 \h </w:instrText>
      </w:r>
      <w:r>
        <w:fldChar w:fldCharType="separate"/>
      </w:r>
      <w:r>
        <w:t>112</w:t>
      </w:r>
      <w:r>
        <w:fldChar w:fldCharType="end"/>
      </w:r>
    </w:p>
    <w:p>
      <w:pPr>
        <w:pStyle w:val="TOC8"/>
        <w:rPr>
          <w:rFonts w:asciiTheme="minorHAnsi" w:eastAsiaTheme="minorEastAsia" w:hAnsiTheme="minorHAnsi" w:cstheme="minorBidi"/>
          <w:szCs w:val="22"/>
        </w:rPr>
      </w:pPr>
      <w:r>
        <w:t>125.</w:t>
      </w:r>
      <w:r>
        <w:tab/>
        <w:t>Transfer from one superannuation fund to another</w:t>
      </w:r>
      <w:r>
        <w:tab/>
      </w:r>
      <w:r>
        <w:fldChar w:fldCharType="begin"/>
      </w:r>
      <w:r>
        <w:instrText xml:space="preserve"> PAGEREF _Toc413847198 \h </w:instrText>
      </w:r>
      <w:r>
        <w:fldChar w:fldCharType="separate"/>
      </w:r>
      <w:r>
        <w:t>113</w:t>
      </w:r>
      <w:r>
        <w:fldChar w:fldCharType="end"/>
      </w:r>
    </w:p>
    <w:p>
      <w:pPr>
        <w:pStyle w:val="TOC8"/>
        <w:rPr>
          <w:rFonts w:asciiTheme="minorHAnsi" w:eastAsiaTheme="minorEastAsia" w:hAnsiTheme="minorHAnsi" w:cstheme="minorBidi"/>
          <w:szCs w:val="22"/>
        </w:rPr>
      </w:pPr>
      <w:r>
        <w:t>126.</w:t>
      </w:r>
      <w:r>
        <w:tab/>
        <w:t>Some transfers etc. of dutiable property between trustees and custodians of superannuation funds</w:t>
      </w:r>
      <w:r>
        <w:tab/>
      </w:r>
      <w:r>
        <w:fldChar w:fldCharType="begin"/>
      </w:r>
      <w:r>
        <w:instrText xml:space="preserve"> PAGEREF _Toc413847199 \h </w:instrText>
      </w:r>
      <w:r>
        <w:fldChar w:fldCharType="separate"/>
      </w:r>
      <w:r>
        <w:t>114</w:t>
      </w:r>
      <w:r>
        <w:fldChar w:fldCharType="end"/>
      </w:r>
    </w:p>
    <w:p>
      <w:pPr>
        <w:pStyle w:val="TOC8"/>
        <w:rPr>
          <w:rFonts w:asciiTheme="minorHAnsi" w:eastAsiaTheme="minorEastAsia" w:hAnsiTheme="minorHAnsi" w:cstheme="minorBidi"/>
          <w:szCs w:val="22"/>
        </w:rPr>
      </w:pPr>
      <w:r>
        <w:t>127.</w:t>
      </w:r>
      <w:r>
        <w:tab/>
        <w:t>Some transfers etc. of dutiable property from superannuation fund to member, dependant or representative</w:t>
      </w:r>
      <w:r>
        <w:tab/>
      </w:r>
      <w:r>
        <w:fldChar w:fldCharType="begin"/>
      </w:r>
      <w:r>
        <w:instrText xml:space="preserve"> PAGEREF _Toc413847200 \h </w:instrText>
      </w:r>
      <w:r>
        <w:fldChar w:fldCharType="separate"/>
      </w:r>
      <w:r>
        <w:t>115</w:t>
      </w:r>
      <w:r>
        <w:fldChar w:fldCharType="end"/>
      </w:r>
    </w:p>
    <w:p>
      <w:pPr>
        <w:pStyle w:val="TOC8"/>
        <w:rPr>
          <w:rFonts w:asciiTheme="minorHAnsi" w:eastAsiaTheme="minorEastAsia" w:hAnsiTheme="minorHAnsi" w:cstheme="minorBidi"/>
          <w:szCs w:val="22"/>
        </w:rPr>
      </w:pPr>
      <w:r>
        <w:t>128.</w:t>
      </w:r>
      <w:r>
        <w:tab/>
        <w:t>Terms used</w:t>
      </w:r>
      <w:r>
        <w:tab/>
      </w:r>
      <w:r>
        <w:fldChar w:fldCharType="begin"/>
      </w:r>
      <w:r>
        <w:instrText xml:space="preserve"> PAGEREF _Toc413847201 \h </w:instrText>
      </w:r>
      <w:r>
        <w:fldChar w:fldCharType="separate"/>
      </w:r>
      <w:r>
        <w:t>116</w:t>
      </w:r>
      <w:r>
        <w:fldChar w:fldCharType="end"/>
      </w:r>
    </w:p>
    <w:p>
      <w:pPr>
        <w:pStyle w:val="TOC8"/>
        <w:rPr>
          <w:rFonts w:asciiTheme="minorHAnsi" w:eastAsiaTheme="minorEastAsia" w:hAnsiTheme="minorHAnsi" w:cstheme="minorBidi"/>
          <w:szCs w:val="22"/>
        </w:rPr>
      </w:pPr>
      <w:r>
        <w:t>129.</w:t>
      </w:r>
      <w:r>
        <w:tab/>
        <w:t>References to matrimonial instrument</w:t>
      </w:r>
      <w:r>
        <w:tab/>
      </w:r>
      <w:r>
        <w:fldChar w:fldCharType="begin"/>
      </w:r>
      <w:r>
        <w:instrText xml:space="preserve"> PAGEREF _Toc413847202 \h </w:instrText>
      </w:r>
      <w:r>
        <w:fldChar w:fldCharType="separate"/>
      </w:r>
      <w:r>
        <w:t>117</w:t>
      </w:r>
      <w:r>
        <w:fldChar w:fldCharType="end"/>
      </w:r>
    </w:p>
    <w:p>
      <w:pPr>
        <w:pStyle w:val="TOC8"/>
        <w:rPr>
          <w:rFonts w:asciiTheme="minorHAnsi" w:eastAsiaTheme="minorEastAsia" w:hAnsiTheme="minorHAnsi" w:cstheme="minorBidi"/>
          <w:szCs w:val="22"/>
        </w:rPr>
      </w:pPr>
      <w:r>
        <w:t>130.</w:t>
      </w:r>
      <w:r>
        <w:tab/>
        <w:t>References to de facto relationship instrument</w:t>
      </w:r>
      <w:r>
        <w:tab/>
      </w:r>
      <w:r>
        <w:fldChar w:fldCharType="begin"/>
      </w:r>
      <w:r>
        <w:instrText xml:space="preserve"> PAGEREF _Toc413847203 \h </w:instrText>
      </w:r>
      <w:r>
        <w:fldChar w:fldCharType="separate"/>
      </w:r>
      <w:r>
        <w:t>117</w:t>
      </w:r>
      <w:r>
        <w:fldChar w:fldCharType="end"/>
      </w:r>
    </w:p>
    <w:p>
      <w:pPr>
        <w:pStyle w:val="TOC8"/>
        <w:rPr>
          <w:rFonts w:asciiTheme="minorHAnsi" w:eastAsiaTheme="minorEastAsia" w:hAnsiTheme="minorHAnsi" w:cstheme="minorBidi"/>
          <w:szCs w:val="22"/>
        </w:rPr>
      </w:pPr>
      <w:r>
        <w:t>131.</w:t>
      </w:r>
      <w:r>
        <w:tab/>
        <w:t>Transactions effected by or in accordance with matrimonial instrument or de facto relationship instrument</w:t>
      </w:r>
      <w:r>
        <w:tab/>
      </w:r>
      <w:r>
        <w:fldChar w:fldCharType="begin"/>
      </w:r>
      <w:r>
        <w:instrText xml:space="preserve"> PAGEREF _Toc413847204 \h </w:instrText>
      </w:r>
      <w:r>
        <w:fldChar w:fldCharType="separate"/>
      </w:r>
      <w:r>
        <w:t>118</w:t>
      </w:r>
      <w:r>
        <w:fldChar w:fldCharType="end"/>
      </w:r>
    </w:p>
    <w:p>
      <w:pPr>
        <w:pStyle w:val="TOC8"/>
        <w:rPr>
          <w:rFonts w:asciiTheme="minorHAnsi" w:eastAsiaTheme="minorEastAsia" w:hAnsiTheme="minorHAnsi" w:cstheme="minorBidi"/>
          <w:szCs w:val="22"/>
        </w:rPr>
      </w:pPr>
      <w:r>
        <w:t>132.</w:t>
      </w:r>
      <w:r>
        <w:tab/>
        <w:t>Transactions becoming ones to which s. 131 applies, reassessment of</w:t>
      </w:r>
      <w:r>
        <w:tab/>
      </w:r>
      <w:r>
        <w:fldChar w:fldCharType="begin"/>
      </w:r>
      <w:r>
        <w:instrText xml:space="preserve"> PAGEREF _Toc413847205 \h </w:instrText>
      </w:r>
      <w:r>
        <w:fldChar w:fldCharType="separate"/>
      </w:r>
      <w:r>
        <w:t>119</w:t>
      </w:r>
      <w:r>
        <w:fldChar w:fldCharType="end"/>
      </w:r>
    </w:p>
    <w:p>
      <w:pPr>
        <w:pStyle w:val="TOC8"/>
        <w:rPr>
          <w:rFonts w:asciiTheme="minorHAnsi" w:eastAsiaTheme="minorEastAsia" w:hAnsiTheme="minorHAnsi" w:cstheme="minorBidi"/>
          <w:szCs w:val="22"/>
        </w:rPr>
      </w:pPr>
      <w:r>
        <w:t>133.</w:t>
      </w:r>
      <w:r>
        <w:tab/>
        <w:t>Evidence as to marriage or de facto relationship</w:t>
      </w:r>
      <w:r>
        <w:tab/>
      </w:r>
      <w:r>
        <w:fldChar w:fldCharType="begin"/>
      </w:r>
      <w:r>
        <w:instrText xml:space="preserve"> PAGEREF _Toc413847206 \h </w:instrText>
      </w:r>
      <w:r>
        <w:fldChar w:fldCharType="separate"/>
      </w:r>
      <w:r>
        <w:t>120</w:t>
      </w:r>
      <w:r>
        <w:fldChar w:fldCharType="end"/>
      </w:r>
    </w:p>
    <w:p>
      <w:pPr>
        <w:pStyle w:val="TOC8"/>
        <w:rPr>
          <w:rFonts w:asciiTheme="minorHAnsi" w:eastAsiaTheme="minorEastAsia" w:hAnsiTheme="minorHAnsi" w:cstheme="minorBidi"/>
          <w:szCs w:val="22"/>
        </w:rPr>
      </w:pPr>
      <w:r>
        <w:t>134.</w:t>
      </w:r>
      <w:r>
        <w:tab/>
        <w:t>Some transfers etc. of certain lots under planning scheme</w:t>
      </w:r>
      <w:r>
        <w:tab/>
      </w:r>
      <w:r>
        <w:fldChar w:fldCharType="begin"/>
      </w:r>
      <w:r>
        <w:instrText xml:space="preserve"> PAGEREF _Toc413847207 \h </w:instrText>
      </w:r>
      <w:r>
        <w:fldChar w:fldCharType="separate"/>
      </w:r>
      <w:r>
        <w:t>120</w:t>
      </w:r>
      <w:r>
        <w:fldChar w:fldCharType="end"/>
      </w:r>
    </w:p>
    <w:p>
      <w:pPr>
        <w:pStyle w:val="TOC8"/>
        <w:rPr>
          <w:rFonts w:asciiTheme="minorHAnsi" w:eastAsiaTheme="minorEastAsia" w:hAnsiTheme="minorHAnsi" w:cstheme="minorBidi"/>
          <w:szCs w:val="22"/>
        </w:rPr>
      </w:pPr>
      <w:r>
        <w:t>135.</w:t>
      </w:r>
      <w:r>
        <w:tab/>
        <w:t>Farm</w:t>
      </w:r>
      <w:r>
        <w:noBreakHyphen/>
        <w:t>in agreements</w:t>
      </w:r>
      <w:r>
        <w:tab/>
      </w:r>
      <w:r>
        <w:fldChar w:fldCharType="begin"/>
      </w:r>
      <w:r>
        <w:instrText xml:space="preserve"> PAGEREF _Toc413847208 \h </w:instrText>
      </w:r>
      <w:r>
        <w:fldChar w:fldCharType="separate"/>
      </w:r>
      <w:r>
        <w:t>120</w:t>
      </w:r>
      <w:r>
        <w:fldChar w:fldCharType="end"/>
      </w:r>
    </w:p>
    <w:p>
      <w:pPr>
        <w:pStyle w:val="TOC8"/>
        <w:rPr>
          <w:rFonts w:asciiTheme="minorHAnsi" w:eastAsiaTheme="minorEastAsia" w:hAnsiTheme="minorHAnsi" w:cstheme="minorBidi"/>
          <w:szCs w:val="22"/>
        </w:rPr>
      </w:pPr>
      <w:r>
        <w:t>136.</w:t>
      </w:r>
      <w:r>
        <w:tab/>
        <w:t xml:space="preserve">Business licences held under </w:t>
      </w:r>
      <w:r>
        <w:rPr>
          <w:i/>
          <w:iCs/>
        </w:rPr>
        <w:t>Fish Resources Management Act 1994</w:t>
      </w:r>
      <w:r>
        <w:tab/>
      </w:r>
      <w:r>
        <w:fldChar w:fldCharType="begin"/>
      </w:r>
      <w:r>
        <w:instrText xml:space="preserve"> PAGEREF _Toc413847209 \h </w:instrText>
      </w:r>
      <w:r>
        <w:fldChar w:fldCharType="separate"/>
      </w:r>
      <w:r>
        <w:t>121</w:t>
      </w:r>
      <w:r>
        <w:fldChar w:fldCharType="end"/>
      </w:r>
    </w:p>
    <w:p>
      <w:pPr>
        <w:pStyle w:val="TOC8"/>
        <w:rPr>
          <w:rFonts w:asciiTheme="minorHAnsi" w:eastAsiaTheme="minorEastAsia" w:hAnsiTheme="minorHAnsi" w:cstheme="minorBidi"/>
          <w:szCs w:val="22"/>
        </w:rPr>
      </w:pPr>
      <w:r>
        <w:t>137.</w:t>
      </w:r>
      <w:r>
        <w:tab/>
        <w:t>Transfers etc. to change joint tenancy to tenancy in common etc.</w:t>
      </w:r>
      <w:r>
        <w:tab/>
      </w:r>
      <w:r>
        <w:fldChar w:fldCharType="begin"/>
      </w:r>
      <w:r>
        <w:instrText xml:space="preserve"> PAGEREF _Toc413847210 \h </w:instrText>
      </w:r>
      <w:r>
        <w:fldChar w:fldCharType="separate"/>
      </w:r>
      <w:r>
        <w:t>121</w:t>
      </w:r>
      <w:r>
        <w:fldChar w:fldCharType="end"/>
      </w:r>
    </w:p>
    <w:p>
      <w:pPr>
        <w:pStyle w:val="TOC8"/>
        <w:rPr>
          <w:rFonts w:asciiTheme="minorHAnsi" w:eastAsiaTheme="minorEastAsia" w:hAnsiTheme="minorHAnsi" w:cstheme="minorBidi"/>
          <w:szCs w:val="22"/>
        </w:rPr>
      </w:pPr>
      <w:r>
        <w:t>138.</w:t>
      </w:r>
      <w:r>
        <w:tab/>
        <w:t>Transactions to correct clerical errors in previous dutiable transactions</w:t>
      </w:r>
      <w:r>
        <w:tab/>
      </w:r>
      <w:r>
        <w:fldChar w:fldCharType="begin"/>
      </w:r>
      <w:r>
        <w:instrText xml:space="preserve"> PAGEREF _Toc413847211 \h </w:instrText>
      </w:r>
      <w:r>
        <w:fldChar w:fldCharType="separate"/>
      </w:r>
      <w:r>
        <w:t>121</w:t>
      </w:r>
      <w:r>
        <w:fldChar w:fldCharType="end"/>
      </w:r>
    </w:p>
    <w:p>
      <w:pPr>
        <w:pStyle w:val="TOC8"/>
        <w:rPr>
          <w:rFonts w:asciiTheme="minorHAnsi" w:eastAsiaTheme="minorEastAsia" w:hAnsiTheme="minorHAnsi" w:cstheme="minorBidi"/>
          <w:szCs w:val="22"/>
        </w:rPr>
      </w:pPr>
      <w:r>
        <w:t>139.</w:t>
      </w:r>
      <w:r>
        <w:tab/>
        <w:t>Some transactions involving deceased estates</w:t>
      </w:r>
      <w:r>
        <w:tab/>
      </w:r>
      <w:r>
        <w:fldChar w:fldCharType="begin"/>
      </w:r>
      <w:r>
        <w:instrText xml:space="preserve"> PAGEREF _Toc413847212 \h </w:instrText>
      </w:r>
      <w:r>
        <w:fldChar w:fldCharType="separate"/>
      </w:r>
      <w:r>
        <w:t>122</w:t>
      </w:r>
      <w:r>
        <w:fldChar w:fldCharType="end"/>
      </w:r>
    </w:p>
    <w:p>
      <w:pPr>
        <w:pStyle w:val="TOC8"/>
        <w:rPr>
          <w:rFonts w:asciiTheme="minorHAnsi" w:eastAsiaTheme="minorEastAsia" w:hAnsiTheme="minorHAnsi" w:cstheme="minorBidi"/>
          <w:szCs w:val="22"/>
        </w:rPr>
      </w:pPr>
      <w:r>
        <w:t>140.</w:t>
      </w:r>
      <w:r>
        <w:tab/>
        <w:t>Prescribed dutiable transactions</w:t>
      </w:r>
      <w:r>
        <w:tab/>
      </w:r>
      <w:r>
        <w:fldChar w:fldCharType="begin"/>
      </w:r>
      <w:r>
        <w:instrText xml:space="preserve"> PAGEREF _Toc413847213 \h </w:instrText>
      </w:r>
      <w:r>
        <w:fldChar w:fldCharType="separate"/>
      </w:r>
      <w:r>
        <w:t>122</w:t>
      </w:r>
      <w:r>
        <w:fldChar w:fldCharType="end"/>
      </w:r>
    </w:p>
    <w:p>
      <w:pPr>
        <w:pStyle w:val="TOC6"/>
        <w:tabs>
          <w:tab w:val="right" w:leader="dot" w:pos="7077"/>
        </w:tabs>
        <w:rPr>
          <w:rFonts w:asciiTheme="minorHAnsi" w:eastAsiaTheme="minorEastAsia" w:hAnsiTheme="minorHAnsi" w:cstheme="minorBidi"/>
          <w:b w:val="0"/>
          <w:sz w:val="22"/>
          <w:szCs w:val="22"/>
        </w:rPr>
      </w:pPr>
      <w:r>
        <w:t>Division 3 — First home owner concessions</w:t>
      </w:r>
    </w:p>
    <w:p>
      <w:pPr>
        <w:pStyle w:val="TOC8"/>
        <w:rPr>
          <w:rFonts w:asciiTheme="minorHAnsi" w:eastAsiaTheme="minorEastAsia" w:hAnsiTheme="minorHAnsi" w:cstheme="minorBidi"/>
          <w:szCs w:val="22"/>
        </w:rPr>
      </w:pPr>
      <w:r>
        <w:t>141.</w:t>
      </w:r>
      <w:r>
        <w:tab/>
        <w:t>Terms used</w:t>
      </w:r>
      <w:r>
        <w:tab/>
      </w:r>
      <w:r>
        <w:fldChar w:fldCharType="begin"/>
      </w:r>
      <w:r>
        <w:instrText xml:space="preserve"> PAGEREF _Toc413847215 \h </w:instrText>
      </w:r>
      <w:r>
        <w:fldChar w:fldCharType="separate"/>
      </w:r>
      <w:r>
        <w:t>123</w:t>
      </w:r>
      <w:r>
        <w:fldChar w:fldCharType="end"/>
      </w:r>
    </w:p>
    <w:p>
      <w:pPr>
        <w:pStyle w:val="TOC8"/>
        <w:rPr>
          <w:rFonts w:asciiTheme="minorHAnsi" w:eastAsiaTheme="minorEastAsia" w:hAnsiTheme="minorHAnsi" w:cstheme="minorBidi"/>
          <w:szCs w:val="22"/>
        </w:rPr>
      </w:pPr>
      <w:r>
        <w:t>142.</w:t>
      </w:r>
      <w:r>
        <w:tab/>
        <w:t>References to FHOG concessional transaction and further FHOG concessional transaction</w:t>
      </w:r>
      <w:r>
        <w:tab/>
      </w:r>
      <w:r>
        <w:fldChar w:fldCharType="begin"/>
      </w:r>
      <w:r>
        <w:instrText xml:space="preserve"> PAGEREF _Toc413847216 \h </w:instrText>
      </w:r>
      <w:r>
        <w:fldChar w:fldCharType="separate"/>
      </w:r>
      <w:r>
        <w:t>123</w:t>
      </w:r>
      <w:r>
        <w:fldChar w:fldCharType="end"/>
      </w:r>
    </w:p>
    <w:p>
      <w:pPr>
        <w:pStyle w:val="TOC8"/>
        <w:rPr>
          <w:rFonts w:asciiTheme="minorHAnsi" w:eastAsiaTheme="minorEastAsia" w:hAnsiTheme="minorHAnsi" w:cstheme="minorBidi"/>
          <w:szCs w:val="22"/>
        </w:rPr>
      </w:pPr>
      <w:r>
        <w:t>143.</w:t>
      </w:r>
      <w:r>
        <w:tab/>
        <w:t>Concessions for first home owners</w:t>
      </w:r>
      <w:r>
        <w:tab/>
      </w:r>
      <w:r>
        <w:fldChar w:fldCharType="begin"/>
      </w:r>
      <w:r>
        <w:instrText xml:space="preserve"> PAGEREF _Toc413847217 \h </w:instrText>
      </w:r>
      <w:r>
        <w:fldChar w:fldCharType="separate"/>
      </w:r>
      <w:r>
        <w:t>125</w:t>
      </w:r>
      <w:r>
        <w:fldChar w:fldCharType="end"/>
      </w:r>
    </w:p>
    <w:p>
      <w:pPr>
        <w:pStyle w:val="TOC8"/>
        <w:rPr>
          <w:rFonts w:asciiTheme="minorHAnsi" w:eastAsiaTheme="minorEastAsia" w:hAnsiTheme="minorHAnsi" w:cstheme="minorBidi"/>
          <w:szCs w:val="22"/>
        </w:rPr>
      </w:pPr>
      <w:r>
        <w:t>144.</w:t>
      </w:r>
      <w:r>
        <w:tab/>
        <w:t>Application for concession under this Division</w:t>
      </w:r>
      <w:r>
        <w:tab/>
      </w:r>
      <w:r>
        <w:fldChar w:fldCharType="begin"/>
      </w:r>
      <w:r>
        <w:instrText xml:space="preserve"> PAGEREF _Toc413847218 \h </w:instrText>
      </w:r>
      <w:r>
        <w:fldChar w:fldCharType="separate"/>
      </w:r>
      <w:r>
        <w:t>126</w:t>
      </w:r>
      <w:r>
        <w:fldChar w:fldCharType="end"/>
      </w:r>
    </w:p>
    <w:p>
      <w:pPr>
        <w:pStyle w:val="TOC8"/>
        <w:rPr>
          <w:rFonts w:asciiTheme="minorHAnsi" w:eastAsiaTheme="minorEastAsia" w:hAnsiTheme="minorHAnsi" w:cstheme="minorBidi"/>
          <w:szCs w:val="22"/>
        </w:rPr>
      </w:pPr>
      <w:r>
        <w:t>145.</w:t>
      </w:r>
      <w:r>
        <w:tab/>
        <w:t>Subsequent liability in certain circumstances</w:t>
      </w:r>
      <w:r>
        <w:tab/>
      </w:r>
      <w:r>
        <w:fldChar w:fldCharType="begin"/>
      </w:r>
      <w:r>
        <w:instrText xml:space="preserve"> PAGEREF _Toc413847219 \h </w:instrText>
      </w:r>
      <w:r>
        <w:fldChar w:fldCharType="separate"/>
      </w:r>
      <w:r>
        <w:t>127</w:t>
      </w:r>
      <w:r>
        <w:fldChar w:fldCharType="end"/>
      </w:r>
    </w:p>
    <w:p>
      <w:pPr>
        <w:pStyle w:val="TOC8"/>
        <w:rPr>
          <w:rFonts w:asciiTheme="minorHAnsi" w:eastAsiaTheme="minorEastAsia" w:hAnsiTheme="minorHAnsi" w:cstheme="minorBidi"/>
          <w:szCs w:val="22"/>
        </w:rPr>
      </w:pPr>
      <w:r>
        <w:t>146.</w:t>
      </w:r>
      <w:r>
        <w:tab/>
        <w:t>Other provisions about first home owner concessions</w:t>
      </w:r>
      <w:r>
        <w:tab/>
      </w:r>
      <w:r>
        <w:fldChar w:fldCharType="begin"/>
      </w:r>
      <w:r>
        <w:instrText xml:space="preserve"> PAGEREF _Toc413847220 \h </w:instrText>
      </w:r>
      <w:r>
        <w:fldChar w:fldCharType="separate"/>
      </w:r>
      <w:r>
        <w:t>127</w:t>
      </w:r>
      <w:r>
        <w:fldChar w:fldCharType="end"/>
      </w:r>
    </w:p>
    <w:p>
      <w:pPr>
        <w:pStyle w:val="TOC6"/>
        <w:tabs>
          <w:tab w:val="right" w:leader="dot" w:pos="7077"/>
        </w:tabs>
        <w:rPr>
          <w:rFonts w:asciiTheme="minorHAnsi" w:eastAsiaTheme="minorEastAsia" w:hAnsiTheme="minorHAnsi" w:cstheme="minorBidi"/>
          <w:b w:val="0"/>
          <w:sz w:val="22"/>
          <w:szCs w:val="22"/>
        </w:rPr>
      </w:pPr>
      <w:r>
        <w:t>Division 4A</w:t>
      </w:r>
      <w:r>
        <w:rPr>
          <w:bCs/>
        </w:rPr>
        <w:t xml:space="preserve"> — </w:t>
      </w:r>
      <w:r>
        <w:t>Residential concession</w:t>
      </w:r>
    </w:p>
    <w:p>
      <w:pPr>
        <w:pStyle w:val="TOC8"/>
        <w:rPr>
          <w:rFonts w:asciiTheme="minorHAnsi" w:eastAsiaTheme="minorEastAsia" w:hAnsiTheme="minorHAnsi" w:cstheme="minorBidi"/>
          <w:szCs w:val="22"/>
        </w:rPr>
      </w:pPr>
      <w:r>
        <w:t>147A.</w:t>
      </w:r>
      <w:r>
        <w:tab/>
        <w:t>Terms used</w:t>
      </w:r>
      <w:r>
        <w:tab/>
      </w:r>
      <w:r>
        <w:fldChar w:fldCharType="begin"/>
      </w:r>
      <w:r>
        <w:instrText xml:space="preserve"> PAGEREF _Toc413847222 \h </w:instrText>
      </w:r>
      <w:r>
        <w:fldChar w:fldCharType="separate"/>
      </w:r>
      <w:r>
        <w:t>128</w:t>
      </w:r>
      <w:r>
        <w:fldChar w:fldCharType="end"/>
      </w:r>
    </w:p>
    <w:p>
      <w:pPr>
        <w:pStyle w:val="TOC8"/>
        <w:rPr>
          <w:rFonts w:asciiTheme="minorHAnsi" w:eastAsiaTheme="minorEastAsia" w:hAnsiTheme="minorHAnsi" w:cstheme="minorBidi"/>
          <w:szCs w:val="22"/>
        </w:rPr>
      </w:pPr>
      <w:r>
        <w:t>147B.</w:t>
      </w:r>
      <w:r>
        <w:tab/>
        <w:t>Term used: eligible transaction</w:t>
      </w:r>
      <w:r>
        <w:tab/>
      </w:r>
      <w:r>
        <w:fldChar w:fldCharType="begin"/>
      </w:r>
      <w:r>
        <w:instrText xml:space="preserve"> PAGEREF _Toc413847223 \h </w:instrText>
      </w:r>
      <w:r>
        <w:fldChar w:fldCharType="separate"/>
      </w:r>
      <w:r>
        <w:t>128</w:t>
      </w:r>
      <w:r>
        <w:fldChar w:fldCharType="end"/>
      </w:r>
    </w:p>
    <w:p>
      <w:pPr>
        <w:pStyle w:val="TOC8"/>
        <w:rPr>
          <w:rFonts w:asciiTheme="minorHAnsi" w:eastAsiaTheme="minorEastAsia" w:hAnsiTheme="minorHAnsi" w:cstheme="minorBidi"/>
          <w:szCs w:val="22"/>
        </w:rPr>
      </w:pPr>
      <w:r>
        <w:t>147C.</w:t>
      </w:r>
      <w:r>
        <w:tab/>
        <w:t>Term used: concessional transaction</w:t>
      </w:r>
      <w:r>
        <w:tab/>
      </w:r>
      <w:r>
        <w:fldChar w:fldCharType="begin"/>
      </w:r>
      <w:r>
        <w:instrText xml:space="preserve"> PAGEREF _Toc413847224 \h </w:instrText>
      </w:r>
      <w:r>
        <w:fldChar w:fldCharType="separate"/>
      </w:r>
      <w:r>
        <w:t>129</w:t>
      </w:r>
      <w:r>
        <w:fldChar w:fldCharType="end"/>
      </w:r>
    </w:p>
    <w:p>
      <w:pPr>
        <w:pStyle w:val="TOC8"/>
        <w:rPr>
          <w:rFonts w:asciiTheme="minorHAnsi" w:eastAsiaTheme="minorEastAsia" w:hAnsiTheme="minorHAnsi" w:cstheme="minorBidi"/>
          <w:szCs w:val="22"/>
        </w:rPr>
      </w:pPr>
      <w:r>
        <w:t>147D.</w:t>
      </w:r>
      <w:r>
        <w:tab/>
        <w:t>Term used: residential property</w:t>
      </w:r>
      <w:r>
        <w:tab/>
      </w:r>
      <w:r>
        <w:fldChar w:fldCharType="begin"/>
      </w:r>
      <w:r>
        <w:instrText xml:space="preserve"> PAGEREF _Toc413847225 \h </w:instrText>
      </w:r>
      <w:r>
        <w:fldChar w:fldCharType="separate"/>
      </w:r>
      <w:r>
        <w:t>129</w:t>
      </w:r>
      <w:r>
        <w:fldChar w:fldCharType="end"/>
      </w:r>
    </w:p>
    <w:p>
      <w:pPr>
        <w:pStyle w:val="TOC8"/>
        <w:rPr>
          <w:rFonts w:asciiTheme="minorHAnsi" w:eastAsiaTheme="minorEastAsia" w:hAnsiTheme="minorHAnsi" w:cstheme="minorBidi"/>
          <w:szCs w:val="22"/>
        </w:rPr>
      </w:pPr>
      <w:r>
        <w:t>147E.</w:t>
      </w:r>
      <w:r>
        <w:tab/>
        <w:t>Concessional rate of duty chargeable on concessional transactions</w:t>
      </w:r>
      <w:r>
        <w:tab/>
      </w:r>
      <w:r>
        <w:fldChar w:fldCharType="begin"/>
      </w:r>
      <w:r>
        <w:instrText xml:space="preserve"> PAGEREF _Toc413847226 \h </w:instrText>
      </w:r>
      <w:r>
        <w:fldChar w:fldCharType="separate"/>
      </w:r>
      <w:r>
        <w:t>129</w:t>
      </w:r>
      <w:r>
        <w:fldChar w:fldCharType="end"/>
      </w:r>
    </w:p>
    <w:p>
      <w:pPr>
        <w:pStyle w:val="TOC8"/>
        <w:rPr>
          <w:rFonts w:asciiTheme="minorHAnsi" w:eastAsiaTheme="minorEastAsia" w:hAnsiTheme="minorHAnsi" w:cstheme="minorBidi"/>
          <w:szCs w:val="22"/>
        </w:rPr>
      </w:pPr>
      <w:r>
        <w:t>147F.</w:t>
      </w:r>
      <w:r>
        <w:tab/>
        <w:t>Eligible transactions to be reassessed if construction of residence begins etc. in certain time</w:t>
      </w:r>
      <w:r>
        <w:tab/>
      </w:r>
      <w:r>
        <w:fldChar w:fldCharType="begin"/>
      </w:r>
      <w:r>
        <w:instrText xml:space="preserve"> PAGEREF _Toc413847227 \h </w:instrText>
      </w:r>
      <w:r>
        <w:fldChar w:fldCharType="separate"/>
      </w:r>
      <w:r>
        <w:t>130</w:t>
      </w:r>
      <w:r>
        <w:fldChar w:fldCharType="end"/>
      </w:r>
    </w:p>
    <w:p>
      <w:pPr>
        <w:pStyle w:val="TOC8"/>
        <w:rPr>
          <w:rFonts w:asciiTheme="minorHAnsi" w:eastAsiaTheme="minorEastAsia" w:hAnsiTheme="minorHAnsi" w:cstheme="minorBidi"/>
          <w:szCs w:val="22"/>
        </w:rPr>
      </w:pPr>
      <w:r>
        <w:t>147G.</w:t>
      </w:r>
      <w:r>
        <w:tab/>
        <w:t>Application for assessment or reassessment at concessional rate</w:t>
      </w:r>
      <w:r>
        <w:tab/>
      </w:r>
      <w:r>
        <w:fldChar w:fldCharType="begin"/>
      </w:r>
      <w:r>
        <w:instrText xml:space="preserve"> PAGEREF _Toc413847228 \h </w:instrText>
      </w:r>
      <w:r>
        <w:fldChar w:fldCharType="separate"/>
      </w:r>
      <w:r>
        <w:t>131</w:t>
      </w:r>
      <w:r>
        <w:fldChar w:fldCharType="end"/>
      </w:r>
    </w:p>
    <w:p>
      <w:pPr>
        <w:pStyle w:val="TOC6"/>
        <w:tabs>
          <w:tab w:val="right" w:leader="dot" w:pos="7077"/>
        </w:tabs>
        <w:rPr>
          <w:rFonts w:asciiTheme="minorHAnsi" w:eastAsiaTheme="minorEastAsia" w:hAnsiTheme="minorHAnsi" w:cstheme="minorBidi"/>
          <w:b w:val="0"/>
          <w:sz w:val="22"/>
          <w:szCs w:val="22"/>
        </w:rPr>
      </w:pPr>
      <w:r>
        <w:t>Division 4 — Residential or business concessions</w:t>
      </w:r>
    </w:p>
    <w:p>
      <w:pPr>
        <w:pStyle w:val="TOC8"/>
        <w:rPr>
          <w:rFonts w:asciiTheme="minorHAnsi" w:eastAsiaTheme="minorEastAsia" w:hAnsiTheme="minorHAnsi" w:cstheme="minorBidi"/>
          <w:szCs w:val="22"/>
        </w:rPr>
      </w:pPr>
      <w:r>
        <w:t>147.</w:t>
      </w:r>
      <w:r>
        <w:tab/>
        <w:t xml:space="preserve">Concessional rates for transactions referred to in </w:t>
      </w:r>
      <w:r>
        <w:rPr>
          <w:i/>
          <w:iCs/>
        </w:rPr>
        <w:t>Stamp Act 1921</w:t>
      </w:r>
      <w:r>
        <w:t xml:space="preserve"> s. 75AE</w:t>
      </w:r>
      <w:r>
        <w:tab/>
      </w:r>
      <w:r>
        <w:fldChar w:fldCharType="begin"/>
      </w:r>
      <w:r>
        <w:instrText xml:space="preserve"> PAGEREF _Toc413847230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Chapter 3 — Landholder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148.</w:t>
      </w:r>
      <w:r>
        <w:tab/>
        <w:t>Terms used</w:t>
      </w:r>
      <w:r>
        <w:tab/>
      </w:r>
      <w:r>
        <w:fldChar w:fldCharType="begin"/>
      </w:r>
      <w:r>
        <w:instrText xml:space="preserve"> PAGEREF _Toc413847233 \h </w:instrText>
      </w:r>
      <w:r>
        <w:fldChar w:fldCharType="separate"/>
      </w:r>
      <w:r>
        <w:t>133</w:t>
      </w:r>
      <w:r>
        <w:fldChar w:fldCharType="end"/>
      </w:r>
    </w:p>
    <w:p>
      <w:pPr>
        <w:pStyle w:val="TOC8"/>
        <w:rPr>
          <w:rFonts w:asciiTheme="minorHAnsi" w:eastAsiaTheme="minorEastAsia" w:hAnsiTheme="minorHAnsi" w:cstheme="minorBidi"/>
          <w:szCs w:val="22"/>
        </w:rPr>
      </w:pPr>
      <w:r>
        <w:t>149.</w:t>
      </w:r>
      <w:r>
        <w:tab/>
        <w:t>Entitlement to land, determining</w:t>
      </w:r>
      <w:r>
        <w:tab/>
      </w:r>
      <w:r>
        <w:fldChar w:fldCharType="begin"/>
      </w:r>
      <w:r>
        <w:instrText xml:space="preserve"> PAGEREF _Toc413847234 \h </w:instrText>
      </w:r>
      <w:r>
        <w:fldChar w:fldCharType="separate"/>
      </w:r>
      <w:r>
        <w:t>134</w:t>
      </w:r>
      <w:r>
        <w:fldChar w:fldCharType="end"/>
      </w:r>
    </w:p>
    <w:p>
      <w:pPr>
        <w:pStyle w:val="TOC8"/>
        <w:rPr>
          <w:rFonts w:asciiTheme="minorHAnsi" w:eastAsiaTheme="minorEastAsia" w:hAnsiTheme="minorHAnsi" w:cstheme="minorBidi"/>
          <w:szCs w:val="22"/>
        </w:rPr>
      </w:pPr>
      <w:r>
        <w:t>150.</w:t>
      </w:r>
      <w:r>
        <w:tab/>
        <w:t>Unencumbered value of land or chattels</w:t>
      </w:r>
      <w:r>
        <w:tab/>
      </w:r>
      <w:r>
        <w:fldChar w:fldCharType="begin"/>
      </w:r>
      <w:r>
        <w:instrText xml:space="preserve"> PAGEREF _Toc413847235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t>Part 2 — Imposition of landholder duty</w:t>
      </w:r>
    </w:p>
    <w:p>
      <w:pPr>
        <w:pStyle w:val="TOC8"/>
        <w:rPr>
          <w:rFonts w:asciiTheme="minorHAnsi" w:eastAsiaTheme="minorEastAsia" w:hAnsiTheme="minorHAnsi" w:cstheme="minorBidi"/>
          <w:szCs w:val="22"/>
        </w:rPr>
      </w:pPr>
      <w:r>
        <w:t>151.</w:t>
      </w:r>
      <w:r>
        <w:tab/>
        <w:t>Landholder duty imposed</w:t>
      </w:r>
      <w:r>
        <w:tab/>
      </w:r>
      <w:r>
        <w:fldChar w:fldCharType="begin"/>
      </w:r>
      <w:r>
        <w:instrText xml:space="preserve"> PAGEREF _Toc413847237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t>Part 3 — Certain key concepts defined and related provisions</w:t>
      </w:r>
    </w:p>
    <w:p>
      <w:pPr>
        <w:pStyle w:val="TOC8"/>
        <w:rPr>
          <w:rFonts w:asciiTheme="minorHAnsi" w:eastAsiaTheme="minorEastAsia" w:hAnsiTheme="minorHAnsi" w:cstheme="minorBidi"/>
          <w:szCs w:val="22"/>
        </w:rPr>
      </w:pPr>
      <w:r>
        <w:t>152.</w:t>
      </w:r>
      <w:r>
        <w:tab/>
        <w:t>References to entity</w:t>
      </w:r>
      <w:r>
        <w:tab/>
      </w:r>
      <w:r>
        <w:fldChar w:fldCharType="begin"/>
      </w:r>
      <w:r>
        <w:instrText xml:space="preserve"> PAGEREF _Toc413847239 \h </w:instrText>
      </w:r>
      <w:r>
        <w:fldChar w:fldCharType="separate"/>
      </w:r>
      <w:r>
        <w:t>136</w:t>
      </w:r>
      <w:r>
        <w:fldChar w:fldCharType="end"/>
      </w:r>
    </w:p>
    <w:p>
      <w:pPr>
        <w:pStyle w:val="TOC8"/>
        <w:rPr>
          <w:rFonts w:asciiTheme="minorHAnsi" w:eastAsiaTheme="minorEastAsia" w:hAnsiTheme="minorHAnsi" w:cstheme="minorBidi"/>
          <w:szCs w:val="22"/>
        </w:rPr>
      </w:pPr>
      <w:r>
        <w:t>153.</w:t>
      </w:r>
      <w:r>
        <w:tab/>
        <w:t>References to interest in landholder or other entity</w:t>
      </w:r>
      <w:r>
        <w:tab/>
      </w:r>
      <w:r>
        <w:fldChar w:fldCharType="begin"/>
      </w:r>
      <w:r>
        <w:instrText xml:space="preserve"> PAGEREF _Toc413847240 \h </w:instrText>
      </w:r>
      <w:r>
        <w:fldChar w:fldCharType="separate"/>
      </w:r>
      <w:r>
        <w:t>136</w:t>
      </w:r>
      <w:r>
        <w:fldChar w:fldCharType="end"/>
      </w:r>
    </w:p>
    <w:p>
      <w:pPr>
        <w:pStyle w:val="TOC8"/>
        <w:rPr>
          <w:rFonts w:asciiTheme="minorHAnsi" w:eastAsiaTheme="minorEastAsia" w:hAnsiTheme="minorHAnsi" w:cstheme="minorBidi"/>
          <w:szCs w:val="22"/>
        </w:rPr>
      </w:pPr>
      <w:r>
        <w:t>154.</w:t>
      </w:r>
      <w:r>
        <w:tab/>
        <w:t>Interest of person in landholder etc., calculating</w:t>
      </w:r>
      <w:r>
        <w:tab/>
      </w:r>
      <w:r>
        <w:fldChar w:fldCharType="begin"/>
      </w:r>
      <w:r>
        <w:instrText xml:space="preserve"> PAGEREF _Toc413847241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Part 4 — Landholders to which this Chapter applies</w:t>
      </w:r>
    </w:p>
    <w:p>
      <w:pPr>
        <w:pStyle w:val="TOC8"/>
        <w:rPr>
          <w:rFonts w:asciiTheme="minorHAnsi" w:eastAsiaTheme="minorEastAsia" w:hAnsiTheme="minorHAnsi" w:cstheme="minorBidi"/>
          <w:szCs w:val="22"/>
        </w:rPr>
      </w:pPr>
      <w:r>
        <w:t>155.</w:t>
      </w:r>
      <w:r>
        <w:tab/>
        <w:t>Which entities are landholders</w:t>
      </w:r>
      <w:r>
        <w:tab/>
      </w:r>
      <w:r>
        <w:fldChar w:fldCharType="begin"/>
      </w:r>
      <w:r>
        <w:instrText xml:space="preserve"> PAGEREF _Toc413847243 \h </w:instrText>
      </w:r>
      <w:r>
        <w:fldChar w:fldCharType="separate"/>
      </w:r>
      <w:r>
        <w:t>138</w:t>
      </w:r>
      <w:r>
        <w:fldChar w:fldCharType="end"/>
      </w:r>
    </w:p>
    <w:p>
      <w:pPr>
        <w:pStyle w:val="TOC8"/>
        <w:rPr>
          <w:rFonts w:asciiTheme="minorHAnsi" w:eastAsiaTheme="minorEastAsia" w:hAnsiTheme="minorHAnsi" w:cstheme="minorBidi"/>
          <w:szCs w:val="22"/>
        </w:rPr>
      </w:pPr>
      <w:r>
        <w:t>156.</w:t>
      </w:r>
      <w:r>
        <w:tab/>
        <w:t>Which entities are linked to an entity</w:t>
      </w:r>
      <w:r>
        <w:tab/>
      </w:r>
      <w:r>
        <w:fldChar w:fldCharType="begin"/>
      </w:r>
      <w:r>
        <w:instrText xml:space="preserve"> PAGEREF _Toc413847244 \h </w:instrText>
      </w:r>
      <w:r>
        <w:fldChar w:fldCharType="separate"/>
      </w:r>
      <w:r>
        <w:t>139</w:t>
      </w:r>
      <w:r>
        <w:fldChar w:fldCharType="end"/>
      </w:r>
    </w:p>
    <w:p>
      <w:pPr>
        <w:pStyle w:val="TOC8"/>
        <w:rPr>
          <w:rFonts w:asciiTheme="minorHAnsi" w:eastAsiaTheme="minorEastAsia" w:hAnsiTheme="minorHAnsi" w:cstheme="minorBidi"/>
          <w:szCs w:val="22"/>
        </w:rPr>
      </w:pPr>
      <w:r>
        <w:t>157.</w:t>
      </w:r>
      <w:r>
        <w:tab/>
        <w:t>Land of linked entity, value of for s. 155</w:t>
      </w:r>
      <w:r>
        <w:tab/>
      </w:r>
      <w:r>
        <w:fldChar w:fldCharType="begin"/>
      </w:r>
      <w:r>
        <w:instrText xml:space="preserve"> PAGEREF _Toc413847245 \h </w:instrText>
      </w:r>
      <w:r>
        <w:fldChar w:fldCharType="separate"/>
      </w:r>
      <w:r>
        <w:t>140</w:t>
      </w:r>
      <w:r>
        <w:fldChar w:fldCharType="end"/>
      </w:r>
    </w:p>
    <w:p>
      <w:pPr>
        <w:pStyle w:val="TOC8"/>
        <w:rPr>
          <w:rFonts w:asciiTheme="minorHAnsi" w:eastAsiaTheme="minorEastAsia" w:hAnsiTheme="minorHAnsi" w:cstheme="minorBidi"/>
          <w:szCs w:val="22"/>
        </w:rPr>
      </w:pPr>
      <w:r>
        <w:t>158.</w:t>
      </w:r>
      <w:r>
        <w:tab/>
        <w:t>Extent of interest in discretionary trust</w:t>
      </w:r>
      <w:r>
        <w:tab/>
      </w:r>
      <w:r>
        <w:fldChar w:fldCharType="begin"/>
      </w:r>
      <w:r>
        <w:instrText xml:space="preserve"> PAGEREF _Toc413847246 \h </w:instrText>
      </w:r>
      <w:r>
        <w:fldChar w:fldCharType="separate"/>
      </w:r>
      <w:r>
        <w:t>141</w:t>
      </w:r>
      <w:r>
        <w:fldChar w:fldCharType="end"/>
      </w:r>
    </w:p>
    <w:p>
      <w:pPr>
        <w:pStyle w:val="TOC8"/>
        <w:rPr>
          <w:rFonts w:asciiTheme="minorHAnsi" w:eastAsiaTheme="minorEastAsia" w:hAnsiTheme="minorHAnsi" w:cstheme="minorBidi"/>
          <w:szCs w:val="22"/>
        </w:rPr>
      </w:pPr>
      <w:r>
        <w:t>159.</w:t>
      </w:r>
      <w:r>
        <w:tab/>
        <w:t>Extent of interest in partnership</w:t>
      </w:r>
      <w:r>
        <w:tab/>
      </w:r>
      <w:r>
        <w:fldChar w:fldCharType="begin"/>
      </w:r>
      <w:r>
        <w:instrText xml:space="preserve"> PAGEREF _Toc413847247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t>Part 5 — Acquisitions to which this Chapter applies</w:t>
      </w:r>
    </w:p>
    <w:p>
      <w:pPr>
        <w:pStyle w:val="TOC6"/>
        <w:tabs>
          <w:tab w:val="right" w:leader="dot" w:pos="7077"/>
        </w:tabs>
        <w:rPr>
          <w:rFonts w:asciiTheme="minorHAnsi" w:eastAsiaTheme="minorEastAsia" w:hAnsiTheme="minorHAnsi" w:cstheme="minorBidi"/>
          <w:b w:val="0"/>
          <w:sz w:val="22"/>
          <w:szCs w:val="22"/>
        </w:rPr>
      </w:pPr>
      <w:r>
        <w:t>Division 1 — Means by which interest acquired</w:t>
      </w:r>
    </w:p>
    <w:p>
      <w:pPr>
        <w:pStyle w:val="TOC8"/>
        <w:rPr>
          <w:rFonts w:asciiTheme="minorHAnsi" w:eastAsiaTheme="minorEastAsia" w:hAnsiTheme="minorHAnsi" w:cstheme="minorBidi"/>
          <w:szCs w:val="22"/>
        </w:rPr>
      </w:pPr>
      <w:r>
        <w:t>160.</w:t>
      </w:r>
      <w:r>
        <w:tab/>
        <w:t>When a person acquires an interest in an entity</w:t>
      </w:r>
      <w:r>
        <w:tab/>
      </w:r>
      <w:r>
        <w:fldChar w:fldCharType="begin"/>
      </w:r>
      <w:r>
        <w:instrText xml:space="preserve"> PAGEREF _Toc413847250 \h </w:instrText>
      </w:r>
      <w:r>
        <w:fldChar w:fldCharType="separate"/>
      </w:r>
      <w:r>
        <w:t>142</w:t>
      </w:r>
      <w:r>
        <w:fldChar w:fldCharType="end"/>
      </w:r>
    </w:p>
    <w:p>
      <w:pPr>
        <w:pStyle w:val="TOC6"/>
        <w:tabs>
          <w:tab w:val="right" w:leader="dot" w:pos="7077"/>
        </w:tabs>
        <w:rPr>
          <w:rFonts w:asciiTheme="minorHAnsi" w:eastAsiaTheme="minorEastAsia" w:hAnsiTheme="minorHAnsi" w:cstheme="minorBidi"/>
          <w:b w:val="0"/>
          <w:sz w:val="22"/>
          <w:szCs w:val="22"/>
        </w:rPr>
      </w:pPr>
      <w:r>
        <w:t>Division 2 — Relevant acquisitions of interests in landholders</w:t>
      </w:r>
    </w:p>
    <w:p>
      <w:pPr>
        <w:pStyle w:val="TOC8"/>
        <w:rPr>
          <w:rFonts w:asciiTheme="minorHAnsi" w:eastAsiaTheme="minorEastAsia" w:hAnsiTheme="minorHAnsi" w:cstheme="minorBidi"/>
          <w:szCs w:val="22"/>
        </w:rPr>
      </w:pPr>
      <w:r>
        <w:t>161.</w:t>
      </w:r>
      <w:r>
        <w:tab/>
        <w:t>Term used: significant interest</w:t>
      </w:r>
      <w:r>
        <w:tab/>
      </w:r>
      <w:r>
        <w:fldChar w:fldCharType="begin"/>
      </w:r>
      <w:r>
        <w:instrText xml:space="preserve"> PAGEREF _Toc413847252 \h </w:instrText>
      </w:r>
      <w:r>
        <w:fldChar w:fldCharType="separate"/>
      </w:r>
      <w:r>
        <w:t>142</w:t>
      </w:r>
      <w:r>
        <w:fldChar w:fldCharType="end"/>
      </w:r>
    </w:p>
    <w:p>
      <w:pPr>
        <w:pStyle w:val="TOC8"/>
        <w:rPr>
          <w:rFonts w:asciiTheme="minorHAnsi" w:eastAsiaTheme="minorEastAsia" w:hAnsiTheme="minorHAnsi" w:cstheme="minorBidi"/>
          <w:szCs w:val="22"/>
        </w:rPr>
      </w:pPr>
      <w:r>
        <w:t>162.</w:t>
      </w:r>
      <w:r>
        <w:tab/>
        <w:t>Related persons: s. 163 and 164</w:t>
      </w:r>
      <w:r>
        <w:tab/>
      </w:r>
      <w:r>
        <w:fldChar w:fldCharType="begin"/>
      </w:r>
      <w:r>
        <w:instrText xml:space="preserve"> PAGEREF _Toc413847253 \h </w:instrText>
      </w:r>
      <w:r>
        <w:fldChar w:fldCharType="separate"/>
      </w:r>
      <w:r>
        <w:t>143</w:t>
      </w:r>
      <w:r>
        <w:fldChar w:fldCharType="end"/>
      </w:r>
    </w:p>
    <w:p>
      <w:pPr>
        <w:pStyle w:val="TOC8"/>
        <w:rPr>
          <w:rFonts w:asciiTheme="minorHAnsi" w:eastAsiaTheme="minorEastAsia" w:hAnsiTheme="minorHAnsi" w:cstheme="minorBidi"/>
          <w:szCs w:val="22"/>
        </w:rPr>
      </w:pPr>
      <w:r>
        <w:t>163.</w:t>
      </w:r>
      <w:r>
        <w:tab/>
        <w:t>Term used: relevant acquisition</w:t>
      </w:r>
      <w:r>
        <w:tab/>
      </w:r>
      <w:r>
        <w:fldChar w:fldCharType="begin"/>
      </w:r>
      <w:r>
        <w:instrText xml:space="preserve"> PAGEREF _Toc413847254 \h </w:instrText>
      </w:r>
      <w:r>
        <w:fldChar w:fldCharType="separate"/>
      </w:r>
      <w:r>
        <w:t>144</w:t>
      </w:r>
      <w:r>
        <w:fldChar w:fldCharType="end"/>
      </w:r>
    </w:p>
    <w:p>
      <w:pPr>
        <w:pStyle w:val="TOC8"/>
        <w:rPr>
          <w:rFonts w:asciiTheme="minorHAnsi" w:eastAsiaTheme="minorEastAsia" w:hAnsiTheme="minorHAnsi" w:cstheme="minorBidi"/>
          <w:szCs w:val="22"/>
        </w:rPr>
      </w:pPr>
      <w:r>
        <w:t>164.</w:t>
      </w:r>
      <w:r>
        <w:tab/>
        <w:t>Term used: relevant acquisition</w:t>
      </w:r>
      <w:r>
        <w:tab/>
      </w:r>
      <w:r>
        <w:fldChar w:fldCharType="begin"/>
      </w:r>
      <w:r>
        <w:instrText xml:space="preserve"> PAGEREF _Toc413847255 \h </w:instrText>
      </w:r>
      <w:r>
        <w:fldChar w:fldCharType="separate"/>
      </w:r>
      <w:r>
        <w:t>145</w:t>
      </w:r>
      <w:r>
        <w:fldChar w:fldCharType="end"/>
      </w:r>
    </w:p>
    <w:p>
      <w:pPr>
        <w:pStyle w:val="TOC8"/>
        <w:rPr>
          <w:rFonts w:asciiTheme="minorHAnsi" w:eastAsiaTheme="minorEastAsia" w:hAnsiTheme="minorHAnsi" w:cstheme="minorBidi"/>
          <w:szCs w:val="22"/>
        </w:rPr>
      </w:pPr>
      <w:r>
        <w:t>165.</w:t>
      </w:r>
      <w:r>
        <w:tab/>
        <w:t>Term used: acquisition</w:t>
      </w:r>
      <w:r>
        <w:tab/>
      </w:r>
      <w:r>
        <w:fldChar w:fldCharType="begin"/>
      </w:r>
      <w:r>
        <w:instrText xml:space="preserve"> PAGEREF _Toc413847256 \h </w:instrText>
      </w:r>
      <w:r>
        <w:fldChar w:fldCharType="separate"/>
      </w:r>
      <w:r>
        <w:t>145</w:t>
      </w:r>
      <w:r>
        <w:fldChar w:fldCharType="end"/>
      </w:r>
    </w:p>
    <w:p>
      <w:pPr>
        <w:pStyle w:val="TOC8"/>
        <w:rPr>
          <w:rFonts w:asciiTheme="minorHAnsi" w:eastAsiaTheme="minorEastAsia" w:hAnsiTheme="minorHAnsi" w:cstheme="minorBidi"/>
          <w:szCs w:val="22"/>
        </w:rPr>
      </w:pPr>
      <w:r>
        <w:t>166.</w:t>
      </w:r>
      <w:r>
        <w:tab/>
        <w:t>Effect of acquisition being exempt</w:t>
      </w:r>
      <w:r>
        <w:tab/>
      </w:r>
      <w:r>
        <w:fldChar w:fldCharType="begin"/>
      </w:r>
      <w:r>
        <w:instrText xml:space="preserve"> PAGEREF _Toc413847257 \h </w:instrText>
      </w:r>
      <w:r>
        <w:fldChar w:fldCharType="separate"/>
      </w:r>
      <w:r>
        <w:t>146</w:t>
      </w:r>
      <w:r>
        <w:fldChar w:fldCharType="end"/>
      </w:r>
    </w:p>
    <w:p>
      <w:pPr>
        <w:pStyle w:val="TOC8"/>
        <w:rPr>
          <w:rFonts w:asciiTheme="minorHAnsi" w:eastAsiaTheme="minorEastAsia" w:hAnsiTheme="minorHAnsi" w:cstheme="minorBidi"/>
          <w:szCs w:val="22"/>
        </w:rPr>
      </w:pPr>
      <w:r>
        <w:t>167.</w:t>
      </w:r>
      <w:r>
        <w:tab/>
        <w:t>Exemption if nominal duty would be chargeable on transfer</w:t>
      </w:r>
      <w:r>
        <w:tab/>
      </w:r>
      <w:r>
        <w:fldChar w:fldCharType="begin"/>
      </w:r>
      <w:r>
        <w:instrText xml:space="preserve"> PAGEREF _Toc413847258 \h </w:instrText>
      </w:r>
      <w:r>
        <w:fldChar w:fldCharType="separate"/>
      </w:r>
      <w:r>
        <w:t>146</w:t>
      </w:r>
      <w:r>
        <w:fldChar w:fldCharType="end"/>
      </w:r>
    </w:p>
    <w:p>
      <w:pPr>
        <w:pStyle w:val="TOC8"/>
        <w:rPr>
          <w:rFonts w:asciiTheme="minorHAnsi" w:eastAsiaTheme="minorEastAsia" w:hAnsiTheme="minorHAnsi" w:cstheme="minorBidi"/>
          <w:szCs w:val="22"/>
        </w:rPr>
      </w:pPr>
      <w:r>
        <w:t>168.</w:t>
      </w:r>
      <w:r>
        <w:tab/>
        <w:t>Exemption if transfer duty would not be chargeable</w:t>
      </w:r>
      <w:r>
        <w:tab/>
      </w:r>
      <w:r>
        <w:fldChar w:fldCharType="begin"/>
      </w:r>
      <w:r>
        <w:instrText xml:space="preserve"> PAGEREF _Toc413847259 \h </w:instrText>
      </w:r>
      <w:r>
        <w:fldChar w:fldCharType="separate"/>
      </w:r>
      <w:r>
        <w:t>147</w:t>
      </w:r>
      <w:r>
        <w:fldChar w:fldCharType="end"/>
      </w:r>
    </w:p>
    <w:p>
      <w:pPr>
        <w:pStyle w:val="TOC8"/>
        <w:rPr>
          <w:rFonts w:asciiTheme="minorHAnsi" w:eastAsiaTheme="minorEastAsia" w:hAnsiTheme="minorHAnsi" w:cstheme="minorBidi"/>
          <w:szCs w:val="22"/>
        </w:rPr>
      </w:pPr>
      <w:r>
        <w:t>169.</w:t>
      </w:r>
      <w:r>
        <w:tab/>
        <w:t>Exemption if acquisition is dutiable under s. 67</w:t>
      </w:r>
      <w:r>
        <w:tab/>
      </w:r>
      <w:r>
        <w:fldChar w:fldCharType="begin"/>
      </w:r>
      <w:r>
        <w:instrText xml:space="preserve"> PAGEREF _Toc413847260 \h </w:instrText>
      </w:r>
      <w:r>
        <w:fldChar w:fldCharType="separate"/>
      </w:r>
      <w:r>
        <w:t>147</w:t>
      </w:r>
      <w:r>
        <w:fldChar w:fldCharType="end"/>
      </w:r>
    </w:p>
    <w:p>
      <w:pPr>
        <w:pStyle w:val="TOC8"/>
        <w:rPr>
          <w:rFonts w:asciiTheme="minorHAnsi" w:eastAsiaTheme="minorEastAsia" w:hAnsiTheme="minorHAnsi" w:cstheme="minorBidi"/>
          <w:szCs w:val="22"/>
        </w:rPr>
      </w:pPr>
      <w:r>
        <w:t>170.</w:t>
      </w:r>
      <w:r>
        <w:tab/>
        <w:t xml:space="preserve">Exemption relating to approved arrangements with creditors under </w:t>
      </w:r>
      <w:r>
        <w:rPr>
          <w:iCs/>
          <w:spacing w:val="-4"/>
          <w:kern w:val="2"/>
        </w:rPr>
        <w:t>Corporations Act</w:t>
      </w:r>
      <w:r>
        <w:tab/>
      </w:r>
      <w:r>
        <w:fldChar w:fldCharType="begin"/>
      </w:r>
      <w:r>
        <w:instrText xml:space="preserve"> PAGEREF _Toc413847261 \h </w:instrText>
      </w:r>
      <w:r>
        <w:fldChar w:fldCharType="separate"/>
      </w:r>
      <w:r>
        <w:t>148</w:t>
      </w:r>
      <w:r>
        <w:fldChar w:fldCharType="end"/>
      </w:r>
    </w:p>
    <w:p>
      <w:pPr>
        <w:pStyle w:val="TOC8"/>
        <w:rPr>
          <w:rFonts w:asciiTheme="minorHAnsi" w:eastAsiaTheme="minorEastAsia" w:hAnsiTheme="minorHAnsi" w:cstheme="minorBidi"/>
          <w:szCs w:val="22"/>
        </w:rPr>
      </w:pPr>
      <w:r>
        <w:t>171.</w:t>
      </w:r>
      <w:r>
        <w:tab/>
        <w:t>Exemption of acquisition by family member of interest in corporation engaged in primary production</w:t>
      </w:r>
      <w:r>
        <w:tab/>
      </w:r>
      <w:r>
        <w:fldChar w:fldCharType="begin"/>
      </w:r>
      <w:r>
        <w:instrText xml:space="preserve"> PAGEREF _Toc413847262 \h </w:instrText>
      </w:r>
      <w:r>
        <w:fldChar w:fldCharType="separate"/>
      </w:r>
      <w:r>
        <w:t>148</w:t>
      </w:r>
      <w:r>
        <w:fldChar w:fldCharType="end"/>
      </w:r>
    </w:p>
    <w:p>
      <w:pPr>
        <w:pStyle w:val="TOC8"/>
        <w:rPr>
          <w:rFonts w:asciiTheme="minorHAnsi" w:eastAsiaTheme="minorEastAsia" w:hAnsiTheme="minorHAnsi" w:cstheme="minorBidi"/>
          <w:szCs w:val="22"/>
        </w:rPr>
      </w:pPr>
      <w:r>
        <w:t>172.</w:t>
      </w:r>
      <w:r>
        <w:tab/>
        <w:t>Calculation of duty where some land of corporation not used for primary production</w:t>
      </w:r>
      <w:r>
        <w:tab/>
      </w:r>
      <w:r>
        <w:fldChar w:fldCharType="begin"/>
      </w:r>
      <w:r>
        <w:instrText xml:space="preserve"> PAGEREF _Toc413847263 \h </w:instrText>
      </w:r>
      <w:r>
        <w:fldChar w:fldCharType="separate"/>
      </w:r>
      <w:r>
        <w:t>149</w:t>
      </w:r>
      <w:r>
        <w:fldChar w:fldCharType="end"/>
      </w:r>
    </w:p>
    <w:p>
      <w:pPr>
        <w:pStyle w:val="TOC8"/>
        <w:rPr>
          <w:rFonts w:asciiTheme="minorHAnsi" w:eastAsiaTheme="minorEastAsia" w:hAnsiTheme="minorHAnsi" w:cstheme="minorBidi"/>
          <w:szCs w:val="22"/>
        </w:rPr>
      </w:pPr>
      <w:r>
        <w:t>173.</w:t>
      </w:r>
      <w:r>
        <w:tab/>
        <w:t>Reversal of exemption where certain changes made to discretionary trust</w:t>
      </w:r>
      <w:r>
        <w:tab/>
      </w:r>
      <w:r>
        <w:fldChar w:fldCharType="begin"/>
      </w:r>
      <w:r>
        <w:instrText xml:space="preserve"> PAGEREF _Toc413847264 \h </w:instrText>
      </w:r>
      <w:r>
        <w:fldChar w:fldCharType="separate"/>
      </w:r>
      <w:r>
        <w:t>149</w:t>
      </w:r>
      <w:r>
        <w:fldChar w:fldCharType="end"/>
      </w:r>
    </w:p>
    <w:p>
      <w:pPr>
        <w:pStyle w:val="TOC8"/>
        <w:rPr>
          <w:rFonts w:asciiTheme="minorHAnsi" w:eastAsiaTheme="minorEastAsia" w:hAnsiTheme="minorHAnsi" w:cstheme="minorBidi"/>
          <w:szCs w:val="22"/>
        </w:rPr>
      </w:pPr>
      <w:r>
        <w:t>174.</w:t>
      </w:r>
      <w:r>
        <w:tab/>
        <w:t>No exemption where interest transferred within 5 years</w:t>
      </w:r>
      <w:r>
        <w:tab/>
      </w:r>
      <w:r>
        <w:fldChar w:fldCharType="begin"/>
      </w:r>
      <w:r>
        <w:instrText xml:space="preserve"> PAGEREF _Toc413847265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Part 6 — Collection of landholder duty</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175.</w:t>
      </w:r>
      <w:r>
        <w:tab/>
        <w:t>Term used: acquirer</w:t>
      </w:r>
      <w:r>
        <w:tab/>
      </w:r>
      <w:r>
        <w:fldChar w:fldCharType="begin"/>
      </w:r>
      <w:r>
        <w:instrText xml:space="preserve"> PAGEREF _Toc413847268 \h </w:instrText>
      </w:r>
      <w:r>
        <w:fldChar w:fldCharType="separate"/>
      </w:r>
      <w:r>
        <w:t>152</w:t>
      </w:r>
      <w:r>
        <w:fldChar w:fldCharType="end"/>
      </w:r>
    </w:p>
    <w:p>
      <w:pPr>
        <w:pStyle w:val="TOC8"/>
        <w:rPr>
          <w:rFonts w:asciiTheme="minorHAnsi" w:eastAsiaTheme="minorEastAsia" w:hAnsiTheme="minorHAnsi" w:cstheme="minorBidi"/>
          <w:szCs w:val="22"/>
        </w:rPr>
      </w:pPr>
      <w:r>
        <w:t>176.</w:t>
      </w:r>
      <w:r>
        <w:tab/>
        <w:t>When acquisition occurs</w:t>
      </w:r>
      <w:r>
        <w:tab/>
      </w:r>
      <w:r>
        <w:fldChar w:fldCharType="begin"/>
      </w:r>
      <w:r>
        <w:instrText xml:space="preserve"> PAGEREF _Toc413847269 \h </w:instrText>
      </w:r>
      <w:r>
        <w:fldChar w:fldCharType="separate"/>
      </w:r>
      <w:r>
        <w:t>152</w:t>
      </w:r>
      <w:r>
        <w:fldChar w:fldCharType="end"/>
      </w:r>
    </w:p>
    <w:p>
      <w:pPr>
        <w:pStyle w:val="TOC8"/>
        <w:rPr>
          <w:rFonts w:asciiTheme="minorHAnsi" w:eastAsiaTheme="minorEastAsia" w:hAnsiTheme="minorHAnsi" w:cstheme="minorBidi"/>
          <w:szCs w:val="22"/>
        </w:rPr>
      </w:pPr>
      <w:r>
        <w:t>177.</w:t>
      </w:r>
      <w:r>
        <w:tab/>
        <w:t>Certain transactions to be treated as agreements</w:t>
      </w:r>
      <w:r>
        <w:tab/>
      </w:r>
      <w:r>
        <w:fldChar w:fldCharType="begin"/>
      </w:r>
      <w:r>
        <w:instrText xml:space="preserve"> PAGEREF _Toc413847270 \h </w:instrText>
      </w:r>
      <w:r>
        <w:fldChar w:fldCharType="separate"/>
      </w:r>
      <w:r>
        <w:t>152</w:t>
      </w:r>
      <w:r>
        <w:fldChar w:fldCharType="end"/>
      </w:r>
    </w:p>
    <w:p>
      <w:pPr>
        <w:pStyle w:val="TOC8"/>
        <w:rPr>
          <w:rFonts w:asciiTheme="minorHAnsi" w:eastAsiaTheme="minorEastAsia" w:hAnsiTheme="minorHAnsi" w:cstheme="minorBidi"/>
          <w:szCs w:val="22"/>
        </w:rPr>
      </w:pPr>
      <w:r>
        <w:t>178.</w:t>
      </w:r>
      <w:r>
        <w:tab/>
        <w:t>Exceptions to s. 177</w:t>
      </w:r>
      <w:r>
        <w:tab/>
      </w:r>
      <w:r>
        <w:fldChar w:fldCharType="begin"/>
      </w:r>
      <w:r>
        <w:instrText xml:space="preserve"> PAGEREF _Toc413847271 \h </w:instrText>
      </w:r>
      <w:r>
        <w:fldChar w:fldCharType="separate"/>
      </w:r>
      <w:r>
        <w:t>154</w:t>
      </w:r>
      <w:r>
        <w:fldChar w:fldCharType="end"/>
      </w:r>
    </w:p>
    <w:p>
      <w:pPr>
        <w:pStyle w:val="TOC6"/>
        <w:tabs>
          <w:tab w:val="right" w:leader="dot" w:pos="7077"/>
        </w:tabs>
        <w:rPr>
          <w:rFonts w:asciiTheme="minorHAnsi" w:eastAsiaTheme="minorEastAsia" w:hAnsiTheme="minorHAnsi" w:cstheme="minorBidi"/>
          <w:b w:val="0"/>
          <w:sz w:val="22"/>
          <w:szCs w:val="22"/>
        </w:rPr>
      </w:pPr>
      <w:r>
        <w:t>Division 2 — Liability</w:t>
      </w:r>
    </w:p>
    <w:p>
      <w:pPr>
        <w:pStyle w:val="TOC8"/>
        <w:rPr>
          <w:rFonts w:asciiTheme="minorHAnsi" w:eastAsiaTheme="minorEastAsia" w:hAnsiTheme="minorHAnsi" w:cstheme="minorBidi"/>
          <w:szCs w:val="22"/>
        </w:rPr>
      </w:pPr>
      <w:r>
        <w:t>179.</w:t>
      </w:r>
      <w:r>
        <w:tab/>
        <w:t>Who is liable to pay duty</w:t>
      </w:r>
      <w:r>
        <w:tab/>
      </w:r>
      <w:r>
        <w:fldChar w:fldCharType="begin"/>
      </w:r>
      <w:r>
        <w:instrText xml:space="preserve"> PAGEREF _Toc413847273 \h </w:instrText>
      </w:r>
      <w:r>
        <w:fldChar w:fldCharType="separate"/>
      </w:r>
      <w:r>
        <w:t>154</w:t>
      </w:r>
      <w:r>
        <w:fldChar w:fldCharType="end"/>
      </w:r>
    </w:p>
    <w:p>
      <w:pPr>
        <w:pStyle w:val="TOC8"/>
        <w:rPr>
          <w:rFonts w:asciiTheme="minorHAnsi" w:eastAsiaTheme="minorEastAsia" w:hAnsiTheme="minorHAnsi" w:cstheme="minorBidi"/>
          <w:szCs w:val="22"/>
        </w:rPr>
      </w:pPr>
      <w:r>
        <w:t>180.</w:t>
      </w:r>
      <w:r>
        <w:tab/>
        <w:t>Application to Commissioner for determination of liability</w:t>
      </w:r>
      <w:r>
        <w:tab/>
      </w:r>
      <w:r>
        <w:fldChar w:fldCharType="begin"/>
      </w:r>
      <w:r>
        <w:instrText xml:space="preserve"> PAGEREF _Toc413847274 \h </w:instrText>
      </w:r>
      <w:r>
        <w:fldChar w:fldCharType="separate"/>
      </w:r>
      <w:r>
        <w:t>155</w:t>
      </w:r>
      <w:r>
        <w:fldChar w:fldCharType="end"/>
      </w:r>
    </w:p>
    <w:p>
      <w:pPr>
        <w:pStyle w:val="TOC8"/>
        <w:rPr>
          <w:rFonts w:asciiTheme="minorHAnsi" w:eastAsiaTheme="minorEastAsia" w:hAnsiTheme="minorHAnsi" w:cstheme="minorBidi"/>
          <w:szCs w:val="22"/>
        </w:rPr>
      </w:pPr>
      <w:r>
        <w:t>181.</w:t>
      </w:r>
      <w:r>
        <w:tab/>
        <w:t>Determination of s. 180 application</w:t>
      </w:r>
      <w:r>
        <w:tab/>
      </w:r>
      <w:r>
        <w:fldChar w:fldCharType="begin"/>
      </w:r>
      <w:r>
        <w:instrText xml:space="preserve"> PAGEREF _Toc413847275 \h </w:instrText>
      </w:r>
      <w:r>
        <w:fldChar w:fldCharType="separate"/>
      </w:r>
      <w:r>
        <w:t>156</w:t>
      </w:r>
      <w:r>
        <w:fldChar w:fldCharType="end"/>
      </w:r>
    </w:p>
    <w:p>
      <w:pPr>
        <w:pStyle w:val="TOC8"/>
        <w:rPr>
          <w:rFonts w:asciiTheme="minorHAnsi" w:eastAsiaTheme="minorEastAsia" w:hAnsiTheme="minorHAnsi" w:cstheme="minorBidi"/>
          <w:szCs w:val="22"/>
        </w:rPr>
      </w:pPr>
      <w:r>
        <w:t>182.</w:t>
      </w:r>
      <w:r>
        <w:tab/>
        <w:t>Powers of Commissioner where further information required for determination of s. 180 application</w:t>
      </w:r>
      <w:r>
        <w:tab/>
      </w:r>
      <w:r>
        <w:fldChar w:fldCharType="begin"/>
      </w:r>
      <w:r>
        <w:instrText xml:space="preserve"> PAGEREF _Toc413847276 \h </w:instrText>
      </w:r>
      <w:r>
        <w:fldChar w:fldCharType="separate"/>
      </w:r>
      <w:r>
        <w:t>156</w:t>
      </w:r>
      <w:r>
        <w:fldChar w:fldCharType="end"/>
      </w:r>
    </w:p>
    <w:p>
      <w:pPr>
        <w:pStyle w:val="TOC6"/>
        <w:tabs>
          <w:tab w:val="right" w:leader="dot" w:pos="7077"/>
        </w:tabs>
        <w:rPr>
          <w:rFonts w:asciiTheme="minorHAnsi" w:eastAsiaTheme="minorEastAsia" w:hAnsiTheme="minorHAnsi" w:cstheme="minorBidi"/>
          <w:b w:val="0"/>
          <w:sz w:val="22"/>
          <w:szCs w:val="22"/>
        </w:rPr>
      </w:pPr>
      <w:r>
        <w:t>Division 3 — Payment of landholder duty</w:t>
      </w:r>
    </w:p>
    <w:p>
      <w:pPr>
        <w:pStyle w:val="TOC8"/>
        <w:rPr>
          <w:rFonts w:asciiTheme="minorHAnsi" w:eastAsiaTheme="minorEastAsia" w:hAnsiTheme="minorHAnsi" w:cstheme="minorBidi"/>
          <w:szCs w:val="22"/>
        </w:rPr>
      </w:pPr>
      <w:r>
        <w:t>183.</w:t>
      </w:r>
      <w:r>
        <w:tab/>
        <w:t>When landholder duty must be paid</w:t>
      </w:r>
      <w:r>
        <w:tab/>
      </w:r>
      <w:r>
        <w:fldChar w:fldCharType="begin"/>
      </w:r>
      <w:r>
        <w:instrText xml:space="preserve"> PAGEREF _Toc413847278 \h </w:instrText>
      </w:r>
      <w:r>
        <w:fldChar w:fldCharType="separate"/>
      </w:r>
      <w:r>
        <w:t>157</w:t>
      </w:r>
      <w:r>
        <w:fldChar w:fldCharType="end"/>
      </w:r>
    </w:p>
    <w:p>
      <w:pPr>
        <w:pStyle w:val="TOC6"/>
        <w:tabs>
          <w:tab w:val="right" w:leader="dot" w:pos="7077"/>
        </w:tabs>
        <w:rPr>
          <w:rFonts w:asciiTheme="minorHAnsi" w:eastAsiaTheme="minorEastAsia" w:hAnsiTheme="minorHAnsi" w:cstheme="minorBidi"/>
          <w:b w:val="0"/>
          <w:sz w:val="22"/>
          <w:szCs w:val="22"/>
        </w:rPr>
      </w:pPr>
      <w:r>
        <w:t>Division 4 — Rates of landholder duty</w:t>
      </w:r>
    </w:p>
    <w:p>
      <w:pPr>
        <w:pStyle w:val="TOC8"/>
        <w:rPr>
          <w:rFonts w:asciiTheme="minorHAnsi" w:eastAsiaTheme="minorEastAsia" w:hAnsiTheme="minorHAnsi" w:cstheme="minorBidi"/>
          <w:szCs w:val="22"/>
        </w:rPr>
      </w:pPr>
      <w:r>
        <w:t>184.</w:t>
      </w:r>
      <w:r>
        <w:tab/>
        <w:t>Rates of landholder duty</w:t>
      </w:r>
      <w:r>
        <w:tab/>
      </w:r>
      <w:r>
        <w:fldChar w:fldCharType="begin"/>
      </w:r>
      <w:r>
        <w:instrText xml:space="preserve"> PAGEREF _Toc413847280 \h </w:instrText>
      </w:r>
      <w:r>
        <w:fldChar w:fldCharType="separate"/>
      </w:r>
      <w:r>
        <w:t>157</w:t>
      </w:r>
      <w:r>
        <w:fldChar w:fldCharType="end"/>
      </w:r>
    </w:p>
    <w:p>
      <w:pPr>
        <w:pStyle w:val="TOC6"/>
        <w:tabs>
          <w:tab w:val="right" w:leader="dot" w:pos="7077"/>
        </w:tabs>
        <w:rPr>
          <w:rFonts w:asciiTheme="minorHAnsi" w:eastAsiaTheme="minorEastAsia" w:hAnsiTheme="minorHAnsi" w:cstheme="minorBidi"/>
          <w:b w:val="0"/>
          <w:sz w:val="22"/>
          <w:szCs w:val="22"/>
        </w:rPr>
      </w:pPr>
      <w:r>
        <w:t>Division 5 — Calculation of landholder duty</w:t>
      </w:r>
    </w:p>
    <w:p>
      <w:pPr>
        <w:pStyle w:val="TOC8"/>
        <w:rPr>
          <w:rFonts w:asciiTheme="minorHAnsi" w:eastAsiaTheme="minorEastAsia" w:hAnsiTheme="minorHAnsi" w:cstheme="minorBidi"/>
          <w:szCs w:val="22"/>
        </w:rPr>
      </w:pPr>
      <w:r>
        <w:t>185.</w:t>
      </w:r>
      <w:r>
        <w:tab/>
        <w:t>References to interest of acquirer in landholder</w:t>
      </w:r>
      <w:r>
        <w:tab/>
      </w:r>
      <w:r>
        <w:fldChar w:fldCharType="begin"/>
      </w:r>
      <w:r>
        <w:instrText xml:space="preserve"> PAGEREF _Toc413847282 \h </w:instrText>
      </w:r>
      <w:r>
        <w:fldChar w:fldCharType="separate"/>
      </w:r>
      <w:r>
        <w:t>158</w:t>
      </w:r>
      <w:r>
        <w:fldChar w:fldCharType="end"/>
      </w:r>
    </w:p>
    <w:p>
      <w:pPr>
        <w:pStyle w:val="TOC8"/>
        <w:rPr>
          <w:rFonts w:asciiTheme="minorHAnsi" w:eastAsiaTheme="minorEastAsia" w:hAnsiTheme="minorHAnsi" w:cstheme="minorBidi"/>
          <w:szCs w:val="22"/>
        </w:rPr>
      </w:pPr>
      <w:r>
        <w:t>186.</w:t>
      </w:r>
      <w:r>
        <w:tab/>
        <w:t>Value of landholder</w:t>
      </w:r>
      <w:r>
        <w:tab/>
      </w:r>
      <w:r>
        <w:fldChar w:fldCharType="begin"/>
      </w:r>
      <w:r>
        <w:instrText xml:space="preserve"> PAGEREF _Toc413847283 \h </w:instrText>
      </w:r>
      <w:r>
        <w:fldChar w:fldCharType="separate"/>
      </w:r>
      <w:r>
        <w:t>158</w:t>
      </w:r>
      <w:r>
        <w:fldChar w:fldCharType="end"/>
      </w:r>
    </w:p>
    <w:p>
      <w:pPr>
        <w:pStyle w:val="TOC8"/>
        <w:rPr>
          <w:rFonts w:asciiTheme="minorHAnsi" w:eastAsiaTheme="minorEastAsia" w:hAnsiTheme="minorHAnsi" w:cstheme="minorBidi"/>
          <w:szCs w:val="22"/>
        </w:rPr>
      </w:pPr>
      <w:r>
        <w:t>187.</w:t>
      </w:r>
      <w:r>
        <w:tab/>
        <w:t>Determining value of further interest for duty calculation</w:t>
      </w:r>
      <w:r>
        <w:tab/>
      </w:r>
      <w:r>
        <w:fldChar w:fldCharType="begin"/>
      </w:r>
      <w:r>
        <w:instrText xml:space="preserve"> PAGEREF _Toc413847284 \h </w:instrText>
      </w:r>
      <w:r>
        <w:fldChar w:fldCharType="separate"/>
      </w:r>
      <w:r>
        <w:t>159</w:t>
      </w:r>
      <w:r>
        <w:fldChar w:fldCharType="end"/>
      </w:r>
    </w:p>
    <w:p>
      <w:pPr>
        <w:pStyle w:val="TOC8"/>
        <w:rPr>
          <w:rFonts w:asciiTheme="minorHAnsi" w:eastAsiaTheme="minorEastAsia" w:hAnsiTheme="minorHAnsi" w:cstheme="minorBidi"/>
          <w:szCs w:val="22"/>
        </w:rPr>
      </w:pPr>
      <w:r>
        <w:t>188.</w:t>
      </w:r>
      <w:r>
        <w:tab/>
        <w:t>Calculating duty payable</w:t>
      </w:r>
      <w:r>
        <w:tab/>
      </w:r>
      <w:r>
        <w:fldChar w:fldCharType="begin"/>
      </w:r>
      <w:r>
        <w:instrText xml:space="preserve"> PAGEREF _Toc413847285 \h </w:instrText>
      </w:r>
      <w:r>
        <w:fldChar w:fldCharType="separate"/>
      </w:r>
      <w:r>
        <w:t>159</w:t>
      </w:r>
      <w:r>
        <w:fldChar w:fldCharType="end"/>
      </w:r>
    </w:p>
    <w:p>
      <w:pPr>
        <w:pStyle w:val="TOC8"/>
        <w:rPr>
          <w:rFonts w:asciiTheme="minorHAnsi" w:eastAsiaTheme="minorEastAsia" w:hAnsiTheme="minorHAnsi" w:cstheme="minorBidi"/>
          <w:szCs w:val="22"/>
        </w:rPr>
      </w:pPr>
      <w:r>
        <w:t>189.</w:t>
      </w:r>
      <w:r>
        <w:tab/>
        <w:t>Reduction for s. 188</w:t>
      </w:r>
      <w:r>
        <w:tab/>
      </w:r>
      <w:r>
        <w:fldChar w:fldCharType="begin"/>
      </w:r>
      <w:r>
        <w:instrText xml:space="preserve"> PAGEREF _Toc413847286 \h </w:instrText>
      </w:r>
      <w:r>
        <w:fldChar w:fldCharType="separate"/>
      </w:r>
      <w:r>
        <w:t>160</w:t>
      </w:r>
      <w:r>
        <w:fldChar w:fldCharType="end"/>
      </w:r>
    </w:p>
    <w:p>
      <w:pPr>
        <w:pStyle w:val="TOC8"/>
        <w:rPr>
          <w:rFonts w:asciiTheme="minorHAnsi" w:eastAsiaTheme="minorEastAsia" w:hAnsiTheme="minorHAnsi" w:cstheme="minorBidi"/>
          <w:szCs w:val="22"/>
        </w:rPr>
      </w:pPr>
      <w:r>
        <w:t>193.</w:t>
      </w:r>
      <w:r>
        <w:tab/>
        <w:t>Calculation of duty where statement lodged under s. 201</w:t>
      </w:r>
      <w:r>
        <w:tab/>
      </w:r>
      <w:r>
        <w:fldChar w:fldCharType="begin"/>
      </w:r>
      <w:r>
        <w:instrText xml:space="preserve"> PAGEREF _Toc413847287 \h </w:instrText>
      </w:r>
      <w:r>
        <w:fldChar w:fldCharType="separate"/>
      </w:r>
      <w:r>
        <w:t>161</w:t>
      </w:r>
      <w:r>
        <w:fldChar w:fldCharType="end"/>
      </w:r>
    </w:p>
    <w:p>
      <w:pPr>
        <w:pStyle w:val="TOC8"/>
        <w:rPr>
          <w:rFonts w:asciiTheme="minorHAnsi" w:eastAsiaTheme="minorEastAsia" w:hAnsiTheme="minorHAnsi" w:cstheme="minorBidi"/>
          <w:szCs w:val="22"/>
        </w:rPr>
      </w:pPr>
      <w:r>
        <w:t>194.</w:t>
      </w:r>
      <w:r>
        <w:tab/>
        <w:t>Calculation of duty on certain acquisitions on winding up of corporation or unit trust scheme</w:t>
      </w:r>
      <w:r>
        <w:tab/>
      </w:r>
      <w:r>
        <w:fldChar w:fldCharType="begin"/>
      </w:r>
      <w:r>
        <w:instrText xml:space="preserve"> PAGEREF _Toc413847288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6A — Interim assessment of landholder duty</w:t>
      </w:r>
    </w:p>
    <w:p>
      <w:pPr>
        <w:pStyle w:val="TOC8"/>
        <w:rPr>
          <w:rFonts w:asciiTheme="minorHAnsi" w:eastAsiaTheme="minorEastAsia" w:hAnsiTheme="minorHAnsi" w:cstheme="minorBidi"/>
          <w:szCs w:val="22"/>
        </w:rPr>
      </w:pPr>
      <w:r>
        <w:t>195A.</w:t>
      </w:r>
      <w:r>
        <w:tab/>
        <w:t>Interim assessment of landholder duty</w:t>
      </w:r>
      <w:r>
        <w:tab/>
      </w:r>
      <w:r>
        <w:fldChar w:fldCharType="begin"/>
      </w:r>
      <w:r>
        <w:instrText xml:space="preserve"> PAGEREF _Toc413847290 \h </w:instrText>
      </w:r>
      <w:r>
        <w:fldChar w:fldCharType="separate"/>
      </w:r>
      <w:r>
        <w:t>165</w:t>
      </w:r>
      <w:r>
        <w:fldChar w:fldCharType="end"/>
      </w:r>
    </w:p>
    <w:p>
      <w:pPr>
        <w:pStyle w:val="TOC6"/>
        <w:tabs>
          <w:tab w:val="right" w:leader="dot" w:pos="7077"/>
        </w:tabs>
        <w:rPr>
          <w:rFonts w:asciiTheme="minorHAnsi" w:eastAsiaTheme="minorEastAsia" w:hAnsiTheme="minorHAnsi" w:cstheme="minorBidi"/>
          <w:b w:val="0"/>
          <w:sz w:val="22"/>
          <w:szCs w:val="22"/>
        </w:rPr>
      </w:pPr>
      <w:r>
        <w:t>Division 6 — Reassessment of liability for landholder duty</w:t>
      </w:r>
    </w:p>
    <w:p>
      <w:pPr>
        <w:pStyle w:val="TOC8"/>
        <w:rPr>
          <w:rFonts w:asciiTheme="minorHAnsi" w:eastAsiaTheme="minorEastAsia" w:hAnsiTheme="minorHAnsi" w:cstheme="minorBidi"/>
          <w:szCs w:val="22"/>
        </w:rPr>
      </w:pPr>
      <w:r>
        <w:t>195.</w:t>
      </w:r>
      <w:r>
        <w:tab/>
        <w:t>Reassessment of duty where s. 149 or 156 applied</w:t>
      </w:r>
      <w:r>
        <w:tab/>
      </w:r>
      <w:r>
        <w:fldChar w:fldCharType="begin"/>
      </w:r>
      <w:r>
        <w:instrText xml:space="preserve"> PAGEREF _Toc413847292 \h </w:instrText>
      </w:r>
      <w:r>
        <w:fldChar w:fldCharType="separate"/>
      </w:r>
      <w:r>
        <w:t>166</w:t>
      </w:r>
      <w:r>
        <w:fldChar w:fldCharType="end"/>
      </w:r>
    </w:p>
    <w:p>
      <w:pPr>
        <w:pStyle w:val="TOC8"/>
        <w:rPr>
          <w:rFonts w:asciiTheme="minorHAnsi" w:eastAsiaTheme="minorEastAsia" w:hAnsiTheme="minorHAnsi" w:cstheme="minorBidi"/>
          <w:szCs w:val="22"/>
        </w:rPr>
      </w:pPr>
      <w:r>
        <w:t>196.</w:t>
      </w:r>
      <w:r>
        <w:tab/>
        <w:t>Reassessment of duty where s. 176(2) applied</w:t>
      </w:r>
      <w:r>
        <w:tab/>
      </w:r>
      <w:r>
        <w:fldChar w:fldCharType="begin"/>
      </w:r>
      <w:r>
        <w:instrText xml:space="preserve"> PAGEREF _Toc413847293 \h </w:instrText>
      </w:r>
      <w:r>
        <w:fldChar w:fldCharType="separate"/>
      </w:r>
      <w:r>
        <w:t>168</w:t>
      </w:r>
      <w:r>
        <w:fldChar w:fldCharType="end"/>
      </w:r>
    </w:p>
    <w:p>
      <w:pPr>
        <w:pStyle w:val="TOC8"/>
        <w:rPr>
          <w:rFonts w:asciiTheme="minorHAnsi" w:eastAsiaTheme="minorEastAsia" w:hAnsiTheme="minorHAnsi" w:cstheme="minorBidi"/>
          <w:szCs w:val="22"/>
        </w:rPr>
      </w:pPr>
      <w:r>
        <w:t>197.</w:t>
      </w:r>
      <w:r>
        <w:tab/>
        <w:t>Condition precedent to reassessment under s. 195 or 196</w:t>
      </w:r>
      <w:r>
        <w:tab/>
      </w:r>
      <w:r>
        <w:fldChar w:fldCharType="begin"/>
      </w:r>
      <w:r>
        <w:instrText xml:space="preserve"> PAGEREF _Toc413847294 \h </w:instrText>
      </w:r>
      <w:r>
        <w:fldChar w:fldCharType="separate"/>
      </w:r>
      <w:r>
        <w:t>169</w:t>
      </w:r>
      <w:r>
        <w:fldChar w:fldCharType="end"/>
      </w:r>
    </w:p>
    <w:p>
      <w:pPr>
        <w:pStyle w:val="TOC8"/>
        <w:rPr>
          <w:rFonts w:asciiTheme="minorHAnsi" w:eastAsiaTheme="minorEastAsia" w:hAnsiTheme="minorHAnsi" w:cstheme="minorBidi"/>
          <w:szCs w:val="22"/>
        </w:rPr>
      </w:pPr>
      <w:r>
        <w:t>198.</w:t>
      </w:r>
      <w:r>
        <w:tab/>
      </w:r>
      <w:r>
        <w:rPr>
          <w:iCs/>
        </w:rPr>
        <w:t>Taxation Administration Act</w:t>
      </w:r>
      <w:r>
        <w:rPr>
          <w:i/>
        </w:rPr>
        <w:t xml:space="preserve"> </w:t>
      </w:r>
      <w:r>
        <w:t>not affected</w:t>
      </w:r>
      <w:r>
        <w:tab/>
      </w:r>
      <w:r>
        <w:fldChar w:fldCharType="begin"/>
      </w:r>
      <w:r>
        <w:instrText xml:space="preserve"> PAGEREF _Toc413847295 \h </w:instrText>
      </w:r>
      <w:r>
        <w:fldChar w:fldCharType="separate"/>
      </w:r>
      <w:r>
        <w:t>169</w:t>
      </w:r>
      <w:r>
        <w:fldChar w:fldCharType="end"/>
      </w:r>
    </w:p>
    <w:p>
      <w:pPr>
        <w:pStyle w:val="TOC6"/>
        <w:tabs>
          <w:tab w:val="right" w:leader="dot" w:pos="7077"/>
        </w:tabs>
        <w:rPr>
          <w:rFonts w:asciiTheme="minorHAnsi" w:eastAsiaTheme="minorEastAsia" w:hAnsiTheme="minorHAnsi" w:cstheme="minorBidi"/>
          <w:b w:val="0"/>
          <w:sz w:val="22"/>
          <w:szCs w:val="22"/>
        </w:rPr>
      </w:pPr>
      <w:r>
        <w:t>Division 7 — Lodgment of statements</w:t>
      </w:r>
    </w:p>
    <w:p>
      <w:pPr>
        <w:pStyle w:val="TOC8"/>
        <w:rPr>
          <w:rFonts w:asciiTheme="minorHAnsi" w:eastAsiaTheme="minorEastAsia" w:hAnsiTheme="minorHAnsi" w:cstheme="minorBidi"/>
          <w:szCs w:val="22"/>
        </w:rPr>
      </w:pPr>
      <w:r>
        <w:t>199.</w:t>
      </w:r>
      <w:r>
        <w:tab/>
        <w:t>Term used: acquisition statement</w:t>
      </w:r>
      <w:r>
        <w:tab/>
      </w:r>
      <w:r>
        <w:fldChar w:fldCharType="begin"/>
      </w:r>
      <w:r>
        <w:instrText xml:space="preserve"> PAGEREF _Toc413847297 \h </w:instrText>
      </w:r>
      <w:r>
        <w:fldChar w:fldCharType="separate"/>
      </w:r>
      <w:r>
        <w:t>169</w:t>
      </w:r>
      <w:r>
        <w:fldChar w:fldCharType="end"/>
      </w:r>
    </w:p>
    <w:p>
      <w:pPr>
        <w:pStyle w:val="TOC8"/>
        <w:rPr>
          <w:rFonts w:asciiTheme="minorHAnsi" w:eastAsiaTheme="minorEastAsia" w:hAnsiTheme="minorHAnsi" w:cstheme="minorBidi"/>
          <w:szCs w:val="22"/>
        </w:rPr>
      </w:pPr>
      <w:r>
        <w:t>200.</w:t>
      </w:r>
      <w:r>
        <w:tab/>
        <w:t>Acquisition statement to be lodged</w:t>
      </w:r>
      <w:r>
        <w:tab/>
      </w:r>
      <w:r>
        <w:fldChar w:fldCharType="begin"/>
      </w:r>
      <w:r>
        <w:instrText xml:space="preserve"> PAGEREF _Toc413847298 \h </w:instrText>
      </w:r>
      <w:r>
        <w:fldChar w:fldCharType="separate"/>
      </w:r>
      <w:r>
        <w:t>170</w:t>
      </w:r>
      <w:r>
        <w:fldChar w:fldCharType="end"/>
      </w:r>
    </w:p>
    <w:p>
      <w:pPr>
        <w:pStyle w:val="TOC8"/>
        <w:rPr>
          <w:rFonts w:asciiTheme="minorHAnsi" w:eastAsiaTheme="minorEastAsia" w:hAnsiTheme="minorHAnsi" w:cstheme="minorBidi"/>
          <w:szCs w:val="22"/>
        </w:rPr>
      </w:pPr>
      <w:r>
        <w:t>201.</w:t>
      </w:r>
      <w:r>
        <w:tab/>
        <w:t>Acquisition of further interests, lodgment of periodical statements may be approved</w:t>
      </w:r>
      <w:r>
        <w:tab/>
      </w:r>
      <w:r>
        <w:fldChar w:fldCharType="begin"/>
      </w:r>
      <w:r>
        <w:instrText xml:space="preserve"> PAGEREF _Toc413847299 \h </w:instrText>
      </w:r>
      <w:r>
        <w:fldChar w:fldCharType="separate"/>
      </w:r>
      <w:r>
        <w:t>170</w:t>
      </w:r>
      <w:r>
        <w:fldChar w:fldCharType="end"/>
      </w:r>
    </w:p>
    <w:p>
      <w:pPr>
        <w:pStyle w:val="TOC8"/>
        <w:rPr>
          <w:rFonts w:asciiTheme="minorHAnsi" w:eastAsiaTheme="minorEastAsia" w:hAnsiTheme="minorHAnsi" w:cstheme="minorBidi"/>
          <w:szCs w:val="22"/>
        </w:rPr>
      </w:pPr>
      <w:r>
        <w:t>202.</w:t>
      </w:r>
      <w:r>
        <w:tab/>
        <w:t>Lodgment obligations if s. 201 application refused</w:t>
      </w:r>
      <w:r>
        <w:tab/>
      </w:r>
      <w:r>
        <w:fldChar w:fldCharType="begin"/>
      </w:r>
      <w:r>
        <w:instrText xml:space="preserve"> PAGEREF _Toc413847300 \h </w:instrText>
      </w:r>
      <w:r>
        <w:fldChar w:fldCharType="separate"/>
      </w:r>
      <w:r>
        <w:t>172</w:t>
      </w:r>
      <w:r>
        <w:fldChar w:fldCharType="end"/>
      </w:r>
    </w:p>
    <w:p>
      <w:pPr>
        <w:pStyle w:val="TOC8"/>
        <w:rPr>
          <w:rFonts w:asciiTheme="minorHAnsi" w:eastAsiaTheme="minorEastAsia" w:hAnsiTheme="minorHAnsi" w:cstheme="minorBidi"/>
          <w:szCs w:val="22"/>
        </w:rPr>
      </w:pPr>
      <w:r>
        <w:t>203.</w:t>
      </w:r>
      <w:r>
        <w:tab/>
        <w:t>Form and content of acquisition statements</w:t>
      </w:r>
      <w:r>
        <w:tab/>
      </w:r>
      <w:r>
        <w:fldChar w:fldCharType="begin"/>
      </w:r>
      <w:r>
        <w:instrText xml:space="preserve"> PAGEREF _Toc413847301 \h </w:instrText>
      </w:r>
      <w:r>
        <w:fldChar w:fldCharType="separate"/>
      </w:r>
      <w:r>
        <w:t>172</w:t>
      </w:r>
      <w:r>
        <w:fldChar w:fldCharType="end"/>
      </w:r>
    </w:p>
    <w:p>
      <w:pPr>
        <w:pStyle w:val="TOC8"/>
        <w:rPr>
          <w:rFonts w:asciiTheme="minorHAnsi" w:eastAsiaTheme="minorEastAsia" w:hAnsiTheme="minorHAnsi" w:cstheme="minorBidi"/>
          <w:szCs w:val="22"/>
        </w:rPr>
      </w:pPr>
      <w:r>
        <w:t>204.</w:t>
      </w:r>
      <w:r>
        <w:tab/>
        <w:t>Failure to lodge acquisition statement</w:t>
      </w:r>
      <w:r>
        <w:tab/>
      </w:r>
      <w:r>
        <w:fldChar w:fldCharType="begin"/>
      </w:r>
      <w:r>
        <w:instrText xml:space="preserve"> PAGEREF _Toc413847302 \h </w:instrText>
      </w:r>
      <w:r>
        <w:fldChar w:fldCharType="separate"/>
      </w:r>
      <w:r>
        <w:t>173</w:t>
      </w:r>
      <w:r>
        <w:fldChar w:fldCharType="end"/>
      </w:r>
    </w:p>
    <w:p>
      <w:pPr>
        <w:pStyle w:val="TOC2"/>
        <w:tabs>
          <w:tab w:val="right" w:leader="dot" w:pos="7077"/>
        </w:tabs>
        <w:rPr>
          <w:rFonts w:asciiTheme="minorHAnsi" w:eastAsiaTheme="minorEastAsia" w:hAnsiTheme="minorHAnsi" w:cstheme="minorBidi"/>
          <w:b w:val="0"/>
          <w:sz w:val="22"/>
          <w:szCs w:val="22"/>
        </w:rPr>
      </w:pPr>
      <w:r>
        <w:t>Chapter 4 — Insurance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206.</w:t>
      </w:r>
      <w:r>
        <w:tab/>
        <w:t>Terms used</w:t>
      </w:r>
      <w:r>
        <w:tab/>
      </w:r>
      <w:r>
        <w:fldChar w:fldCharType="begin"/>
      </w:r>
      <w:r>
        <w:instrText xml:space="preserve"> PAGEREF _Toc413847305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Part 2 — Imposition of insurance duty</w:t>
      </w:r>
    </w:p>
    <w:p>
      <w:pPr>
        <w:pStyle w:val="TOC8"/>
        <w:rPr>
          <w:rFonts w:asciiTheme="minorHAnsi" w:eastAsiaTheme="minorEastAsia" w:hAnsiTheme="minorHAnsi" w:cstheme="minorBidi"/>
          <w:szCs w:val="22"/>
        </w:rPr>
      </w:pPr>
      <w:r>
        <w:t>207.</w:t>
      </w:r>
      <w:r>
        <w:tab/>
        <w:t>Insurance duty imposed</w:t>
      </w:r>
      <w:r>
        <w:tab/>
      </w:r>
      <w:r>
        <w:fldChar w:fldCharType="begin"/>
      </w:r>
      <w:r>
        <w:instrText xml:space="preserve"> PAGEREF _Toc413847307 \h </w:instrText>
      </w:r>
      <w:r>
        <w:fldChar w:fldCharType="separate"/>
      </w:r>
      <w:r>
        <w:t>175</w:t>
      </w:r>
      <w:r>
        <w:fldChar w:fldCharType="end"/>
      </w:r>
    </w:p>
    <w:p>
      <w:pPr>
        <w:pStyle w:val="TOC8"/>
        <w:rPr>
          <w:rFonts w:asciiTheme="minorHAnsi" w:eastAsiaTheme="minorEastAsia" w:hAnsiTheme="minorHAnsi" w:cstheme="minorBidi"/>
          <w:szCs w:val="22"/>
        </w:rPr>
      </w:pPr>
      <w:r>
        <w:t>208.</w:t>
      </w:r>
      <w:r>
        <w:tab/>
        <w:t>Term used: contract of insurance</w:t>
      </w:r>
      <w:r>
        <w:tab/>
      </w:r>
      <w:r>
        <w:fldChar w:fldCharType="begin"/>
      </w:r>
      <w:r>
        <w:instrText xml:space="preserve"> PAGEREF _Toc413847308 \h </w:instrText>
      </w:r>
      <w:r>
        <w:fldChar w:fldCharType="separate"/>
      </w:r>
      <w:r>
        <w:t>175</w:t>
      </w:r>
      <w:r>
        <w:fldChar w:fldCharType="end"/>
      </w:r>
    </w:p>
    <w:p>
      <w:pPr>
        <w:pStyle w:val="TOC8"/>
        <w:rPr>
          <w:rFonts w:asciiTheme="minorHAnsi" w:eastAsiaTheme="minorEastAsia" w:hAnsiTheme="minorHAnsi" w:cstheme="minorBidi"/>
          <w:szCs w:val="22"/>
        </w:rPr>
      </w:pPr>
      <w:r>
        <w:t>209.</w:t>
      </w:r>
      <w:r>
        <w:tab/>
        <w:t>Term used: general insurance</w:t>
      </w:r>
      <w:r>
        <w:tab/>
      </w:r>
      <w:r>
        <w:fldChar w:fldCharType="begin"/>
      </w:r>
      <w:r>
        <w:instrText xml:space="preserve"> PAGEREF _Toc413847309 \h </w:instrText>
      </w:r>
      <w:r>
        <w:fldChar w:fldCharType="separate"/>
      </w:r>
      <w:r>
        <w:t>175</w:t>
      </w:r>
      <w:r>
        <w:fldChar w:fldCharType="end"/>
      </w:r>
    </w:p>
    <w:p>
      <w:pPr>
        <w:pStyle w:val="TOC8"/>
        <w:rPr>
          <w:rFonts w:asciiTheme="minorHAnsi" w:eastAsiaTheme="minorEastAsia" w:hAnsiTheme="minorHAnsi" w:cstheme="minorBidi"/>
          <w:szCs w:val="22"/>
        </w:rPr>
      </w:pPr>
      <w:r>
        <w:t>210.</w:t>
      </w:r>
      <w:r>
        <w:tab/>
        <w:t>Additional insurance in life insurance policy is general insurance</w:t>
      </w:r>
      <w:r>
        <w:tab/>
      </w:r>
      <w:r>
        <w:fldChar w:fldCharType="begin"/>
      </w:r>
      <w:r>
        <w:instrText xml:space="preserve"> PAGEREF _Toc413847310 \h </w:instrText>
      </w:r>
      <w:r>
        <w:fldChar w:fldCharType="separate"/>
      </w:r>
      <w:r>
        <w:t>176</w:t>
      </w:r>
      <w:r>
        <w:fldChar w:fldCharType="end"/>
      </w:r>
    </w:p>
    <w:p>
      <w:pPr>
        <w:pStyle w:val="TOC8"/>
        <w:rPr>
          <w:rFonts w:asciiTheme="minorHAnsi" w:eastAsiaTheme="minorEastAsia" w:hAnsiTheme="minorHAnsi" w:cstheme="minorBidi"/>
          <w:szCs w:val="22"/>
        </w:rPr>
      </w:pPr>
      <w:r>
        <w:t>211.</w:t>
      </w:r>
      <w:r>
        <w:tab/>
        <w:t>Term used: premium</w:t>
      </w:r>
      <w:r>
        <w:tab/>
      </w:r>
      <w:r>
        <w:fldChar w:fldCharType="begin"/>
      </w:r>
      <w:r>
        <w:instrText xml:space="preserve"> PAGEREF _Toc413847311 \h </w:instrText>
      </w:r>
      <w:r>
        <w:fldChar w:fldCharType="separate"/>
      </w:r>
      <w:r>
        <w:t>177</w:t>
      </w:r>
      <w:r>
        <w:fldChar w:fldCharType="end"/>
      </w:r>
    </w:p>
    <w:p>
      <w:pPr>
        <w:pStyle w:val="TOC8"/>
        <w:rPr>
          <w:rFonts w:asciiTheme="minorHAnsi" w:eastAsiaTheme="minorEastAsia" w:hAnsiTheme="minorHAnsi" w:cstheme="minorBidi"/>
          <w:szCs w:val="22"/>
        </w:rPr>
      </w:pPr>
      <w:r>
        <w:t>212.</w:t>
      </w:r>
      <w:r>
        <w:tab/>
        <w:t>When premium paid</w:t>
      </w:r>
      <w:r>
        <w:tab/>
      </w:r>
      <w:r>
        <w:fldChar w:fldCharType="begin"/>
      </w:r>
      <w:r>
        <w:instrText xml:space="preserve"> PAGEREF _Toc413847312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Part 3 — Collection of insurance duty</w:t>
      </w:r>
    </w:p>
    <w:p>
      <w:pPr>
        <w:pStyle w:val="TOC6"/>
        <w:tabs>
          <w:tab w:val="right" w:leader="dot" w:pos="7077"/>
        </w:tabs>
        <w:rPr>
          <w:rFonts w:asciiTheme="minorHAnsi" w:eastAsiaTheme="minorEastAsia" w:hAnsiTheme="minorHAnsi" w:cstheme="minorBidi"/>
          <w:b w:val="0"/>
          <w:sz w:val="22"/>
          <w:szCs w:val="22"/>
        </w:rPr>
      </w:pPr>
      <w:r>
        <w:t>Division 1 — Liability</w:t>
      </w:r>
    </w:p>
    <w:p>
      <w:pPr>
        <w:pStyle w:val="TOC8"/>
        <w:rPr>
          <w:rFonts w:asciiTheme="minorHAnsi" w:eastAsiaTheme="minorEastAsia" w:hAnsiTheme="minorHAnsi" w:cstheme="minorBidi"/>
          <w:szCs w:val="22"/>
        </w:rPr>
      </w:pPr>
      <w:r>
        <w:t>213.</w:t>
      </w:r>
      <w:r>
        <w:tab/>
        <w:t>Who is liable to pay duty</w:t>
      </w:r>
      <w:r>
        <w:tab/>
      </w:r>
      <w:r>
        <w:fldChar w:fldCharType="begin"/>
      </w:r>
      <w:r>
        <w:instrText xml:space="preserve"> PAGEREF _Toc413847315 \h </w:instrText>
      </w:r>
      <w:r>
        <w:fldChar w:fldCharType="separate"/>
      </w:r>
      <w:r>
        <w:t>178</w:t>
      </w:r>
      <w:r>
        <w:fldChar w:fldCharType="end"/>
      </w:r>
    </w:p>
    <w:p>
      <w:pPr>
        <w:pStyle w:val="TOC8"/>
        <w:rPr>
          <w:rFonts w:asciiTheme="minorHAnsi" w:eastAsiaTheme="minorEastAsia" w:hAnsiTheme="minorHAnsi" w:cstheme="minorBidi"/>
          <w:szCs w:val="22"/>
        </w:rPr>
      </w:pPr>
      <w:r>
        <w:t>214.</w:t>
      </w:r>
      <w:r>
        <w:tab/>
        <w:t>Term used: general insurer</w:t>
      </w:r>
      <w:r>
        <w:tab/>
      </w:r>
      <w:r>
        <w:fldChar w:fldCharType="begin"/>
      </w:r>
      <w:r>
        <w:instrText xml:space="preserve"> PAGEREF _Toc413847316 \h </w:instrText>
      </w:r>
      <w:r>
        <w:fldChar w:fldCharType="separate"/>
      </w:r>
      <w:r>
        <w:t>178</w:t>
      </w:r>
      <w:r>
        <w:fldChar w:fldCharType="end"/>
      </w:r>
    </w:p>
    <w:p>
      <w:pPr>
        <w:pStyle w:val="TOC6"/>
        <w:tabs>
          <w:tab w:val="right" w:leader="dot" w:pos="7077"/>
        </w:tabs>
        <w:rPr>
          <w:rFonts w:asciiTheme="minorHAnsi" w:eastAsiaTheme="minorEastAsia" w:hAnsiTheme="minorHAnsi" w:cstheme="minorBidi"/>
          <w:b w:val="0"/>
          <w:sz w:val="22"/>
          <w:szCs w:val="22"/>
        </w:rPr>
      </w:pPr>
      <w:r>
        <w:t>Division 2 — Amount of insurance duty</w:t>
      </w:r>
    </w:p>
    <w:p>
      <w:pPr>
        <w:pStyle w:val="TOC8"/>
        <w:rPr>
          <w:rFonts w:asciiTheme="minorHAnsi" w:eastAsiaTheme="minorEastAsia" w:hAnsiTheme="minorHAnsi" w:cstheme="minorBidi"/>
          <w:szCs w:val="22"/>
        </w:rPr>
      </w:pPr>
      <w:r>
        <w:t>215.</w:t>
      </w:r>
      <w:r>
        <w:tab/>
        <w:t>Amount of duty payable</w:t>
      </w:r>
      <w:r>
        <w:tab/>
      </w:r>
      <w:r>
        <w:fldChar w:fldCharType="begin"/>
      </w:r>
      <w:r>
        <w:instrText xml:space="preserve"> PAGEREF _Toc413847318 \h </w:instrText>
      </w:r>
      <w:r>
        <w:fldChar w:fldCharType="separate"/>
      </w:r>
      <w:r>
        <w:t>178</w:t>
      </w:r>
      <w:r>
        <w:fldChar w:fldCharType="end"/>
      </w:r>
    </w:p>
    <w:p>
      <w:pPr>
        <w:pStyle w:val="TOC8"/>
        <w:rPr>
          <w:rFonts w:asciiTheme="minorHAnsi" w:eastAsiaTheme="minorEastAsia" w:hAnsiTheme="minorHAnsi" w:cstheme="minorBidi"/>
          <w:szCs w:val="22"/>
        </w:rPr>
      </w:pPr>
      <w:r>
        <w:t>216.</w:t>
      </w:r>
      <w:r>
        <w:tab/>
        <w:t>Policies effecting general insurance and other insurance, duty on</w:t>
      </w:r>
      <w:r>
        <w:tab/>
      </w:r>
      <w:r>
        <w:fldChar w:fldCharType="begin"/>
      </w:r>
      <w:r>
        <w:instrText xml:space="preserve"> PAGEREF _Toc413847319 \h </w:instrText>
      </w:r>
      <w:r>
        <w:fldChar w:fldCharType="separate"/>
      </w:r>
      <w:r>
        <w:t>179</w:t>
      </w:r>
      <w:r>
        <w:fldChar w:fldCharType="end"/>
      </w:r>
    </w:p>
    <w:p>
      <w:pPr>
        <w:pStyle w:val="TOC6"/>
        <w:tabs>
          <w:tab w:val="right" w:leader="dot" w:pos="7077"/>
        </w:tabs>
        <w:rPr>
          <w:rFonts w:asciiTheme="minorHAnsi" w:eastAsiaTheme="minorEastAsia" w:hAnsiTheme="minorHAnsi" w:cstheme="minorBidi"/>
          <w:b w:val="0"/>
          <w:sz w:val="22"/>
          <w:szCs w:val="22"/>
        </w:rPr>
      </w:pPr>
      <w:r>
        <w:t>Division 3 — Insurers</w:t>
      </w:r>
    </w:p>
    <w:p>
      <w:pPr>
        <w:pStyle w:val="TOC8"/>
        <w:rPr>
          <w:rFonts w:asciiTheme="minorHAnsi" w:eastAsiaTheme="minorEastAsia" w:hAnsiTheme="minorHAnsi" w:cstheme="minorBidi"/>
          <w:szCs w:val="22"/>
        </w:rPr>
      </w:pPr>
      <w:r>
        <w:t>217.</w:t>
      </w:r>
      <w:r>
        <w:tab/>
        <w:t>General insurers to apply to be registered</w:t>
      </w:r>
      <w:r>
        <w:tab/>
      </w:r>
      <w:r>
        <w:fldChar w:fldCharType="begin"/>
      </w:r>
      <w:r>
        <w:instrText xml:space="preserve"> PAGEREF _Toc413847321 \h </w:instrText>
      </w:r>
      <w:r>
        <w:fldChar w:fldCharType="separate"/>
      </w:r>
      <w:r>
        <w:t>180</w:t>
      </w:r>
      <w:r>
        <w:fldChar w:fldCharType="end"/>
      </w:r>
    </w:p>
    <w:p>
      <w:pPr>
        <w:pStyle w:val="TOC8"/>
        <w:rPr>
          <w:rFonts w:asciiTheme="minorHAnsi" w:eastAsiaTheme="minorEastAsia" w:hAnsiTheme="minorHAnsi" w:cstheme="minorBidi"/>
          <w:szCs w:val="22"/>
        </w:rPr>
      </w:pPr>
      <w:r>
        <w:t>218.</w:t>
      </w:r>
      <w:r>
        <w:tab/>
        <w:t>Registration of general insurers</w:t>
      </w:r>
      <w:r>
        <w:tab/>
      </w:r>
      <w:r>
        <w:fldChar w:fldCharType="begin"/>
      </w:r>
      <w:r>
        <w:instrText xml:space="preserve"> PAGEREF _Toc413847322 \h </w:instrText>
      </w:r>
      <w:r>
        <w:fldChar w:fldCharType="separate"/>
      </w:r>
      <w:r>
        <w:t>180</w:t>
      </w:r>
      <w:r>
        <w:fldChar w:fldCharType="end"/>
      </w:r>
    </w:p>
    <w:p>
      <w:pPr>
        <w:pStyle w:val="TOC8"/>
        <w:rPr>
          <w:rFonts w:asciiTheme="minorHAnsi" w:eastAsiaTheme="minorEastAsia" w:hAnsiTheme="minorHAnsi" w:cstheme="minorBidi"/>
          <w:szCs w:val="22"/>
        </w:rPr>
      </w:pPr>
      <w:r>
        <w:t>219.</w:t>
      </w:r>
      <w:r>
        <w:tab/>
        <w:t>Return period of registered insurer</w:t>
      </w:r>
      <w:r>
        <w:tab/>
      </w:r>
      <w:r>
        <w:fldChar w:fldCharType="begin"/>
      </w:r>
      <w:r>
        <w:instrText xml:space="preserve"> PAGEREF _Toc413847323 \h </w:instrText>
      </w:r>
      <w:r>
        <w:fldChar w:fldCharType="separate"/>
      </w:r>
      <w:r>
        <w:t>180</w:t>
      </w:r>
      <w:r>
        <w:fldChar w:fldCharType="end"/>
      </w:r>
    </w:p>
    <w:p>
      <w:pPr>
        <w:pStyle w:val="TOC8"/>
        <w:rPr>
          <w:rFonts w:asciiTheme="minorHAnsi" w:eastAsiaTheme="minorEastAsia" w:hAnsiTheme="minorHAnsi" w:cstheme="minorBidi"/>
          <w:szCs w:val="22"/>
        </w:rPr>
      </w:pPr>
      <w:r>
        <w:t>220.</w:t>
      </w:r>
      <w:r>
        <w:tab/>
        <w:t>Registered insurers to lodge returns</w:t>
      </w:r>
      <w:r>
        <w:tab/>
      </w:r>
      <w:r>
        <w:fldChar w:fldCharType="begin"/>
      </w:r>
      <w:r>
        <w:instrText xml:space="preserve"> PAGEREF _Toc413847324 \h </w:instrText>
      </w:r>
      <w:r>
        <w:fldChar w:fldCharType="separate"/>
      </w:r>
      <w:r>
        <w:t>180</w:t>
      </w:r>
      <w:r>
        <w:fldChar w:fldCharType="end"/>
      </w:r>
    </w:p>
    <w:p>
      <w:pPr>
        <w:pStyle w:val="TOC8"/>
        <w:rPr>
          <w:rFonts w:asciiTheme="minorHAnsi" w:eastAsiaTheme="minorEastAsia" w:hAnsiTheme="minorHAnsi" w:cstheme="minorBidi"/>
          <w:szCs w:val="22"/>
        </w:rPr>
      </w:pPr>
      <w:r>
        <w:t>221.</w:t>
      </w:r>
      <w:r>
        <w:tab/>
        <w:t>Time for payment of duty by insurers</w:t>
      </w:r>
      <w:r>
        <w:tab/>
      </w:r>
      <w:r>
        <w:fldChar w:fldCharType="begin"/>
      </w:r>
      <w:r>
        <w:instrText xml:space="preserve"> PAGEREF _Toc413847325 \h </w:instrText>
      </w:r>
      <w:r>
        <w:fldChar w:fldCharType="separate"/>
      </w:r>
      <w:r>
        <w:t>181</w:t>
      </w:r>
      <w:r>
        <w:fldChar w:fldCharType="end"/>
      </w:r>
    </w:p>
    <w:p>
      <w:pPr>
        <w:pStyle w:val="TOC8"/>
        <w:rPr>
          <w:rFonts w:asciiTheme="minorHAnsi" w:eastAsiaTheme="minorEastAsia" w:hAnsiTheme="minorHAnsi" w:cstheme="minorBidi"/>
          <w:szCs w:val="22"/>
        </w:rPr>
      </w:pPr>
      <w:r>
        <w:t>222.</w:t>
      </w:r>
      <w:r>
        <w:tab/>
        <w:t>Cancelling registration of general insurers</w:t>
      </w:r>
      <w:r>
        <w:tab/>
      </w:r>
      <w:r>
        <w:fldChar w:fldCharType="begin"/>
      </w:r>
      <w:r>
        <w:instrText xml:space="preserve"> PAGEREF _Toc413847326 \h </w:instrText>
      </w:r>
      <w:r>
        <w:fldChar w:fldCharType="separate"/>
      </w:r>
      <w:r>
        <w:t>181</w:t>
      </w:r>
      <w:r>
        <w:fldChar w:fldCharType="end"/>
      </w:r>
    </w:p>
    <w:p>
      <w:pPr>
        <w:pStyle w:val="TOC6"/>
        <w:tabs>
          <w:tab w:val="right" w:leader="dot" w:pos="7077"/>
        </w:tabs>
        <w:rPr>
          <w:rFonts w:asciiTheme="minorHAnsi" w:eastAsiaTheme="minorEastAsia" w:hAnsiTheme="minorHAnsi" w:cstheme="minorBidi"/>
          <w:b w:val="0"/>
          <w:sz w:val="22"/>
          <w:szCs w:val="22"/>
        </w:rPr>
      </w:pPr>
      <w:r>
        <w:t>Division 4 — Insured persons</w:t>
      </w:r>
    </w:p>
    <w:p>
      <w:pPr>
        <w:pStyle w:val="TOC8"/>
        <w:rPr>
          <w:rFonts w:asciiTheme="minorHAnsi" w:eastAsiaTheme="minorEastAsia" w:hAnsiTheme="minorHAnsi" w:cstheme="minorBidi"/>
          <w:szCs w:val="22"/>
        </w:rPr>
      </w:pPr>
      <w:r>
        <w:t>223.</w:t>
      </w:r>
      <w:r>
        <w:tab/>
        <w:t>Some insured persons to lodge statements</w:t>
      </w:r>
      <w:r>
        <w:tab/>
      </w:r>
      <w:r>
        <w:fldChar w:fldCharType="begin"/>
      </w:r>
      <w:r>
        <w:instrText xml:space="preserve"> PAGEREF _Toc413847328 \h </w:instrText>
      </w:r>
      <w:r>
        <w:fldChar w:fldCharType="separate"/>
      </w:r>
      <w:r>
        <w:t>182</w:t>
      </w:r>
      <w:r>
        <w:fldChar w:fldCharType="end"/>
      </w:r>
    </w:p>
    <w:p>
      <w:pPr>
        <w:pStyle w:val="TOC8"/>
        <w:rPr>
          <w:rFonts w:asciiTheme="minorHAnsi" w:eastAsiaTheme="minorEastAsia" w:hAnsiTheme="minorHAnsi" w:cstheme="minorBidi"/>
          <w:szCs w:val="22"/>
        </w:rPr>
      </w:pPr>
      <w:r>
        <w:t>224.</w:t>
      </w:r>
      <w:r>
        <w:tab/>
        <w:t>Time for payment of duty by insured persons</w:t>
      </w:r>
      <w:r>
        <w:tab/>
      </w:r>
      <w:r>
        <w:fldChar w:fldCharType="begin"/>
      </w:r>
      <w:r>
        <w:instrText xml:space="preserve"> PAGEREF _Toc413847329 \h </w:instrText>
      </w:r>
      <w:r>
        <w:fldChar w:fldCharType="separate"/>
      </w:r>
      <w:r>
        <w:t>182</w:t>
      </w:r>
      <w:r>
        <w:fldChar w:fldCharType="end"/>
      </w:r>
    </w:p>
    <w:p>
      <w:pPr>
        <w:pStyle w:val="TOC4"/>
        <w:tabs>
          <w:tab w:val="right" w:leader="dot" w:pos="7077"/>
        </w:tabs>
        <w:rPr>
          <w:rFonts w:asciiTheme="minorHAnsi" w:eastAsiaTheme="minorEastAsia" w:hAnsiTheme="minorHAnsi" w:cstheme="minorBidi"/>
          <w:b w:val="0"/>
          <w:szCs w:val="22"/>
        </w:rPr>
      </w:pPr>
      <w:r>
        <w:t>Part 4 — General provisions as to insurance duty</w:t>
      </w:r>
    </w:p>
    <w:p>
      <w:pPr>
        <w:pStyle w:val="TOC8"/>
        <w:rPr>
          <w:rFonts w:asciiTheme="minorHAnsi" w:eastAsiaTheme="minorEastAsia" w:hAnsiTheme="minorHAnsi" w:cstheme="minorBidi"/>
          <w:szCs w:val="22"/>
        </w:rPr>
      </w:pPr>
      <w:r>
        <w:t>225.</w:t>
      </w:r>
      <w:r>
        <w:tab/>
        <w:t>Insurer and intermediary to notify Commissioner of contracts of insurance</w:t>
      </w:r>
      <w:r>
        <w:tab/>
      </w:r>
      <w:r>
        <w:fldChar w:fldCharType="begin"/>
      </w:r>
      <w:r>
        <w:instrText xml:space="preserve"> PAGEREF _Toc413847331 \h </w:instrText>
      </w:r>
      <w:r>
        <w:fldChar w:fldCharType="separate"/>
      </w:r>
      <w:r>
        <w:t>182</w:t>
      </w:r>
      <w:r>
        <w:fldChar w:fldCharType="end"/>
      </w:r>
    </w:p>
    <w:p>
      <w:pPr>
        <w:pStyle w:val="TOC8"/>
        <w:rPr>
          <w:rFonts w:asciiTheme="minorHAnsi" w:eastAsiaTheme="minorEastAsia" w:hAnsiTheme="minorHAnsi" w:cstheme="minorBidi"/>
          <w:szCs w:val="22"/>
        </w:rPr>
      </w:pPr>
      <w:r>
        <w:t>226.</w:t>
      </w:r>
      <w:r>
        <w:tab/>
        <w:t>Refunds of duty if premium refunded</w:t>
      </w:r>
      <w:r>
        <w:tab/>
      </w:r>
      <w:r>
        <w:fldChar w:fldCharType="begin"/>
      </w:r>
      <w:r>
        <w:instrText xml:space="preserve"> PAGEREF _Toc413847332 \h </w:instrText>
      </w:r>
      <w:r>
        <w:fldChar w:fldCharType="separate"/>
      </w:r>
      <w:r>
        <w:t>183</w:t>
      </w:r>
      <w:r>
        <w:fldChar w:fldCharType="end"/>
      </w:r>
    </w:p>
    <w:p>
      <w:pPr>
        <w:pStyle w:val="TOC8"/>
        <w:rPr>
          <w:rFonts w:asciiTheme="minorHAnsi" w:eastAsiaTheme="minorEastAsia" w:hAnsiTheme="minorHAnsi" w:cstheme="minorBidi"/>
          <w:szCs w:val="22"/>
        </w:rPr>
      </w:pPr>
      <w:r>
        <w:t>227.</w:t>
      </w:r>
      <w:r>
        <w:tab/>
        <w:t>Records to be kept</w:t>
      </w:r>
      <w:r>
        <w:tab/>
      </w:r>
      <w:r>
        <w:fldChar w:fldCharType="begin"/>
      </w:r>
      <w:r>
        <w:instrText xml:space="preserve"> PAGEREF _Toc413847333 \h </w:instrText>
      </w:r>
      <w:r>
        <w:fldChar w:fldCharType="separate"/>
      </w:r>
      <w:r>
        <w:t>184</w:t>
      </w:r>
      <w:r>
        <w:fldChar w:fldCharType="end"/>
      </w:r>
    </w:p>
    <w:p>
      <w:pPr>
        <w:pStyle w:val="TOC2"/>
        <w:tabs>
          <w:tab w:val="right" w:leader="dot" w:pos="7077"/>
        </w:tabs>
        <w:rPr>
          <w:rFonts w:asciiTheme="minorHAnsi" w:eastAsiaTheme="minorEastAsia" w:hAnsiTheme="minorHAnsi" w:cstheme="minorBidi"/>
          <w:b w:val="0"/>
          <w:sz w:val="22"/>
          <w:szCs w:val="22"/>
        </w:rPr>
      </w:pPr>
      <w:r>
        <w:t>Chapter 5 — Vehicle licence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228.</w:t>
      </w:r>
      <w:r>
        <w:tab/>
        <w:t>Terms used</w:t>
      </w:r>
      <w:r>
        <w:tab/>
      </w:r>
      <w:r>
        <w:fldChar w:fldCharType="begin"/>
      </w:r>
      <w:r>
        <w:instrText xml:space="preserve"> PAGEREF _Toc413847336 \h </w:instrText>
      </w:r>
      <w:r>
        <w:fldChar w:fldCharType="separate"/>
      </w:r>
      <w:r>
        <w:t>185</w:t>
      </w:r>
      <w:r>
        <w:fldChar w:fldCharType="end"/>
      </w:r>
    </w:p>
    <w:p>
      <w:pPr>
        <w:pStyle w:val="TOC4"/>
        <w:tabs>
          <w:tab w:val="right" w:leader="dot" w:pos="7077"/>
        </w:tabs>
        <w:rPr>
          <w:rFonts w:asciiTheme="minorHAnsi" w:eastAsiaTheme="minorEastAsia" w:hAnsiTheme="minorHAnsi" w:cstheme="minorBidi"/>
          <w:b w:val="0"/>
          <w:szCs w:val="22"/>
        </w:rPr>
      </w:pPr>
      <w:r>
        <w:t>Part 2 — Imposition of vehicle licence duty</w:t>
      </w:r>
    </w:p>
    <w:p>
      <w:pPr>
        <w:pStyle w:val="TOC8"/>
        <w:rPr>
          <w:rFonts w:asciiTheme="minorHAnsi" w:eastAsiaTheme="minorEastAsia" w:hAnsiTheme="minorHAnsi" w:cstheme="minorBidi"/>
          <w:szCs w:val="22"/>
        </w:rPr>
      </w:pPr>
      <w:r>
        <w:t>229.</w:t>
      </w:r>
      <w:r>
        <w:tab/>
        <w:t>Vehicle licence duty imposed</w:t>
      </w:r>
      <w:r>
        <w:tab/>
      </w:r>
      <w:r>
        <w:fldChar w:fldCharType="begin"/>
      </w:r>
      <w:r>
        <w:instrText xml:space="preserve"> PAGEREF _Toc413847338 \h </w:instrText>
      </w:r>
      <w:r>
        <w:fldChar w:fldCharType="separate"/>
      </w:r>
      <w:r>
        <w:t>186</w:t>
      </w:r>
      <w:r>
        <w:fldChar w:fldCharType="end"/>
      </w:r>
    </w:p>
    <w:p>
      <w:pPr>
        <w:pStyle w:val="TOC8"/>
        <w:rPr>
          <w:rFonts w:asciiTheme="minorHAnsi" w:eastAsiaTheme="minorEastAsia" w:hAnsiTheme="minorHAnsi" w:cstheme="minorBidi"/>
          <w:szCs w:val="22"/>
        </w:rPr>
      </w:pPr>
      <w:r>
        <w:t>230.</w:t>
      </w:r>
      <w:r>
        <w:tab/>
        <w:t>Terms used</w:t>
      </w:r>
      <w:r>
        <w:tab/>
      </w:r>
      <w:r>
        <w:fldChar w:fldCharType="begin"/>
      </w:r>
      <w:r>
        <w:instrText xml:space="preserve"> PAGEREF _Toc413847339 \h </w:instrText>
      </w:r>
      <w:r>
        <w:fldChar w:fldCharType="separate"/>
      </w:r>
      <w:r>
        <w:t>186</w:t>
      </w:r>
      <w:r>
        <w:fldChar w:fldCharType="end"/>
      </w:r>
    </w:p>
    <w:p>
      <w:pPr>
        <w:pStyle w:val="TOC4"/>
        <w:tabs>
          <w:tab w:val="right" w:leader="dot" w:pos="7077"/>
        </w:tabs>
        <w:rPr>
          <w:rFonts w:asciiTheme="minorHAnsi" w:eastAsiaTheme="minorEastAsia" w:hAnsiTheme="minorHAnsi" w:cstheme="minorBidi"/>
          <w:b w:val="0"/>
          <w:szCs w:val="22"/>
        </w:rPr>
      </w:pPr>
      <w:r>
        <w:t>Part 3 — Collection of vehicle licence duty</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231.</w:t>
      </w:r>
      <w:r>
        <w:tab/>
        <w:t>Terms used</w:t>
      </w:r>
      <w:r>
        <w:tab/>
      </w:r>
      <w:r>
        <w:fldChar w:fldCharType="begin"/>
      </w:r>
      <w:r>
        <w:instrText xml:space="preserve"> PAGEREF _Toc413847342 \h </w:instrText>
      </w:r>
      <w:r>
        <w:fldChar w:fldCharType="separate"/>
      </w:r>
      <w:r>
        <w:t>187</w:t>
      </w:r>
      <w:r>
        <w:fldChar w:fldCharType="end"/>
      </w:r>
    </w:p>
    <w:p>
      <w:pPr>
        <w:pStyle w:val="TOC6"/>
        <w:tabs>
          <w:tab w:val="right" w:leader="dot" w:pos="7077"/>
        </w:tabs>
        <w:rPr>
          <w:rFonts w:asciiTheme="minorHAnsi" w:eastAsiaTheme="minorEastAsia" w:hAnsiTheme="minorHAnsi" w:cstheme="minorBidi"/>
          <w:b w:val="0"/>
          <w:sz w:val="22"/>
          <w:szCs w:val="22"/>
        </w:rPr>
      </w:pPr>
      <w:r>
        <w:t>Division 2 — Liability</w:t>
      </w:r>
    </w:p>
    <w:p>
      <w:pPr>
        <w:pStyle w:val="TOC8"/>
        <w:rPr>
          <w:rFonts w:asciiTheme="minorHAnsi" w:eastAsiaTheme="minorEastAsia" w:hAnsiTheme="minorHAnsi" w:cstheme="minorBidi"/>
          <w:szCs w:val="22"/>
        </w:rPr>
      </w:pPr>
      <w:r>
        <w:t>232.</w:t>
      </w:r>
      <w:r>
        <w:tab/>
        <w:t>Who is liable to pay duty</w:t>
      </w:r>
      <w:r>
        <w:tab/>
      </w:r>
      <w:r>
        <w:fldChar w:fldCharType="begin"/>
      </w:r>
      <w:r>
        <w:instrText xml:space="preserve"> PAGEREF _Toc413847344 \h </w:instrText>
      </w:r>
      <w:r>
        <w:fldChar w:fldCharType="separate"/>
      </w:r>
      <w:r>
        <w:t>188</w:t>
      </w:r>
      <w:r>
        <w:fldChar w:fldCharType="end"/>
      </w:r>
    </w:p>
    <w:p>
      <w:pPr>
        <w:pStyle w:val="TOC6"/>
        <w:tabs>
          <w:tab w:val="right" w:leader="dot" w:pos="7077"/>
        </w:tabs>
        <w:rPr>
          <w:rFonts w:asciiTheme="minorHAnsi" w:eastAsiaTheme="minorEastAsia" w:hAnsiTheme="minorHAnsi" w:cstheme="minorBidi"/>
          <w:b w:val="0"/>
          <w:sz w:val="22"/>
          <w:szCs w:val="22"/>
        </w:rPr>
      </w:pPr>
      <w:r>
        <w:t>Division 3 — Assessment and payment of vehicle licence duty</w:t>
      </w:r>
    </w:p>
    <w:p>
      <w:pPr>
        <w:pStyle w:val="TOC8"/>
        <w:rPr>
          <w:rFonts w:asciiTheme="minorHAnsi" w:eastAsiaTheme="minorEastAsia" w:hAnsiTheme="minorHAnsi" w:cstheme="minorBidi"/>
          <w:szCs w:val="22"/>
        </w:rPr>
      </w:pPr>
      <w:r>
        <w:t>233.</w:t>
      </w:r>
      <w:r>
        <w:tab/>
        <w:t>Assessment of duty</w:t>
      </w:r>
      <w:r>
        <w:tab/>
      </w:r>
      <w:r>
        <w:fldChar w:fldCharType="begin"/>
      </w:r>
      <w:r>
        <w:instrText xml:space="preserve"> PAGEREF _Toc413847346 \h </w:instrText>
      </w:r>
      <w:r>
        <w:fldChar w:fldCharType="separate"/>
      </w:r>
      <w:r>
        <w:t>188</w:t>
      </w:r>
      <w:r>
        <w:fldChar w:fldCharType="end"/>
      </w:r>
    </w:p>
    <w:p>
      <w:pPr>
        <w:pStyle w:val="TOC8"/>
        <w:rPr>
          <w:rFonts w:asciiTheme="minorHAnsi" w:eastAsiaTheme="minorEastAsia" w:hAnsiTheme="minorHAnsi" w:cstheme="minorBidi"/>
          <w:szCs w:val="22"/>
        </w:rPr>
      </w:pPr>
      <w:r>
        <w:t>234.</w:t>
      </w:r>
      <w:r>
        <w:tab/>
        <w:t>Applicant for licence to state dutiable value of vehicle etc.</w:t>
      </w:r>
      <w:r>
        <w:tab/>
      </w:r>
      <w:r>
        <w:fldChar w:fldCharType="begin"/>
      </w:r>
      <w:r>
        <w:instrText xml:space="preserve"> PAGEREF _Toc413847347 \h </w:instrText>
      </w:r>
      <w:r>
        <w:fldChar w:fldCharType="separate"/>
      </w:r>
      <w:r>
        <w:t>189</w:t>
      </w:r>
      <w:r>
        <w:fldChar w:fldCharType="end"/>
      </w:r>
    </w:p>
    <w:p>
      <w:pPr>
        <w:pStyle w:val="TOC8"/>
        <w:rPr>
          <w:rFonts w:asciiTheme="minorHAnsi" w:eastAsiaTheme="minorEastAsia" w:hAnsiTheme="minorHAnsi" w:cstheme="minorBidi"/>
          <w:szCs w:val="22"/>
        </w:rPr>
      </w:pPr>
      <w:r>
        <w:t>235.</w:t>
      </w:r>
      <w:r>
        <w:tab/>
        <w:t>Payment of duty</w:t>
      </w:r>
      <w:r>
        <w:tab/>
      </w:r>
      <w:r>
        <w:fldChar w:fldCharType="begin"/>
      </w:r>
      <w:r>
        <w:instrText xml:space="preserve"> PAGEREF _Toc413847348 \h </w:instrText>
      </w:r>
      <w:r>
        <w:fldChar w:fldCharType="separate"/>
      </w:r>
      <w:r>
        <w:t>189</w:t>
      </w:r>
      <w:r>
        <w:fldChar w:fldCharType="end"/>
      </w:r>
    </w:p>
    <w:p>
      <w:pPr>
        <w:pStyle w:val="TOC6"/>
        <w:tabs>
          <w:tab w:val="right" w:leader="dot" w:pos="7077"/>
        </w:tabs>
        <w:rPr>
          <w:rFonts w:asciiTheme="minorHAnsi" w:eastAsiaTheme="minorEastAsia" w:hAnsiTheme="minorHAnsi" w:cstheme="minorBidi"/>
          <w:b w:val="0"/>
          <w:sz w:val="22"/>
          <w:szCs w:val="22"/>
        </w:rPr>
      </w:pPr>
      <w:r>
        <w:t>Division 4 — Amount of vehicle licence duty</w:t>
      </w:r>
    </w:p>
    <w:p>
      <w:pPr>
        <w:pStyle w:val="TOC8"/>
        <w:rPr>
          <w:rFonts w:asciiTheme="minorHAnsi" w:eastAsiaTheme="minorEastAsia" w:hAnsiTheme="minorHAnsi" w:cstheme="minorBidi"/>
          <w:szCs w:val="22"/>
        </w:rPr>
      </w:pPr>
      <w:r>
        <w:t>236.</w:t>
      </w:r>
      <w:r>
        <w:tab/>
        <w:t>Amount of duty payable</w:t>
      </w:r>
      <w:r>
        <w:tab/>
      </w:r>
      <w:r>
        <w:fldChar w:fldCharType="begin"/>
      </w:r>
      <w:r>
        <w:instrText xml:space="preserve"> PAGEREF _Toc413847350 \h </w:instrText>
      </w:r>
      <w:r>
        <w:fldChar w:fldCharType="separate"/>
      </w:r>
      <w:r>
        <w:t>190</w:t>
      </w:r>
      <w:r>
        <w:fldChar w:fldCharType="end"/>
      </w:r>
    </w:p>
    <w:p>
      <w:pPr>
        <w:pStyle w:val="TOC6"/>
        <w:tabs>
          <w:tab w:val="right" w:leader="dot" w:pos="7077"/>
        </w:tabs>
        <w:rPr>
          <w:rFonts w:asciiTheme="minorHAnsi" w:eastAsiaTheme="minorEastAsia" w:hAnsiTheme="minorHAnsi" w:cstheme="minorBidi"/>
          <w:b w:val="0"/>
          <w:sz w:val="22"/>
          <w:szCs w:val="22"/>
        </w:rPr>
      </w:pPr>
      <w:r>
        <w:t>Division 5 — Dutiable value of a vehicle</w:t>
      </w:r>
    </w:p>
    <w:p>
      <w:pPr>
        <w:pStyle w:val="TOC8"/>
        <w:rPr>
          <w:rFonts w:asciiTheme="minorHAnsi" w:eastAsiaTheme="minorEastAsia" w:hAnsiTheme="minorHAnsi" w:cstheme="minorBidi"/>
          <w:szCs w:val="22"/>
        </w:rPr>
      </w:pPr>
      <w:r>
        <w:t>237.</w:t>
      </w:r>
      <w:r>
        <w:tab/>
        <w:t>Certain new vehicles, dutiable value of</w:t>
      </w:r>
      <w:r>
        <w:tab/>
      </w:r>
      <w:r>
        <w:fldChar w:fldCharType="begin"/>
      </w:r>
      <w:r>
        <w:instrText xml:space="preserve"> PAGEREF _Toc413847352 \h </w:instrText>
      </w:r>
      <w:r>
        <w:fldChar w:fldCharType="separate"/>
      </w:r>
      <w:r>
        <w:t>191</w:t>
      </w:r>
      <w:r>
        <w:fldChar w:fldCharType="end"/>
      </w:r>
    </w:p>
    <w:p>
      <w:pPr>
        <w:pStyle w:val="TOC8"/>
        <w:rPr>
          <w:rFonts w:asciiTheme="minorHAnsi" w:eastAsiaTheme="minorEastAsia" w:hAnsiTheme="minorHAnsi" w:cstheme="minorBidi"/>
          <w:szCs w:val="22"/>
        </w:rPr>
      </w:pPr>
      <w:r>
        <w:t>238.</w:t>
      </w:r>
      <w:r>
        <w:tab/>
        <w:t>Certain other vehicles, dutiable value of</w:t>
      </w:r>
      <w:r>
        <w:tab/>
      </w:r>
      <w:r>
        <w:fldChar w:fldCharType="begin"/>
      </w:r>
      <w:r>
        <w:instrText xml:space="preserve"> PAGEREF _Toc413847353 \h </w:instrText>
      </w:r>
      <w:r>
        <w:fldChar w:fldCharType="separate"/>
      </w:r>
      <w:r>
        <w:t>191</w:t>
      </w:r>
      <w:r>
        <w:fldChar w:fldCharType="end"/>
      </w:r>
    </w:p>
    <w:p>
      <w:pPr>
        <w:pStyle w:val="TOC8"/>
        <w:rPr>
          <w:rFonts w:asciiTheme="minorHAnsi" w:eastAsiaTheme="minorEastAsia" w:hAnsiTheme="minorHAnsi" w:cstheme="minorBidi"/>
          <w:szCs w:val="22"/>
        </w:rPr>
      </w:pPr>
      <w:r>
        <w:t>239.</w:t>
      </w:r>
      <w:r>
        <w:tab/>
        <w:t>Specialised vehicles, dutiable value of</w:t>
      </w:r>
      <w:r>
        <w:tab/>
      </w:r>
      <w:r>
        <w:fldChar w:fldCharType="begin"/>
      </w:r>
      <w:r>
        <w:instrText xml:space="preserve"> PAGEREF _Toc413847354 \h </w:instrText>
      </w:r>
      <w:r>
        <w:fldChar w:fldCharType="separate"/>
      </w:r>
      <w:r>
        <w:t>191</w:t>
      </w:r>
      <w:r>
        <w:fldChar w:fldCharType="end"/>
      </w:r>
    </w:p>
    <w:p>
      <w:pPr>
        <w:pStyle w:val="TOC4"/>
        <w:tabs>
          <w:tab w:val="right" w:leader="dot" w:pos="7077"/>
        </w:tabs>
        <w:rPr>
          <w:rFonts w:asciiTheme="minorHAnsi" w:eastAsiaTheme="minorEastAsia" w:hAnsiTheme="minorHAnsi" w:cstheme="minorBidi"/>
          <w:b w:val="0"/>
          <w:szCs w:val="22"/>
        </w:rPr>
      </w:pPr>
      <w:r>
        <w:t>Part 4 — Exemptions and nominal duty</w:t>
      </w:r>
    </w:p>
    <w:p>
      <w:pPr>
        <w:pStyle w:val="TOC6"/>
        <w:tabs>
          <w:tab w:val="right" w:leader="dot" w:pos="7077"/>
        </w:tabs>
        <w:rPr>
          <w:rFonts w:asciiTheme="minorHAnsi" w:eastAsiaTheme="minorEastAsia" w:hAnsiTheme="minorHAnsi" w:cstheme="minorBidi"/>
          <w:b w:val="0"/>
          <w:sz w:val="22"/>
          <w:szCs w:val="22"/>
        </w:rPr>
      </w:pPr>
      <w:r>
        <w:t>Division 1 — Exemptions — general</w:t>
      </w:r>
    </w:p>
    <w:p>
      <w:pPr>
        <w:pStyle w:val="TOC8"/>
        <w:rPr>
          <w:rFonts w:asciiTheme="minorHAnsi" w:eastAsiaTheme="minorEastAsia" w:hAnsiTheme="minorHAnsi" w:cstheme="minorBidi"/>
          <w:szCs w:val="22"/>
        </w:rPr>
      </w:pPr>
      <w:r>
        <w:t>240.</w:t>
      </w:r>
      <w:r>
        <w:tab/>
        <w:t>If no vehicle licence fee payable under Road Traffic Act</w:t>
      </w:r>
      <w:r>
        <w:tab/>
      </w:r>
      <w:r>
        <w:fldChar w:fldCharType="begin"/>
      </w:r>
      <w:r>
        <w:instrText xml:space="preserve"> PAGEREF _Toc413847357 \h </w:instrText>
      </w:r>
      <w:r>
        <w:fldChar w:fldCharType="separate"/>
      </w:r>
      <w:r>
        <w:t>193</w:t>
      </w:r>
      <w:r>
        <w:fldChar w:fldCharType="end"/>
      </w:r>
    </w:p>
    <w:p>
      <w:pPr>
        <w:pStyle w:val="TOC8"/>
        <w:rPr>
          <w:rFonts w:asciiTheme="minorHAnsi" w:eastAsiaTheme="minorEastAsia" w:hAnsiTheme="minorHAnsi" w:cstheme="minorBidi"/>
          <w:szCs w:val="22"/>
        </w:rPr>
      </w:pPr>
      <w:r>
        <w:t>241.</w:t>
      </w:r>
      <w:r>
        <w:tab/>
        <w:t>If transfer is a reconstruction transaction</w:t>
      </w:r>
      <w:r>
        <w:tab/>
      </w:r>
      <w:r>
        <w:fldChar w:fldCharType="begin"/>
      </w:r>
      <w:r>
        <w:instrText xml:space="preserve"> PAGEREF _Toc413847358 \h </w:instrText>
      </w:r>
      <w:r>
        <w:fldChar w:fldCharType="separate"/>
      </w:r>
      <w:r>
        <w:t>193</w:t>
      </w:r>
      <w:r>
        <w:fldChar w:fldCharType="end"/>
      </w:r>
    </w:p>
    <w:p>
      <w:pPr>
        <w:pStyle w:val="TOC8"/>
        <w:rPr>
          <w:rFonts w:asciiTheme="minorHAnsi" w:eastAsiaTheme="minorEastAsia" w:hAnsiTheme="minorHAnsi" w:cstheme="minorBidi"/>
          <w:szCs w:val="22"/>
        </w:rPr>
      </w:pPr>
      <w:r>
        <w:t>242.</w:t>
      </w:r>
      <w:r>
        <w:tab/>
        <w:t>If vehicle previously licensed to licence holder</w:t>
      </w:r>
      <w:r>
        <w:tab/>
      </w:r>
      <w:r>
        <w:fldChar w:fldCharType="begin"/>
      </w:r>
      <w:r>
        <w:instrText xml:space="preserve"> PAGEREF _Toc413847359 \h </w:instrText>
      </w:r>
      <w:r>
        <w:fldChar w:fldCharType="separate"/>
      </w:r>
      <w:r>
        <w:t>193</w:t>
      </w:r>
      <w:r>
        <w:fldChar w:fldCharType="end"/>
      </w:r>
    </w:p>
    <w:p>
      <w:pPr>
        <w:pStyle w:val="TOC8"/>
        <w:rPr>
          <w:rFonts w:asciiTheme="minorHAnsi" w:eastAsiaTheme="minorEastAsia" w:hAnsiTheme="minorHAnsi" w:cstheme="minorBidi"/>
          <w:szCs w:val="22"/>
        </w:rPr>
      </w:pPr>
      <w:r>
        <w:t>243.</w:t>
      </w:r>
      <w:r>
        <w:tab/>
        <w:t>If licence is for certain heavy vehicle</w:t>
      </w:r>
      <w:r>
        <w:tab/>
      </w:r>
      <w:r>
        <w:fldChar w:fldCharType="begin"/>
      </w:r>
      <w:r>
        <w:instrText xml:space="preserve"> PAGEREF _Toc413847360 \h </w:instrText>
      </w:r>
      <w:r>
        <w:fldChar w:fldCharType="separate"/>
      </w:r>
      <w:r>
        <w:t>194</w:t>
      </w:r>
      <w:r>
        <w:fldChar w:fldCharType="end"/>
      </w:r>
    </w:p>
    <w:p>
      <w:pPr>
        <w:pStyle w:val="TOC8"/>
        <w:rPr>
          <w:rFonts w:asciiTheme="minorHAnsi" w:eastAsiaTheme="minorEastAsia" w:hAnsiTheme="minorHAnsi" w:cstheme="minorBidi"/>
          <w:szCs w:val="22"/>
        </w:rPr>
      </w:pPr>
      <w:r>
        <w:t>244A.</w:t>
      </w:r>
      <w:r>
        <w:tab/>
        <w:t>If transfer is between spouses or de facto partners</w:t>
      </w:r>
      <w:r>
        <w:tab/>
      </w:r>
      <w:r>
        <w:fldChar w:fldCharType="begin"/>
      </w:r>
      <w:r>
        <w:instrText xml:space="preserve"> PAGEREF _Toc413847361 \h </w:instrText>
      </w:r>
      <w:r>
        <w:fldChar w:fldCharType="separate"/>
      </w:r>
      <w:r>
        <w:t>195</w:t>
      </w:r>
      <w:r>
        <w:fldChar w:fldCharType="end"/>
      </w:r>
    </w:p>
    <w:p>
      <w:pPr>
        <w:pStyle w:val="TOC8"/>
        <w:rPr>
          <w:rFonts w:asciiTheme="minorHAnsi" w:eastAsiaTheme="minorEastAsia" w:hAnsiTheme="minorHAnsi" w:cstheme="minorBidi"/>
          <w:szCs w:val="22"/>
        </w:rPr>
      </w:pPr>
      <w:r>
        <w:t>244.</w:t>
      </w:r>
      <w:r>
        <w:tab/>
        <w:t>If licence is for prescribed class of person or vehicle etc.</w:t>
      </w:r>
      <w:r>
        <w:tab/>
      </w:r>
      <w:r>
        <w:fldChar w:fldCharType="begin"/>
      </w:r>
      <w:r>
        <w:instrText xml:space="preserve"> PAGEREF _Toc413847362 \h </w:instrText>
      </w:r>
      <w:r>
        <w:fldChar w:fldCharType="separate"/>
      </w:r>
      <w:r>
        <w:t>196</w:t>
      </w:r>
      <w:r>
        <w:fldChar w:fldCharType="end"/>
      </w:r>
    </w:p>
    <w:p>
      <w:pPr>
        <w:pStyle w:val="TOC6"/>
        <w:tabs>
          <w:tab w:val="right" w:leader="dot" w:pos="7077"/>
        </w:tabs>
        <w:rPr>
          <w:rFonts w:asciiTheme="minorHAnsi" w:eastAsiaTheme="minorEastAsia" w:hAnsiTheme="minorHAnsi" w:cstheme="minorBidi"/>
          <w:b w:val="0"/>
          <w:sz w:val="22"/>
          <w:szCs w:val="22"/>
        </w:rPr>
      </w:pPr>
      <w:r>
        <w:t>Division 2 — Exemptions — motor vehicle dealers</w:t>
      </w:r>
    </w:p>
    <w:p>
      <w:pPr>
        <w:pStyle w:val="TOC8"/>
        <w:rPr>
          <w:rFonts w:asciiTheme="minorHAnsi" w:eastAsiaTheme="minorEastAsia" w:hAnsiTheme="minorHAnsi" w:cstheme="minorBidi"/>
          <w:szCs w:val="22"/>
        </w:rPr>
      </w:pPr>
      <w:r>
        <w:t>245.</w:t>
      </w:r>
      <w:r>
        <w:tab/>
        <w:t>Use of vehicle includes for minor incidental purposes</w:t>
      </w:r>
      <w:r>
        <w:tab/>
      </w:r>
      <w:r>
        <w:fldChar w:fldCharType="begin"/>
      </w:r>
      <w:r>
        <w:instrText xml:space="preserve"> PAGEREF _Toc413847364 \h </w:instrText>
      </w:r>
      <w:r>
        <w:fldChar w:fldCharType="separate"/>
      </w:r>
      <w:r>
        <w:t>196</w:t>
      </w:r>
      <w:r>
        <w:fldChar w:fldCharType="end"/>
      </w:r>
    </w:p>
    <w:p>
      <w:pPr>
        <w:pStyle w:val="TOC8"/>
        <w:rPr>
          <w:rFonts w:asciiTheme="minorHAnsi" w:eastAsiaTheme="minorEastAsia" w:hAnsiTheme="minorHAnsi" w:cstheme="minorBidi"/>
          <w:szCs w:val="22"/>
        </w:rPr>
      </w:pPr>
      <w:r>
        <w:t>246.</w:t>
      </w:r>
      <w:r>
        <w:tab/>
        <w:t>If licence is for vehicle in dealer’s trading stock</w:t>
      </w:r>
      <w:r>
        <w:tab/>
      </w:r>
      <w:r>
        <w:fldChar w:fldCharType="begin"/>
      </w:r>
      <w:r>
        <w:instrText xml:space="preserve"> PAGEREF _Toc413847365 \h </w:instrText>
      </w:r>
      <w:r>
        <w:fldChar w:fldCharType="separate"/>
      </w:r>
      <w:r>
        <w:t>196</w:t>
      </w:r>
      <w:r>
        <w:fldChar w:fldCharType="end"/>
      </w:r>
    </w:p>
    <w:p>
      <w:pPr>
        <w:pStyle w:val="TOC8"/>
        <w:rPr>
          <w:rFonts w:asciiTheme="minorHAnsi" w:eastAsiaTheme="minorEastAsia" w:hAnsiTheme="minorHAnsi" w:cstheme="minorBidi"/>
          <w:szCs w:val="22"/>
        </w:rPr>
      </w:pPr>
      <w:r>
        <w:t>247.</w:t>
      </w:r>
      <w:r>
        <w:tab/>
        <w:t>If licence is for vehicle used for charitable etc. purposes</w:t>
      </w:r>
      <w:r>
        <w:tab/>
      </w:r>
      <w:r>
        <w:fldChar w:fldCharType="begin"/>
      </w:r>
      <w:r>
        <w:instrText xml:space="preserve"> PAGEREF _Toc413847366 \h </w:instrText>
      </w:r>
      <w:r>
        <w:fldChar w:fldCharType="separate"/>
      </w:r>
      <w:r>
        <w:t>197</w:t>
      </w:r>
      <w:r>
        <w:fldChar w:fldCharType="end"/>
      </w:r>
    </w:p>
    <w:p>
      <w:pPr>
        <w:pStyle w:val="TOC8"/>
        <w:rPr>
          <w:rFonts w:asciiTheme="minorHAnsi" w:eastAsiaTheme="minorEastAsia" w:hAnsiTheme="minorHAnsi" w:cstheme="minorBidi"/>
          <w:szCs w:val="22"/>
        </w:rPr>
      </w:pPr>
      <w:r>
        <w:t>248.</w:t>
      </w:r>
      <w:r>
        <w:tab/>
        <w:t>Change of permitted use of exempt vehicle, Commissioner to be notified</w:t>
      </w:r>
      <w:r>
        <w:tab/>
      </w:r>
      <w:r>
        <w:fldChar w:fldCharType="begin"/>
      </w:r>
      <w:r>
        <w:instrText xml:space="preserve"> PAGEREF _Toc413847367 \h </w:instrText>
      </w:r>
      <w:r>
        <w:fldChar w:fldCharType="separate"/>
      </w:r>
      <w:r>
        <w:t>198</w:t>
      </w:r>
      <w:r>
        <w:fldChar w:fldCharType="end"/>
      </w:r>
    </w:p>
    <w:p>
      <w:pPr>
        <w:pStyle w:val="TOC8"/>
        <w:rPr>
          <w:rFonts w:asciiTheme="minorHAnsi" w:eastAsiaTheme="minorEastAsia" w:hAnsiTheme="minorHAnsi" w:cstheme="minorBidi"/>
          <w:szCs w:val="22"/>
        </w:rPr>
      </w:pPr>
      <w:r>
        <w:t>249.</w:t>
      </w:r>
      <w:r>
        <w:tab/>
        <w:t>Change of use of exempt vehicle to non</w:t>
      </w:r>
      <w:r>
        <w:noBreakHyphen/>
        <w:t>permitted use, consequences of</w:t>
      </w:r>
      <w:r>
        <w:tab/>
      </w:r>
      <w:r>
        <w:fldChar w:fldCharType="begin"/>
      </w:r>
      <w:r>
        <w:instrText xml:space="preserve"> PAGEREF _Toc413847368 \h </w:instrText>
      </w:r>
      <w:r>
        <w:fldChar w:fldCharType="separate"/>
      </w:r>
      <w:r>
        <w:t>198</w:t>
      </w:r>
      <w:r>
        <w:fldChar w:fldCharType="end"/>
      </w:r>
    </w:p>
    <w:p>
      <w:pPr>
        <w:pStyle w:val="TOC6"/>
        <w:tabs>
          <w:tab w:val="right" w:leader="dot" w:pos="7077"/>
        </w:tabs>
        <w:rPr>
          <w:rFonts w:asciiTheme="minorHAnsi" w:eastAsiaTheme="minorEastAsia" w:hAnsiTheme="minorHAnsi" w:cstheme="minorBidi"/>
          <w:b w:val="0"/>
          <w:sz w:val="22"/>
          <w:szCs w:val="22"/>
        </w:rPr>
      </w:pPr>
      <w:r>
        <w:t>Division 3 — Nominal duty</w:t>
      </w:r>
    </w:p>
    <w:p>
      <w:pPr>
        <w:pStyle w:val="TOC8"/>
        <w:rPr>
          <w:rFonts w:asciiTheme="minorHAnsi" w:eastAsiaTheme="minorEastAsia" w:hAnsiTheme="minorHAnsi" w:cstheme="minorBidi"/>
          <w:szCs w:val="22"/>
        </w:rPr>
      </w:pPr>
      <w:r>
        <w:t>250.</w:t>
      </w:r>
      <w:r>
        <w:tab/>
        <w:t>Transactions chargeable with nominal duty</w:t>
      </w:r>
      <w:r>
        <w:tab/>
      </w:r>
      <w:r>
        <w:fldChar w:fldCharType="begin"/>
      </w:r>
      <w:r>
        <w:instrText xml:space="preserve"> PAGEREF _Toc413847370 \h </w:instrText>
      </w:r>
      <w:r>
        <w:fldChar w:fldCharType="separate"/>
      </w:r>
      <w:r>
        <w:t>200</w:t>
      </w:r>
      <w:r>
        <w:fldChar w:fldCharType="end"/>
      </w:r>
    </w:p>
    <w:p>
      <w:pPr>
        <w:pStyle w:val="TOC4"/>
        <w:tabs>
          <w:tab w:val="right" w:leader="dot" w:pos="7077"/>
        </w:tabs>
        <w:rPr>
          <w:rFonts w:asciiTheme="minorHAnsi" w:eastAsiaTheme="minorEastAsia" w:hAnsiTheme="minorHAnsi" w:cstheme="minorBidi"/>
          <w:b w:val="0"/>
          <w:szCs w:val="22"/>
        </w:rPr>
      </w:pPr>
      <w:r>
        <w:t>Part 5 — General provisions as to vehicle licence duty</w:t>
      </w:r>
    </w:p>
    <w:p>
      <w:pPr>
        <w:pStyle w:val="TOC8"/>
        <w:rPr>
          <w:rFonts w:asciiTheme="minorHAnsi" w:eastAsiaTheme="minorEastAsia" w:hAnsiTheme="minorHAnsi" w:cstheme="minorBidi"/>
          <w:szCs w:val="22"/>
        </w:rPr>
      </w:pPr>
      <w:r>
        <w:t>251.</w:t>
      </w:r>
      <w:r>
        <w:tab/>
        <w:t>Failure to apply for transfer of licence</w:t>
      </w:r>
      <w:r>
        <w:tab/>
      </w:r>
      <w:r>
        <w:fldChar w:fldCharType="begin"/>
      </w:r>
      <w:r>
        <w:instrText xml:space="preserve"> PAGEREF _Toc413847372 \h </w:instrText>
      </w:r>
      <w:r>
        <w:fldChar w:fldCharType="separate"/>
      </w:r>
      <w:r>
        <w:t>202</w:t>
      </w:r>
      <w:r>
        <w:fldChar w:fldCharType="end"/>
      </w:r>
    </w:p>
    <w:p>
      <w:pPr>
        <w:pStyle w:val="TOC8"/>
        <w:rPr>
          <w:rFonts w:asciiTheme="minorHAnsi" w:eastAsiaTheme="minorEastAsia" w:hAnsiTheme="minorHAnsi" w:cstheme="minorBidi"/>
          <w:szCs w:val="22"/>
        </w:rPr>
      </w:pPr>
      <w:r>
        <w:t>252.</w:t>
      </w:r>
      <w:r>
        <w:tab/>
        <w:t>Seller to state dutiable value of vehicle etc.</w:t>
      </w:r>
      <w:r>
        <w:tab/>
      </w:r>
      <w:r>
        <w:fldChar w:fldCharType="begin"/>
      </w:r>
      <w:r>
        <w:instrText xml:space="preserve"> PAGEREF _Toc413847373 \h </w:instrText>
      </w:r>
      <w:r>
        <w:fldChar w:fldCharType="separate"/>
      </w:r>
      <w:r>
        <w:t>202</w:t>
      </w:r>
      <w:r>
        <w:fldChar w:fldCharType="end"/>
      </w:r>
    </w:p>
    <w:p>
      <w:pPr>
        <w:pStyle w:val="TOC8"/>
        <w:rPr>
          <w:rFonts w:asciiTheme="minorHAnsi" w:eastAsiaTheme="minorEastAsia" w:hAnsiTheme="minorHAnsi" w:cstheme="minorBidi"/>
          <w:szCs w:val="22"/>
        </w:rPr>
      </w:pPr>
      <w:r>
        <w:t>253.</w:t>
      </w:r>
      <w:r>
        <w:tab/>
        <w:t>Functions of Director General and Commissioner</w:t>
      </w:r>
      <w:r>
        <w:tab/>
      </w:r>
      <w:r>
        <w:fldChar w:fldCharType="begin"/>
      </w:r>
      <w:r>
        <w:instrText xml:space="preserve"> PAGEREF _Toc413847374 \h </w:instrText>
      </w:r>
      <w:r>
        <w:fldChar w:fldCharType="separate"/>
      </w:r>
      <w:r>
        <w:t>203</w:t>
      </w:r>
      <w:r>
        <w:fldChar w:fldCharType="end"/>
      </w:r>
    </w:p>
    <w:p>
      <w:pPr>
        <w:pStyle w:val="TOC8"/>
        <w:rPr>
          <w:rFonts w:asciiTheme="minorHAnsi" w:eastAsiaTheme="minorEastAsia" w:hAnsiTheme="minorHAnsi" w:cstheme="minorBidi"/>
          <w:szCs w:val="22"/>
        </w:rPr>
      </w:pPr>
      <w:r>
        <w:t>254.</w:t>
      </w:r>
      <w:r>
        <w:tab/>
        <w:t>Form of certain declarations</w:t>
      </w:r>
      <w:r>
        <w:tab/>
      </w:r>
      <w:r>
        <w:fldChar w:fldCharType="begin"/>
      </w:r>
      <w:r>
        <w:instrText xml:space="preserve"> PAGEREF _Toc413847375 \h </w:instrText>
      </w:r>
      <w:r>
        <w:fldChar w:fldCharType="separate"/>
      </w:r>
      <w:r>
        <w:t>204</w:t>
      </w:r>
      <w:r>
        <w:fldChar w:fldCharType="end"/>
      </w:r>
    </w:p>
    <w:p>
      <w:pPr>
        <w:pStyle w:val="TOC8"/>
        <w:rPr>
          <w:rFonts w:asciiTheme="minorHAnsi" w:eastAsiaTheme="minorEastAsia" w:hAnsiTheme="minorHAnsi" w:cstheme="minorBidi"/>
          <w:szCs w:val="22"/>
        </w:rPr>
      </w:pPr>
      <w:r>
        <w:t>255.</w:t>
      </w:r>
      <w:r>
        <w:tab/>
        <w:t>Director General’s duties</w:t>
      </w:r>
      <w:r>
        <w:tab/>
      </w:r>
      <w:r>
        <w:fldChar w:fldCharType="begin"/>
      </w:r>
      <w:r>
        <w:instrText xml:space="preserve"> PAGEREF _Toc413847376 \h </w:instrText>
      </w:r>
      <w:r>
        <w:fldChar w:fldCharType="separate"/>
      </w:r>
      <w:r>
        <w:t>204</w:t>
      </w:r>
      <w:r>
        <w:fldChar w:fldCharType="end"/>
      </w:r>
    </w:p>
    <w:p>
      <w:pPr>
        <w:pStyle w:val="TOC8"/>
        <w:rPr>
          <w:rFonts w:asciiTheme="minorHAnsi" w:eastAsiaTheme="minorEastAsia" w:hAnsiTheme="minorHAnsi" w:cstheme="minorBidi"/>
          <w:szCs w:val="22"/>
        </w:rPr>
      </w:pPr>
      <w:r>
        <w:t>256.</w:t>
      </w:r>
      <w:r>
        <w:tab/>
        <w:t>Records to be kept by dealers</w:t>
      </w:r>
      <w:r>
        <w:tab/>
      </w:r>
      <w:r>
        <w:fldChar w:fldCharType="begin"/>
      </w:r>
      <w:r>
        <w:instrText xml:space="preserve"> PAGEREF _Toc413847377 \h </w:instrText>
      </w:r>
      <w:r>
        <w:fldChar w:fldCharType="separate"/>
      </w:r>
      <w:r>
        <w:t>204</w:t>
      </w:r>
      <w:r>
        <w:fldChar w:fldCharType="end"/>
      </w:r>
    </w:p>
    <w:p>
      <w:pPr>
        <w:pStyle w:val="TOC2"/>
        <w:tabs>
          <w:tab w:val="right" w:leader="dot" w:pos="7077"/>
        </w:tabs>
        <w:rPr>
          <w:rFonts w:asciiTheme="minorHAnsi" w:eastAsiaTheme="minorEastAsia" w:hAnsiTheme="minorHAnsi" w:cstheme="minorBidi"/>
          <w:b w:val="0"/>
          <w:sz w:val="22"/>
          <w:szCs w:val="22"/>
        </w:rPr>
      </w:pPr>
      <w:r>
        <w:t>Chapter 6 — Certain exemptions for connected entities</w:t>
      </w:r>
    </w:p>
    <w:p>
      <w:pPr>
        <w:pStyle w:val="TOC8"/>
        <w:rPr>
          <w:rFonts w:asciiTheme="minorHAnsi" w:eastAsiaTheme="minorEastAsia" w:hAnsiTheme="minorHAnsi" w:cstheme="minorBidi"/>
          <w:szCs w:val="22"/>
        </w:rPr>
      </w:pPr>
      <w:r>
        <w:t>257.</w:t>
      </w:r>
      <w:r>
        <w:tab/>
        <w:t>Terms used</w:t>
      </w:r>
      <w:r>
        <w:tab/>
      </w:r>
      <w:r>
        <w:fldChar w:fldCharType="begin"/>
      </w:r>
      <w:r>
        <w:instrText xml:space="preserve"> PAGEREF _Toc413847379 \h </w:instrText>
      </w:r>
      <w:r>
        <w:fldChar w:fldCharType="separate"/>
      </w:r>
      <w:r>
        <w:t>205</w:t>
      </w:r>
      <w:r>
        <w:fldChar w:fldCharType="end"/>
      </w:r>
    </w:p>
    <w:p>
      <w:pPr>
        <w:pStyle w:val="TOC8"/>
        <w:rPr>
          <w:rFonts w:asciiTheme="minorHAnsi" w:eastAsiaTheme="minorEastAsia" w:hAnsiTheme="minorHAnsi" w:cstheme="minorBidi"/>
          <w:szCs w:val="22"/>
        </w:rPr>
      </w:pPr>
      <w:r>
        <w:t>258.</w:t>
      </w:r>
      <w:r>
        <w:tab/>
        <w:t>Members of a family</w:t>
      </w:r>
      <w:r>
        <w:tab/>
      </w:r>
      <w:r>
        <w:fldChar w:fldCharType="begin"/>
      </w:r>
      <w:r>
        <w:instrText xml:space="preserve"> PAGEREF _Toc413847380 \h </w:instrText>
      </w:r>
      <w:r>
        <w:fldChar w:fldCharType="separate"/>
      </w:r>
      <w:r>
        <w:t>206</w:t>
      </w:r>
      <w:r>
        <w:fldChar w:fldCharType="end"/>
      </w:r>
    </w:p>
    <w:p>
      <w:pPr>
        <w:pStyle w:val="TOC8"/>
        <w:rPr>
          <w:rFonts w:asciiTheme="minorHAnsi" w:eastAsiaTheme="minorEastAsia" w:hAnsiTheme="minorHAnsi" w:cstheme="minorBidi"/>
          <w:szCs w:val="22"/>
        </w:rPr>
      </w:pPr>
      <w:r>
        <w:t>259.</w:t>
      </w:r>
      <w:r>
        <w:tab/>
        <w:t>Term used: relevant consolidation transaction</w:t>
      </w:r>
      <w:r>
        <w:tab/>
      </w:r>
      <w:r>
        <w:fldChar w:fldCharType="begin"/>
      </w:r>
      <w:r>
        <w:instrText xml:space="preserve"> PAGEREF _Toc413847381 \h </w:instrText>
      </w:r>
      <w:r>
        <w:fldChar w:fldCharType="separate"/>
      </w:r>
      <w:r>
        <w:t>206</w:t>
      </w:r>
      <w:r>
        <w:fldChar w:fldCharType="end"/>
      </w:r>
    </w:p>
    <w:p>
      <w:pPr>
        <w:pStyle w:val="TOC8"/>
        <w:rPr>
          <w:rFonts w:asciiTheme="minorHAnsi" w:eastAsiaTheme="minorEastAsia" w:hAnsiTheme="minorHAnsi" w:cstheme="minorBidi"/>
          <w:szCs w:val="22"/>
        </w:rPr>
      </w:pPr>
      <w:r>
        <w:t>260.</w:t>
      </w:r>
      <w:r>
        <w:tab/>
        <w:t>Term used: relevant reconstruction transaction</w:t>
      </w:r>
      <w:r>
        <w:tab/>
      </w:r>
      <w:r>
        <w:fldChar w:fldCharType="begin"/>
      </w:r>
      <w:r>
        <w:instrText xml:space="preserve"> PAGEREF _Toc413847382 \h </w:instrText>
      </w:r>
      <w:r>
        <w:fldChar w:fldCharType="separate"/>
      </w:r>
      <w:r>
        <w:t>207</w:t>
      </w:r>
      <w:r>
        <w:fldChar w:fldCharType="end"/>
      </w:r>
    </w:p>
    <w:p>
      <w:pPr>
        <w:pStyle w:val="TOC8"/>
        <w:rPr>
          <w:rFonts w:asciiTheme="minorHAnsi" w:eastAsiaTheme="minorEastAsia" w:hAnsiTheme="minorHAnsi" w:cstheme="minorBidi"/>
          <w:szCs w:val="22"/>
        </w:rPr>
      </w:pPr>
      <w:r>
        <w:t>261.</w:t>
      </w:r>
      <w:r>
        <w:tab/>
        <w:t>Predetermining certain questions</w:t>
      </w:r>
      <w:r>
        <w:tab/>
      </w:r>
      <w:r>
        <w:fldChar w:fldCharType="begin"/>
      </w:r>
      <w:r>
        <w:instrText xml:space="preserve"> PAGEREF _Toc413847383 \h </w:instrText>
      </w:r>
      <w:r>
        <w:fldChar w:fldCharType="separate"/>
      </w:r>
      <w:r>
        <w:t>209</w:t>
      </w:r>
      <w:r>
        <w:fldChar w:fldCharType="end"/>
      </w:r>
    </w:p>
    <w:p>
      <w:pPr>
        <w:pStyle w:val="TOC8"/>
        <w:rPr>
          <w:rFonts w:asciiTheme="minorHAnsi" w:eastAsiaTheme="minorEastAsia" w:hAnsiTheme="minorHAnsi" w:cstheme="minorBidi"/>
          <w:szCs w:val="22"/>
        </w:rPr>
      </w:pPr>
      <w:r>
        <w:t>262.</w:t>
      </w:r>
      <w:r>
        <w:tab/>
        <w:t>Application for exemption</w:t>
      </w:r>
      <w:r>
        <w:tab/>
      </w:r>
      <w:r>
        <w:fldChar w:fldCharType="begin"/>
      </w:r>
      <w:r>
        <w:instrText xml:space="preserve"> PAGEREF _Toc413847384 \h </w:instrText>
      </w:r>
      <w:r>
        <w:fldChar w:fldCharType="separate"/>
      </w:r>
      <w:r>
        <w:t>210</w:t>
      </w:r>
      <w:r>
        <w:fldChar w:fldCharType="end"/>
      </w:r>
    </w:p>
    <w:p>
      <w:pPr>
        <w:pStyle w:val="TOC8"/>
        <w:rPr>
          <w:rFonts w:asciiTheme="minorHAnsi" w:eastAsiaTheme="minorEastAsia" w:hAnsiTheme="minorHAnsi" w:cstheme="minorBidi"/>
          <w:szCs w:val="22"/>
        </w:rPr>
      </w:pPr>
      <w:r>
        <w:t>263.</w:t>
      </w:r>
      <w:r>
        <w:tab/>
        <w:t>Grant of exemption</w:t>
      </w:r>
      <w:r>
        <w:tab/>
      </w:r>
      <w:r>
        <w:fldChar w:fldCharType="begin"/>
      </w:r>
      <w:r>
        <w:instrText xml:space="preserve"> PAGEREF _Toc413847385 \h </w:instrText>
      </w:r>
      <w:r>
        <w:fldChar w:fldCharType="separate"/>
      </w:r>
      <w:r>
        <w:t>211</w:t>
      </w:r>
      <w:r>
        <w:fldChar w:fldCharType="end"/>
      </w:r>
    </w:p>
    <w:p>
      <w:pPr>
        <w:pStyle w:val="TOC8"/>
        <w:rPr>
          <w:rFonts w:asciiTheme="minorHAnsi" w:eastAsiaTheme="minorEastAsia" w:hAnsiTheme="minorHAnsi" w:cstheme="minorBidi"/>
          <w:szCs w:val="22"/>
        </w:rPr>
      </w:pPr>
      <w:r>
        <w:t>264.</w:t>
      </w:r>
      <w:r>
        <w:tab/>
        <w:t>Commissioner to be notified of certain events after exempt relevant transaction</w:t>
      </w:r>
      <w:r>
        <w:tab/>
      </w:r>
      <w:r>
        <w:fldChar w:fldCharType="begin"/>
      </w:r>
      <w:r>
        <w:instrText xml:space="preserve"> PAGEREF _Toc413847386 \h </w:instrText>
      </w:r>
      <w:r>
        <w:fldChar w:fldCharType="separate"/>
      </w:r>
      <w:r>
        <w:t>212</w:t>
      </w:r>
      <w:r>
        <w:fldChar w:fldCharType="end"/>
      </w:r>
    </w:p>
    <w:p>
      <w:pPr>
        <w:pStyle w:val="TOC8"/>
        <w:rPr>
          <w:rFonts w:asciiTheme="minorHAnsi" w:eastAsiaTheme="minorEastAsia" w:hAnsiTheme="minorHAnsi" w:cstheme="minorBidi"/>
          <w:szCs w:val="22"/>
        </w:rPr>
      </w:pPr>
      <w:r>
        <w:t>265.</w:t>
      </w:r>
      <w:r>
        <w:tab/>
        <w:t>Revoking exemption</w:t>
      </w:r>
      <w:r>
        <w:tab/>
      </w:r>
      <w:r>
        <w:fldChar w:fldCharType="begin"/>
      </w:r>
      <w:r>
        <w:instrText xml:space="preserve"> PAGEREF _Toc413847387 \h </w:instrText>
      </w:r>
      <w:r>
        <w:fldChar w:fldCharType="separate"/>
      </w:r>
      <w:r>
        <w:t>214</w:t>
      </w:r>
      <w:r>
        <w:fldChar w:fldCharType="end"/>
      </w:r>
    </w:p>
    <w:p>
      <w:pPr>
        <w:pStyle w:val="TOC8"/>
        <w:rPr>
          <w:rFonts w:asciiTheme="minorHAnsi" w:eastAsiaTheme="minorEastAsia" w:hAnsiTheme="minorHAnsi" w:cstheme="minorBidi"/>
          <w:szCs w:val="22"/>
        </w:rPr>
      </w:pPr>
      <w:r>
        <w:t>266.</w:t>
      </w:r>
      <w:r>
        <w:tab/>
        <w:t>Liability for duty and tax if exemption revoked</w:t>
      </w:r>
      <w:r>
        <w:tab/>
      </w:r>
      <w:r>
        <w:fldChar w:fldCharType="begin"/>
      </w:r>
      <w:r>
        <w:instrText xml:space="preserve"> PAGEREF _Toc413847388 \h </w:instrText>
      </w:r>
      <w:r>
        <w:fldChar w:fldCharType="separate"/>
      </w:r>
      <w:r>
        <w:t>214</w:t>
      </w:r>
      <w:r>
        <w:fldChar w:fldCharType="end"/>
      </w:r>
    </w:p>
    <w:p>
      <w:pPr>
        <w:pStyle w:val="TOC2"/>
        <w:tabs>
          <w:tab w:val="right" w:leader="dot" w:pos="7077"/>
        </w:tabs>
        <w:rPr>
          <w:rFonts w:asciiTheme="minorHAnsi" w:eastAsiaTheme="minorEastAsia" w:hAnsiTheme="minorHAnsi" w:cstheme="minorBidi"/>
          <w:b w:val="0"/>
          <w:sz w:val="22"/>
          <w:szCs w:val="22"/>
        </w:rPr>
      </w:pPr>
      <w:r>
        <w:t>Chapter 7 — General anti</w:t>
      </w:r>
      <w:r>
        <w:noBreakHyphen/>
        <w:t>avoidance provisions</w:t>
      </w:r>
    </w:p>
    <w:p>
      <w:pPr>
        <w:pStyle w:val="TOC8"/>
        <w:rPr>
          <w:rFonts w:asciiTheme="minorHAnsi" w:eastAsiaTheme="minorEastAsia" w:hAnsiTheme="minorHAnsi" w:cstheme="minorBidi"/>
          <w:szCs w:val="22"/>
        </w:rPr>
      </w:pPr>
      <w:r>
        <w:t>267.</w:t>
      </w:r>
      <w:r>
        <w:tab/>
        <w:t>Term used: scheme</w:t>
      </w:r>
      <w:r>
        <w:tab/>
      </w:r>
      <w:r>
        <w:fldChar w:fldCharType="begin"/>
      </w:r>
      <w:r>
        <w:instrText xml:space="preserve"> PAGEREF _Toc413847390 \h </w:instrText>
      </w:r>
      <w:r>
        <w:fldChar w:fldCharType="separate"/>
      </w:r>
      <w:r>
        <w:t>216</w:t>
      </w:r>
      <w:r>
        <w:fldChar w:fldCharType="end"/>
      </w:r>
    </w:p>
    <w:p>
      <w:pPr>
        <w:pStyle w:val="TOC8"/>
        <w:rPr>
          <w:rFonts w:asciiTheme="minorHAnsi" w:eastAsiaTheme="minorEastAsia" w:hAnsiTheme="minorHAnsi" w:cstheme="minorBidi"/>
          <w:szCs w:val="22"/>
        </w:rPr>
      </w:pPr>
      <w:r>
        <w:t>268.</w:t>
      </w:r>
      <w:r>
        <w:tab/>
        <w:t>Term used: tax avoidance scheme</w:t>
      </w:r>
      <w:r>
        <w:tab/>
      </w:r>
      <w:r>
        <w:fldChar w:fldCharType="begin"/>
      </w:r>
      <w:r>
        <w:instrText xml:space="preserve"> PAGEREF _Toc413847391 \h </w:instrText>
      </w:r>
      <w:r>
        <w:fldChar w:fldCharType="separate"/>
      </w:r>
      <w:r>
        <w:t>216</w:t>
      </w:r>
      <w:r>
        <w:fldChar w:fldCharType="end"/>
      </w:r>
    </w:p>
    <w:p>
      <w:pPr>
        <w:pStyle w:val="TOC8"/>
        <w:rPr>
          <w:rFonts w:asciiTheme="minorHAnsi" w:eastAsiaTheme="minorEastAsia" w:hAnsiTheme="minorHAnsi" w:cstheme="minorBidi"/>
          <w:szCs w:val="22"/>
        </w:rPr>
      </w:pPr>
      <w:r>
        <w:t>269.</w:t>
      </w:r>
      <w:r>
        <w:tab/>
        <w:t>Deciding whether proposed scheme would be disregarded under s. 270</w:t>
      </w:r>
      <w:r>
        <w:tab/>
      </w:r>
      <w:r>
        <w:fldChar w:fldCharType="begin"/>
      </w:r>
      <w:r>
        <w:instrText xml:space="preserve"> PAGEREF _Toc413847392 \h </w:instrText>
      </w:r>
      <w:r>
        <w:fldChar w:fldCharType="separate"/>
      </w:r>
      <w:r>
        <w:t>217</w:t>
      </w:r>
      <w:r>
        <w:fldChar w:fldCharType="end"/>
      </w:r>
    </w:p>
    <w:p>
      <w:pPr>
        <w:pStyle w:val="TOC8"/>
        <w:rPr>
          <w:rFonts w:asciiTheme="minorHAnsi" w:eastAsiaTheme="minorEastAsia" w:hAnsiTheme="minorHAnsi" w:cstheme="minorBidi"/>
          <w:szCs w:val="22"/>
        </w:rPr>
      </w:pPr>
      <w:r>
        <w:t>270.</w:t>
      </w:r>
      <w:r>
        <w:tab/>
        <w:t>Certain tax avoidance schemes, Commissioner may disregard</w:t>
      </w:r>
      <w:r>
        <w:tab/>
      </w:r>
      <w:r>
        <w:fldChar w:fldCharType="begin"/>
      </w:r>
      <w:r>
        <w:instrText xml:space="preserve"> PAGEREF _Toc413847393 \h </w:instrText>
      </w:r>
      <w:r>
        <w:fldChar w:fldCharType="separate"/>
      </w:r>
      <w:r>
        <w:t>219</w:t>
      </w:r>
      <w:r>
        <w:fldChar w:fldCharType="end"/>
      </w:r>
    </w:p>
    <w:p>
      <w:pPr>
        <w:pStyle w:val="TOC8"/>
        <w:rPr>
          <w:rFonts w:asciiTheme="minorHAnsi" w:eastAsiaTheme="minorEastAsia" w:hAnsiTheme="minorHAnsi" w:cstheme="minorBidi"/>
          <w:szCs w:val="22"/>
        </w:rPr>
      </w:pPr>
      <w:r>
        <w:t>271.</w:t>
      </w:r>
      <w:r>
        <w:tab/>
        <w:t>Statement in relation to determination</w:t>
      </w:r>
      <w:r>
        <w:tab/>
      </w:r>
      <w:r>
        <w:fldChar w:fldCharType="begin"/>
      </w:r>
      <w:r>
        <w:instrText xml:space="preserve"> PAGEREF _Toc413847394 \h </w:instrText>
      </w:r>
      <w:r>
        <w:fldChar w:fldCharType="separate"/>
      </w:r>
      <w:r>
        <w:t>221</w:t>
      </w:r>
      <w:r>
        <w:fldChar w:fldCharType="end"/>
      </w:r>
    </w:p>
    <w:p>
      <w:pPr>
        <w:pStyle w:val="TOC2"/>
        <w:tabs>
          <w:tab w:val="right" w:leader="dot" w:pos="7077"/>
        </w:tabs>
        <w:rPr>
          <w:rFonts w:asciiTheme="minorHAnsi" w:eastAsiaTheme="minorEastAsia" w:hAnsiTheme="minorHAnsi" w:cstheme="minorBidi"/>
          <w:b w:val="0"/>
          <w:sz w:val="22"/>
          <w:szCs w:val="22"/>
        </w:rPr>
      </w:pPr>
      <w:r>
        <w:t>Chapter 8 — Other general provisions</w:t>
      </w:r>
    </w:p>
    <w:p>
      <w:pPr>
        <w:pStyle w:val="TOC4"/>
        <w:tabs>
          <w:tab w:val="right" w:leader="dot" w:pos="7077"/>
        </w:tabs>
        <w:rPr>
          <w:rFonts w:asciiTheme="minorHAnsi" w:eastAsiaTheme="minorEastAsia" w:hAnsiTheme="minorHAnsi" w:cstheme="minorBidi"/>
          <w:b w:val="0"/>
          <w:szCs w:val="22"/>
        </w:rPr>
      </w:pPr>
      <w:r>
        <w:t>Part 1 — Duty endorsement</w:t>
      </w:r>
    </w:p>
    <w:p>
      <w:pPr>
        <w:pStyle w:val="TOC8"/>
        <w:rPr>
          <w:rFonts w:asciiTheme="minorHAnsi" w:eastAsiaTheme="minorEastAsia" w:hAnsiTheme="minorHAnsi" w:cstheme="minorBidi"/>
          <w:szCs w:val="22"/>
        </w:rPr>
      </w:pPr>
      <w:r>
        <w:t>272.</w:t>
      </w:r>
      <w:r>
        <w:tab/>
        <w:t>Term used: duty endorsed</w:t>
      </w:r>
      <w:r>
        <w:tab/>
      </w:r>
      <w:r>
        <w:fldChar w:fldCharType="begin"/>
      </w:r>
      <w:r>
        <w:instrText xml:space="preserve"> PAGEREF _Toc413847397 \h </w:instrText>
      </w:r>
      <w:r>
        <w:fldChar w:fldCharType="separate"/>
      </w:r>
      <w:r>
        <w:t>222</w:t>
      </w:r>
      <w:r>
        <w:fldChar w:fldCharType="end"/>
      </w:r>
    </w:p>
    <w:p>
      <w:pPr>
        <w:pStyle w:val="TOC8"/>
        <w:rPr>
          <w:rFonts w:asciiTheme="minorHAnsi" w:eastAsiaTheme="minorEastAsia" w:hAnsiTheme="minorHAnsi" w:cstheme="minorBidi"/>
          <w:szCs w:val="22"/>
        </w:rPr>
      </w:pPr>
      <w:r>
        <w:t>273A.</w:t>
      </w:r>
      <w:r>
        <w:tab/>
        <w:t>Duty endorsement: electronic conveyancing instruments</w:t>
      </w:r>
      <w:r>
        <w:tab/>
      </w:r>
      <w:r>
        <w:fldChar w:fldCharType="begin"/>
      </w:r>
      <w:r>
        <w:instrText xml:space="preserve"> PAGEREF _Toc413847398 \h </w:instrText>
      </w:r>
      <w:r>
        <w:fldChar w:fldCharType="separate"/>
      </w:r>
      <w:r>
        <w:t>222</w:t>
      </w:r>
      <w:r>
        <w:fldChar w:fldCharType="end"/>
      </w:r>
    </w:p>
    <w:p>
      <w:pPr>
        <w:pStyle w:val="TOC8"/>
        <w:rPr>
          <w:rFonts w:asciiTheme="minorHAnsi" w:eastAsiaTheme="minorEastAsia" w:hAnsiTheme="minorHAnsi" w:cstheme="minorBidi"/>
          <w:szCs w:val="22"/>
        </w:rPr>
      </w:pPr>
      <w:r>
        <w:t>273.</w:t>
      </w:r>
      <w:r>
        <w:tab/>
        <w:t>Endorsing transaction records as to duty paid etc.</w:t>
      </w:r>
      <w:r>
        <w:tab/>
      </w:r>
      <w:r>
        <w:fldChar w:fldCharType="begin"/>
      </w:r>
      <w:r>
        <w:instrText xml:space="preserve"> PAGEREF _Toc413847399 \h </w:instrText>
      </w:r>
      <w:r>
        <w:fldChar w:fldCharType="separate"/>
      </w:r>
      <w:r>
        <w:t>223</w:t>
      </w:r>
      <w:r>
        <w:fldChar w:fldCharType="end"/>
      </w:r>
    </w:p>
    <w:p>
      <w:pPr>
        <w:pStyle w:val="TOC8"/>
        <w:rPr>
          <w:rFonts w:asciiTheme="minorHAnsi" w:eastAsiaTheme="minorEastAsia" w:hAnsiTheme="minorHAnsi" w:cstheme="minorBidi"/>
          <w:szCs w:val="22"/>
        </w:rPr>
      </w:pPr>
      <w:r>
        <w:t>274.</w:t>
      </w:r>
      <w:r>
        <w:tab/>
        <w:t>Endorsement of duty that depends on duty paid on another transaction</w:t>
      </w:r>
      <w:r>
        <w:tab/>
      </w:r>
      <w:r>
        <w:fldChar w:fldCharType="begin"/>
      </w:r>
      <w:r>
        <w:instrText xml:space="preserve"> PAGEREF _Toc413847400 \h </w:instrText>
      </w:r>
      <w:r>
        <w:fldChar w:fldCharType="separate"/>
      </w:r>
      <w:r>
        <w:t>225</w:t>
      </w:r>
      <w:r>
        <w:fldChar w:fldCharType="end"/>
      </w:r>
    </w:p>
    <w:p>
      <w:pPr>
        <w:pStyle w:val="TOC8"/>
        <w:rPr>
          <w:rFonts w:asciiTheme="minorHAnsi" w:eastAsiaTheme="minorEastAsia" w:hAnsiTheme="minorHAnsi" w:cstheme="minorBidi"/>
          <w:szCs w:val="22"/>
        </w:rPr>
      </w:pPr>
      <w:r>
        <w:t>275.</w:t>
      </w:r>
      <w:r>
        <w:tab/>
        <w:t>Duty endorsement is evidence of certain matters</w:t>
      </w:r>
      <w:r>
        <w:tab/>
      </w:r>
      <w:r>
        <w:fldChar w:fldCharType="begin"/>
      </w:r>
      <w:r>
        <w:instrText xml:space="preserve"> PAGEREF _Toc413847401 \h </w:instrText>
      </w:r>
      <w:r>
        <w:fldChar w:fldCharType="separate"/>
      </w:r>
      <w:r>
        <w:t>225</w:t>
      </w:r>
      <w:r>
        <w:fldChar w:fldCharType="end"/>
      </w:r>
    </w:p>
    <w:p>
      <w:pPr>
        <w:pStyle w:val="TOC4"/>
        <w:tabs>
          <w:tab w:val="right" w:leader="dot" w:pos="7077"/>
        </w:tabs>
        <w:rPr>
          <w:rFonts w:asciiTheme="minorHAnsi" w:eastAsiaTheme="minorEastAsia" w:hAnsiTheme="minorHAnsi" w:cstheme="minorBidi"/>
          <w:b w:val="0"/>
          <w:szCs w:val="22"/>
        </w:rPr>
      </w:pPr>
      <w:r>
        <w:t>Part 2 — Enforcement</w:t>
      </w:r>
    </w:p>
    <w:p>
      <w:pPr>
        <w:pStyle w:val="TOC8"/>
        <w:rPr>
          <w:rFonts w:asciiTheme="minorHAnsi" w:eastAsiaTheme="minorEastAsia" w:hAnsiTheme="minorHAnsi" w:cstheme="minorBidi"/>
          <w:szCs w:val="22"/>
        </w:rPr>
      </w:pPr>
      <w:r>
        <w:t>276.</w:t>
      </w:r>
      <w:r>
        <w:tab/>
        <w:t>Dutiable transactions etc. not to be registered etc. unless duty endorsed</w:t>
      </w:r>
      <w:r>
        <w:tab/>
      </w:r>
      <w:r>
        <w:fldChar w:fldCharType="begin"/>
      </w:r>
      <w:r>
        <w:instrText xml:space="preserve"> PAGEREF _Toc413847403 \h </w:instrText>
      </w:r>
      <w:r>
        <w:fldChar w:fldCharType="separate"/>
      </w:r>
      <w:r>
        <w:t>226</w:t>
      </w:r>
      <w:r>
        <w:fldChar w:fldCharType="end"/>
      </w:r>
    </w:p>
    <w:p>
      <w:pPr>
        <w:pStyle w:val="TOC8"/>
        <w:rPr>
          <w:rFonts w:asciiTheme="minorHAnsi" w:eastAsiaTheme="minorEastAsia" w:hAnsiTheme="minorHAnsi" w:cstheme="minorBidi"/>
          <w:szCs w:val="22"/>
        </w:rPr>
      </w:pPr>
      <w:r>
        <w:t>277.</w:t>
      </w:r>
      <w:r>
        <w:tab/>
        <w:t>Business licences not to be registered etc. unless duty endorsed or instrument lodged</w:t>
      </w:r>
      <w:r>
        <w:tab/>
      </w:r>
      <w:r>
        <w:fldChar w:fldCharType="begin"/>
      </w:r>
      <w:r>
        <w:instrText xml:space="preserve"> PAGEREF _Toc413847404 \h </w:instrText>
      </w:r>
      <w:r>
        <w:fldChar w:fldCharType="separate"/>
      </w:r>
      <w:r>
        <w:t>227</w:t>
      </w:r>
      <w:r>
        <w:fldChar w:fldCharType="end"/>
      </w:r>
    </w:p>
    <w:p>
      <w:pPr>
        <w:pStyle w:val="TOC8"/>
        <w:rPr>
          <w:rFonts w:asciiTheme="minorHAnsi" w:eastAsiaTheme="minorEastAsia" w:hAnsiTheme="minorHAnsi" w:cstheme="minorBidi"/>
          <w:szCs w:val="22"/>
        </w:rPr>
      </w:pPr>
      <w:r>
        <w:t>278.</w:t>
      </w:r>
      <w:r>
        <w:tab/>
        <w:t>Caveat as to dutiable transaction not to be registered unless transaction is duty endorsed or lodged</w:t>
      </w:r>
      <w:r>
        <w:tab/>
      </w:r>
      <w:r>
        <w:fldChar w:fldCharType="begin"/>
      </w:r>
      <w:r>
        <w:instrText xml:space="preserve"> PAGEREF _Toc413847405 \h </w:instrText>
      </w:r>
      <w:r>
        <w:fldChar w:fldCharType="separate"/>
      </w:r>
      <w:r>
        <w:t>227</w:t>
      </w:r>
      <w:r>
        <w:fldChar w:fldCharType="end"/>
      </w:r>
    </w:p>
    <w:p>
      <w:pPr>
        <w:pStyle w:val="TOC8"/>
        <w:rPr>
          <w:rFonts w:asciiTheme="minorHAnsi" w:eastAsiaTheme="minorEastAsia" w:hAnsiTheme="minorHAnsi" w:cstheme="minorBidi"/>
          <w:szCs w:val="22"/>
        </w:rPr>
      </w:pPr>
      <w:r>
        <w:t>279.</w:t>
      </w:r>
      <w:r>
        <w:tab/>
        <w:t>Use of transaction records in civil proceedings</w:t>
      </w:r>
      <w:r>
        <w:tab/>
      </w:r>
      <w:r>
        <w:fldChar w:fldCharType="begin"/>
      </w:r>
      <w:r>
        <w:instrText xml:space="preserve"> PAGEREF _Toc413847406 \h </w:instrText>
      </w:r>
      <w:r>
        <w:fldChar w:fldCharType="separate"/>
      </w:r>
      <w:r>
        <w:t>228</w:t>
      </w:r>
      <w:r>
        <w:fldChar w:fldCharType="end"/>
      </w:r>
    </w:p>
    <w:p>
      <w:pPr>
        <w:pStyle w:val="TOC8"/>
        <w:rPr>
          <w:rFonts w:asciiTheme="minorHAnsi" w:eastAsiaTheme="minorEastAsia" w:hAnsiTheme="minorHAnsi" w:cstheme="minorBidi"/>
          <w:szCs w:val="22"/>
        </w:rPr>
      </w:pPr>
      <w:r>
        <w:t>280.</w:t>
      </w:r>
      <w:r>
        <w:tab/>
        <w:t>Unlodged instruments, duty of non</w:t>
      </w:r>
      <w:r>
        <w:noBreakHyphen/>
        <w:t>party to lodge</w:t>
      </w:r>
      <w:r>
        <w:tab/>
      </w:r>
      <w:r>
        <w:fldChar w:fldCharType="begin"/>
      </w:r>
      <w:r>
        <w:instrText xml:space="preserve"> PAGEREF _Toc413847407 \h </w:instrText>
      </w:r>
      <w:r>
        <w:fldChar w:fldCharType="separate"/>
      </w:r>
      <w:r>
        <w:t>229</w:t>
      </w:r>
      <w:r>
        <w:fldChar w:fldCharType="end"/>
      </w:r>
    </w:p>
    <w:p>
      <w:pPr>
        <w:pStyle w:val="TOC4"/>
        <w:tabs>
          <w:tab w:val="right" w:leader="dot" w:pos="7077"/>
        </w:tabs>
        <w:rPr>
          <w:rFonts w:asciiTheme="minorHAnsi" w:eastAsiaTheme="minorEastAsia" w:hAnsiTheme="minorHAnsi" w:cstheme="minorBidi"/>
          <w:b w:val="0"/>
          <w:szCs w:val="22"/>
        </w:rPr>
      </w:pPr>
      <w:r>
        <w:t>Part 3 — Miscellaneous</w:t>
      </w:r>
    </w:p>
    <w:p>
      <w:pPr>
        <w:pStyle w:val="TOC8"/>
        <w:rPr>
          <w:rFonts w:asciiTheme="minorHAnsi" w:eastAsiaTheme="minorEastAsia" w:hAnsiTheme="minorHAnsi" w:cstheme="minorBidi"/>
          <w:szCs w:val="22"/>
        </w:rPr>
      </w:pPr>
      <w:r>
        <w:t>281.</w:t>
      </w:r>
      <w:r>
        <w:tab/>
        <w:t>Transaction records etc., Commissioner’s power to destroy</w:t>
      </w:r>
      <w:r>
        <w:tab/>
      </w:r>
      <w:r>
        <w:fldChar w:fldCharType="begin"/>
      </w:r>
      <w:r>
        <w:instrText xml:space="preserve"> PAGEREF _Toc413847409 \h </w:instrText>
      </w:r>
      <w:r>
        <w:fldChar w:fldCharType="separate"/>
      </w:r>
      <w:r>
        <w:t>230</w:t>
      </w:r>
      <w:r>
        <w:fldChar w:fldCharType="end"/>
      </w:r>
    </w:p>
    <w:p>
      <w:pPr>
        <w:pStyle w:val="TOC8"/>
        <w:rPr>
          <w:rFonts w:asciiTheme="minorHAnsi" w:eastAsiaTheme="minorEastAsia" w:hAnsiTheme="minorHAnsi" w:cstheme="minorBidi"/>
          <w:szCs w:val="22"/>
        </w:rPr>
      </w:pPr>
      <w:r>
        <w:t>282.</w:t>
      </w:r>
      <w:r>
        <w:tab/>
        <w:t>Correction of errors</w:t>
      </w:r>
      <w:r>
        <w:tab/>
      </w:r>
      <w:r>
        <w:fldChar w:fldCharType="begin"/>
      </w:r>
      <w:r>
        <w:instrText xml:space="preserve"> PAGEREF _Toc413847410 \h </w:instrText>
      </w:r>
      <w:r>
        <w:fldChar w:fldCharType="separate"/>
      </w:r>
      <w:r>
        <w:t>230</w:t>
      </w:r>
      <w:r>
        <w:fldChar w:fldCharType="end"/>
      </w:r>
    </w:p>
    <w:p>
      <w:pPr>
        <w:pStyle w:val="TOC8"/>
        <w:rPr>
          <w:rFonts w:asciiTheme="minorHAnsi" w:eastAsiaTheme="minorEastAsia" w:hAnsiTheme="minorHAnsi" w:cstheme="minorBidi"/>
          <w:szCs w:val="22"/>
        </w:rPr>
      </w:pPr>
      <w:r>
        <w:t>283.</w:t>
      </w:r>
      <w:r>
        <w:tab/>
      </w:r>
      <w:r>
        <w:rPr>
          <w:snapToGrid w:val="0"/>
        </w:rPr>
        <w:t>Amounts expressed in foreign currency</w:t>
      </w:r>
      <w:r>
        <w:tab/>
      </w:r>
      <w:r>
        <w:fldChar w:fldCharType="begin"/>
      </w:r>
      <w:r>
        <w:instrText xml:space="preserve"> PAGEREF _Toc413847411 \h </w:instrText>
      </w:r>
      <w:r>
        <w:fldChar w:fldCharType="separate"/>
      </w:r>
      <w:r>
        <w:t>231</w:t>
      </w:r>
      <w:r>
        <w:fldChar w:fldCharType="end"/>
      </w:r>
    </w:p>
    <w:p>
      <w:pPr>
        <w:pStyle w:val="TOC8"/>
        <w:rPr>
          <w:rFonts w:asciiTheme="minorHAnsi" w:eastAsiaTheme="minorEastAsia" w:hAnsiTheme="minorHAnsi" w:cstheme="minorBidi"/>
          <w:szCs w:val="22"/>
        </w:rPr>
      </w:pPr>
      <w:r>
        <w:t>284.</w:t>
      </w:r>
      <w:r>
        <w:tab/>
        <w:t>Application of Corporations Act s. 1070A(1)(a) limited</w:t>
      </w:r>
      <w:r>
        <w:tab/>
      </w:r>
      <w:r>
        <w:fldChar w:fldCharType="begin"/>
      </w:r>
      <w:r>
        <w:instrText xml:space="preserve"> PAGEREF _Toc413847412 \h </w:instrText>
      </w:r>
      <w:r>
        <w:fldChar w:fldCharType="separate"/>
      </w:r>
      <w:r>
        <w:t>231</w:t>
      </w:r>
      <w:r>
        <w:fldChar w:fldCharType="end"/>
      </w:r>
    </w:p>
    <w:p>
      <w:pPr>
        <w:pStyle w:val="TOC8"/>
        <w:rPr>
          <w:rFonts w:asciiTheme="minorHAnsi" w:eastAsiaTheme="minorEastAsia" w:hAnsiTheme="minorHAnsi" w:cstheme="minorBidi"/>
          <w:szCs w:val="22"/>
        </w:rPr>
      </w:pPr>
      <w:r>
        <w:t>285.</w:t>
      </w:r>
      <w:r>
        <w:tab/>
        <w:t>Regulations</w:t>
      </w:r>
      <w:r>
        <w:tab/>
      </w:r>
      <w:r>
        <w:fldChar w:fldCharType="begin"/>
      </w:r>
      <w:r>
        <w:instrText xml:space="preserve"> PAGEREF _Toc413847413 \h </w:instrText>
      </w:r>
      <w:r>
        <w:fldChar w:fldCharType="separate"/>
      </w:r>
      <w:r>
        <w:t>231</w:t>
      </w:r>
      <w:r>
        <w:fldChar w:fldCharType="end"/>
      </w:r>
    </w:p>
    <w:p>
      <w:pPr>
        <w:pStyle w:val="TOC8"/>
        <w:rPr>
          <w:rFonts w:asciiTheme="minorHAnsi" w:eastAsiaTheme="minorEastAsia" w:hAnsiTheme="minorHAnsi" w:cstheme="minorBidi"/>
          <w:szCs w:val="22"/>
        </w:rPr>
      </w:pPr>
      <w:r>
        <w:t>286.</w:t>
      </w:r>
      <w:r>
        <w:tab/>
        <w:t>Transitional provisions (Sch. 3)</w:t>
      </w:r>
      <w:r>
        <w:tab/>
      </w:r>
      <w:r>
        <w:fldChar w:fldCharType="begin"/>
      </w:r>
      <w:r>
        <w:instrText xml:space="preserve"> PAGEREF _Toc413847414 \h </w:instrText>
      </w:r>
      <w:r>
        <w:fldChar w:fldCharType="separate"/>
      </w:r>
      <w:r>
        <w:t>232</w:t>
      </w:r>
      <w:r>
        <w:fldChar w:fldCharType="end"/>
      </w:r>
    </w:p>
    <w:p>
      <w:pPr>
        <w:pStyle w:val="TOC2"/>
        <w:tabs>
          <w:tab w:val="right" w:leader="dot" w:pos="7077"/>
        </w:tabs>
        <w:rPr>
          <w:rFonts w:asciiTheme="minorHAnsi" w:eastAsiaTheme="minorEastAsia" w:hAnsiTheme="minorHAnsi" w:cstheme="minorBidi"/>
          <w:b w:val="0"/>
          <w:sz w:val="22"/>
          <w:szCs w:val="22"/>
        </w:rPr>
      </w:pPr>
      <w:r>
        <w:t>Schedule 1 — When liability for transfer duty on a dutiable transaction arises and the person liable to pay it</w:t>
      </w:r>
    </w:p>
    <w:p>
      <w:pPr>
        <w:pStyle w:val="TOC2"/>
        <w:tabs>
          <w:tab w:val="right" w:leader="dot" w:pos="7077"/>
        </w:tabs>
        <w:rPr>
          <w:rFonts w:asciiTheme="minorHAnsi" w:eastAsiaTheme="minorEastAsia" w:hAnsiTheme="minorHAnsi" w:cstheme="minorBidi"/>
          <w:b w:val="0"/>
          <w:sz w:val="22"/>
          <w:szCs w:val="22"/>
        </w:rPr>
      </w:pPr>
      <w:r>
        <w:t>Schedule 2 — Rates of transfer duty</w:t>
      </w:r>
    </w:p>
    <w:p>
      <w:pPr>
        <w:pStyle w:val="TOC4"/>
        <w:tabs>
          <w:tab w:val="right" w:leader="dot" w:pos="7077"/>
        </w:tabs>
        <w:rPr>
          <w:rFonts w:asciiTheme="minorHAnsi" w:eastAsiaTheme="minorEastAsia" w:hAnsiTheme="minorHAnsi" w:cstheme="minorBidi"/>
          <w:b w:val="0"/>
          <w:szCs w:val="22"/>
        </w:rPr>
      </w:pPr>
      <w:r>
        <w:t>Division 1 — General rate</w:t>
      </w:r>
    </w:p>
    <w:p>
      <w:pPr>
        <w:pStyle w:val="TOC4"/>
        <w:tabs>
          <w:tab w:val="right" w:leader="dot" w:pos="7077"/>
        </w:tabs>
        <w:rPr>
          <w:rFonts w:asciiTheme="minorHAnsi" w:eastAsiaTheme="minorEastAsia" w:hAnsiTheme="minorHAnsi" w:cstheme="minorBidi"/>
          <w:b w:val="0"/>
          <w:szCs w:val="22"/>
        </w:rPr>
      </w:pPr>
      <w:r>
        <w:t>Division 2 — Concessional rates</w:t>
      </w:r>
    </w:p>
    <w:p>
      <w:pPr>
        <w:pStyle w:val="TOC4"/>
        <w:tabs>
          <w:tab w:val="right" w:leader="dot" w:pos="7077"/>
        </w:tabs>
        <w:rPr>
          <w:rFonts w:asciiTheme="minorHAnsi" w:eastAsiaTheme="minorEastAsia" w:hAnsiTheme="minorHAnsi" w:cstheme="minorBidi"/>
          <w:b w:val="0"/>
          <w:szCs w:val="22"/>
        </w:rPr>
      </w:pPr>
      <w:r>
        <w:t>Division 3 — Nominal duty</w:t>
      </w:r>
    </w:p>
    <w:p>
      <w:pPr>
        <w:pStyle w:val="TOC2"/>
        <w:tabs>
          <w:tab w:val="right" w:leader="dot" w:pos="7077"/>
        </w:tabs>
        <w:rPr>
          <w:rFonts w:asciiTheme="minorHAnsi" w:eastAsiaTheme="minorEastAsia" w:hAnsiTheme="minorHAnsi" w:cstheme="minorBidi"/>
          <w:b w:val="0"/>
          <w:sz w:val="22"/>
          <w:szCs w:val="22"/>
        </w:rPr>
      </w:pPr>
      <w:r>
        <w:t>Schedule 3 — Transitional provisions</w:t>
      </w:r>
    </w:p>
    <w:p>
      <w:pPr>
        <w:pStyle w:val="TOC4"/>
        <w:tabs>
          <w:tab w:val="right" w:leader="dot" w:pos="7077"/>
        </w:tabs>
        <w:rPr>
          <w:rFonts w:asciiTheme="minorHAnsi" w:eastAsiaTheme="minorEastAsia" w:hAnsiTheme="minorHAnsi" w:cstheme="minorBidi"/>
          <w:b w:val="0"/>
          <w:szCs w:val="22"/>
        </w:rPr>
      </w:pPr>
      <w:r>
        <w:t xml:space="preserve">Division 1 — Provisions for </w:t>
      </w:r>
      <w:r>
        <w:rPr>
          <w:i/>
          <w:iCs/>
        </w:rPr>
        <w:t>Duties Act 2008</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_Toc413847423 \h </w:instrText>
      </w:r>
      <w:r>
        <w:fldChar w:fldCharType="separate"/>
      </w:r>
      <w:r>
        <w:t>238</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Provisions for Chapter 2</w:t>
      </w:r>
    </w:p>
    <w:p>
      <w:pPr>
        <w:pStyle w:val="TOC8"/>
        <w:rPr>
          <w:rFonts w:asciiTheme="minorHAnsi" w:eastAsiaTheme="minorEastAsia" w:hAnsiTheme="minorHAnsi" w:cstheme="minorBidi"/>
          <w:szCs w:val="22"/>
        </w:rPr>
      </w:pPr>
      <w:r>
        <w:t>2.</w:t>
      </w:r>
      <w:r>
        <w:tab/>
        <w:t>When Ch. 2 starts to apply</w:t>
      </w:r>
      <w:r>
        <w:tab/>
      </w:r>
      <w:r>
        <w:fldChar w:fldCharType="begin"/>
      </w:r>
      <w:r>
        <w:instrText xml:space="preserve"> PAGEREF _Toc413847425 \h </w:instrText>
      </w:r>
      <w:r>
        <w:fldChar w:fldCharType="separate"/>
      </w:r>
      <w:r>
        <w:t>238</w:t>
      </w:r>
      <w:r>
        <w:fldChar w:fldCharType="end"/>
      </w:r>
    </w:p>
    <w:p>
      <w:pPr>
        <w:pStyle w:val="TOC8"/>
        <w:rPr>
          <w:rFonts w:asciiTheme="minorHAnsi" w:eastAsiaTheme="minorEastAsia" w:hAnsiTheme="minorHAnsi" w:cstheme="minorBidi"/>
          <w:szCs w:val="22"/>
        </w:rPr>
      </w:pPr>
      <w:r>
        <w:t>3.</w:t>
      </w:r>
      <w:r>
        <w:tab/>
        <w:t>No double duty</w:t>
      </w:r>
      <w:r>
        <w:tab/>
      </w:r>
      <w:r>
        <w:fldChar w:fldCharType="begin"/>
      </w:r>
      <w:r>
        <w:instrText xml:space="preserve"> PAGEREF _Toc413847426 \h </w:instrText>
      </w:r>
      <w:r>
        <w:fldChar w:fldCharType="separate"/>
      </w:r>
      <w:r>
        <w:t>238</w:t>
      </w:r>
      <w:r>
        <w:fldChar w:fldCharType="end"/>
      </w:r>
    </w:p>
    <w:p>
      <w:pPr>
        <w:pStyle w:val="TOC8"/>
        <w:rPr>
          <w:rFonts w:asciiTheme="minorHAnsi" w:eastAsiaTheme="minorEastAsia" w:hAnsiTheme="minorHAnsi" w:cstheme="minorBidi"/>
          <w:szCs w:val="22"/>
        </w:rPr>
      </w:pPr>
      <w:r>
        <w:t>4.</w:t>
      </w:r>
      <w:r>
        <w:tab/>
        <w:t>Alteration of consideration (s. 31)</w:t>
      </w:r>
      <w:r>
        <w:tab/>
      </w:r>
      <w:r>
        <w:fldChar w:fldCharType="begin"/>
      </w:r>
      <w:r>
        <w:instrText xml:space="preserve"> PAGEREF _Toc413847427 \h </w:instrText>
      </w:r>
      <w:r>
        <w:fldChar w:fldCharType="separate"/>
      </w:r>
      <w:r>
        <w:t>238</w:t>
      </w:r>
      <w:r>
        <w:fldChar w:fldCharType="end"/>
      </w:r>
    </w:p>
    <w:p>
      <w:pPr>
        <w:pStyle w:val="TOC8"/>
        <w:rPr>
          <w:rFonts w:asciiTheme="minorHAnsi" w:eastAsiaTheme="minorEastAsia" w:hAnsiTheme="minorHAnsi" w:cstheme="minorBidi"/>
          <w:szCs w:val="22"/>
        </w:rPr>
      </w:pPr>
      <w:r>
        <w:t>5.</w:t>
      </w:r>
      <w:r>
        <w:tab/>
        <w:t>Aggregation (s. 37)</w:t>
      </w:r>
      <w:r>
        <w:tab/>
      </w:r>
      <w:r>
        <w:fldChar w:fldCharType="begin"/>
      </w:r>
      <w:r>
        <w:instrText xml:space="preserve"> PAGEREF _Toc413847428 \h </w:instrText>
      </w:r>
      <w:r>
        <w:fldChar w:fldCharType="separate"/>
      </w:r>
      <w:r>
        <w:t>238</w:t>
      </w:r>
      <w:r>
        <w:fldChar w:fldCharType="end"/>
      </w:r>
    </w:p>
    <w:p>
      <w:pPr>
        <w:pStyle w:val="TOC8"/>
        <w:rPr>
          <w:rFonts w:asciiTheme="minorHAnsi" w:eastAsiaTheme="minorEastAsia" w:hAnsiTheme="minorHAnsi" w:cstheme="minorBidi"/>
          <w:szCs w:val="22"/>
        </w:rPr>
      </w:pPr>
      <w:r>
        <w:t>6.</w:t>
      </w:r>
      <w:r>
        <w:tab/>
        <w:t>Exchanges (s. 40)</w:t>
      </w:r>
      <w:r>
        <w:tab/>
      </w:r>
      <w:r>
        <w:fldChar w:fldCharType="begin"/>
      </w:r>
      <w:r>
        <w:instrText xml:space="preserve"> PAGEREF _Toc413847429 \h </w:instrText>
      </w:r>
      <w:r>
        <w:fldChar w:fldCharType="separate"/>
      </w:r>
      <w:r>
        <w:t>239</w:t>
      </w:r>
      <w:r>
        <w:fldChar w:fldCharType="end"/>
      </w:r>
    </w:p>
    <w:p>
      <w:pPr>
        <w:pStyle w:val="TOC8"/>
        <w:rPr>
          <w:rFonts w:asciiTheme="minorHAnsi" w:eastAsiaTheme="minorEastAsia" w:hAnsiTheme="minorHAnsi" w:cstheme="minorBidi"/>
          <w:szCs w:val="22"/>
        </w:rPr>
      </w:pPr>
      <w:r>
        <w:t>7.</w:t>
      </w:r>
      <w:r>
        <w:tab/>
        <w:t>Exempt bodies (s. 92)</w:t>
      </w:r>
      <w:r>
        <w:tab/>
      </w:r>
      <w:r>
        <w:fldChar w:fldCharType="begin"/>
      </w:r>
      <w:r>
        <w:instrText xml:space="preserve"> PAGEREF _Toc413847430 \h </w:instrText>
      </w:r>
      <w:r>
        <w:fldChar w:fldCharType="separate"/>
      </w:r>
      <w:r>
        <w:t>239</w:t>
      </w:r>
      <w:r>
        <w:fldChar w:fldCharType="end"/>
      </w:r>
    </w:p>
    <w:p>
      <w:pPr>
        <w:pStyle w:val="TOC8"/>
        <w:rPr>
          <w:rFonts w:asciiTheme="minorHAnsi" w:eastAsiaTheme="minorEastAsia" w:hAnsiTheme="minorHAnsi" w:cstheme="minorBidi"/>
          <w:szCs w:val="22"/>
        </w:rPr>
      </w:pPr>
      <w:r>
        <w:t>8.</w:t>
      </w:r>
      <w:r>
        <w:tab/>
        <w:t>Family farm transactions (s. 104 and 105)</w:t>
      </w:r>
      <w:r>
        <w:tab/>
      </w:r>
      <w:r>
        <w:fldChar w:fldCharType="begin"/>
      </w:r>
      <w:r>
        <w:instrText xml:space="preserve"> PAGEREF _Toc413847431 \h </w:instrText>
      </w:r>
      <w:r>
        <w:fldChar w:fldCharType="separate"/>
      </w:r>
      <w:r>
        <w:t>239</w:t>
      </w:r>
      <w:r>
        <w:fldChar w:fldCharType="end"/>
      </w:r>
    </w:p>
    <w:p>
      <w:pPr>
        <w:pStyle w:val="TOC8"/>
        <w:rPr>
          <w:rFonts w:asciiTheme="minorHAnsi" w:eastAsiaTheme="minorEastAsia" w:hAnsiTheme="minorHAnsi" w:cstheme="minorBidi"/>
          <w:szCs w:val="22"/>
        </w:rPr>
      </w:pPr>
      <w:r>
        <w:t>9.</w:t>
      </w:r>
      <w:r>
        <w:tab/>
        <w:t>Matrimonial and de facto relationship instruments (s. 129, 130)</w:t>
      </w:r>
      <w:r>
        <w:tab/>
      </w:r>
      <w:r>
        <w:fldChar w:fldCharType="begin"/>
      </w:r>
      <w:r>
        <w:instrText xml:space="preserve"> PAGEREF _Toc413847432 \h </w:instrText>
      </w:r>
      <w:r>
        <w:fldChar w:fldCharType="separate"/>
      </w:r>
      <w:r>
        <w:t>240</w:t>
      </w:r>
      <w:r>
        <w:fldChar w:fldCharType="end"/>
      </w:r>
    </w:p>
    <w:p>
      <w:pPr>
        <w:pStyle w:val="TOC8"/>
        <w:rPr>
          <w:rFonts w:asciiTheme="minorHAnsi" w:eastAsiaTheme="minorEastAsia" w:hAnsiTheme="minorHAnsi" w:cstheme="minorBidi"/>
          <w:szCs w:val="22"/>
        </w:rPr>
      </w:pPr>
      <w:r>
        <w:t>10.</w:t>
      </w:r>
      <w:r>
        <w:tab/>
        <w:t>First home owners (Part 6 Div. 3)</w:t>
      </w:r>
      <w:r>
        <w:tab/>
      </w:r>
      <w:r>
        <w:fldChar w:fldCharType="begin"/>
      </w:r>
      <w:r>
        <w:instrText xml:space="preserve"> PAGEREF _Toc413847433 \h </w:instrText>
      </w:r>
      <w:r>
        <w:fldChar w:fldCharType="separate"/>
      </w:r>
      <w:r>
        <w:t>240</w:t>
      </w:r>
      <w:r>
        <w:fldChar w:fldCharType="end"/>
      </w:r>
    </w:p>
    <w:p>
      <w:pPr>
        <w:pStyle w:val="TOC8"/>
        <w:rPr>
          <w:rFonts w:asciiTheme="minorHAnsi" w:eastAsiaTheme="minorEastAsia" w:hAnsiTheme="minorHAnsi" w:cstheme="minorBidi"/>
          <w:szCs w:val="22"/>
        </w:rPr>
      </w:pPr>
      <w:r>
        <w:t>11A.</w:t>
      </w:r>
      <w:r>
        <w:tab/>
        <w:t>Residential concession (Part 6 Div. 4A)</w:t>
      </w:r>
      <w:r>
        <w:tab/>
      </w:r>
      <w:r>
        <w:fldChar w:fldCharType="begin"/>
      </w:r>
      <w:r>
        <w:instrText xml:space="preserve"> PAGEREF _Toc413847434 \h </w:instrText>
      </w:r>
      <w:r>
        <w:fldChar w:fldCharType="separate"/>
      </w:r>
      <w:r>
        <w:t>240</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 </w:t>
      </w:r>
      <w:r>
        <w:t>Provisions for Chapter 3</w:t>
      </w:r>
    </w:p>
    <w:p>
      <w:pPr>
        <w:pStyle w:val="TOC8"/>
        <w:rPr>
          <w:rFonts w:asciiTheme="minorHAnsi" w:eastAsiaTheme="minorEastAsia" w:hAnsiTheme="minorHAnsi" w:cstheme="minorBidi"/>
          <w:szCs w:val="22"/>
        </w:rPr>
      </w:pPr>
      <w:r>
        <w:t>11.</w:t>
      </w:r>
      <w:r>
        <w:tab/>
        <w:t>When Ch. 3 starts to apply</w:t>
      </w:r>
      <w:r>
        <w:tab/>
      </w:r>
      <w:r>
        <w:fldChar w:fldCharType="begin"/>
      </w:r>
      <w:r>
        <w:instrText xml:space="preserve"> PAGEREF _Toc413847436 \h </w:instrText>
      </w:r>
      <w:r>
        <w:fldChar w:fldCharType="separate"/>
      </w:r>
      <w:r>
        <w:t>241</w:t>
      </w:r>
      <w:r>
        <w:fldChar w:fldCharType="end"/>
      </w:r>
    </w:p>
    <w:p>
      <w:pPr>
        <w:pStyle w:val="TOC8"/>
        <w:rPr>
          <w:rFonts w:asciiTheme="minorHAnsi" w:eastAsiaTheme="minorEastAsia" w:hAnsiTheme="minorHAnsi" w:cstheme="minorBidi"/>
          <w:szCs w:val="22"/>
        </w:rPr>
      </w:pPr>
      <w:r>
        <w:t>12.</w:t>
      </w:r>
      <w:r>
        <w:tab/>
        <w:t>Acquisitions under an agreement made before 1 July 2008</w:t>
      </w:r>
      <w:r>
        <w:tab/>
      </w:r>
      <w:r>
        <w:fldChar w:fldCharType="begin"/>
      </w:r>
      <w:r>
        <w:instrText xml:space="preserve"> PAGEREF _Toc413847437 \h </w:instrText>
      </w:r>
      <w:r>
        <w:fldChar w:fldCharType="separate"/>
      </w:r>
      <w:r>
        <w:t>241</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 </w:t>
      </w:r>
      <w:r>
        <w:t>Provisions for Chapter 4</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_Toc413847439 \h </w:instrText>
      </w:r>
      <w:r>
        <w:fldChar w:fldCharType="separate"/>
      </w:r>
      <w:r>
        <w:t>241</w:t>
      </w:r>
      <w:r>
        <w:fldChar w:fldCharType="end"/>
      </w:r>
    </w:p>
    <w:p>
      <w:pPr>
        <w:pStyle w:val="TOC8"/>
        <w:rPr>
          <w:rFonts w:asciiTheme="minorHAnsi" w:eastAsiaTheme="minorEastAsia" w:hAnsiTheme="minorHAnsi" w:cstheme="minorBidi"/>
          <w:szCs w:val="22"/>
        </w:rPr>
      </w:pPr>
      <w:r>
        <w:t>15.</w:t>
      </w:r>
      <w:r>
        <w:tab/>
        <w:t>When Ch. 4 starts to apply</w:t>
      </w:r>
      <w:r>
        <w:tab/>
      </w:r>
      <w:r>
        <w:fldChar w:fldCharType="begin"/>
      </w:r>
      <w:r>
        <w:instrText xml:space="preserve"> PAGEREF _Toc413847440 \h </w:instrText>
      </w:r>
      <w:r>
        <w:fldChar w:fldCharType="separate"/>
      </w:r>
      <w:r>
        <w:t>241</w:t>
      </w:r>
      <w:r>
        <w:fldChar w:fldCharType="end"/>
      </w:r>
    </w:p>
    <w:p>
      <w:pPr>
        <w:pStyle w:val="TOC8"/>
        <w:rPr>
          <w:rFonts w:asciiTheme="minorHAnsi" w:eastAsiaTheme="minorEastAsia" w:hAnsiTheme="minorHAnsi" w:cstheme="minorBidi"/>
          <w:szCs w:val="22"/>
        </w:rPr>
      </w:pPr>
      <w:r>
        <w:t>16.</w:t>
      </w:r>
      <w:r>
        <w:tab/>
        <w:t>Registration</w:t>
      </w:r>
      <w:r>
        <w:tab/>
      </w:r>
      <w:r>
        <w:fldChar w:fldCharType="begin"/>
      </w:r>
      <w:r>
        <w:instrText xml:space="preserve"> PAGEREF _Toc413847441 \h </w:instrText>
      </w:r>
      <w:r>
        <w:fldChar w:fldCharType="separate"/>
      </w:r>
      <w:r>
        <w:t>241</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 </w:t>
      </w:r>
      <w:r>
        <w:t>Provisions for Chapter 5</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_Toc413847443 \h </w:instrText>
      </w:r>
      <w:r>
        <w:fldChar w:fldCharType="separate"/>
      </w:r>
      <w:r>
        <w:t>242</w:t>
      </w:r>
      <w:r>
        <w:fldChar w:fldCharType="end"/>
      </w:r>
    </w:p>
    <w:p>
      <w:pPr>
        <w:pStyle w:val="TOC8"/>
        <w:rPr>
          <w:rFonts w:asciiTheme="minorHAnsi" w:eastAsiaTheme="minorEastAsia" w:hAnsiTheme="minorHAnsi" w:cstheme="minorBidi"/>
          <w:szCs w:val="22"/>
        </w:rPr>
      </w:pPr>
      <w:r>
        <w:t>18.</w:t>
      </w:r>
      <w:r>
        <w:tab/>
        <w:t>When Ch. 5 starts to apply</w:t>
      </w:r>
      <w:r>
        <w:tab/>
      </w:r>
      <w:r>
        <w:fldChar w:fldCharType="begin"/>
      </w:r>
      <w:r>
        <w:instrText xml:space="preserve"> PAGEREF _Toc413847444 \h </w:instrText>
      </w:r>
      <w:r>
        <w:fldChar w:fldCharType="separate"/>
      </w:r>
      <w:r>
        <w:t>242</w:t>
      </w:r>
      <w:r>
        <w:fldChar w:fldCharType="end"/>
      </w:r>
    </w:p>
    <w:p>
      <w:pPr>
        <w:pStyle w:val="TOC8"/>
        <w:rPr>
          <w:rFonts w:asciiTheme="minorHAnsi" w:eastAsiaTheme="minorEastAsia" w:hAnsiTheme="minorHAnsi" w:cstheme="minorBidi"/>
          <w:szCs w:val="22"/>
        </w:rPr>
      </w:pPr>
      <w:r>
        <w:t>19.</w:t>
      </w:r>
      <w:r>
        <w:tab/>
        <w:t>New vehicles (s. 228)</w:t>
      </w:r>
      <w:r>
        <w:tab/>
      </w:r>
      <w:r>
        <w:fldChar w:fldCharType="begin"/>
      </w:r>
      <w:r>
        <w:instrText xml:space="preserve"> PAGEREF _Toc413847445 \h </w:instrText>
      </w:r>
      <w:r>
        <w:fldChar w:fldCharType="separate"/>
      </w:r>
      <w:r>
        <w:t>242</w:t>
      </w:r>
      <w:r>
        <w:fldChar w:fldCharType="end"/>
      </w:r>
    </w:p>
    <w:p>
      <w:pPr>
        <w:pStyle w:val="TOC8"/>
        <w:rPr>
          <w:rFonts w:asciiTheme="minorHAnsi" w:eastAsiaTheme="minorEastAsia" w:hAnsiTheme="minorHAnsi" w:cstheme="minorBidi"/>
          <w:szCs w:val="22"/>
        </w:rPr>
      </w:pPr>
      <w:r>
        <w:t>20.</w:t>
      </w:r>
      <w:r>
        <w:tab/>
        <w:t>Specialised vehicles (s. 239)</w:t>
      </w:r>
      <w:r>
        <w:tab/>
      </w:r>
      <w:r>
        <w:fldChar w:fldCharType="begin"/>
      </w:r>
      <w:r>
        <w:instrText xml:space="preserve"> PAGEREF _Toc413847446 \h </w:instrText>
      </w:r>
      <w:r>
        <w:fldChar w:fldCharType="separate"/>
      </w:r>
      <w:r>
        <w:t>242</w:t>
      </w:r>
      <w:r>
        <w:fldChar w:fldCharType="end"/>
      </w:r>
    </w:p>
    <w:p>
      <w:pPr>
        <w:pStyle w:val="TOC8"/>
        <w:rPr>
          <w:rFonts w:asciiTheme="minorHAnsi" w:eastAsiaTheme="minorEastAsia" w:hAnsiTheme="minorHAnsi" w:cstheme="minorBidi"/>
          <w:szCs w:val="22"/>
        </w:rPr>
      </w:pPr>
      <w:r>
        <w:t>21.</w:t>
      </w:r>
      <w:r>
        <w:tab/>
        <w:t>Approval of philanthropic purposes (s. 247)</w:t>
      </w:r>
      <w:r>
        <w:tab/>
      </w:r>
      <w:r>
        <w:fldChar w:fldCharType="begin"/>
      </w:r>
      <w:r>
        <w:instrText xml:space="preserve"> PAGEREF _Toc413847447 \h </w:instrText>
      </w:r>
      <w:r>
        <w:fldChar w:fldCharType="separate"/>
      </w:r>
      <w:r>
        <w:t>243</w:t>
      </w:r>
      <w:r>
        <w:fldChar w:fldCharType="end"/>
      </w:r>
    </w:p>
    <w:p>
      <w:pPr>
        <w:pStyle w:val="TOC8"/>
        <w:rPr>
          <w:rFonts w:asciiTheme="minorHAnsi" w:eastAsiaTheme="minorEastAsia" w:hAnsiTheme="minorHAnsi" w:cstheme="minorBidi"/>
          <w:szCs w:val="22"/>
        </w:rPr>
      </w:pPr>
      <w:r>
        <w:t>22.</w:t>
      </w:r>
      <w:r>
        <w:tab/>
        <w:t>Transfer of vehicles, nominal duty on (s. 250)</w:t>
      </w:r>
      <w:r>
        <w:tab/>
      </w:r>
      <w:r>
        <w:fldChar w:fldCharType="begin"/>
      </w:r>
      <w:r>
        <w:instrText xml:space="preserve"> PAGEREF _Toc413847448 \h </w:instrText>
      </w:r>
      <w:r>
        <w:fldChar w:fldCharType="separate"/>
      </w:r>
      <w:r>
        <w:t>243</w:t>
      </w:r>
      <w:r>
        <w:fldChar w:fldCharType="end"/>
      </w:r>
    </w:p>
    <w:p>
      <w:pPr>
        <w:pStyle w:val="TOC8"/>
        <w:rPr>
          <w:rFonts w:asciiTheme="minorHAnsi" w:eastAsiaTheme="minorEastAsia" w:hAnsiTheme="minorHAnsi" w:cstheme="minorBidi"/>
          <w:szCs w:val="22"/>
        </w:rPr>
      </w:pPr>
      <w:r>
        <w:t>23.</w:t>
      </w:r>
      <w:r>
        <w:tab/>
        <w:t xml:space="preserve">Statements made under </w:t>
      </w:r>
      <w:r>
        <w:rPr>
          <w:i/>
          <w:iCs/>
        </w:rPr>
        <w:t>Stamp Act 1921</w:t>
      </w:r>
      <w:r>
        <w:t xml:space="preserve"> s. 76H (s. 252)</w:t>
      </w:r>
      <w:r>
        <w:tab/>
      </w:r>
      <w:r>
        <w:fldChar w:fldCharType="begin"/>
      </w:r>
      <w:r>
        <w:instrText xml:space="preserve"> PAGEREF _Toc413847449 \h </w:instrText>
      </w:r>
      <w:r>
        <w:fldChar w:fldCharType="separate"/>
      </w:r>
      <w:r>
        <w:t>244</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 </w:t>
      </w:r>
      <w:r>
        <w:t>Provisions for Chapter 7</w:t>
      </w:r>
    </w:p>
    <w:p>
      <w:pPr>
        <w:pStyle w:val="TOC8"/>
        <w:rPr>
          <w:rFonts w:asciiTheme="minorHAnsi" w:eastAsiaTheme="minorEastAsia" w:hAnsiTheme="minorHAnsi" w:cstheme="minorBidi"/>
          <w:szCs w:val="22"/>
        </w:rPr>
      </w:pPr>
      <w:r>
        <w:t>24.</w:t>
      </w:r>
      <w:r>
        <w:tab/>
        <w:t>When Ch. 7 starts to apply</w:t>
      </w:r>
      <w:r>
        <w:tab/>
      </w:r>
      <w:r>
        <w:fldChar w:fldCharType="begin"/>
      </w:r>
      <w:r>
        <w:instrText xml:space="preserve"> PAGEREF _Toc413847451 \h </w:instrText>
      </w:r>
      <w:r>
        <w:fldChar w:fldCharType="separate"/>
      </w:r>
      <w:r>
        <w:t>244</w:t>
      </w:r>
      <w:r>
        <w:fldChar w:fldCharType="end"/>
      </w:r>
    </w:p>
    <w:p>
      <w:pPr>
        <w:pStyle w:val="TOC6"/>
        <w:tabs>
          <w:tab w:val="right" w:leader="dot" w:pos="7077"/>
        </w:tabs>
        <w:rPr>
          <w:rFonts w:asciiTheme="minorHAnsi" w:eastAsiaTheme="minorEastAsia" w:hAnsiTheme="minorHAnsi" w:cstheme="minorBidi"/>
          <w:b w:val="0"/>
          <w:sz w:val="22"/>
          <w:szCs w:val="22"/>
        </w:rPr>
      </w:pPr>
      <w:r>
        <w:t>Subdivision 7</w:t>
      </w:r>
      <w:r>
        <w:rPr>
          <w:b w:val="0"/>
        </w:rPr>
        <w:t> — </w:t>
      </w:r>
      <w:r>
        <w:t>General</w:t>
      </w:r>
    </w:p>
    <w:p>
      <w:pPr>
        <w:pStyle w:val="TOC8"/>
        <w:rPr>
          <w:rFonts w:asciiTheme="minorHAnsi" w:eastAsiaTheme="minorEastAsia" w:hAnsiTheme="minorHAnsi" w:cstheme="minorBidi"/>
          <w:szCs w:val="22"/>
        </w:rPr>
      </w:pPr>
      <w:r>
        <w:t>25.</w:t>
      </w:r>
      <w:r>
        <w:tab/>
        <w:t>Some references to duty include stamp duty</w:t>
      </w:r>
      <w:r>
        <w:tab/>
      </w:r>
      <w:r>
        <w:fldChar w:fldCharType="begin"/>
      </w:r>
      <w:r>
        <w:instrText xml:space="preserve"> PAGEREF _Toc413847453 \h </w:instrText>
      </w:r>
      <w:r>
        <w:fldChar w:fldCharType="separate"/>
      </w:r>
      <w:r>
        <w:t>244</w:t>
      </w:r>
      <w:r>
        <w:fldChar w:fldCharType="end"/>
      </w:r>
    </w:p>
    <w:p>
      <w:pPr>
        <w:pStyle w:val="TOC8"/>
        <w:rPr>
          <w:rFonts w:asciiTheme="minorHAnsi" w:eastAsiaTheme="minorEastAsia" w:hAnsiTheme="minorHAnsi" w:cstheme="minorBidi"/>
          <w:szCs w:val="22"/>
        </w:rPr>
      </w:pPr>
      <w:r>
        <w:t>26.</w:t>
      </w:r>
      <w:r>
        <w:tab/>
        <w:t>Application of some Ch. 8 provisions</w:t>
      </w:r>
      <w:r>
        <w:tab/>
      </w:r>
      <w:r>
        <w:fldChar w:fldCharType="begin"/>
      </w:r>
      <w:r>
        <w:instrText xml:space="preserve"> PAGEREF _Toc413847454 \h </w:instrText>
      </w:r>
      <w:r>
        <w:fldChar w:fldCharType="separate"/>
      </w:r>
      <w:r>
        <w:t>245</w:t>
      </w:r>
      <w:r>
        <w:fldChar w:fldCharType="end"/>
      </w:r>
    </w:p>
    <w:p>
      <w:pPr>
        <w:pStyle w:val="TOC8"/>
        <w:rPr>
          <w:rFonts w:asciiTheme="minorHAnsi" w:eastAsiaTheme="minorEastAsia" w:hAnsiTheme="minorHAnsi" w:cstheme="minorBidi"/>
          <w:szCs w:val="22"/>
        </w:rPr>
      </w:pPr>
      <w:r>
        <w:t>27.</w:t>
      </w:r>
      <w:r>
        <w:tab/>
        <w:t>Regulations</w:t>
      </w:r>
      <w:r>
        <w:tab/>
      </w:r>
      <w:r>
        <w:fldChar w:fldCharType="begin"/>
      </w:r>
      <w:r>
        <w:instrText xml:space="preserve"> PAGEREF _Toc413847455 \h </w:instrText>
      </w:r>
      <w:r>
        <w:fldChar w:fldCharType="separate"/>
      </w:r>
      <w:r>
        <w:t>245</w:t>
      </w:r>
      <w:r>
        <w:fldChar w:fldCharType="end"/>
      </w:r>
    </w:p>
    <w:p>
      <w:pPr>
        <w:pStyle w:val="TOC8"/>
        <w:rPr>
          <w:rFonts w:asciiTheme="minorHAnsi" w:eastAsiaTheme="minorEastAsia" w:hAnsiTheme="minorHAnsi" w:cstheme="minorBidi"/>
          <w:szCs w:val="22"/>
        </w:rPr>
      </w:pPr>
      <w:r>
        <w:t>28.</w:t>
      </w:r>
      <w:r>
        <w:tab/>
      </w:r>
      <w:r>
        <w:rPr>
          <w:i/>
          <w:iCs/>
        </w:rPr>
        <w:t>Stamp Act 1921</w:t>
      </w:r>
      <w:r>
        <w:rPr>
          <w:iCs/>
        </w:rPr>
        <w:t>, references to</w:t>
      </w:r>
      <w:r>
        <w:tab/>
      </w:r>
      <w:r>
        <w:fldChar w:fldCharType="begin"/>
      </w:r>
      <w:r>
        <w:instrText xml:space="preserve"> PAGEREF _Toc413847456 \h </w:instrText>
      </w:r>
      <w:r>
        <w:fldChar w:fldCharType="separate"/>
      </w:r>
      <w:r>
        <w:t>246</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Provisions for </w:t>
      </w:r>
      <w:r>
        <w:rPr>
          <w:i/>
          <w:iCs/>
        </w:rPr>
        <w:t>Revenue Laws Amendment Act 2010</w:t>
      </w:r>
      <w:r>
        <w:t xml:space="preserve"> section 5</w:t>
      </w:r>
    </w:p>
    <w:p>
      <w:pPr>
        <w:pStyle w:val="TOC8"/>
        <w:rPr>
          <w:rFonts w:asciiTheme="minorHAnsi" w:eastAsiaTheme="minorEastAsia" w:hAnsiTheme="minorHAnsi" w:cstheme="minorBidi"/>
          <w:szCs w:val="22"/>
        </w:rPr>
      </w:pPr>
      <w:r>
        <w:t>31.</w:t>
      </w:r>
      <w:r>
        <w:tab/>
      </w:r>
      <w:r>
        <w:rPr>
          <w:bCs/>
        </w:rPr>
        <w:t>Terms used</w:t>
      </w:r>
      <w:r>
        <w:tab/>
      </w:r>
      <w:r>
        <w:fldChar w:fldCharType="begin"/>
      </w:r>
      <w:r>
        <w:instrText xml:space="preserve"> PAGEREF _Toc413847458 \h </w:instrText>
      </w:r>
      <w:r>
        <w:fldChar w:fldCharType="separate"/>
      </w:r>
      <w:r>
        <w:t>246</w:t>
      </w:r>
      <w:r>
        <w:fldChar w:fldCharType="end"/>
      </w:r>
    </w:p>
    <w:p>
      <w:pPr>
        <w:pStyle w:val="TOC8"/>
        <w:rPr>
          <w:rFonts w:asciiTheme="minorHAnsi" w:eastAsiaTheme="minorEastAsia" w:hAnsiTheme="minorHAnsi" w:cstheme="minorBidi"/>
          <w:szCs w:val="22"/>
        </w:rPr>
      </w:pPr>
      <w:r>
        <w:t>32.</w:t>
      </w:r>
      <w:r>
        <w:tab/>
      </w:r>
      <w:r>
        <w:rPr>
          <w:bCs/>
        </w:rPr>
        <w:t>Certain relevant reconstruction transactions</w:t>
      </w:r>
      <w:r>
        <w:tab/>
      </w:r>
      <w:r>
        <w:fldChar w:fldCharType="begin"/>
      </w:r>
      <w:r>
        <w:instrText xml:space="preserve"> PAGEREF _Toc413847459 \h </w:instrText>
      </w:r>
      <w:r>
        <w:fldChar w:fldCharType="separate"/>
      </w:r>
      <w:r>
        <w:t>247</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 xml:space="preserve">Provisions for </w:t>
      </w:r>
      <w:r>
        <w:rPr>
          <w:i/>
        </w:rPr>
        <w:t>Duties Amendment Act (No. 2) 2011</w:t>
      </w:r>
    </w:p>
    <w:p>
      <w:pPr>
        <w:pStyle w:val="TOC8"/>
        <w:rPr>
          <w:rFonts w:asciiTheme="minorHAnsi" w:eastAsiaTheme="minorEastAsia" w:hAnsiTheme="minorHAnsi" w:cstheme="minorBidi"/>
          <w:szCs w:val="22"/>
        </w:rPr>
      </w:pPr>
      <w:r>
        <w:t>33.</w:t>
      </w:r>
      <w:r>
        <w:tab/>
        <w:t>Term used: relevant period</w:t>
      </w:r>
      <w:r>
        <w:tab/>
      </w:r>
      <w:r>
        <w:fldChar w:fldCharType="begin"/>
      </w:r>
      <w:r>
        <w:instrText xml:space="preserve"> PAGEREF _Toc413847461 \h </w:instrText>
      </w:r>
      <w:r>
        <w:fldChar w:fldCharType="separate"/>
      </w:r>
      <w:r>
        <w:t>247</w:t>
      </w:r>
      <w:r>
        <w:fldChar w:fldCharType="end"/>
      </w:r>
    </w:p>
    <w:p>
      <w:pPr>
        <w:pStyle w:val="TOC8"/>
        <w:rPr>
          <w:rFonts w:asciiTheme="minorHAnsi" w:eastAsiaTheme="minorEastAsia" w:hAnsiTheme="minorHAnsi" w:cstheme="minorBidi"/>
          <w:szCs w:val="22"/>
        </w:rPr>
      </w:pPr>
      <w:r>
        <w:t>34.</w:t>
      </w:r>
      <w:r>
        <w:tab/>
        <w:t>When transfer duty deemed to arise in certain cases</w:t>
      </w:r>
      <w:r>
        <w:tab/>
      </w:r>
      <w:r>
        <w:fldChar w:fldCharType="begin"/>
      </w:r>
      <w:r>
        <w:instrText xml:space="preserve"> PAGEREF _Toc413847462 \h </w:instrText>
      </w:r>
      <w:r>
        <w:fldChar w:fldCharType="separate"/>
      </w:r>
      <w:r>
        <w:t>248</w:t>
      </w:r>
      <w:r>
        <w:fldChar w:fldCharType="end"/>
      </w:r>
    </w:p>
    <w:p>
      <w:pPr>
        <w:pStyle w:val="TOC8"/>
        <w:rPr>
          <w:rFonts w:asciiTheme="minorHAnsi" w:eastAsiaTheme="minorEastAsia" w:hAnsiTheme="minorHAnsi" w:cstheme="minorBidi"/>
          <w:szCs w:val="22"/>
        </w:rPr>
      </w:pPr>
      <w:r>
        <w:t>35.</w:t>
      </w:r>
      <w:r>
        <w:tab/>
        <w:t>When landholder duty deemed to arise in certain cases</w:t>
      </w:r>
      <w:r>
        <w:tab/>
      </w:r>
      <w:r>
        <w:fldChar w:fldCharType="begin"/>
      </w:r>
      <w:r>
        <w:instrText xml:space="preserve"> PAGEREF _Toc413847463 \h </w:instrText>
      </w:r>
      <w:r>
        <w:fldChar w:fldCharType="separate"/>
      </w:r>
      <w:r>
        <w:t>248</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 xml:space="preserve">Provisions for </w:t>
      </w:r>
      <w:r>
        <w:rPr>
          <w:i/>
        </w:rPr>
        <w:t>Revenue Laws Amendment Act 2013</w:t>
      </w:r>
      <w:r>
        <w:t xml:space="preserve"> Part 2</w:t>
      </w:r>
    </w:p>
    <w:p>
      <w:pPr>
        <w:pStyle w:val="TOC8"/>
        <w:rPr>
          <w:rFonts w:asciiTheme="minorHAnsi" w:eastAsiaTheme="minorEastAsia" w:hAnsiTheme="minorHAnsi" w:cstheme="minorBidi"/>
          <w:szCs w:val="22"/>
        </w:rPr>
      </w:pPr>
      <w:r>
        <w:t>36.</w:t>
      </w:r>
      <w:r>
        <w:tab/>
        <w:t>Interim assessments</w:t>
      </w:r>
      <w:r>
        <w:tab/>
      </w:r>
      <w:r>
        <w:fldChar w:fldCharType="begin"/>
      </w:r>
      <w:r>
        <w:instrText xml:space="preserve"> PAGEREF _Toc413847465 \h </w:instrText>
      </w:r>
      <w:r>
        <w:fldChar w:fldCharType="separate"/>
      </w:r>
      <w:r>
        <w:t>249</w:t>
      </w:r>
      <w:r>
        <w:fldChar w:fldCharType="end"/>
      </w:r>
    </w:p>
    <w:p>
      <w:pPr>
        <w:pStyle w:val="TOC4"/>
        <w:tabs>
          <w:tab w:val="right" w:leader="dot" w:pos="7077"/>
        </w:tabs>
        <w:rPr>
          <w:rFonts w:asciiTheme="minorHAnsi" w:eastAsiaTheme="minorEastAsia" w:hAnsiTheme="minorHAnsi" w:cstheme="minorBidi"/>
          <w:b w:val="0"/>
          <w:szCs w:val="22"/>
        </w:rPr>
      </w:pPr>
      <w:r>
        <w:t xml:space="preserve">Division 7 — Provisions for </w:t>
      </w:r>
      <w:r>
        <w:rPr>
          <w:i/>
        </w:rPr>
        <w:t>Taxation Legislation Amendment Act 2015</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_Toc413847467 \h </w:instrText>
      </w:r>
      <w:r>
        <w:fldChar w:fldCharType="separate"/>
      </w:r>
      <w:r>
        <w:t>249</w:t>
      </w:r>
      <w:r>
        <w:fldChar w:fldCharType="end"/>
      </w:r>
    </w:p>
    <w:p>
      <w:pPr>
        <w:pStyle w:val="TOC8"/>
        <w:rPr>
          <w:rFonts w:asciiTheme="minorHAnsi" w:eastAsiaTheme="minorEastAsia" w:hAnsiTheme="minorHAnsi" w:cstheme="minorBidi"/>
          <w:szCs w:val="22"/>
        </w:rPr>
      </w:pPr>
      <w:r>
        <w:t>38.</w:t>
      </w:r>
      <w:r>
        <w:tab/>
        <w:t>Duty on certain relevant acquisitions</w:t>
      </w:r>
      <w:r>
        <w:tab/>
      </w:r>
      <w:r>
        <w:fldChar w:fldCharType="begin"/>
      </w:r>
      <w:r>
        <w:instrText xml:space="preserve"> PAGEREF _Toc413847468 \h </w:instrText>
      </w:r>
      <w:r>
        <w:fldChar w:fldCharType="separate"/>
      </w:r>
      <w:r>
        <w:t>249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_Toc413847470 \h </w:instrText>
      </w:r>
      <w:r>
        <w:fldChar w:fldCharType="separate"/>
      </w:r>
      <w:r>
        <w:t>251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_Toc413847471 \h </w:instrText>
      </w:r>
      <w:r>
        <w:fldChar w:fldCharType="separate"/>
      </w:r>
      <w:r>
        <w:t>253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before="880" w:after="1000"/>
      </w:pPr>
      <w:r>
        <w:t>Duties Act 2008</w:t>
      </w:r>
    </w:p>
    <w:p>
      <w:pPr>
        <w:pStyle w:val="LongTitle"/>
        <w:suppressLineNumbers/>
        <w:spacing w:before="360"/>
      </w:pPr>
      <w:bookmarkStart w:id="3" w:name="BillCited"/>
      <w:bookmarkEnd w:id="3"/>
      <w:r>
        <w:rPr>
          <w:snapToGrid w:val="0"/>
        </w:rPr>
        <w:t>An Act dealing with the imposition of a number of kinds of duty</w:t>
      </w:r>
      <w:r>
        <w:t>.</w:t>
      </w:r>
    </w:p>
    <w:p>
      <w:pPr>
        <w:pStyle w:val="Heading2"/>
        <w:rPr>
          <w:sz w:val="32"/>
        </w:rPr>
      </w:pPr>
      <w:bookmarkStart w:id="4" w:name="_Toc389126250"/>
      <w:bookmarkStart w:id="5" w:name="_Toc392162241"/>
      <w:bookmarkStart w:id="6" w:name="_Toc412734737"/>
      <w:bookmarkStart w:id="7" w:name="_Toc412735160"/>
      <w:bookmarkStart w:id="8" w:name="_Toc412819176"/>
      <w:bookmarkStart w:id="9" w:name="_Toc413829933"/>
      <w:bookmarkStart w:id="10" w:name="_Toc413847042"/>
      <w:r>
        <w:rPr>
          <w:rStyle w:val="CharPartNo"/>
          <w:sz w:val="32"/>
        </w:rPr>
        <w:t>Chapter 1</w:t>
      </w:r>
      <w:r>
        <w:rPr>
          <w:rStyle w:val="CharDivNo"/>
          <w:sz w:val="32"/>
        </w:rPr>
        <w:t> </w:t>
      </w:r>
      <w:r>
        <w:rPr>
          <w:sz w:val="32"/>
        </w:rPr>
        <w:t>—</w:t>
      </w:r>
      <w:r>
        <w:rPr>
          <w:rStyle w:val="CharDivText"/>
          <w:sz w:val="32"/>
        </w:rPr>
        <w:t> </w:t>
      </w:r>
      <w:r>
        <w:rPr>
          <w:rStyle w:val="CharPartText"/>
          <w:sz w:val="32"/>
        </w:rPr>
        <w:t>Preliminary</w:t>
      </w:r>
      <w:bookmarkEnd w:id="4"/>
      <w:bookmarkEnd w:id="5"/>
      <w:bookmarkEnd w:id="6"/>
      <w:bookmarkEnd w:id="7"/>
      <w:bookmarkEnd w:id="8"/>
      <w:bookmarkEnd w:id="9"/>
      <w:bookmarkEnd w:id="10"/>
    </w:p>
    <w:p>
      <w:pPr>
        <w:pStyle w:val="Heading5"/>
      </w:pPr>
      <w:bookmarkStart w:id="11" w:name="_Toc392162242"/>
      <w:bookmarkStart w:id="12" w:name="_Toc413847043"/>
      <w:r>
        <w:rPr>
          <w:rStyle w:val="CharSectno"/>
        </w:rPr>
        <w:t>1</w:t>
      </w:r>
      <w:r>
        <w:t>.</w:t>
      </w:r>
      <w:r>
        <w:tab/>
      </w:r>
      <w:r>
        <w:rPr>
          <w:snapToGrid w:val="0"/>
        </w:rPr>
        <w:t>Short title</w:t>
      </w:r>
      <w:bookmarkEnd w:id="11"/>
      <w:bookmarkEnd w:id="12"/>
    </w:p>
    <w:p>
      <w:pPr>
        <w:pStyle w:val="Subsection"/>
      </w:pPr>
      <w:r>
        <w:tab/>
      </w:r>
      <w:r>
        <w:tab/>
        <w:t>This</w:t>
      </w:r>
      <w:r>
        <w:rPr>
          <w:snapToGrid w:val="0"/>
        </w:rPr>
        <w:t xml:space="preserve"> is the</w:t>
      </w:r>
      <w:r>
        <w:rPr>
          <w:i/>
          <w:snapToGrid w:val="0"/>
        </w:rPr>
        <w:t xml:space="preserve"> Duties Act 2008</w:t>
      </w:r>
      <w:r>
        <w:rPr>
          <w:snapToGrid w:val="0"/>
          <w:vertAlign w:val="superscript"/>
        </w:rPr>
        <w:t> 1</w:t>
      </w:r>
      <w:r>
        <w:rPr>
          <w:snapToGrid w:val="0"/>
        </w:rPr>
        <w:t>.</w:t>
      </w:r>
    </w:p>
    <w:p>
      <w:pPr>
        <w:pStyle w:val="Heading5"/>
        <w:rPr>
          <w:snapToGrid w:val="0"/>
        </w:rPr>
      </w:pPr>
      <w:bookmarkStart w:id="13" w:name="_Toc392162243"/>
      <w:bookmarkStart w:id="14" w:name="_Toc413847044"/>
      <w:r>
        <w:rPr>
          <w:rStyle w:val="CharSectno"/>
        </w:rPr>
        <w:t>2</w:t>
      </w:r>
      <w:r>
        <w:rPr>
          <w:snapToGrid w:val="0"/>
        </w:rPr>
        <w:t>.</w:t>
      </w:r>
      <w:r>
        <w:rPr>
          <w:snapToGrid w:val="0"/>
        </w:rPr>
        <w:tab/>
      </w:r>
      <w:r>
        <w:t>Commencement</w:t>
      </w:r>
      <w:bookmarkEnd w:id="13"/>
      <w:bookmarkEnd w:id="14"/>
    </w:p>
    <w:p>
      <w:pPr>
        <w:pStyle w:val="Subsection"/>
      </w:pPr>
      <w:r>
        <w:tab/>
      </w:r>
      <w:r>
        <w:tab/>
        <w:t>This Act comes into operation as follows:</w:t>
      </w:r>
    </w:p>
    <w:p>
      <w:pPr>
        <w:pStyle w:val="Indenta"/>
      </w:pPr>
      <w:r>
        <w:tab/>
        <w:t>(a)</w:t>
      </w:r>
      <w:r>
        <w:tab/>
        <w:t>sections 1 and 2 — on the day on which this Act receives the Royal Assent</w:t>
      </w:r>
      <w:r>
        <w:rPr>
          <w:snapToGrid w:val="0"/>
          <w:vertAlign w:val="superscript"/>
        </w:rPr>
        <w:t> 1</w:t>
      </w:r>
      <w:r>
        <w:t>;</w:t>
      </w:r>
    </w:p>
    <w:p>
      <w:pPr>
        <w:pStyle w:val="Indenta"/>
      </w:pPr>
      <w:r>
        <w:tab/>
        <w:t>(b)</w:t>
      </w:r>
      <w:r>
        <w:tab/>
        <w:t>the rest of the Act — on 1 July 2008.</w:t>
      </w:r>
    </w:p>
    <w:p>
      <w:pPr>
        <w:pStyle w:val="Heading5"/>
        <w:rPr>
          <w:snapToGrid w:val="0"/>
        </w:rPr>
      </w:pPr>
      <w:bookmarkStart w:id="15" w:name="_Toc392162244"/>
      <w:bookmarkStart w:id="16" w:name="_Toc413847045"/>
      <w:r>
        <w:rPr>
          <w:rStyle w:val="CharSectno"/>
        </w:rPr>
        <w:t>3</w:t>
      </w:r>
      <w:r>
        <w:rPr>
          <w:snapToGrid w:val="0"/>
        </w:rPr>
        <w:t>.</w:t>
      </w:r>
      <w:r>
        <w:rPr>
          <w:snapToGrid w:val="0"/>
        </w:rPr>
        <w:tab/>
        <w:t>Terms used</w:t>
      </w:r>
      <w:bookmarkEnd w:id="15"/>
      <w:bookmarkEnd w:id="16"/>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keepNext/>
      </w:pPr>
      <w:r>
        <w:rPr>
          <w:b/>
        </w:rPr>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tab/>
      </w:r>
      <w:r>
        <w:rPr>
          <w:rStyle w:val="CharDefText"/>
        </w:rPr>
        <w:t>industrial association</w:t>
      </w:r>
      <w:r>
        <w:t xml:space="preserve"> means any of the following —</w:t>
      </w:r>
    </w:p>
    <w:p>
      <w:pPr>
        <w:pStyle w:val="Defpara"/>
      </w:pPr>
      <w:r>
        <w:tab/>
        <w:t>(a)</w:t>
      </w:r>
      <w:r>
        <w:tab/>
        <w:t xml:space="preserve">an organisation registered under the </w:t>
      </w:r>
      <w:r>
        <w:rPr>
          <w:i/>
        </w:rPr>
        <w:t xml:space="preserve">Industrial Relations Act 1979 </w:t>
      </w:r>
      <w:r>
        <w:t>section 53 or 54;</w:t>
      </w:r>
    </w:p>
    <w:p>
      <w:pPr>
        <w:pStyle w:val="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Defpara"/>
      </w:pPr>
      <w:r>
        <w:tab/>
        <w:t>(c)</w:t>
      </w:r>
      <w:r>
        <w:tab/>
        <w:t>an association of employees registered or recognised as a trade union (however described) under the law of another State or a Territory;</w:t>
      </w:r>
    </w:p>
    <w:p>
      <w:pPr>
        <w:pStyle w:val="Defpara"/>
      </w:pPr>
      <w:r>
        <w:tab/>
        <w:t>(d)</w:t>
      </w:r>
      <w:r>
        <w:tab/>
        <w:t>an association of employers registered or recognised as such (however described) under the law of another State or a Territory;</w:t>
      </w:r>
    </w:p>
    <w:p>
      <w:pPr>
        <w:pStyle w:val="Defpara"/>
      </w:pPr>
      <w:r>
        <w:tab/>
        <w:t>(e)</w:t>
      </w:r>
      <w:r>
        <w:tab/>
        <w:t>an association of employees a principal purpose of which is the protection and promotion of the employees’ interests in matters concerning their employment;</w:t>
      </w:r>
    </w:p>
    <w:p>
      <w:pPr>
        <w:pStyle w:val="Defstart"/>
      </w:pPr>
      <w:r>
        <w:rPr>
          <w:b/>
        </w:rPr>
        <w:tab/>
      </w:r>
      <w:r>
        <w:rPr>
          <w:rStyle w:val="CharDefText"/>
        </w:rPr>
        <w:t>land</w:t>
      </w:r>
      <w:r>
        <w:t xml:space="preserve"> includes — </w:t>
      </w:r>
    </w:p>
    <w:p>
      <w:pPr>
        <w:pStyle w:val="Defpara"/>
      </w:pPr>
      <w:r>
        <w:tab/>
        <w:t>(a)</w:t>
      </w:r>
      <w:r>
        <w:tab/>
        <w:t xml:space="preserve">any estate or interest in land other than a carbon right or a carbon covenant registered under the </w:t>
      </w:r>
      <w:r>
        <w:rPr>
          <w:i/>
        </w:rPr>
        <w:t>Carbon Rights Act </w:t>
      </w:r>
      <w:r>
        <w:rPr>
          <w:i/>
          <w:iCs/>
        </w:rPr>
        <w:t>2003</w:t>
      </w:r>
      <w:r>
        <w:t>; and</w:t>
      </w:r>
    </w:p>
    <w:p>
      <w:pPr>
        <w:pStyle w:val="Defpara"/>
      </w:pPr>
      <w:r>
        <w:tab/>
        <w:t>(b)</w:t>
      </w:r>
      <w:r>
        <w:tab/>
        <w:t>a mining tenement; and</w:t>
      </w:r>
    </w:p>
    <w:p>
      <w:pPr>
        <w:pStyle w:val="Defpara"/>
      </w:pPr>
      <w:r>
        <w:tab/>
        <w:t>(ca)</w:t>
      </w:r>
      <w:r>
        <w:tab/>
        <w:t>an estate or interest in a mining tenement; and</w:t>
      </w:r>
    </w:p>
    <w:p>
      <w:pPr>
        <w:pStyle w:val="Defpara"/>
      </w:pPr>
      <w:r>
        <w:tab/>
        <w:t>(cb)</w:t>
      </w:r>
      <w:r>
        <w:tab/>
        <w:t xml:space="preserve">anything that — </w:t>
      </w:r>
    </w:p>
    <w:p>
      <w:pPr>
        <w:pStyle w:val="Defsubpara"/>
      </w:pPr>
      <w:r>
        <w:tab/>
        <w:t>(i)</w:t>
      </w:r>
      <w:r>
        <w:tab/>
        <w:t>under the authority (whether direct or indirect) of a mining tenement, is fixed to land that is the subject of that mining tenement; and</w:t>
      </w:r>
    </w:p>
    <w:p>
      <w:pPr>
        <w:pStyle w:val="Defsubpara"/>
      </w:pPr>
      <w:r>
        <w:tab/>
        <w:t>(ii)</w:t>
      </w:r>
      <w:r>
        <w:tab/>
        <w:t>would be part of that land as a fixture if the mining tenement were a freehold estate in the land;</w:t>
      </w:r>
    </w:p>
    <w:p>
      <w:pPr>
        <w:pStyle w:val="Defpara"/>
      </w:pPr>
      <w:r>
        <w:tab/>
      </w:r>
      <w:r>
        <w:tab/>
        <w:t>and</w:t>
      </w:r>
    </w:p>
    <w:p>
      <w:pPr>
        <w:pStyle w:val="Defpara"/>
      </w:pPr>
      <w:r>
        <w:tab/>
        <w:t>(c)</w:t>
      </w:r>
      <w:r>
        <w:tab/>
        <w:t xml:space="preserve">a licence under the </w:t>
      </w:r>
      <w:r>
        <w:rPr>
          <w:i/>
          <w:iCs/>
        </w:rPr>
        <w:t>Petroleum Pipelines Act 1969</w:t>
      </w:r>
      <w:r>
        <w:t>; and</w:t>
      </w:r>
    </w:p>
    <w:p>
      <w:pPr>
        <w:pStyle w:val="Defpara"/>
      </w:pPr>
      <w:r>
        <w:tab/>
        <w:t>(da)</w:t>
      </w:r>
      <w:r>
        <w:tab/>
        <w:t xml:space="preserve">a </w:t>
      </w:r>
      <w:r>
        <w:rPr>
          <w:b/>
          <w:i/>
        </w:rPr>
        <w:t>pipeline</w:t>
      </w:r>
      <w:r>
        <w:t xml:space="preserve">, as defined in the </w:t>
      </w:r>
      <w:r>
        <w:rPr>
          <w:i/>
        </w:rPr>
        <w:t>Petroleum Pipelines Act 1969</w:t>
      </w:r>
      <w:r>
        <w:t xml:space="preserve"> section 4(1), constructed on land under the authority of a licence under that Act; and</w:t>
      </w:r>
    </w:p>
    <w:p>
      <w:pPr>
        <w:pStyle w:val="Defpara"/>
      </w:pPr>
      <w:r>
        <w:tab/>
        <w:t>(d)</w:t>
      </w:r>
      <w:r>
        <w:tab/>
        <w:t>anything that is part of land as a fixture;</w:t>
      </w:r>
    </w:p>
    <w:p>
      <w:pPr>
        <w:pStyle w:val="Defstart"/>
      </w:pPr>
      <w:r>
        <w:rPr>
          <w:b/>
        </w:rPr>
        <w:tab/>
      </w:r>
      <w:r>
        <w:rPr>
          <w:rStyle w:val="CharDefText"/>
        </w:rPr>
        <w:t>landholder duty</w:t>
      </w:r>
      <w:r>
        <w:t xml:space="preserve"> means duty under Chapter 3;</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 xml:space="preserve">a regional local government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under the definition of </w:t>
      </w:r>
      <w:r>
        <w:rPr>
          <w:b/>
          <w:i/>
        </w:rPr>
        <w:t>substantial holding</w:t>
      </w:r>
      <w:r>
        <w:t xml:space="preserve"> in the Corporations Act section 9 if the reference in that definition to 5% were a reference to 50%;</w:t>
      </w:r>
    </w:p>
    <w:p>
      <w:pPr>
        <w:pStyle w:val="Defstar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2</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tab/>
      </w:r>
      <w:r>
        <w:rPr>
          <w:rStyle w:val="CharDefText"/>
        </w:rPr>
        <w:t>primary production</w:t>
      </w:r>
      <w:r>
        <w:t xml:space="preserve"> has the meaning given in section 101A;</w:t>
      </w:r>
    </w:p>
    <w:p>
      <w:pPr>
        <w:pStyle w:val="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Defstart"/>
      </w:pPr>
      <w:r>
        <w:tab/>
      </w:r>
      <w:r>
        <w:rPr>
          <w:rStyle w:val="CharDefText"/>
        </w:rPr>
        <w:t>public authority</w:t>
      </w:r>
      <w:r>
        <w:t xml:space="preserve"> means — </w:t>
      </w:r>
    </w:p>
    <w:p>
      <w:pPr>
        <w:pStyle w:val="Defpara"/>
        <w:spacing w:before="60"/>
      </w:pPr>
      <w:r>
        <w:tab/>
        <w:t>(a)</w:t>
      </w:r>
      <w:r>
        <w:tab/>
        <w:t>a trading concern, instrumentality or public utility of the State; or</w:t>
      </w:r>
    </w:p>
    <w:p>
      <w:pPr>
        <w:pStyle w:val="Defpara"/>
        <w:spacing w:before="60"/>
      </w:pPr>
      <w:r>
        <w:tab/>
        <w:t>(b)</w:t>
      </w:r>
      <w:r>
        <w:tab/>
        <w:t>any other person or body, whether corporate or not, who or which, under the authority of a written law, administers or carries on for the benefit of the State, a social service or public utility;</w:t>
      </w:r>
    </w:p>
    <w:p>
      <w:pPr>
        <w:pStyle w:val="Defstart"/>
      </w:pPr>
      <w:r>
        <w:rPr>
          <w:b/>
        </w:rPr>
        <w:tab/>
      </w:r>
      <w:r>
        <w:rPr>
          <w:rStyle w:val="CharDefText"/>
        </w:rPr>
        <w:t>registered scheme</w:t>
      </w:r>
      <w:r>
        <w:t xml:space="preserve"> has the meaning given in the Corporations Act section 9;</w:t>
      </w:r>
    </w:p>
    <w:p>
      <w:pPr>
        <w:pStyle w:val="Defstart"/>
      </w:pPr>
      <w:r>
        <w:rPr>
          <w:b/>
        </w:rPr>
        <w:tab/>
      </w:r>
      <w:r>
        <w:rPr>
          <w:rStyle w:val="CharDefText"/>
        </w:rPr>
        <w:t>related corporation</w:t>
      </w:r>
      <w:r>
        <w:t xml:space="preserve"> has the meaning related body corporate is given in the Corporations Act section 9;</w:t>
      </w:r>
    </w:p>
    <w:p>
      <w:pPr>
        <w:pStyle w:val="Defstart"/>
      </w:pPr>
      <w:r>
        <w:tab/>
      </w:r>
      <w:r>
        <w:rPr>
          <w:rStyle w:val="CharDefText"/>
        </w:rPr>
        <w:t>relevant body</w:t>
      </w:r>
      <w:r>
        <w:t xml:space="preserve"> has the meaning given in section 96A;</w:t>
      </w:r>
    </w:p>
    <w:p>
      <w:pPr>
        <w:pStyle w:val="Defstart"/>
      </w:pPr>
      <w:r>
        <w:rPr>
          <w:b/>
        </w:rPr>
        <w:tab/>
      </w:r>
      <w:r>
        <w:rPr>
          <w:rStyle w:val="CharDefText"/>
        </w:rPr>
        <w:t>security interest</w:t>
      </w:r>
      <w:r>
        <w:t xml:space="preserve"> means the estate or interest of a mortgagee, chargee or other secured creditor;</w:t>
      </w:r>
    </w:p>
    <w:p>
      <w:pPr>
        <w:pStyle w:val="Defstart"/>
      </w:pPr>
      <w:r>
        <w:rPr>
          <w:b/>
        </w:rPr>
        <w:tab/>
      </w:r>
      <w:r>
        <w:rPr>
          <w:rStyle w:val="CharDefText"/>
        </w:rPr>
        <w:t>share</w:t>
      </w:r>
      <w:r>
        <w:t xml:space="preserve"> — </w:t>
      </w:r>
    </w:p>
    <w:p>
      <w:pPr>
        <w:pStyle w:val="Defpara"/>
      </w:pPr>
      <w:r>
        <w:tab/>
        <w:t>(a)</w:t>
      </w:r>
      <w:r>
        <w:tab/>
        <w:t>in Chapter 2 Part 5 Division 3 — has the meaning given in section 63; and</w:t>
      </w:r>
    </w:p>
    <w:p>
      <w:pPr>
        <w:pStyle w:val="Defpara"/>
      </w:pPr>
      <w:r>
        <w:tab/>
        <w:t>(b)</w:t>
      </w:r>
      <w:r>
        <w:tab/>
        <w:t>otherwise — means a share or stock of a corporation or an interest in a share or stock of a corporation;</w:t>
      </w:r>
    </w:p>
    <w:p>
      <w:pPr>
        <w:pStyle w:val="Defstart"/>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pPr>
      <w:r>
        <w:rPr>
          <w:b/>
        </w:rPr>
        <w:tab/>
      </w:r>
      <w:r>
        <w:rPr>
          <w:rStyle w:val="CharDefText"/>
        </w:rPr>
        <w:t>Taxation Administration Act</w:t>
      </w:r>
      <w:r>
        <w:t xml:space="preserve"> means the </w:t>
      </w:r>
      <w:r>
        <w:rPr>
          <w:i/>
          <w:iCs/>
        </w:rPr>
        <w:t>Taxation Administration Act 2003</w:t>
      </w:r>
      <w:r>
        <w:t>;</w:t>
      </w:r>
    </w:p>
    <w:p>
      <w:pPr>
        <w:pStyle w:val="Defstart"/>
      </w:pPr>
      <w:r>
        <w:rPr>
          <w:b/>
        </w:rPr>
        <w:tab/>
      </w:r>
      <w:r>
        <w:rPr>
          <w:rStyle w:val="CharDefText"/>
        </w:rPr>
        <w:t>transaction</w:t>
      </w:r>
      <w:r>
        <w:t xml:space="preserve"> includes an event;</w:t>
      </w:r>
    </w:p>
    <w:p>
      <w:pPr>
        <w:pStyle w:val="Defstart"/>
        <w:keepNext/>
      </w:pPr>
      <w:r>
        <w:rPr>
          <w:b/>
        </w:rPr>
        <w:tab/>
      </w:r>
      <w:r>
        <w:rPr>
          <w:rStyle w:val="CharDefText"/>
        </w:rPr>
        <w:t>transaction record</w:t>
      </w:r>
      <w:r>
        <w:rPr>
          <w:bCs/>
        </w:rPr>
        <w:t>,</w:t>
      </w:r>
      <w:r>
        <w:t xml:space="preserve"> in relation to a dutiable transaction, means — </w:t>
      </w:r>
    </w:p>
    <w:p>
      <w:pPr>
        <w:pStyle w:val="Defpara"/>
      </w:pPr>
      <w:r>
        <w:tab/>
        <w:t>(a)</w:t>
      </w:r>
      <w:r>
        <w:tab/>
        <w:t xml:space="preserve">an instrument that effects, or evidences, the dutiable transaction; or </w:t>
      </w:r>
    </w:p>
    <w:p>
      <w:pPr>
        <w:pStyle w:val="Defpara"/>
      </w:pPr>
      <w:r>
        <w:tab/>
        <w:t>(b)</w:t>
      </w:r>
      <w:r>
        <w:tab/>
        <w:t>a transfer duty statement for the dutiable transaction; or</w:t>
      </w:r>
    </w:p>
    <w:p>
      <w:pPr>
        <w:pStyle w:val="Defpara"/>
      </w:pPr>
      <w:r>
        <w:tab/>
        <w:t>(c)</w:t>
      </w:r>
      <w:r>
        <w:tab/>
        <w:t>a copy or memorandum that, under the Taxation Administration Act section 20, is treated as an instrument or statement referred to in paragraph (a) or (b);</w:t>
      </w:r>
    </w:p>
    <w:p>
      <w:pPr>
        <w:pStyle w:val="Defstart"/>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22(1);</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NotesPerm"/>
        <w:tabs>
          <w:tab w:val="left" w:pos="1418"/>
        </w:tabs>
        <w:ind w:left="1418" w:hanging="1418"/>
      </w:pPr>
      <w:r>
        <w:tab/>
        <w:t>Note:</w:t>
      </w:r>
      <w:r>
        <w:tab/>
        <w:t>Other terms are defined or explained in the Chapters in which they are used.  At the end of this Act there is an alphabetical list of all terms that are defined anywhere in this Act.  See also section 4(2).</w:t>
      </w:r>
    </w:p>
    <w:p>
      <w:pPr>
        <w:pStyle w:val="Footnotesection"/>
      </w:pPr>
      <w:r>
        <w:tab/>
        <w:t>[Section 3 amended by No. 17 of 2010 s. 11; No. 33 of 2011 s. 4; No. 2 of 2014 s. 49; No. 1 of 2015 s. 10; No. 8 of 2015 s. 4.]</w:t>
      </w:r>
    </w:p>
    <w:p>
      <w:pPr>
        <w:pStyle w:val="Heading5"/>
        <w:rPr>
          <w:snapToGrid w:val="0"/>
        </w:rPr>
      </w:pPr>
      <w:bookmarkStart w:id="17" w:name="_Toc392162245"/>
      <w:bookmarkStart w:id="18" w:name="_Toc413847046"/>
      <w:r>
        <w:rPr>
          <w:rStyle w:val="CharSectno"/>
        </w:rPr>
        <w:t>4</w:t>
      </w:r>
      <w:r>
        <w:rPr>
          <w:snapToGrid w:val="0"/>
        </w:rPr>
        <w:t>.</w:t>
      </w:r>
      <w:r>
        <w:rPr>
          <w:snapToGrid w:val="0"/>
        </w:rPr>
        <w:tab/>
        <w:t xml:space="preserve">Relationship with </w:t>
      </w:r>
      <w:r>
        <w:rPr>
          <w:i/>
          <w:iCs/>
          <w:snapToGrid w:val="0"/>
        </w:rPr>
        <w:t>Taxation Administration Act 2003</w:t>
      </w:r>
      <w:bookmarkEnd w:id="17"/>
      <w:bookmarkEnd w:id="18"/>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NotesPerm"/>
        <w:tabs>
          <w:tab w:val="left" w:pos="1418"/>
        </w:tabs>
        <w:ind w:left="1418" w:hanging="1418"/>
      </w:pPr>
      <w:r>
        <w:tab/>
        <w:t>Note:</w:t>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19" w:name="_Toc392162246"/>
      <w:bookmarkStart w:id="20" w:name="_Toc413847047"/>
      <w:r>
        <w:rPr>
          <w:rStyle w:val="CharSectno"/>
        </w:rPr>
        <w:t>5</w:t>
      </w:r>
      <w:r>
        <w:t>.</w:t>
      </w:r>
      <w:r>
        <w:tab/>
        <w:t>GST, effect of on value or consideration</w:t>
      </w:r>
      <w:bookmarkEnd w:id="19"/>
      <w:bookmarkEnd w:id="20"/>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21" w:name="_Toc392162247"/>
      <w:bookmarkStart w:id="22" w:name="_Toc413847048"/>
      <w:r>
        <w:rPr>
          <w:rStyle w:val="CharSectno"/>
        </w:rPr>
        <w:t>6</w:t>
      </w:r>
      <w:r>
        <w:t>.</w:t>
      </w:r>
      <w:r>
        <w:tab/>
        <w:t>Family relationships, determining</w:t>
      </w:r>
      <w:bookmarkEnd w:id="21"/>
      <w:bookmarkEnd w:id="22"/>
    </w:p>
    <w:p>
      <w:pPr>
        <w:pStyle w:val="Subsection"/>
      </w:pPr>
      <w:r>
        <w:tab/>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Heading5"/>
      </w:pPr>
      <w:bookmarkStart w:id="23" w:name="_Toc392162248"/>
      <w:bookmarkStart w:id="24" w:name="_Toc413847049"/>
      <w:r>
        <w:rPr>
          <w:rStyle w:val="CharSectno"/>
        </w:rPr>
        <w:t>7</w:t>
      </w:r>
      <w:r>
        <w:t>.</w:t>
      </w:r>
      <w:r>
        <w:tab/>
        <w:t>References to being wound up</w:t>
      </w:r>
      <w:bookmarkEnd w:id="23"/>
      <w:bookmarkEnd w:id="24"/>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Heading5"/>
        <w:rPr>
          <w:snapToGrid w:val="0"/>
        </w:rPr>
      </w:pPr>
      <w:bookmarkStart w:id="25" w:name="_Toc392162249"/>
      <w:bookmarkStart w:id="26" w:name="_Toc413847050"/>
      <w:r>
        <w:rPr>
          <w:rStyle w:val="CharSectno"/>
        </w:rPr>
        <w:t>8</w:t>
      </w:r>
      <w:r>
        <w:rPr>
          <w:snapToGrid w:val="0"/>
        </w:rPr>
        <w:t>.</w:t>
      </w:r>
      <w:r>
        <w:rPr>
          <w:snapToGrid w:val="0"/>
        </w:rPr>
        <w:tab/>
        <w:t>Notes in text</w:t>
      </w:r>
      <w:bookmarkEnd w:id="25"/>
      <w:bookmarkEnd w:id="26"/>
    </w:p>
    <w:p>
      <w:pPr>
        <w:pStyle w:val="Subsection"/>
      </w:pPr>
      <w:r>
        <w:tab/>
      </w:r>
      <w:r>
        <w:tab/>
        <w:t>A note included in this Act is explanatory and is not part of this Act.</w:t>
      </w:r>
    </w:p>
    <w:p>
      <w:pPr>
        <w:pStyle w:val="Heading2"/>
        <w:rPr>
          <w:sz w:val="32"/>
        </w:rPr>
      </w:pPr>
      <w:bookmarkStart w:id="27" w:name="_Toc389126259"/>
      <w:bookmarkStart w:id="28" w:name="_Toc392162250"/>
      <w:bookmarkStart w:id="29" w:name="_Toc412734746"/>
      <w:bookmarkStart w:id="30" w:name="_Toc412735169"/>
      <w:bookmarkStart w:id="31" w:name="_Toc412819185"/>
      <w:bookmarkStart w:id="32" w:name="_Toc413829942"/>
      <w:bookmarkStart w:id="33" w:name="_Toc413847051"/>
      <w:r>
        <w:rPr>
          <w:rStyle w:val="CharPartNo"/>
          <w:sz w:val="32"/>
        </w:rPr>
        <w:t>Chapter 2</w:t>
      </w:r>
      <w:r>
        <w:rPr>
          <w:sz w:val="32"/>
        </w:rPr>
        <w:t> — </w:t>
      </w:r>
      <w:r>
        <w:rPr>
          <w:rStyle w:val="CharPartText"/>
          <w:sz w:val="32"/>
        </w:rPr>
        <w:t>Transfer duty</w:t>
      </w:r>
      <w:bookmarkEnd w:id="27"/>
      <w:bookmarkEnd w:id="28"/>
      <w:bookmarkEnd w:id="29"/>
      <w:bookmarkEnd w:id="30"/>
      <w:bookmarkEnd w:id="31"/>
      <w:bookmarkEnd w:id="32"/>
      <w:bookmarkEnd w:id="33"/>
    </w:p>
    <w:p>
      <w:pPr>
        <w:pStyle w:val="Heading3"/>
        <w:rPr>
          <w:sz w:val="28"/>
        </w:rPr>
      </w:pPr>
      <w:bookmarkStart w:id="34" w:name="_Toc389126260"/>
      <w:bookmarkStart w:id="35" w:name="_Toc392162251"/>
      <w:bookmarkStart w:id="36" w:name="_Toc412734747"/>
      <w:bookmarkStart w:id="37" w:name="_Toc412735170"/>
      <w:bookmarkStart w:id="38" w:name="_Toc412819186"/>
      <w:bookmarkStart w:id="39" w:name="_Toc413829943"/>
      <w:bookmarkStart w:id="40" w:name="_Toc413847052"/>
      <w:r>
        <w:rPr>
          <w:rStyle w:val="CharDivNo"/>
          <w:sz w:val="28"/>
        </w:rPr>
        <w:t>Part 1</w:t>
      </w:r>
      <w:r>
        <w:rPr>
          <w:sz w:val="28"/>
        </w:rPr>
        <w:t> — </w:t>
      </w:r>
      <w:r>
        <w:rPr>
          <w:rStyle w:val="CharDivText"/>
          <w:sz w:val="28"/>
        </w:rPr>
        <w:t>Preliminary</w:t>
      </w:r>
      <w:bookmarkEnd w:id="34"/>
      <w:bookmarkEnd w:id="35"/>
      <w:bookmarkEnd w:id="36"/>
      <w:bookmarkEnd w:id="37"/>
      <w:bookmarkEnd w:id="38"/>
      <w:bookmarkEnd w:id="39"/>
      <w:bookmarkEnd w:id="40"/>
    </w:p>
    <w:p>
      <w:pPr>
        <w:pStyle w:val="Heading5"/>
      </w:pPr>
      <w:bookmarkStart w:id="41" w:name="_Toc392162252"/>
      <w:bookmarkStart w:id="42" w:name="_Toc413847053"/>
      <w:r>
        <w:rPr>
          <w:rStyle w:val="CharSectno"/>
        </w:rPr>
        <w:t>9</w:t>
      </w:r>
      <w:r>
        <w:t>.</w:t>
      </w:r>
      <w:r>
        <w:tab/>
        <w:t>Terms used</w:t>
      </w:r>
      <w:bookmarkEnd w:id="41"/>
      <w:bookmarkEnd w:id="42"/>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keepNext/>
      </w:pPr>
      <w:r>
        <w:rPr>
          <w:b/>
        </w:rPr>
        <w:tab/>
      </w:r>
      <w:r>
        <w:rPr>
          <w:rStyle w:val="CharDefText"/>
        </w:rPr>
        <w:t>surrender</w:t>
      </w:r>
      <w:r>
        <w:t xml:space="preserve"> includes the following — </w:t>
      </w:r>
    </w:p>
    <w:p>
      <w:pPr>
        <w:pStyle w:val="Defpara"/>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by No. 17 of 2010 s. 4.]</w:t>
      </w:r>
    </w:p>
    <w:p>
      <w:pPr>
        <w:pStyle w:val="Heading3"/>
        <w:rPr>
          <w:sz w:val="28"/>
        </w:rPr>
      </w:pPr>
      <w:bookmarkStart w:id="43" w:name="_Toc389126262"/>
      <w:bookmarkStart w:id="44" w:name="_Toc392162253"/>
      <w:bookmarkStart w:id="45" w:name="_Toc412734749"/>
      <w:bookmarkStart w:id="46" w:name="_Toc412735172"/>
      <w:bookmarkStart w:id="47" w:name="_Toc412819188"/>
      <w:bookmarkStart w:id="48" w:name="_Toc413829945"/>
      <w:bookmarkStart w:id="49" w:name="_Toc413847054"/>
      <w:r>
        <w:rPr>
          <w:rStyle w:val="CharDivNo"/>
          <w:sz w:val="28"/>
        </w:rPr>
        <w:t>Part 2</w:t>
      </w:r>
      <w:r>
        <w:rPr>
          <w:sz w:val="28"/>
        </w:rPr>
        <w:t> — </w:t>
      </w:r>
      <w:r>
        <w:rPr>
          <w:rStyle w:val="CharDivText"/>
          <w:sz w:val="28"/>
        </w:rPr>
        <w:t>Imposition of transfer duty</w:t>
      </w:r>
      <w:bookmarkEnd w:id="43"/>
      <w:bookmarkEnd w:id="44"/>
      <w:bookmarkEnd w:id="45"/>
      <w:bookmarkEnd w:id="46"/>
      <w:bookmarkEnd w:id="47"/>
      <w:bookmarkEnd w:id="48"/>
      <w:bookmarkEnd w:id="49"/>
    </w:p>
    <w:p>
      <w:pPr>
        <w:pStyle w:val="Heading5"/>
      </w:pPr>
      <w:bookmarkStart w:id="50" w:name="_Toc392162254"/>
      <w:bookmarkStart w:id="51" w:name="_Toc413847055"/>
      <w:r>
        <w:rPr>
          <w:rStyle w:val="CharSectno"/>
        </w:rPr>
        <w:t>10</w:t>
      </w:r>
      <w:r>
        <w:t>.</w:t>
      </w:r>
      <w:r>
        <w:tab/>
        <w:t>Transfer duty imposed</w:t>
      </w:r>
      <w:bookmarkEnd w:id="50"/>
      <w:bookmarkEnd w:id="51"/>
    </w:p>
    <w:p>
      <w:pPr>
        <w:pStyle w:val="Subsection"/>
      </w:pPr>
      <w:r>
        <w:tab/>
      </w:r>
      <w:r>
        <w:tab/>
        <w:t>Duty is imposed on dutiable transactions.</w:t>
      </w:r>
    </w:p>
    <w:p>
      <w:pPr>
        <w:pStyle w:val="Heading3"/>
        <w:rPr>
          <w:sz w:val="28"/>
        </w:rPr>
      </w:pPr>
      <w:bookmarkStart w:id="52" w:name="_Toc389126264"/>
      <w:bookmarkStart w:id="53" w:name="_Toc392162255"/>
      <w:bookmarkStart w:id="54" w:name="_Toc412734751"/>
      <w:bookmarkStart w:id="55" w:name="_Toc412735174"/>
      <w:bookmarkStart w:id="56" w:name="_Toc412819190"/>
      <w:bookmarkStart w:id="57" w:name="_Toc413829947"/>
      <w:bookmarkStart w:id="58" w:name="_Toc413847056"/>
      <w:r>
        <w:rPr>
          <w:rStyle w:val="CharDivNo"/>
          <w:sz w:val="28"/>
        </w:rPr>
        <w:t>Part 3</w:t>
      </w:r>
      <w:r>
        <w:rPr>
          <w:sz w:val="28"/>
        </w:rPr>
        <w:t> — </w:t>
      </w:r>
      <w:r>
        <w:rPr>
          <w:rStyle w:val="CharDivText"/>
          <w:sz w:val="28"/>
        </w:rPr>
        <w:t>Dutiable transactions and dutiable property</w:t>
      </w:r>
      <w:bookmarkEnd w:id="52"/>
      <w:bookmarkEnd w:id="53"/>
      <w:bookmarkEnd w:id="54"/>
      <w:bookmarkEnd w:id="55"/>
      <w:bookmarkEnd w:id="56"/>
      <w:bookmarkEnd w:id="57"/>
      <w:bookmarkEnd w:id="58"/>
    </w:p>
    <w:p>
      <w:pPr>
        <w:pStyle w:val="Heading4"/>
        <w:rPr>
          <w:sz w:val="26"/>
        </w:rPr>
      </w:pPr>
      <w:bookmarkStart w:id="59" w:name="_Toc389126265"/>
      <w:bookmarkStart w:id="60" w:name="_Toc392162256"/>
      <w:bookmarkStart w:id="61" w:name="_Toc412734752"/>
      <w:bookmarkStart w:id="62" w:name="_Toc412735175"/>
      <w:bookmarkStart w:id="63" w:name="_Toc412819191"/>
      <w:bookmarkStart w:id="64" w:name="_Toc413829948"/>
      <w:bookmarkStart w:id="65" w:name="_Toc413847057"/>
      <w:r>
        <w:rPr>
          <w:sz w:val="26"/>
        </w:rPr>
        <w:t>Division 1 — Dutiable transactions</w:t>
      </w:r>
      <w:bookmarkEnd w:id="59"/>
      <w:bookmarkEnd w:id="60"/>
      <w:bookmarkEnd w:id="61"/>
      <w:bookmarkEnd w:id="62"/>
      <w:bookmarkEnd w:id="63"/>
      <w:bookmarkEnd w:id="64"/>
      <w:bookmarkEnd w:id="65"/>
    </w:p>
    <w:p>
      <w:pPr>
        <w:pStyle w:val="Heading5"/>
      </w:pPr>
      <w:bookmarkStart w:id="66" w:name="_Toc392162257"/>
      <w:bookmarkStart w:id="67" w:name="_Toc413847058"/>
      <w:r>
        <w:rPr>
          <w:rStyle w:val="CharSectno"/>
        </w:rPr>
        <w:t>11</w:t>
      </w:r>
      <w:r>
        <w:t>.</w:t>
      </w:r>
      <w:r>
        <w:tab/>
        <w:t>Term used: dutiable transaction</w:t>
      </w:r>
      <w:bookmarkEnd w:id="66"/>
      <w:bookmarkEnd w:id="67"/>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 xml:space="preserve">by, or expressly authorised by, statute law of this or another jurisdiction, whether inside or outside </w:t>
      </w:r>
      <w:smartTag w:uri="urn:schemas-microsoft-com:office:smarttags" w:element="place">
        <w:smartTag w:uri="urn:schemas-microsoft-com:office:smarttags" w:element="country-region">
          <w:r>
            <w:t>Australia</w:t>
          </w:r>
        </w:smartTag>
      </w:smartTag>
      <w:r>
        <w:t>; or</w:t>
      </w:r>
    </w:p>
    <w:p>
      <w:pPr>
        <w:pStyle w:val="Indenti"/>
      </w:pPr>
      <w:r>
        <w:tab/>
        <w:t>(ii)</w:t>
      </w:r>
      <w:r>
        <w:tab/>
        <w:t xml:space="preserve">by, or as a consequence of, a court order of this or another jurisdiction, whether inside or outside </w:t>
      </w:r>
      <w:smartTag w:uri="urn:schemas-microsoft-com:office:smarttags" w:element="place">
        <w:smartTag w:uri="urn:schemas-microsoft-com:office:smarttags" w:element="country-region">
          <w:r>
            <w:t>Australia</w:t>
          </w:r>
        </w:smartTag>
      </w:smartTag>
      <w:r>
        <w:t>;</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Heading5"/>
      </w:pPr>
      <w:bookmarkStart w:id="68" w:name="_Toc392162258"/>
      <w:bookmarkStart w:id="69" w:name="_Toc413847059"/>
      <w:r>
        <w:rPr>
          <w:rStyle w:val="CharSectno"/>
        </w:rPr>
        <w:t>12</w:t>
      </w:r>
      <w:r>
        <w:t>.</w:t>
      </w:r>
      <w:r>
        <w:tab/>
        <w:t>Vesting of property by statute law</w:t>
      </w:r>
      <w:bookmarkEnd w:id="68"/>
      <w:bookmarkEnd w:id="69"/>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xml:space="preserve">) results as a consequence of the merger is taken to be a vesting of the property in </w:t>
      </w:r>
      <w:smartTag w:uri="urn:schemas-microsoft-com:office:smarttags" w:element="place">
        <w:smartTag w:uri="urn:schemas-microsoft-com:office:smarttags" w:element="State">
          <w:r>
            <w:t>Western Australia</w:t>
          </w:r>
        </w:smartTag>
      </w:smartTag>
      <w:r>
        <w:t xml:space="preserve"> of the merging corporations in company C by statute law.</w:t>
      </w:r>
    </w:p>
    <w:p>
      <w:pPr>
        <w:pStyle w:val="Subsection"/>
      </w:pPr>
      <w:r>
        <w:tab/>
        <w:t>(5)</w:t>
      </w:r>
      <w:r>
        <w:tab/>
        <w:t xml:space="preserve">A merger of corporations (the </w:t>
      </w:r>
      <w:r>
        <w:rPr>
          <w:rStyle w:val="CharDefText"/>
        </w:rPr>
        <w:t>merging corporations</w:t>
      </w:r>
      <w:r>
        <w:t xml:space="preserve">) with and into each other in circumstances where each of the merging corporations continues in existence is taken to be a vesting in the merging corporations, jointly, of 50% (in value) of the property in </w:t>
      </w:r>
      <w:smartTag w:uri="urn:schemas-microsoft-com:office:smarttags" w:element="place">
        <w:smartTag w:uri="urn:schemas-microsoft-com:office:smarttags" w:element="State">
          <w:r>
            <w:t>Western Australia</w:t>
          </w:r>
        </w:smartTag>
      </w:smartTag>
      <w:r>
        <w:t xml:space="preserve"> of the merging corporations by statute law.</w:t>
      </w:r>
    </w:p>
    <w:p>
      <w:pPr>
        <w:pStyle w:val="Heading5"/>
      </w:pPr>
      <w:bookmarkStart w:id="70" w:name="_Toc392162259"/>
      <w:bookmarkStart w:id="71" w:name="_Toc413847060"/>
      <w:r>
        <w:rPr>
          <w:rStyle w:val="CharSectno"/>
        </w:rPr>
        <w:t>13</w:t>
      </w:r>
      <w:r>
        <w:t>.</w:t>
      </w:r>
      <w:r>
        <w:tab/>
        <w:t>References to farm</w:t>
      </w:r>
      <w:r>
        <w:noBreakHyphen/>
        <w:t>in agreement</w:t>
      </w:r>
      <w:bookmarkEnd w:id="70"/>
      <w:bookmarkEnd w:id="71"/>
    </w:p>
    <w:p>
      <w:pPr>
        <w:pStyle w:val="Subsection"/>
      </w:pPr>
      <w:r>
        <w:tab/>
        <w:t>(1)</w:t>
      </w:r>
      <w:r>
        <w:tab/>
        <w:t>A reference to a farm</w:t>
      </w:r>
      <w:r>
        <w:noBreakHyphen/>
        <w:t xml:space="preserve">in agreement is to an agreement between — </w:t>
      </w:r>
    </w:p>
    <w:p>
      <w:pPr>
        <w:pStyle w:val="Indenta"/>
      </w:pPr>
      <w:r>
        <w:tab/>
        <w:t>(a)</w:t>
      </w:r>
      <w:r>
        <w:tab/>
        <w:t>an owner of a mining tenement, or a person who holds a right to exploit a mining tenement; and</w:t>
      </w:r>
    </w:p>
    <w:p>
      <w:pPr>
        <w:pStyle w:val="Indenta"/>
      </w:pPr>
      <w:r>
        <w:tab/>
        <w:t>(b)</w:t>
      </w:r>
      <w:r>
        <w:tab/>
        <w:t>another person,</w:t>
      </w:r>
    </w:p>
    <w:p>
      <w:pPr>
        <w:pStyle w:val="Subsection"/>
      </w:pPr>
      <w:r>
        <w:tab/>
      </w:r>
      <w:r>
        <w:tab/>
        <w:t>to the effect that, after the other person expends the exploration amount specified in the agreement —</w:t>
      </w:r>
    </w:p>
    <w:p>
      <w:pPr>
        <w:pStyle w:val="Indenta"/>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right to exploit, or an entitlement to a right to exploit, the mining tenement that is specified in the agreement;</w:t>
      </w:r>
    </w:p>
    <w:p>
      <w:pPr>
        <w:pStyle w:val="Indenta"/>
      </w:pPr>
      <w:r>
        <w:tab/>
      </w:r>
      <w:r>
        <w:tab/>
        <w:t>and</w:t>
      </w:r>
    </w:p>
    <w:p>
      <w:pPr>
        <w:pStyle w:val="Indenta"/>
      </w:pPr>
      <w:r>
        <w:tab/>
        <w:t>(d)</w:t>
      </w:r>
      <w:r>
        <w:tab/>
        <w:t>the mining tenement, or the right to exploit the mining tenement,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Heading5"/>
      </w:pPr>
      <w:bookmarkStart w:id="72" w:name="_Toc392162260"/>
      <w:bookmarkStart w:id="73" w:name="_Toc413847061"/>
      <w:r>
        <w:rPr>
          <w:rStyle w:val="CharSectno"/>
        </w:rPr>
        <w:t>14</w:t>
      </w:r>
      <w:r>
        <w:t>.</w:t>
      </w:r>
      <w:r>
        <w:tab/>
        <w:t>Transactions as to chattels, which are dutiable</w:t>
      </w:r>
      <w:bookmarkEnd w:id="72"/>
      <w:bookmarkEnd w:id="73"/>
    </w:p>
    <w:p>
      <w:pPr>
        <w:pStyle w:val="Subsection"/>
      </w:pPr>
      <w:r>
        <w:tab/>
        <w:t>(1)</w:t>
      </w:r>
      <w:r>
        <w:tab/>
        <w:t xml:space="preserve">Subject to subsection (2), a transaction is not a dutiable transaction if the only dutiable property the subject of the transaction is a chattel in </w:t>
      </w:r>
      <w:smartTag w:uri="urn:schemas-microsoft-com:office:smarttags" w:element="place">
        <w:smartTag w:uri="urn:schemas-microsoft-com:office:smarttags" w:element="State">
          <w:r>
            <w:t>Western Australia</w:t>
          </w:r>
        </w:smartTag>
      </w:smartTag>
      <w:r>
        <w:t>.</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Heading4"/>
        <w:rPr>
          <w:sz w:val="26"/>
        </w:rPr>
      </w:pPr>
      <w:bookmarkStart w:id="74" w:name="_Toc389126270"/>
      <w:bookmarkStart w:id="75" w:name="_Toc392162261"/>
      <w:bookmarkStart w:id="76" w:name="_Toc412734757"/>
      <w:bookmarkStart w:id="77" w:name="_Toc412735180"/>
      <w:bookmarkStart w:id="78" w:name="_Toc412819196"/>
      <w:bookmarkStart w:id="79" w:name="_Toc413829953"/>
      <w:bookmarkStart w:id="80" w:name="_Toc413847062"/>
      <w:r>
        <w:rPr>
          <w:sz w:val="26"/>
        </w:rPr>
        <w:t>Division 2 — Dutiable property</w:t>
      </w:r>
      <w:bookmarkEnd w:id="74"/>
      <w:bookmarkEnd w:id="75"/>
      <w:bookmarkEnd w:id="76"/>
      <w:bookmarkEnd w:id="77"/>
      <w:bookmarkEnd w:id="78"/>
      <w:bookmarkEnd w:id="79"/>
      <w:bookmarkEnd w:id="80"/>
    </w:p>
    <w:p>
      <w:pPr>
        <w:pStyle w:val="Heading5"/>
      </w:pPr>
      <w:bookmarkStart w:id="81" w:name="_Toc392162262"/>
      <w:bookmarkStart w:id="82" w:name="_Toc413847063"/>
      <w:r>
        <w:rPr>
          <w:rStyle w:val="CharSectno"/>
        </w:rPr>
        <w:t>15</w:t>
      </w:r>
      <w:r>
        <w:t>.</w:t>
      </w:r>
      <w:r>
        <w:tab/>
        <w:t>Term used: dutiable property</w:t>
      </w:r>
      <w:bookmarkEnd w:id="81"/>
      <w:bookmarkEnd w:id="82"/>
    </w:p>
    <w:p>
      <w:pPr>
        <w:pStyle w:val="Subsection"/>
      </w:pPr>
      <w:r>
        <w:tab/>
      </w:r>
      <w:r>
        <w:tab/>
        <w:t xml:space="preserve">Any of the following is </w:t>
      </w:r>
      <w:r>
        <w:rPr>
          <w:rStyle w:val="CharDefText"/>
        </w:rPr>
        <w:t>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a right;</w:t>
      </w:r>
    </w:p>
    <w:p>
      <w:pPr>
        <w:pStyle w:val="Indenta"/>
      </w:pPr>
      <w:r>
        <w:tab/>
        <w:t>(c)</w:t>
      </w:r>
      <w:r>
        <w:tab/>
        <w:t xml:space="preserve">a chattel in </w:t>
      </w:r>
      <w:smartTag w:uri="urn:schemas-microsoft-com:office:smarttags" w:element="place">
        <w:smartTag w:uri="urn:schemas-microsoft-com:office:smarttags" w:element="State">
          <w:r>
            <w:t>Western Australia</w:t>
          </w:r>
        </w:smartTag>
      </w:smartTag>
      <w:r>
        <w:t>;</w:t>
      </w:r>
    </w:p>
    <w:p>
      <w:pPr>
        <w:pStyle w:val="Indenta"/>
      </w:pPr>
      <w:r>
        <w:tab/>
        <w:t>(d)</w:t>
      </w:r>
      <w:r>
        <w:tab/>
        <w:t>a Western Australian business asset.</w:t>
      </w:r>
    </w:p>
    <w:p>
      <w:pPr>
        <w:pStyle w:val="Heading5"/>
      </w:pPr>
      <w:bookmarkStart w:id="83" w:name="_Toc392162263"/>
      <w:bookmarkStart w:id="84" w:name="_Toc413847064"/>
      <w:r>
        <w:rPr>
          <w:rStyle w:val="CharSectno"/>
        </w:rPr>
        <w:t>16</w:t>
      </w:r>
      <w:r>
        <w:t>.</w:t>
      </w:r>
      <w:r>
        <w:tab/>
        <w:t>References to right</w:t>
      </w:r>
      <w:bookmarkEnd w:id="83"/>
      <w:bookmarkEnd w:id="84"/>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Subsection"/>
      </w:pPr>
      <w:r>
        <w:tab/>
        <w:t>(2)</w:t>
      </w:r>
      <w:r>
        <w:tab/>
        <w:t>A right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pPr>
      <w:r>
        <w:tab/>
        <w:t>(a)</w:t>
      </w:r>
      <w:r>
        <w:tab/>
        <w:t xml:space="preserve">a right under an application under the </w:t>
      </w:r>
      <w:r>
        <w:rPr>
          <w:i/>
          <w:iCs/>
        </w:rPr>
        <w:t>Mining Act 1978</w:t>
      </w:r>
      <w:r>
        <w:t xml:space="preserve"> for a mining tenement;</w:t>
      </w:r>
    </w:p>
    <w:p>
      <w:pPr>
        <w:pStyle w:val="Indenta"/>
      </w:pPr>
      <w:r>
        <w:tab/>
        <w:t>(b)</w:t>
      </w:r>
      <w:r>
        <w:tab/>
        <w:t xml:space="preserve">a licence, or a water entitlement under a licence, under the </w:t>
      </w:r>
      <w:r>
        <w:rPr>
          <w:i/>
          <w:iCs/>
        </w:rPr>
        <w:t>Rights in Water and Irrigation Act 1914</w:t>
      </w:r>
      <w:r>
        <w:t xml:space="preserve"> section 5C;</w:t>
      </w:r>
    </w:p>
    <w:p>
      <w:pPr>
        <w:pStyle w:val="Indenta"/>
      </w:pPr>
      <w:r>
        <w:tab/>
        <w:t>(c)</w:t>
      </w:r>
      <w:r>
        <w:tab/>
        <w:t>any other thing prescribed for the purposes of this section.</w:t>
      </w:r>
    </w:p>
    <w:p>
      <w:pPr>
        <w:pStyle w:val="Heading5"/>
      </w:pPr>
      <w:bookmarkStart w:id="85" w:name="_Toc392162264"/>
      <w:bookmarkStart w:id="86" w:name="_Toc413847065"/>
      <w:r>
        <w:rPr>
          <w:rStyle w:val="CharSectno"/>
        </w:rPr>
        <w:t>17</w:t>
      </w:r>
      <w:r>
        <w:t>.</w:t>
      </w:r>
      <w:r>
        <w:tab/>
        <w:t>Term used: new dutiable property</w:t>
      </w:r>
      <w:bookmarkEnd w:id="85"/>
      <w:bookmarkEnd w:id="86"/>
    </w:p>
    <w:p>
      <w:pPr>
        <w:pStyle w:val="Subsection"/>
      </w:pPr>
      <w:r>
        <w:tab/>
        <w:t>(1)</w:t>
      </w:r>
      <w:r>
        <w:tab/>
        <w:t xml:space="preserve">Any of the following is </w:t>
      </w:r>
      <w:r>
        <w:rPr>
          <w:rStyle w:val="CharDefText"/>
        </w:rPr>
        <w:t>new 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(b)</w:t>
      </w:r>
      <w:r>
        <w:tab/>
        <w:t>a partner’s interest in a partnership;</w:t>
      </w:r>
    </w:p>
    <w:p>
      <w:pPr>
        <w:pStyle w:val="Indenta"/>
      </w:pPr>
      <w:r>
        <w:tab/>
        <w:t>(c)</w:t>
      </w:r>
      <w:r>
        <w:tab/>
        <w:t>a lease if no consideration is paid, or agreed to be paid, for the grant of the lease;</w:t>
      </w:r>
    </w:p>
    <w:p>
      <w:pPr>
        <w:pStyle w:val="Indenta"/>
      </w:pPr>
      <w:r>
        <w:tab/>
        <w:t>(d)</w:t>
      </w:r>
      <w:r>
        <w:tab/>
        <w:t>a mining tenement;</w:t>
      </w:r>
    </w:p>
    <w:p>
      <w:pPr>
        <w:pStyle w:val="Indenta"/>
      </w:pPr>
      <w:r>
        <w:tab/>
        <w:t>(e)</w:t>
      </w:r>
      <w:r>
        <w:tab/>
        <w:t xml:space="preserve">a licence under the </w:t>
      </w:r>
      <w:r>
        <w:rPr>
          <w:i/>
          <w:iCs/>
        </w:rPr>
        <w:t>Petroleum Pipelines Act 1969</w:t>
      </w:r>
      <w:r>
        <w:t>;</w:t>
      </w:r>
    </w:p>
    <w:p>
      <w:pPr>
        <w:pStyle w:val="Indenta"/>
      </w:pPr>
      <w:r>
        <w:tab/>
        <w:t>(f)</w:t>
      </w:r>
      <w:r>
        <w:tab/>
        <w:t xml:space="preserve">a licence, or a water entitlement under a licence, 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smartTag w:uri="urn:schemas-microsoft-com:office:smarttags" w:element="place">
        <w:r>
          <w:rPr>
            <w:i/>
            <w:iCs/>
          </w:rPr>
          <w:t>Forest</w:t>
        </w:r>
      </w:smartTag>
      <w:r>
        <w:rPr>
          <w:i/>
          <w:iCs/>
        </w:rPr>
        <w:t xml:space="preserve">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 xml:space="preserve">Tree </w:t>
      </w:r>
      <w:smartTag w:uri="urn:schemas-microsoft-com:office:smarttags" w:element="place">
        <w:smartTag w:uri="urn:schemas-microsoft-com:office:smarttags" w:element="City">
          <w:r>
            <w:rPr>
              <w:i/>
              <w:iCs/>
            </w:rPr>
            <w:t>Plantation</w:t>
          </w:r>
        </w:smartTag>
      </w:smartTag>
      <w:r>
        <w:rPr>
          <w:i/>
          <w:iCs/>
        </w:rPr>
        <w:t xml:space="preserve"> Agreements Act 2003</w:t>
      </w:r>
      <w:r>
        <w:t>, unless the interest had been previously created in respect of a plantation to which the agreement applies;</w:t>
      </w:r>
    </w:p>
    <w:p>
      <w:pPr>
        <w:pStyle w:val="Indenta"/>
      </w:pPr>
      <w:r>
        <w:tab/>
        <w:t>(i)</w:t>
      </w:r>
      <w:r>
        <w:tab/>
        <w:t>any other dutiable property prescribed as excluded property for the purposes of this section.</w:t>
      </w:r>
    </w:p>
    <w:p>
      <w:pPr>
        <w:pStyle w:val="Heading5"/>
      </w:pPr>
      <w:bookmarkStart w:id="87" w:name="_Toc392162265"/>
      <w:bookmarkStart w:id="88" w:name="_Toc413847066"/>
      <w:r>
        <w:rPr>
          <w:rStyle w:val="CharSectno"/>
        </w:rPr>
        <w:t>18</w:t>
      </w:r>
      <w:r>
        <w:t>.</w:t>
      </w:r>
      <w:r>
        <w:tab/>
        <w:t>Term used: special dutiable property</w:t>
      </w:r>
      <w:bookmarkEnd w:id="87"/>
      <w:bookmarkEnd w:id="88"/>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if consideration is paid, or agreed to be paid, by the lessor for the surrender of the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(h)</w:t>
      </w:r>
      <w:r>
        <w:tab/>
        <w:t>any other dutiable property prescribed for the purposes of this section.</w:t>
      </w:r>
    </w:p>
    <w:p>
      <w:pPr>
        <w:pStyle w:val="Heading3"/>
        <w:rPr>
          <w:sz w:val="28"/>
        </w:rPr>
      </w:pPr>
      <w:bookmarkStart w:id="89" w:name="_Toc389126275"/>
      <w:bookmarkStart w:id="90" w:name="_Toc392162266"/>
      <w:bookmarkStart w:id="91" w:name="_Toc412734762"/>
      <w:bookmarkStart w:id="92" w:name="_Toc412735185"/>
      <w:bookmarkStart w:id="93" w:name="_Toc412819201"/>
      <w:bookmarkStart w:id="94" w:name="_Toc413829958"/>
      <w:bookmarkStart w:id="95" w:name="_Toc413847067"/>
      <w:r>
        <w:rPr>
          <w:rStyle w:val="CharDivNo"/>
          <w:sz w:val="28"/>
        </w:rPr>
        <w:t>Part 4</w:t>
      </w:r>
      <w:r>
        <w:rPr>
          <w:sz w:val="28"/>
        </w:rPr>
        <w:t> — </w:t>
      </w:r>
      <w:r>
        <w:rPr>
          <w:rStyle w:val="CharDivText"/>
          <w:sz w:val="28"/>
        </w:rPr>
        <w:t>Collection of transfer duty</w:t>
      </w:r>
      <w:bookmarkEnd w:id="89"/>
      <w:bookmarkEnd w:id="90"/>
      <w:bookmarkEnd w:id="91"/>
      <w:bookmarkEnd w:id="92"/>
      <w:bookmarkEnd w:id="93"/>
      <w:bookmarkEnd w:id="94"/>
      <w:bookmarkEnd w:id="95"/>
    </w:p>
    <w:p>
      <w:pPr>
        <w:pStyle w:val="Heading4"/>
        <w:rPr>
          <w:sz w:val="26"/>
        </w:rPr>
      </w:pPr>
      <w:bookmarkStart w:id="96" w:name="_Toc389126276"/>
      <w:bookmarkStart w:id="97" w:name="_Toc392162267"/>
      <w:bookmarkStart w:id="98" w:name="_Toc412734763"/>
      <w:bookmarkStart w:id="99" w:name="_Toc412735186"/>
      <w:bookmarkStart w:id="100" w:name="_Toc412819202"/>
      <w:bookmarkStart w:id="101" w:name="_Toc413829959"/>
      <w:bookmarkStart w:id="102" w:name="_Toc413847068"/>
      <w:r>
        <w:rPr>
          <w:sz w:val="26"/>
        </w:rPr>
        <w:t>Division 1 — Liability for transfer duty</w:t>
      </w:r>
      <w:bookmarkEnd w:id="96"/>
      <w:bookmarkEnd w:id="97"/>
      <w:bookmarkEnd w:id="98"/>
      <w:bookmarkEnd w:id="99"/>
      <w:bookmarkEnd w:id="100"/>
      <w:bookmarkEnd w:id="101"/>
      <w:bookmarkEnd w:id="102"/>
    </w:p>
    <w:p>
      <w:pPr>
        <w:pStyle w:val="Heading5"/>
        <w:spacing w:before="180"/>
      </w:pPr>
      <w:bookmarkStart w:id="103" w:name="_Toc392162268"/>
      <w:bookmarkStart w:id="104" w:name="_Toc413847069"/>
      <w:r>
        <w:rPr>
          <w:rStyle w:val="CharSectno"/>
        </w:rPr>
        <w:t>19</w:t>
      </w:r>
      <w:r>
        <w:t>.</w:t>
      </w:r>
      <w:r>
        <w:tab/>
        <w:t>When liability for duty arises</w:t>
      </w:r>
      <w:bookmarkEnd w:id="103"/>
      <w:bookmarkEnd w:id="104"/>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by No. 17 of 2010 s. 5.]</w:t>
      </w:r>
    </w:p>
    <w:p>
      <w:pPr>
        <w:pStyle w:val="Heading5"/>
      </w:pPr>
      <w:bookmarkStart w:id="105" w:name="_Toc392162269"/>
      <w:bookmarkStart w:id="106" w:name="_Toc413847070"/>
      <w:r>
        <w:rPr>
          <w:rStyle w:val="CharSectno"/>
        </w:rPr>
        <w:t>20</w:t>
      </w:r>
      <w:r>
        <w:t>.</w:t>
      </w:r>
      <w:r>
        <w:tab/>
        <w:t>Who is liable to pay duty</w:t>
      </w:r>
      <w:bookmarkEnd w:id="105"/>
      <w:bookmarkEnd w:id="106"/>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107" w:name="_Toc392162270"/>
      <w:bookmarkStart w:id="108" w:name="_Toc413847071"/>
      <w:r>
        <w:rPr>
          <w:rStyle w:val="CharSectno"/>
        </w:rPr>
        <w:t>21</w:t>
      </w:r>
      <w:r>
        <w:t>.</w:t>
      </w:r>
      <w:r>
        <w:tab/>
        <w:t>Joint tenants to be treated as tenants in common in equal shares</w:t>
      </w:r>
      <w:bookmarkEnd w:id="107"/>
      <w:bookmarkEnd w:id="108"/>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109" w:name="_Toc389126280"/>
      <w:bookmarkStart w:id="110" w:name="_Toc392162271"/>
      <w:bookmarkStart w:id="111" w:name="_Toc412734767"/>
      <w:bookmarkStart w:id="112" w:name="_Toc412735190"/>
      <w:bookmarkStart w:id="113" w:name="_Toc412819206"/>
      <w:bookmarkStart w:id="114" w:name="_Toc413829963"/>
      <w:bookmarkStart w:id="115" w:name="_Toc413847072"/>
      <w:r>
        <w:rPr>
          <w:sz w:val="26"/>
        </w:rPr>
        <w:t>Division 2 — Lodging transaction records</w:t>
      </w:r>
      <w:bookmarkEnd w:id="109"/>
      <w:bookmarkEnd w:id="110"/>
      <w:bookmarkEnd w:id="111"/>
      <w:bookmarkEnd w:id="112"/>
      <w:bookmarkEnd w:id="113"/>
      <w:bookmarkEnd w:id="114"/>
      <w:bookmarkEnd w:id="115"/>
    </w:p>
    <w:p>
      <w:pPr>
        <w:pStyle w:val="Heading5"/>
      </w:pPr>
      <w:bookmarkStart w:id="116" w:name="_Toc382914630"/>
      <w:bookmarkStart w:id="117" w:name="_Toc392162272"/>
      <w:bookmarkStart w:id="118" w:name="_Toc413847073"/>
      <w:r>
        <w:rPr>
          <w:rStyle w:val="CharSectno"/>
        </w:rPr>
        <w:t>22A</w:t>
      </w:r>
      <w:r>
        <w:t>.</w:t>
      </w:r>
      <w:r>
        <w:tab/>
        <w:t>Terms used</w:t>
      </w:r>
      <w:bookmarkEnd w:id="116"/>
      <w:bookmarkEnd w:id="117"/>
      <w:bookmarkEnd w:id="118"/>
    </w:p>
    <w:p>
      <w:pPr>
        <w:pStyle w:val="Subsection"/>
      </w:pPr>
      <w:r>
        <w:tab/>
      </w:r>
      <w:r>
        <w:tab/>
        <w:t xml:space="preserve">In this Division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Footnotesection"/>
        <w:spacing w:before="100"/>
        <w:ind w:left="890" w:hanging="890"/>
      </w:pPr>
      <w:r>
        <w:tab/>
        <w:t>[Section 22A inserted by No. 2 of 2014 s. 50.]</w:t>
      </w:r>
    </w:p>
    <w:p>
      <w:pPr>
        <w:pStyle w:val="Heading5"/>
        <w:spacing w:before="240"/>
      </w:pPr>
      <w:bookmarkStart w:id="119" w:name="_Toc392162273"/>
      <w:bookmarkStart w:id="120" w:name="_Toc413847074"/>
      <w:r>
        <w:rPr>
          <w:rStyle w:val="CharSectno"/>
        </w:rPr>
        <w:t>22</w:t>
      </w:r>
      <w:r>
        <w:t>.</w:t>
      </w:r>
      <w:r>
        <w:tab/>
        <w:t>Transfer duty statement to be made if no instrument</w:t>
      </w:r>
      <w:bookmarkEnd w:id="119"/>
      <w:bookmarkEnd w:id="120"/>
    </w:p>
    <w:p>
      <w:pPr>
        <w:pStyle w:val="Subsection"/>
        <w:spacing w:before="180"/>
      </w:pPr>
      <w:r>
        <w:tab/>
        <w:t>(1)</w:t>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Subsection"/>
      </w:pPr>
      <w:r>
        <w:tab/>
        <w:t>(2)</w:t>
      </w:r>
      <w:r>
        <w:tab/>
        <w:t>For the purposes of subsection (1) and section 23(1)(a), an electronic conveyancing instrument that has been digitally signed is to be taken to be an instrument in hard copy form.</w:t>
      </w:r>
    </w:p>
    <w:p>
      <w:pPr>
        <w:pStyle w:val="Footnotesection"/>
        <w:spacing w:before="100"/>
        <w:ind w:left="890" w:hanging="890"/>
      </w:pPr>
      <w:r>
        <w:tab/>
        <w:t>[Section 22 amended by No. 2 of 2014 s. 51.]</w:t>
      </w:r>
    </w:p>
    <w:p>
      <w:pPr>
        <w:pStyle w:val="Heading5"/>
        <w:spacing w:before="240"/>
      </w:pPr>
      <w:bookmarkStart w:id="121" w:name="_Toc392162274"/>
      <w:bookmarkStart w:id="122" w:name="_Toc413847075"/>
      <w:r>
        <w:rPr>
          <w:rStyle w:val="CharSectno"/>
        </w:rPr>
        <w:t>23</w:t>
      </w:r>
      <w:r>
        <w:t>.</w:t>
      </w:r>
      <w:r>
        <w:tab/>
        <w:t>Instrument or statement for dutiable transaction, duty to lodge</w:t>
      </w:r>
      <w:bookmarkEnd w:id="121"/>
      <w:bookmarkEnd w:id="122"/>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pPr>
      <w:r>
        <w:tab/>
      </w:r>
      <w:r>
        <w:tab/>
        <w:t>within 2 months after the day on which liability for duty on the transaction arises.</w:t>
      </w:r>
    </w:p>
    <w:p>
      <w:pPr>
        <w:pStyle w:val="Penstart"/>
      </w:pPr>
      <w:r>
        <w:tab/>
        <w:t>Penalty: a fine of $5 000.</w:t>
      </w:r>
    </w:p>
    <w:p>
      <w:pPr>
        <w:pStyle w:val="Subsection"/>
      </w:pPr>
      <w:r>
        <w:tab/>
        <w:t>(2)</w:t>
      </w:r>
      <w:r>
        <w:tab/>
        <w:t>A person is not required to lodge an instrument in respect of a general conditional agreement in respect of which liability for duty does not arise under section 19(2).</w:t>
      </w:r>
    </w:p>
    <w:p>
      <w:pPr>
        <w:pStyle w:val="Subsection"/>
      </w:pPr>
      <w:r>
        <w:tab/>
        <w:t>(3)</w:t>
      </w:r>
      <w:r>
        <w:tab/>
        <w:t>If a transaction is effected by an electronic conveyancing instrument, the person liable to pay duty on the transaction is to be taken to have complied with subsection (1) when the instrument is digitally signed.</w:t>
      </w:r>
    </w:p>
    <w:p>
      <w:pPr>
        <w:pStyle w:val="Footnotesection"/>
      </w:pPr>
      <w:r>
        <w:tab/>
        <w:t>[Section 23 amended by No. 17 of 2010 s. 6; No. 2 of 2014 s. 52.]</w:t>
      </w:r>
    </w:p>
    <w:p>
      <w:pPr>
        <w:pStyle w:val="Heading5"/>
      </w:pPr>
      <w:bookmarkStart w:id="123" w:name="_Toc392162275"/>
      <w:bookmarkStart w:id="124" w:name="_Toc413847076"/>
      <w:r>
        <w:rPr>
          <w:rStyle w:val="CharSectno"/>
        </w:rPr>
        <w:t>24</w:t>
      </w:r>
      <w:r>
        <w:t>.</w:t>
      </w:r>
      <w:r>
        <w:tab/>
        <w:t>Form of dutiable transaction</w:t>
      </w:r>
      <w:bookmarkEnd w:id="123"/>
      <w:bookmarkEnd w:id="124"/>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125" w:name="_Toc389126285"/>
      <w:bookmarkStart w:id="126" w:name="_Toc392162276"/>
      <w:bookmarkStart w:id="127" w:name="_Toc412734772"/>
      <w:bookmarkStart w:id="128" w:name="_Toc412735195"/>
      <w:bookmarkStart w:id="129" w:name="_Toc412819211"/>
      <w:bookmarkStart w:id="130" w:name="_Toc413829968"/>
      <w:bookmarkStart w:id="131" w:name="_Toc413847077"/>
      <w:r>
        <w:rPr>
          <w:sz w:val="26"/>
        </w:rPr>
        <w:t>Division 3 — Payment of transfer duty</w:t>
      </w:r>
      <w:bookmarkEnd w:id="125"/>
      <w:bookmarkEnd w:id="126"/>
      <w:bookmarkEnd w:id="127"/>
      <w:bookmarkEnd w:id="128"/>
      <w:bookmarkEnd w:id="129"/>
      <w:bookmarkEnd w:id="130"/>
      <w:bookmarkEnd w:id="131"/>
    </w:p>
    <w:p>
      <w:pPr>
        <w:pStyle w:val="Heading5"/>
      </w:pPr>
      <w:bookmarkStart w:id="132" w:name="_Toc392162277"/>
      <w:bookmarkStart w:id="133" w:name="_Toc413847078"/>
      <w:r>
        <w:rPr>
          <w:rStyle w:val="CharSectno"/>
        </w:rPr>
        <w:t>25</w:t>
      </w:r>
      <w:r>
        <w:t>.</w:t>
      </w:r>
      <w:r>
        <w:tab/>
        <w:t>When duty must be paid</w:t>
      </w:r>
      <w:bookmarkEnd w:id="132"/>
      <w:bookmarkEnd w:id="133"/>
    </w:p>
    <w:p>
      <w:pPr>
        <w:pStyle w:val="Subsection"/>
      </w:pPr>
      <w:r>
        <w:tab/>
        <w:t>(1)</w:t>
      </w:r>
      <w:r>
        <w:tab/>
        <w:t>A person liable to pay duty on a dutiable transaction is to pay the duty within one month after the date of the assessment notice issued in relation to an assessment of the duty,unless a later time is provided under subsection (2) or (3) in respect of the transaction.</w:t>
      </w:r>
    </w:p>
    <w:p>
      <w:pPr>
        <w:pStyle w:val="Subsection"/>
      </w:pPr>
      <w:r>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25 inserted by No. 17 of 2010 s. 7; amended by No. 10 of 2013 s. 4.]</w:t>
      </w:r>
    </w:p>
    <w:p>
      <w:pPr>
        <w:pStyle w:val="Heading4"/>
        <w:rPr>
          <w:sz w:val="26"/>
        </w:rPr>
      </w:pPr>
      <w:bookmarkStart w:id="134" w:name="_Toc389126287"/>
      <w:bookmarkStart w:id="135" w:name="_Toc392162278"/>
      <w:bookmarkStart w:id="136" w:name="_Toc412734774"/>
      <w:bookmarkStart w:id="137" w:name="_Toc412735197"/>
      <w:bookmarkStart w:id="138" w:name="_Toc412819213"/>
      <w:bookmarkStart w:id="139" w:name="_Toc413829970"/>
      <w:bookmarkStart w:id="140" w:name="_Toc413847079"/>
      <w:r>
        <w:rPr>
          <w:sz w:val="26"/>
        </w:rPr>
        <w:t>Division 4 — Rate of transfer duty</w:t>
      </w:r>
      <w:bookmarkEnd w:id="134"/>
      <w:bookmarkEnd w:id="135"/>
      <w:bookmarkEnd w:id="136"/>
      <w:bookmarkEnd w:id="137"/>
      <w:bookmarkEnd w:id="138"/>
      <w:bookmarkEnd w:id="139"/>
      <w:bookmarkEnd w:id="140"/>
    </w:p>
    <w:p>
      <w:pPr>
        <w:pStyle w:val="Heading5"/>
        <w:spacing w:before="180"/>
      </w:pPr>
      <w:bookmarkStart w:id="141" w:name="_Toc392162279"/>
      <w:bookmarkStart w:id="142" w:name="_Toc413847080"/>
      <w:r>
        <w:rPr>
          <w:rStyle w:val="CharSectno"/>
        </w:rPr>
        <w:t>26</w:t>
      </w:r>
      <w:r>
        <w:t>.</w:t>
      </w:r>
      <w:r>
        <w:tab/>
        <w:t>Rate of transfer duty</w:t>
      </w:r>
      <w:bookmarkEnd w:id="141"/>
      <w:bookmarkEnd w:id="142"/>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143" w:name="_Toc389126289"/>
      <w:bookmarkStart w:id="144" w:name="_Toc392162280"/>
      <w:bookmarkStart w:id="145" w:name="_Toc412734776"/>
      <w:bookmarkStart w:id="146" w:name="_Toc412735199"/>
      <w:bookmarkStart w:id="147" w:name="_Toc412819215"/>
      <w:bookmarkStart w:id="148" w:name="_Toc413829972"/>
      <w:bookmarkStart w:id="149" w:name="_Toc413847081"/>
      <w:r>
        <w:rPr>
          <w:sz w:val="26"/>
        </w:rPr>
        <w:t>Division 5 — Dutiable value</w:t>
      </w:r>
      <w:bookmarkEnd w:id="143"/>
      <w:bookmarkEnd w:id="144"/>
      <w:bookmarkEnd w:id="145"/>
      <w:bookmarkEnd w:id="146"/>
      <w:bookmarkEnd w:id="147"/>
      <w:bookmarkEnd w:id="148"/>
      <w:bookmarkEnd w:id="149"/>
    </w:p>
    <w:p>
      <w:pPr>
        <w:pStyle w:val="MiscellaneousHeading"/>
        <w:rPr>
          <w:b/>
          <w:bCs/>
        </w:rPr>
      </w:pPr>
      <w:r>
        <w:rPr>
          <w:b/>
          <w:bCs/>
        </w:rPr>
        <w:t>Subdivision 1 — Dutiable value</w:t>
      </w:r>
    </w:p>
    <w:p>
      <w:pPr>
        <w:pStyle w:val="Heading5"/>
      </w:pPr>
      <w:bookmarkStart w:id="150" w:name="_Toc392162281"/>
      <w:bookmarkStart w:id="151" w:name="_Toc413847082"/>
      <w:r>
        <w:rPr>
          <w:rStyle w:val="CharSectno"/>
        </w:rPr>
        <w:t>27</w:t>
      </w:r>
      <w:r>
        <w:t>.</w:t>
      </w:r>
      <w:r>
        <w:tab/>
        <w:t>Dutiable value of dutiable transactions, unless otherwise provided</w:t>
      </w:r>
      <w:bookmarkEnd w:id="150"/>
      <w:bookmarkEnd w:id="151"/>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152" w:name="_Toc392162282"/>
      <w:bookmarkStart w:id="153" w:name="_Toc413847083"/>
      <w:r>
        <w:rPr>
          <w:rStyle w:val="CharSectno"/>
        </w:rPr>
        <w:t>28</w:t>
      </w:r>
      <w:r>
        <w:t>.</w:t>
      </w:r>
      <w:r>
        <w:tab/>
        <w:t>Dutiable value of certain dutiable transactions</w:t>
      </w:r>
      <w:bookmarkEnd w:id="152"/>
      <w:bookmarkEnd w:id="153"/>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keepNext/>
      </w:pPr>
      <w:r>
        <w:tab/>
        <w:t>(4)</w:t>
      </w:r>
      <w:r>
        <w:tab/>
        <w:t xml:space="preserve">The dutiable value of a dutiable transaction that is the grant of a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127(2)(d), is the amount by which the unencumbered value of the dutiable property transferred exceeds the value of the member’s interest in the superannuation fund.</w:t>
      </w:r>
    </w:p>
    <w:p>
      <w:pPr>
        <w:pStyle w:val="Footnotesection"/>
        <w:ind w:left="890" w:hanging="890"/>
      </w:pPr>
      <w:r>
        <w:tab/>
        <w:t>[Section 28 amended by No. 30 of 2008 s. 24; No. 32 of 2012 s. 4.]</w:t>
      </w:r>
    </w:p>
    <w:p>
      <w:pPr>
        <w:pStyle w:val="Heading5"/>
        <w:spacing w:before="240"/>
      </w:pPr>
      <w:bookmarkStart w:id="154" w:name="_Toc392162283"/>
      <w:bookmarkStart w:id="155" w:name="_Toc413847084"/>
      <w:r>
        <w:rPr>
          <w:rStyle w:val="CharSectno"/>
        </w:rPr>
        <w:t>29</w:t>
      </w:r>
      <w:r>
        <w:t>.</w:t>
      </w:r>
      <w:r>
        <w:tab/>
        <w:t>Dutiable value of certain dutiable transactions relating to corporation or unit trust scheme property on winding up</w:t>
      </w:r>
      <w:bookmarkEnd w:id="154"/>
      <w:bookmarkEnd w:id="155"/>
    </w:p>
    <w:p>
      <w:pPr>
        <w:pStyle w:val="Subsection"/>
        <w:spacing w:before="120"/>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pPr>
      <w:r>
        <w:tab/>
        <w:t>(a)</w:t>
      </w:r>
      <w:r>
        <w:tab/>
        <w:t xml:space="preserve">in relation to a corporation — determined in accordance with the following formula — </w:t>
      </w:r>
    </w:p>
    <w:p>
      <w:pPr>
        <w:pStyle w:val="Graphics"/>
        <w:ind w:left="1560"/>
        <w:rPr>
          <w:position w:val="-24"/>
        </w:rPr>
      </w:pPr>
      <w:r>
        <w:rPr>
          <w:position w:val="-24"/>
        </w:rPr>
        <w:object w:dxaOrig="13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pt;height:31.5pt" o:ole="">
            <v:imagedata r:id="rId22" o:title=""/>
          </v:shape>
          <o:OLEObject Type="Embed" ProgID="Equation.3" ShapeID="_x0000_i1025" DrawAspect="Content" ObjectID="_1643286865" r:id="rId23"/>
        </w:object>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or a person related to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Graphics"/>
        <w:ind w:left="1560"/>
      </w:pPr>
      <w:r>
        <w:rPr>
          <w:position w:val="-24"/>
        </w:rPr>
        <w:object w:dxaOrig="1300" w:dyaOrig="620">
          <v:shape id="_x0000_i1026" type="#_x0000_t75" style="width:66pt;height:31.5pt" o:ole="">
            <v:imagedata r:id="rId22" o:title=""/>
          </v:shape>
          <o:OLEObject Type="Embed" ProgID="Equation.3" ShapeID="_x0000_i1026" DrawAspect="Content" ObjectID="_1643286866" r:id="rId24"/>
        </w:object>
      </w:r>
    </w:p>
    <w:p>
      <w:pPr>
        <w:pStyle w:val="Indenta"/>
        <w:spacing w:before="60"/>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pPr>
      <w:r>
        <w:tab/>
        <w:t>(ii)</w:t>
      </w:r>
      <w:r>
        <w:tab/>
        <w:t xml:space="preserve">the amount that is the total of — </w:t>
      </w:r>
    </w:p>
    <w:p>
      <w:pPr>
        <w:pStyle w:val="IndentI0"/>
      </w:pPr>
      <w:r>
        <w:tab/>
        <w:t>(I)</w:t>
      </w:r>
      <w:r>
        <w:tab/>
        <w:t>the amount (if any) owing to the unit holder that the unit holder has released the trustee of the unit trust scheme from paying in the relevant period; and</w:t>
      </w:r>
    </w:p>
    <w:p>
      <w:pPr>
        <w:pStyle w:val="IndentI0"/>
      </w:pPr>
      <w:r>
        <w:tab/>
        <w:t>(II)</w:t>
      </w:r>
      <w:r>
        <w:tab/>
        <w:t>the amount (if any) of any liability that the unit holder, or a person related to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NotesPerm"/>
        <w:tabs>
          <w:tab w:val="left" w:pos="1418"/>
        </w:tabs>
        <w:spacing w:before="120"/>
        <w:ind w:left="1418" w:hanging="1106"/>
        <w:rPr>
          <w:snapToGrid w:val="0"/>
        </w:rPr>
      </w:pPr>
      <w:r>
        <w:tab/>
        <w:t>Note:</w:t>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NotesPerm"/>
        <w:tabs>
          <w:tab w:val="left" w:pos="1418"/>
        </w:tabs>
        <w:spacing w:before="120"/>
        <w:ind w:left="1418" w:hanging="1106"/>
        <w:rPr>
          <w:snapToGrid w:val="0"/>
        </w:rPr>
      </w:pPr>
      <w:r>
        <w:rPr>
          <w:snapToGrid w:val="0"/>
        </w:rPr>
        <w:tab/>
      </w:r>
      <w:r>
        <w:rPr>
          <w:snapToGrid w:val="0"/>
        </w:rPr>
        <w:tab/>
        <w:t>There are no liquid assets to satisfy the liability and the liquidator distributes the assets subject to the liability.  A receives assets of $450 000 ($100 000 in excess of A’s entitlement) comprising $400 000 of dutiable property and $50 000 non</w:t>
      </w:r>
      <w:r>
        <w:rPr>
          <w:snapToGrid w:val="0"/>
        </w:rPr>
        <w:noBreakHyphen/>
        <w:t>dutiable property and assumes the whole mortgage.  B receives assets comprising dutiable property of $350 000.</w:t>
      </w:r>
    </w:p>
    <w:p>
      <w:pPr>
        <w:pStyle w:val="NotesPerm"/>
        <w:tabs>
          <w:tab w:val="left" w:pos="1418"/>
        </w:tabs>
        <w:spacing w:before="120"/>
        <w:ind w:left="1418" w:hanging="1106"/>
        <w:rPr>
          <w:snapToGrid w:val="0"/>
        </w:rPr>
      </w:pPr>
      <w:r>
        <w:rPr>
          <w:snapToGrid w:val="0"/>
        </w:rPr>
        <w:tab/>
      </w:r>
      <w:r>
        <w:rPr>
          <w:snapToGrid w:val="0"/>
        </w:rPr>
        <w:tab/>
        <w:t>A’s duty assessment:</w:t>
      </w:r>
    </w:p>
    <w:p>
      <w:pPr>
        <w:pStyle w:val="NotesPerm"/>
        <w:tabs>
          <w:tab w:val="left" w:pos="1418"/>
        </w:tabs>
        <w:spacing w:before="80"/>
        <w:ind w:left="1418" w:hanging="1106"/>
        <w:rPr>
          <w:snapToGrid w:val="0"/>
          <w:u w:val="single"/>
        </w:rPr>
      </w:pPr>
      <w:r>
        <w:rPr>
          <w:snapToGrid w:val="0"/>
        </w:rPr>
        <w:tab/>
      </w:r>
      <w:r>
        <w:rPr>
          <w:snapToGrid w:val="0"/>
        </w:rPr>
        <w:tab/>
      </w:r>
      <w:r>
        <w:rPr>
          <w:snapToGrid w:val="0"/>
          <w:u w:val="single"/>
        </w:rPr>
        <w:t>$100 000 (excess entitlement) x $400 000 (value of dutiable property)</w:t>
      </w:r>
    </w:p>
    <w:p>
      <w:pPr>
        <w:pStyle w:val="NotesPerm"/>
        <w:tabs>
          <w:tab w:val="left" w:pos="1418"/>
        </w:tabs>
        <w:spacing w:before="0"/>
        <w:ind w:left="1418" w:hanging="1106"/>
        <w:jc w:val="center"/>
        <w:rPr>
          <w:snapToGrid w:val="0"/>
        </w:rPr>
      </w:pPr>
      <w:r>
        <w:rPr>
          <w:snapToGrid w:val="0"/>
        </w:rPr>
        <w:t>$450 000 (value of all property received)</w:t>
      </w:r>
    </w:p>
    <w:p>
      <w:pPr>
        <w:pStyle w:val="NotesPerm"/>
        <w:tabs>
          <w:tab w:val="left" w:pos="1418"/>
        </w:tabs>
        <w:spacing w:before="120"/>
        <w:ind w:left="1418" w:hanging="1106"/>
        <w:rPr>
          <w:snapToGrid w:val="0"/>
        </w:rPr>
      </w:pPr>
      <w:r>
        <w:rPr>
          <w:snapToGrid w:val="0"/>
        </w:rPr>
        <w:tab/>
      </w:r>
      <w:r>
        <w:rPr>
          <w:snapToGrid w:val="0"/>
        </w:rPr>
        <w:tab/>
        <w:t>Transfer duty is charged on $88 888.</w:t>
      </w:r>
    </w:p>
    <w:p>
      <w:pPr>
        <w:pStyle w:val="NotesPerm"/>
        <w:tabs>
          <w:tab w:val="left" w:pos="1418"/>
        </w:tabs>
        <w:spacing w:before="120"/>
        <w:ind w:left="1418" w:hanging="1106"/>
        <w:rPr>
          <w:snapToGrid w:val="0"/>
        </w:rPr>
      </w:pPr>
      <w:r>
        <w:rPr>
          <w:snapToGrid w:val="0"/>
        </w:rPr>
        <w:tab/>
      </w:r>
      <w:r>
        <w:rPr>
          <w:snapToGrid w:val="0"/>
        </w:rPr>
        <w:tab/>
        <w:t>B’s duty assessment:</w:t>
      </w:r>
    </w:p>
    <w:p>
      <w:pPr>
        <w:pStyle w:val="NotesPerm"/>
        <w:tabs>
          <w:tab w:val="left" w:pos="1418"/>
        </w:tabs>
        <w:spacing w:before="120"/>
        <w:ind w:left="1418" w:hanging="1106"/>
        <w:rPr>
          <w:snapToGrid w:val="0"/>
        </w:rPr>
      </w:pPr>
      <w:r>
        <w:rPr>
          <w:snapToGrid w:val="0"/>
        </w:rPr>
        <w:tab/>
      </w:r>
      <w:r>
        <w:rPr>
          <w:snapToGrid w:val="0"/>
        </w:rPr>
        <w:tab/>
        <w:t>Nominal duty is charged, as B has received a distribution of assets equal to the shareholder entitlement.</w:t>
      </w:r>
    </w:p>
    <w:p>
      <w:pPr>
        <w:pStyle w:val="Subsection"/>
      </w:pPr>
      <w:r>
        <w:tab/>
        <w:t>(3)</w:t>
      </w:r>
      <w:r>
        <w:tab/>
        <w:t xml:space="preserve">In subsection (2)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pPr>
      <w:r>
        <w:tab/>
        <w:t>(4A)</w:t>
      </w:r>
      <w:r>
        <w:tab/>
        <w:t>For the purposes of paragraph (a)(ii)(II) or (b)(ii)(II) of the definition of the variable “A” in subsection (2),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(2) to all other transfers of corporation or unit trust scheme property in respect of the same corporation or unit trust scheme.</w:t>
      </w:r>
    </w:p>
    <w:p>
      <w:pPr>
        <w:pStyle w:val="Subsection"/>
      </w:pPr>
      <w:r>
        <w:tab/>
        <w:t>(4)</w:t>
      </w:r>
      <w:r>
        <w:tab/>
        <w:t xml:space="preserve">Subject to subsection (2), nominal duty is chargeable on a dutiable transaction that is a transfer of corporation or unit trust scheme property if — </w:t>
      </w:r>
    </w:p>
    <w:p>
      <w:pPr>
        <w:pStyle w:val="Indenta"/>
        <w:spacing w:before="60"/>
      </w:pPr>
      <w:r>
        <w:tab/>
        <w:t>(a)</w:t>
      </w:r>
      <w:r>
        <w:tab/>
        <w:t>in relation to a transfer of corporation property — the total value of the transaction to the shareholder, when the winding up begins, is equal to or less than the value of the shareholder’s entitlement to the net assets of the corporation at that time; or</w:t>
      </w:r>
    </w:p>
    <w:p>
      <w:pPr>
        <w:pStyle w:val="Indenta"/>
        <w:spacing w:before="60"/>
      </w:pPr>
      <w:r>
        <w:tab/>
        <w:t>(b)</w:t>
      </w:r>
      <w:r>
        <w:tab/>
        <w:t>in relation to a transfer of unit trust scheme property — the total value of the transaction to the unit holder, when the winding up begins, is equal to or less than the value of the unit holder’s entitlement to the net assets held in the unit trust scheme at that time.</w:t>
      </w:r>
    </w:p>
    <w:p>
      <w:pPr>
        <w:pStyle w:val="Subsection"/>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pPr>
      <w:r>
        <w:tab/>
        <w:t>(6)</w:t>
      </w:r>
      <w:r>
        <w:tab/>
        <w:t xml:space="preserve">In considering whether or not the Commissioner is satisfied for the purposes of subsection (5), the Commissioner may have regard to any of the following in relation to a corporation — </w:t>
      </w:r>
    </w:p>
    <w:p>
      <w:pPr>
        <w:pStyle w:val="Indenta"/>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pPr>
      <w:r>
        <w:tab/>
        <w:t>(b)</w:t>
      </w:r>
      <w:r>
        <w:tab/>
        <w:t>whether or not the unit holder held units in a related unit trust scheme that owned the property before it was owned by the trustee of the unit trust scheme;</w:t>
      </w:r>
    </w:p>
    <w:p>
      <w:pPr>
        <w:pStyle w:val="Indenta"/>
      </w:pPr>
      <w:r>
        <w:tab/>
        <w:t>(c)</w:t>
      </w:r>
      <w:r>
        <w:tab/>
        <w:t>the period for which the property has been owned by the trustee of the unit trust scheme or a related unit trust scheme of the unit trust scheme;</w:t>
      </w:r>
    </w:p>
    <w:p>
      <w:pPr>
        <w:pStyle w:val="Indenta"/>
      </w:pPr>
      <w:r>
        <w:tab/>
        <w:t>(d)</w:t>
      </w:r>
      <w:r>
        <w:tab/>
        <w:t>any dealing in units of the unit trust scheme or a related unit trust scheme of the unit trust scheme by any one or more of the following —</w:t>
      </w:r>
    </w:p>
    <w:p>
      <w:pPr>
        <w:pStyle w:val="Indenti"/>
      </w:pPr>
      <w:r>
        <w:tab/>
        <w:t>(i)</w:t>
      </w:r>
      <w:r>
        <w:tab/>
        <w:t>the unit 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trustee of the unit trust scheme;</w:t>
      </w:r>
    </w:p>
    <w:p>
      <w:pPr>
        <w:pStyle w:val="Indenti"/>
      </w:pPr>
      <w:r>
        <w:tab/>
        <w:t>(ii)</w:t>
      </w:r>
      <w:r>
        <w:tab/>
        <w:t>the unit holder;</w:t>
      </w:r>
    </w:p>
    <w:p>
      <w:pPr>
        <w:pStyle w:val="Indenti"/>
        <w:keepNext/>
      </w:pPr>
      <w:r>
        <w:tab/>
        <w:t>(iii)</w:t>
      </w:r>
      <w:r>
        <w:tab/>
        <w:t>a related unit trust scheme,</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pPr>
      <w:r>
        <w:tab/>
        <w:t>(g)</w:t>
      </w:r>
      <w:r>
        <w:tab/>
        <w:t>any other matters the Commissioner considers relevant.</w:t>
      </w:r>
    </w:p>
    <w:p>
      <w:pPr>
        <w:pStyle w:val="Subsection"/>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Footnotesection"/>
      </w:pPr>
      <w:r>
        <w:tab/>
        <w:t>[Section 29 </w:t>
      </w:r>
      <w:r>
        <w:rPr>
          <w:vertAlign w:val="superscript"/>
        </w:rPr>
        <w:t>3</w:t>
      </w:r>
      <w:r>
        <w:t xml:space="preserve"> amended by No. 29 of 2012 s. 4.]</w:t>
      </w:r>
    </w:p>
    <w:p>
      <w:pPr>
        <w:pStyle w:val="MiscellaneousHeading"/>
        <w:spacing w:before="240"/>
        <w:rPr>
          <w:b/>
          <w:bCs/>
        </w:rPr>
      </w:pPr>
      <w:r>
        <w:rPr>
          <w:b/>
          <w:bCs/>
        </w:rPr>
        <w:t>Subdivision 2 — Consideration</w:t>
      </w:r>
    </w:p>
    <w:p>
      <w:pPr>
        <w:pStyle w:val="Heading5"/>
      </w:pPr>
      <w:bookmarkStart w:id="156" w:name="_Toc392162284"/>
      <w:bookmarkStart w:id="157" w:name="_Toc413847085"/>
      <w:r>
        <w:rPr>
          <w:rStyle w:val="CharSectno"/>
        </w:rPr>
        <w:t>30</w:t>
      </w:r>
      <w:r>
        <w:t>.</w:t>
      </w:r>
      <w:r>
        <w:tab/>
        <w:t>Consideration for dutiable transaction</w:t>
      </w:r>
      <w:bookmarkEnd w:id="156"/>
      <w:bookmarkEnd w:id="157"/>
    </w:p>
    <w:p>
      <w:pPr>
        <w:pStyle w:val="Subsection"/>
        <w:keepNext/>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pPr>
      <w:r>
        <w:tab/>
        <w:t>(3)</w:t>
      </w:r>
      <w:r>
        <w:tab/>
        <w:t>It does not matter whether the consideration for a transaction on which duty is chargeable is paid or given or is required to be paid or given.</w:t>
      </w:r>
    </w:p>
    <w:p>
      <w:pPr>
        <w:pStyle w:val="Heading5"/>
        <w:spacing w:before="260"/>
      </w:pPr>
      <w:bookmarkStart w:id="158" w:name="_Toc392162285"/>
      <w:bookmarkStart w:id="159" w:name="_Toc413847086"/>
      <w:r>
        <w:rPr>
          <w:rStyle w:val="CharSectno"/>
        </w:rPr>
        <w:t>31</w:t>
      </w:r>
      <w:r>
        <w:t>.</w:t>
      </w:r>
      <w:r>
        <w:tab/>
        <w:t>Changes to consideration before transfer, consequences of</w:t>
      </w:r>
      <w:bookmarkEnd w:id="158"/>
      <w:bookmarkEnd w:id="159"/>
    </w:p>
    <w:p>
      <w:pPr>
        <w:pStyle w:val="Subsection"/>
        <w:spacing w:before="120"/>
      </w:pPr>
      <w:r>
        <w:tab/>
        <w:t>(1)</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not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120"/>
      </w:pPr>
      <w:r>
        <w:tab/>
      </w:r>
      <w:r>
        <w:tab/>
        <w:t>the Commissioner is to assess or, on the application of the taxpayer, reassess the liability to duty of the agreement in accordance with the reduced consideration.</w:t>
      </w:r>
    </w:p>
    <w:p>
      <w:pPr>
        <w:pStyle w:val="Subsection"/>
        <w:spacing w:before="120"/>
      </w:pPr>
      <w:r>
        <w:tab/>
        <w:t>(2)</w:t>
      </w:r>
      <w:r>
        <w:tab/>
        <w:t>Subsection (1) does not apply in respect of an agreement to which section 32 applies.</w:t>
      </w:r>
    </w:p>
    <w:p>
      <w:pPr>
        <w:pStyle w:val="Subsection"/>
        <w:spacing w:before="120"/>
      </w:pPr>
      <w:r>
        <w:tab/>
        <w:t>(3)</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spacing w:before="120"/>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tab/>
        <w:t>(4)</w:t>
      </w:r>
      <w:r>
        <w:tab/>
        <w:t xml:space="preserve">If after an agreement for the transfer of dutiable property is entered into and before the property is transferred — </w:t>
      </w:r>
    </w:p>
    <w:p>
      <w:pPr>
        <w:pStyle w:val="Indenta"/>
      </w:pPr>
      <w:r>
        <w:tab/>
        <w:t>(a)</w:t>
      </w:r>
      <w:r>
        <w:tab/>
        <w:t>the consideration under the agreement is increased; and</w:t>
      </w:r>
    </w:p>
    <w:p>
      <w:pPr>
        <w:pStyle w:val="Indenta"/>
      </w:pPr>
      <w:r>
        <w:tab/>
        <w:t>(b)</w:t>
      </w:r>
      <w:r>
        <w:tab/>
        <w:t>the increased consideration is not less than the unencumbered value of the dutiable property when the agreement was entered into,</w:t>
      </w:r>
    </w:p>
    <w:p>
      <w:pPr>
        <w:pStyle w:val="Subsection"/>
      </w:pPr>
      <w:r>
        <w:tab/>
      </w:r>
      <w:r>
        <w:tab/>
        <w:t>the Commissioner is to assess or reassess the liability to duty of the agreement in accordance with the increased consideration.</w:t>
      </w:r>
    </w:p>
    <w:p>
      <w:pPr>
        <w:pStyle w:val="Subsection"/>
        <w:keepNext/>
      </w:pPr>
      <w:r>
        <w:tab/>
        <w:t>(5)</w:t>
      </w:r>
      <w:r>
        <w:tab/>
        <w:t xml:space="preserve">If after a dutiable transaction is duty endorsed the consideration under the transaction is increased as referred to in subsection (4), the person liable to pay duty must lodge — </w:t>
      </w:r>
    </w:p>
    <w:p>
      <w:pPr>
        <w:pStyle w:val="Indenta"/>
      </w:pPr>
      <w:r>
        <w:tab/>
        <w:t>(a)</w:t>
      </w:r>
      <w:r>
        <w:tab/>
        <w:t>if the increase in consideration is effected by an instrument in hard copy form — that instrument and if there is more than one such instrument, each of them; or</w:t>
      </w:r>
    </w:p>
    <w:p>
      <w:pPr>
        <w:pStyle w:val="Indenta"/>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keepLines/>
      </w:pPr>
      <w:r>
        <w:tab/>
        <w:t>(6)</w:t>
      </w:r>
      <w:r>
        <w:tab/>
        <w:t>Duty is chargeable on a reassessment under this section in relation to a transaction at the same rate and using the same thresholds that applied when liability for duty on the transaction initially arose.</w:t>
      </w:r>
    </w:p>
    <w:p>
      <w:pPr>
        <w:pStyle w:val="Heading5"/>
        <w:keepNext w:val="0"/>
        <w:keepLines w:val="0"/>
        <w:spacing w:before="180"/>
      </w:pPr>
      <w:bookmarkStart w:id="160" w:name="_Toc392162286"/>
      <w:bookmarkStart w:id="161" w:name="_Toc413847087"/>
      <w:r>
        <w:rPr>
          <w:rStyle w:val="CharSectno"/>
        </w:rPr>
        <w:t>32</w:t>
      </w:r>
      <w:r>
        <w:t>.</w:t>
      </w:r>
      <w:r>
        <w:tab/>
        <w:t>Contingent consideration not paid, consequences of</w:t>
      </w:r>
      <w:bookmarkEnd w:id="160"/>
      <w:bookmarkEnd w:id="161"/>
    </w:p>
    <w:p>
      <w:pPr>
        <w:pStyle w:val="Subsection"/>
        <w:spacing w:before="120"/>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keepNext/>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pPr>
      <w:r>
        <w:tab/>
        <w:t>(2)</w:t>
      </w:r>
      <w:r>
        <w:tab/>
        <w:t>For the purposes of this section, the Taxation Administration Act section 17 applies as if the original assessment had been made when liability to duty on the agreement arose.</w:t>
      </w:r>
    </w:p>
    <w:p>
      <w:pPr>
        <w:pStyle w:val="Subsection"/>
      </w:pPr>
      <w:r>
        <w:tab/>
        <w:t>(3)</w:t>
      </w:r>
      <w:r>
        <w:tab/>
        <w:t>In this section, a reference to the happening of an event includes a reference to an event not happening.</w:t>
      </w:r>
    </w:p>
    <w:p>
      <w:pPr>
        <w:pStyle w:val="Heading5"/>
      </w:pPr>
      <w:bookmarkStart w:id="162" w:name="_Toc392162287"/>
      <w:bookmarkStart w:id="163" w:name="_Toc413847088"/>
      <w:r>
        <w:rPr>
          <w:rStyle w:val="CharSectno"/>
        </w:rPr>
        <w:t>33</w:t>
      </w:r>
      <w:r>
        <w:t>.</w:t>
      </w:r>
      <w:r>
        <w:tab/>
        <w:t>Agreement by instalments determined before final payment, consequences of</w:t>
      </w:r>
      <w:bookmarkEnd w:id="162"/>
      <w:bookmarkEnd w:id="163"/>
    </w:p>
    <w:p>
      <w:pPr>
        <w:pStyle w:val="Subsection"/>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pPr>
      <w:r>
        <w:tab/>
        <w:t>(3)</w:t>
      </w:r>
      <w:r>
        <w:tab/>
        <w:t>For the purposes of this section, the Taxation Administration Act section 17 applies as if the original assessment had been made when the determination was made.</w:t>
      </w:r>
    </w:p>
    <w:p>
      <w:pPr>
        <w:pStyle w:val="Heading5"/>
      </w:pPr>
      <w:bookmarkStart w:id="164" w:name="_Toc392162288"/>
      <w:bookmarkStart w:id="165" w:name="_Toc413847089"/>
      <w:r>
        <w:rPr>
          <w:rStyle w:val="CharSectno"/>
        </w:rPr>
        <w:t>34</w:t>
      </w:r>
      <w:r>
        <w:t>.</w:t>
      </w:r>
      <w:r>
        <w:tab/>
        <w:t>Options conferred by dutiable transactions that are exercised or not renewed, consequences of</w:t>
      </w:r>
      <w:bookmarkEnd w:id="164"/>
      <w:bookmarkEnd w:id="165"/>
    </w:p>
    <w:p>
      <w:pPr>
        <w:pStyle w:val="Subsection"/>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166" w:name="_Toc392162289"/>
      <w:bookmarkStart w:id="167" w:name="_Toc413847090"/>
      <w:r>
        <w:rPr>
          <w:rStyle w:val="CharSectno"/>
        </w:rPr>
        <w:t>35</w:t>
      </w:r>
      <w:r>
        <w:t>.</w:t>
      </w:r>
      <w:r>
        <w:tab/>
        <w:t>Option to acquire dutiable property, duty paid on to be credited</w:t>
      </w:r>
      <w:bookmarkEnd w:id="166"/>
      <w:bookmarkEnd w:id="167"/>
    </w:p>
    <w:p>
      <w:pPr>
        <w:pStyle w:val="Subsection"/>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keepNext/>
      </w:pPr>
      <w:r>
        <w:tab/>
        <w:t>(c)</w:t>
      </w:r>
      <w:r>
        <w:tab/>
        <w:t>the option is exercised,</w:t>
      </w:r>
    </w:p>
    <w:p>
      <w:pPr>
        <w:pStyle w:val="Subsection"/>
      </w:pPr>
      <w:r>
        <w:tab/>
      </w:r>
      <w:r>
        <w:tab/>
        <w:t>the amount of duty payable on the transfer of, or the agreement for the transfer of, dutiable property is to be reduced by the amount of duty paid on the grant or renewal of the option to acquire the property.</w:t>
      </w:r>
    </w:p>
    <w:p>
      <w:pPr>
        <w:pStyle w:val="NotesPerm"/>
        <w:tabs>
          <w:tab w:val="clear" w:pos="879"/>
          <w:tab w:val="left" w:pos="851"/>
        </w:tabs>
        <w:ind w:left="1418" w:hanging="1418"/>
        <w:rPr>
          <w:snapToGrid w:val="0"/>
        </w:rPr>
      </w:pPr>
      <w:r>
        <w:tab/>
        <w:t>Note:</w:t>
      </w:r>
      <w:r>
        <w:tab/>
        <w:t>For e</w:t>
      </w:r>
      <w:r>
        <w:rPr>
          <w:snapToGrid w:val="0"/>
        </w:rPr>
        <w:t>xample, consideration is paid for the grant of an option to acquire dutiable property.  The transaction provides for the renewal of the right for further consideration.</w:t>
      </w:r>
    </w:p>
    <w:p>
      <w:pPr>
        <w:pStyle w:val="NotesPerm"/>
        <w:tabs>
          <w:tab w:val="clear" w:pos="879"/>
          <w:tab w:val="left" w:pos="851"/>
        </w:tabs>
        <w:spacing w:before="120"/>
        <w:ind w:left="1418" w:hanging="1418"/>
        <w:rPr>
          <w:snapToGrid w:val="0"/>
        </w:rPr>
      </w:pPr>
      <w:r>
        <w:rPr>
          <w:snapToGrid w:val="0"/>
        </w:rPr>
        <w:tab/>
      </w:r>
      <w:r>
        <w:rPr>
          <w:snapToGrid w:val="0"/>
        </w:rPr>
        <w:tab/>
        <w:t>The transaction also provides that the consideration paid for the grant and renewal of the option forms part of the consideration for the property if the option is exercised.</w:t>
      </w:r>
    </w:p>
    <w:p>
      <w:pPr>
        <w:pStyle w:val="NotesPerm"/>
        <w:tabs>
          <w:tab w:val="clear" w:pos="879"/>
          <w:tab w:val="left" w:pos="851"/>
        </w:tabs>
        <w:spacing w:before="120"/>
        <w:ind w:left="1418" w:hanging="1418"/>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NotesPerm"/>
        <w:tabs>
          <w:tab w:val="clear" w:pos="879"/>
          <w:tab w:val="left" w:pos="851"/>
        </w:tabs>
        <w:spacing w:before="120"/>
        <w:ind w:left="1418" w:hanging="1418"/>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NotesPerm"/>
        <w:keepNext/>
        <w:tabs>
          <w:tab w:val="clear" w:pos="879"/>
          <w:tab w:val="left" w:pos="851"/>
        </w:tabs>
        <w:spacing w:before="120"/>
        <w:ind w:left="1418" w:hanging="1418"/>
        <w:rPr>
          <w:snapToGrid w:val="0"/>
        </w:rPr>
      </w:pPr>
      <w:r>
        <w:rPr>
          <w:snapToGrid w:val="0"/>
        </w:rPr>
        <w:tab/>
      </w:r>
      <w:r>
        <w:rPr>
          <w:snapToGrid w:val="0"/>
        </w:rPr>
        <w:tab/>
        <w:t>The amount of duty payable on the second dutiable transaction is reduced by the amount of duty paid on the first dutiable transaction.</w:t>
      </w:r>
    </w:p>
    <w:p>
      <w:pPr>
        <w:pStyle w:val="NotesPerm"/>
        <w:tabs>
          <w:tab w:val="clear" w:pos="879"/>
          <w:tab w:val="left" w:pos="851"/>
        </w:tabs>
        <w:spacing w:before="120"/>
        <w:ind w:left="1418" w:hanging="1418"/>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MiscellaneousHeading"/>
        <w:spacing w:before="240"/>
        <w:rPr>
          <w:b/>
          <w:bCs/>
        </w:rPr>
      </w:pPr>
      <w:r>
        <w:rPr>
          <w:b/>
          <w:bCs/>
        </w:rPr>
        <w:t>Subdivision 3 — Unencumbered value</w:t>
      </w:r>
    </w:p>
    <w:p>
      <w:pPr>
        <w:pStyle w:val="Heading5"/>
      </w:pPr>
      <w:bookmarkStart w:id="168" w:name="_Toc392162290"/>
      <w:bookmarkStart w:id="169" w:name="_Toc413847091"/>
      <w:r>
        <w:rPr>
          <w:rStyle w:val="CharSectno"/>
        </w:rPr>
        <w:t>36</w:t>
      </w:r>
      <w:r>
        <w:t>.</w:t>
      </w:r>
      <w:r>
        <w:tab/>
        <w:t>Unencumbered value of property, determining</w:t>
      </w:r>
      <w:bookmarkEnd w:id="168"/>
      <w:bookmarkEnd w:id="169"/>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pPr>
      <w:r>
        <w:tab/>
        <w:t>(ii)</w:t>
      </w:r>
      <w:r>
        <w:tab/>
        <w:t>for which a dominant purpose of any party to the scheme or arrangement was, in the opinion of the Commissioner, the reduction of the value of the property.</w:t>
      </w:r>
    </w:p>
    <w:p>
      <w:pPr>
        <w:pStyle w:val="NotesPerm"/>
        <w:tabs>
          <w:tab w:val="clear" w:pos="879"/>
          <w:tab w:val="left" w:pos="851"/>
        </w:tabs>
        <w:ind w:left="1418" w:hanging="1418"/>
        <w:rPr>
          <w:snapToGrid w:val="0"/>
        </w:rPr>
      </w:pPr>
      <w:r>
        <w:tab/>
        <w:t>Note:</w:t>
      </w:r>
      <w:r>
        <w:tab/>
        <w:t>E</w:t>
      </w:r>
      <w:r>
        <w:rPr>
          <w:snapToGrid w:val="0"/>
        </w:rPr>
        <w:t xml:space="preserve">xample for paragraph (c) — </w:t>
      </w:r>
    </w:p>
    <w:p>
      <w:pPr>
        <w:pStyle w:val="NotesPerm"/>
        <w:tabs>
          <w:tab w:val="left" w:pos="1418"/>
        </w:tabs>
        <w:ind w:left="1418" w:hanging="1106"/>
        <w:rPr>
          <w:snapToGrid w:val="0"/>
        </w:rPr>
      </w:pPr>
      <w:r>
        <w:rPr>
          <w:snapToGrid w:val="0"/>
        </w:rPr>
        <w:tab/>
      </w:r>
      <w:r>
        <w:rPr>
          <w:snapToGrid w:val="0"/>
        </w:rP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NotesPerm"/>
        <w:tabs>
          <w:tab w:val="left" w:pos="1418"/>
        </w:tabs>
        <w:ind w:left="1418" w:hanging="1106"/>
        <w:rPr>
          <w:snapToGrid w:val="0"/>
        </w:rPr>
      </w:pPr>
      <w:r>
        <w:rPr>
          <w:snapToGrid w:val="0"/>
        </w:rPr>
        <w:tab/>
      </w:r>
      <w:r>
        <w:rPr>
          <w:snapToGrid w:val="0"/>
        </w:rP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pPr>
      <w:r>
        <w:tab/>
        <w:t>(4)</w:t>
      </w:r>
      <w:r>
        <w:tab/>
        <w:t xml:space="preserve">When determining the unencumbered value of property — </w:t>
      </w:r>
    </w:p>
    <w:p>
      <w:pPr>
        <w:pStyle w:val="Indenta"/>
      </w:pPr>
      <w:r>
        <w:tab/>
        <w:t>(aa)</w:t>
      </w:r>
      <w:r>
        <w:tab/>
        <w:t>the ordinary principles of valuation apply, except to the extent that those principles are modified due to the operation of another paragraph of this subsection; and</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it is to be assumed that a hypothetical purchaser would, when negotiating the price of property, have knowledge of all existing information relating to the property; and</w:t>
      </w:r>
    </w:p>
    <w:p>
      <w:pPr>
        <w:pStyle w:val="Indenta"/>
      </w:pPr>
      <w:r>
        <w:tab/>
        <w:t>(ca)</w:t>
      </w:r>
      <w:r>
        <w:tab/>
        <w:t xml:space="preserve">information relating to the property (including the right to and use of the information) — </w:t>
      </w:r>
    </w:p>
    <w:p>
      <w:pPr>
        <w:pStyle w:val="Indenti"/>
      </w:pPr>
      <w:r>
        <w:tab/>
        <w:t>(i)</w:t>
      </w:r>
      <w:r>
        <w:tab/>
        <w:t>will be regarded as an attribute of the property; and</w:t>
      </w:r>
    </w:p>
    <w:p>
      <w:pPr>
        <w:pStyle w:val="Indenti"/>
      </w:pPr>
      <w:r>
        <w:tab/>
        <w:t>(ii)</w:t>
      </w:r>
      <w:r>
        <w:tab/>
        <w:t>will not be regarded as something to which an independent value can be ascribed;</w:t>
      </w:r>
    </w:p>
    <w:p>
      <w:pPr>
        <w:pStyle w:val="Indenta"/>
      </w:pPr>
      <w:r>
        <w:tab/>
      </w:r>
      <w:r>
        <w:tab/>
        <w:t>and</w:t>
      </w:r>
    </w:p>
    <w:p>
      <w:pPr>
        <w:pStyle w:val="Indenta"/>
      </w:pPr>
      <w:r>
        <w:tab/>
        <w:t>(c)</w:t>
      </w:r>
      <w:r>
        <w:tab/>
        <w:t xml:space="preserve">that is land — </w:t>
      </w:r>
    </w:p>
    <w:p>
      <w:pPr>
        <w:pStyle w:val="Indenti"/>
      </w:pPr>
      <w:r>
        <w:tab/>
        <w:t>(i)</w:t>
      </w:r>
      <w:r>
        <w:tab/>
        <w:t>if the land is the subject of an agreement to transfer, any improvement made to the land at the expense of the purchaser or transferee before the date liability to duty arises on the agreement is to be taken not to have been made to the land; and</w:t>
      </w:r>
    </w:p>
    <w:p>
      <w:pPr>
        <w:pStyle w:val="Indenti"/>
      </w:pPr>
      <w:r>
        <w:tab/>
        <w:t>(ii)</w:t>
      </w:r>
      <w:r>
        <w:tab/>
        <w:t>if the land is the subject of a transfer, any improvement made to the land at the expense of the transferee before the land is transferred is to be taken not to have been made to the land; and</w:t>
      </w:r>
    </w:p>
    <w:p>
      <w:pPr>
        <w:pStyle w:val="Indenti"/>
      </w:pPr>
      <w:r>
        <w:tab/>
        <w:t>(iii)</w:t>
      </w:r>
      <w:r>
        <w:tab/>
        <w:t>having regard to the use of the land that would best enhance its commercial value; and</w:t>
      </w:r>
    </w:p>
    <w:p>
      <w:pPr>
        <w:pStyle w:val="Indenti"/>
      </w:pPr>
      <w:r>
        <w:tab/>
        <w:t>(iv)</w:t>
      </w:r>
      <w:r>
        <w:tab/>
        <w:t xml:space="preserve">having regard to commercial advantages (such as goodwill) that — </w:t>
      </w:r>
    </w:p>
    <w:p>
      <w:pPr>
        <w:pStyle w:val="IndentI0"/>
      </w:pPr>
      <w:r>
        <w:tab/>
        <w:t>(I)</w:t>
      </w:r>
      <w:r>
        <w:tab/>
        <w:t>attach to the location or other aspects of the land; and</w:t>
      </w:r>
    </w:p>
    <w:p>
      <w:pPr>
        <w:pStyle w:val="IndentI0"/>
      </w:pPr>
      <w:r>
        <w:tab/>
        <w:t>(II)</w:t>
      </w:r>
      <w:r>
        <w:tab/>
        <w:t>would affect the price that a reasonable purchaser would be willing to pay for the land.</w:t>
      </w:r>
    </w:p>
    <w:p>
      <w:pPr>
        <w:pStyle w:val="Footnotesection"/>
      </w:pPr>
      <w:r>
        <w:tab/>
        <w:t>[Section 36 amended by No. 1 of 2015 s. 24.]</w:t>
      </w:r>
    </w:p>
    <w:p>
      <w:pPr>
        <w:pStyle w:val="MiscellaneousHeading"/>
        <w:spacing w:before="240"/>
        <w:rPr>
          <w:b/>
          <w:bCs/>
        </w:rPr>
      </w:pPr>
      <w:r>
        <w:rPr>
          <w:b/>
          <w:bCs/>
        </w:rPr>
        <w:t>Subdivision 4 — Miscellaneous</w:t>
      </w:r>
    </w:p>
    <w:p>
      <w:pPr>
        <w:pStyle w:val="Heading5"/>
      </w:pPr>
      <w:bookmarkStart w:id="170" w:name="_Toc392162291"/>
      <w:bookmarkStart w:id="171" w:name="_Toc413847092"/>
      <w:r>
        <w:rPr>
          <w:rStyle w:val="CharSectno"/>
        </w:rPr>
        <w:t>37</w:t>
      </w:r>
      <w:r>
        <w:t>.</w:t>
      </w:r>
      <w:r>
        <w:tab/>
        <w:t>Aggregation of dutiable transactions</w:t>
      </w:r>
      <w:bookmarkEnd w:id="170"/>
      <w:bookmarkEnd w:id="171"/>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keepNext/>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keepLines w:val="0"/>
        <w:spacing w:before="180"/>
      </w:pPr>
      <w:bookmarkStart w:id="172" w:name="_Toc392162292"/>
      <w:bookmarkStart w:id="173" w:name="_Toc413847093"/>
      <w:r>
        <w:rPr>
          <w:rStyle w:val="CharSectno"/>
        </w:rPr>
        <w:t>38</w:t>
      </w:r>
      <w:r>
        <w:t>.</w:t>
      </w:r>
      <w:r>
        <w:tab/>
        <w:t>Transactions as to dutiable and not dutiable property, duty on</w:t>
      </w:r>
      <w:bookmarkEnd w:id="172"/>
      <w:bookmarkEnd w:id="173"/>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174" w:name="_Toc392162293"/>
      <w:bookmarkStart w:id="175" w:name="_Toc413847094"/>
      <w:r>
        <w:rPr>
          <w:rStyle w:val="CharSectno"/>
        </w:rPr>
        <w:t>39</w:t>
      </w:r>
      <w:r>
        <w:t>.</w:t>
      </w:r>
      <w:r>
        <w:tab/>
        <w:t>Partitions of property, dutiable values in case of</w:t>
      </w:r>
      <w:bookmarkEnd w:id="174"/>
      <w:bookmarkEnd w:id="175"/>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spacing w:before="120"/>
      </w:pPr>
      <w:r>
        <w:tab/>
        <w:t>(2)</w:t>
      </w:r>
      <w:r>
        <w:tab/>
        <w:t xml:space="preserve">The dutiable value of a partition is to be determined in accordance with the following formula — </w:t>
      </w:r>
    </w:p>
    <w:p>
      <w:pPr>
        <w:pStyle w:val="Graphics"/>
        <w:ind w:left="896"/>
      </w:pPr>
      <w:r>
        <w:rPr>
          <w:position w:val="-24"/>
        </w:rPr>
        <w:object w:dxaOrig="1300" w:dyaOrig="620">
          <v:shape id="_x0000_i1027" type="#_x0000_t75" style="width:66pt;height:31.5pt" o:ole="">
            <v:imagedata r:id="rId22" o:title=""/>
          </v:shape>
          <o:OLEObject Type="Embed" ProgID="Equation.3" ShapeID="_x0000_i1027" DrawAspect="Content" ObjectID="_1643286867" r:id="rId25"/>
        </w:object>
      </w:r>
    </w:p>
    <w:p>
      <w:pPr>
        <w:pStyle w:val="Subsection"/>
      </w:pPr>
      <w:r>
        <w:tab/>
      </w:r>
      <w:r>
        <w:tab/>
        <w:t xml:space="preserve">where — </w:t>
      </w:r>
    </w:p>
    <w:p>
      <w:pPr>
        <w:pStyle w:val="Subsection"/>
        <w:spacing w:before="120"/>
      </w:pPr>
      <w:r>
        <w:tab/>
      </w:r>
      <w:r>
        <w:tab/>
        <w:t>DV is the dutiable value;</w:t>
      </w:r>
    </w:p>
    <w:p>
      <w:pPr>
        <w:pStyle w:val="Subsection"/>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pPr>
      <w:r>
        <w:tab/>
        <w:t>(3)</w:t>
      </w:r>
      <w:r>
        <w:tab/>
        <w:t>The minimum amount of duty payable on a transaction that effects a partition is the amount of nominal duty.</w:t>
      </w:r>
    </w:p>
    <w:p>
      <w:pPr>
        <w:pStyle w:val="NotesPerm"/>
        <w:tabs>
          <w:tab w:val="left" w:pos="1418"/>
        </w:tabs>
        <w:spacing w:before="120"/>
        <w:ind w:left="1418" w:hanging="1418"/>
      </w:pPr>
      <w:r>
        <w:tab/>
        <w:t>Note:</w:t>
      </w:r>
      <w:r>
        <w:tab/>
        <w:t>For example, A and B own lot 1 which has an unencumbered value of $400 000 and a boat that has an unencumbered value of $300 000.</w:t>
      </w:r>
    </w:p>
    <w:p>
      <w:pPr>
        <w:pStyle w:val="NotesPerm"/>
        <w:tabs>
          <w:tab w:val="left" w:pos="1418"/>
        </w:tabs>
        <w:spacing w:before="120"/>
        <w:ind w:left="1418"/>
      </w:pPr>
      <w:r>
        <w:tab/>
      </w:r>
      <w:r>
        <w:tab/>
        <w:t>The total value of the property being partitioned is $700 000 and A and B are each entitled to $350 000.</w:t>
      </w:r>
    </w:p>
    <w:p>
      <w:pPr>
        <w:pStyle w:val="NotesPerm"/>
        <w:tabs>
          <w:tab w:val="left" w:pos="1418"/>
        </w:tabs>
        <w:spacing w:before="120"/>
        <w:ind w:left="1418"/>
      </w:pPr>
      <w:r>
        <w:tab/>
      </w:r>
      <w:r>
        <w:tab/>
        <w:t>A is taking lot 1 by way of partition and the value of that lot exceeds A’s entitlement by $50 000.</w:t>
      </w:r>
    </w:p>
    <w:p>
      <w:pPr>
        <w:pStyle w:val="NotesPerm"/>
        <w:keepNext/>
        <w:keepLines/>
        <w:tabs>
          <w:tab w:val="left" w:pos="1418"/>
        </w:tabs>
        <w:spacing w:before="120"/>
        <w:ind w:left="1418"/>
      </w:pPr>
      <w:r>
        <w:tab/>
      </w:r>
      <w:r>
        <w:tab/>
        <w:t>A’s duty assessment:</w:t>
      </w:r>
    </w:p>
    <w:p>
      <w:pPr>
        <w:pStyle w:val="NotesPerm"/>
        <w:keepNext/>
        <w:keepLines/>
        <w:tabs>
          <w:tab w:val="left" w:pos="1276"/>
        </w:tabs>
        <w:spacing w:before="80"/>
        <w:ind w:left="1418"/>
        <w:jc w:val="center"/>
      </w:pPr>
      <w:r>
        <w:tab/>
      </w:r>
      <w:r>
        <w:tab/>
      </w:r>
      <w:r>
        <w:rPr>
          <w:u w:val="single"/>
        </w:rPr>
        <w:t>$50 000 (excess entitlement) x $400 000 (value of dutiable property)</w:t>
      </w:r>
      <w:r>
        <w:rPr>
          <w:u w:val="single"/>
        </w:rPr>
        <w:br/>
      </w:r>
      <w:r>
        <w:t>$700 000 (value of all property)</w:t>
      </w:r>
    </w:p>
    <w:p>
      <w:pPr>
        <w:pStyle w:val="NotesPerm"/>
        <w:tabs>
          <w:tab w:val="left" w:pos="1418"/>
        </w:tabs>
        <w:spacing w:before="120"/>
        <w:ind w:left="1418"/>
      </w:pPr>
      <w:r>
        <w:tab/>
      </w:r>
      <w:r>
        <w:tab/>
        <w:t>The dutiable value for the transfer of land to A is $28 571.</w:t>
      </w:r>
    </w:p>
    <w:p>
      <w:pPr>
        <w:pStyle w:val="Heading5"/>
      </w:pPr>
      <w:bookmarkStart w:id="176" w:name="_Toc392162294"/>
      <w:bookmarkStart w:id="177" w:name="_Toc413847095"/>
      <w:r>
        <w:rPr>
          <w:rStyle w:val="CharSectno"/>
        </w:rPr>
        <w:t>40</w:t>
      </w:r>
      <w:r>
        <w:t>.</w:t>
      </w:r>
      <w:r>
        <w:tab/>
        <w:t>Exchanges of dutiable property, duty on</w:t>
      </w:r>
      <w:bookmarkEnd w:id="176"/>
      <w:bookmarkEnd w:id="177"/>
    </w:p>
    <w:p>
      <w:pPr>
        <w:pStyle w:val="Subsection"/>
      </w:pPr>
      <w:r>
        <w:tab/>
      </w:r>
      <w:r>
        <w:tab/>
        <w:t>Duty is chargeable on any dutiable transactions effecting an exchange of dutiable property for any other dutiable property as if the exchange involved —</w:t>
      </w:r>
    </w:p>
    <w:p>
      <w:pPr>
        <w:pStyle w:val="Indenta"/>
        <w:spacing w:before="120"/>
      </w:pPr>
      <w:r>
        <w:tab/>
        <w:t>(a)</w:t>
      </w:r>
      <w:r>
        <w:tab/>
        <w:t>the transfer of the first</w:t>
      </w:r>
      <w:r>
        <w:noBreakHyphen/>
        <w:t>mentioned property for consideration equal to the unencumbered value of that property; and</w:t>
      </w:r>
    </w:p>
    <w:p>
      <w:pPr>
        <w:pStyle w:val="Indenta"/>
        <w:spacing w:before="120"/>
      </w:pPr>
      <w:r>
        <w:tab/>
        <w:t>(b)</w:t>
      </w:r>
      <w:r>
        <w:tab/>
        <w:t>the transfer of the second</w:t>
      </w:r>
      <w:r>
        <w:noBreakHyphen/>
        <w:t>mentioned property for consideration equal to the unencumbered value of that property.</w:t>
      </w:r>
    </w:p>
    <w:p>
      <w:pPr>
        <w:pStyle w:val="Heading4"/>
        <w:spacing w:before="340"/>
        <w:rPr>
          <w:sz w:val="26"/>
        </w:rPr>
      </w:pPr>
      <w:bookmarkStart w:id="178" w:name="_Toc389126304"/>
      <w:bookmarkStart w:id="179" w:name="_Toc392162295"/>
      <w:bookmarkStart w:id="180" w:name="_Toc412734791"/>
      <w:bookmarkStart w:id="181" w:name="_Toc412735214"/>
      <w:bookmarkStart w:id="182" w:name="_Toc412819230"/>
      <w:bookmarkStart w:id="183" w:name="_Toc413829987"/>
      <w:bookmarkStart w:id="184" w:name="_Toc413847096"/>
      <w:r>
        <w:rPr>
          <w:sz w:val="26"/>
        </w:rPr>
        <w:t>Division 6 — No double duty</w:t>
      </w:r>
      <w:bookmarkEnd w:id="178"/>
      <w:bookmarkEnd w:id="179"/>
      <w:bookmarkEnd w:id="180"/>
      <w:bookmarkEnd w:id="181"/>
      <w:bookmarkEnd w:id="182"/>
      <w:bookmarkEnd w:id="183"/>
      <w:bookmarkEnd w:id="184"/>
    </w:p>
    <w:p>
      <w:pPr>
        <w:pStyle w:val="Heading5"/>
      </w:pPr>
      <w:bookmarkStart w:id="185" w:name="_Toc392162296"/>
      <w:bookmarkStart w:id="186" w:name="_Toc413847097"/>
      <w:r>
        <w:rPr>
          <w:rStyle w:val="CharSectno"/>
        </w:rPr>
        <w:t>41</w:t>
      </w:r>
      <w:r>
        <w:t>.</w:t>
      </w:r>
      <w:r>
        <w:tab/>
        <w:t>No double duty — general</w:t>
      </w:r>
      <w:bookmarkEnd w:id="185"/>
      <w:bookmarkEnd w:id="186"/>
    </w:p>
    <w:p>
      <w:pPr>
        <w:pStyle w:val="Subsection"/>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spacing w:before="18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pPr>
      <w:bookmarkStart w:id="187" w:name="_Toc392162297"/>
      <w:bookmarkStart w:id="188" w:name="_Toc413847098"/>
      <w:r>
        <w:rPr>
          <w:rStyle w:val="CharSectno"/>
        </w:rPr>
        <w:t>42</w:t>
      </w:r>
      <w:r>
        <w:t>.</w:t>
      </w:r>
      <w:r>
        <w:tab/>
        <w:t>No double duty — particular dutiable transactions</w:t>
      </w:r>
      <w:bookmarkEnd w:id="187"/>
      <w:bookmarkEnd w:id="188"/>
    </w:p>
    <w:p>
      <w:pPr>
        <w:pStyle w:val="Subsection"/>
      </w:pPr>
      <w:r>
        <w:tab/>
        <w:t>(1)</w:t>
      </w:r>
      <w:r>
        <w:tab/>
        <w:t>Duty is not chargeable on the transfer of dutiable property to a transferee in conformity with an agreement for the transfer of dutiable property if that agreement is duty endorsed.</w:t>
      </w:r>
    </w:p>
    <w:p>
      <w:pPr>
        <w:pStyle w:val="Subsection"/>
        <w:keepNext/>
      </w:pPr>
      <w:r>
        <w:tab/>
        <w:t>(2)</w:t>
      </w:r>
      <w:r>
        <w:tab/>
        <w:t xml:space="preserve">Duty is not chargeable on the transfer of dutiable property to a transferee under an agreement for the transfer of dutiable property if — </w:t>
      </w:r>
    </w:p>
    <w:p>
      <w:pPr>
        <w:pStyle w:val="Indenta"/>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 on the basis that duty has been paid or is payable at the general or a concessional rate (that is, under Schedule 2 Division 1 or 2); and</w:t>
      </w:r>
    </w:p>
    <w:p>
      <w:pPr>
        <w:pStyle w:val="Indenta"/>
      </w:pPr>
      <w:r>
        <w:tab/>
        <w:t>(c)</w:t>
      </w:r>
      <w:r>
        <w:tab/>
        <w:t>duty would, but for this section, be chargeable on the transfer of the property at the rate at which duty was chargeable on the agreement.</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NotesPerm"/>
        <w:tabs>
          <w:tab w:val="clear" w:pos="879"/>
          <w:tab w:val="left" w:pos="851"/>
        </w:tabs>
        <w:ind w:left="1418" w:hanging="1418"/>
        <w:rPr>
          <w:snapToGrid w:val="0"/>
        </w:rPr>
      </w:pPr>
      <w:r>
        <w:tab/>
        <w:t>Note:</w:t>
      </w:r>
      <w:r>
        <w:tab/>
      </w:r>
      <w:r>
        <w:rPr>
          <w:snapToGrid w:val="0"/>
        </w:rPr>
        <w:t xml:space="preserve">Example for subsection (3)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Western Australia to B and C as tenants in common in the undivided shares of 90/100 to B and 10/100 to C for $100 000. </w:t>
      </w:r>
    </w:p>
    <w:p>
      <w:pPr>
        <w:pStyle w:val="NotesPerm"/>
        <w:tabs>
          <w:tab w:val="left" w:pos="1418"/>
        </w:tabs>
        <w:spacing w:before="80"/>
        <w:ind w:left="1418" w:hanging="1106"/>
        <w:rPr>
          <w:snapToGrid w:val="0"/>
        </w:rPr>
      </w:pPr>
      <w:r>
        <w:rPr>
          <w:snapToGrid w:val="0"/>
        </w:rPr>
        <w:tab/>
      </w:r>
      <w:r>
        <w:rPr>
          <w:snapToGrid w:val="0"/>
        </w:rPr>
        <w:tab/>
        <w:t>At settlement, under the transfer, B and a new party, D are tenants in common in equal shares.</w:t>
      </w:r>
    </w:p>
    <w:p>
      <w:pPr>
        <w:pStyle w:val="NotesPerm"/>
        <w:tabs>
          <w:tab w:val="left" w:pos="1418"/>
        </w:tabs>
        <w:spacing w:before="80"/>
        <w:ind w:left="1418" w:hanging="1106"/>
        <w:rPr>
          <w:snapToGrid w:val="0"/>
        </w:rPr>
      </w:pPr>
      <w:r>
        <w:rPr>
          <w:snapToGrid w:val="0"/>
        </w:rPr>
        <w:tab/>
      </w:r>
      <w:r>
        <w:rPr>
          <w:snapToGrid w:val="0"/>
        </w:rPr>
        <w:tab/>
        <w:t>Transfer duty is chargeable on the transfer of the property only to the extent of the change in the interests in the property between the agreement and the transfer.</w:t>
      </w:r>
    </w:p>
    <w:p>
      <w:pPr>
        <w:pStyle w:val="NotesPerm"/>
        <w:tabs>
          <w:tab w:val="left" w:pos="1418"/>
        </w:tabs>
        <w:spacing w:before="80"/>
        <w:ind w:left="1418" w:hanging="1106"/>
        <w:rPr>
          <w:snapToGrid w:val="0"/>
        </w:rPr>
      </w:pPr>
      <w:r>
        <w:rPr>
          <w:snapToGrid w:val="0"/>
        </w:rPr>
        <w:tab/>
      </w:r>
      <w:r>
        <w:rPr>
          <w:snapToGrid w:val="0"/>
        </w:rPr>
        <w:tab/>
        <w:t>Transfer duty would be chargeable on the transfer of the property on 50/100 X $100 000, which is $50 000 i.e. 10/100 from C to D and 40/100 from B to D.</w:t>
      </w:r>
    </w:p>
    <w:p>
      <w:pPr>
        <w:pStyle w:val="Subsection"/>
      </w:pPr>
      <w:r>
        <w:tab/>
        <w:t>(4A)</w:t>
      </w:r>
      <w:r>
        <w:tab/>
        <w:t>If, but for this subsection, subsections (1) and (3) would both apply to the transfer of dutiable property, subsection (1) does not apply.</w:t>
      </w:r>
    </w:p>
    <w:p>
      <w:pPr>
        <w:pStyle w:val="Subsection"/>
      </w:pPr>
      <w:r>
        <w:tab/>
        <w:t>(4B)</w:t>
      </w:r>
      <w:r>
        <w:tab/>
        <w:t xml:space="preserve">If an agreement for the transfer of dutiable property is duty endorsed, duty is not chargeable on the transfer of the property under the agreement to the purchaser in the purchaser’s capacity as — </w:t>
      </w:r>
    </w:p>
    <w:p>
      <w:pPr>
        <w:pStyle w:val="Indenta"/>
      </w:pPr>
      <w:r>
        <w:tab/>
        <w:t>(a)</w:t>
      </w:r>
      <w:r>
        <w:tab/>
        <w:t xml:space="preserve">a trustee of a unit trust scheme if — </w:t>
      </w:r>
    </w:p>
    <w:p>
      <w:pPr>
        <w:pStyle w:val="Indenti"/>
      </w:pPr>
      <w:r>
        <w:tab/>
        <w:t>(i)</w:t>
      </w:r>
      <w:r>
        <w:tab/>
        <w:t>the purchaser is an individual and is the sole unit holder in the unit trust; or</w:t>
      </w:r>
    </w:p>
    <w:p>
      <w:pPr>
        <w:pStyle w:val="Indenti"/>
      </w:pPr>
      <w:r>
        <w:tab/>
        <w:t>(ii)</w:t>
      </w:r>
      <w:r>
        <w:tab/>
        <w:t>the purchaser is a unit holder in the unit trust and is related, as referred to in section 43(1)(a), (b), (c), (d) or (e), to each of the other unit holders;</w:t>
      </w:r>
    </w:p>
    <w:p>
      <w:pPr>
        <w:pStyle w:val="Indenta"/>
      </w:pPr>
      <w:r>
        <w:tab/>
      </w:r>
      <w:r>
        <w:tab/>
        <w:t>or</w:t>
      </w:r>
    </w:p>
    <w:p>
      <w:pPr>
        <w:pStyle w:val="Indenta"/>
      </w:pPr>
      <w:r>
        <w:tab/>
        <w:t>(b)</w:t>
      </w:r>
      <w:r>
        <w:tab/>
        <w:t>a trustee, other than a trustee of a discretionary trust or a unit trust scheme, if the beneficiary and the purchaser are related as referred to in section 43(1)(a), (b), (c), (d) or (e).</w:t>
      </w:r>
    </w:p>
    <w:p>
      <w:pPr>
        <w:pStyle w:val="Subsection"/>
      </w:pPr>
      <w:r>
        <w:tab/>
        <w:t>(4C)</w:t>
      </w:r>
      <w:r>
        <w:tab/>
        <w:t>A reference in subsection (4B) to a unit holder or to a beneficiary is limited to a reference to a unit holder or beneficiary whose interest in the scheme or trust is a beneficial interest.</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NotesPerm"/>
        <w:tabs>
          <w:tab w:val="clear" w:pos="879"/>
          <w:tab w:val="left" w:pos="851"/>
        </w:tabs>
        <w:ind w:left="1418" w:hanging="1418"/>
        <w:rPr>
          <w:snapToGrid w:val="0"/>
        </w:rPr>
      </w:pPr>
      <w:r>
        <w:tab/>
        <w:t>Note:</w:t>
      </w:r>
      <w:r>
        <w:tab/>
      </w:r>
      <w:r>
        <w:rPr>
          <w:snapToGrid w:val="0"/>
        </w:rPr>
        <w:t xml:space="preserve">Example for subsection (8)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t>
      </w:r>
      <w:smartTag w:uri="urn:schemas-microsoft-com:office:smarttags" w:element="place">
        <w:smartTag w:uri="urn:schemas-microsoft-com:office:smarttags" w:element="State">
          <w:r>
            <w:rPr>
              <w:snapToGrid w:val="0"/>
            </w:rPr>
            <w:t>Western Australia</w:t>
          </w:r>
        </w:smartTag>
      </w:smartTag>
      <w:r>
        <w:rPr>
          <w:snapToGrid w:val="0"/>
        </w:rPr>
        <w:t xml:space="preserve">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NotesPerm"/>
        <w:tabs>
          <w:tab w:val="left" w:pos="1418"/>
        </w:tabs>
        <w:spacing w:before="80"/>
        <w:ind w:left="1418" w:hanging="1106"/>
        <w:rPr>
          <w:snapToGrid w:val="0"/>
        </w:rPr>
      </w:pPr>
      <w:r>
        <w:rPr>
          <w:snapToGrid w:val="0"/>
        </w:rPr>
        <w:tab/>
      </w:r>
      <w:r>
        <w:rPr>
          <w:snapToGrid w:val="0"/>
        </w:rP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spacing w:before="120"/>
      </w:pPr>
      <w:r>
        <w:tab/>
        <w:t>(12)</w:t>
      </w:r>
      <w:r>
        <w:tab/>
        <w:t>Duty is not chargeable on a transfer of dutiable property resulting from a dutiable transaction referred to in section 11(1)(d) if the vesting of the dutiable property is duty endorsed.</w:t>
      </w:r>
    </w:p>
    <w:p>
      <w:pPr>
        <w:pStyle w:val="Subsection"/>
        <w:spacing w:before="120"/>
      </w:pPr>
      <w:r>
        <w:tab/>
        <w:t>(13)</w:t>
      </w:r>
      <w:r>
        <w:tab/>
        <w:t>Duty is not chargeable on a transfer of dutiable property in accordance with a foreclosure order if the foreclosure order is duty endorsed.</w:t>
      </w:r>
    </w:p>
    <w:p>
      <w:pPr>
        <w:pStyle w:val="Subsection"/>
        <w:spacing w:before="120"/>
      </w:pPr>
      <w:r>
        <w:tab/>
        <w:t>(14)</w:t>
      </w:r>
      <w:r>
        <w:tab/>
        <w:t>Duty is not chargeable on a transfer of dutiable property in accordance with a partnership acquisition if the partnership acquisition is duty endorsed.</w:t>
      </w:r>
    </w:p>
    <w:p>
      <w:pPr>
        <w:pStyle w:val="Subsection"/>
        <w:spacing w:before="120"/>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tab/>
        <w:t>(b)</w:t>
      </w:r>
      <w:r>
        <w:tab/>
        <w:t>the exploration amount under the agreement has been expended.</w:t>
      </w:r>
    </w:p>
    <w:p>
      <w:pPr>
        <w:pStyle w:val="Subsection"/>
        <w:spacing w:before="120"/>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Footnotesection"/>
      </w:pPr>
      <w:r>
        <w:tab/>
        <w:t>[Section 42 amended by No. 32 of 2012 s. 5 and 6.]</w:t>
      </w:r>
    </w:p>
    <w:p>
      <w:pPr>
        <w:pStyle w:val="Heading5"/>
        <w:spacing w:before="180"/>
      </w:pPr>
      <w:bookmarkStart w:id="189" w:name="_Toc392162298"/>
      <w:bookmarkStart w:id="190" w:name="_Toc413847099"/>
      <w:r>
        <w:rPr>
          <w:rStyle w:val="CharSectno"/>
        </w:rPr>
        <w:t>43</w:t>
      </w:r>
      <w:r>
        <w:t>.</w:t>
      </w:r>
      <w:r>
        <w:tab/>
        <w:t>Persons related to purchaser for s. 42(2)(a)</w:t>
      </w:r>
      <w:bookmarkEnd w:id="189"/>
      <w:bookmarkEnd w:id="190"/>
    </w:p>
    <w:p>
      <w:pPr>
        <w:pStyle w:val="Subsection"/>
        <w:spacing w:before="120"/>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 xml:space="preserve">a child or remoter lineal descendant of — </w:t>
      </w:r>
    </w:p>
    <w:p>
      <w:pPr>
        <w:pStyle w:val="Indenti"/>
      </w:pPr>
      <w:r>
        <w:tab/>
        <w:t>(i)</w:t>
      </w:r>
      <w:r>
        <w:tab/>
        <w:t>the purchaser; or</w:t>
      </w:r>
    </w:p>
    <w:p>
      <w:pPr>
        <w:pStyle w:val="Indenti"/>
      </w:pPr>
      <w:r>
        <w:tab/>
        <w:t>(ii)</w:t>
      </w:r>
      <w:r>
        <w:tab/>
        <w:t>the purchaser’s spouse or de facto partner;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spacing w:before="60"/>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 xml:space="preserve">as a trustee other than a trustee referred to in paragraph (a) or (b), unless — </w:t>
      </w:r>
    </w:p>
    <w:p>
      <w:pPr>
        <w:pStyle w:val="Indenti"/>
      </w:pPr>
      <w:r>
        <w:tab/>
        <w:t>(i)</w:t>
      </w:r>
      <w:r>
        <w:tab/>
        <w:t>the purchaser and the transferee are related as referred to in subsection (1)(a), (b), (c), (d) or (e); and</w:t>
      </w:r>
    </w:p>
    <w:p>
      <w:pPr>
        <w:pStyle w:val="Indenti"/>
      </w:pPr>
      <w:r>
        <w:tab/>
        <w:t>(ii)</w:t>
      </w:r>
      <w:r>
        <w:tab/>
        <w:t>the purchaser and the beneficiary are related as referred to in subsection (1)(a), (b), (c), (d) or (e).</w:t>
      </w:r>
    </w:p>
    <w:p>
      <w:pPr>
        <w:pStyle w:val="Footnotesection"/>
        <w:ind w:left="890" w:hanging="890"/>
      </w:pPr>
      <w:r>
        <w:tab/>
        <w:t>[Section 43 amended by No. 32 of 2012 s. 7.]</w:t>
      </w:r>
    </w:p>
    <w:p>
      <w:pPr>
        <w:pStyle w:val="Heading4"/>
        <w:rPr>
          <w:sz w:val="26"/>
        </w:rPr>
      </w:pPr>
      <w:bookmarkStart w:id="191" w:name="_Toc389126308"/>
      <w:bookmarkStart w:id="192" w:name="_Toc392162299"/>
      <w:bookmarkStart w:id="193" w:name="_Toc412734795"/>
      <w:bookmarkStart w:id="194" w:name="_Toc412735218"/>
      <w:bookmarkStart w:id="195" w:name="_Toc412819234"/>
      <w:bookmarkStart w:id="196" w:name="_Toc413829991"/>
      <w:bookmarkStart w:id="197" w:name="_Toc413847100"/>
      <w:r>
        <w:rPr>
          <w:sz w:val="26"/>
        </w:rPr>
        <w:t>Division 7 — Interim assessment of transfer duty</w:t>
      </w:r>
      <w:bookmarkEnd w:id="191"/>
      <w:bookmarkEnd w:id="192"/>
      <w:bookmarkEnd w:id="193"/>
      <w:bookmarkEnd w:id="194"/>
      <w:bookmarkEnd w:id="195"/>
      <w:bookmarkEnd w:id="196"/>
      <w:bookmarkEnd w:id="197"/>
    </w:p>
    <w:p>
      <w:pPr>
        <w:pStyle w:val="Footnoteheading"/>
      </w:pPr>
      <w:r>
        <w:tab/>
        <w:t>[Heading inserted by No. 10 of 2013 s. 5.]</w:t>
      </w:r>
    </w:p>
    <w:p>
      <w:pPr>
        <w:pStyle w:val="Heading5"/>
      </w:pPr>
      <w:bookmarkStart w:id="198" w:name="_Toc392162300"/>
      <w:bookmarkStart w:id="199" w:name="_Toc413847101"/>
      <w:r>
        <w:rPr>
          <w:rStyle w:val="CharSectno"/>
        </w:rPr>
        <w:t>44A</w:t>
      </w:r>
      <w:r>
        <w:t>.</w:t>
      </w:r>
      <w:r>
        <w:tab/>
        <w:t>Interim assessment of transfer duty</w:t>
      </w:r>
      <w:bookmarkEnd w:id="198"/>
      <w:bookmarkEnd w:id="199"/>
    </w:p>
    <w:p>
      <w:pPr>
        <w:pStyle w:val="Subsection"/>
      </w:pPr>
      <w:r>
        <w:tab/>
        <w:t>(1)</w:t>
      </w:r>
      <w:r>
        <w:tab/>
        <w:t xml:space="preserve">The Commissioner may make an assessment (an </w:t>
      </w:r>
      <w:r>
        <w:rPr>
          <w:rStyle w:val="CharDefText"/>
        </w:rPr>
        <w:t>interim assessment</w:t>
      </w:r>
      <w:r>
        <w:t xml:space="preserve">) of a portion of the duty payable on a dutiable transaction if — </w:t>
      </w:r>
    </w:p>
    <w:p>
      <w:pPr>
        <w:pStyle w:val="Indenta"/>
      </w:pPr>
      <w:r>
        <w:tab/>
        <w:t>(a)</w:t>
      </w:r>
      <w:r>
        <w:tab/>
        <w:t>the Commissioner is satisfied that duty is payable on the transaction; and</w:t>
      </w:r>
    </w:p>
    <w:p>
      <w:pPr>
        <w:pStyle w:val="Indenta"/>
      </w:pPr>
      <w:r>
        <w:tab/>
        <w:t>(b)</w:t>
      </w:r>
      <w:r>
        <w:tab/>
        <w:t xml:space="preserve">one of the following applies — </w:t>
      </w:r>
    </w:p>
    <w:p>
      <w:pPr>
        <w:pStyle w:val="Indenti"/>
      </w:pPr>
      <w:r>
        <w:tab/>
        <w:t>(i)</w:t>
      </w:r>
      <w:r>
        <w:tab/>
        <w:t>more than 6 months have elapsed since the day on which a transaction record was lodged under section 23;</w:t>
      </w:r>
    </w:p>
    <w:p>
      <w:pPr>
        <w:pStyle w:val="Indenti"/>
      </w:pPr>
      <w:r>
        <w:tab/>
        <w:t>(ii)</w:t>
      </w:r>
      <w:r>
        <w:tab/>
        <w:t>more than 6 months have elapsed since the day on which a transaction record ought to have been lodged under section 23;</w:t>
      </w:r>
    </w:p>
    <w:p>
      <w:pPr>
        <w:pStyle w:val="Indenti"/>
      </w:pPr>
      <w:r>
        <w:tab/>
        <w:t>(iii)</w:t>
      </w:r>
      <w:r>
        <w:tab/>
        <w:t>the Commissioner is satisfied that it will not be possible to obtain the information necessary to determine the dutiable value of the transaction within the 6 months referred to in subparagraph (ii);</w:t>
      </w:r>
    </w:p>
    <w:p>
      <w:pPr>
        <w:pStyle w:val="Indenta"/>
      </w:pPr>
      <w:r>
        <w:tab/>
      </w:r>
      <w:r>
        <w:tab/>
        <w:t>and</w:t>
      </w:r>
    </w:p>
    <w:p>
      <w:pPr>
        <w:pStyle w:val="Indenta"/>
      </w:pPr>
      <w:r>
        <w:tab/>
        <w:t>(c)</w:t>
      </w:r>
      <w:r>
        <w:tab/>
        <w:t>the Commissioner is satisfied that a portion of the dutiable value of the transaction can be determined.</w:t>
      </w:r>
    </w:p>
    <w:p>
      <w:pPr>
        <w:pStyle w:val="Subsection"/>
      </w:pPr>
      <w:r>
        <w:tab/>
        <w:t>(2)</w:t>
      </w:r>
      <w:r>
        <w:tab/>
        <w:t>For the purposes of subsection (1)(b)(ii), the day on which a transaction record ought to have been lodged is the last day of the 2</w:t>
      </w:r>
      <w:r>
        <w:noBreakHyphen/>
        <w:t>month period referred to in section 23(1).</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dutiable transaction;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dutiable transaction;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dutiable value of the dutiable transaction were the full dutiable value of the transaction.</w:t>
      </w:r>
    </w:p>
    <w:p>
      <w:pPr>
        <w:pStyle w:val="Subsection"/>
      </w:pPr>
      <w:r>
        <w:tab/>
        <w:t>(5)</w:t>
      </w:r>
      <w:r>
        <w:tab/>
        <w:t>Section 37 may apply, when relevant, for the purposes of this section, and when so applying, the reference in section 37(6)(a) to the dutiable value for a transaction includes a reference to a portion of the dutiable value for a transaction.</w:t>
      </w:r>
    </w:p>
    <w:p>
      <w:pPr>
        <w:pStyle w:val="Footnotesection"/>
        <w:ind w:left="890" w:hanging="890"/>
      </w:pPr>
      <w:r>
        <w:tab/>
        <w:t>[Section 44A inserted by No. 10 of 2013 s. 5.]</w:t>
      </w:r>
    </w:p>
    <w:p>
      <w:pPr>
        <w:pStyle w:val="Heading3"/>
        <w:keepNext w:val="0"/>
        <w:pageBreakBefore/>
        <w:rPr>
          <w:sz w:val="28"/>
        </w:rPr>
      </w:pPr>
      <w:bookmarkStart w:id="200" w:name="_Toc389126310"/>
      <w:bookmarkStart w:id="201" w:name="_Toc392162301"/>
      <w:bookmarkStart w:id="202" w:name="_Toc412734797"/>
      <w:bookmarkStart w:id="203" w:name="_Toc412735220"/>
      <w:bookmarkStart w:id="204" w:name="_Toc412819236"/>
      <w:bookmarkStart w:id="205" w:name="_Toc413829993"/>
      <w:bookmarkStart w:id="206" w:name="_Toc413847102"/>
      <w:r>
        <w:rPr>
          <w:rStyle w:val="CharDivNo"/>
          <w:sz w:val="28"/>
        </w:rPr>
        <w:t>Part 5</w:t>
      </w:r>
      <w:r>
        <w:rPr>
          <w:sz w:val="28"/>
        </w:rPr>
        <w:t> — </w:t>
      </w:r>
      <w:r>
        <w:rPr>
          <w:rStyle w:val="CharDivText"/>
          <w:sz w:val="28"/>
        </w:rPr>
        <w:t>Application of this Chapter to certain transactions</w:t>
      </w:r>
      <w:bookmarkEnd w:id="200"/>
      <w:bookmarkEnd w:id="201"/>
      <w:bookmarkEnd w:id="202"/>
      <w:bookmarkEnd w:id="203"/>
      <w:bookmarkEnd w:id="204"/>
      <w:bookmarkEnd w:id="205"/>
      <w:bookmarkEnd w:id="206"/>
    </w:p>
    <w:p>
      <w:pPr>
        <w:pStyle w:val="Heading4"/>
        <w:keepNext w:val="0"/>
        <w:rPr>
          <w:sz w:val="26"/>
        </w:rPr>
      </w:pPr>
      <w:bookmarkStart w:id="207" w:name="_Toc389126311"/>
      <w:bookmarkStart w:id="208" w:name="_Toc392162302"/>
      <w:bookmarkStart w:id="209" w:name="_Toc412734798"/>
      <w:bookmarkStart w:id="210" w:name="_Toc412735221"/>
      <w:bookmarkStart w:id="211" w:name="_Toc412819237"/>
      <w:bookmarkStart w:id="212" w:name="_Toc413829994"/>
      <w:bookmarkStart w:id="213" w:name="_Toc413847103"/>
      <w:r>
        <w:rPr>
          <w:sz w:val="26"/>
        </w:rPr>
        <w:t>Division 1 — Simultaneous put and call options</w:t>
      </w:r>
      <w:bookmarkEnd w:id="207"/>
      <w:bookmarkEnd w:id="208"/>
      <w:bookmarkEnd w:id="209"/>
      <w:bookmarkEnd w:id="210"/>
      <w:bookmarkEnd w:id="211"/>
      <w:bookmarkEnd w:id="212"/>
      <w:bookmarkEnd w:id="213"/>
    </w:p>
    <w:p>
      <w:pPr>
        <w:pStyle w:val="MiscellaneousHeading"/>
        <w:keepNext w:val="0"/>
        <w:rPr>
          <w:b/>
          <w:bCs/>
        </w:rPr>
      </w:pPr>
      <w:r>
        <w:rPr>
          <w:b/>
          <w:bCs/>
        </w:rPr>
        <w:t>Subdivision 1 — Terms used in this Division</w:t>
      </w:r>
    </w:p>
    <w:p>
      <w:pPr>
        <w:pStyle w:val="Heading5"/>
        <w:keepNext w:val="0"/>
      </w:pPr>
      <w:bookmarkStart w:id="214" w:name="_Toc392162303"/>
      <w:bookmarkStart w:id="215" w:name="_Toc413847104"/>
      <w:r>
        <w:rPr>
          <w:rStyle w:val="CharSectno"/>
        </w:rPr>
        <w:t>44</w:t>
      </w:r>
      <w:r>
        <w:t>.</w:t>
      </w:r>
      <w:r>
        <w:tab/>
        <w:t>Terms used</w:t>
      </w:r>
      <w:bookmarkEnd w:id="214"/>
      <w:bookmarkEnd w:id="215"/>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MiscellaneousHeading"/>
        <w:rPr>
          <w:b/>
          <w:bCs/>
        </w:rPr>
      </w:pPr>
      <w:r>
        <w:rPr>
          <w:b/>
          <w:bCs/>
        </w:rPr>
        <w:t>Subdivision 2 — Simultaneous put and call options</w:t>
      </w:r>
    </w:p>
    <w:p>
      <w:pPr>
        <w:pStyle w:val="Heading5"/>
      </w:pPr>
      <w:bookmarkStart w:id="216" w:name="_Toc392162304"/>
      <w:bookmarkStart w:id="217" w:name="_Toc413847105"/>
      <w:r>
        <w:rPr>
          <w:rStyle w:val="CharSectno"/>
        </w:rPr>
        <w:t>45</w:t>
      </w:r>
      <w:r>
        <w:t>.</w:t>
      </w:r>
      <w:r>
        <w:tab/>
        <w:t>Call option of simultaneous put and call option to be taken to be agreement for transfer of option property</w:t>
      </w:r>
      <w:bookmarkEnd w:id="216"/>
      <w:bookmarkEnd w:id="217"/>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218" w:name="_Toc392162305"/>
      <w:bookmarkStart w:id="219" w:name="_Toc413847106"/>
      <w:r>
        <w:rPr>
          <w:rStyle w:val="CharSectno"/>
        </w:rPr>
        <w:t>46</w:t>
      </w:r>
      <w:r>
        <w:t>.</w:t>
      </w:r>
      <w:r>
        <w:tab/>
        <w:t>Simultaneous put and call option, dutiable value of</w:t>
      </w:r>
      <w:bookmarkEnd w:id="218"/>
      <w:bookmarkEnd w:id="219"/>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220" w:name="_Toc392162306"/>
      <w:bookmarkStart w:id="221" w:name="_Toc413847107"/>
      <w:r>
        <w:rPr>
          <w:rStyle w:val="CharSectno"/>
        </w:rPr>
        <w:t>47</w:t>
      </w:r>
      <w:r>
        <w:t>.</w:t>
      </w:r>
      <w:r>
        <w:tab/>
        <w:t>Dutiable transaction referred to in s. 45, duty paid on to be credited</w:t>
      </w:r>
      <w:bookmarkEnd w:id="220"/>
      <w:bookmarkEnd w:id="221"/>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spacing w:before="180"/>
      </w:pPr>
      <w:bookmarkStart w:id="222" w:name="_Toc392162307"/>
      <w:bookmarkStart w:id="223" w:name="_Toc413847108"/>
      <w:r>
        <w:rPr>
          <w:rStyle w:val="CharSectno"/>
        </w:rPr>
        <w:t>48</w:t>
      </w:r>
      <w:r>
        <w:t>.</w:t>
      </w:r>
      <w:r>
        <w:tab/>
        <w:t>Simultaneous put and call option not exercised or assigned, consequences of</w:t>
      </w:r>
      <w:bookmarkEnd w:id="222"/>
      <w:bookmarkEnd w:id="223"/>
    </w:p>
    <w:p>
      <w:pPr>
        <w:pStyle w:val="Subsection"/>
        <w:keepNext/>
        <w:keepLines/>
        <w:spacing w:before="120"/>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spacing w:before="120"/>
      </w:pPr>
      <w:r>
        <w:tab/>
      </w:r>
      <w:r>
        <w:tab/>
        <w:t>this Division does not apply and the Commissioner, on the application of the taxpayer, is to assess or reassess the liability to duty of the call option.</w:t>
      </w:r>
    </w:p>
    <w:p>
      <w:pPr>
        <w:pStyle w:val="Subsection"/>
        <w:spacing w:before="120"/>
      </w:pPr>
      <w:r>
        <w:tab/>
        <w:t>(2)</w:t>
      </w:r>
      <w:r>
        <w:tab/>
        <w:t>For the purposes of this section, the Taxation Administration Act section 17 applies as if the original assessment had been made when the call option and the put option had both expired or were rescinded or cancelled.</w:t>
      </w:r>
    </w:p>
    <w:p>
      <w:pPr>
        <w:pStyle w:val="MiscellaneousHeading"/>
        <w:spacing w:before="260"/>
        <w:rPr>
          <w:b/>
          <w:bCs/>
        </w:rPr>
      </w:pPr>
      <w:r>
        <w:rPr>
          <w:b/>
          <w:bCs/>
        </w:rPr>
        <w:t>Subdivision 3 — Assignment of call option</w:t>
      </w:r>
    </w:p>
    <w:p>
      <w:pPr>
        <w:pStyle w:val="Heading5"/>
        <w:spacing w:before="180"/>
      </w:pPr>
      <w:bookmarkStart w:id="224" w:name="_Toc392162308"/>
      <w:bookmarkStart w:id="225" w:name="_Toc413847109"/>
      <w:r>
        <w:rPr>
          <w:rStyle w:val="CharSectno"/>
        </w:rPr>
        <w:t>49</w:t>
      </w:r>
      <w:r>
        <w:t>.</w:t>
      </w:r>
      <w:r>
        <w:tab/>
        <w:t>Assignment of call option to be taken to be agreement for transfer of option property</w:t>
      </w:r>
      <w:bookmarkEnd w:id="224"/>
      <w:bookmarkEnd w:id="225"/>
    </w:p>
    <w:p>
      <w:pPr>
        <w:pStyle w:val="Subsection"/>
        <w:spacing w:before="120"/>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226" w:name="_Toc392162309"/>
      <w:bookmarkStart w:id="227" w:name="_Toc413847110"/>
      <w:r>
        <w:rPr>
          <w:rStyle w:val="CharSectno"/>
        </w:rPr>
        <w:t>50</w:t>
      </w:r>
      <w:r>
        <w:t>.</w:t>
      </w:r>
      <w:r>
        <w:tab/>
        <w:t>Assignment of call option, dutiable value of</w:t>
      </w:r>
      <w:bookmarkEnd w:id="226"/>
      <w:bookmarkEnd w:id="227"/>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228" w:name="_Toc392162310"/>
      <w:bookmarkStart w:id="229" w:name="_Toc413847111"/>
      <w:r>
        <w:rPr>
          <w:rStyle w:val="CharSectno"/>
        </w:rPr>
        <w:t>51</w:t>
      </w:r>
      <w:r>
        <w:t>.</w:t>
      </w:r>
      <w:r>
        <w:tab/>
        <w:t>Dutiable transaction referred to in s. 49, duty paid on to be credited</w:t>
      </w:r>
      <w:bookmarkEnd w:id="228"/>
      <w:bookmarkEnd w:id="229"/>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230" w:name="_Toc392162311"/>
      <w:bookmarkStart w:id="231" w:name="_Toc413847112"/>
      <w:r>
        <w:rPr>
          <w:rStyle w:val="CharSectno"/>
        </w:rPr>
        <w:t>52</w:t>
      </w:r>
      <w:r>
        <w:t>.</w:t>
      </w:r>
      <w:r>
        <w:tab/>
        <w:t>Assigned call option not exercised or further assigned, consequences of</w:t>
      </w:r>
      <w:bookmarkEnd w:id="230"/>
      <w:bookmarkEnd w:id="231"/>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rPr>
          <w:sz w:val="26"/>
        </w:rPr>
      </w:pPr>
      <w:bookmarkStart w:id="232" w:name="_Toc389126321"/>
      <w:bookmarkStart w:id="233" w:name="_Toc392162312"/>
      <w:bookmarkStart w:id="234" w:name="_Toc412734808"/>
      <w:bookmarkStart w:id="235" w:name="_Toc412735231"/>
      <w:bookmarkStart w:id="236" w:name="_Toc412819247"/>
      <w:bookmarkStart w:id="237" w:name="_Toc413830004"/>
      <w:bookmarkStart w:id="238" w:name="_Toc413847113"/>
      <w:r>
        <w:rPr>
          <w:sz w:val="26"/>
        </w:rPr>
        <w:t>Division 2 — Discretionary trust acquisitions and surrenders</w:t>
      </w:r>
      <w:bookmarkEnd w:id="232"/>
      <w:bookmarkEnd w:id="233"/>
      <w:bookmarkEnd w:id="234"/>
      <w:bookmarkEnd w:id="235"/>
      <w:bookmarkEnd w:id="236"/>
      <w:bookmarkEnd w:id="237"/>
      <w:bookmarkEnd w:id="238"/>
    </w:p>
    <w:p>
      <w:pPr>
        <w:pStyle w:val="MiscellaneousHeading"/>
        <w:spacing w:before="240"/>
        <w:rPr>
          <w:b/>
          <w:bCs/>
        </w:rPr>
      </w:pPr>
      <w:r>
        <w:rPr>
          <w:b/>
          <w:bCs/>
        </w:rPr>
        <w:t>Subdivision 1 — Terms used in this Division</w:t>
      </w:r>
    </w:p>
    <w:p>
      <w:pPr>
        <w:pStyle w:val="Heading5"/>
      </w:pPr>
      <w:bookmarkStart w:id="239" w:name="_Toc392162313"/>
      <w:bookmarkStart w:id="240" w:name="_Toc413847114"/>
      <w:r>
        <w:rPr>
          <w:rStyle w:val="CharSectno"/>
        </w:rPr>
        <w:t>53</w:t>
      </w:r>
      <w:r>
        <w:t>.</w:t>
      </w:r>
      <w:r>
        <w:tab/>
        <w:t>References to partnership or trust holding property</w:t>
      </w:r>
      <w:bookmarkEnd w:id="239"/>
      <w:bookmarkEnd w:id="240"/>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241" w:name="_Toc392162314"/>
      <w:bookmarkStart w:id="242" w:name="_Toc413847115"/>
      <w:r>
        <w:rPr>
          <w:rStyle w:val="CharSectno"/>
        </w:rPr>
        <w:t>54</w:t>
      </w:r>
      <w:r>
        <w:t>.</w:t>
      </w:r>
      <w:r>
        <w:tab/>
        <w:t>References to taker in default</w:t>
      </w:r>
      <w:bookmarkEnd w:id="241"/>
      <w:bookmarkEnd w:id="242"/>
    </w:p>
    <w:p>
      <w:pPr>
        <w:pStyle w:val="Subsection"/>
      </w:pPr>
      <w:r>
        <w:tab/>
      </w:r>
      <w:r>
        <w:tab/>
        <w:t>A reference to a taker in default is to a beneficiary of a discretionary trust that has an interest in the discretionary trust in default of an appointment by the trustee, or trustees, of the discretionary trust.</w:t>
      </w:r>
    </w:p>
    <w:p>
      <w:pPr>
        <w:pStyle w:val="Heading5"/>
      </w:pPr>
      <w:bookmarkStart w:id="243" w:name="_Toc392162315"/>
      <w:bookmarkStart w:id="244" w:name="_Toc413847116"/>
      <w:r>
        <w:rPr>
          <w:rStyle w:val="CharSectno"/>
        </w:rPr>
        <w:t>55</w:t>
      </w:r>
      <w:r>
        <w:t>.</w:t>
      </w:r>
      <w:r>
        <w:tab/>
        <w:t>References to trust acquisition</w:t>
      </w:r>
      <w:bookmarkEnd w:id="243"/>
      <w:bookmarkEnd w:id="244"/>
    </w:p>
    <w:p>
      <w:pPr>
        <w:pStyle w:val="Subsection"/>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pPr>
      <w:bookmarkStart w:id="245" w:name="_Toc392162316"/>
      <w:bookmarkStart w:id="246" w:name="_Toc413847117"/>
      <w:r>
        <w:rPr>
          <w:rStyle w:val="CharSectno"/>
        </w:rPr>
        <w:t>56</w:t>
      </w:r>
      <w:r>
        <w:t>.</w:t>
      </w:r>
      <w:r>
        <w:tab/>
        <w:t>References to trust surrender</w:t>
      </w:r>
      <w:bookmarkEnd w:id="245"/>
      <w:bookmarkEnd w:id="246"/>
    </w:p>
    <w:p>
      <w:pPr>
        <w:pStyle w:val="Subsection"/>
        <w:keepNext/>
        <w:keepLines/>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247" w:name="_Toc392162317"/>
      <w:bookmarkStart w:id="248" w:name="_Toc413847118"/>
      <w:r>
        <w:rPr>
          <w:rStyle w:val="CharSectno"/>
        </w:rPr>
        <w:t>57</w:t>
      </w:r>
      <w:r>
        <w:t>.</w:t>
      </w:r>
      <w:r>
        <w:tab/>
        <w:t>When discretionary trust holds indirect interest in dutiable property</w:t>
      </w:r>
      <w:bookmarkEnd w:id="247"/>
      <w:bookmarkEnd w:id="248"/>
    </w:p>
    <w:p>
      <w:pPr>
        <w:pStyle w:val="Subsection"/>
        <w:spacing w:before="120"/>
      </w:pPr>
      <w:r>
        <w:tab/>
        <w:t>(1)</w:t>
      </w:r>
      <w:r>
        <w:tab/>
        <w:t>A discretionary trust holds an indirect interest in dutiable property if an entity linked to the trustee of the discretionary trust is entitled to dutiable property.</w:t>
      </w:r>
    </w:p>
    <w:p>
      <w:pPr>
        <w:pStyle w:val="Subsection"/>
        <w:spacing w:before="120"/>
      </w:pPr>
      <w:r>
        <w:tab/>
        <w:t>(2)</w:t>
      </w:r>
      <w:r>
        <w:tab/>
        <w:t>Section 156 applies where it is necessary to determine whether an entity is linked to a trustee of a discretionary trust for the purposes of subsection (1) or section 59(a)(ii) or 61(b).</w:t>
      </w:r>
    </w:p>
    <w:p>
      <w:pPr>
        <w:pStyle w:val="Subsection"/>
        <w:spacing w:before="120"/>
      </w:pPr>
      <w:r>
        <w:tab/>
        <w:t>(3)</w:t>
      </w:r>
      <w:r>
        <w:tab/>
        <w:t>In applying section 156, the trustee of the discretionary trust is the main entity, despite section 152(2).</w:t>
      </w:r>
    </w:p>
    <w:p>
      <w:pPr>
        <w:pStyle w:val="MiscellaneousHeading"/>
        <w:spacing w:before="200"/>
        <w:rPr>
          <w:b/>
          <w:bCs/>
        </w:rPr>
      </w:pPr>
      <w:r>
        <w:rPr>
          <w:b/>
          <w:bCs/>
        </w:rPr>
        <w:t>Subdivision 2 — Trust acquisitions and trust surrenders</w:t>
      </w:r>
    </w:p>
    <w:p>
      <w:pPr>
        <w:pStyle w:val="Heading5"/>
        <w:spacing w:before="180"/>
      </w:pPr>
      <w:bookmarkStart w:id="249" w:name="_Toc392162318"/>
      <w:bookmarkStart w:id="250" w:name="_Toc413847119"/>
      <w:r>
        <w:rPr>
          <w:rStyle w:val="CharSectno"/>
        </w:rPr>
        <w:t>58</w:t>
      </w:r>
      <w:r>
        <w:t>.</w:t>
      </w:r>
      <w:r>
        <w:tab/>
        <w:t>When person acquires interest in discretionary trust</w:t>
      </w:r>
      <w:bookmarkEnd w:id="249"/>
      <w:bookmarkEnd w:id="250"/>
    </w:p>
    <w:p>
      <w:pPr>
        <w:pStyle w:val="Subsection"/>
        <w:spacing w:before="14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251" w:name="_Toc392162319"/>
      <w:bookmarkStart w:id="252" w:name="_Toc413847120"/>
      <w:r>
        <w:rPr>
          <w:rStyle w:val="CharSectno"/>
        </w:rPr>
        <w:t>59</w:t>
      </w:r>
      <w:r>
        <w:t>.</w:t>
      </w:r>
      <w:r>
        <w:tab/>
        <w:t>Trust acquisition or trust surrender, dutiable value of</w:t>
      </w:r>
      <w:bookmarkEnd w:id="251"/>
      <w:bookmarkEnd w:id="252"/>
    </w:p>
    <w:p>
      <w:pPr>
        <w:pStyle w:val="Subsection"/>
        <w:spacing w:before="140"/>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253" w:name="_Toc392162320"/>
      <w:bookmarkStart w:id="254" w:name="_Toc413847121"/>
      <w:r>
        <w:rPr>
          <w:rStyle w:val="CharSectno"/>
        </w:rPr>
        <w:t>60</w:t>
      </w:r>
      <w:r>
        <w:t>.</w:t>
      </w:r>
      <w:r>
        <w:tab/>
        <w:t>References to interest in discretionary trust of taker in default</w:t>
      </w:r>
      <w:bookmarkEnd w:id="253"/>
      <w:bookmarkEnd w:id="254"/>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255" w:name="_Toc392162321"/>
      <w:bookmarkStart w:id="256" w:name="_Toc413847122"/>
      <w:r>
        <w:rPr>
          <w:rStyle w:val="CharSectno"/>
        </w:rPr>
        <w:t>61</w:t>
      </w:r>
      <w:r>
        <w:t>.</w:t>
      </w:r>
      <w:r>
        <w:tab/>
        <w:t>Taker in default’s interest, value of for s. 59(b)</w:t>
      </w:r>
      <w:bookmarkEnd w:id="255"/>
      <w:bookmarkEnd w:id="256"/>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trustee of the discretionary trust.</w:t>
      </w:r>
    </w:p>
    <w:p>
      <w:pPr>
        <w:pStyle w:val="NotesPerm"/>
        <w:tabs>
          <w:tab w:val="clear" w:pos="879"/>
          <w:tab w:val="left" w:pos="851"/>
        </w:tabs>
        <w:ind w:left="1418" w:hanging="1418"/>
        <w:rPr>
          <w:snapToGrid w:val="0"/>
        </w:rPr>
      </w:pPr>
      <w:r>
        <w:tab/>
        <w:t>Note:</w:t>
      </w:r>
      <w:r>
        <w:tab/>
        <w:t>For e</w:t>
      </w:r>
      <w:r>
        <w:rPr>
          <w:snapToGrid w:val="0"/>
        </w:rPr>
        <w:t>xample, if the taker in default had a 50% interest in the trust and the trust held dutiable property of $1 000 000, the value of the taker in default’s interest would be $500 000.</w:t>
      </w:r>
    </w:p>
    <w:p>
      <w:pPr>
        <w:pStyle w:val="Heading5"/>
      </w:pPr>
      <w:bookmarkStart w:id="257" w:name="_Toc392162322"/>
      <w:bookmarkStart w:id="258" w:name="_Toc413847123"/>
      <w:r>
        <w:rPr>
          <w:rStyle w:val="CharSectno"/>
        </w:rPr>
        <w:t>62</w:t>
      </w:r>
      <w:r>
        <w:t>.</w:t>
      </w:r>
      <w:r>
        <w:tab/>
        <w:t>When trust acquisition or trust surrender is not dutiable transaction</w:t>
      </w:r>
      <w:bookmarkEnd w:id="257"/>
      <w:bookmarkEnd w:id="258"/>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259" w:name="_Toc389126332"/>
      <w:bookmarkStart w:id="260" w:name="_Toc392162323"/>
      <w:bookmarkStart w:id="261" w:name="_Toc412734819"/>
      <w:bookmarkStart w:id="262" w:name="_Toc412735242"/>
      <w:bookmarkStart w:id="263" w:name="_Toc412819258"/>
      <w:bookmarkStart w:id="264" w:name="_Toc413830015"/>
      <w:bookmarkStart w:id="265" w:name="_Toc413847124"/>
      <w:r>
        <w:rPr>
          <w:sz w:val="26"/>
        </w:rPr>
        <w:t>Division 3 — Corporate trustees</w:t>
      </w:r>
      <w:bookmarkEnd w:id="259"/>
      <w:bookmarkEnd w:id="260"/>
      <w:bookmarkEnd w:id="261"/>
      <w:bookmarkEnd w:id="262"/>
      <w:bookmarkEnd w:id="263"/>
      <w:bookmarkEnd w:id="264"/>
      <w:bookmarkEnd w:id="265"/>
    </w:p>
    <w:p>
      <w:pPr>
        <w:pStyle w:val="MiscellaneousHeading"/>
        <w:spacing w:before="240"/>
        <w:rPr>
          <w:b/>
          <w:bCs/>
        </w:rPr>
      </w:pPr>
      <w:r>
        <w:rPr>
          <w:b/>
          <w:bCs/>
        </w:rPr>
        <w:t>Subdivision 1 — Terms used in this Division</w:t>
      </w:r>
    </w:p>
    <w:p>
      <w:pPr>
        <w:pStyle w:val="Heading5"/>
      </w:pPr>
      <w:bookmarkStart w:id="266" w:name="_Toc392162324"/>
      <w:bookmarkStart w:id="267" w:name="_Toc413847125"/>
      <w:r>
        <w:rPr>
          <w:rStyle w:val="CharSectno"/>
        </w:rPr>
        <w:t>63</w:t>
      </w:r>
      <w:r>
        <w:t>.</w:t>
      </w:r>
      <w:r>
        <w:tab/>
        <w:t>Terms used</w:t>
      </w:r>
      <w:bookmarkEnd w:id="266"/>
      <w:bookmarkEnd w:id="267"/>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268" w:name="_Toc392162325"/>
      <w:bookmarkStart w:id="269" w:name="_Toc413847126"/>
      <w:r>
        <w:rPr>
          <w:rStyle w:val="CharSectno"/>
        </w:rPr>
        <w:t>64</w:t>
      </w:r>
      <w:r>
        <w:t>.</w:t>
      </w:r>
      <w:r>
        <w:tab/>
        <w:t>References to trustee of discretionary trust holding property</w:t>
      </w:r>
      <w:bookmarkEnd w:id="268"/>
      <w:bookmarkEnd w:id="269"/>
    </w:p>
    <w:p>
      <w:pPr>
        <w:pStyle w:val="Subsection"/>
      </w:pPr>
      <w:r>
        <w:tab/>
      </w:r>
      <w:r>
        <w:tab/>
        <w:t>A reference to a trustee of a discretionary trust holding property is a reference to the holding of the property by the trustee under the trust.</w:t>
      </w:r>
    </w:p>
    <w:p>
      <w:pPr>
        <w:pStyle w:val="Heading5"/>
      </w:pPr>
      <w:bookmarkStart w:id="270" w:name="_Toc392162326"/>
      <w:bookmarkStart w:id="271" w:name="_Toc413847127"/>
      <w:r>
        <w:rPr>
          <w:rStyle w:val="CharSectno"/>
        </w:rPr>
        <w:t>65</w:t>
      </w:r>
      <w:r>
        <w:t>.</w:t>
      </w:r>
      <w:r>
        <w:tab/>
        <w:t>References to corporate trustee</w:t>
      </w:r>
      <w:bookmarkEnd w:id="270"/>
      <w:bookmarkEnd w:id="271"/>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pPr>
      <w:bookmarkStart w:id="272" w:name="_Toc392162327"/>
      <w:bookmarkStart w:id="273" w:name="_Toc413847128"/>
      <w:r>
        <w:rPr>
          <w:rStyle w:val="CharSectno"/>
        </w:rPr>
        <w:t>66</w:t>
      </w:r>
      <w:r>
        <w:t>.</w:t>
      </w:r>
      <w:r>
        <w:tab/>
        <w:t>When corporate trustee holds indirect interest in dutiable property</w:t>
      </w:r>
      <w:bookmarkEnd w:id="272"/>
      <w:bookmarkEnd w:id="273"/>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 156 applies where it is necessary to determine whether an entity is linked to a corporate trustee for the purposes of subsection (1).</w:t>
      </w:r>
    </w:p>
    <w:p>
      <w:pPr>
        <w:pStyle w:val="Subsection"/>
      </w:pPr>
      <w:r>
        <w:tab/>
        <w:t>(3)</w:t>
      </w:r>
      <w:r>
        <w:tab/>
        <w:t>In applying section 156, the corporate trustee is the main entity, despite section 152(2).</w:t>
      </w:r>
    </w:p>
    <w:p>
      <w:pPr>
        <w:pStyle w:val="MiscellaneousHeading"/>
        <w:spacing w:before="240"/>
        <w:rPr>
          <w:b/>
          <w:bCs/>
        </w:rPr>
      </w:pPr>
      <w:r>
        <w:rPr>
          <w:b/>
          <w:bCs/>
        </w:rPr>
        <w:t>Subdivision 2 — Disposition of shares in a corporate trustee</w:t>
      </w:r>
    </w:p>
    <w:p>
      <w:pPr>
        <w:pStyle w:val="Heading5"/>
      </w:pPr>
      <w:bookmarkStart w:id="274" w:name="_Toc392162328"/>
      <w:bookmarkStart w:id="275" w:name="_Toc413847129"/>
      <w:r>
        <w:rPr>
          <w:rStyle w:val="CharSectno"/>
        </w:rPr>
        <w:t>67</w:t>
      </w:r>
      <w:r>
        <w:t>.</w:t>
      </w:r>
      <w:r>
        <w:tab/>
        <w:t xml:space="preserve">Share disposition taken to be agreement </w:t>
      </w:r>
      <w:r>
        <w:rPr>
          <w:snapToGrid w:val="0"/>
        </w:rPr>
        <w:t>for transfer of</w:t>
      </w:r>
      <w:r>
        <w:t xml:space="preserve"> trust property</w:t>
      </w:r>
      <w:bookmarkEnd w:id="274"/>
      <w:bookmarkEnd w:id="275"/>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in a change in the beneficial ownership of dutiable property held directly or indirectly by the corporate trustee of a discretionary trust.</w:t>
      </w:r>
    </w:p>
    <w:p>
      <w:pPr>
        <w:pStyle w:val="Subsection"/>
        <w:keepLines/>
      </w:pPr>
      <w:r>
        <w:tab/>
        <w:t>(2)</w:t>
      </w:r>
      <w:r>
        <w:tab/>
        <w:t>Subsection (1) does not apply to the disposition of a share by which the personal representative of a deceased person disposes of a share to a beneficiary in the administration of the estate of the deceased.</w:t>
      </w:r>
    </w:p>
    <w:p>
      <w:pPr>
        <w:pStyle w:val="Heading5"/>
      </w:pPr>
      <w:bookmarkStart w:id="276" w:name="_Toc392162329"/>
      <w:bookmarkStart w:id="277" w:name="_Toc413847130"/>
      <w:r>
        <w:rPr>
          <w:rStyle w:val="CharSectno"/>
        </w:rPr>
        <w:t>68</w:t>
      </w:r>
      <w:r>
        <w:t>.</w:t>
      </w:r>
      <w:r>
        <w:tab/>
        <w:t>Transaction referred to in s. 67, dutiable value of</w:t>
      </w:r>
      <w:bookmarkEnd w:id="276"/>
      <w:bookmarkEnd w:id="277"/>
    </w:p>
    <w:p>
      <w:pPr>
        <w:pStyle w:val="Subsection"/>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were a reference to dutiable property; and</w:t>
      </w:r>
    </w:p>
    <w:p>
      <w:pPr>
        <w:pStyle w:val="Indenta"/>
      </w:pPr>
      <w:r>
        <w:tab/>
        <w:t>(b)</w:t>
      </w:r>
      <w:r>
        <w:tab/>
        <w:t>to the main entity were a reference to the corporate trustee.</w:t>
      </w:r>
    </w:p>
    <w:p>
      <w:pPr>
        <w:pStyle w:val="Subsection"/>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Heading5"/>
      </w:pPr>
      <w:bookmarkStart w:id="278" w:name="_Toc392162330"/>
      <w:bookmarkStart w:id="279" w:name="_Toc413847131"/>
      <w:r>
        <w:rPr>
          <w:rStyle w:val="CharSectno"/>
        </w:rPr>
        <w:t>69</w:t>
      </w:r>
      <w:r>
        <w:t>.</w:t>
      </w:r>
      <w:r>
        <w:tab/>
        <w:t>Person liable to pay duty on disposition of share</w:t>
      </w:r>
      <w:bookmarkEnd w:id="278"/>
      <w:bookmarkEnd w:id="279"/>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280" w:name="_Toc389126340"/>
      <w:bookmarkStart w:id="281" w:name="_Toc392162331"/>
      <w:bookmarkStart w:id="282" w:name="_Toc412734827"/>
      <w:bookmarkStart w:id="283" w:name="_Toc412735250"/>
      <w:bookmarkStart w:id="284" w:name="_Toc412819266"/>
      <w:bookmarkStart w:id="285" w:name="_Toc413830023"/>
      <w:bookmarkStart w:id="286" w:name="_Toc413847132"/>
      <w:r>
        <w:rPr>
          <w:sz w:val="26"/>
        </w:rPr>
        <w:t>Division 4 — Partnerships</w:t>
      </w:r>
      <w:bookmarkEnd w:id="280"/>
      <w:bookmarkEnd w:id="281"/>
      <w:bookmarkEnd w:id="282"/>
      <w:bookmarkEnd w:id="283"/>
      <w:bookmarkEnd w:id="284"/>
      <w:bookmarkEnd w:id="285"/>
      <w:bookmarkEnd w:id="286"/>
    </w:p>
    <w:p>
      <w:pPr>
        <w:pStyle w:val="MiscellaneousHeading"/>
        <w:keepLines/>
        <w:spacing w:before="240"/>
        <w:rPr>
          <w:b/>
          <w:bCs/>
        </w:rPr>
      </w:pPr>
      <w:r>
        <w:rPr>
          <w:b/>
          <w:bCs/>
        </w:rPr>
        <w:t>Subdivision 1 — Terms used in this Division</w:t>
      </w:r>
    </w:p>
    <w:p>
      <w:pPr>
        <w:pStyle w:val="Heading5"/>
      </w:pPr>
      <w:bookmarkStart w:id="287" w:name="_Toc392162332"/>
      <w:bookmarkStart w:id="288" w:name="_Toc413847133"/>
      <w:r>
        <w:rPr>
          <w:rStyle w:val="CharSectno"/>
        </w:rPr>
        <w:t>70</w:t>
      </w:r>
      <w:r>
        <w:t>.</w:t>
      </w:r>
      <w:r>
        <w:tab/>
        <w:t>Term used: dutiable property</w:t>
      </w:r>
      <w:bookmarkEnd w:id="287"/>
      <w:bookmarkEnd w:id="288"/>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 xml:space="preserve">land in </w:t>
      </w:r>
      <w:smartTag w:uri="urn:schemas-microsoft-com:office:smarttags" w:element="place">
        <w:smartTag w:uri="urn:schemas-microsoft-com:office:smarttags" w:element="State">
          <w:r>
            <w:t>Western Australia</w:t>
          </w:r>
        </w:smartTag>
      </w:smartTag>
      <w:r>
        <w:t>;</w:t>
      </w:r>
    </w:p>
    <w:p>
      <w:pPr>
        <w:pStyle w:val="Defpara"/>
      </w:pPr>
      <w:r>
        <w:tab/>
        <w:t>(b)</w:t>
      </w:r>
      <w:r>
        <w:tab/>
        <w:t xml:space="preserve">a chattel in </w:t>
      </w:r>
      <w:smartTag w:uri="urn:schemas-microsoft-com:office:smarttags" w:element="place">
        <w:smartTag w:uri="urn:schemas-microsoft-com:office:smarttags" w:element="State">
          <w:r>
            <w:t>Western Australia</w:t>
          </w:r>
        </w:smartTag>
      </w:smartTag>
      <w:r>
        <w:t>.</w:t>
      </w:r>
    </w:p>
    <w:p>
      <w:pPr>
        <w:pStyle w:val="Footnotesection"/>
      </w:pPr>
      <w:r>
        <w:tab/>
        <w:t>[Section 70 amended by No. 17 of 2010 s. 12.]</w:t>
      </w:r>
    </w:p>
    <w:p>
      <w:pPr>
        <w:pStyle w:val="Heading5"/>
      </w:pPr>
      <w:bookmarkStart w:id="289" w:name="_Toc392162333"/>
      <w:bookmarkStart w:id="290" w:name="_Toc413847134"/>
      <w:r>
        <w:rPr>
          <w:rStyle w:val="CharSectno"/>
        </w:rPr>
        <w:t>71</w:t>
      </w:r>
      <w:r>
        <w:t>.</w:t>
      </w:r>
      <w:r>
        <w:tab/>
        <w:t>References to partnership or trust holding property</w:t>
      </w:r>
      <w:bookmarkEnd w:id="289"/>
      <w:bookmarkEnd w:id="290"/>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291" w:name="_Toc392162334"/>
      <w:bookmarkStart w:id="292" w:name="_Toc413847135"/>
      <w:r>
        <w:rPr>
          <w:rStyle w:val="CharSectno"/>
        </w:rPr>
        <w:t>72</w:t>
      </w:r>
      <w:r>
        <w:t>.</w:t>
      </w:r>
      <w:r>
        <w:tab/>
        <w:t>References to partnership acquisition</w:t>
      </w:r>
      <w:bookmarkEnd w:id="291"/>
      <w:bookmarkEnd w:id="292"/>
    </w:p>
    <w:p>
      <w:pPr>
        <w:pStyle w:val="Subsection"/>
      </w:pPr>
      <w:r>
        <w:tab/>
      </w:r>
      <w:r>
        <w:tab/>
        <w:t xml:space="preserve">A reference to a partnership acquisition is to a person acquiring a partnership interest in a partnership that holds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an indirect interest in land in </w:t>
      </w:r>
      <w:smartTag w:uri="urn:schemas-microsoft-com:office:smarttags" w:element="place">
        <w:smartTag w:uri="urn:schemas-microsoft-com:office:smarttags" w:element="State">
          <w:r>
            <w:t>Western Australia</w:t>
          </w:r>
        </w:smartTag>
      </w:smartTag>
      <w:r>
        <w:t>.</w:t>
      </w:r>
    </w:p>
    <w:p>
      <w:pPr>
        <w:pStyle w:val="Footnotesection"/>
      </w:pPr>
      <w:r>
        <w:tab/>
        <w:t>[Section 72 amended by No. 17 of 2010 s. 13.]</w:t>
      </w:r>
    </w:p>
    <w:p>
      <w:pPr>
        <w:pStyle w:val="Heading5"/>
      </w:pPr>
      <w:bookmarkStart w:id="293" w:name="_Toc392162335"/>
      <w:bookmarkStart w:id="294" w:name="_Toc413847136"/>
      <w:r>
        <w:rPr>
          <w:rStyle w:val="CharSectno"/>
        </w:rPr>
        <w:t>73</w:t>
      </w:r>
      <w:r>
        <w:t>.</w:t>
      </w:r>
      <w:r>
        <w:tab/>
        <w:t>When partnership holds indirect interest in WA land</w:t>
      </w:r>
      <w:bookmarkEnd w:id="293"/>
      <w:bookmarkEnd w:id="294"/>
    </w:p>
    <w:p>
      <w:pPr>
        <w:pStyle w:val="Subsection"/>
      </w:pPr>
      <w:r>
        <w:tab/>
        <w:t>(1)</w:t>
      </w:r>
      <w:r>
        <w:tab/>
        <w:t xml:space="preserve">A partnership holds an indirect interest in land in </w:t>
      </w:r>
      <w:smartTag w:uri="urn:schemas-microsoft-com:office:smarttags" w:element="State">
        <w:r>
          <w:t>Western Australia</w:t>
        </w:r>
      </w:smartTag>
      <w:r>
        <w:t xml:space="preserve"> if an entity linked to the partnership is entitled to land in </w:t>
      </w:r>
      <w:smartTag w:uri="urn:schemas-microsoft-com:office:smarttags" w:element="place">
        <w:smartTag w:uri="urn:schemas-microsoft-com:office:smarttags" w:element="State">
          <w:r>
            <w:t>Western Australia</w:t>
          </w:r>
        </w:smartTag>
      </w:smartTag>
      <w:r>
        <w:t>.</w:t>
      </w:r>
    </w:p>
    <w:p>
      <w:pPr>
        <w:pStyle w:val="Subsection"/>
      </w:pPr>
      <w:r>
        <w:tab/>
        <w:t>(2)</w:t>
      </w:r>
      <w:r>
        <w:tab/>
        <w:t>Section 156 applies where it is necessary to determine whether an entity is linked to a partnership for the purposes of subsection (1) or section 76(a)(ii) or 77(1)(b).</w:t>
      </w:r>
    </w:p>
    <w:p>
      <w:pPr>
        <w:pStyle w:val="Subsection"/>
      </w:pPr>
      <w:r>
        <w:tab/>
        <w:t>(3)</w:t>
      </w:r>
      <w:r>
        <w:tab/>
        <w:t>In applying section 156, the partnership is the main entity, despite section 152(2).</w:t>
      </w:r>
    </w:p>
    <w:p>
      <w:pPr>
        <w:pStyle w:val="Heading5"/>
      </w:pPr>
      <w:bookmarkStart w:id="295" w:name="_Toc392162336"/>
      <w:bookmarkStart w:id="296" w:name="_Toc413847137"/>
      <w:r>
        <w:rPr>
          <w:rStyle w:val="CharSectno"/>
        </w:rPr>
        <w:t>74</w:t>
      </w:r>
      <w:r>
        <w:t>.</w:t>
      </w:r>
      <w:r>
        <w:tab/>
        <w:t>References to partner’s partnership interest</w:t>
      </w:r>
      <w:bookmarkEnd w:id="295"/>
      <w:bookmarkEnd w:id="296"/>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MiscellaneousHeading"/>
        <w:spacing w:before="240"/>
        <w:rPr>
          <w:b/>
          <w:bCs/>
        </w:rPr>
      </w:pPr>
      <w:r>
        <w:rPr>
          <w:b/>
          <w:bCs/>
        </w:rPr>
        <w:t>Subdivision 2 — Acquiring partnership interests</w:t>
      </w:r>
    </w:p>
    <w:p>
      <w:pPr>
        <w:pStyle w:val="Heading5"/>
      </w:pPr>
      <w:bookmarkStart w:id="297" w:name="_Toc392162337"/>
      <w:bookmarkStart w:id="298" w:name="_Toc413847138"/>
      <w:r>
        <w:rPr>
          <w:rStyle w:val="CharSectno"/>
        </w:rPr>
        <w:t>75</w:t>
      </w:r>
      <w:r>
        <w:t>.</w:t>
      </w:r>
      <w:r>
        <w:tab/>
        <w:t>When person acquires partnership interest</w:t>
      </w:r>
      <w:bookmarkEnd w:id="297"/>
      <w:bookmarkEnd w:id="298"/>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299" w:name="_Toc392162338"/>
      <w:bookmarkStart w:id="300" w:name="_Toc413847139"/>
      <w:r>
        <w:rPr>
          <w:rStyle w:val="CharSectno"/>
        </w:rPr>
        <w:t>76</w:t>
      </w:r>
      <w:r>
        <w:t>.</w:t>
      </w:r>
      <w:r>
        <w:tab/>
        <w:t>Partnership acquisition, dutiable value of</w:t>
      </w:r>
      <w:bookmarkEnd w:id="299"/>
      <w:bookmarkEnd w:id="300"/>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301" w:name="_Toc392162339"/>
      <w:bookmarkStart w:id="302" w:name="_Toc413847140"/>
      <w:r>
        <w:rPr>
          <w:rStyle w:val="CharSectno"/>
        </w:rPr>
        <w:t>77</w:t>
      </w:r>
      <w:r>
        <w:t>.</w:t>
      </w:r>
      <w:r>
        <w:tab/>
        <w:t>Partnership interest, value of for s. 76(b)</w:t>
      </w:r>
      <w:bookmarkEnd w:id="301"/>
      <w:bookmarkEnd w:id="302"/>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partnership.</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is to be disregarded.</w:t>
      </w:r>
    </w:p>
    <w:p>
      <w:pPr>
        <w:pStyle w:val="Subsection"/>
        <w:spacing w:before="180"/>
      </w:pPr>
      <w:r>
        <w:tab/>
        <w:t>(3)</w:t>
      </w:r>
      <w:r>
        <w:tab/>
        <w:t xml:space="preserve">For the purposes of subsection (2), a person is a new partner only if — </w:t>
      </w:r>
    </w:p>
    <w:p>
      <w:pPr>
        <w:pStyle w:val="Indenta"/>
      </w:pPr>
      <w:r>
        <w:tab/>
        <w:t>(a)</w:t>
      </w:r>
      <w:r>
        <w:tab/>
        <w:t>the person was not in partnership with any partners of the partnership immediately before its formation; or</w:t>
      </w:r>
    </w:p>
    <w:p>
      <w:pPr>
        <w:pStyle w:val="Indenta"/>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Heading5"/>
        <w:spacing w:before="260"/>
      </w:pPr>
      <w:bookmarkStart w:id="303" w:name="_Toc392162340"/>
      <w:bookmarkStart w:id="304" w:name="_Toc413847141"/>
      <w:r>
        <w:rPr>
          <w:rStyle w:val="CharSectno"/>
        </w:rPr>
        <w:t>78</w:t>
      </w:r>
      <w:r>
        <w:t>.</w:t>
      </w:r>
      <w:r>
        <w:tab/>
        <w:t>Transfer of dutiable property of partnership to retiring partner, dutiable value of</w:t>
      </w:r>
      <w:bookmarkEnd w:id="303"/>
      <w:bookmarkEnd w:id="304"/>
    </w:p>
    <w:p>
      <w:pPr>
        <w:pStyle w:val="Subsection"/>
        <w:spacing w:before="180"/>
      </w:pPr>
      <w:r>
        <w:tab/>
        <w:t>(1)</w:t>
      </w:r>
      <w:r>
        <w:tab/>
        <w:t xml:space="preserve">This section applies if, on a person (the </w:t>
      </w:r>
      <w:r>
        <w:rPr>
          <w:rStyle w:val="CharDefText"/>
        </w:rPr>
        <w:t>retiring partner</w:t>
      </w:r>
      <w:r>
        <w:t>) ceasing to be a partner in a partnership because of the retiring partner’s retirement from the partnership or its dissolution, dutiable property of the partnership is transferred or agreed to be transferred to the retiring partner.</w:t>
      </w:r>
    </w:p>
    <w:p>
      <w:pPr>
        <w:pStyle w:val="Subsection"/>
        <w:spacing w:before="180"/>
      </w:pPr>
      <w:r>
        <w:tab/>
        <w:t>(2)</w:t>
      </w:r>
      <w:r>
        <w:tab/>
        <w:t>The dutiable value of a transfer of, or an agreement for the transfer of, dutiable property to the retiring partner must be reduced by an amount calculated by applying the retiring partner’s partnership interest in the partnership to the unencumbered value of the dutiable property immediately before the retirement or dissolution.</w:t>
      </w:r>
    </w:p>
    <w:p>
      <w:pPr>
        <w:pStyle w:val="NotesPerm"/>
        <w:keepNext/>
        <w:tabs>
          <w:tab w:val="clear" w:pos="879"/>
          <w:tab w:val="left" w:pos="851"/>
        </w:tabs>
        <w:ind w:left="1418" w:hanging="1418"/>
      </w:pPr>
      <w:r>
        <w:tab/>
        <w:t>Note:</w:t>
      </w:r>
      <w:r>
        <w:tab/>
        <w:t>Example for subsection (2) —</w:t>
      </w:r>
    </w:p>
    <w:p>
      <w:pPr>
        <w:pStyle w:val="NotesPerm"/>
        <w:tabs>
          <w:tab w:val="clear" w:pos="879"/>
          <w:tab w:val="left" w:pos="851"/>
        </w:tabs>
        <w:ind w:left="1418" w:hanging="1418"/>
        <w:rPr>
          <w:snapToGrid w:val="0"/>
        </w:rPr>
      </w:pPr>
      <w:r>
        <w:rPr>
          <w:snapToGrid w:val="0"/>
        </w:rPr>
        <w:tab/>
      </w:r>
      <w:r>
        <w:rPr>
          <w:snapToGrid w:val="0"/>
        </w:rPr>
        <w:tab/>
        <w:t>A, B and C are in partnership in equal shares.  B had a one</w:t>
      </w:r>
      <w:r>
        <w:rPr>
          <w:snapToGrid w:val="0"/>
        </w:rPr>
        <w:noBreakHyphen/>
        <w:t>third partnership interest immediately before retiring.  On B ceasing to be a partner, A and C transfer land to B.  The dutiable value of the land acquired by B will be reduced by one</w:t>
      </w:r>
      <w:r>
        <w:rPr>
          <w:snapToGrid w:val="0"/>
        </w:rPr>
        <w:noBreakHyphen/>
        <w:t>third.</w:t>
      </w:r>
    </w:p>
    <w:p>
      <w:pPr>
        <w:pStyle w:val="Heading4"/>
        <w:rPr>
          <w:sz w:val="26"/>
        </w:rPr>
      </w:pPr>
      <w:bookmarkStart w:id="305" w:name="_Toc389126350"/>
      <w:bookmarkStart w:id="306" w:name="_Toc392162341"/>
      <w:bookmarkStart w:id="307" w:name="_Toc412734837"/>
      <w:bookmarkStart w:id="308" w:name="_Toc412735260"/>
      <w:bookmarkStart w:id="309" w:name="_Toc412819276"/>
      <w:bookmarkStart w:id="310" w:name="_Toc413830033"/>
      <w:bookmarkStart w:id="311" w:name="_Toc413847142"/>
      <w:r>
        <w:rPr>
          <w:sz w:val="26"/>
        </w:rPr>
        <w:t>Division 5 — Western Australian business assets</w:t>
      </w:r>
      <w:bookmarkEnd w:id="305"/>
      <w:bookmarkEnd w:id="306"/>
      <w:bookmarkEnd w:id="307"/>
      <w:bookmarkEnd w:id="308"/>
      <w:bookmarkEnd w:id="309"/>
      <w:bookmarkEnd w:id="310"/>
      <w:bookmarkEnd w:id="311"/>
    </w:p>
    <w:p>
      <w:pPr>
        <w:pStyle w:val="MiscellaneousHeading"/>
        <w:spacing w:before="240"/>
        <w:rPr>
          <w:b/>
          <w:bCs/>
        </w:rPr>
      </w:pPr>
      <w:r>
        <w:rPr>
          <w:b/>
          <w:bCs/>
        </w:rPr>
        <w:t>Subdivision 1 — Terms used in this Division</w:t>
      </w:r>
    </w:p>
    <w:p>
      <w:pPr>
        <w:pStyle w:val="Heading5"/>
      </w:pPr>
      <w:bookmarkStart w:id="312" w:name="_Toc392162342"/>
      <w:bookmarkStart w:id="313" w:name="_Toc413847143"/>
      <w:r>
        <w:rPr>
          <w:rStyle w:val="CharSectno"/>
        </w:rPr>
        <w:t>79</w:t>
      </w:r>
      <w:r>
        <w:t>.</w:t>
      </w:r>
      <w:r>
        <w:tab/>
        <w:t>Terms used</w:t>
      </w:r>
      <w:bookmarkEnd w:id="312"/>
      <w:bookmarkEnd w:id="313"/>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keepNext/>
      </w:pPr>
      <w:r>
        <w:rPr>
          <w:b/>
        </w:rPr>
        <w:tab/>
      </w:r>
      <w:r>
        <w:rPr>
          <w:rStyle w:val="CharDefText"/>
        </w:rPr>
        <w:t>business licence</w:t>
      </w:r>
      <w:r>
        <w:t xml:space="preserve"> means a licence, permit or authority which is issued, granted or given under — </w:t>
      </w:r>
    </w:p>
    <w:p>
      <w:pPr>
        <w:pStyle w:val="Defpara"/>
      </w:pPr>
      <w:r>
        <w:tab/>
        <w:t>(a)</w:t>
      </w:r>
      <w:r>
        <w:tab/>
        <w:t>a written law and which is required by a written law to be held by a person carrying out an activity for gain or reward; or</w:t>
      </w:r>
    </w:p>
    <w:p>
      <w:pPr>
        <w:pStyle w:val="Defpara"/>
      </w:pPr>
      <w:r>
        <w:tab/>
        <w:t>(b)</w:t>
      </w:r>
      <w:r>
        <w:tab/>
        <w:t xml:space="preserve">a law of the Commonwealth and which is required by a law of the Commonwealth to be held by a person carrying out an activity in </w:t>
      </w:r>
      <w:smartTag w:uri="urn:schemas-microsoft-com:office:smarttags" w:element="place">
        <w:smartTag w:uri="urn:schemas-microsoft-com:office:smarttags" w:element="State">
          <w:r>
            <w:t>Western Australia</w:t>
          </w:r>
        </w:smartTag>
      </w:smartTag>
      <w:r>
        <w:t xml:space="preserve"> for gain or reward;</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pPr>
      <w:r>
        <w:tab/>
        <w:t>(i)</w:t>
      </w:r>
      <w:r>
        <w:tab/>
        <w:t>anything mentioned in paragraph (a) or (b); or</w:t>
      </w:r>
    </w:p>
    <w:p>
      <w:pPr>
        <w:pStyle w:val="Defsubpara"/>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keepNex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pPr>
      <w:r>
        <w:tab/>
        <w:t>(i)</w:t>
      </w:r>
      <w:r>
        <w:tab/>
        <w:t xml:space="preserve">been carried on in or from </w:t>
      </w:r>
      <w:smartTag w:uri="urn:schemas-microsoft-com:office:smarttags" w:element="place">
        <w:smartTag w:uri="urn:schemas-microsoft-com:office:smarttags" w:element="State">
          <w:r>
            <w:t>Western Australia</w:t>
          </w:r>
        </w:smartTag>
      </w:smartTag>
      <w:r>
        <w:t>; or</w:t>
      </w:r>
    </w:p>
    <w:p>
      <w:pPr>
        <w:pStyle w:val="Defsubpara"/>
      </w:pPr>
      <w:r>
        <w:tab/>
        <w:t>(ii)</w:t>
      </w:r>
      <w:r>
        <w:tab/>
        <w:t xml:space="preserve">supplied commodities or provided services to customers in </w:t>
      </w:r>
      <w:smartTag w:uri="urn:schemas-microsoft-com:office:smarttags" w:element="place">
        <w:smartTag w:uri="urn:schemas-microsoft-com:office:smarttags" w:element="State">
          <w:r>
            <w:t>Western Australia</w:t>
          </w:r>
        </w:smartTag>
      </w:smartTag>
      <w:r>
        <w:t>;</w:t>
      </w:r>
    </w:p>
    <w:p>
      <w:pPr>
        <w:pStyle w:val="Defpara"/>
      </w:pPr>
      <w:r>
        <w:tab/>
      </w:r>
      <w:r>
        <w:tab/>
        <w:t>or</w:t>
      </w:r>
    </w:p>
    <w:p>
      <w:pPr>
        <w:pStyle w:val="Defpara"/>
      </w:pPr>
      <w:r>
        <w:tab/>
        <w:t>(b)</w:t>
      </w:r>
      <w:r>
        <w:tab/>
        <w:t xml:space="preserve">carrying out an activity for gain or reward under a licence referred to in paragraph (a) of the definition of </w:t>
      </w:r>
      <w:r>
        <w:rPr>
          <w:b/>
          <w:i/>
        </w:rPr>
        <w:t>business licence</w:t>
      </w:r>
      <w:r>
        <w:t>; or</w:t>
      </w:r>
    </w:p>
    <w:p>
      <w:pPr>
        <w:pStyle w:val="Defpara"/>
      </w:pPr>
      <w:r>
        <w:tab/>
        <w:t>(c)</w:t>
      </w:r>
      <w:r>
        <w:tab/>
        <w:t xml:space="preserve">carrying out an activity in </w:t>
      </w:r>
      <w:smartTag w:uri="urn:schemas-microsoft-com:office:smarttags" w:element="place">
        <w:smartTag w:uri="urn:schemas-microsoft-com:office:smarttags" w:element="State">
          <w:r>
            <w:t>Western Australia</w:t>
          </w:r>
        </w:smartTag>
      </w:smartTag>
      <w:r>
        <w:t xml:space="preserve"> for gain or reward under a licence referred to in paragraph (b) of the definition of </w:t>
      </w:r>
      <w:r>
        <w:rPr>
          <w:b/>
          <w:i/>
        </w:rPr>
        <w:t>business licence</w:t>
      </w:r>
      <w:r>
        <w:t>;</w:t>
      </w:r>
    </w:p>
    <w:p>
      <w:pPr>
        <w:pStyle w:val="Defstart"/>
      </w:pPr>
      <w:r>
        <w:tab/>
      </w:r>
      <w:r>
        <w:rPr>
          <w:rStyle w:val="CharDefText"/>
        </w:rPr>
        <w:t>Western Australian business asset</w:t>
      </w:r>
      <w:r>
        <w:t xml:space="preserve"> means a business asset of a Western Australian business.</w:t>
      </w:r>
    </w:p>
    <w:p>
      <w:pPr>
        <w:pStyle w:val="MiscellaneousHeading"/>
        <w:spacing w:before="240"/>
        <w:rPr>
          <w:b/>
          <w:bCs/>
        </w:rPr>
      </w:pPr>
      <w:r>
        <w:rPr>
          <w:b/>
          <w:bCs/>
        </w:rPr>
        <w:t>Subdivision 2 — Particular transactions involving business assets</w:t>
      </w:r>
    </w:p>
    <w:p>
      <w:pPr>
        <w:pStyle w:val="Heading5"/>
      </w:pPr>
      <w:bookmarkStart w:id="314" w:name="_Toc392162343"/>
      <w:bookmarkStart w:id="315" w:name="_Toc413847144"/>
      <w:r>
        <w:rPr>
          <w:rStyle w:val="CharSectno"/>
        </w:rPr>
        <w:t>80</w:t>
      </w:r>
      <w:r>
        <w:t>.</w:t>
      </w:r>
      <w:r>
        <w:tab/>
        <w:t>Some transactions involving business licences to be taken to be agreements to transfer WA business assets</w:t>
      </w:r>
      <w:bookmarkEnd w:id="314"/>
      <w:bookmarkEnd w:id="315"/>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to transfer a Western Australian business asset and is liable to duty accordingly.</w:t>
      </w:r>
    </w:p>
    <w:p>
      <w:pPr>
        <w:pStyle w:val="Heading5"/>
      </w:pPr>
      <w:bookmarkStart w:id="316" w:name="_Toc392162344"/>
      <w:bookmarkStart w:id="317" w:name="_Toc413847145"/>
      <w:r>
        <w:rPr>
          <w:rStyle w:val="CharSectno"/>
        </w:rPr>
        <w:t>81</w:t>
      </w:r>
      <w:r>
        <w:t>.</w:t>
      </w:r>
      <w:r>
        <w:tab/>
        <w:t>Transactions for particular WA business assets that are not dutiable transactions</w:t>
      </w:r>
      <w:bookmarkEnd w:id="316"/>
      <w:bookmarkEnd w:id="317"/>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spacing w:before="120"/>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MiscellaneousHeading"/>
        <w:keepLines/>
        <w:spacing w:before="240"/>
        <w:rPr>
          <w:b/>
          <w:bCs/>
        </w:rPr>
      </w:pPr>
      <w:r>
        <w:rPr>
          <w:b/>
          <w:bCs/>
        </w:rPr>
        <w:t>Subdivision 3 — Dutiable value of dutiable transactions for business assets</w:t>
      </w:r>
    </w:p>
    <w:p>
      <w:pPr>
        <w:pStyle w:val="Heading5"/>
      </w:pPr>
      <w:bookmarkStart w:id="318" w:name="_Toc392162345"/>
      <w:bookmarkStart w:id="319" w:name="_Toc413847146"/>
      <w:r>
        <w:rPr>
          <w:rStyle w:val="CharSectno"/>
        </w:rPr>
        <w:t>82</w:t>
      </w:r>
      <w:r>
        <w:t>.</w:t>
      </w:r>
      <w:r>
        <w:tab/>
        <w:t>Dutiable transaction for business asset, dutiable value of</w:t>
      </w:r>
      <w:bookmarkEnd w:id="318"/>
      <w:bookmarkEnd w:id="319"/>
    </w:p>
    <w:p>
      <w:pPr>
        <w:pStyle w:val="Subsection"/>
        <w:keepNext/>
        <w:keepLines/>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pPr>
      <w:bookmarkStart w:id="320" w:name="_Toc392162346"/>
      <w:bookmarkStart w:id="321" w:name="_Toc413847147"/>
      <w:r>
        <w:rPr>
          <w:rStyle w:val="CharSectno"/>
        </w:rPr>
        <w:t>83</w:t>
      </w:r>
      <w:r>
        <w:t>.</w:t>
      </w:r>
      <w:r>
        <w:tab/>
        <w:t>Certain business licences required by Cwlth law, dutiable value of for s. 82(a)</w:t>
      </w:r>
      <w:bookmarkEnd w:id="320"/>
      <w:bookmarkEnd w:id="321"/>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 xml:space="preserve">the portion of the consideration for the transaction that relates to the carrying out of an activity in </w:t>
      </w:r>
      <w:smartTag w:uri="urn:schemas-microsoft-com:office:smarttags" w:element="place">
        <w:smartTag w:uri="urn:schemas-microsoft-com:office:smarttags" w:element="State">
          <w:r>
            <w:t>Western Australia</w:t>
          </w:r>
        </w:smartTag>
      </w:smartTag>
      <w:r>
        <w:t xml:space="preserve"> under the authority of the business licence.</w:t>
      </w:r>
    </w:p>
    <w:p>
      <w:pPr>
        <w:pStyle w:val="Heading5"/>
      </w:pPr>
      <w:bookmarkStart w:id="322" w:name="_Toc392162347"/>
      <w:bookmarkStart w:id="323" w:name="_Toc413847148"/>
      <w:r>
        <w:rPr>
          <w:rStyle w:val="CharSectno"/>
        </w:rPr>
        <w:t>84</w:t>
      </w:r>
      <w:r>
        <w:t>.</w:t>
      </w:r>
      <w:r>
        <w:tab/>
        <w:t>Business licences required by WA law, dutiable value of for s. 82(b)</w:t>
      </w:r>
      <w:bookmarkEnd w:id="322"/>
      <w:bookmarkEnd w:id="323"/>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pPr>
      <w:r>
        <w:tab/>
        <w:t>(b)</w:t>
      </w:r>
      <w:r>
        <w:tab/>
        <w:t xml:space="preserve">the unencumbered value of the business licence the subject of the transaction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324" w:name="_Toc392162348"/>
      <w:bookmarkStart w:id="325" w:name="_Toc413847149"/>
      <w:r>
        <w:rPr>
          <w:rStyle w:val="CharSectno"/>
        </w:rPr>
        <w:t>85</w:t>
      </w:r>
      <w:r>
        <w:t>.</w:t>
      </w:r>
      <w:r>
        <w:tab/>
        <w:t>Dutiable value of business asset where principal place of business is in WA</w:t>
      </w:r>
      <w:bookmarkEnd w:id="324"/>
      <w:bookmarkEnd w:id="325"/>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Graphics"/>
        <w:spacing w:before="60"/>
        <w:ind w:left="958"/>
      </w:pPr>
      <w:r>
        <w:rPr>
          <w:position w:val="-24"/>
        </w:rPr>
        <w:object w:dxaOrig="2299" w:dyaOrig="620">
          <v:shape id="_x0000_i1028" type="#_x0000_t75" style="width:114pt;height:31.5pt" o:ole="">
            <v:imagedata r:id="rId26" o:title=""/>
          </v:shape>
          <o:OLEObject Type="Embed" ProgID="Equation.3" ShapeID="_x0000_i1028" DrawAspect="Content" ObjectID="_1643286868" r:id="rId27"/>
        </w:object>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spacing w:before="120"/>
      </w:pPr>
      <w:r>
        <w:tab/>
        <w:t>(i)</w:t>
      </w:r>
      <w:r>
        <w:tab/>
        <w:t xml:space="preserve">there is no consideration for the transaction; or </w:t>
      </w:r>
    </w:p>
    <w:p>
      <w:pPr>
        <w:pStyle w:val="Indenti"/>
        <w:spacing w:before="120"/>
      </w:pPr>
      <w:r>
        <w:tab/>
        <w:t>(ii)</w:t>
      </w:r>
      <w:r>
        <w:tab/>
        <w:t>the consideration cannot be ascertained when liability for duty on the transaction arises; or</w:t>
      </w:r>
    </w:p>
    <w:p>
      <w:pPr>
        <w:pStyle w:val="Indenti"/>
        <w:spacing w:before="12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pPr>
      <w:bookmarkStart w:id="326" w:name="_Toc392162349"/>
      <w:bookmarkStart w:id="327" w:name="_Toc413847150"/>
      <w:r>
        <w:rPr>
          <w:rStyle w:val="CharSectno"/>
        </w:rPr>
        <w:t>86</w:t>
      </w:r>
      <w:r>
        <w:t>.</w:t>
      </w:r>
      <w:r>
        <w:tab/>
        <w:t>Dutiable value of business asset where principal place of business is out of WA</w:t>
      </w:r>
      <w:bookmarkEnd w:id="326"/>
      <w:bookmarkEnd w:id="327"/>
    </w:p>
    <w:p>
      <w:pPr>
        <w:pStyle w:val="Subsection"/>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Graphics"/>
        <w:spacing w:before="60"/>
        <w:ind w:left="907"/>
      </w:pPr>
      <w:r>
        <w:rPr>
          <w:position w:val="-24"/>
        </w:rPr>
        <w:object w:dxaOrig="1960" w:dyaOrig="620">
          <v:shape id="_x0000_i1029" type="#_x0000_t75" style="width:98.25pt;height:31.5pt" o:ole="">
            <v:imagedata r:id="rId28" o:title=""/>
          </v:shape>
          <o:OLEObject Type="Embed" ProgID="Equation.3" ShapeID="_x0000_i1029" DrawAspect="Content" ObjectID="_1643286869" r:id="rId29"/>
        </w:object>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328" w:name="_Toc389126359"/>
      <w:bookmarkStart w:id="329" w:name="_Toc392162350"/>
      <w:bookmarkStart w:id="330" w:name="_Toc412734846"/>
      <w:bookmarkStart w:id="331" w:name="_Toc412735269"/>
      <w:bookmarkStart w:id="332" w:name="_Toc412819285"/>
      <w:bookmarkStart w:id="333" w:name="_Toc413830042"/>
      <w:bookmarkStart w:id="334" w:name="_Toc413847151"/>
      <w:r>
        <w:rPr>
          <w:sz w:val="26"/>
        </w:rPr>
        <w:t>Division 6 — Conditional agreements</w:t>
      </w:r>
      <w:bookmarkEnd w:id="328"/>
      <w:bookmarkEnd w:id="329"/>
      <w:bookmarkEnd w:id="330"/>
      <w:bookmarkEnd w:id="331"/>
      <w:bookmarkEnd w:id="332"/>
      <w:bookmarkEnd w:id="333"/>
      <w:bookmarkEnd w:id="334"/>
    </w:p>
    <w:p>
      <w:pPr>
        <w:pStyle w:val="Heading5"/>
      </w:pPr>
      <w:bookmarkStart w:id="335" w:name="_Toc392162351"/>
      <w:bookmarkStart w:id="336" w:name="_Toc413847152"/>
      <w:r>
        <w:rPr>
          <w:rStyle w:val="CharSectno"/>
        </w:rPr>
        <w:t>87</w:t>
      </w:r>
      <w:r>
        <w:t>.</w:t>
      </w:r>
      <w:r>
        <w:tab/>
        <w:t>References to conditional agreement</w:t>
      </w:r>
      <w:bookmarkEnd w:id="335"/>
      <w:bookmarkEnd w:id="336"/>
    </w:p>
    <w:p>
      <w:pPr>
        <w:pStyle w:val="Subsection"/>
      </w:pPr>
      <w:r>
        <w:tab/>
        <w:t>(1)</w:t>
      </w:r>
      <w:r>
        <w:tab/>
        <w:t xml:space="preserve">A reference to a conditional agreement is to an agreement for the transfer of dutiable property where — </w:t>
      </w:r>
    </w:p>
    <w:p>
      <w:pPr>
        <w:pStyle w:val="Indenta"/>
      </w:pPr>
      <w:r>
        <w:tab/>
        <w:t>(a)</w:t>
      </w:r>
      <w:r>
        <w:tab/>
        <w:t>completion of the agreement is conditional on the happening of one or more of the events described in subsection (2) and specified in an instrument effecting or evidencing the agreement; and</w:t>
      </w:r>
    </w:p>
    <w:p>
      <w:pPr>
        <w:pStyle w:val="Indenta"/>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pPr>
      <w:r>
        <w:tab/>
        <w:t>(c)</w:t>
      </w:r>
      <w:r>
        <w:tab/>
        <w:t>a person related to a party to the agreement does not have control over the happening of the event,</w:t>
      </w:r>
    </w:p>
    <w:p>
      <w:pPr>
        <w:pStyle w:val="Subsection"/>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(ii)</w:t>
      </w:r>
      <w:r>
        <w:tab/>
        <w:t>the registration of a strata/survey</w:t>
      </w:r>
      <w:r>
        <w:noBreakHyphen/>
        <w:t xml:space="preserve">strata plan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spacing w:before="80"/>
      </w:pPr>
      <w:r>
        <w:tab/>
        <w:t>(5)</w:t>
      </w:r>
      <w:r>
        <w:tab/>
        <w:t xml:space="preserve">For the purposes of subsection (1)(c), the following persons are related persons — </w:t>
      </w:r>
    </w:p>
    <w:p>
      <w:pPr>
        <w:pStyle w:val="Indenta"/>
        <w:spacing w:before="60"/>
      </w:pPr>
      <w:r>
        <w:tab/>
        <w:t>(a)</w:t>
      </w:r>
      <w:r>
        <w:tab/>
        <w:t>joint owners of property;</w:t>
      </w:r>
    </w:p>
    <w:p>
      <w:pPr>
        <w:pStyle w:val="Indenta"/>
        <w:spacing w:before="60"/>
      </w:pPr>
      <w:r>
        <w:tab/>
        <w:t>(b)</w:t>
      </w:r>
      <w:r>
        <w:tab/>
        <w:t>individuals who are in partnership with each other;</w:t>
      </w:r>
    </w:p>
    <w:p>
      <w:pPr>
        <w:pStyle w:val="Indenta"/>
        <w:spacing w:before="60"/>
      </w:pPr>
      <w:r>
        <w:tab/>
        <w:t>(c)</w:t>
      </w:r>
      <w:r>
        <w:tab/>
        <w:t>participants in the same joint venture;</w:t>
      </w:r>
    </w:p>
    <w:p>
      <w:pPr>
        <w:pStyle w:val="Indenta"/>
        <w:spacing w:before="60"/>
      </w:pPr>
      <w:r>
        <w:tab/>
        <w:t>(d)</w:t>
      </w:r>
      <w:r>
        <w:tab/>
        <w:t>family members;</w:t>
      </w:r>
    </w:p>
    <w:p>
      <w:pPr>
        <w:pStyle w:val="Indenta"/>
        <w:spacing w:before="60"/>
      </w:pPr>
      <w:r>
        <w:tab/>
        <w:t>(e)</w:t>
      </w:r>
      <w:r>
        <w:tab/>
        <w:t>related corporations;</w:t>
      </w:r>
    </w:p>
    <w:p>
      <w:pPr>
        <w:pStyle w:val="Indenta"/>
        <w:spacing w:before="60"/>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spacing w:before="60"/>
      </w:pPr>
      <w:r>
        <w:tab/>
        <w:t>(g)</w:t>
      </w:r>
      <w:r>
        <w:tab/>
        <w:t>an individual and a corporation, if the individual is a majority shareholder, director or secretary of the corporation or a related corporation;</w:t>
      </w:r>
    </w:p>
    <w:p>
      <w:pPr>
        <w:pStyle w:val="Indenta"/>
        <w:spacing w:before="60"/>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spacing w:before="60"/>
        <w:rPr>
          <w:snapToGrid w:val="0"/>
        </w:rPr>
      </w:pPr>
      <w:r>
        <w:rPr>
          <w:snapToGrid w:val="0"/>
        </w:rPr>
        <w:tab/>
        <w:t>(i)</w:t>
      </w:r>
      <w:r>
        <w:rPr>
          <w:snapToGrid w:val="0"/>
        </w:rPr>
        <w:tab/>
        <w:t xml:space="preserve">a corporation and a trustee if — </w:t>
      </w:r>
    </w:p>
    <w:p>
      <w:pPr>
        <w:pStyle w:val="Indenti"/>
        <w:spacing w:before="60"/>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spacing w:before="60"/>
        <w:rPr>
          <w:snapToGrid w:val="0"/>
        </w:rPr>
      </w:pPr>
      <w:r>
        <w:rPr>
          <w:snapToGrid w:val="0"/>
        </w:rPr>
        <w:tab/>
        <w:t>(ii)</w:t>
      </w:r>
      <w:r>
        <w:rPr>
          <w:snapToGrid w:val="0"/>
        </w:rPr>
        <w:tab/>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spacing w:before="120"/>
      </w:pPr>
      <w:r>
        <w:tab/>
        <w:t>(6)</w:t>
      </w:r>
      <w:r>
        <w:tab/>
        <w:t xml:space="preserve">A reference in subsection (5)(d) to a family member of a person is to — </w:t>
      </w:r>
    </w:p>
    <w:p>
      <w:pPr>
        <w:pStyle w:val="Indenta"/>
        <w:spacing w:before="40"/>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(a), (b), (c) or (d) of a person referred to in paragraph (e); or</w:t>
      </w:r>
    </w:p>
    <w:p>
      <w:pPr>
        <w:pStyle w:val="Indenta"/>
      </w:pPr>
      <w:r>
        <w:tab/>
        <w:t>(g)</w:t>
      </w:r>
      <w:r>
        <w:tab/>
        <w:t>the spouse or de facto partner of a person mentioned in paragraph (a), (b), (c) or (d),</w:t>
      </w:r>
    </w:p>
    <w:p>
      <w:pPr>
        <w:pStyle w:val="Subsection"/>
      </w:pPr>
      <w:r>
        <w:tab/>
      </w:r>
      <w:r>
        <w:tab/>
        <w:t>or more than one of them.</w:t>
      </w:r>
    </w:p>
    <w:p>
      <w:pPr>
        <w:pStyle w:val="Footnotesection"/>
        <w:ind w:left="890" w:hanging="890"/>
      </w:pPr>
      <w:r>
        <w:tab/>
        <w:t>[Section 87 amended by No. 17 of 2010 s. 8.]</w:t>
      </w:r>
    </w:p>
    <w:p>
      <w:pPr>
        <w:pStyle w:val="Heading5"/>
        <w:keepNext w:val="0"/>
        <w:keepLines w:val="0"/>
      </w:pPr>
      <w:bookmarkStart w:id="337" w:name="_Toc392162352"/>
      <w:bookmarkStart w:id="338" w:name="_Toc413847153"/>
      <w:r>
        <w:rPr>
          <w:rStyle w:val="CharSectno"/>
        </w:rPr>
        <w:t>88A</w:t>
      </w:r>
      <w:r>
        <w:t>.</w:t>
      </w:r>
      <w:r>
        <w:tab/>
        <w:t>General conditional agreements, no duty on if terminated on relevant grounds</w:t>
      </w:r>
      <w:bookmarkEnd w:id="337"/>
      <w:bookmarkEnd w:id="338"/>
    </w:p>
    <w:p>
      <w:pPr>
        <w:pStyle w:val="Subsection"/>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pPr>
      <w:r>
        <w:tab/>
        <w:t>[Section 88A inserted by No. 17 of 2010 s. 9.]</w:t>
      </w:r>
    </w:p>
    <w:p>
      <w:pPr>
        <w:pStyle w:val="Heading5"/>
      </w:pPr>
      <w:bookmarkStart w:id="339" w:name="_Toc392162353"/>
      <w:bookmarkStart w:id="340" w:name="_Toc413847154"/>
      <w:r>
        <w:rPr>
          <w:rStyle w:val="CharSectno"/>
        </w:rPr>
        <w:t>88</w:t>
      </w:r>
      <w:r>
        <w:t>.</w:t>
      </w:r>
      <w:r>
        <w:tab/>
        <w:t>References to farming land conditional agreement</w:t>
      </w:r>
      <w:bookmarkEnd w:id="339"/>
      <w:bookmarkEnd w:id="340"/>
    </w:p>
    <w:p>
      <w:pPr>
        <w:pStyle w:val="Subsection"/>
      </w:pPr>
      <w:r>
        <w:tab/>
      </w:r>
      <w:r>
        <w:tab/>
        <w:t>A reference to a farming land conditional agreement is to a conditional agreement the subject of which is solely or dominantly farming land within the meaning of section 99(1).</w:t>
      </w:r>
    </w:p>
    <w:p>
      <w:pPr>
        <w:pStyle w:val="Heading5"/>
        <w:spacing w:before="180"/>
      </w:pPr>
      <w:bookmarkStart w:id="341" w:name="_Toc392162354"/>
      <w:bookmarkStart w:id="342" w:name="_Toc413847155"/>
      <w:r>
        <w:rPr>
          <w:rStyle w:val="CharSectno"/>
        </w:rPr>
        <w:t>89</w:t>
      </w:r>
      <w:r>
        <w:t>.</w:t>
      </w:r>
      <w:r>
        <w:tab/>
        <w:t>References to mining tenement conditional agreement</w:t>
      </w:r>
      <w:bookmarkEnd w:id="341"/>
      <w:bookmarkEnd w:id="342"/>
    </w:p>
    <w:p>
      <w:pPr>
        <w:pStyle w:val="Subsection"/>
      </w:pPr>
      <w:r>
        <w:tab/>
      </w:r>
      <w:r>
        <w:tab/>
        <w:t>A reference to a mining tenement conditional agreement is to a conditional agreement the subject of which is a mining tenement.</w:t>
      </w:r>
    </w:p>
    <w:p>
      <w:pPr>
        <w:pStyle w:val="Heading5"/>
        <w:spacing w:before="180"/>
      </w:pPr>
      <w:bookmarkStart w:id="343" w:name="_Toc392162355"/>
      <w:bookmarkStart w:id="344" w:name="_Toc413847156"/>
      <w:r>
        <w:rPr>
          <w:rStyle w:val="CharSectno"/>
        </w:rPr>
        <w:t>90</w:t>
      </w:r>
      <w:r>
        <w:t>.</w:t>
      </w:r>
      <w:r>
        <w:tab/>
        <w:t>References to issue of title conditional agreement</w:t>
      </w:r>
      <w:bookmarkEnd w:id="343"/>
      <w:bookmarkEnd w:id="344"/>
    </w:p>
    <w:p>
      <w:pPr>
        <w:pStyle w:val="Subsection"/>
      </w:pPr>
      <w:r>
        <w:tab/>
      </w:r>
      <w:r>
        <w:tab/>
        <w:t xml:space="preserve">A reference to an issue of title conditional agreement is to a conditional agreement — </w:t>
      </w:r>
    </w:p>
    <w:p>
      <w:pPr>
        <w:pStyle w:val="Indenta"/>
      </w:pPr>
      <w:r>
        <w:tab/>
        <w:t>(a)</w:t>
      </w:r>
      <w:r>
        <w:tab/>
        <w:t>for the sale of land conditional on the happening of one or more of the events described in section 87(2)(j) or (m); or</w:t>
      </w:r>
    </w:p>
    <w:p>
      <w:pPr>
        <w:pStyle w:val="Indenta"/>
      </w:pPr>
      <w:r>
        <w:tab/>
        <w:t>(b)</w:t>
      </w:r>
      <w:r>
        <w:tab/>
        <w:t xml:space="preserve">for — </w:t>
      </w:r>
    </w:p>
    <w:p>
      <w:pPr>
        <w:pStyle w:val="Indenti"/>
      </w:pPr>
      <w:r>
        <w:tab/>
        <w:t>(i)</w:t>
      </w:r>
      <w:r>
        <w:tab/>
        <w:t>the sale of a strata lot; and</w:t>
      </w:r>
    </w:p>
    <w:p>
      <w:pPr>
        <w:pStyle w:val="Indenti"/>
      </w:pPr>
      <w:r>
        <w:tab/>
        <w:t>(ii)</w:t>
      </w:r>
      <w:r>
        <w:tab/>
        <w:t>the construction on the strata lot, after liability for duty on the agreement arises, of a building for commercial, residential or mixed use purposes.</w:t>
      </w:r>
    </w:p>
    <w:p>
      <w:pPr>
        <w:pStyle w:val="Footnotesection"/>
      </w:pPr>
      <w:r>
        <w:tab/>
        <w:t>[Section 90 inserted by No. 17 of 2010 s. 10.]</w:t>
      </w:r>
    </w:p>
    <w:p>
      <w:pPr>
        <w:pStyle w:val="Heading5"/>
      </w:pPr>
      <w:bookmarkStart w:id="345" w:name="_Toc392162356"/>
      <w:bookmarkStart w:id="346" w:name="_Toc413847157"/>
      <w:r>
        <w:rPr>
          <w:rStyle w:val="CharSectno"/>
        </w:rPr>
        <w:t>91</w:t>
      </w:r>
      <w:r>
        <w:t>.</w:t>
      </w:r>
      <w:r>
        <w:tab/>
        <w:t>References to subdivision conditional agreement</w:t>
      </w:r>
      <w:bookmarkEnd w:id="345"/>
      <w:bookmarkEnd w:id="346"/>
    </w:p>
    <w:p>
      <w:pPr>
        <w:pStyle w:val="Subsection"/>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3"/>
        <w:rPr>
          <w:sz w:val="28"/>
        </w:rPr>
      </w:pPr>
      <w:bookmarkStart w:id="347" w:name="_Toc389126366"/>
      <w:bookmarkStart w:id="348" w:name="_Toc392162357"/>
      <w:bookmarkStart w:id="349" w:name="_Toc412734853"/>
      <w:bookmarkStart w:id="350" w:name="_Toc412735276"/>
      <w:bookmarkStart w:id="351" w:name="_Toc412819292"/>
      <w:bookmarkStart w:id="352" w:name="_Toc413830049"/>
      <w:bookmarkStart w:id="353" w:name="_Toc413847158"/>
      <w:r>
        <w:rPr>
          <w:rStyle w:val="CharDivNo"/>
          <w:sz w:val="28"/>
        </w:rPr>
        <w:t>Part 6</w:t>
      </w:r>
      <w:r>
        <w:rPr>
          <w:sz w:val="28"/>
        </w:rPr>
        <w:t> — </w:t>
      </w:r>
      <w:r>
        <w:rPr>
          <w:rStyle w:val="CharDivText"/>
          <w:sz w:val="28"/>
        </w:rPr>
        <w:t>Exemptions, nominal duty and concessions</w:t>
      </w:r>
      <w:bookmarkEnd w:id="347"/>
      <w:bookmarkEnd w:id="348"/>
      <w:bookmarkEnd w:id="349"/>
      <w:bookmarkEnd w:id="350"/>
      <w:bookmarkEnd w:id="351"/>
      <w:bookmarkEnd w:id="352"/>
      <w:bookmarkEnd w:id="353"/>
    </w:p>
    <w:p>
      <w:pPr>
        <w:pStyle w:val="Heading4"/>
        <w:rPr>
          <w:sz w:val="26"/>
        </w:rPr>
      </w:pPr>
      <w:bookmarkStart w:id="354" w:name="_Toc389126367"/>
      <w:bookmarkStart w:id="355" w:name="_Toc392162358"/>
      <w:bookmarkStart w:id="356" w:name="_Toc412734854"/>
      <w:bookmarkStart w:id="357" w:name="_Toc412735277"/>
      <w:bookmarkStart w:id="358" w:name="_Toc412819293"/>
      <w:bookmarkStart w:id="359" w:name="_Toc413830050"/>
      <w:bookmarkStart w:id="360" w:name="_Toc413847159"/>
      <w:r>
        <w:rPr>
          <w:sz w:val="26"/>
        </w:rPr>
        <w:t>Division 1 — Exemptions</w:t>
      </w:r>
      <w:bookmarkEnd w:id="354"/>
      <w:bookmarkEnd w:id="355"/>
      <w:bookmarkEnd w:id="356"/>
      <w:bookmarkEnd w:id="357"/>
      <w:bookmarkEnd w:id="358"/>
      <w:bookmarkEnd w:id="359"/>
      <w:bookmarkEnd w:id="360"/>
    </w:p>
    <w:p>
      <w:pPr>
        <w:pStyle w:val="MiscellaneousHeading"/>
        <w:spacing w:before="240"/>
        <w:rPr>
          <w:b/>
          <w:bCs/>
        </w:rPr>
      </w:pPr>
      <w:r>
        <w:rPr>
          <w:b/>
          <w:bCs/>
        </w:rPr>
        <w:t>Subdivision 1 — Exemptions for public and governmental purposes</w:t>
      </w:r>
    </w:p>
    <w:p>
      <w:pPr>
        <w:pStyle w:val="Heading5"/>
      </w:pPr>
      <w:bookmarkStart w:id="361" w:name="_Toc392162359"/>
      <w:bookmarkStart w:id="362" w:name="_Toc413847160"/>
      <w:r>
        <w:rPr>
          <w:rStyle w:val="CharSectno"/>
        </w:rPr>
        <w:t>92</w:t>
      </w:r>
      <w:r>
        <w:t>.</w:t>
      </w:r>
      <w:r>
        <w:tab/>
        <w:t>Public authorities, declaration of as exempt bodies</w:t>
      </w:r>
      <w:bookmarkEnd w:id="361"/>
      <w:bookmarkEnd w:id="362"/>
    </w:p>
    <w:p>
      <w:pPr>
        <w:pStyle w:val="Subsection"/>
      </w:pPr>
      <w:r>
        <w:tab/>
        <w:t>(1)</w:t>
      </w:r>
      <w:r>
        <w:tab/>
        <w:t>The Minister may declare a public authority to be an exempt body for the purposes of this Subdivision.</w:t>
      </w:r>
    </w:p>
    <w:p>
      <w:pPr>
        <w:pStyle w:val="NotesPerm"/>
        <w:tabs>
          <w:tab w:val="left" w:pos="1418"/>
        </w:tabs>
        <w:ind w:left="1418" w:hanging="1418"/>
      </w:pPr>
      <w:r>
        <w:tab/>
        <w:t>Note:</w:t>
      </w:r>
      <w:r>
        <w:tab/>
        <w:t xml:space="preserve">There are other exempt bodies.  See the definition of </w:t>
      </w:r>
      <w:r>
        <w:rPr>
          <w:b/>
          <w:i/>
        </w:rPr>
        <w:t>exempt body</w:t>
      </w:r>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363" w:name="_Toc392162360"/>
      <w:bookmarkStart w:id="364" w:name="_Toc413847161"/>
      <w:r>
        <w:rPr>
          <w:rStyle w:val="CharSectno"/>
        </w:rPr>
        <w:t>93</w:t>
      </w:r>
      <w:r>
        <w:t>.</w:t>
      </w:r>
      <w:r>
        <w:tab/>
        <w:t>Transactions for which exempt body would be solely liable</w:t>
      </w:r>
      <w:bookmarkEnd w:id="363"/>
      <w:bookmarkEnd w:id="364"/>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365" w:name="_Toc392162361"/>
      <w:bookmarkStart w:id="366" w:name="_Toc413847162"/>
      <w:r>
        <w:rPr>
          <w:rStyle w:val="CharSectno"/>
        </w:rPr>
        <w:t>94</w:t>
      </w:r>
      <w:r>
        <w:t>.</w:t>
      </w:r>
      <w:r>
        <w:tab/>
        <w:t>Transactions for which exempt body and another party would be liable, duty reduction for etc.</w:t>
      </w:r>
      <w:bookmarkEnd w:id="365"/>
      <w:bookmarkEnd w:id="366"/>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1200"/>
      </w:pPr>
      <w:r>
        <w:rPr>
          <w:position w:val="-10"/>
        </w:rPr>
        <w:object w:dxaOrig="2100" w:dyaOrig="320">
          <v:shape id="_x0000_i1030" type="#_x0000_t75" style="width:105.75pt;height:14.25pt" o:ole="">
            <v:imagedata r:id="rId30" o:title=""/>
          </v:shape>
          <o:OLEObject Type="Embed" ProgID="Equation.3" ShapeID="_x0000_i1030" DrawAspect="Content" ObjectID="_1643286870" r:id="rId31"/>
        </w:object>
      </w:r>
    </w:p>
    <w:p>
      <w:pPr>
        <w:pStyle w:val="Subsection"/>
      </w:pPr>
      <w:r>
        <w:tab/>
      </w:r>
      <w:r>
        <w:tab/>
        <w:t>where —</w:t>
      </w:r>
    </w:p>
    <w:p>
      <w:pPr>
        <w:pStyle w:val="Subsection"/>
        <w:spacing w:before="80"/>
      </w:pPr>
      <w:r>
        <w:tab/>
      </w:r>
      <w:r>
        <w:tab/>
        <w:t>TD is the amount of duty that would be payable on the transaction if this section did not apply to it;</w:t>
      </w:r>
    </w:p>
    <w:p>
      <w:pPr>
        <w:pStyle w:val="Subsection"/>
        <w:spacing w:before="80"/>
      </w:pPr>
      <w:r>
        <w:tab/>
      </w:r>
      <w:r>
        <w:tab/>
        <w:t>EI is —</w:t>
      </w:r>
    </w:p>
    <w:p>
      <w:pPr>
        <w:pStyle w:val="Indenta"/>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pPr>
      <w:r>
        <w:tab/>
        <w:t>(4)</w:t>
      </w:r>
      <w:r>
        <w:tab/>
        <w:t>The amount of duty payable by any party referred to in subsection (1)(b) is the amount AD determined under subsection (3).</w:t>
      </w:r>
    </w:p>
    <w:p>
      <w:pPr>
        <w:pStyle w:val="NotesPerm"/>
        <w:tabs>
          <w:tab w:val="left" w:pos="1418"/>
        </w:tabs>
        <w:spacing w:before="120"/>
        <w:ind w:left="1418" w:hanging="1418"/>
      </w:pPr>
      <w:r>
        <w:tab/>
        <w:t>Note:</w:t>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NotesPerm"/>
        <w:tabs>
          <w:tab w:val="left" w:pos="1418"/>
        </w:tabs>
        <w:spacing w:before="80"/>
        <w:ind w:left="1418" w:hanging="1418"/>
      </w:pPr>
      <w:r>
        <w:tab/>
      </w:r>
      <w:r>
        <w:tab/>
      </w:r>
      <w:r>
        <w:rPr>
          <w:position w:val="-22"/>
        </w:rPr>
        <w:object w:dxaOrig="3460" w:dyaOrig="520">
          <v:shape id="_x0000_i1031" type="#_x0000_t75" style="width:173.25pt;height:26.25pt" o:ole="">
            <v:imagedata r:id="rId32" o:title=""/>
          </v:shape>
          <o:OLEObject Type="Embed" ProgID="Equation.3" ShapeID="_x0000_i1031" DrawAspect="Content" ObjectID="_1643286871" r:id="rId33"/>
        </w:object>
      </w:r>
    </w:p>
    <w:p>
      <w:pPr>
        <w:pStyle w:val="NotesPerm"/>
        <w:tabs>
          <w:tab w:val="left" w:pos="1418"/>
        </w:tabs>
        <w:spacing w:before="80"/>
        <w:ind w:left="1418" w:hanging="1418"/>
      </w:pPr>
      <w:r>
        <w:tab/>
      </w:r>
      <w:r>
        <w:tab/>
        <w:t>This amount (i.e. $1 800) is the amount of transfer duty payable by the other party.</w:t>
      </w:r>
    </w:p>
    <w:p>
      <w:pPr>
        <w:pStyle w:val="Heading5"/>
      </w:pPr>
      <w:bookmarkStart w:id="367" w:name="_Toc392162362"/>
      <w:bookmarkStart w:id="368" w:name="_Toc413847163"/>
      <w:r>
        <w:rPr>
          <w:rStyle w:val="CharSectno"/>
        </w:rPr>
        <w:t>95</w:t>
      </w:r>
      <w:r>
        <w:t>.</w:t>
      </w:r>
      <w:r>
        <w:tab/>
        <w:t>Transactions for charitable etc. purposes</w:t>
      </w:r>
      <w:bookmarkEnd w:id="367"/>
      <w:bookmarkEnd w:id="368"/>
    </w:p>
    <w:p>
      <w:pPr>
        <w:pStyle w:val="Subsection"/>
      </w:pPr>
      <w:r>
        <w:tab/>
        <w:t>(1)</w:t>
      </w:r>
      <w:r>
        <w:tab/>
        <w:t>Duty is not chargeable on a dutiable transaction that has been entered into or occurred for charitable or similar public purposes.</w:t>
      </w:r>
    </w:p>
    <w:p>
      <w:pPr>
        <w:pStyle w:val="Subsection"/>
      </w:pPr>
      <w:r>
        <w:tab/>
        <w:t>(2)</w:t>
      </w:r>
      <w:r>
        <w:tab/>
        <w:t>However, subsection (1) does not apply if the person liable to pay duty on the dutiable transaction is a relevant body, or is related to a relevant body as referred to in subsection (3), unless a beneficial body determination is in force for the purposes of this Act in respect of the relevant body.</w:t>
      </w:r>
    </w:p>
    <w:p>
      <w:pPr>
        <w:pStyle w:val="Subsection"/>
      </w:pPr>
      <w:r>
        <w:tab/>
        <w:t>(3)</w:t>
      </w:r>
      <w:r>
        <w:tab/>
        <w:t xml:space="preserve">A person liable to pay duty on a dutiable transaction is related to a relevant body if — </w:t>
      </w:r>
    </w:p>
    <w:p>
      <w:pPr>
        <w:pStyle w:val="Indenta"/>
      </w:pPr>
      <w:r>
        <w:tab/>
        <w:t>(a)</w:t>
      </w:r>
      <w:r>
        <w:tab/>
        <w:t>the person holds the dutiable property the subject of the transaction as trustee of a trust; and</w:t>
      </w:r>
    </w:p>
    <w:p>
      <w:pPr>
        <w:pStyle w:val="Indenta"/>
      </w:pPr>
      <w:r>
        <w:tab/>
        <w:t>(b)</w:t>
      </w:r>
      <w:r>
        <w:tab/>
        <w:t xml:space="preserve">the relevant body is a beneficiary under the trust, whether the relevant body has a vested share or is contingently entitled or is a potential beneficiary under a discretionary trust, unless — </w:t>
      </w:r>
    </w:p>
    <w:p>
      <w:pPr>
        <w:pStyle w:val="Indenti"/>
      </w:pPr>
      <w:r>
        <w:tab/>
        <w:t>(i)</w:t>
      </w:r>
      <w:r>
        <w:tab/>
        <w:t>the trust is a discretionary trust; and</w:t>
      </w:r>
    </w:p>
    <w:p>
      <w:pPr>
        <w:pStyle w:val="Indenti"/>
      </w:pPr>
      <w:r>
        <w:tab/>
        <w:t>(ii)</w:t>
      </w:r>
      <w:r>
        <w:tab/>
        <w:t>the Commissioner decides in a particular case that it would be inequitable for the person to be treated as related to the relevant body.</w:t>
      </w:r>
    </w:p>
    <w:p>
      <w:pPr>
        <w:pStyle w:val="Footnotesection"/>
      </w:pPr>
      <w:r>
        <w:tab/>
        <w:t>[Section 95 amended by No. 8 of 2015 s. 5.]</w:t>
      </w:r>
    </w:p>
    <w:p>
      <w:pPr>
        <w:pStyle w:val="Heading5"/>
      </w:pPr>
      <w:bookmarkStart w:id="369" w:name="_Toc412808316"/>
      <w:bookmarkStart w:id="370" w:name="_Toc413753251"/>
      <w:bookmarkStart w:id="371" w:name="_Toc413761764"/>
      <w:bookmarkStart w:id="372" w:name="_Toc413847164"/>
      <w:r>
        <w:rPr>
          <w:rStyle w:val="CharSectno"/>
        </w:rPr>
        <w:t>96A</w:t>
      </w:r>
      <w:r>
        <w:t>.</w:t>
      </w:r>
      <w:r>
        <w:tab/>
        <w:t>What is a relevant body</w:t>
      </w:r>
      <w:bookmarkEnd w:id="369"/>
      <w:bookmarkEnd w:id="370"/>
      <w:bookmarkEnd w:id="371"/>
      <w:bookmarkEnd w:id="372"/>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is a related body corporate, as defined in the Corporations Act section 9,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pPr>
      <w:r>
        <w:tab/>
        <w:t>[Section 96A inserted by No. 8 of 2015 s. 6.]</w:t>
      </w:r>
    </w:p>
    <w:p>
      <w:pPr>
        <w:pStyle w:val="Heading5"/>
      </w:pPr>
      <w:bookmarkStart w:id="373" w:name="_Toc412808317"/>
      <w:bookmarkStart w:id="374" w:name="_Toc413753252"/>
      <w:bookmarkStart w:id="375" w:name="_Toc413761765"/>
      <w:bookmarkStart w:id="376" w:name="_Toc413847165"/>
      <w:r>
        <w:rPr>
          <w:rStyle w:val="CharSectno"/>
        </w:rPr>
        <w:t>96B</w:t>
      </w:r>
      <w:r>
        <w:t>.</w:t>
      </w:r>
      <w:r>
        <w:tab/>
        <w:t>Application for a beneficial body determination</w:t>
      </w:r>
      <w:bookmarkEnd w:id="373"/>
      <w:bookmarkEnd w:id="374"/>
      <w:bookmarkEnd w:id="375"/>
      <w:bookmarkEnd w:id="376"/>
    </w:p>
    <w:p>
      <w:pPr>
        <w:pStyle w:val="Subsection"/>
      </w:pPr>
      <w:r>
        <w:tab/>
        <w:t>(1)</w:t>
      </w:r>
      <w:r>
        <w:tab/>
        <w:t xml:space="preserve">An application may be made to the Minister for a determination under section 96C that a relevant body is a beneficial body for the purposes of the taxation Acts if — </w:t>
      </w:r>
    </w:p>
    <w:p>
      <w:pPr>
        <w:pStyle w:val="Indenta"/>
      </w:pPr>
      <w:r>
        <w:tab/>
        <w:t>(a)</w:t>
      </w:r>
      <w:r>
        <w:tab/>
        <w:t xml:space="preserve">the Commissioner has decided (the </w:t>
      </w:r>
      <w:r>
        <w:rPr>
          <w:rStyle w:val="CharDefText"/>
        </w:rPr>
        <w:t>decision</w:t>
      </w:r>
      <w:r>
        <w:t xml:space="preserve">) that — </w:t>
      </w:r>
    </w:p>
    <w:p>
      <w:pPr>
        <w:pStyle w:val="Indenti"/>
      </w:pPr>
      <w:r>
        <w:tab/>
        <w:t>(i)</w:t>
      </w:r>
      <w:r>
        <w:tab/>
        <w:t>a dutiable transaction is not an exempt transaction under section 95; or</w:t>
      </w:r>
    </w:p>
    <w:p>
      <w:pPr>
        <w:pStyle w:val="Indenti"/>
      </w:pPr>
      <w:r>
        <w:tab/>
        <w:t>(ii)</w:t>
      </w:r>
      <w:r>
        <w:tab/>
        <w:t>an acquisition is not exempt under section 168(1) because the transfer referred to in that section would not be an exempt transaction under section 95;</w:t>
      </w:r>
    </w:p>
    <w:p>
      <w:pPr>
        <w:pStyle w:val="Indenta"/>
      </w:pPr>
      <w:r>
        <w:tab/>
      </w:r>
      <w:r>
        <w:tab/>
        <w:t>and</w:t>
      </w:r>
    </w:p>
    <w:p>
      <w:pPr>
        <w:pStyle w:val="Indenta"/>
      </w:pPr>
      <w:r>
        <w:tab/>
        <w:t>(b)</w:t>
      </w:r>
      <w:r>
        <w:tab/>
        <w:t xml:space="preserve">that decision is made solely on the ground that the person liable to pay duty on the dutiable transaction, or who would be liable to pay duty on the transfer, is — </w:t>
      </w:r>
    </w:p>
    <w:p>
      <w:pPr>
        <w:pStyle w:val="Indenti"/>
      </w:pPr>
      <w:r>
        <w:tab/>
        <w:t>(i)</w:t>
      </w:r>
      <w:r>
        <w:tab/>
        <w:t xml:space="preserve">a relevant body referred to in section 96A(c), (d), (e) or (f); or </w:t>
      </w:r>
    </w:p>
    <w:p>
      <w:pPr>
        <w:pStyle w:val="Indenti"/>
      </w:pPr>
      <w:r>
        <w:tab/>
        <w:t>(ii)</w:t>
      </w:r>
      <w:r>
        <w:tab/>
        <w:t>related to such a relevant body as referred to in section 95(3).</w:t>
      </w:r>
    </w:p>
    <w:p>
      <w:pPr>
        <w:pStyle w:val="Subsection"/>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Taxation Administration Act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under the Taxation Administration Act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bookmarkStart w:id="377" w:name="_Toc412808318"/>
      <w:bookmarkStart w:id="378" w:name="_Toc413753253"/>
      <w:bookmarkStart w:id="379" w:name="_Toc413761766"/>
      <w:r>
        <w:tab/>
        <w:t>[Section 96B inserted by No. 8 of 2015 s. 6.]</w:t>
      </w:r>
    </w:p>
    <w:p>
      <w:pPr>
        <w:pStyle w:val="Heading5"/>
      </w:pPr>
      <w:bookmarkStart w:id="380" w:name="_Toc413847166"/>
      <w:r>
        <w:rPr>
          <w:rStyle w:val="CharSectno"/>
        </w:rPr>
        <w:t>96C</w:t>
      </w:r>
      <w:r>
        <w:t>.</w:t>
      </w:r>
      <w:r>
        <w:tab/>
        <w:t>Beneficial body determination</w:t>
      </w:r>
      <w:bookmarkEnd w:id="377"/>
      <w:bookmarkEnd w:id="378"/>
      <w:bookmarkEnd w:id="379"/>
      <w:bookmarkEnd w:id="380"/>
    </w:p>
    <w:p>
      <w:pPr>
        <w:pStyle w:val="Subsection"/>
      </w:pPr>
      <w:r>
        <w:tab/>
        <w:t>(1)</w:t>
      </w:r>
      <w:r>
        <w:tab/>
        <w:t>On an application under section 96B the Minister, with the Treasurer’s concurrence, may determine that a relevant body is a beneficial body for the purposes of the taxation Acts.</w:t>
      </w:r>
    </w:p>
    <w:p>
      <w:pPr>
        <w:pStyle w:val="Subsection"/>
      </w:pPr>
      <w:r>
        <w:tab/>
        <w:t>(2)</w:t>
      </w:r>
      <w:r>
        <w:tab/>
        <w:t>The Minister, with the Treasurer’s concurrence, may amend or revoke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 xml:space="preserve">The Minister must — </w:t>
      </w:r>
    </w:p>
    <w:p>
      <w:pPr>
        <w:pStyle w:val="Indenta"/>
      </w:pPr>
      <w:r>
        <w:tab/>
        <w:t>(a)</w:t>
      </w:r>
      <w:r>
        <w:tab/>
        <w:t>provide written reasons to the applicant for a decision in relation to an application under section 96B;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Land Tax Assessment Act 2002</w:t>
      </w:r>
      <w:r>
        <w:t xml:space="preserve"> and the </w:t>
      </w:r>
      <w:r>
        <w:rPr>
          <w:i/>
        </w:rPr>
        <w:t>Pay</w:t>
      </w:r>
      <w:r>
        <w:rPr>
          <w:i/>
        </w:rPr>
        <w:noBreakHyphen/>
        <w:t>roll Tax Assessment Act 2002</w:t>
      </w:r>
      <w:r>
        <w:t> —</w:t>
      </w:r>
      <w:r>
        <w:rPr>
          <w:i/>
        </w:rPr>
        <w:t xml:space="preserve"> </w:t>
      </w:r>
      <w:r>
        <w:t>on the day specified in the notice in respect of each Act.</w:t>
      </w:r>
    </w:p>
    <w:p>
      <w:pPr>
        <w:pStyle w:val="Subsection"/>
      </w:pPr>
      <w:r>
        <w:tab/>
        <w:t>(8)</w:t>
      </w:r>
      <w:r>
        <w:tab/>
        <w:t xml:space="preserve">Despite subsection (7)(a), a beneficial body determination made under this section applies in relation to the relevant body in respect of — </w:t>
      </w:r>
    </w:p>
    <w:p>
      <w:pPr>
        <w:pStyle w:val="Indenta"/>
      </w:pPr>
      <w:r>
        <w:tab/>
        <w:t>(a)</w:t>
      </w:r>
      <w:r>
        <w:tab/>
        <w:t xml:space="preserve">the dutiable transaction, or acquisition, that is the subject of the application under section 96B (the </w:t>
      </w:r>
      <w:r>
        <w:rPr>
          <w:rStyle w:val="CharDefText"/>
        </w:rPr>
        <w:t>original transaction</w:t>
      </w:r>
      <w:r>
        <w:t>); and</w:t>
      </w:r>
    </w:p>
    <w:p>
      <w:pPr>
        <w:pStyle w:val="Indenta"/>
      </w:pPr>
      <w:r>
        <w:tab/>
        <w:t>(b)</w:t>
      </w:r>
      <w:r>
        <w:tab/>
        <w:t xml:space="preserve">any other transaction — </w:t>
      </w:r>
    </w:p>
    <w:p>
      <w:pPr>
        <w:pStyle w:val="Indenti"/>
      </w:pPr>
      <w:r>
        <w:tab/>
        <w:t>(i)</w:t>
      </w:r>
      <w:r>
        <w:tab/>
        <w:t>that was entered into or occurred after the original transaction but before the determination was made; and</w:t>
      </w:r>
    </w:p>
    <w:p>
      <w:pPr>
        <w:pStyle w:val="Indenti"/>
      </w:pPr>
      <w:r>
        <w:tab/>
        <w:t>(ii)</w:t>
      </w:r>
      <w:r>
        <w:tab/>
        <w:t xml:space="preserve">on which duty would not have been chargeable under section 95 (including for the purposes of section 168) had the determination been in force for the purposes of this Act in respect of the relevant body. </w:t>
      </w:r>
    </w:p>
    <w:p>
      <w:pPr>
        <w:pStyle w:val="Subsection"/>
      </w:pPr>
      <w:r>
        <w:tab/>
        <w:t>(9)</w:t>
      </w:r>
      <w:r>
        <w:tab/>
        <w:t>The Commissioner is to reassess the liability to duty of each transaction in respect of which a beneficial body determination applies under subsection (8).</w:t>
      </w:r>
    </w:p>
    <w:p>
      <w:pPr>
        <w:pStyle w:val="Subsection"/>
      </w:pPr>
      <w:r>
        <w:tab/>
        <w:t>(10)</w:t>
      </w:r>
      <w:r>
        <w:tab/>
        <w:t>The limitations as to time in the Taxation Administration Act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96C inserted by No. 8 of 2015 s. 6.]</w:t>
      </w:r>
    </w:p>
    <w:p>
      <w:pPr>
        <w:pStyle w:val="MiscellaneousHeading"/>
        <w:spacing w:before="240"/>
        <w:rPr>
          <w:b/>
          <w:bCs/>
        </w:rPr>
      </w:pPr>
      <w:r>
        <w:rPr>
          <w:b/>
          <w:bCs/>
        </w:rPr>
        <w:t>Subdivision 2 — Certain transactions between spouses or de facto partners</w:t>
      </w:r>
    </w:p>
    <w:p>
      <w:pPr>
        <w:pStyle w:val="Heading5"/>
        <w:spacing w:before="240"/>
      </w:pPr>
      <w:bookmarkStart w:id="381" w:name="_Toc392162363"/>
      <w:bookmarkStart w:id="382" w:name="_Toc413847167"/>
      <w:r>
        <w:rPr>
          <w:rStyle w:val="CharSectno"/>
        </w:rPr>
        <w:t>96</w:t>
      </w:r>
      <w:r>
        <w:t>.</w:t>
      </w:r>
      <w:r>
        <w:tab/>
        <w:t>Terms used</w:t>
      </w:r>
      <w:bookmarkEnd w:id="381"/>
      <w:bookmarkEnd w:id="382"/>
    </w:p>
    <w:p>
      <w:pPr>
        <w:pStyle w:val="Subsection"/>
        <w:spacing w:before="180"/>
      </w:pPr>
      <w:r>
        <w:tab/>
      </w:r>
      <w:r>
        <w:tab/>
        <w:t xml:space="preserve">In this Subdivision — </w:t>
      </w:r>
    </w:p>
    <w:p>
      <w:pPr>
        <w:pStyle w:val="Defstart"/>
        <w:spacing w:before="120"/>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pPr>
      <w:r>
        <w:rPr>
          <w:b/>
        </w:rPr>
        <w:tab/>
      </w:r>
      <w:r>
        <w:rPr>
          <w:rStyle w:val="CharDefText"/>
        </w:rPr>
        <w:t>residence</w:t>
      </w:r>
      <w:r>
        <w:t xml:space="preserve"> includes flat, apartment or other residential unit.</w:t>
      </w:r>
    </w:p>
    <w:p>
      <w:pPr>
        <w:pStyle w:val="Heading5"/>
        <w:spacing w:before="240"/>
      </w:pPr>
      <w:bookmarkStart w:id="383" w:name="_Toc392162364"/>
      <w:bookmarkStart w:id="384" w:name="_Toc413847168"/>
      <w:r>
        <w:rPr>
          <w:rStyle w:val="CharSectno"/>
        </w:rPr>
        <w:t>97</w:t>
      </w:r>
      <w:r>
        <w:t>.</w:t>
      </w:r>
      <w:r>
        <w:tab/>
        <w:t>Some transactions between spouses or de facto partners</w:t>
      </w:r>
      <w:bookmarkEnd w:id="383"/>
      <w:bookmarkEnd w:id="384"/>
    </w:p>
    <w:p>
      <w:pPr>
        <w:pStyle w:val="Subsection"/>
        <w:spacing w:before="180"/>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spacing w:before="60"/>
      </w:pPr>
      <w:r>
        <w:tab/>
        <w:t>(d)</w:t>
      </w:r>
      <w:r>
        <w:tab/>
        <w:t>the person from whom the dutiable property is transferred, or agreed to be transferred, is the sole owner of the property; and</w:t>
      </w:r>
    </w:p>
    <w:p>
      <w:pPr>
        <w:pStyle w:val="Indenta"/>
        <w:spacing w:before="60"/>
      </w:pPr>
      <w:r>
        <w:tab/>
        <w:t>(e)</w:t>
      </w:r>
      <w:r>
        <w:tab/>
        <w:t>the result of the transaction is or will be that the dutiable property is owned solely by the persons referred to in paragraph (a) as joint tenants or tenants in common in equal shares.</w:t>
      </w:r>
    </w:p>
    <w:p>
      <w:pPr>
        <w:pStyle w:val="Heading5"/>
        <w:spacing w:before="240"/>
      </w:pPr>
      <w:bookmarkStart w:id="385" w:name="_Toc392162365"/>
      <w:bookmarkStart w:id="386" w:name="_Toc413847169"/>
      <w:r>
        <w:rPr>
          <w:rStyle w:val="CharSectno"/>
        </w:rPr>
        <w:t>98</w:t>
      </w:r>
      <w:r>
        <w:t>.</w:t>
      </w:r>
      <w:r>
        <w:tab/>
        <w:t>Application for exemption under this Subdivision</w:t>
      </w:r>
      <w:bookmarkEnd w:id="385"/>
      <w:bookmarkEnd w:id="386"/>
    </w:p>
    <w:p>
      <w:pPr>
        <w:pStyle w:val="Subsection"/>
        <w:spacing w:before="180"/>
      </w:pPr>
      <w:r>
        <w:tab/>
      </w:r>
      <w:r>
        <w:tab/>
        <w:t xml:space="preserve">An application for assessment or reassessment under this Subdivision must be — </w:t>
      </w:r>
    </w:p>
    <w:p>
      <w:pPr>
        <w:pStyle w:val="Indenta"/>
        <w:spacing w:before="60"/>
      </w:pPr>
      <w:r>
        <w:tab/>
        <w:t>(a)</w:t>
      </w:r>
      <w:r>
        <w:tab/>
        <w:t>made in the approved form by the persons referred to in section 97(a); and</w:t>
      </w:r>
    </w:p>
    <w:p>
      <w:pPr>
        <w:pStyle w:val="Indenta"/>
        <w:spacing w:before="60"/>
      </w:pPr>
      <w:r>
        <w:tab/>
        <w:t>(b)</w:t>
      </w:r>
      <w:r>
        <w:tab/>
        <w:t>accompanied by such transaction record for the transaction as is required to be lodged under section 23.</w:t>
      </w:r>
    </w:p>
    <w:p>
      <w:pPr>
        <w:pStyle w:val="MiscellaneousHeading"/>
        <w:spacing w:before="260"/>
        <w:rPr>
          <w:b/>
          <w:bCs/>
        </w:rPr>
      </w:pPr>
      <w:r>
        <w:rPr>
          <w:b/>
          <w:bCs/>
        </w:rPr>
        <w:t>Subdivision 3 — Family farm transactions</w:t>
      </w:r>
    </w:p>
    <w:p>
      <w:pPr>
        <w:pStyle w:val="Heading5"/>
        <w:spacing w:before="240"/>
      </w:pPr>
      <w:bookmarkStart w:id="387" w:name="_Toc392162366"/>
      <w:bookmarkStart w:id="388" w:name="_Toc413847170"/>
      <w:r>
        <w:rPr>
          <w:rStyle w:val="CharSectno"/>
        </w:rPr>
        <w:t>99</w:t>
      </w:r>
      <w:r>
        <w:t>.</w:t>
      </w:r>
      <w:r>
        <w:tab/>
        <w:t>Terms used</w:t>
      </w:r>
      <w:bookmarkEnd w:id="387"/>
      <w:bookmarkEnd w:id="388"/>
    </w:p>
    <w:p>
      <w:pPr>
        <w:pStyle w:val="Subsection"/>
        <w:spacing w:before="180"/>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t>
      </w:r>
      <w:smartTag w:uri="urn:schemas-microsoft-com:office:smarttags" w:element="place">
        <w:smartTag w:uri="urn:schemas-microsoft-com:office:smarttags" w:element="State">
          <w:r>
            <w:t>Western Australia</w:t>
          </w:r>
        </w:smartTag>
      </w:smartTag>
      <w:r>
        <w:t xml:space="preserve"> that is used solely or dominantly for the purpose of primary production;</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keepNext/>
        <w:keepLines/>
      </w:pPr>
      <w:r>
        <w:rPr>
          <w:b/>
        </w:rPr>
        <w:tab/>
      </w:r>
      <w:r>
        <w:rPr>
          <w:rStyle w:val="CharDefText"/>
        </w:rPr>
        <w:t>transferor</w:t>
      </w:r>
      <w:r>
        <w:rPr>
          <w:bCs/>
        </w:rPr>
        <w:t>,</w:t>
      </w:r>
      <w:r>
        <w:t xml:space="preserve"> in respect of a dutiable transaction the subject of which is farming property, means — </w:t>
      </w:r>
    </w:p>
    <w:p>
      <w:pPr>
        <w:pStyle w:val="Defpara"/>
        <w:spacing w:before="60"/>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spacing w:before="180"/>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spacing w:before="180"/>
      </w:pPr>
      <w:r>
        <w:tab/>
        <w:t>(3)</w:t>
      </w:r>
      <w:r>
        <w:tab/>
        <w:t>For the purposes of this Subdivision, farming property is the subject of a dutiable transaction that is a partnership acquisition, if the land referred to in section 72 is farming land.</w:t>
      </w:r>
    </w:p>
    <w:p>
      <w:pPr>
        <w:pStyle w:val="Heading5"/>
        <w:spacing w:before="240"/>
      </w:pPr>
      <w:bookmarkStart w:id="389" w:name="_Toc392162367"/>
      <w:bookmarkStart w:id="390" w:name="_Toc413847171"/>
      <w:r>
        <w:rPr>
          <w:rStyle w:val="CharSectno"/>
        </w:rPr>
        <w:t>100</w:t>
      </w:r>
      <w:r>
        <w:t>.</w:t>
      </w:r>
      <w:r>
        <w:tab/>
        <w:t>References to family member</w:t>
      </w:r>
      <w:bookmarkEnd w:id="389"/>
      <w:bookmarkEnd w:id="390"/>
    </w:p>
    <w:p>
      <w:pPr>
        <w:pStyle w:val="Subsection"/>
        <w:spacing w:before="180"/>
      </w:pPr>
      <w:r>
        <w:tab/>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w:t>
      </w:r>
    </w:p>
    <w:p>
      <w:pPr>
        <w:pStyle w:val="Subsection"/>
        <w:spacing w:before="120"/>
      </w:pPr>
      <w:r>
        <w:tab/>
      </w:r>
      <w:r>
        <w:tab/>
        <w:t>or more than one of them.</w:t>
      </w:r>
    </w:p>
    <w:p>
      <w:pPr>
        <w:pStyle w:val="Heading5"/>
      </w:pPr>
      <w:bookmarkStart w:id="391" w:name="_Toc412712818"/>
      <w:bookmarkStart w:id="392" w:name="_Toc412723280"/>
      <w:bookmarkStart w:id="393" w:name="_Toc412732534"/>
      <w:bookmarkStart w:id="394" w:name="_Toc413847172"/>
      <w:bookmarkStart w:id="395" w:name="_Toc392162368"/>
      <w:r>
        <w:rPr>
          <w:rStyle w:val="CharSectno"/>
        </w:rPr>
        <w:t>101A</w:t>
      </w:r>
      <w:r>
        <w:t>.</w:t>
      </w:r>
      <w:r>
        <w:tab/>
        <w:t>References to primary production</w:t>
      </w:r>
      <w:bookmarkEnd w:id="391"/>
      <w:bookmarkEnd w:id="392"/>
      <w:bookmarkEnd w:id="393"/>
      <w:bookmarkEnd w:id="394"/>
    </w:p>
    <w:p>
      <w:pPr>
        <w:pStyle w:val="Subsection"/>
      </w:pPr>
      <w:r>
        <w:tab/>
        <w:t>(1)</w:t>
      </w:r>
      <w:r>
        <w:tab/>
        <w:t xml:space="preserve">A reference to </w:t>
      </w:r>
      <w:r>
        <w:rPr>
          <w:rStyle w:val="CharDefText"/>
        </w:rPr>
        <w:t>primary production</w:t>
      </w:r>
      <w:r>
        <w:t xml:space="preserve"> is a reference to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pPr>
      <w:r>
        <w:tab/>
        <w:t>(2)</w:t>
      </w:r>
      <w:r>
        <w:tab/>
        <w:t xml:space="preserve">In determining whether or not something is primary production — </w:t>
      </w:r>
    </w:p>
    <w:p>
      <w:pPr>
        <w:pStyle w:val="Indenta"/>
      </w:pPr>
      <w:r>
        <w:tab/>
        <w:t>(a)</w:t>
      </w:r>
      <w:r>
        <w:tab/>
        <w:t>it is irrelevant whether a thing is sold, or to be sold, in a natural, processed or converted state; but</w:t>
      </w:r>
    </w:p>
    <w:p>
      <w:pPr>
        <w:pStyle w:val="Indenta"/>
      </w:pPr>
      <w:r>
        <w:tab/>
        <w:t>(b)</w:t>
      </w:r>
      <w:r>
        <w:tab/>
        <w:t>the processing or converting of anything for the purpose of selling it is not primary production.</w:t>
      </w:r>
    </w:p>
    <w:p>
      <w:pPr>
        <w:pStyle w:val="Footnotesection"/>
      </w:pPr>
      <w:r>
        <w:tab/>
        <w:t>[Section 101A inserted by No. 1 of 2015 s. 11.]</w:t>
      </w:r>
    </w:p>
    <w:p>
      <w:pPr>
        <w:pStyle w:val="Heading5"/>
        <w:spacing w:before="240"/>
      </w:pPr>
      <w:bookmarkStart w:id="396" w:name="_Toc413847173"/>
      <w:r>
        <w:rPr>
          <w:rStyle w:val="CharSectno"/>
        </w:rPr>
        <w:t>101</w:t>
      </w:r>
      <w:r>
        <w:t>.</w:t>
      </w:r>
      <w:r>
        <w:tab/>
        <w:t>References to transferee</w:t>
      </w:r>
      <w:bookmarkEnd w:id="395"/>
      <w:bookmarkEnd w:id="396"/>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a family member of the transferor, if the family member does not intend to hold the farming property as agent, trustee or otherwise on behalf of any other person; or</w:t>
      </w:r>
    </w:p>
    <w:p>
      <w:pPr>
        <w:pStyle w:val="Indenta"/>
      </w:pPr>
      <w:r>
        <w:tab/>
        <w:t>(b)</w:t>
      </w:r>
      <w:r>
        <w:tab/>
        <w:t>a trustee of a trust, other than a unit trust scheme or a discretionary trust, if the beneficial owner of the trust property under the trust is a family member of the transferor; or</w:t>
      </w:r>
    </w:p>
    <w:p>
      <w:pPr>
        <w:pStyle w:val="Indenta"/>
      </w:pPr>
      <w:r>
        <w:tab/>
        <w:t>(c)</w:t>
      </w:r>
      <w:r>
        <w:tab/>
        <w:t xml:space="preserve">a trustee of a discretionary trust, if — </w:t>
      </w:r>
    </w:p>
    <w:p>
      <w:pPr>
        <w:pStyle w:val="Indenti"/>
      </w:pPr>
      <w:r>
        <w:tab/>
        <w:t>(i)</w:t>
      </w:r>
      <w:r>
        <w:tab/>
        <w:t>all the persons who have a share or interest in the trust property, whether vested or contingent, or who may benefit from the discretionary trust are family members of the transferor; and</w:t>
      </w:r>
    </w:p>
    <w:p>
      <w:pPr>
        <w:pStyle w:val="Indenti"/>
      </w:pPr>
      <w:r>
        <w:tab/>
        <w:t>(ii)</w:t>
      </w:r>
      <w:r>
        <w:tab/>
        <w:t>the transferor does not control the discretionary trust.</w:t>
      </w:r>
    </w:p>
    <w:p>
      <w:pPr>
        <w:pStyle w:val="Heading5"/>
        <w:spacing w:before="240"/>
      </w:pPr>
      <w:bookmarkStart w:id="397" w:name="_Toc392162369"/>
      <w:bookmarkStart w:id="398" w:name="_Toc413847174"/>
      <w:r>
        <w:rPr>
          <w:rStyle w:val="CharSectno"/>
        </w:rPr>
        <w:t>102</w:t>
      </w:r>
      <w:r>
        <w:t>.</w:t>
      </w:r>
      <w:r>
        <w:tab/>
        <w:t>References to exempt family farm transaction</w:t>
      </w:r>
      <w:bookmarkEnd w:id="397"/>
      <w:bookmarkEnd w:id="398"/>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w:t>
      </w:r>
    </w:p>
    <w:p>
      <w:pPr>
        <w:pStyle w:val="Indenta"/>
      </w:pPr>
      <w:r>
        <w:tab/>
        <w:t>(b)</w:t>
      </w:r>
      <w:r>
        <w:tab/>
        <w:t xml:space="preserve">through a trust, corporation or partnership (an </w:t>
      </w:r>
      <w:r>
        <w:rPr>
          <w:rStyle w:val="CharDefText"/>
        </w:rPr>
        <w:t>entity</w:t>
      </w:r>
      <w:r>
        <w:t>) to which the transferor or transferee, as is relevant, is related; or</w:t>
      </w:r>
    </w:p>
    <w:p>
      <w:pPr>
        <w:pStyle w:val="Indenta"/>
      </w:pPr>
      <w:r>
        <w:tab/>
        <w:t>(c)</w:t>
      </w:r>
      <w:r>
        <w:tab/>
        <w:t>through a combination of entities to which the transferor or transferee, as is relevant, is related.</w:t>
      </w:r>
    </w:p>
    <w:p>
      <w:pPr>
        <w:pStyle w:val="Subsection"/>
      </w:pPr>
      <w:r>
        <w:tab/>
        <w:t>(4)</w:t>
      </w:r>
      <w:r>
        <w:tab/>
        <w:t xml:space="preserve">In subsection (3), a transferor is related to an entity if — </w:t>
      </w:r>
    </w:p>
    <w:p>
      <w:pPr>
        <w:pStyle w:val="Indenta"/>
      </w:pPr>
      <w:r>
        <w:tab/>
        <w:t>(a)</w:t>
      </w:r>
      <w:r>
        <w:tab/>
        <w:t xml:space="preserve">the transferor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the transferor has a share or interest in trust property, whether vested or contingent, held by the trustee of a discretionary trust and every other person who holds such a share or interest in that property, or who may benefit from that trust, is a family member of the transferor; or</w:t>
      </w:r>
    </w:p>
    <w:p>
      <w:pPr>
        <w:pStyle w:val="Indenta"/>
      </w:pPr>
      <w:r>
        <w:tab/>
        <w:t>(c)</w:t>
      </w:r>
      <w:r>
        <w:tab/>
        <w:t>the transferor holds units in a unit trust scheme and every other person who holds a unit in that unit trust scheme is a family member of the transferor; or</w:t>
      </w:r>
    </w:p>
    <w:p>
      <w:pPr>
        <w:pStyle w:val="Indenta"/>
      </w:pPr>
      <w:r>
        <w:tab/>
        <w:t>(d)</w:t>
      </w:r>
      <w:r>
        <w:tab/>
        <w:t>the transferor is a shareholder in a corporation in which every other shareholder is a family member of the transferor; or</w:t>
      </w:r>
    </w:p>
    <w:p>
      <w:pPr>
        <w:pStyle w:val="Indenta"/>
      </w:pPr>
      <w:r>
        <w:tab/>
        <w:t>(e)</w:t>
      </w:r>
      <w:r>
        <w:tab/>
        <w:t>the transferor is a partner in a partnership in which every other partner is a family member of the transferor.</w:t>
      </w:r>
    </w:p>
    <w:p>
      <w:pPr>
        <w:pStyle w:val="Subsection"/>
        <w:keepNext/>
        <w:keepLines/>
      </w:pPr>
      <w:r>
        <w:tab/>
        <w:t>(5)</w:t>
      </w:r>
      <w:r>
        <w:tab/>
        <w:t xml:space="preserve">In subsection (3), a transferee is related to an entity if — </w:t>
      </w:r>
    </w:p>
    <w:p>
      <w:pPr>
        <w:pStyle w:val="Indenta"/>
        <w:keepNext/>
        <w:keepLines/>
      </w:pPr>
      <w:r>
        <w:tab/>
        <w:t>(a)</w:t>
      </w:r>
      <w:r>
        <w:tab/>
        <w:t xml:space="preserve">the transferee is a beneficiary of a trust — </w:t>
      </w:r>
    </w:p>
    <w:p>
      <w:pPr>
        <w:pStyle w:val="Indenti"/>
        <w:spacing w:before="60"/>
      </w:pPr>
      <w:r>
        <w:tab/>
        <w:t>(i)</w:t>
      </w:r>
      <w:r>
        <w:tab/>
        <w:t>other than a unit trust scheme or a discretionary trust; and</w:t>
      </w:r>
    </w:p>
    <w:p>
      <w:pPr>
        <w:pStyle w:val="Indenti"/>
        <w:spacing w:before="60"/>
      </w:pPr>
      <w:r>
        <w:tab/>
        <w:t>(ii)</w:t>
      </w:r>
      <w:r>
        <w:tab/>
        <w:t>in which every other beneficiary is a family member of the transferor;</w:t>
      </w:r>
    </w:p>
    <w:p>
      <w:pPr>
        <w:pStyle w:val="Indenta"/>
        <w:spacing w:before="60"/>
      </w:pPr>
      <w:r>
        <w:tab/>
      </w:r>
      <w:r>
        <w:tab/>
        <w:t>or</w:t>
      </w:r>
    </w:p>
    <w:p>
      <w:pPr>
        <w:pStyle w:val="Indenta"/>
      </w:pPr>
      <w:r>
        <w:tab/>
        <w:t>(b)</w:t>
      </w:r>
      <w:r>
        <w:tab/>
        <w:t xml:space="preserve">the transferee has a share or interest in trust property, whether vested or contingent, held by the trustee of a discretionary trust and — </w:t>
      </w:r>
    </w:p>
    <w:p>
      <w:pPr>
        <w:pStyle w:val="Indenti"/>
        <w:spacing w:before="60"/>
      </w:pPr>
      <w:r>
        <w:tab/>
        <w:t>(i)</w:t>
      </w:r>
      <w:r>
        <w:tab/>
        <w:t>every other person who holds such a share or interest in that property, or who may benefit from that trust, is a family member of the transferor; and</w:t>
      </w:r>
    </w:p>
    <w:p>
      <w:pPr>
        <w:pStyle w:val="Indenti"/>
        <w:spacing w:before="60"/>
      </w:pPr>
      <w:r>
        <w:tab/>
        <w:t>(ii)</w:t>
      </w:r>
      <w:r>
        <w:tab/>
        <w:t>the transferor does not control the trust;</w:t>
      </w:r>
    </w:p>
    <w:p>
      <w:pPr>
        <w:pStyle w:val="Indenta"/>
        <w:spacing w:before="60"/>
      </w:pPr>
      <w:r>
        <w:tab/>
      </w:r>
      <w:r>
        <w:tab/>
        <w:t>or</w:t>
      </w:r>
    </w:p>
    <w:p>
      <w:pPr>
        <w:pStyle w:val="Indenta"/>
      </w:pPr>
      <w:r>
        <w:tab/>
        <w:t>(c)</w:t>
      </w:r>
      <w:r>
        <w:tab/>
        <w:t>the transferee holds units in a unit trust scheme and every other person who holds a unit in that unit trust scheme is a family member of the transferor; or</w:t>
      </w:r>
    </w:p>
    <w:p>
      <w:pPr>
        <w:pStyle w:val="Indenta"/>
      </w:pPr>
      <w:r>
        <w:tab/>
        <w:t>(d)</w:t>
      </w:r>
      <w:r>
        <w:tab/>
        <w:t>the transferee is a shareholder in a corporation in which every other shareholder is a family member of the transferor; or</w:t>
      </w:r>
    </w:p>
    <w:p>
      <w:pPr>
        <w:pStyle w:val="Indenta"/>
      </w:pPr>
      <w:r>
        <w:tab/>
        <w:t>(e)</w:t>
      </w:r>
      <w:r>
        <w:tab/>
        <w:t>the transferee is a partner in a partnership in which every other partner is a family member of the transferor.</w:t>
      </w:r>
    </w:p>
    <w:p>
      <w:pPr>
        <w:pStyle w:val="Subsection"/>
        <w:spacing w:before="100"/>
      </w:pPr>
      <w:r>
        <w:tab/>
        <w:t>(6)</w:t>
      </w:r>
      <w:r>
        <w:tab/>
        <w:t>For the purposes of subsection (2), a farming property is being used in the business of primary production even if —</w:t>
      </w:r>
    </w:p>
    <w:p>
      <w:pPr>
        <w:pStyle w:val="Indenta"/>
        <w:spacing w:before="60"/>
      </w:pPr>
      <w:r>
        <w:tab/>
        <w:t>(a)</w:t>
      </w:r>
      <w:r>
        <w:tab/>
        <w:t>some, but not all, of the farming land of that property is leased to another person; and</w:t>
      </w:r>
    </w:p>
    <w:p>
      <w:pPr>
        <w:pStyle w:val="Indenta"/>
        <w:spacing w:before="60"/>
      </w:pPr>
      <w:r>
        <w:tab/>
        <w:t>(b)</w:t>
      </w:r>
      <w:r>
        <w:tab/>
        <w:t>under the lease, the lessee is using the leased land solely or dominantly for the purposes of silviculture or reafforestation.</w:t>
      </w:r>
    </w:p>
    <w:p>
      <w:pPr>
        <w:pStyle w:val="Heading5"/>
        <w:keepNext w:val="0"/>
        <w:keepLines w:val="0"/>
        <w:spacing w:before="160"/>
      </w:pPr>
      <w:bookmarkStart w:id="399" w:name="_Toc392162370"/>
      <w:bookmarkStart w:id="400" w:name="_Toc413847175"/>
      <w:r>
        <w:rPr>
          <w:rStyle w:val="CharSectno"/>
        </w:rPr>
        <w:t>103</w:t>
      </w:r>
      <w:r>
        <w:t>.</w:t>
      </w:r>
      <w:r>
        <w:tab/>
        <w:t>Exempt family farm transactions, exemption for</w:t>
      </w:r>
      <w:bookmarkEnd w:id="399"/>
      <w:bookmarkEnd w:id="400"/>
    </w:p>
    <w:p>
      <w:pPr>
        <w:pStyle w:val="Subsection"/>
        <w:spacing w:before="100"/>
      </w:pPr>
      <w:r>
        <w:tab/>
      </w:r>
      <w:r>
        <w:tab/>
        <w:t>Duty is not chargeable on an exempt family farm transaction.</w:t>
      </w:r>
    </w:p>
    <w:p>
      <w:pPr>
        <w:pStyle w:val="Heading5"/>
      </w:pPr>
      <w:bookmarkStart w:id="401" w:name="_Toc392162371"/>
      <w:bookmarkStart w:id="402" w:name="_Toc413847176"/>
      <w:r>
        <w:rPr>
          <w:rStyle w:val="CharSectno"/>
        </w:rPr>
        <w:t>104</w:t>
      </w:r>
      <w:r>
        <w:t>.</w:t>
      </w:r>
      <w:r>
        <w:tab/>
        <w:t>No exemption for subsequent transactions for same farming property within 5 years</w:t>
      </w:r>
      <w:bookmarkEnd w:id="401"/>
      <w:bookmarkEnd w:id="402"/>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pPr>
      <w:bookmarkStart w:id="403" w:name="_Toc392162372"/>
      <w:bookmarkStart w:id="404" w:name="_Toc413847177"/>
      <w:r>
        <w:rPr>
          <w:rStyle w:val="CharSectno"/>
        </w:rPr>
        <w:t>105</w:t>
      </w:r>
      <w:r>
        <w:t>.</w:t>
      </w:r>
      <w:r>
        <w:tab/>
        <w:t>Subsequent liability to duty in certain circumstances</w:t>
      </w:r>
      <w:bookmarkEnd w:id="403"/>
      <w:bookmarkEnd w:id="404"/>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pPr>
      <w:r>
        <w:tab/>
        <w:t>(b)</w:t>
      </w:r>
      <w:r>
        <w:tab/>
        <w:t>the transferor gains control of the trust,</w:t>
      </w:r>
    </w:p>
    <w:p>
      <w:pPr>
        <w:pStyle w:val="Subsection"/>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Heading5"/>
      </w:pPr>
      <w:bookmarkStart w:id="405" w:name="_Toc392162373"/>
      <w:bookmarkStart w:id="406" w:name="_Toc413847178"/>
      <w:r>
        <w:rPr>
          <w:rStyle w:val="CharSectno"/>
        </w:rPr>
        <w:t>106</w:t>
      </w:r>
      <w:r>
        <w:t>.</w:t>
      </w:r>
      <w:r>
        <w:tab/>
        <w:t>Application for an exemption under this Subdivision</w:t>
      </w:r>
      <w:bookmarkEnd w:id="405"/>
      <w:bookmarkEnd w:id="406"/>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MiscellaneousHeading"/>
        <w:spacing w:before="260"/>
        <w:rPr>
          <w:b/>
          <w:bCs/>
        </w:rPr>
      </w:pPr>
      <w:r>
        <w:rPr>
          <w:b/>
          <w:bCs/>
        </w:rPr>
        <w:t>Subdivision 4 — Other exempt transactions</w:t>
      </w:r>
    </w:p>
    <w:p>
      <w:pPr>
        <w:pStyle w:val="Heading5"/>
        <w:spacing w:before="240"/>
      </w:pPr>
      <w:bookmarkStart w:id="407" w:name="_Toc392162374"/>
      <w:bookmarkStart w:id="408" w:name="_Toc413847179"/>
      <w:r>
        <w:rPr>
          <w:rStyle w:val="CharSectno"/>
        </w:rPr>
        <w:t>107</w:t>
      </w:r>
      <w:r>
        <w:t>.</w:t>
      </w:r>
      <w:r>
        <w:tab/>
        <w:t>Cancelled transactions</w:t>
      </w:r>
      <w:bookmarkEnd w:id="407"/>
      <w:bookmarkEnd w:id="408"/>
    </w:p>
    <w:p>
      <w:pPr>
        <w:pStyle w:val="Subsection"/>
        <w:spacing w:before="180"/>
      </w:pPr>
      <w:r>
        <w:tab/>
        <w:t>(1)</w:t>
      </w:r>
      <w:r>
        <w:tab/>
        <w:t xml:space="preserve">In this section — </w:t>
      </w:r>
    </w:p>
    <w:p>
      <w:pPr>
        <w:pStyle w:val="Defstart"/>
        <w:spacing w:before="100"/>
      </w:pPr>
      <w:r>
        <w:rPr>
          <w:b/>
        </w:rPr>
        <w:tab/>
      </w:r>
      <w:r>
        <w:rPr>
          <w:rStyle w:val="CharDefText"/>
        </w:rPr>
        <w:t>cancelled transaction</w:t>
      </w:r>
      <w:r>
        <w:rPr>
          <w:b/>
        </w:rPr>
        <w:t xml:space="preserve"> </w:t>
      </w:r>
      <w:r>
        <w:t>has the meaning given in subsection (2);</w:t>
      </w:r>
    </w:p>
    <w:p>
      <w:pPr>
        <w:pStyle w:val="Defstart"/>
        <w:spacing w:before="100"/>
      </w:pPr>
      <w:r>
        <w:rPr>
          <w:b/>
        </w:rPr>
        <w:tab/>
      </w:r>
      <w:r>
        <w:rPr>
          <w:rStyle w:val="CharDefText"/>
        </w:rPr>
        <w:t>replacement transaction</w:t>
      </w:r>
      <w:r>
        <w:t xml:space="preserve">, in relation to a cancelled transaction, means another dutiable transaction that — </w:t>
      </w:r>
    </w:p>
    <w:p>
      <w:pPr>
        <w:pStyle w:val="Defpara"/>
        <w:spacing w:before="100"/>
      </w:pPr>
      <w:r>
        <w:tab/>
        <w:t>(a)</w:t>
      </w:r>
      <w:r>
        <w:tab/>
        <w:t>is between all of the same parties as the parties to the cancelled transaction; and</w:t>
      </w:r>
    </w:p>
    <w:p>
      <w:pPr>
        <w:pStyle w:val="Defpara"/>
        <w:spacing w:before="100"/>
      </w:pPr>
      <w:r>
        <w:tab/>
        <w:t>(b)</w:t>
      </w:r>
      <w:r>
        <w:tab/>
        <w:t>is substantially similar in effect to the cancelled transaction; and</w:t>
      </w:r>
    </w:p>
    <w:p>
      <w:pPr>
        <w:pStyle w:val="Defpara"/>
        <w:spacing w:before="100"/>
      </w:pPr>
      <w:r>
        <w:tab/>
        <w:t>(c)</w:t>
      </w:r>
      <w:r>
        <w:tab/>
        <w:t>in the opinion of the Commissioner, is a scheme or arrangement, or part of a scheme or arrangement, for which the sole or dominant purpose of any party is to avoid, reduce or defer the payment of duty;</w:t>
      </w:r>
    </w:p>
    <w:p>
      <w:pPr>
        <w:pStyle w:val="Defstart"/>
        <w:spacing w:before="100"/>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spacing w:before="100"/>
      </w:pPr>
      <w:r>
        <w:tab/>
        <w:t>(a)</w:t>
      </w:r>
      <w:r>
        <w:tab/>
        <w:t>a person who is not a party to the cancelled transaction, a result which is contemplated or provided for under the cancelled transaction; or</w:t>
      </w:r>
    </w:p>
    <w:p>
      <w:pPr>
        <w:pStyle w:val="Defpara"/>
        <w:spacing w:before="100"/>
      </w:pPr>
      <w:r>
        <w:tab/>
        <w:t>(b)</w:t>
      </w:r>
      <w:r>
        <w:tab/>
        <w:t>a person who is not a party to the cancelled transaction, a result which is substantially similar in effect to the effect of the cancelled transaction; or</w:t>
      </w:r>
    </w:p>
    <w:p>
      <w:pPr>
        <w:pStyle w:val="Defpara"/>
        <w:spacing w:before="100"/>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keepNext/>
      </w:pPr>
      <w:r>
        <w:tab/>
        <w:t>(2)</w:t>
      </w:r>
      <w:r>
        <w:tab/>
        <w:t xml:space="preserve">A reference to a cancelled transaction is to a dutiable transaction that has not been, and will not be, carried into effect but the following transactions are not cancelled transactions — </w:t>
      </w:r>
    </w:p>
    <w:p>
      <w:pPr>
        <w:pStyle w:val="Indenta"/>
        <w:spacing w:before="100"/>
      </w:pPr>
      <w:r>
        <w:tab/>
        <w:t>(a)</w:t>
      </w:r>
      <w:r>
        <w:tab/>
        <w:t>a call option of a simultaneous put and call option taken to be an agreement for the transfer of the option property under section 45;</w:t>
      </w:r>
    </w:p>
    <w:p>
      <w:pPr>
        <w:pStyle w:val="Indenta"/>
        <w:spacing w:before="100"/>
      </w:pPr>
      <w:r>
        <w:tab/>
        <w:t>(b)</w:t>
      </w:r>
      <w:r>
        <w:tab/>
        <w:t>an assignment of a call option taken to be an agreement for the transfer of the option property under section 49;</w:t>
      </w:r>
    </w:p>
    <w:p>
      <w:pPr>
        <w:pStyle w:val="Indenta"/>
        <w:spacing w:before="100"/>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pPr>
      <w:r>
        <w:tab/>
        <w:t>(3A)</w:t>
      </w:r>
      <w:r>
        <w:tab/>
        <w:t xml:space="preserve">To avoid doubt, for the purposes of subsection (2), a dutiable transaction has not been, and will not be, carried into effect if — </w:t>
      </w:r>
    </w:p>
    <w:p>
      <w:pPr>
        <w:pStyle w:val="Indenta"/>
      </w:pPr>
      <w:r>
        <w:tab/>
        <w:t>(a)</w:t>
      </w:r>
      <w:r>
        <w:tab/>
        <w:t>the transaction is a transfer of dutiable property; and</w:t>
      </w:r>
    </w:p>
    <w:p>
      <w:pPr>
        <w:pStyle w:val="Indenta"/>
      </w:pPr>
      <w:r>
        <w:tab/>
        <w:t>(b)</w:t>
      </w:r>
      <w:r>
        <w:tab/>
        <w:t>the transaction is effected or evidenced by an electronic conveyancing instrument (as defined in section 22A); and</w:t>
      </w:r>
    </w:p>
    <w:p>
      <w:pPr>
        <w:pStyle w:val="Indenta"/>
      </w:pPr>
      <w:r>
        <w:tab/>
        <w:t>(c)</w:t>
      </w:r>
      <w:r>
        <w:tab/>
        <w:t>under section 42, no duty is chargeable on the transfer; and</w:t>
      </w:r>
    </w:p>
    <w:p>
      <w:pPr>
        <w:pStyle w:val="Indenta"/>
      </w:pPr>
      <w:r>
        <w:tab/>
        <w:t>(d)</w:t>
      </w:r>
      <w:r>
        <w:tab/>
        <w:t xml:space="preserve">the instrument, having been digitally signed (as defined in the </w:t>
      </w:r>
      <w:r>
        <w:rPr>
          <w:i/>
        </w:rPr>
        <w:t>Electronic Conveyancing Act 2014</w:t>
      </w:r>
      <w:r>
        <w:t xml:space="preserve"> section 3(1)) is unsigned in accordance with the participation rules (as so defined) applicable to that instrument.</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pPr>
      <w:r>
        <w:tab/>
        <w:t>(a)</w:t>
      </w:r>
      <w:r>
        <w:tab/>
        <w:t>in the approved form; and</w:t>
      </w:r>
    </w:p>
    <w:p>
      <w:pPr>
        <w:pStyle w:val="Indenta"/>
      </w:pPr>
      <w:r>
        <w:tab/>
        <w:t>(b)</w:t>
      </w:r>
      <w:r>
        <w:tab/>
        <w:t>accompanied by such transaction record for the transaction as is required to be lodged under section 23.</w:t>
      </w:r>
    </w:p>
    <w:p>
      <w:pPr>
        <w:pStyle w:val="Subsection"/>
        <w:keepNext/>
        <w:keepLines/>
      </w:pPr>
      <w:r>
        <w:tab/>
        <w:t>(7)</w:t>
      </w:r>
      <w:r>
        <w:tab/>
        <w:t xml:space="preserve">For the purposes of this section, in relation to an agreement for the transfer of dutiable property, the </w:t>
      </w:r>
      <w:r>
        <w:rPr>
          <w:i/>
        </w:rPr>
        <w:t>Taxation Administration Act 2003</w:t>
      </w:r>
      <w:r>
        <w:t xml:space="preserve"> section 17 applies as if — </w:t>
      </w:r>
    </w:p>
    <w:p>
      <w:pPr>
        <w:pStyle w:val="Indenta"/>
        <w:keepNext/>
        <w:keepLines/>
      </w:pPr>
      <w:r>
        <w:tab/>
        <w:t>(a)</w:t>
      </w:r>
      <w:r>
        <w:tab/>
        <w:t xml:space="preserve">despite subsection (1) of that section, a person is not entitled to apply for a reassessment — </w:t>
      </w:r>
    </w:p>
    <w:p>
      <w:pPr>
        <w:pStyle w:val="Indenti"/>
      </w:pPr>
      <w:r>
        <w:tab/>
        <w:t>(i)</w:t>
      </w:r>
      <w:r>
        <w:tab/>
        <w:t>more than 5 years after the original assessment was made; or</w:t>
      </w:r>
    </w:p>
    <w:p>
      <w:pPr>
        <w:pStyle w:val="Indenti"/>
      </w:pPr>
      <w:r>
        <w:tab/>
        <w:t>(ii)</w:t>
      </w:r>
      <w:r>
        <w:tab/>
        <w:t>more than 12 months after the day on which the agreement became a cancelled transaction,</w:t>
      </w:r>
    </w:p>
    <w:p>
      <w:pPr>
        <w:pStyle w:val="Indenta"/>
      </w:pPr>
      <w:r>
        <w:tab/>
      </w:r>
      <w:r>
        <w:tab/>
        <w:t>whichever is the later; and</w:t>
      </w:r>
    </w:p>
    <w:p>
      <w:pPr>
        <w:pStyle w:val="Indenta"/>
        <w:keepNext/>
      </w:pPr>
      <w:r>
        <w:tab/>
        <w:t>(b)</w:t>
      </w:r>
      <w:r>
        <w:tab/>
        <w:t>despite subsection (4) of that section, the Commissioner may only make a reassessment on an application if the application was made within that time.</w:t>
      </w:r>
    </w:p>
    <w:p>
      <w:pPr>
        <w:pStyle w:val="Footnotesection"/>
        <w:ind w:left="890" w:hanging="890"/>
      </w:pPr>
      <w:r>
        <w:tab/>
        <w:t>[Section 107 amended by No. 29 of 2012 s. 6; No. 2 of 2014 s. 53.]</w:t>
      </w:r>
    </w:p>
    <w:p>
      <w:pPr>
        <w:pStyle w:val="Heading5"/>
        <w:spacing w:before="240"/>
      </w:pPr>
      <w:bookmarkStart w:id="409" w:name="_Toc392162375"/>
      <w:bookmarkStart w:id="410" w:name="_Toc413847180"/>
      <w:r>
        <w:rPr>
          <w:rStyle w:val="CharSectno"/>
        </w:rPr>
        <w:t>108</w:t>
      </w:r>
      <w:r>
        <w:t>.</w:t>
      </w:r>
      <w:r>
        <w:tab/>
        <w:t>Bankruptcy transactions</w:t>
      </w:r>
      <w:bookmarkEnd w:id="409"/>
      <w:bookmarkEnd w:id="410"/>
    </w:p>
    <w:p>
      <w:pPr>
        <w:pStyle w:val="Subsection"/>
        <w:spacing w:before="180"/>
      </w:pPr>
      <w:r>
        <w:tab/>
        <w:t>(1)</w:t>
      </w:r>
      <w:r>
        <w:tab/>
        <w:t xml:space="preserve">In this section — </w:t>
      </w:r>
    </w:p>
    <w:p>
      <w:pPr>
        <w:pStyle w:val="Defstart"/>
      </w:pPr>
      <w:r>
        <w:rPr>
          <w:b/>
        </w:rPr>
        <w:tab/>
      </w:r>
      <w:r>
        <w:rPr>
          <w:rStyle w:val="CharDefText"/>
        </w:rPr>
        <w:t>bankruptcy trustee</w:t>
      </w:r>
      <w:r>
        <w:t xml:space="preserve"> means —</w:t>
      </w:r>
    </w:p>
    <w:p>
      <w:pPr>
        <w:pStyle w:val="Defpara"/>
      </w:pPr>
      <w:r>
        <w:tab/>
        <w:t>(a)</w:t>
      </w:r>
      <w:r>
        <w:tab/>
        <w:t>the Official Trustee in Bankruptcy; or</w:t>
      </w:r>
    </w:p>
    <w:p>
      <w:pPr>
        <w:pStyle w:val="Defpara"/>
      </w:pPr>
      <w:r>
        <w:tab/>
        <w:t>(b)</w:t>
      </w:r>
      <w:r>
        <w:tab/>
        <w:t>a registered trustee,</w:t>
      </w:r>
    </w:p>
    <w:p>
      <w:pPr>
        <w:pStyle w:val="Defstart"/>
      </w:pPr>
      <w:r>
        <w:tab/>
        <w:t xml:space="preserve">under the </w:t>
      </w:r>
      <w:r>
        <w:rPr>
          <w:i/>
          <w:iCs/>
        </w:rPr>
        <w:t>Bankruptcy Act 1966</w:t>
      </w:r>
      <w:r>
        <w:t xml:space="preserve"> (Commonwealth).</w:t>
      </w:r>
    </w:p>
    <w:p>
      <w:pPr>
        <w:pStyle w:val="Subsection"/>
        <w:spacing w:before="180"/>
      </w:pPr>
      <w:r>
        <w:tab/>
        <w:t>(2)</w:t>
      </w:r>
      <w:r>
        <w:tab/>
        <w:t xml:space="preserve">Duty is not chargeable on a dutiable transaction — </w:t>
      </w:r>
    </w:p>
    <w:p>
      <w:pPr>
        <w:pStyle w:val="Indenta"/>
      </w:pPr>
      <w:r>
        <w:tab/>
        <w:t>(a)</w:t>
      </w:r>
      <w:r>
        <w:tab/>
        <w:t>that is a vesting of dutiable property in a bankruptcy trustee; or</w:t>
      </w:r>
    </w:p>
    <w:p>
      <w:pPr>
        <w:pStyle w:val="Indenta"/>
      </w:pPr>
      <w:r>
        <w:tab/>
        <w:t>(b)</w:t>
      </w:r>
      <w:r>
        <w:tab/>
        <w:t>that is the transfer, or agreement for the transfer, of dutiable property for no consideration to a former bankrupt from the estate of the former bankrupt.</w:t>
      </w:r>
    </w:p>
    <w:p>
      <w:pPr>
        <w:pStyle w:val="Heading5"/>
        <w:spacing w:before="240"/>
      </w:pPr>
      <w:bookmarkStart w:id="411" w:name="_Toc392162376"/>
      <w:bookmarkStart w:id="412" w:name="_Toc413847181"/>
      <w:r>
        <w:rPr>
          <w:rStyle w:val="CharSectno"/>
        </w:rPr>
        <w:t>109</w:t>
      </w:r>
      <w:r>
        <w:t>.</w:t>
      </w:r>
      <w:r>
        <w:tab/>
        <w:t>Transfer etc. to foreign country’s representative etc.</w:t>
      </w:r>
      <w:bookmarkEnd w:id="411"/>
      <w:bookmarkEnd w:id="412"/>
    </w:p>
    <w:p>
      <w:pPr>
        <w:pStyle w:val="Subsection"/>
        <w:spacing w:before="180"/>
      </w:pPr>
      <w:r>
        <w:tab/>
      </w:r>
      <w:r>
        <w:tab/>
        <w:t xml:space="preserve">Duty is not chargeable on a transfer of, or an agreement for the transfer of, dutiable property to a representative in </w:t>
      </w:r>
      <w:smartTag w:uri="urn:schemas-microsoft-com:office:smarttags" w:element="place">
        <w:smartTag w:uri="urn:schemas-microsoft-com:office:smarttags" w:element="country-region">
          <w:r>
            <w:t>Australia</w:t>
          </w:r>
        </w:smartTag>
      </w:smartTag>
      <w:r>
        <w:t xml:space="preserve"> of the Government of another country, a foreign consul, or a trade commissioner of another country, if that property is intended for official use.</w:t>
      </w:r>
    </w:p>
    <w:p>
      <w:pPr>
        <w:pStyle w:val="Heading5"/>
        <w:keepNext w:val="0"/>
        <w:keepLines w:val="0"/>
        <w:spacing w:before="240"/>
      </w:pPr>
      <w:bookmarkStart w:id="413" w:name="_Toc392162377"/>
      <w:bookmarkStart w:id="414" w:name="_Toc413847182"/>
      <w:r>
        <w:rPr>
          <w:rStyle w:val="CharSectno"/>
        </w:rPr>
        <w:t>110</w:t>
      </w:r>
      <w:r>
        <w:t>.</w:t>
      </w:r>
      <w:r>
        <w:tab/>
      </w:r>
      <w:r>
        <w:rPr>
          <w:i/>
          <w:iCs/>
        </w:rPr>
        <w:t xml:space="preserve">Financial Sector (Business Transfer and Group Restructure) Act 1999 </w:t>
      </w:r>
      <w:r>
        <w:rPr>
          <w:iCs/>
        </w:rPr>
        <w:t>(Cwlth)</w:t>
      </w:r>
      <w:r>
        <w:rPr>
          <w:i/>
          <w:iCs/>
        </w:rPr>
        <w:t xml:space="preserve"> </w:t>
      </w:r>
      <w:r>
        <w:t>Part 4 transactions</w:t>
      </w:r>
      <w:bookmarkEnd w:id="413"/>
      <w:bookmarkEnd w:id="414"/>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
          <w:iCs/>
        </w:rPr>
        <w:t xml:space="preserve"> </w:t>
      </w:r>
      <w:r>
        <w:t>Part 4.</w:t>
      </w:r>
    </w:p>
    <w:p>
      <w:pPr>
        <w:pStyle w:val="Footnotesection"/>
      </w:pPr>
      <w:r>
        <w:tab/>
        <w:t>[Section 110 amended by No. 31 of 2008 s. 32.]</w:t>
      </w:r>
    </w:p>
    <w:p>
      <w:pPr>
        <w:pStyle w:val="Heading5"/>
      </w:pPr>
      <w:bookmarkStart w:id="415" w:name="_Toc392162378"/>
      <w:bookmarkStart w:id="416" w:name="_Toc413847183"/>
      <w:r>
        <w:rPr>
          <w:rStyle w:val="CharSectno"/>
        </w:rPr>
        <w:t>111</w:t>
      </w:r>
      <w:r>
        <w:t>.</w:t>
      </w:r>
      <w:r>
        <w:tab/>
        <w:t>Special disability trust transactions</w:t>
      </w:r>
      <w:bookmarkEnd w:id="415"/>
      <w:bookmarkEnd w:id="416"/>
    </w:p>
    <w:p>
      <w:pPr>
        <w:pStyle w:val="Subsection"/>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417" w:name="_Toc392162379"/>
      <w:bookmarkStart w:id="418" w:name="_Toc413847184"/>
      <w:r>
        <w:rPr>
          <w:rStyle w:val="CharSectno"/>
        </w:rPr>
        <w:t>112</w:t>
      </w:r>
      <w:r>
        <w:t>.</w:t>
      </w:r>
      <w:r>
        <w:tab/>
        <w:t>Some transactions under other Acts</w:t>
      </w:r>
      <w:bookmarkEnd w:id="417"/>
      <w:bookmarkEnd w:id="418"/>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pPr>
      <w:r>
        <w:tab/>
        <w:t>(a)</w:t>
      </w:r>
      <w:r>
        <w:tab/>
        <w:t xml:space="preserve">Crown land the subject of a licence referred to in the </w:t>
      </w:r>
      <w:r>
        <w:rPr>
          <w:i/>
          <w:iCs/>
        </w:rPr>
        <w:t>Land Administration Act 1997</w:t>
      </w:r>
      <w:r>
        <w:t xml:space="preserve"> Schedule 2 clause 21; or</w:t>
      </w:r>
    </w:p>
    <w:p>
      <w:pPr>
        <w:pStyle w:val="Indenta"/>
      </w:pPr>
      <w:r>
        <w:tab/>
        <w:t>(b)</w:t>
      </w:r>
      <w:r>
        <w:tab/>
        <w:t xml:space="preserve">Crown land the subject of a lease referred to in the </w:t>
      </w:r>
      <w:r>
        <w:rPr>
          <w:i/>
          <w:iCs/>
        </w:rPr>
        <w:t>Land Administration Act 1997</w:t>
      </w:r>
      <w:r>
        <w:t xml:space="preserve"> Schedule 2 clause 22; or</w:t>
      </w:r>
    </w:p>
    <w:p>
      <w:pPr>
        <w:pStyle w:val="Indenta"/>
      </w:pPr>
      <w:r>
        <w:tab/>
        <w:t>(c)</w:t>
      </w:r>
      <w:r>
        <w:tab/>
        <w:t xml:space="preserve">Crown land the subject of a conditional purchase lease referred to in the </w:t>
      </w:r>
      <w:r>
        <w:rPr>
          <w:i/>
          <w:iCs/>
        </w:rPr>
        <w:t>Land Administration Act 1997</w:t>
      </w:r>
      <w:r>
        <w:t xml:space="preserve"> Schedule 2 clause 26; or</w:t>
      </w:r>
    </w:p>
    <w:p>
      <w:pPr>
        <w:pStyle w:val="Indenta"/>
      </w:pPr>
      <w:r>
        <w:tab/>
        <w:t>(d)</w:t>
      </w:r>
      <w:r>
        <w:tab/>
        <w:t xml:space="preserve">Crown land the subject of a conditional purchase lease referred to in the </w:t>
      </w:r>
      <w:r>
        <w:rPr>
          <w:i/>
          <w:iCs/>
        </w:rPr>
        <w:t>Land Administration Act 1997</w:t>
      </w:r>
      <w:r>
        <w:t xml:space="preserve"> Schedule 2 clause 27; or</w:t>
      </w:r>
    </w:p>
    <w:p>
      <w:pPr>
        <w:pStyle w:val="Indenta"/>
      </w:pPr>
      <w:r>
        <w:tab/>
        <w:t>(e)</w:t>
      </w:r>
      <w:r>
        <w:tab/>
        <w:t xml:space="preserve">war service land referred to in the </w:t>
      </w:r>
      <w:r>
        <w:rPr>
          <w:i/>
          <w:iCs/>
        </w:rPr>
        <w:t>Land Administration Act 1997</w:t>
      </w:r>
      <w:r>
        <w:t xml:space="preserve"> Schedule 2 clause 30; or</w:t>
      </w:r>
    </w:p>
    <w:p>
      <w:pPr>
        <w:pStyle w:val="Indenta"/>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pPr>
      <w:r>
        <w:tab/>
        <w:t>(a)</w:t>
      </w:r>
      <w:r>
        <w:tab/>
        <w:t xml:space="preserve">a request under the </w:t>
      </w:r>
      <w:r>
        <w:rPr>
          <w:i/>
          <w:iCs/>
        </w:rPr>
        <w:t xml:space="preserve">Land Administration Act 1997 </w:t>
      </w:r>
      <w:r>
        <w:t>section 212; or</w:t>
      </w:r>
    </w:p>
    <w:p>
      <w:pPr>
        <w:pStyle w:val="Indenta"/>
      </w:pPr>
      <w:r>
        <w:tab/>
        <w:t>(b)</w:t>
      </w:r>
      <w:r>
        <w:tab/>
        <w:t xml:space="preserve">an agreement under the </w:t>
      </w:r>
      <w:r>
        <w:rPr>
          <w:i/>
          <w:iCs/>
        </w:rPr>
        <w:t>Land Administration Act 1997</w:t>
      </w:r>
      <w:r>
        <w:t xml:space="preserve"> section 255; or</w:t>
      </w:r>
    </w:p>
    <w:p>
      <w:pPr>
        <w:pStyle w:val="Indenta"/>
      </w:pPr>
      <w:r>
        <w:tab/>
        <w:t>(c)</w:t>
      </w:r>
      <w:r>
        <w:tab/>
        <w:t xml:space="preserve">an award under the </w:t>
      </w:r>
      <w:r>
        <w:rPr>
          <w:i/>
          <w:iCs/>
        </w:rPr>
        <w:t xml:space="preserve">Land Administration Act 1997 </w:t>
      </w:r>
      <w:r>
        <w:t>section 256; or</w:t>
      </w:r>
    </w:p>
    <w:p>
      <w:pPr>
        <w:pStyle w:val="Indenta"/>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pPr>
      <w:r>
        <w:tab/>
        <w:t>(a)</w:t>
      </w:r>
      <w:r>
        <w:tab/>
        <w:t xml:space="preserve">pursuant to a request under the </w:t>
      </w:r>
      <w:r>
        <w:rPr>
          <w:i/>
          <w:iCs/>
        </w:rPr>
        <w:t>Public Works Act 1902</w:t>
      </w:r>
      <w:r>
        <w:t xml:space="preserve"> section 45A; or</w:t>
      </w:r>
    </w:p>
    <w:p>
      <w:pPr>
        <w:pStyle w:val="Indenta"/>
      </w:pPr>
      <w:r>
        <w:tab/>
        <w:t>(b)</w:t>
      </w:r>
      <w:r>
        <w:tab/>
        <w:t xml:space="preserve">granted under the </w:t>
      </w:r>
      <w:r>
        <w:rPr>
          <w:i/>
          <w:iCs/>
        </w:rPr>
        <w:t>Public Works Act 1902</w:t>
      </w:r>
      <w:r>
        <w:t xml:space="preserve"> section 80,</w:t>
      </w:r>
    </w:p>
    <w:p>
      <w:pPr>
        <w:pStyle w:val="Subsection"/>
      </w:pPr>
      <w:r>
        <w:tab/>
      </w:r>
      <w:r>
        <w:tab/>
        <w:t xml:space="preserve">as in force immediately before the commencement of the </w:t>
      </w:r>
      <w:r>
        <w:rPr>
          <w:i/>
          <w:iCs/>
        </w:rPr>
        <w:t>Acts Amendment (Land Administration) Act 1997</w:t>
      </w:r>
      <w:r>
        <w:rPr>
          <w:iCs/>
          <w:vertAlign w:val="superscript"/>
        </w:rPr>
        <w:t> 4</w:t>
      </w:r>
      <w:r>
        <w:t>.</w:t>
      </w:r>
    </w:p>
    <w:p>
      <w:pPr>
        <w:pStyle w:val="Subsection"/>
        <w:keepNext/>
      </w:pPr>
      <w:r>
        <w:tab/>
        <w:t>(6)</w:t>
      </w:r>
      <w:r>
        <w:tab/>
        <w:t xml:space="preserve">Duty is not chargeable on a transaction — </w:t>
      </w:r>
    </w:p>
    <w:p>
      <w:pPr>
        <w:pStyle w:val="Indenta"/>
        <w:spacing w:before="100"/>
      </w:pPr>
      <w:r>
        <w:tab/>
        <w:t>(a)</w:t>
      </w:r>
      <w:r>
        <w:tab/>
        <w:t xml:space="preserve">that is the passing of any property that occurs by operation of the </w:t>
      </w:r>
      <w:r>
        <w:rPr>
          <w:i/>
          <w:iCs/>
        </w:rPr>
        <w:t>Strata Titles Act 1985</w:t>
      </w:r>
      <w:r>
        <w:t xml:space="preserve"> section 21I or 21M or an order under section 103P of that Act; or</w:t>
      </w:r>
    </w:p>
    <w:p>
      <w:pPr>
        <w:pStyle w:val="Indenta"/>
        <w:spacing w:before="100"/>
      </w:pPr>
      <w:r>
        <w:tab/>
        <w:t>(b)</w:t>
      </w:r>
      <w:r>
        <w:tab/>
        <w:t xml:space="preserve">to give effect to a notice of resolution referred to in the </w:t>
      </w:r>
      <w:r>
        <w:rPr>
          <w:i/>
          <w:iCs/>
        </w:rPr>
        <w:t>Strata Titles Act 1985</w:t>
      </w:r>
      <w:r>
        <w:t xml:space="preserve"> section 21V or 31H; or</w:t>
      </w:r>
    </w:p>
    <w:p>
      <w:pPr>
        <w:pStyle w:val="Indenta"/>
        <w:spacing w:before="100"/>
      </w:pPr>
      <w:r>
        <w:tab/>
        <w:t>(c)</w:t>
      </w:r>
      <w:r>
        <w:tab/>
        <w:t xml:space="preserve">that occurs by operation of the </w:t>
      </w:r>
      <w:r>
        <w:rPr>
          <w:i/>
          <w:iCs/>
        </w:rPr>
        <w:t>Strata Titles Act 1985</w:t>
      </w:r>
      <w:r>
        <w:t xml:space="preserve"> section 21W, 21Y, 31G or 31J or an order under section 103P of that Act; or</w:t>
      </w:r>
    </w:p>
    <w:p>
      <w:pPr>
        <w:pStyle w:val="Indenta"/>
        <w:keepNext/>
        <w:spacing w:before="100"/>
      </w:pPr>
      <w:r>
        <w:tab/>
        <w:t>(d)</w:t>
      </w:r>
      <w:r>
        <w:tab/>
        <w:t xml:space="preserve">under, or to give effect to, the </w:t>
      </w:r>
      <w:r>
        <w:rPr>
          <w:i/>
          <w:iCs/>
        </w:rPr>
        <w:t xml:space="preserve">Strata Titles Act 1985 </w:t>
      </w:r>
      <w:r>
        <w:t>Part II Division 2A or Part III Division 3,</w:t>
      </w:r>
    </w:p>
    <w:p>
      <w:pPr>
        <w:pStyle w:val="Subsection"/>
        <w:spacing w:before="180"/>
      </w:pPr>
      <w:r>
        <w:tab/>
      </w:r>
      <w:r>
        <w:tab/>
        <w:t>to the extent that the consideration for the transaction is an interest in common property, within the meaning of that term in that Act.</w:t>
      </w:r>
    </w:p>
    <w:p>
      <w:pPr>
        <w:pStyle w:val="Heading5"/>
        <w:spacing w:before="240"/>
      </w:pPr>
      <w:bookmarkStart w:id="419" w:name="_Toc392162380"/>
      <w:bookmarkStart w:id="420" w:name="_Toc413847185"/>
      <w:r>
        <w:rPr>
          <w:rStyle w:val="CharSectno"/>
        </w:rPr>
        <w:t>113</w:t>
      </w:r>
      <w:r>
        <w:t>.</w:t>
      </w:r>
      <w:r>
        <w:tab/>
        <w:t>Transactions effected by matrimonial instrument or de facto relationship instrument</w:t>
      </w:r>
      <w:bookmarkEnd w:id="419"/>
      <w:bookmarkEnd w:id="420"/>
    </w:p>
    <w:p>
      <w:pPr>
        <w:pStyle w:val="Subsection"/>
        <w:spacing w:before="180"/>
      </w:pPr>
      <w:r>
        <w:tab/>
      </w:r>
      <w:r>
        <w:tab/>
        <w:t>Duty is not chargeable on a dutiable transaction to the extent that it is effected by a matrimonial instrument mentioned in section 129(b) or (c) or a de facto relationship instrument mentioned in section 130(a).</w:t>
      </w:r>
    </w:p>
    <w:p>
      <w:pPr>
        <w:pStyle w:val="Heading4"/>
        <w:spacing w:before="260"/>
        <w:rPr>
          <w:sz w:val="26"/>
        </w:rPr>
      </w:pPr>
      <w:bookmarkStart w:id="421" w:name="_Toc389126390"/>
      <w:bookmarkStart w:id="422" w:name="_Toc392162381"/>
      <w:bookmarkStart w:id="423" w:name="_Toc412734877"/>
      <w:bookmarkStart w:id="424" w:name="_Toc412735300"/>
      <w:bookmarkStart w:id="425" w:name="_Toc412819317"/>
      <w:bookmarkStart w:id="426" w:name="_Toc413830077"/>
      <w:bookmarkStart w:id="427" w:name="_Toc413847186"/>
      <w:r>
        <w:rPr>
          <w:sz w:val="26"/>
        </w:rPr>
        <w:t>Division 2 — Nominal duty</w:t>
      </w:r>
      <w:bookmarkEnd w:id="421"/>
      <w:bookmarkEnd w:id="422"/>
      <w:bookmarkEnd w:id="423"/>
      <w:bookmarkEnd w:id="424"/>
      <w:bookmarkEnd w:id="425"/>
      <w:bookmarkEnd w:id="426"/>
      <w:bookmarkEnd w:id="427"/>
      <w:r>
        <w:rPr>
          <w:sz w:val="26"/>
        </w:rPr>
        <w:t xml:space="preserve"> </w:t>
      </w:r>
    </w:p>
    <w:p>
      <w:pPr>
        <w:pStyle w:val="MiscellaneousHeading"/>
        <w:spacing w:before="240"/>
        <w:rPr>
          <w:b/>
          <w:bCs/>
        </w:rPr>
      </w:pPr>
      <w:r>
        <w:rPr>
          <w:b/>
          <w:bCs/>
        </w:rPr>
        <w:t>Subdivision 1 — Certain trust transactions</w:t>
      </w:r>
    </w:p>
    <w:p>
      <w:pPr>
        <w:pStyle w:val="Heading5"/>
        <w:spacing w:before="240"/>
      </w:pPr>
      <w:bookmarkStart w:id="428" w:name="_Toc392162382"/>
      <w:bookmarkStart w:id="429" w:name="_Toc413847187"/>
      <w:r>
        <w:rPr>
          <w:rStyle w:val="CharSectno"/>
        </w:rPr>
        <w:t>114</w:t>
      </w:r>
      <w:r>
        <w:t>.</w:t>
      </w:r>
      <w:r>
        <w:tab/>
        <w:t>Some transfers etc. on vesting or termination of discretionary trust</w:t>
      </w:r>
      <w:bookmarkEnd w:id="428"/>
      <w:bookmarkEnd w:id="429"/>
    </w:p>
    <w:p>
      <w:pPr>
        <w:pStyle w:val="Subsection"/>
        <w:spacing w:before="180"/>
      </w:pPr>
      <w:r>
        <w:tab/>
        <w:t>(1)</w:t>
      </w:r>
      <w:r>
        <w:tab/>
        <w:t>This section applies to a transfer of, or an agreement for the transfer of, dutiable property to a taker in default on the vesting or termination of the discretionary trust.</w:t>
      </w:r>
    </w:p>
    <w:p>
      <w:pPr>
        <w:pStyle w:val="Subsection"/>
        <w:spacing w:before="180"/>
      </w:pPr>
      <w:r>
        <w:tab/>
        <w:t>(2)</w:t>
      </w:r>
      <w:r>
        <w:tab/>
        <w:t>Nominal duty is chargeable on a transaction to which this section applies if there is, or will be, no consideration for the transaction.</w:t>
      </w:r>
    </w:p>
    <w:p>
      <w:pPr>
        <w:pStyle w:val="Heading5"/>
        <w:spacing w:before="240"/>
      </w:pPr>
      <w:bookmarkStart w:id="430" w:name="_Toc392162383"/>
      <w:bookmarkStart w:id="431" w:name="_Toc413847188"/>
      <w:r>
        <w:rPr>
          <w:rStyle w:val="CharSectno"/>
        </w:rPr>
        <w:t>115</w:t>
      </w:r>
      <w:r>
        <w:t>.</w:t>
      </w:r>
      <w:r>
        <w:tab/>
        <w:t>Some transfers etc. on exercise of power of appointment by trustee of discretionary trust</w:t>
      </w:r>
      <w:bookmarkEnd w:id="430"/>
      <w:bookmarkEnd w:id="431"/>
    </w:p>
    <w:p>
      <w:pPr>
        <w:pStyle w:val="Subsection"/>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pPr>
      <w:r>
        <w:tab/>
        <w:t>(a)</w:t>
      </w:r>
      <w:r>
        <w:tab/>
        <w:t>there is, or will be, no consideration for the transfer or agreement; and</w:t>
      </w:r>
    </w:p>
    <w:p>
      <w:pPr>
        <w:pStyle w:val="Indenta"/>
      </w:pPr>
      <w:r>
        <w:tab/>
        <w:t>(b)</w:t>
      </w:r>
      <w:r>
        <w:tab/>
        <w:t>the beneficiary is an individual who does not intend to hold the property as agent, trustee or otherwise on behalf of any other person; and</w:t>
      </w:r>
    </w:p>
    <w:p>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pPr>
      <w:r>
        <w:tab/>
        <w:t>(d)</w:t>
      </w:r>
      <w:r>
        <w:tab/>
        <w:t>evidence of the acquisition by the trustee, as trustee, of the property is produced to the Commissioner.</w:t>
      </w:r>
    </w:p>
    <w:p>
      <w:pPr>
        <w:pStyle w:val="Heading5"/>
        <w:spacing w:before="240"/>
      </w:pPr>
      <w:bookmarkStart w:id="432" w:name="_Toc392162384"/>
      <w:bookmarkStart w:id="433" w:name="_Toc413847189"/>
      <w:r>
        <w:rPr>
          <w:rStyle w:val="CharSectno"/>
        </w:rPr>
        <w:t>116</w:t>
      </w:r>
      <w:r>
        <w:t>.</w:t>
      </w:r>
      <w:r>
        <w:tab/>
        <w:t>Some transfers etc. of dutiable property to beneficiary</w:t>
      </w:r>
      <w:bookmarkEnd w:id="432"/>
      <w:bookmarkEnd w:id="433"/>
    </w:p>
    <w:p>
      <w:pPr>
        <w:pStyle w:val="Subsection"/>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pPr>
      <w:r>
        <w:tab/>
        <w:t>(a)</w:t>
      </w:r>
      <w:r>
        <w:tab/>
        <w:t>there is no consideration for the transfer or agreement; and</w:t>
      </w:r>
    </w:p>
    <w:p>
      <w:pPr>
        <w:pStyle w:val="Indenta"/>
      </w:pPr>
      <w:r>
        <w:tab/>
        <w:t>(b)</w:t>
      </w:r>
      <w:r>
        <w:tab/>
        <w:t>the transfer, or agreement, is under and in conformity with the trusts contained in the declaration of trust.</w:t>
      </w:r>
    </w:p>
    <w:p>
      <w:pPr>
        <w:pStyle w:val="Subsection"/>
      </w:pPr>
      <w:r>
        <w:tab/>
        <w:t>(2)</w:t>
      </w:r>
      <w:r>
        <w:tab/>
        <w:t xml:space="preserve">Subsection (1) applies only if the property the subject of the agreement or transfer is — </w:t>
      </w:r>
    </w:p>
    <w:p>
      <w:pPr>
        <w:pStyle w:val="Indenta"/>
      </w:pPr>
      <w:r>
        <w:tab/>
        <w:t>(a)</w:t>
      </w:r>
      <w:r>
        <w:tab/>
        <w:t xml:space="preserve">wholly or substantially the same as the property the subject of the declaration of trust and the declaration of trust is — </w:t>
      </w:r>
    </w:p>
    <w:p>
      <w:pPr>
        <w:pStyle w:val="Indenti"/>
      </w:pPr>
      <w:r>
        <w:tab/>
        <w:t>(i)</w:t>
      </w:r>
      <w:r>
        <w:tab/>
        <w:t>duty endorsed; or</w:t>
      </w:r>
    </w:p>
    <w:p>
      <w:pPr>
        <w:pStyle w:val="Indenti"/>
        <w:keepNext/>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Heading5"/>
        <w:spacing w:before="240"/>
      </w:pPr>
      <w:bookmarkStart w:id="434" w:name="_Toc392162385"/>
      <w:bookmarkStart w:id="435" w:name="_Toc413847190"/>
      <w:r>
        <w:rPr>
          <w:rStyle w:val="CharSectno"/>
        </w:rPr>
        <w:t>117</w:t>
      </w:r>
      <w:r>
        <w:t>.</w:t>
      </w:r>
      <w:r>
        <w:tab/>
        <w:t>Transactions involving apparent purchaser</w:t>
      </w:r>
      <w:bookmarkEnd w:id="434"/>
      <w:bookmarkEnd w:id="435"/>
    </w:p>
    <w:p>
      <w:pPr>
        <w:pStyle w:val="Subsection"/>
      </w:pPr>
      <w:r>
        <w:tab/>
        <w:t>(1)</w:t>
      </w:r>
      <w:r>
        <w:tab/>
        <w:t xml:space="preserve">Nominal duty is chargeable on — </w:t>
      </w:r>
    </w:p>
    <w:p>
      <w:pPr>
        <w:pStyle w:val="Indenta"/>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pPr>
      <w:r>
        <w:tab/>
        <w:t>(3)</w:t>
      </w:r>
      <w:r>
        <w:tab/>
        <w:t>This section applies whether or not there has been a change in the legal description of the dutiable property between the purchase of the property by the apparent purchaser and the transfer to the real purchaser.</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Heading5"/>
        <w:spacing w:before="240"/>
      </w:pPr>
      <w:bookmarkStart w:id="436" w:name="_Toc392162386"/>
      <w:bookmarkStart w:id="437" w:name="_Toc413847191"/>
      <w:r>
        <w:rPr>
          <w:rStyle w:val="CharSectno"/>
        </w:rPr>
        <w:t>118</w:t>
      </w:r>
      <w:r>
        <w:t>.</w:t>
      </w:r>
      <w:r>
        <w:tab/>
        <w:t>Transfer to and from trustee</w:t>
      </w:r>
      <w:bookmarkEnd w:id="436"/>
      <w:bookmarkEnd w:id="437"/>
    </w:p>
    <w:p>
      <w:pPr>
        <w:pStyle w:val="Subsection"/>
        <w:spacing w:before="180"/>
      </w:pPr>
      <w:r>
        <w:tab/>
        <w:t>(1)</w:t>
      </w:r>
      <w:r>
        <w:tab/>
        <w:t xml:space="preserve">In this section — </w:t>
      </w:r>
    </w:p>
    <w:p>
      <w:pPr>
        <w:pStyle w:val="Defstart"/>
      </w:pPr>
      <w:r>
        <w:rPr>
          <w:b/>
        </w:rPr>
        <w:tab/>
      </w:r>
      <w:r>
        <w:rPr>
          <w:rStyle w:val="CharDefText"/>
        </w:rPr>
        <w:t>trustee</w:t>
      </w:r>
      <w:r>
        <w:t xml:space="preserve"> means a trustee of a trust, other than a unit trust scheme or a discretionary trust, and includes a trustee appointed in substitution for a trustee or a trustee appointed in addition to a trustee or trustees.</w:t>
      </w:r>
    </w:p>
    <w:p>
      <w:pPr>
        <w:pStyle w:val="Subsection"/>
      </w:pPr>
      <w:r>
        <w:tab/>
        <w:t>(2)</w:t>
      </w:r>
      <w:r>
        <w:tab/>
        <w:t xml:space="preserve">Nominal duty is chargeable on a transfer of dutiable property that is — </w:t>
      </w:r>
    </w:p>
    <w:p>
      <w:pPr>
        <w:pStyle w:val="Indenta"/>
      </w:pPr>
      <w:r>
        <w:tab/>
        <w:t>(a)</w:t>
      </w:r>
      <w:r>
        <w:tab/>
        <w:t>made by a transferor to a trustee to be held solely as trustee for the transferor without any change in the beneficial ownership of the dutiable property; or</w:t>
      </w:r>
    </w:p>
    <w:p>
      <w:pPr>
        <w:pStyle w:val="Indenta"/>
      </w:pPr>
      <w:r>
        <w:tab/>
        <w:t>(b)</w:t>
      </w:r>
      <w:r>
        <w:tab/>
        <w:t>made by way of re</w:t>
      </w:r>
      <w:r>
        <w:noBreakHyphen/>
        <w:t>transfer to the transferor, if no other person has had a beneficial interest in the property between the transfer to the trustee and the re</w:t>
      </w:r>
      <w:r>
        <w:noBreakHyphen/>
        <w:t>transfer.</w:t>
      </w:r>
    </w:p>
    <w:p>
      <w:pPr>
        <w:pStyle w:val="Subsection"/>
      </w:pPr>
      <w:r>
        <w:tab/>
        <w:t>(3)</w:t>
      </w:r>
      <w:r>
        <w:tab/>
        <w:t>This section applies whether or not there has been a change in the legal description of the dutiable property.</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Footnotesection"/>
        <w:rPr>
          <w:rFonts w:cs="Arial"/>
        </w:rPr>
      </w:pPr>
      <w:r>
        <w:tab/>
        <w:t>[Section 118 amended by No. 30 of 2008 s. 25.]</w:t>
      </w:r>
    </w:p>
    <w:p>
      <w:pPr>
        <w:pStyle w:val="Heading5"/>
      </w:pPr>
      <w:bookmarkStart w:id="438" w:name="_Toc392162387"/>
      <w:bookmarkStart w:id="439" w:name="_Toc413847192"/>
      <w:r>
        <w:rPr>
          <w:rStyle w:val="CharSectno"/>
        </w:rPr>
        <w:t>119</w:t>
      </w:r>
      <w:r>
        <w:t>.</w:t>
      </w:r>
      <w:r>
        <w:tab/>
        <w:t>Transactions related to changes in trustees and managed investment schemes</w:t>
      </w:r>
      <w:bookmarkEnd w:id="438"/>
      <w:bookmarkEnd w:id="439"/>
    </w:p>
    <w:p>
      <w:pPr>
        <w:pStyle w:val="Subsection"/>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pPr>
      <w:r>
        <w:rPr>
          <w:b/>
        </w:rPr>
        <w:tab/>
      </w:r>
      <w:r>
        <w:rPr>
          <w:rStyle w:val="CharDefText"/>
        </w:rPr>
        <w:t>responsible entity</w:t>
      </w:r>
      <w:r>
        <w:t xml:space="preserve"> has the meaning given in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pPr>
      <w:r>
        <w:tab/>
        <w:t>(3)</w:t>
      </w:r>
      <w:r>
        <w:tab/>
        <w:t xml:space="preserve">Nominal duty is chargeable on a transfer, or agreement for the transfer, of dutiable property — </w:t>
      </w:r>
    </w:p>
    <w:p>
      <w:pPr>
        <w:pStyle w:val="Indenta"/>
      </w:pPr>
      <w:r>
        <w:tab/>
        <w:t>(a)</w:t>
      </w:r>
      <w:r>
        <w:tab/>
        <w:t>to a trustee as a consequence of the retirement of a trustee or the appointment of a new trustee 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keepNext/>
      </w:pPr>
      <w:r>
        <w:tab/>
        <w:t>(b)</w:t>
      </w:r>
      <w:r>
        <w:tab/>
        <w:t>to hold the dutiable property on trust for the responsible entity of the managed investment scheme.</w:t>
      </w:r>
    </w:p>
    <w:p>
      <w:pPr>
        <w:pStyle w:val="Subsection"/>
      </w:pPr>
      <w:r>
        <w:tab/>
        <w:t>(5)</w:t>
      </w:r>
      <w:r>
        <w:tab/>
        <w:t xml:space="preserve">Nominal duty is chargeable on a transfer, or agreement for the transfer, of dutiable property — </w:t>
      </w:r>
    </w:p>
    <w:p>
      <w:pPr>
        <w:pStyle w:val="Indenta"/>
      </w:pPr>
      <w:r>
        <w:tab/>
        <w:t>(a)</w:t>
      </w:r>
      <w:r>
        <w:tab/>
        <w:t>from a responsible entity of a managed investment scheme 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440" w:name="_Toc392162388"/>
      <w:bookmarkStart w:id="441" w:name="_Toc413847193"/>
      <w:r>
        <w:rPr>
          <w:rStyle w:val="CharSectno"/>
        </w:rPr>
        <w:t>120</w:t>
      </w:r>
      <w:r>
        <w:t>.</w:t>
      </w:r>
      <w:r>
        <w:tab/>
        <w:t>Transfer by way of security</w:t>
      </w:r>
      <w:bookmarkEnd w:id="440"/>
      <w:bookmarkEnd w:id="441"/>
    </w:p>
    <w:p>
      <w:pPr>
        <w:pStyle w:val="Subsection"/>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MiscellaneousHeading"/>
        <w:spacing w:before="240"/>
        <w:rPr>
          <w:b/>
          <w:bCs/>
        </w:rPr>
      </w:pPr>
      <w:r>
        <w:rPr>
          <w:b/>
          <w:bCs/>
        </w:rPr>
        <w:t>Subdivision 2 — Certain superannuation transactions</w:t>
      </w:r>
    </w:p>
    <w:p>
      <w:pPr>
        <w:pStyle w:val="Heading5"/>
      </w:pPr>
      <w:bookmarkStart w:id="442" w:name="_Toc392162389"/>
      <w:bookmarkStart w:id="443" w:name="_Toc413847194"/>
      <w:r>
        <w:rPr>
          <w:rStyle w:val="CharSectno"/>
        </w:rPr>
        <w:t>121</w:t>
      </w:r>
      <w:r>
        <w:t>.</w:t>
      </w:r>
      <w:r>
        <w:tab/>
        <w:t>Terms used</w:t>
      </w:r>
      <w:bookmarkEnd w:id="442"/>
      <w:bookmarkEnd w:id="443"/>
    </w:p>
    <w:p>
      <w:pPr>
        <w:pStyle w:val="Subsection"/>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pPr>
      <w:bookmarkStart w:id="444" w:name="_Toc392162390"/>
      <w:bookmarkStart w:id="445" w:name="_Toc413847195"/>
      <w:r>
        <w:rPr>
          <w:rStyle w:val="CharSectno"/>
        </w:rPr>
        <w:t>122</w:t>
      </w:r>
      <w:r>
        <w:t>.</w:t>
      </w:r>
      <w:r>
        <w:tab/>
        <w:t>Some transfers etc. of dutiable property to superannuation fund for consideration</w:t>
      </w:r>
      <w:bookmarkEnd w:id="444"/>
      <w:bookmarkEnd w:id="445"/>
    </w:p>
    <w:p>
      <w:pPr>
        <w:pStyle w:val="Subsection"/>
        <w:spacing w:before="140"/>
      </w:pPr>
      <w:r>
        <w:tab/>
        <w:t>(1)</w:t>
      </w:r>
      <w:r>
        <w:tab/>
        <w:t xml:space="preserve">Nominal duty is chargeable on a transfer of, or an agreement for the transfer of, dutiable property by a person (the </w:t>
      </w:r>
      <w:r>
        <w:rPr>
          <w:rStyle w:val="CharDefText"/>
        </w:rPr>
        <w:t>transferor</w:t>
      </w:r>
      <w:r>
        <w:t xml:space="preserve">) to the trustee of a superannuation fund (the </w:t>
      </w:r>
      <w:r>
        <w:rPr>
          <w:rStyle w:val="CharDefText"/>
        </w:rPr>
        <w:t>trustee</w:t>
      </w:r>
      <w:r>
        <w:t xml:space="preserve">) where — </w:t>
      </w:r>
    </w:p>
    <w:p>
      <w:pPr>
        <w:pStyle w:val="Indenta"/>
        <w:spacing w:before="60"/>
      </w:pPr>
      <w:r>
        <w:tab/>
        <w:t>(a)</w:t>
      </w:r>
      <w:r>
        <w:tab/>
        <w:t>there is, or will be, consideration for the transfer or agreement; and</w:t>
      </w:r>
    </w:p>
    <w:p>
      <w:pPr>
        <w:pStyle w:val="Indenta"/>
        <w:spacing w:before="60"/>
      </w:pPr>
      <w:r>
        <w:tab/>
        <w:t>(b)</w:t>
      </w:r>
      <w:r>
        <w:tab/>
        <w:t xml:space="preserve">either of the following applies — </w:t>
      </w:r>
    </w:p>
    <w:p>
      <w:pPr>
        <w:pStyle w:val="Indenti"/>
        <w:spacing w:before="60"/>
      </w:pPr>
      <w:r>
        <w:tab/>
        <w:t>(i)</w:t>
      </w:r>
      <w:r>
        <w:tab/>
        <w:t>only the transferor can be a member of the superannuation fund;</w:t>
      </w:r>
    </w:p>
    <w:p>
      <w:pPr>
        <w:pStyle w:val="Indenti"/>
        <w:spacing w:before="60"/>
      </w:pPr>
      <w:r>
        <w:tab/>
        <w:t>(ii)</w:t>
      </w:r>
      <w:r>
        <w:tab/>
        <w:t xml:space="preserve">the property can only be held in the superannuation fund specifically for the transferor so that the property cannot be pooled with the contributions or other assets of another member and no other member can obtain an interest in the property; </w:t>
      </w:r>
    </w:p>
    <w:p>
      <w:pPr>
        <w:pStyle w:val="Indenta"/>
        <w:spacing w:before="60"/>
      </w:pPr>
      <w:r>
        <w:tab/>
      </w:r>
      <w:r>
        <w:tab/>
        <w:t>and</w:t>
      </w:r>
    </w:p>
    <w:p>
      <w:pPr>
        <w:pStyle w:val="Indenta"/>
      </w:pPr>
      <w:r>
        <w:tab/>
        <w:t>(c)</w:t>
      </w:r>
      <w:r>
        <w:tab/>
        <w:t>the property can only be held in the superannuation fund to be provided to the transferor as a retirement benefit.</w:t>
      </w:r>
    </w:p>
    <w:p>
      <w:pPr>
        <w:pStyle w:val="Subsection"/>
      </w:pPr>
      <w:r>
        <w:tab/>
        <w:t>(2)</w:t>
      </w:r>
      <w:r>
        <w:tab/>
        <w:t xml:space="preserve">In subsection (1) — </w:t>
      </w:r>
    </w:p>
    <w:p>
      <w:pPr>
        <w:pStyle w:val="Defstart"/>
      </w:pPr>
      <w:r>
        <w:rPr>
          <w:b/>
        </w:rPr>
        <w:tab/>
      </w:r>
      <w:r>
        <w:rPr>
          <w:rStyle w:val="CharDefText"/>
        </w:rPr>
        <w:t>property</w:t>
      </w:r>
      <w:r>
        <w:t xml:space="preserve"> means the dutiable property referred to in subsection (1) or, if the property is sold so that the proceeds can be provided to the transferor as a retirement benefit, those proceeds.</w:t>
      </w:r>
    </w:p>
    <w:p>
      <w:pPr>
        <w:pStyle w:val="Subsection"/>
      </w:pPr>
      <w:r>
        <w:tab/>
        <w:t>(3)</w:t>
      </w:r>
      <w:r>
        <w:tab/>
        <w:t>An application for assessment or reassessment under this section must be made in the approved form.</w:t>
      </w:r>
    </w:p>
    <w:p>
      <w:pPr>
        <w:pStyle w:val="Heading5"/>
      </w:pPr>
      <w:bookmarkStart w:id="446" w:name="_Toc392162391"/>
      <w:bookmarkStart w:id="447" w:name="_Toc413847196"/>
      <w:r>
        <w:rPr>
          <w:rStyle w:val="CharSectno"/>
        </w:rPr>
        <w:t>123</w:t>
      </w:r>
      <w:r>
        <w:t>.</w:t>
      </w:r>
      <w:r>
        <w:tab/>
        <w:t>Subsequent liability in certain circumstances</w:t>
      </w:r>
      <w:bookmarkEnd w:id="446"/>
      <w:bookmarkEnd w:id="447"/>
    </w:p>
    <w:p>
      <w:pPr>
        <w:pStyle w:val="Subsection"/>
      </w:pPr>
      <w:r>
        <w:tab/>
        <w:t>(1)</w:t>
      </w:r>
      <w:r>
        <w:tab/>
        <w:t xml:space="preserve">If — </w:t>
      </w:r>
    </w:p>
    <w:p>
      <w:pPr>
        <w:pStyle w:val="Indenta"/>
        <w:spacing w:before="60"/>
      </w:pPr>
      <w:r>
        <w:tab/>
        <w:t>(a)</w:t>
      </w:r>
      <w:r>
        <w:tab/>
        <w:t>after a transaction is duty endorsed under section 122; and</w:t>
      </w:r>
    </w:p>
    <w:p>
      <w:pPr>
        <w:pStyle w:val="Indenta"/>
        <w:keepNext/>
        <w:spacing w:before="60"/>
      </w:pPr>
      <w:r>
        <w:tab/>
        <w:t>(b)</w:t>
      </w:r>
      <w:r>
        <w:tab/>
        <w:t>while the dutiable property referred to in that section, or part of it, is still held in the superannuation fund,</w:t>
      </w:r>
    </w:p>
    <w:p>
      <w:pPr>
        <w:pStyle w:val="Subsection"/>
      </w:pPr>
      <w:r>
        <w:tab/>
      </w:r>
      <w:r>
        <w:tab/>
        <w:t>an event takes place the effect of which is that a restriction described in section 122(1)(b)(i) or (ii) or (c) that applied to the superannuation fund when liability to duty on the transaction arose ceases to apply, the event is taken to be a transfer of that dutiable property and is liable to duty accordingly.</w:t>
      </w:r>
    </w:p>
    <w:p>
      <w:pPr>
        <w:pStyle w:val="Subsection"/>
      </w:pPr>
      <w:r>
        <w:tab/>
        <w:t>(2)</w:t>
      </w:r>
      <w:r>
        <w:tab/>
        <w:t>Not later than 2 months after the day on which an event referred to in subsection (1) takes place the trustee of the superannuation fund is to lodge a transfer duty statement for the event.</w:t>
      </w:r>
    </w:p>
    <w:p>
      <w:pPr>
        <w:pStyle w:val="Penstart"/>
      </w:pPr>
      <w:r>
        <w:tab/>
        <w:t>Penalty: a fine of $20 000.</w:t>
      </w:r>
    </w:p>
    <w:p>
      <w:pPr>
        <w:pStyle w:val="Subsection"/>
      </w:pPr>
      <w:r>
        <w:tab/>
        <w:t>(3)</w:t>
      </w:r>
      <w:r>
        <w:tab/>
        <w:t>The person liable to pay the duty is the trustee of the superannuation fund.</w:t>
      </w:r>
    </w:p>
    <w:p>
      <w:pPr>
        <w:pStyle w:val="Heading5"/>
      </w:pPr>
      <w:bookmarkStart w:id="448" w:name="_Toc392162392"/>
      <w:bookmarkStart w:id="449" w:name="_Toc413847197"/>
      <w:r>
        <w:rPr>
          <w:rStyle w:val="CharSectno"/>
        </w:rPr>
        <w:t>124</w:t>
      </w:r>
      <w:r>
        <w:t>.</w:t>
      </w:r>
      <w:r>
        <w:tab/>
        <w:t>Some transfers etc. of dutiable property to superannuation fund without consideration</w:t>
      </w:r>
      <w:bookmarkEnd w:id="448"/>
      <w:bookmarkEnd w:id="449"/>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450" w:name="_Toc392162393"/>
      <w:bookmarkStart w:id="451" w:name="_Toc413847198"/>
      <w:r>
        <w:rPr>
          <w:rStyle w:val="CharSectno"/>
        </w:rPr>
        <w:t>125</w:t>
      </w:r>
      <w:r>
        <w:t>.</w:t>
      </w:r>
      <w:r>
        <w:tab/>
        <w:t>Transfer from one superannuation fund to another</w:t>
      </w:r>
      <w:bookmarkEnd w:id="450"/>
      <w:bookmarkEnd w:id="451"/>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pPr>
      <w:r>
        <w:tab/>
      </w:r>
      <w:r>
        <w:tab/>
        <w:t>and for which there is no consideration.</w:t>
      </w:r>
    </w:p>
    <w:p>
      <w:pPr>
        <w:pStyle w:val="Subsection"/>
        <w:keepNext/>
      </w:pPr>
      <w:r>
        <w:tab/>
        <w:t>(3)</w:t>
      </w:r>
      <w:r>
        <w:tab/>
        <w:t xml:space="preserve">An application for assessment or reassessment under this section — </w:t>
      </w:r>
    </w:p>
    <w:p>
      <w:pPr>
        <w:pStyle w:val="Indenta"/>
        <w:spacing w:before="60"/>
      </w:pPr>
      <w:r>
        <w:tab/>
        <w:t>(a)</w:t>
      </w:r>
      <w:r>
        <w:tab/>
        <w:t>must be made in the approved form; and</w:t>
      </w:r>
    </w:p>
    <w:p>
      <w:pPr>
        <w:pStyle w:val="Indenta"/>
        <w:spacing w:before="60"/>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452" w:name="_Toc392162394"/>
      <w:bookmarkStart w:id="453" w:name="_Toc413847199"/>
      <w:r>
        <w:rPr>
          <w:rStyle w:val="CharSectno"/>
        </w:rPr>
        <w:t>126</w:t>
      </w:r>
      <w:r>
        <w:t>.</w:t>
      </w:r>
      <w:r>
        <w:tab/>
        <w:t>Some transfers etc. of dutiable property between trustees and custodians of superannuation funds</w:t>
      </w:r>
      <w:bookmarkEnd w:id="452"/>
      <w:bookmarkEnd w:id="453"/>
    </w:p>
    <w:p>
      <w:pPr>
        <w:pStyle w:val="Subsection"/>
      </w:pPr>
      <w:r>
        <w:tab/>
        <w:t>(1)</w:t>
      </w:r>
      <w:r>
        <w:tab/>
        <w:t xml:space="preserve">In this section — </w:t>
      </w:r>
    </w:p>
    <w:p>
      <w:pPr>
        <w:pStyle w:val="Defstart"/>
      </w:pPr>
      <w:r>
        <w:rPr>
          <w:b/>
        </w:rPr>
        <w:tab/>
      </w:r>
      <w:r>
        <w:rPr>
          <w:rStyle w:val="CharDefText"/>
        </w:rPr>
        <w:t>relevant entity</w:t>
      </w:r>
      <w:r>
        <w:t xml:space="preserve">, in relation a transfer of, or an agreement for the transfer of, dutiable property, means — </w:t>
      </w:r>
    </w:p>
    <w:p>
      <w:pPr>
        <w:pStyle w:val="Defpara"/>
      </w:pPr>
      <w:r>
        <w:tab/>
        <w:t>(a)</w:t>
      </w:r>
      <w:r>
        <w:tab/>
        <w:t>a superannuation fund; or</w:t>
      </w:r>
    </w:p>
    <w:p>
      <w:pPr>
        <w:pStyle w:val="Defpara"/>
      </w:pPr>
      <w:r>
        <w:tab/>
        <w:t>(b)</w:t>
      </w:r>
      <w:r>
        <w:tab/>
        <w:t>an entity that, in the opinion of its trustee, will be a superannuation fund before the end of the period of 12 months after the day on which the property is transferred.</w:t>
      </w:r>
    </w:p>
    <w:p>
      <w:pPr>
        <w:pStyle w:val="Subsection"/>
        <w:keepNext/>
      </w:pPr>
      <w:r>
        <w:tab/>
        <w:t>(2)</w:t>
      </w:r>
      <w:r>
        <w:tab/>
        <w:t xml:space="preserve">Nominal duty is chargeable on a transfer of, or an agreement </w:t>
      </w:r>
      <w:r>
        <w:rPr>
          <w:snapToGrid w:val="0"/>
        </w:rPr>
        <w:t>for the transfer of</w:t>
      </w:r>
      <w:r>
        <w:t xml:space="preserve">, dutiable property from — </w:t>
      </w:r>
    </w:p>
    <w:p>
      <w:pPr>
        <w:pStyle w:val="Indenta"/>
      </w:pPr>
      <w:r>
        <w:tab/>
        <w:t>(a)</w:t>
      </w:r>
      <w:r>
        <w:tab/>
        <w:t>a trustee of a relevant entity to a custodian of the trustee of the relevant entity; or</w:t>
      </w:r>
    </w:p>
    <w:p>
      <w:pPr>
        <w:pStyle w:val="Indenta"/>
      </w:pPr>
      <w:r>
        <w:tab/>
        <w:t>(b)</w:t>
      </w:r>
      <w:r>
        <w:tab/>
        <w:t>a custodian of a trustee of a relevant entity to a trustee of the relevant entity; or</w:t>
      </w:r>
    </w:p>
    <w:p>
      <w:pPr>
        <w:pStyle w:val="Indenta"/>
      </w:pPr>
      <w:r>
        <w:tab/>
        <w:t>(c)</w:t>
      </w:r>
      <w:r>
        <w:tab/>
        <w:t>a custodian of a trustee of a relevant entity to another custodian of the trustee of the relevant entity,</w:t>
      </w:r>
    </w:p>
    <w:p>
      <w:pPr>
        <w:pStyle w:val="Subsection"/>
      </w:pPr>
      <w:r>
        <w:tab/>
      </w:r>
      <w:r>
        <w:tab/>
        <w:t>if there is no change in the beneficial ownership of the property.</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Heading5"/>
      </w:pPr>
      <w:bookmarkStart w:id="454" w:name="_Toc392162395"/>
      <w:bookmarkStart w:id="455" w:name="_Toc413847200"/>
      <w:r>
        <w:rPr>
          <w:rStyle w:val="CharSectno"/>
        </w:rPr>
        <w:t>127</w:t>
      </w:r>
      <w:r>
        <w:t>.</w:t>
      </w:r>
      <w:r>
        <w:tab/>
        <w:t>Some transfers etc. of dutiable property from superannuation fund to member, dependant or representative</w:t>
      </w:r>
      <w:bookmarkEnd w:id="454"/>
      <w:bookmarkEnd w:id="455"/>
    </w:p>
    <w:p>
      <w:pPr>
        <w:pStyle w:val="Subsection"/>
      </w:pPr>
      <w:r>
        <w:tab/>
        <w:t>(1)</w:t>
      </w:r>
      <w:r>
        <w:tab/>
        <w:t xml:space="preserve">In this section, each of these terms has the meaning given in the Commonwealth Act section 10(1) — </w:t>
      </w:r>
    </w:p>
    <w:p>
      <w:pPr>
        <w:pStyle w:val="Defstart"/>
      </w:pPr>
      <w:r>
        <w:tab/>
      </w:r>
      <w:r>
        <w:rPr>
          <w:rStyle w:val="CharDefText"/>
        </w:rPr>
        <w:t>dependant</w:t>
      </w:r>
    </w:p>
    <w:p>
      <w:pPr>
        <w:pStyle w:val="Defstart"/>
      </w:pPr>
      <w:r>
        <w:tab/>
      </w:r>
      <w:r>
        <w:rPr>
          <w:rStyle w:val="CharDefText"/>
        </w:rPr>
        <w:t>legal personal representative</w:t>
      </w:r>
    </w:p>
    <w:p>
      <w:pPr>
        <w:pStyle w:val="Subsection"/>
      </w:pPr>
      <w:r>
        <w:tab/>
        <w:t>(2)</w:t>
      </w:r>
      <w:r>
        <w:tab/>
        <w:t xml:space="preserve">Nominal duty is chargeable in respect of a transfer of, or an agreement for the transfer of, dutiable property from the trustee of a superannuation fund to — </w:t>
      </w:r>
    </w:p>
    <w:p>
      <w:pPr>
        <w:pStyle w:val="Indenta"/>
      </w:pPr>
      <w:r>
        <w:tab/>
        <w:t>(a)</w:t>
      </w:r>
      <w:r>
        <w:tab/>
        <w:t>a member of the fund; or</w:t>
      </w:r>
    </w:p>
    <w:p>
      <w:pPr>
        <w:pStyle w:val="Indenta"/>
      </w:pPr>
      <w:r>
        <w:tab/>
        <w:t>(b)</w:t>
      </w:r>
      <w:r>
        <w:tab/>
        <w:t>where the member has died — a dependant of, or the legal personal representative of, the member,</w:t>
      </w:r>
    </w:p>
    <w:p>
      <w:pPr>
        <w:pStyle w:val="Subsection"/>
      </w:pPr>
      <w:r>
        <w:tab/>
      </w:r>
      <w:r>
        <w:tab/>
        <w:t xml:space="preserve">if — </w:t>
      </w:r>
    </w:p>
    <w:p>
      <w:pPr>
        <w:pStyle w:val="Indenta"/>
      </w:pPr>
      <w:r>
        <w:tab/>
        <w:t>(c)</w:t>
      </w:r>
      <w:r>
        <w:tab/>
        <w:t>the member was a member of the fund when the property first became part of the fund; and</w:t>
      </w:r>
    </w:p>
    <w:p>
      <w:pPr>
        <w:pStyle w:val="Indenta"/>
      </w:pPr>
      <w:r>
        <w:tab/>
        <w:t>(d)</w:t>
      </w:r>
      <w:r>
        <w:tab/>
        <w:t>the unencumbered value of the property transferred does not exceed the value of the member’s interest in the fund; and</w:t>
      </w:r>
    </w:p>
    <w:p>
      <w:pPr>
        <w:pStyle w:val="Indenta"/>
      </w:pPr>
      <w:r>
        <w:tab/>
        <w:t>(e)</w:t>
      </w:r>
      <w:r>
        <w:tab/>
        <w:t>there is, or will be, no consideration for the transfer or agreement.</w:t>
      </w:r>
    </w:p>
    <w:p>
      <w:pPr>
        <w:pStyle w:val="Footnotesection"/>
      </w:pPr>
      <w:r>
        <w:tab/>
        <w:t>[Section 127 inserted by No. 32 of 2012 s. 8.]</w:t>
      </w:r>
    </w:p>
    <w:p>
      <w:pPr>
        <w:pStyle w:val="MiscellaneousHeading"/>
        <w:keepLines/>
        <w:spacing w:before="240"/>
        <w:rPr>
          <w:b/>
          <w:bCs/>
        </w:rPr>
      </w:pPr>
      <w:r>
        <w:rPr>
          <w:b/>
          <w:bCs/>
        </w:rPr>
        <w:t>Subdivision 3 — Transactions related to the break</w:t>
      </w:r>
      <w:r>
        <w:rPr>
          <w:b/>
          <w:bCs/>
        </w:rPr>
        <w:noBreakHyphen/>
        <w:t>up of a marriage or de facto relationship</w:t>
      </w:r>
    </w:p>
    <w:p>
      <w:pPr>
        <w:pStyle w:val="NotesPerm"/>
        <w:keepNext/>
        <w:keepLines/>
        <w:tabs>
          <w:tab w:val="left" w:pos="1418"/>
        </w:tabs>
        <w:ind w:left="1418" w:hanging="1418"/>
      </w:pPr>
      <w:r>
        <w:tab/>
        <w:t>Note:</w:t>
      </w:r>
      <w:r>
        <w:tab/>
        <w:t>Section 113 provides for an exemption from duty to the extent that a dutiable transaction is effected by a matrimonial instrument or a de facto relationship instrument.</w:t>
      </w:r>
    </w:p>
    <w:p>
      <w:pPr>
        <w:pStyle w:val="Heading5"/>
      </w:pPr>
      <w:bookmarkStart w:id="456" w:name="_Toc392162396"/>
      <w:bookmarkStart w:id="457" w:name="_Toc413847201"/>
      <w:r>
        <w:rPr>
          <w:rStyle w:val="CharSectno"/>
        </w:rPr>
        <w:t>128</w:t>
      </w:r>
      <w:r>
        <w:t>.</w:t>
      </w:r>
      <w:r>
        <w:tab/>
        <w:t>Terms used</w:t>
      </w:r>
      <w:bookmarkEnd w:id="456"/>
      <w:bookmarkEnd w:id="457"/>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90MN;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w:t>
      </w:r>
    </w:p>
    <w:p>
      <w:pPr>
        <w:pStyle w:val="Defstar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90MH;</w:t>
      </w:r>
    </w:p>
    <w:p>
      <w:pPr>
        <w:pStyle w:val="Defstart"/>
      </w:pPr>
      <w:r>
        <w:rPr>
          <w:b/>
        </w:rPr>
        <w:tab/>
      </w:r>
      <w:r>
        <w:rPr>
          <w:rStyle w:val="CharDefText"/>
        </w:rPr>
        <w:t>superannuation fund</w:t>
      </w:r>
      <w:r>
        <w:t xml:space="preserve"> has the meaning given in section 121;</w:t>
      </w:r>
    </w:p>
    <w:p>
      <w:pPr>
        <w:pStyle w:val="Defstart"/>
      </w:pPr>
      <w:r>
        <w:rPr>
          <w:b/>
        </w:rPr>
        <w:tab/>
      </w:r>
      <w:r>
        <w:rPr>
          <w:rStyle w:val="CharDefText"/>
        </w:rPr>
        <w:t>superannuation interest</w:t>
      </w:r>
      <w:r>
        <w:t xml:space="preserve"> has the meaning given in the Family Law Act section 90MD.</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Heading5"/>
        <w:keepNext w:val="0"/>
        <w:keepLines w:val="0"/>
        <w:spacing w:before="240"/>
      </w:pPr>
      <w:bookmarkStart w:id="458" w:name="_Toc392162397"/>
      <w:bookmarkStart w:id="459" w:name="_Toc413847202"/>
      <w:r>
        <w:rPr>
          <w:rStyle w:val="CharSectno"/>
        </w:rPr>
        <w:t>129</w:t>
      </w:r>
      <w:r>
        <w:t>.</w:t>
      </w:r>
      <w:r>
        <w:tab/>
        <w:t>References to matrimonial instrument</w:t>
      </w:r>
      <w:bookmarkEnd w:id="458"/>
      <w:bookmarkEnd w:id="459"/>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keepNext/>
      </w:pPr>
      <w:r>
        <w:tab/>
        <w:t>(c)</w:t>
      </w:r>
      <w:r>
        <w:tab/>
        <w:t>a splitting agreement;</w:t>
      </w:r>
    </w:p>
    <w:p>
      <w:pPr>
        <w:pStyle w:val="Indenta"/>
      </w:pPr>
      <w:r>
        <w:tab/>
        <w:t>(d)</w:t>
      </w:r>
      <w:r>
        <w:tab/>
        <w:t>an order of a court under the Family Law Act.</w:t>
      </w:r>
    </w:p>
    <w:p>
      <w:pPr>
        <w:pStyle w:val="Heading5"/>
      </w:pPr>
      <w:bookmarkStart w:id="460" w:name="_Toc392162398"/>
      <w:bookmarkStart w:id="461" w:name="_Toc413847203"/>
      <w:r>
        <w:rPr>
          <w:rStyle w:val="CharSectno"/>
        </w:rPr>
        <w:t>130</w:t>
      </w:r>
      <w:r>
        <w:t>.</w:t>
      </w:r>
      <w:r>
        <w:tab/>
        <w:t>References to de facto relationship instrument</w:t>
      </w:r>
      <w:bookmarkEnd w:id="460"/>
      <w:bookmarkEnd w:id="461"/>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p>
    <w:p>
      <w:pPr>
        <w:pStyle w:val="Indenta"/>
      </w:pPr>
      <w:r>
        <w:tab/>
        <w:t>(b)</w:t>
      </w:r>
      <w:r>
        <w:tab/>
        <w:t xml:space="preserve">an order of a court under — </w:t>
      </w:r>
    </w:p>
    <w:p>
      <w:pPr>
        <w:pStyle w:val="Indenti"/>
      </w:pPr>
      <w:r>
        <w:tab/>
        <w:t>(i)</w:t>
      </w:r>
      <w:r>
        <w:tab/>
        <w:t>the Family Court Act Part 5A; or</w:t>
      </w:r>
    </w:p>
    <w:p>
      <w:pPr>
        <w:pStyle w:val="Indenti"/>
      </w:pPr>
      <w:r>
        <w:tab/>
        <w:t>(ii)</w:t>
      </w:r>
      <w:r>
        <w:tab/>
        <w:t>a law of the Commonwealth or another State or Territory that substantially corresponds to the Family Court Act Part 5A.</w:t>
      </w:r>
    </w:p>
    <w:p>
      <w:pPr>
        <w:pStyle w:val="Heading5"/>
        <w:keepLines w:val="0"/>
      </w:pPr>
      <w:bookmarkStart w:id="462" w:name="_Toc392162399"/>
      <w:bookmarkStart w:id="463" w:name="_Toc413847204"/>
      <w:r>
        <w:rPr>
          <w:rStyle w:val="CharSectno"/>
        </w:rPr>
        <w:t>131</w:t>
      </w:r>
      <w:r>
        <w:t>.</w:t>
      </w:r>
      <w:r>
        <w:tab/>
        <w:t>Transactions effected by or in accordance with matrimonial instrument or de facto relationship instrument</w:t>
      </w:r>
      <w:bookmarkEnd w:id="462"/>
      <w:bookmarkEnd w:id="463"/>
    </w:p>
    <w:p>
      <w:pPr>
        <w:pStyle w:val="Subsection"/>
      </w:pPr>
      <w:r>
        <w:tab/>
        <w:t>(1)</w:t>
      </w:r>
      <w:r>
        <w:tab/>
        <w:t xml:space="preserve">Nominal duty is chargeable on a dutiable transaction to the extent that it is — </w:t>
      </w:r>
    </w:p>
    <w:p>
      <w:pPr>
        <w:pStyle w:val="Indenta"/>
      </w:pPr>
      <w:r>
        <w:tab/>
        <w:t>(a)</w:t>
      </w:r>
      <w:r>
        <w:tab/>
        <w:t>effected by a matrimonial instrument referred to in section 129(a) or (d); or</w:t>
      </w:r>
    </w:p>
    <w:p>
      <w:pPr>
        <w:pStyle w:val="Indenta"/>
        <w:keepNext/>
      </w:pPr>
      <w:r>
        <w:tab/>
        <w:t>(b)</w:t>
      </w:r>
      <w:r>
        <w:tab/>
        <w:t>in accordance with a matrimonial instrument referred to in section 129(b) or (c),</w:t>
      </w:r>
    </w:p>
    <w:p>
      <w:pPr>
        <w:pStyle w:val="Subsection"/>
      </w:pPr>
      <w:r>
        <w:tab/>
      </w:r>
      <w:r>
        <w:tab/>
        <w:t xml:space="preserve">if — </w:t>
      </w:r>
    </w:p>
    <w:p>
      <w:pPr>
        <w:pStyle w:val="Indenta"/>
      </w:pPr>
      <w:r>
        <w:tab/>
        <w:t>(c)</w:t>
      </w:r>
      <w:r>
        <w:tab/>
        <w:t>the parties to the marriage are separated or divorced from each other or the marriage has irretrievably broken down; and</w:t>
      </w:r>
    </w:p>
    <w:p>
      <w:pPr>
        <w:pStyle w:val="Indenta"/>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spacing w:before="180"/>
      </w:pPr>
      <w:r>
        <w:tab/>
        <w:t>(2)</w:t>
      </w:r>
      <w:r>
        <w:tab/>
        <w:t xml:space="preserve">Nominal duty is chargeable on a dutiable transaction to the extent that it is — </w:t>
      </w:r>
    </w:p>
    <w:p>
      <w:pPr>
        <w:pStyle w:val="Indenta"/>
      </w:pPr>
      <w:r>
        <w:tab/>
        <w:t>(a)</w:t>
      </w:r>
      <w:r>
        <w:tab/>
        <w:t>effected by a de facto relationship instrument referred to in section 130(b); or</w:t>
      </w:r>
    </w:p>
    <w:p>
      <w:pPr>
        <w:pStyle w:val="Indenta"/>
      </w:pPr>
      <w:r>
        <w:tab/>
        <w:t>(b)</w:t>
      </w:r>
      <w:r>
        <w:tab/>
        <w:t>in accordance with a de facto relationship instrument referred to in section 130(a),</w:t>
      </w:r>
    </w:p>
    <w:p>
      <w:pPr>
        <w:pStyle w:val="Subsection"/>
      </w:pPr>
      <w:r>
        <w:tab/>
      </w:r>
      <w:r>
        <w:tab/>
        <w:t xml:space="preserve">if — </w:t>
      </w:r>
    </w:p>
    <w:p>
      <w:pPr>
        <w:pStyle w:val="Indenta"/>
      </w:pPr>
      <w:r>
        <w:tab/>
        <w:t>(c)</w:t>
      </w:r>
      <w:r>
        <w:tab/>
        <w:t>the de facto relationship between the de facto partners has ended; and</w:t>
      </w:r>
    </w:p>
    <w:p>
      <w:pPr>
        <w:pStyle w:val="Indenta"/>
        <w:keepNext/>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w:t>
      </w:r>
    </w:p>
    <w:p>
      <w:pPr>
        <w:pStyle w:val="Heading5"/>
      </w:pPr>
      <w:bookmarkStart w:id="464" w:name="_Toc392162400"/>
      <w:bookmarkStart w:id="465" w:name="_Toc413847205"/>
      <w:r>
        <w:rPr>
          <w:rStyle w:val="CharSectno"/>
        </w:rPr>
        <w:t>132</w:t>
      </w:r>
      <w:r>
        <w:t>.</w:t>
      </w:r>
      <w:r>
        <w:tab/>
        <w:t>Transactions becoming ones to which s. 131 applies, reassessment of</w:t>
      </w:r>
      <w:bookmarkEnd w:id="464"/>
      <w:bookmarkEnd w:id="465"/>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pPr>
      <w:r>
        <w:tab/>
        <w:t>(b)</w:t>
      </w:r>
      <w:r>
        <w:tab/>
        <w:t xml:space="preserve">the transaction was effected by, or 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pPr>
      <w:r>
        <w:tab/>
        <w:t>(2)</w:t>
      </w:r>
      <w:r>
        <w:tab/>
        <w:t>For the purposes of this section, the Taxation Administration Act section 17 applies as if the original assessment had been made when the instrument became a matrimonial instrument or a de facto relationship instrument.</w:t>
      </w:r>
    </w:p>
    <w:p>
      <w:pPr>
        <w:pStyle w:val="Heading5"/>
      </w:pPr>
      <w:bookmarkStart w:id="466" w:name="_Toc392162401"/>
      <w:bookmarkStart w:id="467" w:name="_Toc413847206"/>
      <w:r>
        <w:rPr>
          <w:rStyle w:val="CharSectno"/>
        </w:rPr>
        <w:t>133</w:t>
      </w:r>
      <w:r>
        <w:t>.</w:t>
      </w:r>
      <w:r>
        <w:tab/>
        <w:t>Evidence as to marriage or de facto relationship</w:t>
      </w:r>
      <w:bookmarkEnd w:id="466"/>
      <w:bookmarkEnd w:id="467"/>
    </w:p>
    <w:p>
      <w:pPr>
        <w:pStyle w:val="Subsection"/>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keepNext/>
        <w:keepLines/>
      </w:pPr>
      <w:r>
        <w:tab/>
        <w:t>(2)</w:t>
      </w:r>
      <w:r>
        <w:tab/>
        <w:t>For the purposes of this Subdivision, the Commissioner is to have regard to any statutory declaration made by a de facto partner to the de facto relationship to the effect that the relationship has ended.</w:t>
      </w:r>
    </w:p>
    <w:p>
      <w:pPr>
        <w:pStyle w:val="MiscellaneousHeading"/>
        <w:spacing w:before="240"/>
        <w:rPr>
          <w:b/>
          <w:bCs/>
        </w:rPr>
      </w:pPr>
      <w:r>
        <w:rPr>
          <w:b/>
          <w:bCs/>
        </w:rPr>
        <w:t>Subdivision 4 — Other transactions</w:t>
      </w:r>
    </w:p>
    <w:p>
      <w:pPr>
        <w:pStyle w:val="Heading5"/>
      </w:pPr>
      <w:bookmarkStart w:id="468" w:name="_Toc392162402"/>
      <w:bookmarkStart w:id="469" w:name="_Toc413847207"/>
      <w:r>
        <w:rPr>
          <w:rStyle w:val="CharSectno"/>
        </w:rPr>
        <w:t>134</w:t>
      </w:r>
      <w:r>
        <w:t>.</w:t>
      </w:r>
      <w:r>
        <w:tab/>
        <w:t>Some transfers etc. of certain lots under planning scheme</w:t>
      </w:r>
      <w:bookmarkEnd w:id="468"/>
      <w:bookmarkEnd w:id="469"/>
    </w:p>
    <w:p>
      <w:pPr>
        <w:pStyle w:val="Subsection"/>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470" w:name="_Toc392162403"/>
      <w:bookmarkStart w:id="471" w:name="_Toc413847208"/>
      <w:r>
        <w:rPr>
          <w:rStyle w:val="CharSectno"/>
        </w:rPr>
        <w:t>135</w:t>
      </w:r>
      <w:r>
        <w:t>.</w:t>
      </w:r>
      <w:r>
        <w:tab/>
        <w:t>Farm</w:t>
      </w:r>
      <w:r>
        <w:noBreakHyphen/>
        <w:t>in agreements</w:t>
      </w:r>
      <w:bookmarkEnd w:id="470"/>
      <w:bookmarkEnd w:id="471"/>
    </w:p>
    <w:p>
      <w:pPr>
        <w:pStyle w:val="Subsection"/>
      </w:pPr>
      <w:r>
        <w:tab/>
        <w:t>(1)</w:t>
      </w:r>
      <w:r>
        <w:tab/>
        <w:t>Nominal duty is chargeable on a farm</w:t>
      </w:r>
      <w:r>
        <w:noBreakHyphen/>
        <w:t>in agreement if no consideration is paid, or agreed to be paid, for the agreement.</w:t>
      </w:r>
    </w:p>
    <w:p>
      <w:pPr>
        <w:pStyle w:val="Subsection"/>
      </w:pPr>
      <w:r>
        <w:tab/>
        <w:t>(2)</w:t>
      </w:r>
      <w:r>
        <w:tab/>
        <w:t>The dutiable value for a dutiable transaction that is a farm</w:t>
      </w:r>
      <w:r>
        <w:noBreakHyphen/>
        <w:t>in agreement is the consideration for the transaction.</w:t>
      </w:r>
    </w:p>
    <w:p>
      <w:pPr>
        <w:pStyle w:val="Subsection"/>
        <w:keepNext/>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472" w:name="_Toc392162404"/>
      <w:bookmarkStart w:id="473" w:name="_Toc413847209"/>
      <w:r>
        <w:rPr>
          <w:rStyle w:val="CharSectno"/>
        </w:rPr>
        <w:t>136</w:t>
      </w:r>
      <w:r>
        <w:t>.</w:t>
      </w:r>
      <w:r>
        <w:tab/>
        <w:t xml:space="preserve">Business licences held under </w:t>
      </w:r>
      <w:r>
        <w:rPr>
          <w:i/>
          <w:iCs/>
        </w:rPr>
        <w:t>Fish Resources Management Act 1994</w:t>
      </w:r>
      <w:bookmarkEnd w:id="472"/>
      <w:bookmarkEnd w:id="473"/>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474" w:name="_Toc392162405"/>
      <w:bookmarkStart w:id="475" w:name="_Toc413847210"/>
      <w:r>
        <w:rPr>
          <w:rStyle w:val="CharSectno"/>
        </w:rPr>
        <w:t>137</w:t>
      </w:r>
      <w:r>
        <w:t>.</w:t>
      </w:r>
      <w:r>
        <w:tab/>
        <w:t>Transfers etc. to change joint tenancy to tenancy in common etc.</w:t>
      </w:r>
      <w:bookmarkEnd w:id="474"/>
      <w:bookmarkEnd w:id="475"/>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476" w:name="_Toc392162406"/>
      <w:bookmarkStart w:id="477" w:name="_Toc413847211"/>
      <w:r>
        <w:rPr>
          <w:rStyle w:val="CharSectno"/>
        </w:rPr>
        <w:t>138</w:t>
      </w:r>
      <w:r>
        <w:t>.</w:t>
      </w:r>
      <w:r>
        <w:tab/>
        <w:t>Transactions to correct clerical errors in previous dutiable transactions</w:t>
      </w:r>
      <w:bookmarkEnd w:id="476"/>
      <w:bookmarkEnd w:id="477"/>
    </w:p>
    <w:p>
      <w:pPr>
        <w:pStyle w:val="Subsection"/>
      </w:pPr>
      <w:r>
        <w:tab/>
        <w:t>(1)</w:t>
      </w:r>
      <w:r>
        <w:tab/>
        <w:t xml:space="preserve">Nominal duty is chargeable on a dutiable transaction to correct a clerical error in a previous dutiable transaction about the same or other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pPr>
      <w:r>
        <w:tab/>
        <w:t>(2)</w:t>
      </w:r>
      <w:r>
        <w:tab/>
        <w:t xml:space="preserve">To remove any doubt, it is declared that an error by a party about the appropriateness of a transaction to achieve a particular intended legal result is not a clerical error in the transaction. </w:t>
      </w:r>
    </w:p>
    <w:p>
      <w:pPr>
        <w:pStyle w:val="Footnotesection"/>
        <w:ind w:left="890" w:hanging="890"/>
      </w:pPr>
      <w:r>
        <w:tab/>
        <w:t>[Section 138 amended by No. 32 of 2012 s. 9.]</w:t>
      </w:r>
    </w:p>
    <w:p>
      <w:pPr>
        <w:pStyle w:val="Heading5"/>
        <w:spacing w:before="240"/>
      </w:pPr>
      <w:bookmarkStart w:id="478" w:name="_Toc392162407"/>
      <w:bookmarkStart w:id="479" w:name="_Toc413847212"/>
      <w:r>
        <w:rPr>
          <w:rStyle w:val="CharSectno"/>
        </w:rPr>
        <w:t>139</w:t>
      </w:r>
      <w:r>
        <w:t>.</w:t>
      </w:r>
      <w:r>
        <w:tab/>
        <w:t>Some transactions involving deceased estates</w:t>
      </w:r>
      <w:bookmarkEnd w:id="478"/>
      <w:bookmarkEnd w:id="479"/>
    </w:p>
    <w:p>
      <w:pPr>
        <w:pStyle w:val="Subsection"/>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spacing w:before="180"/>
      </w:pPr>
      <w:r>
        <w:tab/>
        <w:t>(2)</w:t>
      </w:r>
      <w:r>
        <w:tab/>
        <w:t xml:space="preserve">Nominal duty is chargeable on the following dutiable transactions — </w:t>
      </w:r>
    </w:p>
    <w:p>
      <w:pPr>
        <w:pStyle w:val="Indenta"/>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pPr>
      <w:r>
        <w:tab/>
        <w:t>(c)</w:t>
      </w:r>
      <w:r>
        <w:tab/>
        <w:t xml:space="preserve">a vesting of dutiable property by, or as a consequence of, a court order made — </w:t>
      </w:r>
    </w:p>
    <w:p>
      <w:pPr>
        <w:pStyle w:val="Indenti"/>
      </w:pPr>
      <w:r>
        <w:tab/>
        <w:t>(i)</w:t>
      </w:r>
      <w:r>
        <w:tab/>
        <w:t xml:space="preserve">under the </w:t>
      </w:r>
      <w:r>
        <w:rPr>
          <w:i/>
        </w:rPr>
        <w:t>Family Provision Act 1972</w:t>
      </w:r>
      <w:r>
        <w:t>; or</w:t>
      </w:r>
    </w:p>
    <w:p>
      <w:pPr>
        <w:pStyle w:val="Indenti"/>
        <w:keepNext/>
      </w:pPr>
      <w:r>
        <w:tab/>
        <w:t>(ii)</w:t>
      </w:r>
      <w:r>
        <w:tab/>
        <w:t xml:space="preserve">under the </w:t>
      </w:r>
      <w:r>
        <w:rPr>
          <w:i/>
        </w:rPr>
        <w:t>Trustees Act 1962</w:t>
      </w:r>
      <w:r>
        <w:t xml:space="preserve"> section 65 on an application under the </w:t>
      </w:r>
      <w:r>
        <w:rPr>
          <w:i/>
        </w:rPr>
        <w:t>Family Provision Act 1972</w:t>
      </w:r>
      <w:r>
        <w:t>.</w:t>
      </w:r>
    </w:p>
    <w:p>
      <w:pPr>
        <w:pStyle w:val="Footnotesection"/>
      </w:pPr>
      <w:r>
        <w:tab/>
        <w:t>[Section 139 amended by No. 48 of 2011 s. 15.]</w:t>
      </w:r>
    </w:p>
    <w:p>
      <w:pPr>
        <w:pStyle w:val="Heading5"/>
      </w:pPr>
      <w:bookmarkStart w:id="480" w:name="_Toc392162408"/>
      <w:bookmarkStart w:id="481" w:name="_Toc413847213"/>
      <w:r>
        <w:rPr>
          <w:rStyle w:val="CharSectno"/>
        </w:rPr>
        <w:t>140</w:t>
      </w:r>
      <w:r>
        <w:t>.</w:t>
      </w:r>
      <w:r>
        <w:tab/>
        <w:t>Prescribed dutiable transactions</w:t>
      </w:r>
      <w:bookmarkEnd w:id="480"/>
      <w:bookmarkEnd w:id="481"/>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482" w:name="_Toc389126418"/>
      <w:bookmarkStart w:id="483" w:name="_Toc392162409"/>
      <w:bookmarkStart w:id="484" w:name="_Toc412734905"/>
      <w:bookmarkStart w:id="485" w:name="_Toc412735328"/>
      <w:bookmarkStart w:id="486" w:name="_Toc412819345"/>
      <w:bookmarkStart w:id="487" w:name="_Toc413830105"/>
      <w:bookmarkStart w:id="488" w:name="_Toc413847214"/>
      <w:r>
        <w:rPr>
          <w:sz w:val="26"/>
        </w:rPr>
        <w:t>Division 3 — First home owner concessions</w:t>
      </w:r>
      <w:bookmarkEnd w:id="482"/>
      <w:bookmarkEnd w:id="483"/>
      <w:bookmarkEnd w:id="484"/>
      <w:bookmarkEnd w:id="485"/>
      <w:bookmarkEnd w:id="486"/>
      <w:bookmarkEnd w:id="487"/>
      <w:bookmarkEnd w:id="488"/>
    </w:p>
    <w:p>
      <w:pPr>
        <w:pStyle w:val="Heading5"/>
      </w:pPr>
      <w:bookmarkStart w:id="489" w:name="_Toc392162410"/>
      <w:bookmarkStart w:id="490" w:name="_Toc413847215"/>
      <w:r>
        <w:rPr>
          <w:rStyle w:val="CharSectno"/>
        </w:rPr>
        <w:t>141</w:t>
      </w:r>
      <w:r>
        <w:t>.</w:t>
      </w:r>
      <w:r>
        <w:tab/>
        <w:t>Terms used</w:t>
      </w:r>
      <w:bookmarkEnd w:id="489"/>
      <w:bookmarkEnd w:id="490"/>
    </w:p>
    <w:p>
      <w:pPr>
        <w:pStyle w:val="Subsection"/>
      </w:pPr>
      <w:r>
        <w:tab/>
        <w:t>(1)</w:t>
      </w:r>
      <w:r>
        <w:tab/>
        <w:t>In this Division —</w:t>
      </w:r>
    </w:p>
    <w:p>
      <w:pPr>
        <w:pStyle w:val="Defstart"/>
      </w:pPr>
      <w:r>
        <w:rPr>
          <w:b/>
        </w:rPr>
        <w:tab/>
      </w:r>
      <w:r>
        <w:rPr>
          <w:rStyle w:val="CharDefText"/>
        </w:rPr>
        <w:t>FHOG Act</w:t>
      </w:r>
      <w:r>
        <w:t xml:space="preserve"> means the </w:t>
      </w:r>
      <w:r>
        <w:rPr>
          <w:i/>
          <w:iCs/>
        </w:rPr>
        <w:t>First Home Owner Grant Act 2000</w:t>
      </w:r>
      <w:r>
        <w:t>;</w:t>
      </w:r>
    </w:p>
    <w:p>
      <w:pPr>
        <w:pStyle w:val="Defstart"/>
      </w:pPr>
      <w:r>
        <w:rPr>
          <w:b/>
        </w:rPr>
        <w:tab/>
      </w:r>
      <w:r>
        <w:rPr>
          <w:rStyle w:val="CharDefText"/>
        </w:rPr>
        <w:t>FHOG concessional transaction</w:t>
      </w:r>
      <w:r>
        <w:t xml:space="preserve"> has the meaning given in section 142(1);</w:t>
      </w:r>
    </w:p>
    <w:p>
      <w:pPr>
        <w:pStyle w:val="Defstart"/>
      </w:pPr>
      <w:r>
        <w:tab/>
      </w:r>
      <w:r>
        <w:rPr>
          <w:rStyle w:val="CharDefText"/>
        </w:rPr>
        <w:t>first FHOG concessional transaction</w:t>
      </w:r>
      <w:r>
        <w:t xml:space="preserve"> has the meaning given in section 142(2);</w:t>
      </w:r>
    </w:p>
    <w:p>
      <w:pPr>
        <w:pStyle w:val="Defstart"/>
      </w:pPr>
      <w:r>
        <w:rPr>
          <w:b/>
        </w:rPr>
        <w:tab/>
      </w:r>
      <w:r>
        <w:rPr>
          <w:rStyle w:val="CharDefText"/>
        </w:rPr>
        <w:t>further FHOG concessional transaction</w:t>
      </w:r>
      <w:r>
        <w:t xml:space="preserve"> has the meaning given in section 142(2);</w:t>
      </w:r>
    </w:p>
    <w:p>
      <w:pPr>
        <w:pStyle w:val="Defstart"/>
        <w:keepNext/>
      </w:pPr>
      <w:r>
        <w:rPr>
          <w:b/>
        </w:rPr>
        <w:tab/>
      </w:r>
      <w:r>
        <w:rPr>
          <w:rStyle w:val="CharDefText"/>
        </w:rPr>
        <w:t>transferee</w:t>
      </w:r>
      <w:r>
        <w:rPr>
          <w:bCs/>
        </w:rPr>
        <w:t>,</w:t>
      </w:r>
      <w:r>
        <w:rPr>
          <w:b/>
        </w:rPr>
        <w:t xml:space="preserve"> </w:t>
      </w:r>
      <w:r>
        <w:rPr>
          <w:bCs/>
        </w:rPr>
        <w:t>in respect of a transaction, means</w:t>
      </w:r>
      <w:r>
        <w:t xml:space="preserve"> a person to whom the property the subject of the transaction — </w:t>
      </w:r>
    </w:p>
    <w:p>
      <w:pPr>
        <w:pStyle w:val="Defpara"/>
      </w:pPr>
      <w:r>
        <w:tab/>
        <w:t>(a)</w:t>
      </w:r>
      <w:r>
        <w:tab/>
        <w:t>is transferred; or</w:t>
      </w:r>
    </w:p>
    <w:p>
      <w:pPr>
        <w:pStyle w:val="Defpara"/>
      </w:pPr>
      <w:r>
        <w:tab/>
        <w:t>(b)</w:t>
      </w:r>
      <w:r>
        <w:tab/>
        <w:t>is agreed to be transferred,</w:t>
      </w:r>
    </w:p>
    <w:p>
      <w:pPr>
        <w:pStyle w:val="Defstar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spacing w:before="180"/>
      </w:pPr>
      <w:r>
        <w:tab/>
        <w:t>(2)</w:t>
      </w:r>
      <w:r>
        <w:tab/>
        <w:t>If a term is given a meaning in the FHOG Act, it has the same meaning in this Division.</w:t>
      </w:r>
    </w:p>
    <w:p>
      <w:pPr>
        <w:pStyle w:val="Heading5"/>
        <w:spacing w:before="240"/>
      </w:pPr>
      <w:bookmarkStart w:id="491" w:name="_Toc392162411"/>
      <w:bookmarkStart w:id="492" w:name="_Toc413847216"/>
      <w:r>
        <w:rPr>
          <w:rStyle w:val="CharSectno"/>
        </w:rPr>
        <w:t>142</w:t>
      </w:r>
      <w:r>
        <w:t>.</w:t>
      </w:r>
      <w:r>
        <w:tab/>
        <w:t>References to FHOG concessional transaction and further FHOG concessional transaction</w:t>
      </w:r>
      <w:bookmarkEnd w:id="491"/>
      <w:bookmarkEnd w:id="492"/>
    </w:p>
    <w:p>
      <w:pPr>
        <w:pStyle w:val="Subsection"/>
        <w:spacing w:before="180"/>
      </w:pPr>
      <w:r>
        <w:tab/>
        <w:t>(1)</w:t>
      </w:r>
      <w:r>
        <w:tab/>
        <w:t xml:space="preserve">A reference in this Division to a FHOG concessional transaction is to a transfer of, or an agreement for the transfer of, dutiable property where — </w:t>
      </w:r>
    </w:p>
    <w:p>
      <w:pPr>
        <w:pStyle w:val="Indenta"/>
        <w:spacing w:before="100"/>
      </w:pPr>
      <w:r>
        <w:tab/>
        <w:t>(a)</w:t>
      </w:r>
      <w:r>
        <w:tab/>
        <w:t xml:space="preserve">the transferee or, if there are more than one, each transferee — </w:t>
      </w:r>
    </w:p>
    <w:p>
      <w:pPr>
        <w:pStyle w:val="Indenti"/>
        <w:spacing w:before="100"/>
      </w:pPr>
      <w:r>
        <w:tab/>
        <w:t>(i)</w:t>
      </w:r>
      <w:r>
        <w:tab/>
        <w:t>is paid a first home owner grant in relation to the property or becomes a person to whom a first home owner grant is or will be payable, in relation to the property; or</w:t>
      </w:r>
    </w:p>
    <w:p>
      <w:pPr>
        <w:pStyle w:val="Indenti"/>
        <w:spacing w:before="100"/>
      </w:pPr>
      <w:r>
        <w:tab/>
        <w:t>(ii)</w:t>
      </w:r>
      <w:r>
        <w:tab/>
        <w:t xml:space="preserve">becomes a person to whom a first home owner grant would be, or would have been, payable in relation to the property if consideration had been given for the transfer of the property; </w:t>
      </w:r>
    </w:p>
    <w:p>
      <w:pPr>
        <w:pStyle w:val="Indenta"/>
        <w:spacing w:before="100"/>
      </w:pPr>
      <w:r>
        <w:tab/>
      </w:r>
      <w:r>
        <w:tab/>
        <w:t>and</w:t>
      </w:r>
    </w:p>
    <w:p>
      <w:pPr>
        <w:pStyle w:val="Indenta"/>
      </w:pPr>
      <w:r>
        <w:tab/>
        <w:t>(b)</w:t>
      </w:r>
      <w:r>
        <w:tab/>
        <w:t xml:space="preserve">the unencumbered value of the land, or the land and home, the subject of the eligible transaction to which the first home owner grant relates, does not exceed — </w:t>
      </w:r>
    </w:p>
    <w:p>
      <w:pPr>
        <w:pStyle w:val="Indenti"/>
      </w:pPr>
      <w:r>
        <w:tab/>
        <w:t>(i)</w:t>
      </w:r>
      <w:r>
        <w:tab/>
        <w:t>if there is no home on the land — $400 000; or</w:t>
      </w:r>
    </w:p>
    <w:p>
      <w:pPr>
        <w:pStyle w:val="Indenti"/>
      </w:pPr>
      <w:r>
        <w:tab/>
        <w:t>(ii)</w:t>
      </w:r>
      <w:r>
        <w:tab/>
        <w:t>otherwise — $530 000,</w:t>
      </w:r>
    </w:p>
    <w:p>
      <w:pPr>
        <w:pStyle w:val="Subsection"/>
      </w:pPr>
      <w:r>
        <w:tab/>
      </w:r>
      <w:r>
        <w:tab/>
        <w:t>and includes a transaction where, due to the operation of section 42(2) or (4), duty is not chargeable on the transfer of dutiable property the subject of the transaction.</w:t>
      </w:r>
    </w:p>
    <w:p>
      <w:pPr>
        <w:pStyle w:val="Subsection"/>
        <w:spacing w:before="200"/>
      </w:pPr>
      <w:r>
        <w:tab/>
        <w:t>(2)</w:t>
      </w:r>
      <w:r>
        <w:tab/>
        <w:t xml:space="preserve">A reference in this Division to a further FHOG concessional transaction is to a transfer of, or an agreement for the transfer of, a further interest in the dutiable property the subject of a FHOG concessional transaction (the </w:t>
      </w:r>
      <w:r>
        <w:rPr>
          <w:rStyle w:val="CharDefText"/>
        </w:rPr>
        <w:t>first FHOG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FHOG concessional transaction is executed within 10 years of an instrument that effected the first FHOG concessional transaction; and</w:t>
      </w:r>
    </w:p>
    <w:p>
      <w:pPr>
        <w:pStyle w:val="Indenta"/>
      </w:pPr>
      <w:r>
        <w:tab/>
        <w:t>(c)</w:t>
      </w:r>
      <w:r>
        <w:tab/>
        <w:t>where each transferee in respect of the further FHOG concessional transaction is a transferee in relation to the first FHOG concessional transaction,</w:t>
      </w:r>
    </w:p>
    <w:p>
      <w:pPr>
        <w:pStyle w:val="Subsection"/>
      </w:pPr>
      <w:r>
        <w:tab/>
      </w:r>
      <w:r>
        <w:tab/>
        <w:t>and includes a transaction where, due to the operation of section 42(2) or (4), duty is not chargeable on the transfer of dutiable property the subject of the transaction.</w:t>
      </w:r>
    </w:p>
    <w:p>
      <w:pPr>
        <w:pStyle w:val="Footnotesection"/>
      </w:pPr>
      <w:r>
        <w:tab/>
        <w:t>[Section 142 amended by No. 29 of 2012 s. 7; No. 15 of 2014 s. 4.]</w:t>
      </w:r>
    </w:p>
    <w:p>
      <w:pPr>
        <w:pStyle w:val="Heading5"/>
      </w:pPr>
      <w:bookmarkStart w:id="493" w:name="_Toc392162412"/>
      <w:bookmarkStart w:id="494" w:name="_Toc413847217"/>
      <w:r>
        <w:rPr>
          <w:rStyle w:val="CharSectno"/>
        </w:rPr>
        <w:t>143</w:t>
      </w:r>
      <w:r>
        <w:t>.</w:t>
      </w:r>
      <w:r>
        <w:tab/>
        <w:t>Concessions for first home owners</w:t>
      </w:r>
      <w:bookmarkEnd w:id="493"/>
      <w:bookmarkEnd w:id="494"/>
    </w:p>
    <w:p>
      <w:pPr>
        <w:pStyle w:val="Subsection"/>
      </w:pPr>
      <w:r>
        <w:tab/>
        <w:t>(1)</w:t>
      </w:r>
      <w:r>
        <w:tab/>
        <w:t>Duty is chargeable on a FHOG concessional transaction at the applicable concessional rate of duty.</w:t>
      </w:r>
    </w:p>
    <w:p>
      <w:pPr>
        <w:pStyle w:val="Subsection"/>
        <w:keepLines/>
      </w:pPr>
      <w:r>
        <w:tab/>
        <w:t>(2)</w:t>
      </w:r>
      <w:r>
        <w:tab/>
        <w:t>Duty is chargeable on a further FHOG concessional transaction at the same rate and using the same thresholds that applied when duty became chargeable on the first FHOG concessional transaction.</w:t>
      </w:r>
    </w:p>
    <w:p>
      <w:pPr>
        <w:pStyle w:val="Subsection"/>
      </w:pPr>
      <w:r>
        <w:tab/>
        <w:t>(3)</w:t>
      </w:r>
      <w:r>
        <w:tab/>
        <w:t xml:space="preserve">The dutiable value of a further FHOG concessional transaction is the greater of the following amounts — </w:t>
      </w:r>
    </w:p>
    <w:p>
      <w:pPr>
        <w:pStyle w:val="Indenta"/>
      </w:pPr>
      <w:r>
        <w:tab/>
        <w:t>(a)</w:t>
      </w:r>
      <w:r>
        <w:tab/>
        <w:t xml:space="preserve">the consideration for the first FHOG concessional transaction; </w:t>
      </w:r>
    </w:p>
    <w:p>
      <w:pPr>
        <w:pStyle w:val="Indenta"/>
      </w:pPr>
      <w:r>
        <w:tab/>
        <w:t>(b)</w:t>
      </w:r>
      <w:r>
        <w:tab/>
        <w:t>the unencumbered value of the whole of the dutiable property the subject of the first FHOG concessional transaction at the time when liability for duty on the first FHOG concessional transaction arose.</w:t>
      </w:r>
    </w:p>
    <w:p>
      <w:pPr>
        <w:pStyle w:val="Subsection"/>
        <w:keepNext/>
      </w:pPr>
      <w:r>
        <w:tab/>
        <w:t>(4)</w:t>
      </w:r>
      <w:r>
        <w:tab/>
        <w:t xml:space="preserve">When subsection (2) applies — </w:t>
      </w:r>
    </w:p>
    <w:p>
      <w:pPr>
        <w:pStyle w:val="Indenta"/>
      </w:pPr>
      <w:r>
        <w:tab/>
        <w:t>(a)</w:t>
      </w:r>
      <w:r>
        <w:tab/>
        <w:t>the liability of the transferee to pay duty on the further FHOG concessional transaction is to bear the same proportion to the whole of the amount of duty payable as the interest in the dutiable property held by the transferee after the further FHOG concessional transaction bears to the whole of the dutiable property; and</w:t>
      </w:r>
    </w:p>
    <w:p>
      <w:pPr>
        <w:pStyle w:val="Indenta"/>
      </w:pPr>
      <w:r>
        <w:tab/>
        <w:t>(b)</w:t>
      </w:r>
      <w:r>
        <w:tab/>
        <w:t>the amount of duty payable is to be reduced by the amount of the duty paid by the transferee on the first FHOG concessional transaction and any other further FHOG concessional transactions on which duty has been paid; and</w:t>
      </w:r>
    </w:p>
    <w:p>
      <w:pPr>
        <w:pStyle w:val="Indenta"/>
      </w:pPr>
      <w:r>
        <w:tab/>
        <w:t>(c)</w:t>
      </w:r>
      <w:r>
        <w:tab/>
        <w:t>there is no liability to pay any remaining portion of the duty that would, but for this paragraph be payable.</w:t>
      </w:r>
    </w:p>
    <w:p>
      <w:pPr>
        <w:pStyle w:val="Heading5"/>
        <w:spacing w:before="160"/>
      </w:pPr>
      <w:bookmarkStart w:id="495" w:name="_Toc392162413"/>
      <w:bookmarkStart w:id="496" w:name="_Toc413847218"/>
      <w:r>
        <w:rPr>
          <w:rStyle w:val="CharSectno"/>
        </w:rPr>
        <w:t>144</w:t>
      </w:r>
      <w:r>
        <w:t>.</w:t>
      </w:r>
      <w:r>
        <w:tab/>
        <w:t>Application for concession under this Division</w:t>
      </w:r>
      <w:bookmarkEnd w:id="495"/>
      <w:bookmarkEnd w:id="496"/>
    </w:p>
    <w:p>
      <w:pPr>
        <w:pStyle w:val="Subsection"/>
        <w:spacing w:before="120"/>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spacing w:before="60"/>
      </w:pPr>
      <w:r>
        <w:tab/>
        <w:t>(b)</w:t>
      </w:r>
      <w:r>
        <w:tab/>
        <w:t>accompanied by such transaction record for the transaction as is required to be lodged under section 23.</w:t>
      </w:r>
    </w:p>
    <w:p>
      <w:pPr>
        <w:pStyle w:val="Subsection"/>
        <w:spacing w:before="120"/>
      </w:pPr>
      <w:r>
        <w:tab/>
        <w:t>(2)</w:t>
      </w:r>
      <w:r>
        <w:tab/>
        <w:t xml:space="preserve">For the purposes of this Division, the Taxation Administration Act section 17 applies as if — </w:t>
      </w:r>
    </w:p>
    <w:p>
      <w:pPr>
        <w:pStyle w:val="Indenta"/>
        <w:spacing w:before="60"/>
      </w:pPr>
      <w:r>
        <w:tab/>
        <w:t>(a)</w:t>
      </w:r>
      <w:r>
        <w:tab/>
        <w:t xml:space="preserve">in respect of a FHOG concessional transaction — </w:t>
      </w:r>
    </w:p>
    <w:p>
      <w:pPr>
        <w:pStyle w:val="Indenti"/>
        <w:spacing w:before="40"/>
      </w:pPr>
      <w:r>
        <w:tab/>
        <w:t>(i)</w:t>
      </w:r>
      <w:r>
        <w:tab/>
        <w:t>despite subsection (1) of that section, a person is not entitled to apply for a reassessment other than within the period beginning on the commencement date of the FHOG concessional transaction to which the application relates and ending whichever is the later of the day that is —</w:t>
      </w:r>
    </w:p>
    <w:p>
      <w:pPr>
        <w:pStyle w:val="IndentI0"/>
        <w:spacing w:before="60"/>
      </w:pPr>
      <w:r>
        <w:tab/>
        <w:t>(I)</w:t>
      </w:r>
      <w:r>
        <w:tab/>
        <w:t>12 months after the day on which the FHOG concessional transaction was completed; or</w:t>
      </w:r>
    </w:p>
    <w:p>
      <w:pPr>
        <w:pStyle w:val="IndentI0"/>
      </w:pPr>
      <w:r>
        <w:tab/>
        <w:t>(II)</w:t>
      </w:r>
      <w:r>
        <w:tab/>
        <w:t>if an application for a first home owner grant has been made, 3 months after the day on which the grant is paid;</w:t>
      </w:r>
    </w:p>
    <w:p>
      <w:pPr>
        <w:pStyle w:val="Indenti"/>
      </w:pPr>
      <w:r>
        <w:tab/>
      </w:r>
      <w:r>
        <w:tab/>
        <w:t>and</w:t>
      </w:r>
    </w:p>
    <w:p>
      <w:pPr>
        <w:pStyle w:val="Indenti"/>
      </w:pPr>
      <w:r>
        <w:tab/>
        <w:t>(ii)</w:t>
      </w:r>
      <w:r>
        <w:tab/>
        <w:t xml:space="preserve">despite subsection (4) of that section, the Commissioner is to make a reassessment on an application in respect of a FHOG concessional transaction made within that time; </w:t>
      </w:r>
    </w:p>
    <w:p>
      <w:pPr>
        <w:pStyle w:val="Indenta"/>
      </w:pPr>
      <w:r>
        <w:tab/>
      </w:r>
      <w:r>
        <w:tab/>
        <w:t>and</w:t>
      </w:r>
    </w:p>
    <w:p>
      <w:pPr>
        <w:pStyle w:val="Indenta"/>
        <w:keepNext/>
      </w:pPr>
      <w:r>
        <w:tab/>
        <w:t>(b)</w:t>
      </w:r>
      <w:r>
        <w:tab/>
        <w:t xml:space="preserve">in respect of a further FHOG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pPr>
      <w:r>
        <w:tab/>
        <w:t>(ii)</w:t>
      </w:r>
      <w:r>
        <w:tab/>
        <w:t>despite subsection (4) of that section, the Commissioner is to make a reassessment on an application in respect of a FHOG concessional transaction made within that time.</w:t>
      </w:r>
    </w:p>
    <w:p>
      <w:pPr>
        <w:pStyle w:val="Heading5"/>
      </w:pPr>
      <w:bookmarkStart w:id="497" w:name="_Toc392162414"/>
      <w:bookmarkStart w:id="498" w:name="_Toc413847219"/>
      <w:r>
        <w:rPr>
          <w:rStyle w:val="CharSectno"/>
        </w:rPr>
        <w:t>145</w:t>
      </w:r>
      <w:r>
        <w:t>.</w:t>
      </w:r>
      <w:r>
        <w:tab/>
        <w:t>Subsequent liability in certain circumstances</w:t>
      </w:r>
      <w:bookmarkEnd w:id="497"/>
      <w:bookmarkEnd w:id="498"/>
    </w:p>
    <w:p>
      <w:pPr>
        <w:pStyle w:val="Subsection"/>
      </w:pPr>
      <w:r>
        <w:tab/>
        <w:t>(1)</w:t>
      </w:r>
      <w:r>
        <w:tab/>
        <w:t>Despite section 143, duty is not chargeable on a transaction referred to in section 142 at a concessional rate of duty if a transferee is required to repay an amount under the FHOG Act section 21 or 51, or would be required to repay an amount if a first home owner grant had been paid to the transferee.</w:t>
      </w:r>
    </w:p>
    <w:p>
      <w:pPr>
        <w:pStyle w:val="Subsection"/>
      </w:pPr>
      <w:r>
        <w:tab/>
        <w:t>(2)</w:t>
      </w:r>
      <w:r>
        <w:tab/>
        <w:t>The previous assessment of a transaction referred to in subsection (1) is taken to be incorrect for the purposes of the Taxation Administration Act section 16(2)(a).</w:t>
      </w:r>
    </w:p>
    <w:p>
      <w:pPr>
        <w:pStyle w:val="Heading5"/>
      </w:pPr>
      <w:bookmarkStart w:id="499" w:name="_Toc392162415"/>
      <w:bookmarkStart w:id="500" w:name="_Toc413847220"/>
      <w:r>
        <w:rPr>
          <w:rStyle w:val="CharSectno"/>
        </w:rPr>
        <w:t>146</w:t>
      </w:r>
      <w:r>
        <w:t>.</w:t>
      </w:r>
      <w:r>
        <w:tab/>
        <w:t>Other provisions about first home owner concessions</w:t>
      </w:r>
      <w:bookmarkEnd w:id="499"/>
      <w:bookmarkEnd w:id="500"/>
    </w:p>
    <w:p>
      <w:pPr>
        <w:pStyle w:val="Subsection"/>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pPr>
      <w:r>
        <w:tab/>
        <w:t>(b)</w:t>
      </w:r>
      <w:r>
        <w:tab/>
        <w:t>the FHOG Act applies to and in relation to an application under this Division, to the extent that it can be applied for those purposes, as if a reference in the FHOG Act to an application or an applicant were a reference to the application or applicant under this Division; and</w:t>
      </w:r>
    </w:p>
    <w:p>
      <w:pPr>
        <w:pStyle w:val="Indenta"/>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Heading4"/>
        <w:spacing w:before="260"/>
        <w:rPr>
          <w:bCs/>
          <w:szCs w:val="24"/>
        </w:rPr>
      </w:pPr>
      <w:bookmarkStart w:id="501" w:name="_Toc389126425"/>
      <w:bookmarkStart w:id="502" w:name="_Toc392162416"/>
      <w:bookmarkStart w:id="503" w:name="_Toc412734912"/>
      <w:bookmarkStart w:id="504" w:name="_Toc412735335"/>
      <w:bookmarkStart w:id="505" w:name="_Toc412819352"/>
      <w:bookmarkStart w:id="506" w:name="_Toc413830112"/>
      <w:bookmarkStart w:id="507" w:name="_Toc413847221"/>
      <w:r>
        <w:rPr>
          <w:sz w:val="26"/>
        </w:rPr>
        <w:t>Division 4A</w:t>
      </w:r>
      <w:r>
        <w:rPr>
          <w:bCs/>
          <w:szCs w:val="24"/>
        </w:rPr>
        <w:t xml:space="preserve"> — </w:t>
      </w:r>
      <w:r>
        <w:rPr>
          <w:sz w:val="26"/>
        </w:rPr>
        <w:t>Residential concession</w:t>
      </w:r>
      <w:bookmarkEnd w:id="501"/>
      <w:bookmarkEnd w:id="502"/>
      <w:bookmarkEnd w:id="503"/>
      <w:bookmarkEnd w:id="504"/>
      <w:bookmarkEnd w:id="505"/>
      <w:bookmarkEnd w:id="506"/>
      <w:bookmarkEnd w:id="507"/>
    </w:p>
    <w:p>
      <w:pPr>
        <w:pStyle w:val="Footnoteheading"/>
        <w:keepNext/>
        <w:keepLines/>
      </w:pPr>
      <w:r>
        <w:tab/>
        <w:t>[Heading inserted by No. 30 of 2008 s. 26.]</w:t>
      </w:r>
    </w:p>
    <w:p>
      <w:pPr>
        <w:pStyle w:val="Heading5"/>
      </w:pPr>
      <w:bookmarkStart w:id="508" w:name="_Toc392162417"/>
      <w:bookmarkStart w:id="509" w:name="_Toc413847222"/>
      <w:r>
        <w:rPr>
          <w:rStyle w:val="CharSectno"/>
        </w:rPr>
        <w:t>147A</w:t>
      </w:r>
      <w:r>
        <w:t>.</w:t>
      </w:r>
      <w:r>
        <w:tab/>
        <w:t>Terms used</w:t>
      </w:r>
      <w:bookmarkEnd w:id="508"/>
      <w:bookmarkEnd w:id="509"/>
    </w:p>
    <w:p>
      <w:pPr>
        <w:pStyle w:val="Subsection"/>
      </w:pPr>
      <w:r>
        <w:tab/>
        <w:t>(1)</w:t>
      </w:r>
      <w:r>
        <w:tab/>
        <w:t xml:space="preserve">In this Division — </w:t>
      </w:r>
    </w:p>
    <w:p>
      <w:pPr>
        <w:pStyle w:val="Defstart"/>
      </w:pPr>
      <w:r>
        <w:rPr>
          <w:b/>
        </w:rPr>
        <w:tab/>
      </w:r>
      <w:r>
        <w:rPr>
          <w:rStyle w:val="CharDefText"/>
        </w:rPr>
        <w:t>construction</w:t>
      </w:r>
      <w:r>
        <w:t xml:space="preserve"> includes the continuation of construction of a partially constructed building;</w:t>
      </w:r>
    </w:p>
    <w:p>
      <w:pPr>
        <w:pStyle w:val="Defstart"/>
      </w:pPr>
      <w:r>
        <w:rPr>
          <w:b/>
        </w:rPr>
        <w:tab/>
      </w:r>
      <w:r>
        <w:rPr>
          <w:rStyle w:val="CharDefText"/>
        </w:rPr>
        <w:t>eligible transaction</w:t>
      </w:r>
      <w:r>
        <w:t xml:space="preserve"> has the meaning given in section 147B;</w:t>
      </w:r>
    </w:p>
    <w:p>
      <w:pPr>
        <w:pStyle w:val="Defstart"/>
      </w:pPr>
      <w:r>
        <w:rPr>
          <w:b/>
        </w:rPr>
        <w:tab/>
      </w:r>
      <w:r>
        <w:rPr>
          <w:rStyle w:val="CharDefText"/>
        </w:rPr>
        <w:t>residence</w:t>
      </w:r>
      <w:r>
        <w:t xml:space="preserve"> means a building, or part of a building, that — </w:t>
      </w:r>
    </w:p>
    <w:p>
      <w:pPr>
        <w:pStyle w:val="Defpara"/>
      </w:pPr>
      <w:r>
        <w:tab/>
        <w:t>(a)</w:t>
      </w:r>
      <w:r>
        <w:tab/>
        <w:t>may lawfully be used; and</w:t>
      </w:r>
    </w:p>
    <w:p>
      <w:pPr>
        <w:pStyle w:val="Defpara"/>
      </w:pPr>
      <w:r>
        <w:tab/>
        <w:t>(b)</w:t>
      </w:r>
      <w:r>
        <w:tab/>
        <w:t xml:space="preserve">in the Commissioner’s opinion, is suitable to be used; and </w:t>
      </w:r>
    </w:p>
    <w:p>
      <w:pPr>
        <w:pStyle w:val="Defpara"/>
      </w:pPr>
      <w:r>
        <w:tab/>
        <w:t>(c)</w:t>
      </w:r>
      <w:r>
        <w:tab/>
        <w:t>is intended by the taxpayer to be used,</w:t>
      </w:r>
    </w:p>
    <w:p>
      <w:pPr>
        <w:pStyle w:val="Defstart"/>
      </w:pPr>
      <w:r>
        <w:tab/>
        <w:t>as a place of residence for one or more individuals;</w:t>
      </w:r>
    </w:p>
    <w:p>
      <w:pPr>
        <w:pStyle w:val="Defstart"/>
      </w:pPr>
      <w:r>
        <w:rPr>
          <w:b/>
        </w:rPr>
        <w:tab/>
      </w:r>
      <w:r>
        <w:rPr>
          <w:rStyle w:val="CharDefText"/>
        </w:rPr>
        <w:t>residential property</w:t>
      </w:r>
      <w:r>
        <w:t xml:space="preserve"> has the meaning given in section 147D;</w:t>
      </w:r>
    </w:p>
    <w:p>
      <w:pPr>
        <w:pStyle w:val="Defstart"/>
      </w:pPr>
      <w:r>
        <w:tab/>
      </w:r>
      <w:r>
        <w:rPr>
          <w:rStyle w:val="CharDefText"/>
        </w:rPr>
        <w:t>taxpayer</w:t>
      </w:r>
      <w:r>
        <w:rPr>
          <w:bCs/>
        </w:rPr>
        <w:t>,</w:t>
      </w:r>
      <w:r>
        <w:t xml:space="preserve"> in relation to a transaction, means the person liable to pay duty.</w:t>
      </w:r>
    </w:p>
    <w:p>
      <w:pPr>
        <w:pStyle w:val="Subsection"/>
      </w:pPr>
      <w:r>
        <w:tab/>
        <w:t>(2)</w:t>
      </w:r>
      <w:r>
        <w:tab/>
        <w:t xml:space="preserve">For the purposes of this Division the construction of a residence begins on — </w:t>
      </w:r>
    </w:p>
    <w:p>
      <w:pPr>
        <w:pStyle w:val="Indenta"/>
      </w:pPr>
      <w:r>
        <w:tab/>
        <w:t>(a)</w:t>
      </w:r>
      <w:r>
        <w:tab/>
        <w:t>the date when laying the foundations for the residence begins; or</w:t>
      </w:r>
    </w:p>
    <w:p>
      <w:pPr>
        <w:pStyle w:val="Indenta"/>
      </w:pPr>
      <w:r>
        <w:tab/>
        <w:t>(b)</w:t>
      </w:r>
      <w:r>
        <w:tab/>
        <w:t>another date the Commissioner considers appropriate in the circumstances of the case.</w:t>
      </w:r>
    </w:p>
    <w:p>
      <w:pPr>
        <w:pStyle w:val="Footnotesection"/>
      </w:pPr>
      <w:r>
        <w:tab/>
        <w:t>[Section 147A inserted by No. 30 of 2008 s. 26.]</w:t>
      </w:r>
    </w:p>
    <w:p>
      <w:pPr>
        <w:pStyle w:val="Heading5"/>
      </w:pPr>
      <w:bookmarkStart w:id="510" w:name="_Toc392162418"/>
      <w:bookmarkStart w:id="511" w:name="_Toc413847223"/>
      <w:r>
        <w:rPr>
          <w:rStyle w:val="CharSectno"/>
        </w:rPr>
        <w:t>147B</w:t>
      </w:r>
      <w:r>
        <w:t>.</w:t>
      </w:r>
      <w:r>
        <w:tab/>
        <w:t>Term used: eligible transaction</w:t>
      </w:r>
      <w:bookmarkEnd w:id="510"/>
      <w:bookmarkEnd w:id="511"/>
    </w:p>
    <w:p>
      <w:pPr>
        <w:pStyle w:val="Subsection"/>
      </w:pPr>
      <w:r>
        <w:tab/>
      </w:r>
      <w:r>
        <w:tab/>
        <w:t xml:space="preserve">Each of the following is an </w:t>
      </w:r>
      <w:r>
        <w:rPr>
          <w:rStyle w:val="CharDefText"/>
        </w:rPr>
        <w:t>eligible transaction</w:t>
      </w:r>
      <w:r>
        <w:t xml:space="preserve"> — </w:t>
      </w:r>
    </w:p>
    <w:p>
      <w:pPr>
        <w:pStyle w:val="Indenta"/>
      </w:pPr>
      <w:r>
        <w:tab/>
        <w:t>(a)</w:t>
      </w:r>
      <w:r>
        <w:tab/>
        <w:t xml:space="preserve">a dutiable transaction referred to in section 11(1)(a); </w:t>
      </w:r>
    </w:p>
    <w:p>
      <w:pPr>
        <w:pStyle w:val="Indenta"/>
      </w:pPr>
      <w:r>
        <w:tab/>
        <w:t>(b)</w:t>
      </w:r>
      <w:r>
        <w:tab/>
        <w:t xml:space="preserve">a dutiable transaction referred to in section 11(1)(b) other than a transaction referred to in section 67; </w:t>
      </w:r>
    </w:p>
    <w:p>
      <w:pPr>
        <w:pStyle w:val="Indenta"/>
      </w:pPr>
      <w:r>
        <w:tab/>
        <w:t>(c)</w:t>
      </w:r>
      <w:r>
        <w:tab/>
        <w:t xml:space="preserve">a dutiable transaction referred to in section 11(1)(d)(ii); </w:t>
      </w:r>
    </w:p>
    <w:p>
      <w:pPr>
        <w:pStyle w:val="Indenta"/>
      </w:pPr>
      <w:r>
        <w:tab/>
        <w:t>(d)</w:t>
      </w:r>
      <w:r>
        <w:tab/>
        <w:t>a dutiable transaction of a kind prescribed for the purposes of this section.</w:t>
      </w:r>
    </w:p>
    <w:p>
      <w:pPr>
        <w:pStyle w:val="Footnotesection"/>
      </w:pPr>
      <w:r>
        <w:tab/>
        <w:t>[Section 147B inserted by No. 30 of 2008 s. 26.]</w:t>
      </w:r>
    </w:p>
    <w:p>
      <w:pPr>
        <w:pStyle w:val="Heading5"/>
      </w:pPr>
      <w:bookmarkStart w:id="512" w:name="_Toc392162419"/>
      <w:bookmarkStart w:id="513" w:name="_Toc413847224"/>
      <w:r>
        <w:rPr>
          <w:rStyle w:val="CharSectno"/>
        </w:rPr>
        <w:t>147C</w:t>
      </w:r>
      <w:r>
        <w:t>.</w:t>
      </w:r>
      <w:r>
        <w:tab/>
        <w:t>Term used: concessional transaction</w:t>
      </w:r>
      <w:bookmarkEnd w:id="512"/>
      <w:bookmarkEnd w:id="513"/>
    </w:p>
    <w:p>
      <w:pPr>
        <w:pStyle w:val="Subsection"/>
      </w:pPr>
      <w:r>
        <w:tab/>
        <w:t>(1)</w:t>
      </w:r>
      <w:r>
        <w:tab/>
        <w:t xml:space="preserve">An eligible transaction is a </w:t>
      </w:r>
      <w:r>
        <w:rPr>
          <w:rStyle w:val="CharDefText"/>
        </w:rPr>
        <w:t>concessional transaction</w:t>
      </w:r>
      <w:r>
        <w:t xml:space="preserve"> for the purposes of this Division if the dutiable property is land that is residential property.</w:t>
      </w:r>
    </w:p>
    <w:p>
      <w:pPr>
        <w:pStyle w:val="Subsection"/>
      </w:pPr>
      <w:r>
        <w:tab/>
        <w:t>(2)</w:t>
      </w:r>
      <w:r>
        <w:tab/>
        <w:t>Despite section 37(3)(a), transactions may be aggregated under section 37 even though at least one of them is a concessional transaction under subsection (1), and the transactions so aggregated are to be treated as a single dutiable transaction that is a concessional transaction for the purposes of this Division.</w:t>
      </w:r>
    </w:p>
    <w:p>
      <w:pPr>
        <w:pStyle w:val="Footnotesection"/>
      </w:pPr>
      <w:r>
        <w:tab/>
        <w:t>[Section 147C inserted by No. 30 of 2008 s. 26.]</w:t>
      </w:r>
    </w:p>
    <w:p>
      <w:pPr>
        <w:pStyle w:val="Heading5"/>
      </w:pPr>
      <w:bookmarkStart w:id="514" w:name="_Toc392162420"/>
      <w:bookmarkStart w:id="515" w:name="_Toc413847225"/>
      <w:r>
        <w:rPr>
          <w:rStyle w:val="CharSectno"/>
        </w:rPr>
        <w:t>147D</w:t>
      </w:r>
      <w:r>
        <w:t>.</w:t>
      </w:r>
      <w:r>
        <w:tab/>
        <w:t>Term used: residential property</w:t>
      </w:r>
      <w:bookmarkEnd w:id="514"/>
      <w:bookmarkEnd w:id="515"/>
    </w:p>
    <w:p>
      <w:pPr>
        <w:pStyle w:val="Subsection"/>
      </w:pPr>
      <w:r>
        <w:tab/>
      </w:r>
      <w:r>
        <w:tab/>
        <w:t xml:space="preserve">Land is </w:t>
      </w:r>
      <w:r>
        <w:rPr>
          <w:rStyle w:val="CharDefText"/>
        </w:rPr>
        <w:t>residential property</w:t>
      </w:r>
      <w:r>
        <w:t xml:space="preserve"> if — </w:t>
      </w:r>
    </w:p>
    <w:p>
      <w:pPr>
        <w:pStyle w:val="Indenta"/>
      </w:pPr>
      <w:r>
        <w:tab/>
        <w:t>(a)</w:t>
      </w:r>
      <w:r>
        <w:tab/>
        <w:t>there is a residence on the land; or</w:t>
      </w:r>
    </w:p>
    <w:p>
      <w:pPr>
        <w:pStyle w:val="Indenta"/>
      </w:pPr>
      <w:r>
        <w:tab/>
        <w:t>(b)</w:t>
      </w:r>
      <w:r>
        <w:tab/>
        <w:t>the taxpayer has begun construction of a residence on the land; or</w:t>
      </w:r>
    </w:p>
    <w:p>
      <w:pPr>
        <w:pStyle w:val="Indenta"/>
      </w:pPr>
      <w:r>
        <w:tab/>
        <w:t>(c)</w:t>
      </w:r>
      <w:r>
        <w:tab/>
        <w:t>the taxpayer has entered into a contract for the construction of a residence on the land; or</w:t>
      </w:r>
    </w:p>
    <w:p>
      <w:pPr>
        <w:pStyle w:val="Indenta"/>
      </w:pPr>
      <w:r>
        <w:tab/>
        <w:t>(d)</w:t>
      </w:r>
      <w:r>
        <w:tab/>
        <w:t>the taxpayer has entered into a contract to purchase a movable building that will be affixed to the land and be a residence,</w:t>
      </w:r>
    </w:p>
    <w:p>
      <w:pPr>
        <w:pStyle w:val="Subsection"/>
      </w:pPr>
      <w:r>
        <w:tab/>
      </w:r>
      <w:r>
        <w:tab/>
        <w:t>and it does not matter if the land is also used for another purpose.</w:t>
      </w:r>
    </w:p>
    <w:p>
      <w:pPr>
        <w:pStyle w:val="Footnotesection"/>
      </w:pPr>
      <w:bookmarkStart w:id="516" w:name="OLE_LINK1"/>
      <w:r>
        <w:tab/>
        <w:t>[Section 147D inserted by No. 30 of 2008 s. 26.]</w:t>
      </w:r>
    </w:p>
    <w:p>
      <w:pPr>
        <w:pStyle w:val="Heading5"/>
        <w:keepNext w:val="0"/>
        <w:keepLines w:val="0"/>
        <w:spacing w:before="180"/>
      </w:pPr>
      <w:bookmarkStart w:id="517" w:name="_Toc392162421"/>
      <w:bookmarkStart w:id="518" w:name="_Toc413847226"/>
      <w:r>
        <w:rPr>
          <w:rStyle w:val="CharSectno"/>
        </w:rPr>
        <w:t>147E</w:t>
      </w:r>
      <w:r>
        <w:t>.</w:t>
      </w:r>
      <w:r>
        <w:tab/>
        <w:t>Concessional rate of duty chargeable on concessional transactions</w:t>
      </w:r>
      <w:bookmarkEnd w:id="517"/>
      <w:bookmarkEnd w:id="518"/>
    </w:p>
    <w:p>
      <w:pPr>
        <w:pStyle w:val="Subsection"/>
        <w:spacing w:before="120"/>
      </w:pPr>
      <w:r>
        <w:tab/>
      </w:r>
      <w:r>
        <w:tab/>
        <w:t>Duty is chargeable on a concessional transaction at the applicable concessional rate of duty and the Commissioner, on application being made in the approved form, is to assess the liability to duty at that rate.</w:t>
      </w:r>
    </w:p>
    <w:bookmarkEnd w:id="516"/>
    <w:p>
      <w:pPr>
        <w:pStyle w:val="Footnotesection"/>
      </w:pPr>
      <w:r>
        <w:tab/>
        <w:t>[Section 147E inserted by No. 30 of 2008 s. 26; amended by No. 17 of 2010 s. 14.]</w:t>
      </w:r>
    </w:p>
    <w:p>
      <w:pPr>
        <w:pStyle w:val="Heading5"/>
      </w:pPr>
      <w:bookmarkStart w:id="519" w:name="_Toc392162422"/>
      <w:bookmarkStart w:id="520" w:name="_Toc413847227"/>
      <w:r>
        <w:rPr>
          <w:rStyle w:val="CharSectno"/>
        </w:rPr>
        <w:t>147F</w:t>
      </w:r>
      <w:r>
        <w:t>.</w:t>
      </w:r>
      <w:r>
        <w:tab/>
        <w:t>Eligible transactions to be reassessed if construction of residence begins etc. in certain time</w:t>
      </w:r>
      <w:bookmarkEnd w:id="519"/>
      <w:bookmarkEnd w:id="520"/>
    </w:p>
    <w:p>
      <w:pPr>
        <w:pStyle w:val="Subsection"/>
      </w:pPr>
      <w:r>
        <w:tab/>
        <w:t>(1)</w:t>
      </w:r>
      <w:r>
        <w:tab/>
        <w:t xml:space="preserve">Subsection (2) applies if duty is assessed at the general rate on an eligible transaction for dutiable property that is land (the </w:t>
      </w:r>
      <w:r>
        <w:rPr>
          <w:rStyle w:val="CharDefText"/>
        </w:rPr>
        <w:t>land</w:t>
      </w:r>
      <w:r>
        <w:rPr>
          <w:bCs/>
        </w:rPr>
        <w:t>).</w:t>
      </w:r>
    </w:p>
    <w:p>
      <w:pPr>
        <w:pStyle w:val="Subsection"/>
      </w:pPr>
      <w:r>
        <w:tab/>
        <w:t>(2)</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eligible transaction at the applicable concessional rate of duty.</w:t>
      </w:r>
    </w:p>
    <w:p>
      <w:pPr>
        <w:pStyle w:val="Subsection"/>
      </w:pPr>
      <w:r>
        <w:tab/>
        <w:t>(3)</w:t>
      </w:r>
      <w:r>
        <w:tab/>
        <w:t xml:space="preserve">Subsection (4) applies if duty is assessed at the general rate on 2 or more transactions (the </w:t>
      </w:r>
      <w:r>
        <w:rPr>
          <w:rStyle w:val="CharDefText"/>
        </w:rPr>
        <w:t>separate transactions</w:t>
      </w:r>
      <w:r>
        <w:t xml:space="preserve">) aggregated and treated as a single transaction (the </w:t>
      </w:r>
      <w:r>
        <w:rPr>
          <w:rStyle w:val="CharDefText"/>
        </w:rPr>
        <w:t>aggregated transaction</w:t>
      </w:r>
      <w:r>
        <w:t xml:space="preserve">) under section 37 as long as at least one of the separate transactions is an eligible transaction for dutiable property that is land (the </w:t>
      </w:r>
      <w:r>
        <w:rPr>
          <w:rStyle w:val="CharDefText"/>
        </w:rPr>
        <w:t>land</w:t>
      </w:r>
      <w:r>
        <w:t>).</w:t>
      </w:r>
    </w:p>
    <w:p>
      <w:pPr>
        <w:pStyle w:val="Subsection"/>
      </w:pPr>
      <w:r>
        <w:tab/>
        <w:t>(4)</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aggregated transaction at the applicable concessional rate of duty and the duty as reassessed is to be apportioned between the separate transactions as decided by the Commissioner.</w:t>
      </w:r>
    </w:p>
    <w:p>
      <w:pPr>
        <w:pStyle w:val="Subsection"/>
        <w:keepNext/>
      </w:pPr>
      <w:r>
        <w:tab/>
        <w:t>(5)</w:t>
      </w:r>
      <w:r>
        <w:tab/>
        <w:t xml:space="preserve">An application for reassessment under this section can be made at any time on or before whichever is the later of — </w:t>
      </w:r>
    </w:p>
    <w:p>
      <w:pPr>
        <w:pStyle w:val="Indenta"/>
      </w:pPr>
      <w:r>
        <w:tab/>
        <w:t>(a)</w:t>
      </w:r>
      <w:r>
        <w:tab/>
        <w:t>the last day of the relevant period; or</w:t>
      </w:r>
    </w:p>
    <w:p>
      <w:pPr>
        <w:pStyle w:val="Indenta"/>
      </w:pPr>
      <w:r>
        <w:tab/>
        <w:t>(b)</w:t>
      </w:r>
      <w:r>
        <w:tab/>
        <w:t>the last day of the period of 12 months from the day on which construction began or the contract was entered into, as the case may be.</w:t>
      </w:r>
    </w:p>
    <w:p>
      <w:pPr>
        <w:pStyle w:val="Subsection"/>
      </w:pPr>
      <w:r>
        <w:tab/>
        <w:t>(6)</w:t>
      </w:r>
      <w:r>
        <w:tab/>
        <w:t>The limitations as to time in the Taxation Administration Act section 17 do not apply in respect of a reassessment under this section.</w:t>
      </w:r>
    </w:p>
    <w:p>
      <w:pPr>
        <w:pStyle w:val="Footnotesection"/>
      </w:pPr>
      <w:r>
        <w:tab/>
        <w:t>[Section 147F inserted by No. 30 of 2008 s. 26; amended by No. 17 of 2010 s. 15.]</w:t>
      </w:r>
    </w:p>
    <w:p>
      <w:pPr>
        <w:pStyle w:val="Heading5"/>
      </w:pPr>
      <w:bookmarkStart w:id="521" w:name="_Toc392162423"/>
      <w:bookmarkStart w:id="522" w:name="_Toc413847228"/>
      <w:r>
        <w:rPr>
          <w:rStyle w:val="CharSectno"/>
        </w:rPr>
        <w:t>147G</w:t>
      </w:r>
      <w:r>
        <w:t>.</w:t>
      </w:r>
      <w:r>
        <w:tab/>
        <w:t>Application for assessment or reassessment at concessional rate</w:t>
      </w:r>
      <w:bookmarkEnd w:id="521"/>
      <w:bookmarkEnd w:id="522"/>
    </w:p>
    <w:p>
      <w:pPr>
        <w:pStyle w:val="Subsection"/>
      </w:pPr>
      <w:r>
        <w:tab/>
      </w:r>
      <w:r>
        <w:tab/>
        <w:t>An application for assessment or reassessment under this Division must be made in the approved form.</w:t>
      </w:r>
    </w:p>
    <w:p>
      <w:pPr>
        <w:pStyle w:val="Footnotesection"/>
      </w:pPr>
      <w:r>
        <w:tab/>
        <w:t>[Section 147G inserted by No. 30 of 2008 s. 26.]</w:t>
      </w:r>
    </w:p>
    <w:p>
      <w:pPr>
        <w:pStyle w:val="Heading4"/>
        <w:rPr>
          <w:sz w:val="26"/>
        </w:rPr>
      </w:pPr>
      <w:bookmarkStart w:id="523" w:name="_Toc389126433"/>
      <w:bookmarkStart w:id="524" w:name="_Toc392162424"/>
      <w:bookmarkStart w:id="525" w:name="_Toc412734920"/>
      <w:bookmarkStart w:id="526" w:name="_Toc412735343"/>
      <w:bookmarkStart w:id="527" w:name="_Toc412819360"/>
      <w:bookmarkStart w:id="528" w:name="_Toc413830120"/>
      <w:bookmarkStart w:id="529" w:name="_Toc413847229"/>
      <w:r>
        <w:rPr>
          <w:sz w:val="26"/>
        </w:rPr>
        <w:t>Division 4 — Residential or business concessions</w:t>
      </w:r>
      <w:bookmarkEnd w:id="523"/>
      <w:bookmarkEnd w:id="524"/>
      <w:bookmarkEnd w:id="525"/>
      <w:bookmarkEnd w:id="526"/>
      <w:bookmarkEnd w:id="527"/>
      <w:bookmarkEnd w:id="528"/>
      <w:bookmarkEnd w:id="529"/>
    </w:p>
    <w:p>
      <w:pPr>
        <w:pStyle w:val="Heading5"/>
      </w:pPr>
      <w:bookmarkStart w:id="530" w:name="_Toc392162425"/>
      <w:bookmarkStart w:id="531" w:name="_Toc413847230"/>
      <w:r>
        <w:rPr>
          <w:rStyle w:val="CharSectno"/>
        </w:rPr>
        <w:t>147</w:t>
      </w:r>
      <w:r>
        <w:t>.</w:t>
      </w:r>
      <w:r>
        <w:tab/>
        <w:t xml:space="preserve">Concessional rates for transactions referred to in </w:t>
      </w:r>
      <w:r>
        <w:rPr>
          <w:i/>
          <w:iCs/>
        </w:rPr>
        <w:t>Stamp Act 1921</w:t>
      </w:r>
      <w:r>
        <w:t xml:space="preserve"> s. 75AE</w:t>
      </w:r>
      <w:bookmarkEnd w:id="530"/>
      <w:bookmarkEnd w:id="531"/>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pPr>
      <w:r>
        <w:tab/>
        <w:t>(2)</w:t>
      </w:r>
      <w:r>
        <w:tab/>
        <w:t>Duty is chargeable on a concessional transaction at the applicable concessional rate of duty.</w:t>
      </w:r>
    </w:p>
    <w:p>
      <w:pPr>
        <w:pStyle w:val="Subsection"/>
      </w:pPr>
      <w:r>
        <w:tab/>
        <w:t>(3)</w:t>
      </w:r>
      <w:r>
        <w:tab/>
        <w:t xml:space="preserve">If a dutiable transaction is, or is treated as, a concessional transaction for the purposes of this section and for the purposes of Division 4A, the taxpayer may choose whether this Division or Division 4A is to apply and the Commissioner, with the consent or at the request of the taxpayer, may — </w:t>
      </w:r>
    </w:p>
    <w:p>
      <w:pPr>
        <w:pStyle w:val="Indenta"/>
      </w:pPr>
      <w:r>
        <w:tab/>
        <w:t>(a)</w:t>
      </w:r>
      <w:r>
        <w:tab/>
        <w:t>treat an application for assessment or reassessment under this Division as an application for assessment or reassessment under Division 4A, in which case this Division no longer applies; or</w:t>
      </w:r>
    </w:p>
    <w:p>
      <w:pPr>
        <w:pStyle w:val="Indenta"/>
        <w:keepLines/>
      </w:pPr>
      <w:r>
        <w:tab/>
        <w:t>(b)</w:t>
      </w:r>
      <w:r>
        <w:tab/>
        <w:t>treat an application for assessment or reassessment under Division 4A as an application for assessment or reassessment under this Division, in which case Division 4A no longer applies.</w:t>
      </w:r>
    </w:p>
    <w:p>
      <w:pPr>
        <w:pStyle w:val="Footnotesection"/>
      </w:pPr>
      <w:r>
        <w:tab/>
        <w:t>[Section 147 amended by No. 30 of 2008 s. 27.]</w:t>
      </w:r>
    </w:p>
    <w:p>
      <w:pPr>
        <w:pStyle w:val="Heading2"/>
        <w:rPr>
          <w:sz w:val="32"/>
        </w:rPr>
      </w:pPr>
      <w:bookmarkStart w:id="532" w:name="_Toc389126435"/>
      <w:bookmarkStart w:id="533" w:name="_Toc392162426"/>
      <w:bookmarkStart w:id="534" w:name="_Toc412734922"/>
      <w:bookmarkStart w:id="535" w:name="_Toc412735345"/>
      <w:bookmarkStart w:id="536" w:name="_Toc412819362"/>
      <w:bookmarkStart w:id="537" w:name="_Toc413830122"/>
      <w:bookmarkStart w:id="538" w:name="_Toc413847231"/>
      <w:r>
        <w:rPr>
          <w:rStyle w:val="CharPartNo"/>
          <w:sz w:val="32"/>
        </w:rPr>
        <w:t>Chapter 3</w:t>
      </w:r>
      <w:r>
        <w:rPr>
          <w:sz w:val="32"/>
        </w:rPr>
        <w:t> — </w:t>
      </w:r>
      <w:r>
        <w:rPr>
          <w:rStyle w:val="CharPartText"/>
          <w:sz w:val="32"/>
        </w:rPr>
        <w:t>Landholder duty</w:t>
      </w:r>
      <w:bookmarkEnd w:id="532"/>
      <w:bookmarkEnd w:id="533"/>
      <w:bookmarkEnd w:id="534"/>
      <w:bookmarkEnd w:id="535"/>
      <w:bookmarkEnd w:id="536"/>
      <w:bookmarkEnd w:id="537"/>
      <w:bookmarkEnd w:id="538"/>
    </w:p>
    <w:p>
      <w:pPr>
        <w:pStyle w:val="Heading3"/>
        <w:rPr>
          <w:sz w:val="28"/>
        </w:rPr>
      </w:pPr>
      <w:bookmarkStart w:id="539" w:name="_Toc389126436"/>
      <w:bookmarkStart w:id="540" w:name="_Toc392162427"/>
      <w:bookmarkStart w:id="541" w:name="_Toc412734923"/>
      <w:bookmarkStart w:id="542" w:name="_Toc412735346"/>
      <w:bookmarkStart w:id="543" w:name="_Toc412819363"/>
      <w:bookmarkStart w:id="544" w:name="_Toc413830123"/>
      <w:bookmarkStart w:id="545" w:name="_Toc413847232"/>
      <w:r>
        <w:rPr>
          <w:rStyle w:val="CharDivNo"/>
          <w:sz w:val="28"/>
        </w:rPr>
        <w:t>Part 1</w:t>
      </w:r>
      <w:r>
        <w:rPr>
          <w:sz w:val="28"/>
        </w:rPr>
        <w:t> — </w:t>
      </w:r>
      <w:r>
        <w:rPr>
          <w:rStyle w:val="CharDivText"/>
          <w:sz w:val="28"/>
        </w:rPr>
        <w:t>Preliminary</w:t>
      </w:r>
      <w:bookmarkEnd w:id="539"/>
      <w:bookmarkEnd w:id="540"/>
      <w:bookmarkEnd w:id="541"/>
      <w:bookmarkEnd w:id="542"/>
      <w:bookmarkEnd w:id="543"/>
      <w:bookmarkEnd w:id="544"/>
      <w:bookmarkEnd w:id="545"/>
    </w:p>
    <w:p>
      <w:pPr>
        <w:pStyle w:val="Heading5"/>
      </w:pPr>
      <w:bookmarkStart w:id="546" w:name="_Toc392162428"/>
      <w:bookmarkStart w:id="547" w:name="_Toc413847233"/>
      <w:r>
        <w:rPr>
          <w:rStyle w:val="CharSectno"/>
        </w:rPr>
        <w:t>148</w:t>
      </w:r>
      <w:r>
        <w:t>.</w:t>
      </w:r>
      <w:r>
        <w:tab/>
        <w:t>Terms used</w:t>
      </w:r>
      <w:bookmarkEnd w:id="546"/>
      <w:bookmarkEnd w:id="547"/>
    </w:p>
    <w:p>
      <w:pPr>
        <w:pStyle w:val="Subsection"/>
      </w:pPr>
      <w:r>
        <w:tab/>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tab/>
      </w:r>
      <w:r>
        <w:rPr>
          <w:rStyle w:val="CharDefText"/>
        </w:rPr>
        <w:t>related person</w:t>
      </w:r>
      <w:r>
        <w:t xml:space="preserve"> has the meaning given in section 162;</w:t>
      </w:r>
    </w:p>
    <w:p>
      <w:pPr>
        <w:pStyle w:val="Defstart"/>
      </w:pPr>
      <w:r>
        <w:rPr>
          <w:b/>
        </w:rPr>
        <w:tab/>
      </w:r>
      <w:r>
        <w:rPr>
          <w:rStyle w:val="CharDefText"/>
        </w:rPr>
        <w:t>relevant acquisition</w:t>
      </w:r>
      <w:r>
        <w:t xml:space="preserve"> has the meaning given in sections 163 and 164;</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 36 as applied by section 150.</w:t>
      </w:r>
    </w:p>
    <w:p>
      <w:pPr>
        <w:pStyle w:val="Footnotesection"/>
        <w:ind w:left="890" w:hanging="890"/>
      </w:pPr>
      <w:r>
        <w:tab/>
        <w:t>[Section 148 amended by No. 32 of 2012 s. 10.]</w:t>
      </w:r>
    </w:p>
    <w:p>
      <w:pPr>
        <w:pStyle w:val="Heading5"/>
        <w:spacing w:before="240"/>
      </w:pPr>
      <w:bookmarkStart w:id="548" w:name="_Toc392162429"/>
      <w:bookmarkStart w:id="549" w:name="_Toc413847234"/>
      <w:r>
        <w:rPr>
          <w:rStyle w:val="CharSectno"/>
        </w:rPr>
        <w:t>149</w:t>
      </w:r>
      <w:r>
        <w:t>.</w:t>
      </w:r>
      <w:r>
        <w:tab/>
        <w:t>Entitlement to land, determining</w:t>
      </w:r>
      <w:bookmarkEnd w:id="548"/>
      <w:bookmarkEnd w:id="549"/>
    </w:p>
    <w:p>
      <w:pPr>
        <w:pStyle w:val="Subsection"/>
        <w:spacing w:before="180"/>
      </w:pPr>
      <w:r>
        <w:tab/>
        <w:t>(1)</w:t>
      </w:r>
      <w:r>
        <w:tab/>
        <w:t xml:space="preserve">In determining the entitlement of a landholder or other entity to land for the purposes of this Chapter — </w:t>
      </w:r>
    </w:p>
    <w:p>
      <w:pPr>
        <w:pStyle w:val="Indenta"/>
      </w:pPr>
      <w:r>
        <w:tab/>
        <w:t>(a)</w:t>
      </w:r>
      <w:r>
        <w:tab/>
        <w:t>if the landholder or other entity has entered into an agreement to acquire an interest in land, the agreement is to be regarded as having been completed even if it has not yet been completed; and</w:t>
      </w:r>
    </w:p>
    <w:p>
      <w:pPr>
        <w:pStyle w:val="Indenta"/>
      </w:pPr>
      <w:r>
        <w:tab/>
        <w:t>(b)</w:t>
      </w:r>
      <w:r>
        <w:tab/>
        <w:t>if the landholder or other entity has entered into an agreement to dispose of an interest in land but the agreement has not yet been completed, the agreement is to be disregarded.</w:t>
      </w:r>
    </w:p>
    <w:p>
      <w:pPr>
        <w:pStyle w:val="Subsection"/>
        <w:spacing w:before="180"/>
      </w:pPr>
      <w:r>
        <w:tab/>
        <w:t>(2A)</w:t>
      </w:r>
      <w:r>
        <w:tab/>
        <w:t xml:space="preserve">For the purposes of subsections (2) and (3), the following are to be taken to be part of land as a fixture — </w:t>
      </w:r>
    </w:p>
    <w:p>
      <w:pPr>
        <w:pStyle w:val="Indenta"/>
        <w:spacing w:before="100"/>
      </w:pPr>
      <w:r>
        <w:tab/>
        <w:t>(a)</w:t>
      </w:r>
      <w:r>
        <w:tab/>
        <w:t xml:space="preserve">anything that — </w:t>
      </w:r>
    </w:p>
    <w:p>
      <w:pPr>
        <w:pStyle w:val="Indenti"/>
        <w:spacing w:before="100"/>
      </w:pPr>
      <w:r>
        <w:tab/>
        <w:t>(i)</w:t>
      </w:r>
      <w:r>
        <w:tab/>
        <w:t>under the authority (whether direct or indirect) of a mining tenement, is fixed to land that is the subject of that mining tenement; and</w:t>
      </w:r>
    </w:p>
    <w:p>
      <w:pPr>
        <w:pStyle w:val="Indenti"/>
        <w:spacing w:before="100"/>
      </w:pPr>
      <w:r>
        <w:tab/>
        <w:t>(ii)</w:t>
      </w:r>
      <w:r>
        <w:tab/>
        <w:t>would be part of that land as a fixture if the mining tenement were a freehold estate in the land;</w:t>
      </w:r>
    </w:p>
    <w:p>
      <w:pPr>
        <w:pStyle w:val="Indenta"/>
        <w:spacing w:before="100"/>
      </w:pPr>
      <w:r>
        <w:tab/>
        <w:t>(b)</w:t>
      </w:r>
      <w:r>
        <w:tab/>
        <w:t xml:space="preserve">a pipeline, as defined in the </w:t>
      </w:r>
      <w:r>
        <w:rPr>
          <w:i/>
        </w:rPr>
        <w:t>Petroleum Pipelines Act 1969</w:t>
      </w:r>
      <w:r>
        <w:t xml:space="preserve"> section 4(1), constructed on land under the authority of a licence under that Act.</w:t>
      </w:r>
    </w:p>
    <w:p>
      <w:pPr>
        <w:pStyle w:val="Subsection"/>
        <w:spacing w:before="180"/>
      </w:pPr>
      <w:r>
        <w:tab/>
        <w:t>(2)</w:t>
      </w:r>
      <w:r>
        <w:tab/>
        <w:t>If a landholder or other entity has an entitlement to land, anything that is part of the land as a fixture is to be taken into account in determining the extent of the entitlement of the landholder or other entity to the land for the purposes of this Chapter even if the fixture is, or purports to be, the subject of an entitlement separate from the ownership of the rest of the land.</w:t>
      </w:r>
    </w:p>
    <w:p>
      <w:pPr>
        <w:pStyle w:val="Subsection"/>
      </w:pPr>
      <w:r>
        <w:tab/>
        <w:t>(3)</w:t>
      </w:r>
      <w:r>
        <w:tab/>
        <w:t>If —</w:t>
      </w:r>
    </w:p>
    <w:p>
      <w:pPr>
        <w:pStyle w:val="Indenta"/>
      </w:pPr>
      <w:r>
        <w:tab/>
        <w:t>(a)</w:t>
      </w:r>
      <w:r>
        <w:tab/>
        <w:t>a landholder or other entity has an entitlement to something that is part of land as a fixture; and</w:t>
      </w:r>
    </w:p>
    <w:p>
      <w:pPr>
        <w:pStyle w:val="Indenta"/>
      </w:pPr>
      <w:r>
        <w:tab/>
        <w:t>(b)</w:t>
      </w:r>
      <w:r>
        <w:tab/>
        <w:t>that entitlement is, or purports to be, separate from the ownership of the rest of the land,</w:t>
      </w:r>
    </w:p>
    <w:p>
      <w:pPr>
        <w:pStyle w:val="Subsection"/>
        <w:spacing w:before="180"/>
      </w:pPr>
      <w:r>
        <w:tab/>
      </w:r>
      <w:r>
        <w:tab/>
        <w:t>the landholder or other entity is to be regarded as having an entitlement to land for the purposes of this Chapter to the extent of its entitlement to the fixture.</w:t>
      </w:r>
    </w:p>
    <w:p>
      <w:pPr>
        <w:pStyle w:val="Subsection"/>
        <w:spacing w:before="180"/>
      </w:pPr>
      <w:r>
        <w:tab/>
        <w:t>(4)</w:t>
      </w:r>
      <w:r>
        <w:tab/>
        <w:t xml:space="preserve">In subsections (2A), (2) and (3), a reference to land does not include anything that is land under paragraph (cb), (da) or (d) of the definition of </w:t>
      </w:r>
      <w:r>
        <w:rPr>
          <w:b/>
          <w:i/>
        </w:rPr>
        <w:t>land</w:t>
      </w:r>
      <w:r>
        <w:t xml:space="preserve"> in section 3.</w:t>
      </w:r>
    </w:p>
    <w:p>
      <w:pPr>
        <w:pStyle w:val="Footnotesection"/>
      </w:pPr>
      <w:r>
        <w:tab/>
        <w:t>[Section 149 amended by No. 33 of 2011 s. 5.]</w:t>
      </w:r>
    </w:p>
    <w:p>
      <w:pPr>
        <w:pStyle w:val="Heading5"/>
        <w:spacing w:before="240"/>
      </w:pPr>
      <w:bookmarkStart w:id="550" w:name="_Toc392162430"/>
      <w:bookmarkStart w:id="551" w:name="_Toc413847235"/>
      <w:r>
        <w:rPr>
          <w:rStyle w:val="CharSectno"/>
        </w:rPr>
        <w:t>150</w:t>
      </w:r>
      <w:r>
        <w:t>.</w:t>
      </w:r>
      <w:r>
        <w:tab/>
        <w:t>Unencumbered value of land or chattels</w:t>
      </w:r>
      <w:bookmarkEnd w:id="550"/>
      <w:bookmarkEnd w:id="551"/>
    </w:p>
    <w:p>
      <w:pPr>
        <w:pStyle w:val="Subsection"/>
      </w:pPr>
      <w:r>
        <w:tab/>
      </w:r>
      <w:r>
        <w:tab/>
        <w:t>Section 36 applies, with any appropriate modifications, where it is necessary to determine the unencumbered value of land or chattels for the purposes of section 155(5)(a), 157(2) or 186.</w:t>
      </w:r>
    </w:p>
    <w:p>
      <w:pPr>
        <w:pStyle w:val="Heading3"/>
        <w:rPr>
          <w:sz w:val="28"/>
        </w:rPr>
      </w:pPr>
      <w:bookmarkStart w:id="552" w:name="_Toc389126440"/>
      <w:bookmarkStart w:id="553" w:name="_Toc392162431"/>
      <w:bookmarkStart w:id="554" w:name="_Toc412734927"/>
      <w:bookmarkStart w:id="555" w:name="_Toc412735350"/>
      <w:bookmarkStart w:id="556" w:name="_Toc412819367"/>
      <w:bookmarkStart w:id="557" w:name="_Toc413830127"/>
      <w:bookmarkStart w:id="558" w:name="_Toc413847236"/>
      <w:r>
        <w:rPr>
          <w:rStyle w:val="CharDivNo"/>
          <w:sz w:val="28"/>
        </w:rPr>
        <w:t>Part 2</w:t>
      </w:r>
      <w:r>
        <w:rPr>
          <w:sz w:val="28"/>
        </w:rPr>
        <w:t> — </w:t>
      </w:r>
      <w:r>
        <w:rPr>
          <w:rStyle w:val="CharDivText"/>
          <w:sz w:val="28"/>
        </w:rPr>
        <w:t>Imposition of landholder duty</w:t>
      </w:r>
      <w:bookmarkEnd w:id="552"/>
      <w:bookmarkEnd w:id="553"/>
      <w:bookmarkEnd w:id="554"/>
      <w:bookmarkEnd w:id="555"/>
      <w:bookmarkEnd w:id="556"/>
      <w:bookmarkEnd w:id="557"/>
      <w:bookmarkEnd w:id="558"/>
    </w:p>
    <w:p>
      <w:pPr>
        <w:pStyle w:val="Heading5"/>
        <w:spacing w:before="240"/>
      </w:pPr>
      <w:bookmarkStart w:id="559" w:name="_Toc392162432"/>
      <w:bookmarkStart w:id="560" w:name="_Toc413847237"/>
      <w:r>
        <w:rPr>
          <w:rStyle w:val="CharSectno"/>
        </w:rPr>
        <w:t>151</w:t>
      </w:r>
      <w:r>
        <w:t>.</w:t>
      </w:r>
      <w:r>
        <w:tab/>
        <w:t>Landholder duty imposed</w:t>
      </w:r>
      <w:bookmarkEnd w:id="559"/>
      <w:bookmarkEnd w:id="560"/>
    </w:p>
    <w:p>
      <w:pPr>
        <w:pStyle w:val="Subsection"/>
        <w:spacing w:before="180"/>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rPr>
          <w:sz w:val="28"/>
        </w:rPr>
      </w:pPr>
      <w:bookmarkStart w:id="561" w:name="_Toc389126442"/>
      <w:bookmarkStart w:id="562" w:name="_Toc392162433"/>
      <w:bookmarkStart w:id="563" w:name="_Toc412734929"/>
      <w:bookmarkStart w:id="564" w:name="_Toc412735352"/>
      <w:bookmarkStart w:id="565" w:name="_Toc412819369"/>
      <w:bookmarkStart w:id="566" w:name="_Toc413830129"/>
      <w:bookmarkStart w:id="567" w:name="_Toc413847238"/>
      <w:r>
        <w:rPr>
          <w:rStyle w:val="CharDivNo"/>
          <w:sz w:val="28"/>
        </w:rPr>
        <w:t>Part 3</w:t>
      </w:r>
      <w:r>
        <w:rPr>
          <w:sz w:val="28"/>
        </w:rPr>
        <w:t> — </w:t>
      </w:r>
      <w:r>
        <w:rPr>
          <w:rStyle w:val="CharDivText"/>
          <w:sz w:val="28"/>
        </w:rPr>
        <w:t>Certain key concepts defined and related provisions</w:t>
      </w:r>
      <w:bookmarkEnd w:id="561"/>
      <w:bookmarkEnd w:id="562"/>
      <w:bookmarkEnd w:id="563"/>
      <w:bookmarkEnd w:id="564"/>
      <w:bookmarkEnd w:id="565"/>
      <w:bookmarkEnd w:id="566"/>
      <w:bookmarkEnd w:id="567"/>
    </w:p>
    <w:p>
      <w:pPr>
        <w:pStyle w:val="Heading5"/>
      </w:pPr>
      <w:bookmarkStart w:id="568" w:name="_Toc392162434"/>
      <w:bookmarkStart w:id="569" w:name="_Toc413847239"/>
      <w:r>
        <w:rPr>
          <w:rStyle w:val="CharSectno"/>
        </w:rPr>
        <w:t>152</w:t>
      </w:r>
      <w:r>
        <w:t>.</w:t>
      </w:r>
      <w:r>
        <w:tab/>
        <w:t>References to entity</w:t>
      </w:r>
      <w:bookmarkEnd w:id="568"/>
      <w:bookmarkEnd w:id="569"/>
    </w:p>
    <w:p>
      <w:pPr>
        <w:pStyle w:val="Subsection"/>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pPr>
      <w:r>
        <w:tab/>
      </w:r>
      <w:r>
        <w:tab/>
        <w:t>is also an entity to this extent, namely that the trustee of a discretionary trust or a partnership may be a linked entity under section 156, but not otherwise.</w:t>
      </w:r>
    </w:p>
    <w:p>
      <w:pPr>
        <w:pStyle w:val="Heading5"/>
      </w:pPr>
      <w:bookmarkStart w:id="570" w:name="_Toc392162435"/>
      <w:bookmarkStart w:id="571" w:name="_Toc413847240"/>
      <w:r>
        <w:rPr>
          <w:rStyle w:val="CharSectno"/>
        </w:rPr>
        <w:t>153</w:t>
      </w:r>
      <w:r>
        <w:t>.</w:t>
      </w:r>
      <w:r>
        <w:tab/>
        <w:t>References to interest in landholder or other entity</w:t>
      </w:r>
      <w:bookmarkEnd w:id="570"/>
      <w:bookmarkEnd w:id="571"/>
    </w:p>
    <w:p>
      <w:pPr>
        <w:pStyle w:val="Subsection"/>
        <w:spacing w:before="150"/>
      </w:pPr>
      <w:r>
        <w:tab/>
        <w:t>(1)</w:t>
      </w:r>
      <w:r>
        <w:tab/>
        <w:t>A reference in this Chapter to an interest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 159.</w:t>
      </w:r>
    </w:p>
    <w:p>
      <w:pPr>
        <w:pStyle w:val="Heading5"/>
      </w:pPr>
      <w:bookmarkStart w:id="572" w:name="_Toc392162436"/>
      <w:bookmarkStart w:id="573" w:name="_Toc413847241"/>
      <w:r>
        <w:rPr>
          <w:rStyle w:val="CharSectno"/>
        </w:rPr>
        <w:t>154</w:t>
      </w:r>
      <w:r>
        <w:t>.</w:t>
      </w:r>
      <w:r>
        <w:tab/>
        <w:t>Interest of person in landholder etc., calculating</w:t>
      </w:r>
      <w:bookmarkEnd w:id="572"/>
      <w:bookmarkEnd w:id="573"/>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pPr>
      <w:r>
        <w:tab/>
        <w:t>(3)</w:t>
      </w:r>
      <w:r>
        <w:tab/>
        <w:t>This section does not apply where section 158 or 159 applies.</w:t>
      </w:r>
    </w:p>
    <w:p>
      <w:pPr>
        <w:pStyle w:val="Subsection"/>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pPr>
      <w:r>
        <w:tab/>
      </w:r>
      <w:r>
        <w:tab/>
        <w:t>in such a manner as would maximise the value of the relevant person’s interest.</w:t>
      </w:r>
    </w:p>
    <w:p>
      <w:pPr>
        <w:pStyle w:val="Subsection"/>
        <w:keepNext/>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or 164, to a related person under section 162 in respect of the relevant person or a person referred to in paragraph (b).</w:t>
      </w:r>
    </w:p>
    <w:p>
      <w:pPr>
        <w:pStyle w:val="Subsection"/>
      </w:pPr>
      <w:r>
        <w:tab/>
        <w:t>(7)</w:t>
      </w:r>
      <w:r>
        <w:tab/>
        <w:t>The relevant person’s interest is the greater of the interest calculated under subsection (4) and the interest calculated under subsection (5).</w:t>
      </w:r>
    </w:p>
    <w:p>
      <w:pPr>
        <w:pStyle w:val="Subsection"/>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Heading3"/>
        <w:keepNext w:val="0"/>
        <w:rPr>
          <w:sz w:val="28"/>
        </w:rPr>
      </w:pPr>
      <w:bookmarkStart w:id="574" w:name="_Toc389126446"/>
      <w:bookmarkStart w:id="575" w:name="_Toc392162437"/>
      <w:bookmarkStart w:id="576" w:name="_Toc412734933"/>
      <w:bookmarkStart w:id="577" w:name="_Toc412735356"/>
      <w:bookmarkStart w:id="578" w:name="_Toc412819373"/>
      <w:bookmarkStart w:id="579" w:name="_Toc413830133"/>
      <w:bookmarkStart w:id="580" w:name="_Toc413847242"/>
      <w:r>
        <w:rPr>
          <w:rStyle w:val="CharDivNo"/>
          <w:sz w:val="28"/>
        </w:rPr>
        <w:t>Part 4</w:t>
      </w:r>
      <w:r>
        <w:rPr>
          <w:sz w:val="28"/>
        </w:rPr>
        <w:t> — </w:t>
      </w:r>
      <w:r>
        <w:rPr>
          <w:rStyle w:val="CharDivText"/>
          <w:sz w:val="28"/>
        </w:rPr>
        <w:t>Landholders to which this Chapter applies</w:t>
      </w:r>
      <w:bookmarkEnd w:id="574"/>
      <w:bookmarkEnd w:id="575"/>
      <w:bookmarkEnd w:id="576"/>
      <w:bookmarkEnd w:id="577"/>
      <w:bookmarkEnd w:id="578"/>
      <w:bookmarkEnd w:id="579"/>
      <w:bookmarkEnd w:id="580"/>
    </w:p>
    <w:p>
      <w:pPr>
        <w:pStyle w:val="Heading5"/>
        <w:keepNext w:val="0"/>
        <w:keepLines w:val="0"/>
      </w:pPr>
      <w:bookmarkStart w:id="581" w:name="_Toc392162438"/>
      <w:bookmarkStart w:id="582" w:name="_Toc413847243"/>
      <w:r>
        <w:rPr>
          <w:rStyle w:val="CharSectno"/>
        </w:rPr>
        <w:t>155</w:t>
      </w:r>
      <w:r>
        <w:t>.</w:t>
      </w:r>
      <w:r>
        <w:tab/>
        <w:t>Which entities are landholders</w:t>
      </w:r>
      <w:bookmarkEnd w:id="581"/>
      <w:bookmarkEnd w:id="582"/>
    </w:p>
    <w:p>
      <w:pPr>
        <w:pStyle w:val="Subsection"/>
      </w:pPr>
      <w:r>
        <w:tab/>
        <w:t>(1)</w:t>
      </w:r>
      <w:r>
        <w:tab/>
        <w:t>This section applies where it is necessary to determine in relation to an acquisition of an interest in an entity whether the entity is a landholder for the purposes of section 163 or 164.</w:t>
      </w:r>
    </w:p>
    <w:p>
      <w:pPr>
        <w:pStyle w:val="Subsection"/>
      </w:pPr>
      <w:r>
        <w:tab/>
        <w:t>(2)</w:t>
      </w:r>
      <w:r>
        <w:tab/>
        <w:t xml:space="preserve">A corporation is a landholder if immediately before the acquisition — </w:t>
      </w:r>
    </w:p>
    <w:p>
      <w:pPr>
        <w:pStyle w:val="Indenta"/>
      </w:pPr>
      <w:r>
        <w:tab/>
        <w:t>(a)</w:t>
      </w:r>
      <w:r>
        <w:tab/>
        <w:t xml:space="preserve">it is entitled to land in </w:t>
      </w:r>
      <w:smartTag w:uri="urn:schemas-microsoft-com:office:smarttags" w:element="place">
        <w:smartTag w:uri="urn:schemas-microsoft-com:office:smarttags" w:element="State">
          <w:r>
            <w:t>Western Australia</w:t>
          </w:r>
        </w:smartTag>
      </w:smartTag>
      <w:r>
        <w:t xml:space="preserve"> or an entity linked to the corporation is so entitled; and </w:t>
      </w:r>
    </w:p>
    <w:p>
      <w:pPr>
        <w:pStyle w:val="Indenta"/>
      </w:pPr>
      <w:r>
        <w:tab/>
        <w:t>(b)</w:t>
      </w:r>
      <w:r>
        <w:tab/>
        <w:t>the total value of all such entitlements is $2 000 000 or more.</w:t>
      </w:r>
    </w:p>
    <w:p>
      <w:pPr>
        <w:pStyle w:val="Subsection"/>
      </w:pPr>
      <w:r>
        <w:tab/>
        <w:t>(3)</w:t>
      </w:r>
      <w:r>
        <w:tab/>
        <w:t xml:space="preserve">A unit trust scheme is a landholder if immediately before the acquisition — </w:t>
      </w:r>
    </w:p>
    <w:p>
      <w:pPr>
        <w:pStyle w:val="Indenta"/>
      </w:pPr>
      <w:r>
        <w:tab/>
        <w:t>(a)</w:t>
      </w:r>
      <w:r>
        <w:tab/>
        <w:t>the trustee of the scheme is entitled to land in Western Australia or an entity linked to the unit trust scheme is so entitled; and</w:t>
      </w:r>
    </w:p>
    <w:p>
      <w:pPr>
        <w:pStyle w:val="Indenta"/>
      </w:pPr>
      <w:r>
        <w:tab/>
        <w:t>(b)</w:t>
      </w:r>
      <w:r>
        <w:tab/>
        <w:t xml:space="preserve">the total value of all such entitlements is $2 000 000 or more. </w:t>
      </w:r>
    </w:p>
    <w:p>
      <w:pPr>
        <w:pStyle w:val="Subsection"/>
        <w:keepNext/>
      </w:pPr>
      <w:r>
        <w:tab/>
        <w:t>(4)</w:t>
      </w:r>
      <w:r>
        <w:tab/>
        <w:t xml:space="preserve">For the purposes of subsections (2)(a) and (3)(a) — </w:t>
      </w:r>
    </w:p>
    <w:p>
      <w:pPr>
        <w:pStyle w:val="Indenta"/>
      </w:pPr>
      <w:r>
        <w:tab/>
        <w:t>(a)</w:t>
      </w:r>
      <w:r>
        <w:tab/>
        <w:t xml:space="preserve">a partnership, as a linked entity, is entitled to land in </w:t>
      </w:r>
      <w:smartTag w:uri="urn:schemas-microsoft-com:office:smarttags" w:element="place">
        <w:smartTag w:uri="urn:schemas-microsoft-com:office:smarttags" w:element="State">
          <w:r>
            <w:t>Western Australia</w:t>
          </w:r>
        </w:smartTag>
      </w:smartTag>
      <w:r>
        <w:t xml:space="preserve"> if the partnership property is or includes such land; and </w:t>
      </w:r>
    </w:p>
    <w:p>
      <w:pPr>
        <w:pStyle w:val="Indenta"/>
      </w:pPr>
      <w:r>
        <w:tab/>
        <w:t>(b)</w:t>
      </w:r>
      <w:r>
        <w:tab/>
        <w:t xml:space="preserve">a unit trust scheme, as a linked entity, is entitled to land in </w:t>
      </w:r>
      <w:smartTag w:uri="urn:schemas-microsoft-com:office:smarttags" w:element="place">
        <w:smartTag w:uri="urn:schemas-microsoft-com:office:smarttags" w:element="State">
          <w:r>
            <w:t>Western Australia</w:t>
          </w:r>
        </w:smartTag>
      </w:smartTag>
      <w:r>
        <w:t xml:space="preserve"> if the trustee of the scheme is so entitled.</w:t>
      </w:r>
    </w:p>
    <w:p>
      <w:pPr>
        <w:pStyle w:val="Subsection"/>
      </w:pPr>
      <w:r>
        <w:tab/>
        <w:t>(5)</w:t>
      </w:r>
      <w:r>
        <w:tab/>
        <w:t xml:space="preserve">For the purposes of this section — </w:t>
      </w:r>
    </w:p>
    <w:p>
      <w:pPr>
        <w:pStyle w:val="Indenta"/>
      </w:pPr>
      <w:r>
        <w:tab/>
        <w:t>(a)</w:t>
      </w:r>
      <w:r>
        <w:tab/>
        <w:t xml:space="preserve">land to which a corporation or the trustee of a unit trust scheme is entitled is to be valued at its unencumbered value; and </w:t>
      </w:r>
    </w:p>
    <w:p>
      <w:pPr>
        <w:pStyle w:val="Indenta"/>
      </w:pPr>
      <w:r>
        <w:tab/>
        <w:t>(b)</w:t>
      </w:r>
      <w:r>
        <w:tab/>
        <w:t>the value of a linked entity’s entitlement to land is to be determined under section 157.</w:t>
      </w:r>
    </w:p>
    <w:p>
      <w:pPr>
        <w:pStyle w:val="Heading5"/>
      </w:pPr>
      <w:bookmarkStart w:id="583" w:name="_Toc392162439"/>
      <w:bookmarkStart w:id="584" w:name="_Toc413847244"/>
      <w:r>
        <w:rPr>
          <w:rStyle w:val="CharSectno"/>
        </w:rPr>
        <w:t>156</w:t>
      </w:r>
      <w:r>
        <w:t>.</w:t>
      </w:r>
      <w:r>
        <w:tab/>
        <w:t>Which entities are linked to an entity</w:t>
      </w:r>
      <w:bookmarkEnd w:id="583"/>
      <w:bookmarkEnd w:id="584"/>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155(2)(a) or (3)(a).</w:t>
      </w:r>
    </w:p>
    <w:p>
      <w:pPr>
        <w:pStyle w:val="Subsection"/>
      </w:pPr>
      <w:r>
        <w:tab/>
        <w:t>(2)</w:t>
      </w:r>
      <w:r>
        <w:tab/>
        <w:t>Each entity (a</w:t>
      </w:r>
      <w:r>
        <w:rPr>
          <w:b/>
          <w:bCs/>
        </w:rPr>
        <w:t xml:space="preserve"> </w:t>
      </w:r>
      <w:r>
        <w:rPr>
          <w:rStyle w:val="CharDefText"/>
        </w:rPr>
        <w:t>linked entity</w:t>
      </w:r>
      <w:r>
        <w:t>) below the main entity in an ownership chain that exists immediately before the acquisition is linked to the main entity.</w:t>
      </w:r>
    </w:p>
    <w:p>
      <w:pPr>
        <w:pStyle w:val="Subsection"/>
      </w:pPr>
      <w:r>
        <w:tab/>
        <w:t>(3)</w:t>
      </w:r>
      <w:r>
        <w:tab/>
        <w:t>An ownership chain exists if a series of entities starting with the main entity are successively linked to one another.</w:t>
      </w:r>
    </w:p>
    <w:p>
      <w:pPr>
        <w:pStyle w:val="Subsection"/>
      </w:pPr>
      <w:r>
        <w:tab/>
        <w:t>(4)</w:t>
      </w:r>
      <w:r>
        <w:tab/>
        <w:t xml:space="preserve">Except where subsection (5) or (6) applies, an entity is linked to another entity if — </w:t>
      </w:r>
    </w:p>
    <w:p>
      <w:pPr>
        <w:pStyle w:val="Indenta"/>
      </w:pPr>
      <w:r>
        <w:tab/>
        <w:t>(a)</w:t>
      </w:r>
      <w:r>
        <w:tab/>
        <w:t>where the other entity is a listed corporation or a listed unit trust scheme — it has a 90% interest, or a greater interest, in the entity; or</w:t>
      </w:r>
    </w:p>
    <w:p>
      <w:pPr>
        <w:pStyle w:val="Indenta"/>
      </w:pPr>
      <w:r>
        <w:tab/>
        <w:t>(b)</w:t>
      </w:r>
      <w:r>
        <w:tab/>
        <w:t>in any other case — it has a 50% interest, or a greater interest, in the entity.</w:t>
      </w:r>
    </w:p>
    <w:p>
      <w:pPr>
        <w:pStyle w:val="Subsection"/>
      </w:pPr>
      <w:r>
        <w:tab/>
        <w:t>(5)</w:t>
      </w:r>
      <w:r>
        <w:tab/>
        <w:t>An entity is linked to the trustee of a discretionary trust if it is a potential beneficiary under the trust.</w:t>
      </w:r>
    </w:p>
    <w:p>
      <w:pPr>
        <w:pStyle w:val="Subsection"/>
      </w:pPr>
      <w:r>
        <w:tab/>
        <w:t>(6)</w:t>
      </w:r>
      <w:r>
        <w:tab/>
        <w:t xml:space="preserve">An entity is linked to a partnership if it is a partner in the partnership, or in the case of a unit trust scheme the trustee, as trustee of the scheme, is a partner, and — </w:t>
      </w:r>
    </w:p>
    <w:p>
      <w:pPr>
        <w:pStyle w:val="Indenta"/>
      </w:pPr>
      <w:r>
        <w:tab/>
        <w:t>(a)</w:t>
      </w:r>
      <w:r>
        <w:tab/>
        <w:t>has contributed or is required to contribute 50%, or a greater percentage, of the capital of the partnership; or</w:t>
      </w:r>
    </w:p>
    <w:p>
      <w:pPr>
        <w:pStyle w:val="Indenta"/>
      </w:pPr>
      <w:r>
        <w:tab/>
        <w:t>(b)</w:t>
      </w:r>
      <w:r>
        <w:tab/>
        <w:t>is required to bear 50%, or a greater percentage, of the losses of the partnership.</w:t>
      </w:r>
    </w:p>
    <w:p>
      <w:pPr>
        <w:pStyle w:val="Subsection"/>
      </w:pPr>
      <w:r>
        <w:tab/>
        <w:t>(7)</w:t>
      </w:r>
      <w:r>
        <w:tab/>
        <w:t>A series of entities under subsection (3) may consist of the main entity and one other entity to which it is linked as mentioned in subsection (4), (5) or (6).</w:t>
      </w:r>
    </w:p>
    <w:p>
      <w:pPr>
        <w:pStyle w:val="Subsection"/>
      </w:pPr>
      <w:r>
        <w:tab/>
        <w:t>(8)</w:t>
      </w:r>
      <w:r>
        <w:tab/>
        <w:t xml:space="preserve">In determining whether an entity is linked to another entity — </w:t>
      </w:r>
    </w:p>
    <w:p>
      <w:pPr>
        <w:pStyle w:val="Indenta"/>
      </w:pPr>
      <w:r>
        <w:tab/>
        <w:t>(a)</w:t>
      </w:r>
      <w:r>
        <w:tab/>
        <w:t>if the entity has entered into an agreement to acquire an interest in the other entity, the agreement is to be regarded as having been completed even if it has not yet been completed; and</w:t>
      </w:r>
    </w:p>
    <w:p>
      <w:pPr>
        <w:pStyle w:val="Indenta"/>
      </w:pPr>
      <w:r>
        <w:tab/>
        <w:t>(b)</w:t>
      </w:r>
      <w:r>
        <w:tab/>
        <w:t>if the entity has entered into an agreement to dispose of an interest in the other entity but the agreement has not yet been completed, the agreement is to be disregarded.</w:t>
      </w:r>
    </w:p>
    <w:p>
      <w:pPr>
        <w:pStyle w:val="Footnotesection"/>
      </w:pPr>
      <w:r>
        <w:tab/>
        <w:t>[Section 156 amended by No. 1 of 2015 s. 25.]</w:t>
      </w:r>
    </w:p>
    <w:p>
      <w:pPr>
        <w:pStyle w:val="Heading5"/>
      </w:pPr>
      <w:bookmarkStart w:id="585" w:name="_Toc392162440"/>
      <w:bookmarkStart w:id="586" w:name="_Toc413847245"/>
      <w:r>
        <w:rPr>
          <w:rStyle w:val="CharSectno"/>
        </w:rPr>
        <w:t>157</w:t>
      </w:r>
      <w:r>
        <w:t>.</w:t>
      </w:r>
      <w:r>
        <w:tab/>
        <w:t>Land of linked entity, value of for s. 155</w:t>
      </w:r>
      <w:bookmarkEnd w:id="585"/>
      <w:bookmarkEnd w:id="586"/>
    </w:p>
    <w:p>
      <w:pPr>
        <w:pStyle w:val="Subsection"/>
      </w:pPr>
      <w:r>
        <w:tab/>
        <w:t>(1)</w:t>
      </w:r>
      <w:r>
        <w:tab/>
        <w:t xml:space="preserve">This section applies where a linked entity is entitled to land in </w:t>
      </w:r>
      <w:smartTag w:uri="urn:schemas-microsoft-com:office:smarttags" w:element="place">
        <w:smartTag w:uri="urn:schemas-microsoft-com:office:smarttags" w:element="State">
          <w:r>
            <w:t>Western Australia</w:t>
          </w:r>
        </w:smartTag>
      </w:smartTag>
      <w:r>
        <w:t xml:space="preserve"> and it is necessary to determine the value of that entitlement for the purposes of section 155.</w:t>
      </w:r>
    </w:p>
    <w:p>
      <w:pPr>
        <w:pStyle w:val="Subsection"/>
      </w:pPr>
      <w:r>
        <w:tab/>
        <w:t>(2)</w:t>
      </w:r>
      <w:r>
        <w:tab/>
        <w:t>The value of the entitlement is an amount equal to the same percentage of the unencumbered value of the land as the percentage of the main entity’s interest in the linked entity.</w:t>
      </w:r>
    </w:p>
    <w:p>
      <w:pPr>
        <w:pStyle w:val="Subsection"/>
      </w:pPr>
      <w:r>
        <w:tab/>
        <w:t>(3)</w:t>
      </w:r>
      <w:r>
        <w:tab/>
        <w:t>In the case of a linked entity other than one that is immediately below the main entity in the ownership chain, the percentage of the main entity’s interest in the linked entity is determined by multiplying the percentage of the main entity’s interest in the entity immediately below it in the ownership chain by the percentage of the interest that each entity in the ownership chain between the main entity and the linked entity concerned has in the entity immediately below it in the ownership chain.</w:t>
      </w:r>
    </w:p>
    <w:p>
      <w:pPr>
        <w:pStyle w:val="Subsection"/>
      </w:pPr>
      <w:r>
        <w:tab/>
        <w:t>(4)</w:t>
      </w:r>
      <w:r>
        <w:tab/>
        <w:t>In this section, a reference to an interest in an entity is, if the entity is the trustee of a discretionary trust, a reference to being a potential beneficiary under the trust.</w:t>
      </w:r>
    </w:p>
    <w:p>
      <w:pPr>
        <w:pStyle w:val="Heading5"/>
        <w:spacing w:before="200"/>
      </w:pPr>
      <w:bookmarkStart w:id="587" w:name="_Toc392162441"/>
      <w:bookmarkStart w:id="588" w:name="_Toc413847246"/>
      <w:r>
        <w:rPr>
          <w:rStyle w:val="CharSectno"/>
        </w:rPr>
        <w:t>158</w:t>
      </w:r>
      <w:r>
        <w:t>.</w:t>
      </w:r>
      <w:r>
        <w:tab/>
        <w:t>Extent of interest in discretionary trust</w:t>
      </w:r>
      <w:bookmarkEnd w:id="587"/>
      <w:bookmarkEnd w:id="588"/>
    </w:p>
    <w:p>
      <w:pPr>
        <w:pStyle w:val="Subsection"/>
        <w:keepNext/>
        <w:keepLines/>
      </w:pPr>
      <w:r>
        <w:tab/>
      </w:r>
      <w:r>
        <w:tab/>
        <w:t xml:space="preserve">For the purposes of section 157, if the trustee of a discretionary trust is a linked entity, a potential beneficiary under the trust is taken to have — </w:t>
      </w:r>
    </w:p>
    <w:p>
      <w:pPr>
        <w:pStyle w:val="Indenta"/>
      </w:pPr>
      <w:r>
        <w:tab/>
        <w:t>(a)</w:t>
      </w:r>
      <w:r>
        <w:tab/>
        <w:t>a 100% interest in the trust; or</w:t>
      </w:r>
    </w:p>
    <w:p>
      <w:pPr>
        <w:pStyle w:val="Indenta"/>
      </w:pPr>
      <w:r>
        <w:tab/>
        <w:t>(b)</w:t>
      </w:r>
      <w:r>
        <w:tab/>
        <w:t xml:space="preserve">if the Commissioner decides in a particular case that the operation of paragraph (a) would be inequitable, either — </w:t>
      </w:r>
    </w:p>
    <w:p>
      <w:pPr>
        <w:pStyle w:val="Indenti"/>
      </w:pPr>
      <w:r>
        <w:tab/>
        <w:t>(i)</w:t>
      </w:r>
      <w:r>
        <w:tab/>
        <w:t>an interest in the trust of some other percentage; or</w:t>
      </w:r>
    </w:p>
    <w:p>
      <w:pPr>
        <w:pStyle w:val="Indenti"/>
      </w:pPr>
      <w:r>
        <w:tab/>
        <w:t>(ii)</w:t>
      </w:r>
      <w:r>
        <w:tab/>
        <w:t>no interest in the trust,</w:t>
      </w:r>
    </w:p>
    <w:p>
      <w:pPr>
        <w:pStyle w:val="Indenta"/>
      </w:pPr>
      <w:r>
        <w:tab/>
      </w:r>
      <w:r>
        <w:tab/>
        <w:t>as determined by the Commissioner.</w:t>
      </w:r>
    </w:p>
    <w:p>
      <w:pPr>
        <w:pStyle w:val="Heading5"/>
      </w:pPr>
      <w:bookmarkStart w:id="589" w:name="_Toc392162442"/>
      <w:bookmarkStart w:id="590" w:name="_Toc413847247"/>
      <w:r>
        <w:rPr>
          <w:rStyle w:val="CharSectno"/>
        </w:rPr>
        <w:t>159</w:t>
      </w:r>
      <w:r>
        <w:t>.</w:t>
      </w:r>
      <w:r>
        <w:tab/>
        <w:t>Extent of interest in partnership</w:t>
      </w:r>
      <w:bookmarkEnd w:id="589"/>
      <w:bookmarkEnd w:id="590"/>
    </w:p>
    <w:p>
      <w:pPr>
        <w:pStyle w:val="Subsection"/>
      </w:pPr>
      <w:r>
        <w:tab/>
      </w:r>
      <w:r>
        <w:tab/>
        <w:t xml:space="preserve">For the purposes of section 157, if a partnership is a linked entity in respect of another entity, the percentage of the interest in the partnership of that entity is the percentage — </w:t>
      </w:r>
    </w:p>
    <w:p>
      <w:pPr>
        <w:pStyle w:val="Indenta"/>
      </w:pPr>
      <w:r>
        <w:tab/>
        <w:t>(a)</w:t>
      </w:r>
      <w:r>
        <w:tab/>
        <w:t>of the capital of the partnership that the entity has contributed or is required to contribute; or</w:t>
      </w:r>
    </w:p>
    <w:p>
      <w:pPr>
        <w:pStyle w:val="Indenta"/>
      </w:pPr>
      <w:r>
        <w:tab/>
        <w:t>(b)</w:t>
      </w:r>
      <w:r>
        <w:tab/>
        <w:t>of the losses of the partnership that the entity is required to bear,</w:t>
      </w:r>
    </w:p>
    <w:p>
      <w:pPr>
        <w:pStyle w:val="Subsection"/>
      </w:pPr>
      <w:r>
        <w:tab/>
      </w:r>
      <w:r>
        <w:tab/>
        <w:t>whichever is the greater or, if the percentage is the same in each case, that percentage.</w:t>
      </w:r>
    </w:p>
    <w:p>
      <w:pPr>
        <w:pStyle w:val="Heading3"/>
        <w:rPr>
          <w:sz w:val="28"/>
        </w:rPr>
      </w:pPr>
      <w:bookmarkStart w:id="591" w:name="_Toc389126452"/>
      <w:bookmarkStart w:id="592" w:name="_Toc392162443"/>
      <w:bookmarkStart w:id="593" w:name="_Toc412734939"/>
      <w:bookmarkStart w:id="594" w:name="_Toc412735362"/>
      <w:bookmarkStart w:id="595" w:name="_Toc412819379"/>
      <w:bookmarkStart w:id="596" w:name="_Toc413830139"/>
      <w:bookmarkStart w:id="597" w:name="_Toc413847248"/>
      <w:r>
        <w:rPr>
          <w:rStyle w:val="CharDivNo"/>
          <w:sz w:val="28"/>
        </w:rPr>
        <w:t>Part 5</w:t>
      </w:r>
      <w:r>
        <w:rPr>
          <w:sz w:val="28"/>
        </w:rPr>
        <w:t> — </w:t>
      </w:r>
      <w:r>
        <w:rPr>
          <w:rStyle w:val="CharDivText"/>
          <w:sz w:val="28"/>
        </w:rPr>
        <w:t>Acquisitions to which this Chapter applies</w:t>
      </w:r>
      <w:bookmarkEnd w:id="591"/>
      <w:bookmarkEnd w:id="592"/>
      <w:bookmarkEnd w:id="593"/>
      <w:bookmarkEnd w:id="594"/>
      <w:bookmarkEnd w:id="595"/>
      <w:bookmarkEnd w:id="596"/>
      <w:bookmarkEnd w:id="597"/>
    </w:p>
    <w:p>
      <w:pPr>
        <w:pStyle w:val="Heading4"/>
        <w:rPr>
          <w:sz w:val="26"/>
        </w:rPr>
      </w:pPr>
      <w:bookmarkStart w:id="598" w:name="_Toc389126453"/>
      <w:bookmarkStart w:id="599" w:name="_Toc392162444"/>
      <w:bookmarkStart w:id="600" w:name="_Toc412734940"/>
      <w:bookmarkStart w:id="601" w:name="_Toc412735363"/>
      <w:bookmarkStart w:id="602" w:name="_Toc412819380"/>
      <w:bookmarkStart w:id="603" w:name="_Toc413830140"/>
      <w:bookmarkStart w:id="604" w:name="_Toc413847249"/>
      <w:r>
        <w:rPr>
          <w:sz w:val="26"/>
        </w:rPr>
        <w:t>Division 1 — Means by which interest acquired</w:t>
      </w:r>
      <w:bookmarkEnd w:id="598"/>
      <w:bookmarkEnd w:id="599"/>
      <w:bookmarkEnd w:id="600"/>
      <w:bookmarkEnd w:id="601"/>
      <w:bookmarkEnd w:id="602"/>
      <w:bookmarkEnd w:id="603"/>
      <w:bookmarkEnd w:id="604"/>
    </w:p>
    <w:p>
      <w:pPr>
        <w:pStyle w:val="Heading5"/>
      </w:pPr>
      <w:bookmarkStart w:id="605" w:name="_Toc392162445"/>
      <w:bookmarkStart w:id="606" w:name="_Toc413847250"/>
      <w:r>
        <w:rPr>
          <w:rStyle w:val="CharSectno"/>
        </w:rPr>
        <w:t>160</w:t>
      </w:r>
      <w:r>
        <w:t>.</w:t>
      </w:r>
      <w:r>
        <w:tab/>
        <w:t>When a person acquires an interest in an entity</w:t>
      </w:r>
      <w:bookmarkEnd w:id="605"/>
      <w:bookmarkEnd w:id="606"/>
    </w:p>
    <w:p>
      <w:pPr>
        <w:pStyle w:val="Subsection"/>
      </w:pPr>
      <w:r>
        <w:tab/>
        <w:t>(1)</w:t>
      </w:r>
      <w:r>
        <w:tab/>
        <w:t xml:space="preserve">A person acquires an interest in an entity if — </w:t>
      </w:r>
    </w:p>
    <w:p>
      <w:pPr>
        <w:pStyle w:val="Indenta"/>
      </w:pPr>
      <w:r>
        <w:tab/>
        <w:t>(a)</w:t>
      </w:r>
      <w:r>
        <w:tab/>
        <w:t xml:space="preserve">the person obtains an interest in the entity; or </w:t>
      </w:r>
    </w:p>
    <w:p>
      <w:pPr>
        <w:pStyle w:val="Indenta"/>
        <w:keepNext/>
      </w:pPr>
      <w:r>
        <w:tab/>
        <w:t>(b)</w:t>
      </w:r>
      <w:r>
        <w:tab/>
        <w:t xml:space="preserve">the person’s interest in the entity increases, </w:t>
      </w:r>
    </w:p>
    <w:p>
      <w:pPr>
        <w:pStyle w:val="Subsection"/>
      </w:pPr>
      <w:r>
        <w:tab/>
      </w:r>
      <w:r>
        <w:tab/>
        <w:t>regardless of how it is obtained or increased.</w:t>
      </w:r>
    </w:p>
    <w:p>
      <w:pPr>
        <w:pStyle w:val="Subsection"/>
      </w:pPr>
      <w:r>
        <w:tab/>
        <w:t>(2)</w:t>
      </w:r>
      <w:r>
        <w:tab/>
        <w:t xml:space="preserve">Without limiting subsection (1), a person may acquire an interest in a corporation or a unit trust scheme in the following ways — </w:t>
      </w:r>
    </w:p>
    <w:p>
      <w:pPr>
        <w:pStyle w:val="Indenta"/>
      </w:pPr>
      <w:r>
        <w:tab/>
        <w:t>(a)</w:t>
      </w:r>
      <w:r>
        <w:tab/>
        <w:t>by the purchase, gift, allotment or issue of a share or unit;</w:t>
      </w:r>
    </w:p>
    <w:p>
      <w:pPr>
        <w:pStyle w:val="Indenta"/>
      </w:pPr>
      <w:r>
        <w:tab/>
        <w:t>(b)</w:t>
      </w:r>
      <w:r>
        <w:tab/>
        <w:t>by the cancellation, redemption or surrender of a share or unit;</w:t>
      </w:r>
    </w:p>
    <w:p>
      <w:pPr>
        <w:pStyle w:val="Indenta"/>
      </w:pPr>
      <w:r>
        <w:tab/>
        <w:t>(c)</w:t>
      </w:r>
      <w:r>
        <w:tab/>
        <w:t>by the abrogation or alteration of any right in respect of a share or unit;</w:t>
      </w:r>
    </w:p>
    <w:p>
      <w:pPr>
        <w:pStyle w:val="Indenta"/>
      </w:pPr>
      <w:r>
        <w:tab/>
        <w:t>(d)</w:t>
      </w:r>
      <w:r>
        <w:tab/>
        <w:t>by the payment of an amount owing for a share or unit.</w:t>
      </w:r>
    </w:p>
    <w:p>
      <w:pPr>
        <w:pStyle w:val="Subsection"/>
      </w:pPr>
      <w:r>
        <w:tab/>
        <w:t>(3)</w:t>
      </w:r>
      <w:r>
        <w:tab/>
        <w:t>To remove any doubt, it is declared that an interest in a corporation or a unit trust scheme may be acquired without the acquisition of shares in the corporation or units in the scheme.</w:t>
      </w:r>
    </w:p>
    <w:p>
      <w:pPr>
        <w:pStyle w:val="Heading4"/>
        <w:rPr>
          <w:sz w:val="26"/>
        </w:rPr>
      </w:pPr>
      <w:bookmarkStart w:id="607" w:name="_Toc389126455"/>
      <w:bookmarkStart w:id="608" w:name="_Toc392162446"/>
      <w:bookmarkStart w:id="609" w:name="_Toc412734942"/>
      <w:bookmarkStart w:id="610" w:name="_Toc412735365"/>
      <w:bookmarkStart w:id="611" w:name="_Toc412819382"/>
      <w:bookmarkStart w:id="612" w:name="_Toc413830142"/>
      <w:bookmarkStart w:id="613" w:name="_Toc413847251"/>
      <w:r>
        <w:rPr>
          <w:sz w:val="26"/>
        </w:rPr>
        <w:t>Division 2 — Relevant acquisitions of interests in landholders</w:t>
      </w:r>
      <w:bookmarkEnd w:id="607"/>
      <w:bookmarkEnd w:id="608"/>
      <w:bookmarkEnd w:id="609"/>
      <w:bookmarkEnd w:id="610"/>
      <w:bookmarkEnd w:id="611"/>
      <w:bookmarkEnd w:id="612"/>
      <w:bookmarkEnd w:id="613"/>
    </w:p>
    <w:p>
      <w:pPr>
        <w:pStyle w:val="MiscellaneousHeading"/>
        <w:spacing w:before="240"/>
        <w:rPr>
          <w:b/>
          <w:bCs/>
        </w:rPr>
      </w:pPr>
      <w:r>
        <w:rPr>
          <w:b/>
          <w:bCs/>
        </w:rPr>
        <w:t xml:space="preserve">Subdivision 1 — Definitions </w:t>
      </w:r>
    </w:p>
    <w:p>
      <w:pPr>
        <w:pStyle w:val="Heading5"/>
        <w:spacing w:before="240"/>
      </w:pPr>
      <w:bookmarkStart w:id="614" w:name="_Toc392162447"/>
      <w:bookmarkStart w:id="615" w:name="_Toc413847252"/>
      <w:r>
        <w:rPr>
          <w:rStyle w:val="CharSectno"/>
        </w:rPr>
        <w:t>161</w:t>
      </w:r>
      <w:r>
        <w:t>.</w:t>
      </w:r>
      <w:r>
        <w:tab/>
        <w:t>Term used: significant interest</w:t>
      </w:r>
      <w:bookmarkEnd w:id="614"/>
      <w:bookmarkEnd w:id="615"/>
      <w:r>
        <w:t xml:space="preserve"> </w:t>
      </w:r>
    </w:p>
    <w:p>
      <w:pPr>
        <w:pStyle w:val="Subsection"/>
        <w:spacing w:before="180"/>
      </w:pPr>
      <w:r>
        <w:tab/>
      </w:r>
      <w:r>
        <w:tab/>
        <w:t xml:space="preserve">In this Division — </w:t>
      </w:r>
    </w:p>
    <w:p>
      <w:pPr>
        <w:pStyle w:val="Defstart"/>
      </w:pPr>
      <w:r>
        <w:rPr>
          <w:b/>
        </w:rPr>
        <w:tab/>
      </w:r>
      <w:r>
        <w:rPr>
          <w:rStyle w:val="CharDefText"/>
        </w:rPr>
        <w:t>significant interest</w:t>
      </w:r>
      <w:r>
        <w:t xml:space="preserve"> means — </w:t>
      </w:r>
    </w:p>
    <w:p>
      <w:pPr>
        <w:pStyle w:val="Defpara"/>
      </w:pPr>
      <w:r>
        <w:tab/>
        <w:t>(a)</w:t>
      </w:r>
      <w:r>
        <w:tab/>
        <w:t>a 90% interest or a greater interest, in the case of a landholder that is a listed landholder; and</w:t>
      </w:r>
    </w:p>
    <w:p>
      <w:pPr>
        <w:pStyle w:val="Defpara"/>
      </w:pPr>
      <w:r>
        <w:tab/>
        <w:t>(b)</w:t>
      </w:r>
      <w:r>
        <w:tab/>
        <w:t>a 50% interest or a greater interest, in the case of any other landholder.</w:t>
      </w:r>
    </w:p>
    <w:p>
      <w:pPr>
        <w:pStyle w:val="Footnotesection"/>
      </w:pPr>
      <w:r>
        <w:tab/>
        <w:t>[Section 161 amended by No. 32 of 2012 s. 11.]</w:t>
      </w:r>
    </w:p>
    <w:p>
      <w:pPr>
        <w:pStyle w:val="Heading5"/>
      </w:pPr>
      <w:bookmarkStart w:id="616" w:name="_Toc392162448"/>
      <w:bookmarkStart w:id="617" w:name="_Toc413847253"/>
      <w:r>
        <w:rPr>
          <w:rStyle w:val="CharSectno"/>
        </w:rPr>
        <w:t>162</w:t>
      </w:r>
      <w:r>
        <w:t>.</w:t>
      </w:r>
      <w:r>
        <w:tab/>
        <w:t>Related persons: s. 163 and 164</w:t>
      </w:r>
      <w:bookmarkEnd w:id="616"/>
      <w:bookmarkEnd w:id="617"/>
    </w:p>
    <w:p>
      <w:pPr>
        <w:pStyle w:val="Subsection"/>
        <w:keepNext/>
        <w:keepLines/>
        <w:spacing w:before="120"/>
        <w:rPr>
          <w:snapToGrid w:val="0"/>
        </w:rPr>
      </w:pPr>
      <w:r>
        <w:tab/>
        <w:t>(1)</w:t>
      </w:r>
      <w:r>
        <w:tab/>
      </w:r>
      <w:r>
        <w:rPr>
          <w:snapToGrid w:val="0"/>
        </w:rPr>
        <w:t xml:space="preserve">For the purposes of sections 163 and 164 the following persons </w:t>
      </w:r>
      <w:r>
        <w:t>or entities are related persons —</w:t>
      </w:r>
      <w:r>
        <w:rPr>
          <w:snapToGrid w:val="0"/>
        </w:rPr>
        <w:t xml:space="preserve"> </w:t>
      </w:r>
    </w:p>
    <w:p>
      <w:pPr>
        <w:pStyle w:val="Indenta"/>
        <w:rPr>
          <w:snapToGrid w:val="0"/>
        </w:rPr>
      </w:pPr>
      <w:r>
        <w:tab/>
        <w:t>(a)</w:t>
      </w:r>
      <w:r>
        <w:tab/>
        <w:t>individual</w:t>
      </w:r>
      <w:r>
        <w:rPr>
          <w:snapToGrid w:val="0"/>
        </w:rPr>
        <w:t>s who are spouses</w:t>
      </w:r>
      <w:r>
        <w:t>, or de facto partners,</w:t>
      </w:r>
      <w:r>
        <w:rPr>
          <w:snapToGrid w:val="0"/>
        </w:rPr>
        <w:t xml:space="preserve"> of each other; </w:t>
      </w:r>
    </w:p>
    <w:p>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rPr>
          <w:snapToGrid w:val="0"/>
        </w:rPr>
      </w:pPr>
      <w:r>
        <w:tab/>
        <w:t>(c)</w:t>
      </w:r>
      <w:r>
        <w:tab/>
      </w:r>
      <w:r>
        <w:rPr>
          <w:snapToGrid w:val="0"/>
        </w:rPr>
        <w:t>related corporations;</w:t>
      </w:r>
    </w:p>
    <w:p>
      <w:pPr>
        <w:pStyle w:val="Indenta"/>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rPr>
          <w:snapToGrid w:val="0"/>
        </w:rPr>
      </w:pPr>
      <w:r>
        <w:tab/>
        <w:t>(g)</w:t>
      </w:r>
      <w:r>
        <w:tab/>
      </w:r>
      <w:r>
        <w:rPr>
          <w:snapToGrid w:val="0"/>
        </w:rPr>
        <w:t xml:space="preserve">a corporation and a trustee if — </w:t>
      </w:r>
    </w:p>
    <w:p>
      <w:pPr>
        <w:pStyle w:val="Indenti"/>
        <w:spacing w:before="60"/>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spacing w:before="60"/>
        <w:rPr>
          <w:snapToGrid w:val="0"/>
        </w:rPr>
      </w:pPr>
      <w:r>
        <w:tab/>
        <w:t>(ii)</w:t>
      </w:r>
      <w:r>
        <w:tab/>
      </w:r>
      <w:r>
        <w:rPr>
          <w:snapToGrid w:val="0"/>
        </w:rPr>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persons or entities that acquire interests in a landholder by virtue of acquisitions that together form or arise from substantially one transaction or one series of transactions</w:t>
      </w:r>
      <w:r>
        <w: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(2)</w:t>
      </w:r>
      <w:r>
        <w:tab/>
        <w:t>If the Commissioner is satisfied, in the case of a particular acquisition of an interest in an entity, that subsection (3) applies to persons, other than related corporations, that would otherwise be related persons under subsection (1), the Commissioner may determine that, despite that subsection, the persons are not related persons for the purposes of sections </w:t>
      </w:r>
      <w:r>
        <w:rPr>
          <w:snapToGrid w:val="0"/>
        </w:rPr>
        <w:t>163 and 164</w:t>
      </w:r>
      <w:r>
        <w:t>.</w:t>
      </w:r>
    </w:p>
    <w:p>
      <w:pPr>
        <w:pStyle w:val="Subsection"/>
      </w:pPr>
      <w:r>
        <w:tab/>
        <w:t>(3)</w:t>
      </w:r>
      <w:r>
        <w:tab/>
        <w:t xml:space="preserve">This subsection applies to persons if — </w:t>
      </w:r>
    </w:p>
    <w:p>
      <w:pPr>
        <w:pStyle w:val="Indenta"/>
      </w:pPr>
      <w:r>
        <w:tab/>
        <w:t>(a)</w:t>
      </w:r>
      <w:r>
        <w:tab/>
        <w:t>they are not acting in concert with each other in respect of the acquisition; and</w:t>
      </w:r>
    </w:p>
    <w:p>
      <w:pPr>
        <w:pStyle w:val="Indenta"/>
      </w:pPr>
      <w:r>
        <w:tab/>
        <w:t>(b)</w:t>
      </w:r>
      <w:r>
        <w:tab/>
        <w:t xml:space="preserve">their interests in the entity — </w:t>
      </w:r>
    </w:p>
    <w:p>
      <w:pPr>
        <w:pStyle w:val="Indenti"/>
      </w:pPr>
      <w:r>
        <w:tab/>
        <w:t>(i)</w:t>
      </w:r>
      <w:r>
        <w:tab/>
        <w:t>were acquired independently and are, and will be, employed independently; and</w:t>
      </w:r>
    </w:p>
    <w:p>
      <w:pPr>
        <w:pStyle w:val="Indenti"/>
      </w:pPr>
      <w:r>
        <w:tab/>
        <w:t>(ii)</w:t>
      </w:r>
      <w:r>
        <w:tab/>
        <w:t>were not acquired for a common purpose and are not, and will not be, employed for a common purpose.</w:t>
      </w:r>
    </w:p>
    <w:p>
      <w:pPr>
        <w:pStyle w:val="MiscellaneousHeading"/>
        <w:spacing w:before="220"/>
        <w:rPr>
          <w:b/>
          <w:bCs/>
        </w:rPr>
      </w:pPr>
      <w:r>
        <w:rPr>
          <w:b/>
          <w:bCs/>
        </w:rPr>
        <w:t>Subdivision 2 — Relevant acquisitions</w:t>
      </w:r>
    </w:p>
    <w:p>
      <w:pPr>
        <w:pStyle w:val="Heading5"/>
        <w:spacing w:before="180"/>
      </w:pPr>
      <w:bookmarkStart w:id="618" w:name="_Toc392162449"/>
      <w:bookmarkStart w:id="619" w:name="_Toc413847254"/>
      <w:r>
        <w:rPr>
          <w:rStyle w:val="CharSectno"/>
        </w:rPr>
        <w:t>163</w:t>
      </w:r>
      <w:r>
        <w:t>.</w:t>
      </w:r>
      <w:r>
        <w:tab/>
        <w:t>Term used: relevant acquisition</w:t>
      </w:r>
      <w:bookmarkEnd w:id="618"/>
      <w:bookmarkEnd w:id="619"/>
    </w:p>
    <w:p>
      <w:pPr>
        <w:pStyle w:val="Subsection"/>
      </w:pPr>
      <w:r>
        <w:tab/>
      </w:r>
      <w:r>
        <w:tab/>
        <w:t xml:space="preserve">An acquisition by a person of an interest in an entity is a </w:t>
      </w:r>
      <w:r>
        <w:rPr>
          <w:rStyle w:val="CharDefText"/>
        </w:rPr>
        <w:t>relevant acquisition</w:t>
      </w:r>
      <w:r>
        <w:t xml:space="preserve"> if — </w:t>
      </w:r>
    </w:p>
    <w:p>
      <w:pPr>
        <w:pStyle w:val="Indenta"/>
      </w:pPr>
      <w:r>
        <w:tab/>
        <w:t>(a)</w:t>
      </w:r>
      <w:r>
        <w:tab/>
        <w:t>immediately before the acquisition the entity was a landholder in which the interest (if any) of the person and the interest (if any) of any related person did not amount to a significant interest; and</w:t>
      </w:r>
    </w:p>
    <w:p>
      <w:pPr>
        <w:pStyle w:val="Indenta"/>
      </w:pPr>
      <w:r>
        <w:tab/>
        <w:t>(b)</w:t>
      </w:r>
      <w:r>
        <w:tab/>
        <w:t xml:space="preserve">after the acquisition the entity is a landholder in which — </w:t>
      </w:r>
    </w:p>
    <w:p>
      <w:pPr>
        <w:pStyle w:val="Indenti"/>
      </w:pPr>
      <w:r>
        <w:tab/>
        <w:t>(i)</w:t>
      </w:r>
      <w:r>
        <w:tab/>
        <w:t>the interest of the person is a significant interest; or</w:t>
      </w:r>
    </w:p>
    <w:p>
      <w:pPr>
        <w:pStyle w:val="Indenti"/>
      </w:pPr>
      <w:r>
        <w:tab/>
        <w:t>(ii)</w:t>
      </w:r>
      <w:r>
        <w:tab/>
        <w:t>the interest of the person when aggregated with any interest of a related person amounts to a significant interest.</w:t>
      </w:r>
    </w:p>
    <w:p>
      <w:pPr>
        <w:pStyle w:val="Heading5"/>
      </w:pPr>
      <w:bookmarkStart w:id="620" w:name="_Toc392162450"/>
      <w:bookmarkStart w:id="621" w:name="_Toc413847255"/>
      <w:r>
        <w:rPr>
          <w:rStyle w:val="CharSectno"/>
        </w:rPr>
        <w:t>164</w:t>
      </w:r>
      <w:r>
        <w:t>.</w:t>
      </w:r>
      <w:r>
        <w:tab/>
        <w:t>Term used: relevant acquisition</w:t>
      </w:r>
      <w:bookmarkEnd w:id="620"/>
      <w:bookmarkEnd w:id="621"/>
    </w:p>
    <w:p>
      <w:pPr>
        <w:pStyle w:val="Subsection"/>
      </w:pPr>
      <w:r>
        <w:tab/>
      </w:r>
      <w:r>
        <w:tab/>
        <w:t xml:space="preserve">An acquisition by a person of an interest in an entity is also a </w:t>
      </w:r>
      <w:r>
        <w:rPr>
          <w:rStyle w:val="CharDefText"/>
        </w:rPr>
        <w:t>relevant acquisition</w:t>
      </w:r>
      <w:r>
        <w:t xml:space="preserve"> if — </w:t>
      </w:r>
    </w:p>
    <w:p>
      <w:pPr>
        <w:pStyle w:val="Indenta"/>
      </w:pPr>
      <w:r>
        <w:tab/>
        <w:t>(a)</w:t>
      </w:r>
      <w:r>
        <w:tab/>
        <w:t xml:space="preserve">immediately before the acquisition the entity is a landholder in which — </w:t>
      </w:r>
    </w:p>
    <w:p>
      <w:pPr>
        <w:pStyle w:val="Indenti"/>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 or</w:t>
      </w:r>
    </w:p>
    <w:p>
      <w:pPr>
        <w:pStyle w:val="Indenti"/>
      </w:pPr>
      <w:r>
        <w:tab/>
        <w:t>(iii)</w:t>
      </w:r>
      <w:r>
        <w:tab/>
        <w:t>the interest of a related person is a significant interest;</w:t>
      </w:r>
    </w:p>
    <w:p>
      <w:pPr>
        <w:pStyle w:val="Indenta"/>
      </w:pPr>
      <w:r>
        <w:tab/>
      </w:r>
      <w:r>
        <w:tab/>
        <w:t>and</w:t>
      </w:r>
    </w:p>
    <w:p>
      <w:pPr>
        <w:pStyle w:val="Indenta"/>
      </w:pPr>
      <w:r>
        <w:tab/>
        <w:t>(b)</w:t>
      </w:r>
      <w:r>
        <w:tab/>
        <w:t>by the acquisition the person or any related person acquires, or the person and any related person acquire, a further interest in the landholder.</w:t>
      </w:r>
    </w:p>
    <w:p>
      <w:pPr>
        <w:pStyle w:val="Footnotesection"/>
      </w:pPr>
      <w:r>
        <w:tab/>
        <w:t>[Section 164 amended by No. 32 of 2012 s. 12.]</w:t>
      </w:r>
    </w:p>
    <w:p>
      <w:pPr>
        <w:pStyle w:val="MiscellaneousHeading"/>
        <w:spacing w:before="240"/>
        <w:rPr>
          <w:b/>
          <w:bCs/>
        </w:rPr>
      </w:pPr>
      <w:r>
        <w:rPr>
          <w:b/>
          <w:bCs/>
        </w:rPr>
        <w:t>Subdivision 3 — Exempt acquisitions</w:t>
      </w:r>
    </w:p>
    <w:p>
      <w:pPr>
        <w:pStyle w:val="Heading5"/>
      </w:pPr>
      <w:bookmarkStart w:id="622" w:name="_Toc392162451"/>
      <w:bookmarkStart w:id="623" w:name="_Toc413847256"/>
      <w:r>
        <w:rPr>
          <w:rStyle w:val="CharSectno"/>
        </w:rPr>
        <w:t>165</w:t>
      </w:r>
      <w:r>
        <w:t>.</w:t>
      </w:r>
      <w:r>
        <w:tab/>
        <w:t>Term used: acquisition</w:t>
      </w:r>
      <w:bookmarkEnd w:id="622"/>
      <w:bookmarkEnd w:id="623"/>
    </w:p>
    <w:p>
      <w:pPr>
        <w:pStyle w:val="Subsection"/>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624" w:name="_Toc392162452"/>
      <w:bookmarkStart w:id="625" w:name="_Toc413847257"/>
      <w:r>
        <w:rPr>
          <w:rStyle w:val="CharSectno"/>
        </w:rPr>
        <w:t>166</w:t>
      </w:r>
      <w:r>
        <w:t>.</w:t>
      </w:r>
      <w:r>
        <w:tab/>
        <w:t>Effect of acquisition being exempt</w:t>
      </w:r>
      <w:bookmarkEnd w:id="624"/>
      <w:bookmarkEnd w:id="625"/>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and is not an excluded interest under section 189.</w:t>
      </w:r>
    </w:p>
    <w:p>
      <w:pPr>
        <w:pStyle w:val="Footnotesection"/>
      </w:pPr>
      <w:r>
        <w:tab/>
        <w:t>[Section 166 amended by No. 32 of 2012 s. 13.]</w:t>
      </w:r>
    </w:p>
    <w:p>
      <w:pPr>
        <w:pStyle w:val="Heading5"/>
      </w:pPr>
      <w:bookmarkStart w:id="626" w:name="_Toc392162453"/>
      <w:bookmarkStart w:id="627" w:name="_Toc413847258"/>
      <w:r>
        <w:rPr>
          <w:rStyle w:val="CharSectno"/>
        </w:rPr>
        <w:t>167</w:t>
      </w:r>
      <w:r>
        <w:t>.</w:t>
      </w:r>
      <w:r>
        <w:tab/>
        <w:t>Exemption if nominal duty would be chargeable on transfer</w:t>
      </w:r>
      <w:bookmarkEnd w:id="626"/>
      <w:bookmarkEnd w:id="627"/>
    </w:p>
    <w:p>
      <w:pPr>
        <w:pStyle w:val="Subsection"/>
      </w:pPr>
      <w:r>
        <w:tab/>
        <w:t>(1)</w:t>
      </w:r>
      <w:r>
        <w:tab/>
        <w:t xml:space="preserve">An acquisition, by a person (the </w:t>
      </w:r>
      <w:r>
        <w:rPr>
          <w:rStyle w:val="CharDefText"/>
        </w:rPr>
        <w:t>acquiring person</w:t>
      </w:r>
      <w:r>
        <w:t xml:space="preserve">) of an interest in a landholder, is exempt if nominal duty would be chargeable on the transfer, at the time of the acquisition, by the person from whom the interest in the landholder was acquired (the </w:t>
      </w:r>
      <w:r>
        <w:rPr>
          <w:rStyle w:val="CharDefText"/>
        </w:rPr>
        <w:t>relinquishing person</w:t>
      </w:r>
      <w:r>
        <w:t>) to the acquiring person of land of the landholder, or of a linked entity in respect of the landholder, as if the land were that of the relinquishing person.</w:t>
      </w:r>
    </w:p>
    <w:p>
      <w:pPr>
        <w:pStyle w:val="Subsection"/>
      </w:pPr>
      <w:r>
        <w:tab/>
        <w:t>(2)</w:t>
      </w:r>
      <w:r>
        <w:tab/>
        <w:t xml:space="preserve">If the acquiring person did not acquire the interest in the landholder from another person, the reference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NotesPerm"/>
        <w:tabs>
          <w:tab w:val="clear" w:pos="879"/>
          <w:tab w:val="left" w:pos="851"/>
        </w:tabs>
        <w:ind w:left="1418" w:hanging="1418"/>
      </w:pPr>
      <w:r>
        <w:tab/>
        <w:t>Note:</w:t>
      </w:r>
      <w:r>
        <w:tab/>
        <w:t>An acquiring person may acquire an interest in a company by the company issuing shares to the person, or buying back shares of another person.</w:t>
      </w:r>
    </w:p>
    <w:p>
      <w:pPr>
        <w:pStyle w:val="Footnotesection"/>
      </w:pPr>
      <w:r>
        <w:tab/>
        <w:t>[Section 167 inserted by No. 32 of 2012 s. 14.]</w:t>
      </w:r>
    </w:p>
    <w:p>
      <w:pPr>
        <w:pStyle w:val="Heading5"/>
        <w:keepNext w:val="0"/>
        <w:keepLines w:val="0"/>
      </w:pPr>
      <w:bookmarkStart w:id="628" w:name="_Toc392162454"/>
      <w:bookmarkStart w:id="629" w:name="_Toc413847259"/>
      <w:r>
        <w:rPr>
          <w:rStyle w:val="CharSectno"/>
        </w:rPr>
        <w:t>168</w:t>
      </w:r>
      <w:r>
        <w:t>.</w:t>
      </w:r>
      <w:r>
        <w:tab/>
        <w:t>Exemption if transfer duty would not be chargeable</w:t>
      </w:r>
      <w:bookmarkEnd w:id="628"/>
      <w:bookmarkEnd w:id="629"/>
    </w:p>
    <w:p>
      <w:pPr>
        <w:pStyle w:val="Subsection"/>
      </w:pPr>
      <w:r>
        <w:tab/>
        <w:t>(1)</w:t>
      </w:r>
      <w:r>
        <w:tab/>
        <w:t xml:space="preserve">An acquisition, by a person (the </w:t>
      </w:r>
      <w:r>
        <w:rPr>
          <w:rStyle w:val="CharDefText"/>
        </w:rPr>
        <w:t>acquiring person</w:t>
      </w:r>
      <w:r>
        <w:t xml:space="preserve">) of an interest in a landholder, is exempt if no duty would be chargeable, other than under Chapter 6, on the transfer, at the time of the acquisition, by the person from whom the interest in the landholder was acquired (the </w:t>
      </w:r>
      <w:r>
        <w:rPr>
          <w:rStyle w:val="CharDefText"/>
        </w:rPr>
        <w:t>relinquishing person</w:t>
      </w:r>
      <w:r>
        <w:t>) to the acquiring person of land of the landholder, or of a linked entity in respect of the landholder, as if the land were that of the</w:t>
      </w:r>
      <w:r>
        <w:rPr>
          <w:u w:val="single"/>
        </w:rPr>
        <w:t xml:space="preserve"> </w:t>
      </w:r>
      <w:r>
        <w:t>relinquishing person.</w:t>
      </w:r>
    </w:p>
    <w:p>
      <w:pPr>
        <w:pStyle w:val="Subsection"/>
      </w:pPr>
      <w:r>
        <w:tab/>
        <w:t>(2)</w:t>
      </w:r>
      <w:r>
        <w:tab/>
        <w:t xml:space="preserve">If the acquiring person did not acquire the interest in the landholder from another person, the reference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NotesPerm"/>
        <w:tabs>
          <w:tab w:val="clear" w:pos="879"/>
          <w:tab w:val="left" w:pos="851"/>
        </w:tabs>
        <w:ind w:left="1418" w:hanging="1418"/>
      </w:pPr>
      <w:r>
        <w:tab/>
        <w:t>Note:</w:t>
      </w:r>
      <w:r>
        <w:tab/>
        <w:t>An acquiring person may acquire an interest in a company by the company issuing shares to the person, or buying back shares of another person.</w:t>
      </w:r>
    </w:p>
    <w:p>
      <w:pPr>
        <w:pStyle w:val="Subsection"/>
      </w:pPr>
      <w:r>
        <w:tab/>
        <w:t>(3)</w:t>
      </w:r>
      <w:r>
        <w:tab/>
        <w:t>This section does not apply to an acquisition to which section 171 applies.</w:t>
      </w:r>
    </w:p>
    <w:p>
      <w:pPr>
        <w:pStyle w:val="Footnotesection"/>
      </w:pPr>
      <w:r>
        <w:tab/>
        <w:t>[Section 168 inserted by No. 32 of 2012 s. 14.]</w:t>
      </w:r>
    </w:p>
    <w:p>
      <w:pPr>
        <w:pStyle w:val="Heading5"/>
      </w:pPr>
      <w:bookmarkStart w:id="630" w:name="_Toc392162455"/>
      <w:bookmarkStart w:id="631" w:name="_Toc413847260"/>
      <w:r>
        <w:rPr>
          <w:rStyle w:val="CharSectno"/>
        </w:rPr>
        <w:t>169</w:t>
      </w:r>
      <w:r>
        <w:t>.</w:t>
      </w:r>
      <w:r>
        <w:tab/>
        <w:t>Exemption if acquisition is dutiable under s. 67</w:t>
      </w:r>
      <w:bookmarkEnd w:id="630"/>
      <w:bookmarkEnd w:id="631"/>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pPr>
      <w:bookmarkStart w:id="632" w:name="_Toc392162456"/>
      <w:bookmarkStart w:id="633" w:name="_Toc413847261"/>
      <w:r>
        <w:rPr>
          <w:rStyle w:val="CharSectno"/>
        </w:rPr>
        <w:t>170</w:t>
      </w:r>
      <w:r>
        <w:t>.</w:t>
      </w:r>
      <w:r>
        <w:tab/>
        <w:t xml:space="preserve">Exemption relating to approved arrangements with creditors under </w:t>
      </w:r>
      <w:r>
        <w:rPr>
          <w:iCs/>
          <w:spacing w:val="-4"/>
          <w:kern w:val="2"/>
        </w:rPr>
        <w:t>Corporations Act</w:t>
      </w:r>
      <w:bookmarkEnd w:id="632"/>
      <w:bookmarkEnd w:id="633"/>
    </w:p>
    <w:p>
      <w:pPr>
        <w:pStyle w:val="Subsection"/>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pPr>
      <w:bookmarkStart w:id="634" w:name="_Toc392162457"/>
      <w:bookmarkStart w:id="635" w:name="_Toc413847262"/>
      <w:r>
        <w:rPr>
          <w:rStyle w:val="CharSectno"/>
        </w:rPr>
        <w:t>171</w:t>
      </w:r>
      <w:r>
        <w:t>.</w:t>
      </w:r>
      <w:r>
        <w:tab/>
        <w:t>Exemption of acquisition by family member of interest in corporation engaged in primary production</w:t>
      </w:r>
      <w:bookmarkEnd w:id="634"/>
      <w:bookmarkEnd w:id="635"/>
    </w:p>
    <w:p>
      <w:pPr>
        <w:pStyle w:val="Subsection"/>
        <w:keepNext/>
        <w:keepLines/>
      </w:pPr>
      <w:r>
        <w:tab/>
        <w:t>(1)</w:t>
      </w:r>
      <w:r>
        <w:tab/>
        <w:t xml:space="preserve">In this section — </w:t>
      </w:r>
    </w:p>
    <w:p>
      <w:pPr>
        <w:pStyle w:val="Defstart"/>
      </w:pPr>
      <w:r>
        <w:rPr>
          <w:b/>
        </w:rPr>
        <w:tab/>
      </w:r>
      <w:r>
        <w:rPr>
          <w:rStyle w:val="CharDefText"/>
        </w:rPr>
        <w:t>corporation</w:t>
      </w:r>
      <w:r>
        <w:t xml:space="preserve"> means a corporation that is a landholder.</w:t>
      </w:r>
    </w:p>
    <w:p>
      <w:pPr>
        <w:pStyle w:val="Subsection"/>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corporation which, or a linked entity in respect of which, uses land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to which the corporation or a linked entity in respect of the corporation is entitled; and</w:t>
      </w:r>
    </w:p>
    <w:p>
      <w:pPr>
        <w:pStyle w:val="Indenti"/>
      </w:pPr>
      <w:r>
        <w:tab/>
        <w:t>(ii)</w:t>
      </w:r>
      <w:r>
        <w:tab/>
        <w:t>section 102(2), (3), (5) and (6) had not been enacted;</w:t>
      </w:r>
    </w:p>
    <w:p>
      <w:pPr>
        <w:pStyle w:val="Indenta"/>
      </w:pPr>
      <w:r>
        <w:tab/>
      </w:r>
      <w:r>
        <w:tab/>
        <w:t>and</w:t>
      </w:r>
    </w:p>
    <w:p>
      <w:pPr>
        <w:pStyle w:val="Indenta"/>
      </w:pPr>
      <w:r>
        <w:tab/>
        <w:t>(b)</w:t>
      </w:r>
      <w:r>
        <w:tab/>
        <w:t>immediately after the acquisition the corporation, or a linked entity in respect of the corporation, intends to continue to use the land solely or dominantly in the business of primary production.</w:t>
      </w:r>
    </w:p>
    <w:p>
      <w:pPr>
        <w:pStyle w:val="Subsection"/>
      </w:pPr>
      <w:r>
        <w:tab/>
        <w:t>(3)</w:t>
      </w:r>
      <w:r>
        <w:tab/>
        <w:t xml:space="preserve">For the purposes of subsection (2),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MiscellaneousHeading"/>
        <w:spacing w:before="240"/>
        <w:rPr>
          <w:b/>
          <w:bCs/>
        </w:rPr>
      </w:pPr>
      <w:r>
        <w:rPr>
          <w:b/>
          <w:bCs/>
        </w:rPr>
        <w:t>Subdivision 4 — Further provisions in respect of exemptions under section 171</w:t>
      </w:r>
    </w:p>
    <w:p>
      <w:pPr>
        <w:pStyle w:val="Heading5"/>
      </w:pPr>
      <w:bookmarkStart w:id="636" w:name="_Toc392162458"/>
      <w:bookmarkStart w:id="637" w:name="_Toc413847263"/>
      <w:r>
        <w:rPr>
          <w:rStyle w:val="CharSectno"/>
        </w:rPr>
        <w:t>172</w:t>
      </w:r>
      <w:r>
        <w:t>.</w:t>
      </w:r>
      <w:r>
        <w:tab/>
        <w:t>Calculation of duty where some land of corporation not used for primary production</w:t>
      </w:r>
      <w:bookmarkEnd w:id="636"/>
      <w:bookmarkEnd w:id="637"/>
    </w:p>
    <w:p>
      <w:pPr>
        <w:pStyle w:val="Subsection"/>
      </w:pPr>
      <w:r>
        <w:tab/>
        <w:t>(1)</w:t>
      </w:r>
      <w:r>
        <w:tab/>
        <w:t>This section applies to an acquisition</w:t>
      </w:r>
      <w:r>
        <w:rPr>
          <w:bCs/>
        </w:rPr>
        <w:t xml:space="preserve"> </w:t>
      </w:r>
      <w:r>
        <w:t xml:space="preserve">referred to in section 171 if immediately before the acquisition the corporation concerned, or a linked entity in respect of the corporation, is entitled to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xml:space="preserve"> that is used solely or dominantly in the business of primary production; and</w:t>
      </w:r>
    </w:p>
    <w:p>
      <w:pPr>
        <w:pStyle w:val="Indenta"/>
      </w:pPr>
      <w:r>
        <w:tab/>
        <w:t>(b)</w:t>
      </w:r>
      <w:r>
        <w:tab/>
        <w:t xml:space="preserve">land in </w:t>
      </w:r>
      <w:smartTag w:uri="urn:schemas-microsoft-com:office:smarttags" w:element="place">
        <w:smartTag w:uri="urn:schemas-microsoft-com:office:smarttags" w:element="State">
          <w:r>
            <w:t>Western Australia</w:t>
          </w:r>
        </w:smartTag>
      </w:smartTag>
      <w:r>
        <w:t xml:space="preserve"> that is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referred to in subsection (1)(b) bears to the value of the corporation concerned, as determined under section 186.</w:t>
      </w:r>
    </w:p>
    <w:p>
      <w:pPr>
        <w:pStyle w:val="Heading5"/>
      </w:pPr>
      <w:bookmarkStart w:id="638" w:name="_Toc392162459"/>
      <w:bookmarkStart w:id="639" w:name="_Toc413847264"/>
      <w:r>
        <w:rPr>
          <w:rStyle w:val="CharSectno"/>
        </w:rPr>
        <w:t>173</w:t>
      </w:r>
      <w:r>
        <w:t>.</w:t>
      </w:r>
      <w:r>
        <w:tab/>
        <w:t>Reversal of exemption where certain changes made to discretionary trust</w:t>
      </w:r>
      <w:bookmarkEnd w:id="638"/>
      <w:bookmarkEnd w:id="639"/>
    </w:p>
    <w:p>
      <w:pPr>
        <w:pStyle w:val="Subsection"/>
        <w:spacing w:before="180"/>
      </w:pPr>
      <w:r>
        <w:tab/>
        <w:t>(1)</w:t>
      </w:r>
      <w:r>
        <w:tab/>
        <w:t xml:space="preserve">This section applies if — </w:t>
      </w:r>
    </w:p>
    <w:p>
      <w:pPr>
        <w:pStyle w:val="Indenta"/>
        <w:spacing w:before="60"/>
        <w:rPr>
          <w:bCs/>
        </w:rPr>
      </w:pPr>
      <w:r>
        <w:tab/>
        <w:t>(a)</w:t>
      </w:r>
      <w:r>
        <w:tab/>
        <w:t xml:space="preserve">an acquisition from a person (the </w:t>
      </w:r>
      <w:r>
        <w:rPr>
          <w:rStyle w:val="CharDefText"/>
        </w:rPr>
        <w:t>transferor</w:t>
      </w:r>
      <w:r>
        <w:rPr>
          <w:bCs/>
        </w:rPr>
        <w:t xml:space="preserve">) of an interest in a corporation by the trustee of a discretionary trust was — </w:t>
      </w:r>
    </w:p>
    <w:p>
      <w:pPr>
        <w:pStyle w:val="Indenti"/>
        <w:spacing w:before="60"/>
      </w:pPr>
      <w:r>
        <w:tab/>
        <w:t>(i)</w:t>
      </w:r>
      <w:r>
        <w:tab/>
        <w:t xml:space="preserve">exempt under section 171; or </w:t>
      </w:r>
    </w:p>
    <w:p>
      <w:pPr>
        <w:pStyle w:val="Indenti"/>
        <w:spacing w:before="60"/>
      </w:pPr>
      <w:r>
        <w:tab/>
        <w:t>(ii)</w:t>
      </w:r>
      <w:r>
        <w:tab/>
        <w:t xml:space="preserve">a partially exempt acquisition under section 172; </w:t>
      </w:r>
    </w:p>
    <w:p>
      <w:pPr>
        <w:pStyle w:val="Indenta"/>
        <w:spacing w:before="60"/>
      </w:pPr>
      <w:r>
        <w:tab/>
      </w:r>
      <w:r>
        <w:tab/>
        <w:t>and</w:t>
      </w:r>
    </w:p>
    <w:p>
      <w:pPr>
        <w:pStyle w:val="Indenta"/>
        <w:spacing w:before="60"/>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corporation is a landholder; and</w:t>
      </w:r>
    </w:p>
    <w:p>
      <w:pPr>
        <w:pStyle w:val="Indenti"/>
      </w:pPr>
      <w:r>
        <w:tab/>
        <w:t>(ii)</w:t>
      </w:r>
      <w:r>
        <w:tab/>
        <w:t>the corporation or a linked entity in respect of the corporation, is using solely or dominantly in the business of primary production any of the land to which it was entitled when the acquisition occurred.</w:t>
      </w:r>
    </w:p>
    <w:p>
      <w:pPr>
        <w:pStyle w:val="Subsection"/>
        <w:spacing w:before="180"/>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keepNext/>
        <w:spacing w:before="180"/>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corporation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Heading5"/>
      </w:pPr>
      <w:bookmarkStart w:id="640" w:name="_Toc392162460"/>
      <w:bookmarkStart w:id="641" w:name="_Toc413847265"/>
      <w:r>
        <w:rPr>
          <w:rStyle w:val="CharSectno"/>
        </w:rPr>
        <w:t>174</w:t>
      </w:r>
      <w:r>
        <w:t>.</w:t>
      </w:r>
      <w:r>
        <w:tab/>
        <w:t>No exemption where interest transferred within 5 years</w:t>
      </w:r>
      <w:bookmarkEnd w:id="640"/>
      <w:bookmarkEnd w:id="641"/>
    </w:p>
    <w:p>
      <w:pPr>
        <w:pStyle w:val="Subsection"/>
      </w:pPr>
      <w:r>
        <w:tab/>
        <w:t>(1)</w:t>
      </w:r>
      <w:r>
        <w:tab/>
        <w:t xml:space="preserve">This section applies if — </w:t>
      </w:r>
    </w:p>
    <w:p>
      <w:pPr>
        <w:pStyle w:val="Indenta"/>
      </w:pPr>
      <w:r>
        <w:tab/>
        <w:t>(a)</w:t>
      </w:r>
      <w:r>
        <w:tab/>
        <w:t xml:space="preserve">an acquisition of an interest in a corporation (the </w:t>
      </w:r>
      <w:r>
        <w:rPr>
          <w:rStyle w:val="CharDefText"/>
        </w:rPr>
        <w:t>first acquisition</w:t>
      </w:r>
      <w:r>
        <w:rPr>
          <w:bCs/>
        </w:rPr>
        <w:t xml:space="preserve">) </w:t>
      </w:r>
      <w:r>
        <w:t>was exempt under section 171; and</w:t>
      </w:r>
    </w:p>
    <w:p>
      <w:pPr>
        <w:pStyle w:val="Indenta"/>
      </w:pPr>
      <w:r>
        <w:tab/>
        <w:t>(b)</w:t>
      </w:r>
      <w:r>
        <w:tab/>
        <w:t>a further acquisition of an interest in the corporation occurs within 5 years after the day on which the first acquisition occurred; and</w:t>
      </w:r>
    </w:p>
    <w:p>
      <w:pPr>
        <w:pStyle w:val="Indenta"/>
      </w:pPr>
      <w:r>
        <w:tab/>
        <w:t>(c)</w:t>
      </w:r>
      <w:r>
        <w:tab/>
        <w:t xml:space="preserve">at the time when the further acquisition occurs the corporation, or a linked entity in respect of the corporation, is using solely or dominantly in the business of primary production any of the land to which it was entitled when the first acquisition occurred; and </w:t>
      </w:r>
    </w:p>
    <w:p>
      <w:pPr>
        <w:pStyle w:val="Indenta"/>
      </w:pPr>
      <w:r>
        <w:tab/>
        <w:t>(d)</w:t>
      </w:r>
      <w:r>
        <w:tab/>
        <w:t>in the opinion of the Commissioner the further acquisition is by way of a transfer of an interest, or part of an interest, in the corporation that was acquired under the first acquisition.</w:t>
      </w:r>
    </w:p>
    <w:p>
      <w:pPr>
        <w:pStyle w:val="Subsection"/>
      </w:pPr>
      <w:r>
        <w:tab/>
        <w:t>(2)</w:t>
      </w:r>
      <w:r>
        <w:tab/>
        <w:t>The further acquisition is not exempt under section 171 even if it comes within the provisions of that section.</w:t>
      </w:r>
    </w:p>
    <w:p>
      <w:pPr>
        <w:pStyle w:val="Heading3"/>
        <w:keepLines/>
        <w:rPr>
          <w:sz w:val="28"/>
        </w:rPr>
      </w:pPr>
      <w:bookmarkStart w:id="642" w:name="_Toc389126470"/>
      <w:bookmarkStart w:id="643" w:name="_Toc392162461"/>
      <w:bookmarkStart w:id="644" w:name="_Toc412734957"/>
      <w:bookmarkStart w:id="645" w:name="_Toc412735380"/>
      <w:bookmarkStart w:id="646" w:name="_Toc412819397"/>
      <w:bookmarkStart w:id="647" w:name="_Toc413830157"/>
      <w:bookmarkStart w:id="648" w:name="_Toc413847266"/>
      <w:r>
        <w:rPr>
          <w:rStyle w:val="CharDivNo"/>
          <w:sz w:val="28"/>
        </w:rPr>
        <w:t>Part 6</w:t>
      </w:r>
      <w:r>
        <w:rPr>
          <w:sz w:val="28"/>
        </w:rPr>
        <w:t> — </w:t>
      </w:r>
      <w:r>
        <w:rPr>
          <w:rStyle w:val="CharDivText"/>
          <w:sz w:val="28"/>
        </w:rPr>
        <w:t>Collection of landholder duty</w:t>
      </w:r>
      <w:bookmarkEnd w:id="642"/>
      <w:bookmarkEnd w:id="643"/>
      <w:bookmarkEnd w:id="644"/>
      <w:bookmarkEnd w:id="645"/>
      <w:bookmarkEnd w:id="646"/>
      <w:bookmarkEnd w:id="647"/>
      <w:bookmarkEnd w:id="648"/>
    </w:p>
    <w:p>
      <w:pPr>
        <w:pStyle w:val="Heading4"/>
        <w:keepLines/>
        <w:rPr>
          <w:sz w:val="26"/>
        </w:rPr>
      </w:pPr>
      <w:bookmarkStart w:id="649" w:name="_Toc389126471"/>
      <w:bookmarkStart w:id="650" w:name="_Toc392162462"/>
      <w:bookmarkStart w:id="651" w:name="_Toc412734958"/>
      <w:bookmarkStart w:id="652" w:name="_Toc412735381"/>
      <w:bookmarkStart w:id="653" w:name="_Toc412819398"/>
      <w:bookmarkStart w:id="654" w:name="_Toc413830158"/>
      <w:bookmarkStart w:id="655" w:name="_Toc413847267"/>
      <w:r>
        <w:rPr>
          <w:sz w:val="26"/>
        </w:rPr>
        <w:t>Division 1 — Preliminary</w:t>
      </w:r>
      <w:bookmarkEnd w:id="649"/>
      <w:bookmarkEnd w:id="650"/>
      <w:bookmarkEnd w:id="651"/>
      <w:bookmarkEnd w:id="652"/>
      <w:bookmarkEnd w:id="653"/>
      <w:bookmarkEnd w:id="654"/>
      <w:bookmarkEnd w:id="655"/>
    </w:p>
    <w:p>
      <w:pPr>
        <w:pStyle w:val="Heading5"/>
      </w:pPr>
      <w:bookmarkStart w:id="656" w:name="_Toc392162463"/>
      <w:bookmarkStart w:id="657" w:name="_Toc413847268"/>
      <w:r>
        <w:rPr>
          <w:rStyle w:val="CharSectno"/>
        </w:rPr>
        <w:t>175</w:t>
      </w:r>
      <w:r>
        <w:t>.</w:t>
      </w:r>
      <w:r>
        <w:tab/>
        <w:t>Term used: acquirer</w:t>
      </w:r>
      <w:bookmarkEnd w:id="656"/>
      <w:bookmarkEnd w:id="657"/>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pPr>
      <w:bookmarkStart w:id="658" w:name="_Toc392162464"/>
      <w:bookmarkStart w:id="659" w:name="_Toc413847269"/>
      <w:r>
        <w:rPr>
          <w:rStyle w:val="CharSectno"/>
        </w:rPr>
        <w:t>176</w:t>
      </w:r>
      <w:r>
        <w:t>.</w:t>
      </w:r>
      <w:r>
        <w:tab/>
        <w:t>When acquisition occurs</w:t>
      </w:r>
      <w:bookmarkEnd w:id="658"/>
      <w:bookmarkEnd w:id="659"/>
    </w:p>
    <w:p>
      <w:pPr>
        <w:pStyle w:val="Subsection"/>
        <w:spacing w:before="120"/>
      </w:pPr>
      <w:r>
        <w:tab/>
        <w:t>(1)</w:t>
      </w:r>
      <w:r>
        <w:tab/>
        <w:t>For the purposes of this Chapter, but subject to section 173(4)(c), the time when an acquisition of an interest in a landholder occurs is to be determined under this section.</w:t>
      </w:r>
    </w:p>
    <w:p>
      <w:pPr>
        <w:pStyle w:val="Subsection"/>
        <w:spacing w:before="120"/>
      </w:pPr>
      <w:r>
        <w:tab/>
        <w:t>(2)</w:t>
      </w:r>
      <w:r>
        <w:tab/>
        <w:t>If there is an agreement for the making of the acquisition, whether conditional or not, and subsection (3) does not apply, the acquisition occurs when the agreement is made.</w:t>
      </w:r>
    </w:p>
    <w:p>
      <w:pPr>
        <w:pStyle w:val="NotesPerm"/>
        <w:tabs>
          <w:tab w:val="clear" w:pos="879"/>
          <w:tab w:val="left" w:pos="851"/>
        </w:tabs>
        <w:spacing w:before="80"/>
        <w:ind w:left="1418" w:hanging="1418"/>
        <w:rPr>
          <w:rFonts w:cs="Arial"/>
        </w:rPr>
      </w:pPr>
      <w:r>
        <w:tab/>
        <w:t>Note:</w:t>
      </w:r>
      <w:r>
        <w:tab/>
      </w:r>
      <w:r>
        <w:rPr>
          <w:rFonts w:cs="Arial"/>
        </w:rPr>
        <w:t>Section 196 provides for the reassessment of duty if an agreement referred to in this subsection is not completed.</w:t>
      </w:r>
    </w:p>
    <w:p>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Ednotesubsection"/>
      </w:pPr>
      <w:r>
        <w:tab/>
        <w:t>[(4A)</w:t>
      </w:r>
      <w:r>
        <w:tab/>
        <w:t>deleted]</w:t>
      </w:r>
    </w:p>
    <w:p>
      <w:pPr>
        <w:pStyle w:val="Subsection"/>
      </w:pPr>
      <w:r>
        <w:tab/>
        <w:t>(4)</w:t>
      </w:r>
      <w:r>
        <w:tab/>
        <w:t>If subsections (2) and (3) do not apply, the acquisition occurs when the interest to which it relates is acquired.</w:t>
      </w:r>
    </w:p>
    <w:p>
      <w:pPr>
        <w:pStyle w:val="Footnotesection"/>
      </w:pPr>
      <w:r>
        <w:tab/>
        <w:t>[Section 176 amended by No. 32 of 2012 s. 15; No. 1 of 2015 s. 26.]</w:t>
      </w:r>
    </w:p>
    <w:p>
      <w:pPr>
        <w:pStyle w:val="Heading5"/>
      </w:pPr>
      <w:bookmarkStart w:id="660" w:name="_Toc392162465"/>
      <w:bookmarkStart w:id="661" w:name="_Toc413847270"/>
      <w:r>
        <w:rPr>
          <w:rStyle w:val="CharSectno"/>
        </w:rPr>
        <w:t>177</w:t>
      </w:r>
      <w:r>
        <w:t>.</w:t>
      </w:r>
      <w:r>
        <w:tab/>
        <w:t>Certain transactions to be treated as agreements</w:t>
      </w:r>
      <w:bookmarkEnd w:id="660"/>
      <w:bookmarkEnd w:id="661"/>
    </w:p>
    <w:p>
      <w:pPr>
        <w:pStyle w:val="Subsection"/>
        <w:spacing w:before="120"/>
      </w:pPr>
      <w:r>
        <w:tab/>
        <w:t>(1)</w:t>
      </w:r>
      <w:r>
        <w:tab/>
        <w:t xml:space="preserve">In this section and in section 178 — </w:t>
      </w:r>
    </w:p>
    <w:p>
      <w:pPr>
        <w:pStyle w:val="Defstart"/>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section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pPr>
      <w:r>
        <w:tab/>
        <w:t>(a)</w:t>
      </w:r>
      <w:r>
        <w:tab/>
        <w:t xml:space="preserve">the call option has been assigned to another person so that the other person has a right to require the sale of the relevant interest — </w:t>
      </w:r>
    </w:p>
    <w:p>
      <w:pPr>
        <w:pStyle w:val="Indenti"/>
      </w:pPr>
      <w:r>
        <w:tab/>
        <w:t>(i)</w:t>
      </w:r>
      <w:r>
        <w:tab/>
        <w:t xml:space="preserve">to the other person; or </w:t>
      </w:r>
    </w:p>
    <w:p>
      <w:pPr>
        <w:pStyle w:val="Indenti"/>
      </w:pPr>
      <w:r>
        <w:tab/>
        <w:t>(ii)</w:t>
      </w:r>
      <w:r>
        <w:tab/>
        <w:t>to a person that has an agreement, arrangement or understanding with the other person relating to the interest;</w:t>
      </w:r>
    </w:p>
    <w:p>
      <w:pPr>
        <w:pStyle w:val="Indenta"/>
      </w:pPr>
      <w:r>
        <w:tab/>
      </w:r>
      <w:r>
        <w:tab/>
        <w:t>and</w:t>
      </w:r>
    </w:p>
    <w:p>
      <w:pPr>
        <w:pStyle w:val="Indenta"/>
      </w:pPr>
      <w:r>
        <w:tab/>
        <w:t>(b)</w:t>
      </w:r>
      <w:r>
        <w:tab/>
        <w:t>the put option obligations have passed to any person referred to in paragraph (a),</w:t>
      </w:r>
    </w:p>
    <w:p>
      <w:pPr>
        <w:pStyle w:val="Subsection"/>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NotesPerm"/>
        <w:tabs>
          <w:tab w:val="left" w:pos="1418"/>
        </w:tabs>
        <w:ind w:left="1418" w:hanging="1418"/>
      </w:pPr>
      <w:r>
        <w:tab/>
        <w:t>Note:</w:t>
      </w:r>
      <w:r>
        <w:tab/>
        <w:t>Section 196 provides for the reassessment of duty if a deemed agreement is not completed.</w:t>
      </w:r>
    </w:p>
    <w:p>
      <w:pPr>
        <w:pStyle w:val="Heading5"/>
      </w:pPr>
      <w:bookmarkStart w:id="662" w:name="_Toc392162466"/>
      <w:bookmarkStart w:id="663" w:name="_Toc413847271"/>
      <w:r>
        <w:rPr>
          <w:rStyle w:val="CharSectno"/>
        </w:rPr>
        <w:t>178</w:t>
      </w:r>
      <w:r>
        <w:t>.</w:t>
      </w:r>
      <w:r>
        <w:tab/>
        <w:t>Exceptions to s. 177</w:t>
      </w:r>
      <w:bookmarkEnd w:id="662"/>
      <w:bookmarkEnd w:id="663"/>
    </w:p>
    <w:p>
      <w:pPr>
        <w:pStyle w:val="Subsection"/>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pPr>
      <w:r>
        <w:tab/>
        <w:t>(2)</w:t>
      </w:r>
      <w:r>
        <w:tab/>
        <w:t>It is an exception to section 177(2) if the call option and the put option are for, and only for, the purpose of obtaining finance or making other financial arrangements.</w:t>
      </w:r>
    </w:p>
    <w:p>
      <w:pPr>
        <w:pStyle w:val="Subsection"/>
        <w:spacing w:before="180"/>
      </w:pPr>
      <w:r>
        <w:tab/>
        <w:t>(3)</w:t>
      </w:r>
      <w:r>
        <w:tab/>
        <w:t>It is also an exception to section 177(2) if the call option and the put option form part of a scheme of call options and put options given by the proprietors of a business that — </w:t>
      </w:r>
    </w:p>
    <w:p>
      <w:pPr>
        <w:pStyle w:val="Indenta"/>
        <w:spacing w:before="60"/>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spacing w:before="60"/>
      </w:pPr>
      <w:r>
        <w:tab/>
        <w:t>(b)</w:t>
      </w:r>
      <w:r>
        <w:tab/>
        <w:t>are not exercisable except on the occurrence of an event specified in them that would cause the continuing proprietor or proprietors to seek to acquire the interest of another of the proprietors.</w:t>
      </w:r>
    </w:p>
    <w:p>
      <w:pPr>
        <w:pStyle w:val="Heading4"/>
        <w:spacing w:before="260"/>
        <w:rPr>
          <w:sz w:val="26"/>
        </w:rPr>
      </w:pPr>
      <w:bookmarkStart w:id="664" w:name="_Toc389126476"/>
      <w:bookmarkStart w:id="665" w:name="_Toc392162467"/>
      <w:bookmarkStart w:id="666" w:name="_Toc412734963"/>
      <w:bookmarkStart w:id="667" w:name="_Toc412735386"/>
      <w:bookmarkStart w:id="668" w:name="_Toc412819403"/>
      <w:bookmarkStart w:id="669" w:name="_Toc413830163"/>
      <w:bookmarkStart w:id="670" w:name="_Toc413847272"/>
      <w:r>
        <w:rPr>
          <w:sz w:val="26"/>
        </w:rPr>
        <w:t>Division 2 — Liability</w:t>
      </w:r>
      <w:bookmarkEnd w:id="664"/>
      <w:bookmarkEnd w:id="665"/>
      <w:bookmarkEnd w:id="666"/>
      <w:bookmarkEnd w:id="667"/>
      <w:bookmarkEnd w:id="668"/>
      <w:bookmarkEnd w:id="669"/>
      <w:bookmarkEnd w:id="670"/>
    </w:p>
    <w:p>
      <w:pPr>
        <w:pStyle w:val="Heading5"/>
      </w:pPr>
      <w:bookmarkStart w:id="671" w:name="_Toc392162468"/>
      <w:bookmarkStart w:id="672" w:name="_Toc413847273"/>
      <w:r>
        <w:rPr>
          <w:rStyle w:val="CharSectno"/>
        </w:rPr>
        <w:t>179</w:t>
      </w:r>
      <w:r>
        <w:t>.</w:t>
      </w:r>
      <w:r>
        <w:tab/>
        <w:t>Who is liable to pay duty</w:t>
      </w:r>
      <w:bookmarkEnd w:id="671"/>
      <w:bookmarkEnd w:id="672"/>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189.</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Footnotesection"/>
      </w:pPr>
      <w:r>
        <w:tab/>
        <w:t>[Section 179 amended by No. 32 of 2012 s. 16.]</w:t>
      </w:r>
    </w:p>
    <w:p>
      <w:pPr>
        <w:pStyle w:val="Heading5"/>
      </w:pPr>
      <w:bookmarkStart w:id="673" w:name="_Toc392162469"/>
      <w:bookmarkStart w:id="674" w:name="_Toc413847274"/>
      <w:r>
        <w:rPr>
          <w:rStyle w:val="CharSectno"/>
        </w:rPr>
        <w:t>180</w:t>
      </w:r>
      <w:r>
        <w:t>.</w:t>
      </w:r>
      <w:r>
        <w:tab/>
        <w:t>Application to Commissioner for determination of liability</w:t>
      </w:r>
      <w:bookmarkEnd w:id="673"/>
      <w:bookmarkEnd w:id="674"/>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pPr>
      <w:r>
        <w:tab/>
        <w:t>(2)</w:t>
      </w:r>
      <w:r>
        <w:tab/>
        <w:t xml:space="preserve">The persons that may apply are — </w:t>
      </w:r>
    </w:p>
    <w:p>
      <w:pPr>
        <w:pStyle w:val="Indenta"/>
        <w:spacing w:before="60"/>
      </w:pPr>
      <w:r>
        <w:tab/>
        <w:t>(a)</w:t>
      </w:r>
      <w:r>
        <w:tab/>
        <w:t>any person that by the acquisition acquires an interest in the entity; or</w:t>
      </w:r>
    </w:p>
    <w:p>
      <w:pPr>
        <w:pStyle w:val="Indenta"/>
        <w:spacing w:before="60"/>
      </w:pPr>
      <w:r>
        <w:tab/>
        <w:t>(b)</w:t>
      </w:r>
      <w:r>
        <w:tab/>
        <w:t>any person that may be taken into account under section 163 or 164 as being related for the purposes of the acquisition to a person referred to in paragraph (a); or</w:t>
      </w:r>
    </w:p>
    <w:p>
      <w:pPr>
        <w:pStyle w:val="Indenta"/>
        <w:spacing w:before="60"/>
      </w:pPr>
      <w:r>
        <w:tab/>
        <w:t>(c)</w:t>
      </w:r>
      <w:r>
        <w:tab/>
        <w:t>if the entity is a corporation, the corporation; or</w:t>
      </w:r>
    </w:p>
    <w:p>
      <w:pPr>
        <w:pStyle w:val="Indenta"/>
        <w:keepNext/>
        <w:spacing w:before="60"/>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Heading5"/>
        <w:spacing w:before="180"/>
      </w:pPr>
      <w:bookmarkStart w:id="675" w:name="_Toc392162470"/>
      <w:bookmarkStart w:id="676" w:name="_Toc413847275"/>
      <w:r>
        <w:rPr>
          <w:rStyle w:val="CharSectno"/>
        </w:rPr>
        <w:t>181</w:t>
      </w:r>
      <w:r>
        <w:t>.</w:t>
      </w:r>
      <w:r>
        <w:tab/>
        <w:t>Determination of s. 180 application</w:t>
      </w:r>
      <w:bookmarkEnd w:id="675"/>
      <w:bookmarkEnd w:id="676"/>
    </w:p>
    <w:p>
      <w:pPr>
        <w:pStyle w:val="Subsection"/>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spacing w:before="180"/>
      </w:pPr>
      <w:bookmarkStart w:id="677" w:name="_Toc392162471"/>
      <w:bookmarkStart w:id="678" w:name="_Toc413847276"/>
      <w:r>
        <w:rPr>
          <w:rStyle w:val="CharSectno"/>
        </w:rPr>
        <w:t>182</w:t>
      </w:r>
      <w:r>
        <w:t>.</w:t>
      </w:r>
      <w:r>
        <w:tab/>
        <w:t>Powers of Commissioner where further information required for determination of s. 180 application</w:t>
      </w:r>
      <w:bookmarkEnd w:id="677"/>
      <w:bookmarkEnd w:id="678"/>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spacing w:before="120"/>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679" w:name="_Toc389126481"/>
      <w:bookmarkStart w:id="680" w:name="_Toc392162472"/>
      <w:bookmarkStart w:id="681" w:name="_Toc412734968"/>
      <w:bookmarkStart w:id="682" w:name="_Toc412735391"/>
      <w:bookmarkStart w:id="683" w:name="_Toc412819408"/>
      <w:bookmarkStart w:id="684" w:name="_Toc413830168"/>
      <w:bookmarkStart w:id="685" w:name="_Toc413847277"/>
      <w:r>
        <w:rPr>
          <w:sz w:val="26"/>
        </w:rPr>
        <w:t>Division 3 — Payment of landholder duty</w:t>
      </w:r>
      <w:bookmarkEnd w:id="679"/>
      <w:bookmarkEnd w:id="680"/>
      <w:bookmarkEnd w:id="681"/>
      <w:bookmarkEnd w:id="682"/>
      <w:bookmarkEnd w:id="683"/>
      <w:bookmarkEnd w:id="684"/>
      <w:bookmarkEnd w:id="685"/>
    </w:p>
    <w:p>
      <w:pPr>
        <w:pStyle w:val="Heading5"/>
      </w:pPr>
      <w:bookmarkStart w:id="686" w:name="_Toc392162473"/>
      <w:bookmarkStart w:id="687" w:name="_Toc413847278"/>
      <w:r>
        <w:rPr>
          <w:rStyle w:val="CharSectno"/>
        </w:rPr>
        <w:t>183</w:t>
      </w:r>
      <w:r>
        <w:t>.</w:t>
      </w:r>
      <w:r>
        <w:tab/>
        <w:t>When landholder duty must be paid</w:t>
      </w:r>
      <w:bookmarkEnd w:id="686"/>
      <w:bookmarkEnd w:id="687"/>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spacing w:before="200"/>
        <w:rPr>
          <w:sz w:val="26"/>
        </w:rPr>
      </w:pPr>
      <w:bookmarkStart w:id="688" w:name="_Toc389126483"/>
      <w:bookmarkStart w:id="689" w:name="_Toc392162474"/>
      <w:bookmarkStart w:id="690" w:name="_Toc412734970"/>
      <w:bookmarkStart w:id="691" w:name="_Toc412735393"/>
      <w:bookmarkStart w:id="692" w:name="_Toc412819410"/>
      <w:bookmarkStart w:id="693" w:name="_Toc413830170"/>
      <w:bookmarkStart w:id="694" w:name="_Toc413847279"/>
      <w:r>
        <w:rPr>
          <w:sz w:val="26"/>
        </w:rPr>
        <w:t>Division 4 — Rates of landholder duty</w:t>
      </w:r>
      <w:bookmarkEnd w:id="688"/>
      <w:bookmarkEnd w:id="689"/>
      <w:bookmarkEnd w:id="690"/>
      <w:bookmarkEnd w:id="691"/>
      <w:bookmarkEnd w:id="692"/>
      <w:bookmarkEnd w:id="693"/>
      <w:bookmarkEnd w:id="694"/>
    </w:p>
    <w:p>
      <w:pPr>
        <w:pStyle w:val="Heading5"/>
      </w:pPr>
      <w:bookmarkStart w:id="695" w:name="_Toc392162475"/>
      <w:bookmarkStart w:id="696" w:name="_Toc413847280"/>
      <w:r>
        <w:rPr>
          <w:rStyle w:val="CharSectno"/>
        </w:rPr>
        <w:t>184</w:t>
      </w:r>
      <w:r>
        <w:t>.</w:t>
      </w:r>
      <w:r>
        <w:tab/>
        <w:t>Rates of landholder duty</w:t>
      </w:r>
      <w:bookmarkEnd w:id="695"/>
      <w:bookmarkEnd w:id="696"/>
    </w:p>
    <w:p>
      <w:pPr>
        <w:pStyle w:val="Subsection"/>
      </w:pPr>
      <w:r>
        <w:tab/>
        <w:t>(1)</w:t>
      </w:r>
      <w:r>
        <w:tab/>
        <w:t>Duty is chargeable at the general rate of duty set out in Schedule 2.</w:t>
      </w:r>
    </w:p>
    <w:p>
      <w:pPr>
        <w:pStyle w:val="Subsection"/>
      </w:pPr>
      <w:r>
        <w:tab/>
        <w:t>(2)</w:t>
      </w:r>
      <w:r>
        <w:tab/>
        <w:t>For the purposes of subsection (1) the value referred to in section 188(1) or 189(1), as the case may require, is taken to be the dutiable value.</w:t>
      </w:r>
    </w:p>
    <w:p>
      <w:pPr>
        <w:pStyle w:val="Footnotesection"/>
      </w:pPr>
      <w:r>
        <w:tab/>
        <w:t>[Section 184 amended by No. 32 of 2012 s. 17.]</w:t>
      </w:r>
    </w:p>
    <w:p>
      <w:pPr>
        <w:pStyle w:val="Heading4"/>
        <w:rPr>
          <w:sz w:val="26"/>
        </w:rPr>
      </w:pPr>
      <w:bookmarkStart w:id="697" w:name="_Toc389126485"/>
      <w:bookmarkStart w:id="698" w:name="_Toc392162476"/>
      <w:bookmarkStart w:id="699" w:name="_Toc412734972"/>
      <w:bookmarkStart w:id="700" w:name="_Toc412735395"/>
      <w:bookmarkStart w:id="701" w:name="_Toc412819412"/>
      <w:bookmarkStart w:id="702" w:name="_Toc413830172"/>
      <w:bookmarkStart w:id="703" w:name="_Toc413847281"/>
      <w:r>
        <w:rPr>
          <w:sz w:val="26"/>
        </w:rPr>
        <w:t>Division 5 — Calculation of landholder duty</w:t>
      </w:r>
      <w:bookmarkEnd w:id="697"/>
      <w:bookmarkEnd w:id="698"/>
      <w:bookmarkEnd w:id="699"/>
      <w:bookmarkEnd w:id="700"/>
      <w:bookmarkEnd w:id="701"/>
      <w:bookmarkEnd w:id="702"/>
      <w:bookmarkEnd w:id="703"/>
    </w:p>
    <w:p>
      <w:pPr>
        <w:pStyle w:val="Heading5"/>
      </w:pPr>
      <w:bookmarkStart w:id="704" w:name="_Toc392162477"/>
      <w:bookmarkStart w:id="705" w:name="_Toc413847282"/>
      <w:r>
        <w:rPr>
          <w:rStyle w:val="CharSectno"/>
        </w:rPr>
        <w:t>185</w:t>
      </w:r>
      <w:r>
        <w:t>.</w:t>
      </w:r>
      <w:r>
        <w:tab/>
        <w:t>References to interest of acquirer in landholder</w:t>
      </w:r>
      <w:bookmarkEnd w:id="704"/>
      <w:bookmarkEnd w:id="705"/>
    </w:p>
    <w:p>
      <w:pPr>
        <w:pStyle w:val="Subsection"/>
      </w:pPr>
      <w:r>
        <w:tab/>
      </w:r>
      <w:r>
        <w:tab/>
        <w:t xml:space="preserve">A reference in this Division to the interest of the acquirer in a landholder after a relevant acquisition is to the aggregated interests of — </w:t>
      </w:r>
    </w:p>
    <w:p>
      <w:pPr>
        <w:pStyle w:val="Indenta"/>
      </w:pPr>
      <w:r>
        <w:tab/>
        <w:t>(a)</w:t>
      </w:r>
      <w:r>
        <w:tab/>
        <w:t xml:space="preserve">the acquirer; and </w:t>
      </w:r>
    </w:p>
    <w:p>
      <w:pPr>
        <w:pStyle w:val="Indenta"/>
      </w:pPr>
      <w:r>
        <w:tab/>
        <w:t>(b)</w:t>
      </w:r>
      <w:r>
        <w:tab/>
        <w:t>any related person that is to be taken into account in relation to the acquisition for the purposes of section 163 or 164.</w:t>
      </w:r>
    </w:p>
    <w:p>
      <w:pPr>
        <w:pStyle w:val="Heading5"/>
        <w:spacing w:before="180"/>
      </w:pPr>
      <w:bookmarkStart w:id="706" w:name="_Toc392162478"/>
      <w:bookmarkStart w:id="707" w:name="_Toc413847283"/>
      <w:r>
        <w:rPr>
          <w:rStyle w:val="CharSectno"/>
        </w:rPr>
        <w:t>186</w:t>
      </w:r>
      <w:r>
        <w:t>.</w:t>
      </w:r>
      <w:r>
        <w:tab/>
        <w:t>Value of landholder</w:t>
      </w:r>
      <w:bookmarkEnd w:id="706"/>
      <w:bookmarkEnd w:id="707"/>
    </w:p>
    <w:p>
      <w:pPr>
        <w:pStyle w:val="Subsection"/>
      </w:pPr>
      <w:r>
        <w:tab/>
        <w:t>(1)</w:t>
      </w:r>
      <w:r>
        <w:tab/>
        <w:t xml:space="preserve">For the purposes of calculating duty in respect of a relevant acquisition the value of a landholder is taken to be the sum of — </w:t>
      </w:r>
    </w:p>
    <w:p>
      <w:pPr>
        <w:pStyle w:val="Indenta"/>
        <w:spacing w:before="60"/>
      </w:pPr>
      <w:r>
        <w:tab/>
        <w:t>(a)</w:t>
      </w:r>
      <w:r>
        <w:tab/>
        <w:t xml:space="preserve">the unencumbered value of the land, chattels or land and chattels (whichever is relevant) in </w:t>
      </w:r>
      <w:smartTag w:uri="urn:schemas-microsoft-com:office:smarttags" w:element="place">
        <w:smartTag w:uri="urn:schemas-microsoft-com:office:smarttags" w:element="State">
          <w:r>
            <w:t>Western Australia</w:t>
          </w:r>
        </w:smartTag>
      </w:smartTag>
      <w:r>
        <w:t xml:space="preserve"> to which the landholder is entitled; and</w:t>
      </w:r>
    </w:p>
    <w:p>
      <w:pPr>
        <w:pStyle w:val="Indenta"/>
        <w:spacing w:before="60"/>
      </w:pPr>
      <w:r>
        <w:tab/>
        <w:t>(b)</w:t>
      </w:r>
      <w:r>
        <w:tab/>
        <w:t>the same percentage of the unencumbered value of the land, chattels or land and chattels (whichever is relevant) in Western Australia to which any linked entity in respect of the landholder is entitled as the percentage of the landholder’s interest in the linked entity taken into account under section 157.</w:t>
      </w:r>
    </w:p>
    <w:p>
      <w:pPr>
        <w:pStyle w:val="Subsection"/>
      </w:pPr>
      <w:r>
        <w:tab/>
        <w:t>(2A)</w:t>
      </w:r>
      <w:r>
        <w:tab/>
        <w:t>For the purposes of subsection (1)(b), the percentage of the landholder’s interest in a linked entity that is not entitled to land in Western Australia is the percentage (of the landholder’s interest in the linked entity) that would be used in section 157 if it were to be used to determine the value of the linked entity’s entitlement to chattels in Western Australia.</w:t>
      </w:r>
    </w:p>
    <w:p>
      <w:pPr>
        <w:pStyle w:val="Subsection"/>
      </w:pPr>
      <w:r>
        <w:tab/>
        <w:t>(2)</w:t>
      </w:r>
      <w:r>
        <w:tab/>
        <w:t>Except where section 187 applies, the entitlements referred to in subsection (1) are to be those that exist immediately after the relevant acquisition.</w:t>
      </w:r>
    </w:p>
    <w:p>
      <w:pPr>
        <w:pStyle w:val="Footnotesection"/>
      </w:pPr>
      <w:r>
        <w:tab/>
        <w:t>[Section 186 amended by No. 32 of 2012 s. 18.]</w:t>
      </w:r>
    </w:p>
    <w:p>
      <w:pPr>
        <w:pStyle w:val="Heading5"/>
        <w:keepNext w:val="0"/>
        <w:keepLines w:val="0"/>
        <w:spacing w:before="180"/>
      </w:pPr>
      <w:bookmarkStart w:id="708" w:name="_Toc392162479"/>
      <w:bookmarkStart w:id="709" w:name="_Toc413847284"/>
      <w:r>
        <w:rPr>
          <w:rStyle w:val="CharSectno"/>
        </w:rPr>
        <w:t>187</w:t>
      </w:r>
      <w:r>
        <w:t>.</w:t>
      </w:r>
      <w:r>
        <w:tab/>
        <w:t>Determining value of further interest for duty calculation</w:t>
      </w:r>
      <w:bookmarkEnd w:id="708"/>
      <w:bookmarkEnd w:id="709"/>
    </w:p>
    <w:p>
      <w:pPr>
        <w:pStyle w:val="Subsection"/>
        <w:keepNext/>
      </w:pPr>
      <w:r>
        <w:tab/>
        <w:t>(1)</w:t>
      </w:r>
      <w:r>
        <w:tab/>
        <w:t>This section applies where —</w:t>
      </w:r>
    </w:p>
    <w:p>
      <w:pPr>
        <w:pStyle w:val="Indenta"/>
      </w:pPr>
      <w:r>
        <w:tab/>
        <w:t>(a)</w:t>
      </w:r>
      <w:r>
        <w:tab/>
        <w:t>it is necessary to determine the value of an interest of an acquirer in a landholder for the purposes of section 188(3) or 189(3);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spacing w:before="120"/>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Footnotesection"/>
      </w:pPr>
      <w:r>
        <w:tab/>
        <w:t>[Section 187 amended by No. 32 of 2012 s. 19.]</w:t>
      </w:r>
    </w:p>
    <w:p>
      <w:pPr>
        <w:pStyle w:val="Heading5"/>
        <w:spacing w:before="180"/>
      </w:pPr>
      <w:bookmarkStart w:id="710" w:name="_Toc392162480"/>
      <w:bookmarkStart w:id="711" w:name="_Toc413847285"/>
      <w:r>
        <w:rPr>
          <w:rStyle w:val="CharSectno"/>
        </w:rPr>
        <w:t>188</w:t>
      </w:r>
      <w:r>
        <w:t>.</w:t>
      </w:r>
      <w:r>
        <w:tab/>
        <w:t>Calculating duty payable</w:t>
      </w:r>
      <w:bookmarkEnd w:id="710"/>
      <w:bookmarkEnd w:id="711"/>
    </w:p>
    <w:p>
      <w:pPr>
        <w:pStyle w:val="Subsection"/>
        <w:spacing w:before="120"/>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reduction is made under section 189.</w:t>
      </w:r>
    </w:p>
    <w:p>
      <w:pPr>
        <w:pStyle w:val="Subsection"/>
        <w:spacing w:before="120"/>
      </w:pPr>
      <w:r>
        <w:tab/>
        <w:t>(2)</w:t>
      </w:r>
      <w:r>
        <w:tab/>
        <w:t xml:space="preserve">The resulting amount is the duty payable in respect of the relevant acquisition. </w:t>
      </w:r>
    </w:p>
    <w:p>
      <w:pPr>
        <w:pStyle w:val="Subsection"/>
        <w:spacing w:before="120"/>
      </w:pPr>
      <w:r>
        <w:tab/>
        <w:t>(3)</w:t>
      </w:r>
      <w:r>
        <w:tab/>
        <w:t>The value of the interest referred to in subsection (1) is the same percentage of the value of the landholder as the percentage of the interest of the acquirer in the landholder after the relevant acquisition.</w:t>
      </w:r>
    </w:p>
    <w:p>
      <w:pPr>
        <w:pStyle w:val="Footnotesection"/>
        <w:spacing w:before="60"/>
        <w:ind w:left="890" w:hanging="890"/>
      </w:pPr>
      <w:r>
        <w:tab/>
        <w:t>[Section 188 amended by No. 32 of 2012 s. 20.]</w:t>
      </w:r>
    </w:p>
    <w:p>
      <w:pPr>
        <w:pStyle w:val="Heading5"/>
      </w:pPr>
      <w:bookmarkStart w:id="712" w:name="_Toc392162481"/>
      <w:bookmarkStart w:id="713" w:name="_Toc413847286"/>
      <w:r>
        <w:rPr>
          <w:rStyle w:val="CharSectno"/>
        </w:rPr>
        <w:t>189</w:t>
      </w:r>
      <w:r>
        <w:t>.</w:t>
      </w:r>
      <w:r>
        <w:tab/>
        <w:t>Reduction for s. 188</w:t>
      </w:r>
      <w:bookmarkEnd w:id="712"/>
      <w:bookmarkEnd w:id="713"/>
    </w:p>
    <w:p>
      <w:pPr>
        <w:pStyle w:val="Subsection"/>
      </w:pPr>
      <w:r>
        <w:tab/>
        <w:t>(1)</w:t>
      </w:r>
      <w:r>
        <w:tab/>
        <w:t>The amount calculated under section 188(1) is to be reduced by an amount determined by applying the appropriate rate of duty under section 184(1) to the value of the excluded interest or the sum of the values of each excluded interest.</w:t>
      </w:r>
    </w:p>
    <w:p>
      <w:pPr>
        <w:pStyle w:val="Subsection"/>
        <w:spacing w:before="180"/>
      </w:pPr>
      <w:r>
        <w:tab/>
        <w:t>(2)</w:t>
      </w:r>
      <w:r>
        <w:tab/>
        <w:t xml:space="preserve">An excluded interest is an interest of the acquirer in the landholder concerned that is — </w:t>
      </w:r>
    </w:p>
    <w:p>
      <w:pPr>
        <w:pStyle w:val="Indenta"/>
      </w:pPr>
      <w:r>
        <w:tab/>
        <w:t>(a)</w:t>
      </w:r>
      <w:r>
        <w:tab/>
        <w:t>an interest, other than one which cannot be excluded because of subsection (4),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first referred to in paragraph (a) if duty was chargeable in respect of that acquisition, but only to the extent to which the interest is held immediately before the relevant acquisition referred to in section 188; or</w:t>
      </w:r>
    </w:p>
    <w:p>
      <w:pPr>
        <w:pStyle w:val="Indenta"/>
      </w:pPr>
      <w:r>
        <w:tab/>
        <w:t>(c)</w:t>
      </w:r>
      <w:r>
        <w:tab/>
        <w:t>an interest in the landholder concerned acquired by an acquisition if immediately before the acquisition neither the landholder nor a linked entity in respect of the landholder was entitled to land in Western Australia.</w:t>
      </w:r>
    </w:p>
    <w:p>
      <w:pPr>
        <w:pStyle w:val="Subsection"/>
        <w:spacing w:before="180"/>
      </w:pPr>
      <w:r>
        <w:tab/>
        <w:t>(3)</w:t>
      </w:r>
      <w:r>
        <w:tab/>
        <w:t>The value of an excluded interest is the same percentage of the value of the landholder concerned as the percentage of all interests in the landholder that is represented by the excluded interest.</w:t>
      </w:r>
    </w:p>
    <w:p>
      <w:pPr>
        <w:pStyle w:val="Subsection"/>
        <w:spacing w:before="180"/>
      </w:pPr>
      <w:r>
        <w:tab/>
        <w:t>(4)</w:t>
      </w:r>
      <w:r>
        <w:tab/>
        <w:t xml:space="preserve">An interest in the landholder acquired by an acquisition (the </w:t>
      </w:r>
      <w:r>
        <w:rPr>
          <w:rStyle w:val="CharDefText"/>
        </w:rPr>
        <w:t>earlier acquisition</w:t>
      </w:r>
      <w:r>
        <w:t xml:space="preserve">) cannot be excluded under subsection (2)(a) if the relevant acquisition in respect of which duty is to be calculated under section 188(1) — </w:t>
      </w:r>
    </w:p>
    <w:p>
      <w:pPr>
        <w:pStyle w:val="Indenta"/>
      </w:pPr>
      <w:r>
        <w:tab/>
        <w:t>(a)</w:t>
      </w:r>
      <w:r>
        <w:tab/>
        <w:t>is described in section 163; and</w:t>
      </w:r>
    </w:p>
    <w:p>
      <w:pPr>
        <w:pStyle w:val="Indenta"/>
        <w:keepNext/>
      </w:pPr>
      <w:r>
        <w:tab/>
        <w:t>(b)</w:t>
      </w:r>
      <w:r>
        <w:tab/>
        <w:t>was made under an arrangement entered into during the prescribed period in respect of the earlier acquisition.</w:t>
      </w:r>
    </w:p>
    <w:p>
      <w:pPr>
        <w:pStyle w:val="Subsection"/>
        <w:spacing w:before="180"/>
      </w:pPr>
      <w:r>
        <w:tab/>
        <w:t>(5)</w:t>
      </w:r>
      <w:r>
        <w:tab/>
        <w:t>The reference in subsection (4) to the prescribed period in respect of the earlier acquisition is to the period beginning on the day that is 3 years before the day on which the earlier acquisition occurred and ending on the day that is 3 years after the day on which the earlier acquisition occurred.</w:t>
      </w:r>
    </w:p>
    <w:p>
      <w:pPr>
        <w:pStyle w:val="Subsection"/>
        <w:spacing w:before="180"/>
      </w:pPr>
      <w:r>
        <w:tab/>
        <w:t>(6)</w:t>
      </w:r>
      <w:r>
        <w:tab/>
        <w:t xml:space="preserve">Despite subsections (4) and (5), an interest that was held by the person or a related person, or by the person and a related person, before 1 July 2008 (the </w:t>
      </w:r>
      <w:r>
        <w:rPr>
          <w:rStyle w:val="CharDefText"/>
        </w:rPr>
        <w:t>earlier acquisition</w:t>
      </w:r>
      <w:r>
        <w:t xml:space="preserve">) is an excluded interest unless the relevant acquisition in respect of which duty is to be calculated under section 188(1) was made pursuant to an arrangement entered into — </w:t>
      </w:r>
    </w:p>
    <w:p>
      <w:pPr>
        <w:pStyle w:val="Indenta"/>
      </w:pPr>
      <w:r>
        <w:tab/>
        <w:t>(a)</w:t>
      </w:r>
      <w:r>
        <w:tab/>
        <w:t>during the prescribed period in respect of the earlier acquisition; and</w:t>
      </w:r>
    </w:p>
    <w:p>
      <w:pPr>
        <w:pStyle w:val="Indenta"/>
      </w:pPr>
      <w:r>
        <w:tab/>
        <w:t>(b)</w:t>
      </w:r>
      <w:r>
        <w:tab/>
        <w:t>in the opinion of the Commissioner, for a purpose of avoiding or reducing the amount of duty payable.</w:t>
      </w:r>
    </w:p>
    <w:p>
      <w:pPr>
        <w:pStyle w:val="Footnotesection"/>
      </w:pPr>
      <w:r>
        <w:tab/>
        <w:t>[Section 189 inserted by No. 32 of 2012 s. 21; amended by No. 32 of 2012 s. 22.]</w:t>
      </w:r>
    </w:p>
    <w:p>
      <w:pPr>
        <w:pStyle w:val="Ednotesection"/>
        <w:spacing w:before="240"/>
      </w:pPr>
      <w:r>
        <w:t>[</w:t>
      </w:r>
      <w:r>
        <w:rPr>
          <w:b/>
        </w:rPr>
        <w:t>190</w:t>
      </w:r>
      <w:r>
        <w:rPr>
          <w:b/>
        </w:rPr>
        <w:noBreakHyphen/>
        <w:t>192.</w:t>
      </w:r>
      <w:r>
        <w:tab/>
        <w:t>Deleted by No. 32 of 2012 s. 21.]</w:t>
      </w:r>
    </w:p>
    <w:p>
      <w:pPr>
        <w:pStyle w:val="Heading5"/>
        <w:spacing w:before="240"/>
      </w:pPr>
      <w:bookmarkStart w:id="714" w:name="_Toc392162482"/>
      <w:bookmarkStart w:id="715" w:name="_Toc413847287"/>
      <w:r>
        <w:rPr>
          <w:rStyle w:val="CharSectno"/>
        </w:rPr>
        <w:t>193</w:t>
      </w:r>
      <w:r>
        <w:t>.</w:t>
      </w:r>
      <w:r>
        <w:tab/>
        <w:t>Calculation of duty where statement lodged under s. 201</w:t>
      </w:r>
      <w:bookmarkEnd w:id="714"/>
      <w:bookmarkEnd w:id="715"/>
    </w:p>
    <w:p>
      <w:pPr>
        <w:pStyle w:val="Subsection"/>
        <w:spacing w:before="180"/>
        <w:rPr>
          <w:bCs/>
        </w:rPr>
      </w:pPr>
      <w:r>
        <w:tab/>
        <w:t>(1)</w:t>
      </w:r>
      <w:r>
        <w:tab/>
        <w:t xml:space="preserve">This section applies to the calculation of duty if a statement is lodged under section 201(6) in respect of a relevant acquisition referred to in section 164 that occurred during a period (a </w:t>
      </w:r>
      <w:r>
        <w:rPr>
          <w:rStyle w:val="CharDefText"/>
        </w:rPr>
        <w:t>relevant period</w:t>
      </w:r>
      <w:r>
        <w:rPr>
          <w:bCs/>
        </w:rPr>
        <w:t>) provided for by an approval under section 201(2).</w:t>
      </w:r>
    </w:p>
    <w:p>
      <w:pPr>
        <w:pStyle w:val="Subsection"/>
        <w:spacing w:before="180"/>
      </w:pPr>
      <w:r>
        <w:tab/>
        <w:t>(2)</w:t>
      </w:r>
      <w:r>
        <w:tab/>
        <w:t>The Commissioner is not required to make a separate calculation under this Division of duty in respect of each relevant acquisition that occurred during the relevant period.</w:t>
      </w:r>
    </w:p>
    <w:p>
      <w:pPr>
        <w:pStyle w:val="Subsection"/>
        <w:spacing w:before="180"/>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Heading5"/>
        <w:spacing w:before="240"/>
      </w:pPr>
      <w:bookmarkStart w:id="716" w:name="_Toc392162483"/>
      <w:bookmarkStart w:id="717" w:name="_Toc413847288"/>
      <w:r>
        <w:rPr>
          <w:rStyle w:val="CharSectno"/>
        </w:rPr>
        <w:t>194</w:t>
      </w:r>
      <w:r>
        <w:t>.</w:t>
      </w:r>
      <w:r>
        <w:tab/>
        <w:t>Calculation of duty on certain acquisitions on winding up of corporation or unit trust scheme</w:t>
      </w:r>
      <w:bookmarkEnd w:id="716"/>
      <w:bookmarkEnd w:id="717"/>
    </w:p>
    <w:p>
      <w:pPr>
        <w:pStyle w:val="Subsection"/>
        <w:keepNext/>
        <w:spacing w:before="180"/>
      </w:pPr>
      <w:r>
        <w:tab/>
        <w:t>(1)</w:t>
      </w:r>
      <w:r>
        <w:tab/>
        <w:t xml:space="preserve">Despite anything else in this Division, duty is to be calculated under this section in respect of a relevant acquisition by a person of an interest in a landholder if the acquisition — </w:t>
      </w:r>
    </w:p>
    <w:p>
      <w:pPr>
        <w:pStyle w:val="Indenta"/>
        <w:spacing w:before="60"/>
      </w:pPr>
      <w:r>
        <w:tab/>
        <w:t>(a)</w:t>
      </w:r>
      <w:r>
        <w:tab/>
        <w:t xml:space="preserve">occurs in the circumstances referred to in subsection (2); and </w:t>
      </w:r>
    </w:p>
    <w:p>
      <w:pPr>
        <w:pStyle w:val="Indenta"/>
        <w:spacing w:before="60"/>
      </w:pPr>
      <w:r>
        <w:tab/>
        <w:t>(b)</w:t>
      </w:r>
      <w:r>
        <w:tab/>
        <w:t>is not exempt under section 167 because the effect of the acquisition is that the person receives a benefit in excess of the person’s entitlement.</w:t>
      </w:r>
    </w:p>
    <w:p>
      <w:pPr>
        <w:pStyle w:val="NotesPerm"/>
        <w:tabs>
          <w:tab w:val="left" w:pos="1418"/>
        </w:tabs>
        <w:spacing w:before="120"/>
        <w:ind w:left="1418" w:hanging="1418"/>
      </w:pPr>
      <w:r>
        <w:tab/>
        <w:t>Note:</w:t>
      </w:r>
      <w:r>
        <w:tab/>
        <w:t>The combined operation of sections 29(4) and 167 will make the acquisition exempt if the value of the person’s benefit is not in excess of the person’s entitlement.</w:t>
      </w:r>
    </w:p>
    <w:p>
      <w:pPr>
        <w:pStyle w:val="Subsection"/>
        <w:keepNext/>
        <w:keepLines/>
        <w:spacing w:before="180"/>
      </w:pPr>
      <w:r>
        <w:tab/>
        <w:t>(2)</w:t>
      </w:r>
      <w:r>
        <w:tab/>
        <w:t xml:space="preserve">The circumstances referred to are that — </w:t>
      </w:r>
    </w:p>
    <w:p>
      <w:pPr>
        <w:pStyle w:val="Indenta"/>
        <w:keepNext/>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pPr>
      <w:r>
        <w:tab/>
        <w:t>(ii)</w:t>
      </w:r>
      <w:r>
        <w:tab/>
        <w:t>the trustee of a unit trust scheme in the course of the winding up of the scheme;</w:t>
      </w:r>
    </w:p>
    <w:p>
      <w:pPr>
        <w:pStyle w:val="Indenta"/>
      </w:pPr>
      <w:r>
        <w:tab/>
      </w:r>
      <w:r>
        <w:tab/>
        <w:t>and</w:t>
      </w:r>
    </w:p>
    <w:p>
      <w:pPr>
        <w:pStyle w:val="Indenta"/>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keepLines/>
      </w:pPr>
      <w:r>
        <w:tab/>
        <w:t>(c)</w:t>
      </w:r>
      <w:r>
        <w:tab/>
        <w:t>the Commissioner is satisfied that the winding up is not a scheme or arrangement, or part of a scheme or arrangement, for which a dominant purpose of any party is the reduction of the duty otherwise payable.</w:t>
      </w:r>
    </w:p>
    <w:p>
      <w:pPr>
        <w:pStyle w:val="Subsection"/>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keepNext/>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or a person related to the shareholder or unit holder, has, in the relevant period, assumed or discharged on behalf of the corporation or the trustee of the unit trust scheme.</w:t>
      </w:r>
    </w:p>
    <w:p>
      <w:pPr>
        <w:pStyle w:val="Subsection"/>
        <w:spacing w:before="180"/>
      </w:pPr>
      <w:r>
        <w:tab/>
        <w:t>(6)</w:t>
      </w:r>
      <w:r>
        <w:tab/>
        <w:t xml:space="preserve">In subsection (5)(b)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spacing w:before="120"/>
      </w:pPr>
      <w:r>
        <w:tab/>
        <w:t>(7A)</w:t>
      </w:r>
      <w:r>
        <w:tab/>
        <w:t>For the purposes of subsection (5)(b)(ii),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(5) to all relevant acquisitions occurring as a consequence of the winding up.</w:t>
      </w:r>
    </w:p>
    <w:p>
      <w:pPr>
        <w:pStyle w:val="Subsection"/>
        <w:spacing w:before="120"/>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Footnotesection"/>
        <w:ind w:left="890" w:hanging="890"/>
      </w:pPr>
      <w:r>
        <w:tab/>
        <w:t>[Section 194</w:t>
      </w:r>
      <w:r>
        <w:rPr>
          <w:vertAlign w:val="superscript"/>
        </w:rPr>
        <w:t> 3</w:t>
      </w:r>
      <w:r>
        <w:t xml:space="preserve"> amended by No. 29 of 2012 s. 5.]</w:t>
      </w:r>
    </w:p>
    <w:p>
      <w:pPr>
        <w:pStyle w:val="Heading3"/>
      </w:pPr>
      <w:bookmarkStart w:id="718" w:name="_Toc389126493"/>
      <w:bookmarkStart w:id="719" w:name="_Toc392162484"/>
      <w:bookmarkStart w:id="720" w:name="_Toc412734980"/>
      <w:bookmarkStart w:id="721" w:name="_Toc412735403"/>
      <w:bookmarkStart w:id="722" w:name="_Toc412819420"/>
      <w:bookmarkStart w:id="723" w:name="_Toc413830180"/>
      <w:bookmarkStart w:id="724" w:name="_Toc413847289"/>
      <w:r>
        <w:rPr>
          <w:rStyle w:val="CharDivNo"/>
        </w:rPr>
        <w:t>Division 6A</w:t>
      </w:r>
      <w:r>
        <w:t> — </w:t>
      </w:r>
      <w:r>
        <w:rPr>
          <w:rStyle w:val="CharDivText"/>
        </w:rPr>
        <w:t>Interim assessment of landholder duty</w:t>
      </w:r>
      <w:bookmarkEnd w:id="718"/>
      <w:bookmarkEnd w:id="719"/>
      <w:bookmarkEnd w:id="720"/>
      <w:bookmarkEnd w:id="721"/>
      <w:bookmarkEnd w:id="722"/>
      <w:bookmarkEnd w:id="723"/>
      <w:bookmarkEnd w:id="724"/>
    </w:p>
    <w:p>
      <w:pPr>
        <w:pStyle w:val="Footnoteheading"/>
      </w:pPr>
      <w:r>
        <w:tab/>
        <w:t>[Heading inserted by No. 10 of 2013 s. 6.]</w:t>
      </w:r>
    </w:p>
    <w:p>
      <w:pPr>
        <w:pStyle w:val="Heading5"/>
      </w:pPr>
      <w:bookmarkStart w:id="725" w:name="_Toc392162485"/>
      <w:bookmarkStart w:id="726" w:name="_Toc413847290"/>
      <w:r>
        <w:rPr>
          <w:rStyle w:val="CharSectno"/>
        </w:rPr>
        <w:t>195A</w:t>
      </w:r>
      <w:r>
        <w:t>.</w:t>
      </w:r>
      <w:r>
        <w:tab/>
        <w:t>Interim assessment of landholder duty</w:t>
      </w:r>
      <w:bookmarkEnd w:id="725"/>
      <w:bookmarkEnd w:id="726"/>
    </w:p>
    <w:p>
      <w:pPr>
        <w:pStyle w:val="Subsection"/>
      </w:pPr>
      <w:r>
        <w:tab/>
        <w:t>(1)</w:t>
      </w:r>
      <w:r>
        <w:tab/>
        <w:t xml:space="preserve">The Commissioner may make an assessment (an </w:t>
      </w:r>
      <w:r>
        <w:rPr>
          <w:rStyle w:val="CharDefText"/>
        </w:rPr>
        <w:t>interim assessment</w:t>
      </w:r>
      <w:r>
        <w:t xml:space="preserve">) of a portion of the duty payable in respect of a relevant acquisition if — </w:t>
      </w:r>
    </w:p>
    <w:p>
      <w:pPr>
        <w:pStyle w:val="Indenta"/>
      </w:pPr>
      <w:r>
        <w:tab/>
        <w:t>(a)</w:t>
      </w:r>
      <w:r>
        <w:tab/>
        <w:t>the Commissioner is satisfied that duty is payable in respect of the relevant acquisition; and</w:t>
      </w:r>
    </w:p>
    <w:p>
      <w:pPr>
        <w:pStyle w:val="Indenta"/>
      </w:pPr>
      <w:r>
        <w:tab/>
        <w:t>(b)</w:t>
      </w:r>
      <w:r>
        <w:tab/>
        <w:t xml:space="preserve">one of the following applies — </w:t>
      </w:r>
    </w:p>
    <w:p>
      <w:pPr>
        <w:pStyle w:val="Indenti"/>
      </w:pPr>
      <w:r>
        <w:tab/>
        <w:t>(i)</w:t>
      </w:r>
      <w:r>
        <w:tab/>
        <w:t>more than 6 months have elapsed since the day on which an acquisition statement for the relevant acquisition was lodged or an application was made under section 180 in relation to the relevant acquisition;</w:t>
      </w:r>
    </w:p>
    <w:p>
      <w:pPr>
        <w:pStyle w:val="Indenti"/>
      </w:pPr>
      <w:r>
        <w:tab/>
        <w:t>(ii)</w:t>
      </w:r>
      <w:r>
        <w:tab/>
        <w:t>more than 6 months have elapsed since the day on which an acquisition statement for the relevant acquisition ought to have been lodged;</w:t>
      </w:r>
    </w:p>
    <w:p>
      <w:pPr>
        <w:pStyle w:val="Indenti"/>
      </w:pPr>
      <w:r>
        <w:tab/>
        <w:t>(iii)</w:t>
      </w:r>
      <w:r>
        <w:tab/>
        <w:t>the Commissioner is satisfied that it will not be possible to obtain the information necessary to determine the value of the landholder within the 6 months referred to in subparagraph (ii);</w:t>
      </w:r>
    </w:p>
    <w:p>
      <w:pPr>
        <w:pStyle w:val="Indenta"/>
      </w:pPr>
      <w:r>
        <w:tab/>
      </w:r>
      <w:r>
        <w:tab/>
        <w:t>and</w:t>
      </w:r>
    </w:p>
    <w:p>
      <w:pPr>
        <w:pStyle w:val="Indenta"/>
      </w:pPr>
      <w:r>
        <w:tab/>
        <w:t>(c)</w:t>
      </w:r>
      <w:r>
        <w:tab/>
        <w:t>the Commissioner is satisfied that a portion of the value of the landholder can be determined.</w:t>
      </w:r>
    </w:p>
    <w:p>
      <w:pPr>
        <w:pStyle w:val="Subsection"/>
      </w:pPr>
      <w:r>
        <w:tab/>
        <w:t>(2)</w:t>
      </w:r>
      <w:r>
        <w:tab/>
        <w:t>For the purposes of subsection (1)(b)(ii), the day on which an acquisition statement ought to have been lodged is the last day of the period within which the statement must be lodged under section 200, 201 or 202 (whichever is relevant).</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relevant acquisition;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relevant acquisition;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value of the landholder were the full value of the landholder.</w:t>
      </w:r>
    </w:p>
    <w:p>
      <w:pPr>
        <w:pStyle w:val="Subsection"/>
      </w:pPr>
      <w:r>
        <w:tab/>
        <w:t>(5)</w:t>
      </w:r>
      <w:r>
        <w:tab/>
        <w:t xml:space="preserve">The Commissioner can make a determination of a portion of the value of a landholder for the purposes of making an interim assessment even though the Commissioner has ascertained — </w:t>
      </w:r>
    </w:p>
    <w:p>
      <w:pPr>
        <w:pStyle w:val="Indenta"/>
      </w:pPr>
      <w:r>
        <w:tab/>
        <w:t>(a)</w:t>
      </w:r>
      <w:r>
        <w:tab/>
        <w:t>the value of only some of the land or chattels to which section 186(1) applies; or</w:t>
      </w:r>
    </w:p>
    <w:p>
      <w:pPr>
        <w:pStyle w:val="Indenta"/>
      </w:pPr>
      <w:r>
        <w:tab/>
        <w:t>(b)</w:t>
      </w:r>
      <w:r>
        <w:tab/>
        <w:t>only a portion of the value of particular land or chattels to which section 186(1) applies.</w:t>
      </w:r>
    </w:p>
    <w:p>
      <w:pPr>
        <w:pStyle w:val="Footnotesection"/>
        <w:ind w:left="890" w:hanging="890"/>
      </w:pPr>
      <w:r>
        <w:tab/>
        <w:t>[Section 195A inserted by No. 10 of 2013 s. 6.]</w:t>
      </w:r>
    </w:p>
    <w:p>
      <w:pPr>
        <w:pStyle w:val="Heading4"/>
        <w:spacing w:before="200"/>
        <w:rPr>
          <w:sz w:val="26"/>
        </w:rPr>
      </w:pPr>
      <w:bookmarkStart w:id="727" w:name="_Toc389126495"/>
      <w:bookmarkStart w:id="728" w:name="_Toc392162486"/>
      <w:bookmarkStart w:id="729" w:name="_Toc412734982"/>
      <w:bookmarkStart w:id="730" w:name="_Toc412735405"/>
      <w:bookmarkStart w:id="731" w:name="_Toc412819422"/>
      <w:bookmarkStart w:id="732" w:name="_Toc413830182"/>
      <w:bookmarkStart w:id="733" w:name="_Toc413847291"/>
      <w:r>
        <w:rPr>
          <w:sz w:val="26"/>
        </w:rPr>
        <w:t>Division 6 — Reassessment of liability for landholder duty</w:t>
      </w:r>
      <w:bookmarkEnd w:id="727"/>
      <w:bookmarkEnd w:id="728"/>
      <w:bookmarkEnd w:id="729"/>
      <w:bookmarkEnd w:id="730"/>
      <w:bookmarkEnd w:id="731"/>
      <w:bookmarkEnd w:id="732"/>
      <w:bookmarkEnd w:id="733"/>
    </w:p>
    <w:p>
      <w:pPr>
        <w:pStyle w:val="Heading5"/>
        <w:spacing w:before="240"/>
      </w:pPr>
      <w:bookmarkStart w:id="734" w:name="_Toc392162487"/>
      <w:bookmarkStart w:id="735" w:name="_Toc413847292"/>
      <w:r>
        <w:rPr>
          <w:rStyle w:val="CharSectno"/>
        </w:rPr>
        <w:t>195</w:t>
      </w:r>
      <w:r>
        <w:t>.</w:t>
      </w:r>
      <w:r>
        <w:tab/>
        <w:t>Reassessment of duty where s. 149 or 156 applied</w:t>
      </w:r>
      <w:bookmarkEnd w:id="734"/>
      <w:bookmarkEnd w:id="735"/>
    </w:p>
    <w:p>
      <w:pPr>
        <w:pStyle w:val="Subsection"/>
        <w:spacing w:before="180"/>
      </w:pPr>
      <w:r>
        <w:tab/>
        <w:t>(1)</w:t>
      </w:r>
      <w:r>
        <w:tab/>
        <w:t xml:space="preserve">A reassessment of duty in respect of a relevant acquisition is required if — </w:t>
      </w:r>
    </w:p>
    <w:p>
      <w:pPr>
        <w:pStyle w:val="Indenta"/>
      </w:pPr>
      <w:r>
        <w:tab/>
        <w:t>(a)</w:t>
      </w:r>
      <w:r>
        <w:tab/>
        <w:t xml:space="preserve">for the purposes of an assessment — </w:t>
      </w:r>
    </w:p>
    <w:p>
      <w:pPr>
        <w:pStyle w:val="Indenti"/>
      </w:pPr>
      <w:r>
        <w:tab/>
        <w:t>(i)</w:t>
      </w:r>
      <w:r>
        <w:tab/>
        <w:t>an agreement to acquire an interest in land has, under section 149(1)(a), been regarded as having been completed; or</w:t>
      </w:r>
    </w:p>
    <w:p>
      <w:pPr>
        <w:pStyle w:val="Indenti"/>
      </w:pPr>
      <w:r>
        <w:tab/>
        <w:t>(ii)</w:t>
      </w:r>
      <w:r>
        <w:tab/>
        <w:t>an agreement to acquire an interest in an entity has, under section 156(8)(a), been regarded as having been completed;</w:t>
      </w:r>
    </w:p>
    <w:p>
      <w:pPr>
        <w:pStyle w:val="Indenta"/>
      </w:pPr>
      <w:r>
        <w:tab/>
      </w:r>
      <w:r>
        <w:tab/>
        <w:t>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spacing w:before="180"/>
      </w:pPr>
      <w:r>
        <w:tab/>
        <w:t>(2)</w:t>
      </w:r>
      <w:r>
        <w:tab/>
        <w:t xml:space="preserve">A reassessment of duty in respect of a relevant acquisition is also required if — </w:t>
      </w:r>
    </w:p>
    <w:p>
      <w:pPr>
        <w:pStyle w:val="Indenta"/>
      </w:pPr>
      <w:r>
        <w:tab/>
        <w:t>(a)</w:t>
      </w:r>
      <w:r>
        <w:tab/>
        <w:t xml:space="preserve">for the purposes of an assessment — </w:t>
      </w:r>
    </w:p>
    <w:p>
      <w:pPr>
        <w:pStyle w:val="Indenti"/>
      </w:pPr>
      <w:r>
        <w:tab/>
        <w:t>(i)</w:t>
      </w:r>
      <w:r>
        <w:tab/>
        <w:t>an agreement to dispose of an interest in land has, under section 149(1)(b), been disregarded; or</w:t>
      </w:r>
    </w:p>
    <w:p>
      <w:pPr>
        <w:pStyle w:val="Indenti"/>
      </w:pPr>
      <w:r>
        <w:tab/>
        <w:t>(ii)</w:t>
      </w:r>
      <w:r>
        <w:tab/>
        <w:t>an agreement to dispose of an interest in an entity has, under section 156(8)(b), been disregarded;</w:t>
      </w:r>
    </w:p>
    <w:p>
      <w:pPr>
        <w:pStyle w:val="Indenta"/>
      </w:pPr>
      <w:r>
        <w:tab/>
      </w:r>
      <w:r>
        <w:tab/>
        <w:t>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Footnotesection"/>
      </w:pPr>
      <w:r>
        <w:tab/>
        <w:t>[Section 195 amended by No. 1 of 2015 s. 27.]</w:t>
      </w:r>
    </w:p>
    <w:p>
      <w:pPr>
        <w:pStyle w:val="Heading5"/>
        <w:spacing w:before="240"/>
      </w:pPr>
      <w:bookmarkStart w:id="736" w:name="_Toc392162488"/>
      <w:bookmarkStart w:id="737" w:name="_Toc413847293"/>
      <w:r>
        <w:rPr>
          <w:rStyle w:val="CharSectno"/>
        </w:rPr>
        <w:t>196</w:t>
      </w:r>
      <w:r>
        <w:t>.</w:t>
      </w:r>
      <w:r>
        <w:tab/>
        <w:t>Reassessment of duty where s. 176(2) applied</w:t>
      </w:r>
      <w:bookmarkEnd w:id="736"/>
      <w:bookmarkEnd w:id="737"/>
    </w:p>
    <w:p>
      <w:pPr>
        <w:pStyle w:val="Subsection"/>
        <w:spacing w:before="180"/>
      </w:pPr>
      <w:r>
        <w:tab/>
        <w:t>(1)</w:t>
      </w:r>
      <w:r>
        <w:tab/>
        <w:t xml:space="preserve">A reassessment of duty in respect of a relevant acquisition is required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 xml:space="preserve">since that assessment — </w:t>
      </w:r>
    </w:p>
    <w:p>
      <w:pPr>
        <w:pStyle w:val="Indenti"/>
      </w:pPr>
      <w:r>
        <w:tab/>
        <w:t>(i)</w:t>
      </w:r>
      <w:r>
        <w:tab/>
        <w:t>the agreement has been rescinded, annulled or otherwise terminated without being completed; or</w:t>
      </w:r>
    </w:p>
    <w:p>
      <w:pPr>
        <w:pStyle w:val="Indenti"/>
      </w:pPr>
      <w:r>
        <w:tab/>
        <w:t>(ii)</w:t>
      </w:r>
      <w:r>
        <w:tab/>
        <w:t>subsection (2) has become applicable to the agreement;</w:t>
      </w:r>
    </w:p>
    <w:p>
      <w:pPr>
        <w:pStyle w:val="Indenta"/>
      </w:pPr>
      <w:r>
        <w:tab/>
      </w:r>
      <w:r>
        <w:tab/>
        <w:t>and</w:t>
      </w:r>
    </w:p>
    <w:p>
      <w:pPr>
        <w:pStyle w:val="Indenta"/>
      </w:pPr>
      <w:r>
        <w:tab/>
        <w:t>(c)</w:t>
      </w:r>
      <w:r>
        <w:tab/>
        <w:t>had the acquisition not been treated as mentioned in paragraph (a) the liability for duty in respect of the relevant acquisition would not have arisen.</w:t>
      </w:r>
    </w:p>
    <w:p>
      <w:pPr>
        <w:pStyle w:val="Subsection"/>
        <w:spacing w:before="180"/>
      </w:pPr>
      <w:r>
        <w:tab/>
        <w:t>(2)</w:t>
      </w:r>
      <w:r>
        <w:tab/>
        <w:t xml:space="preserve">This subsection has become applicable to an agreement that is taken to exist under section 177(2) or (3) if — </w:t>
      </w:r>
    </w:p>
    <w:p>
      <w:pPr>
        <w:pStyle w:val="Indenta"/>
      </w:pPr>
      <w:r>
        <w:tab/>
        <w:t>(a)</w:t>
      </w:r>
      <w:r>
        <w:tab/>
        <w:t xml:space="preserve">the call option and the put option of the simultaneous put and call option referred to in section 177(2) or (3) — </w:t>
      </w:r>
    </w:p>
    <w:p>
      <w:pPr>
        <w:pStyle w:val="Indenti"/>
      </w:pPr>
      <w:r>
        <w:tab/>
        <w:t>(i)</w:t>
      </w:r>
      <w:r>
        <w:tab/>
        <w:t>both expire without being exercised; or</w:t>
      </w:r>
    </w:p>
    <w:p>
      <w:pPr>
        <w:pStyle w:val="Indenti"/>
        <w:keepNext/>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or further assigned as referred to in section 177(3).</w:t>
      </w:r>
    </w:p>
    <w:p>
      <w:pPr>
        <w:pStyle w:val="Subsection"/>
      </w:pPr>
      <w:r>
        <w:tab/>
        <w:t>(3)</w:t>
      </w:r>
      <w:r>
        <w:tab/>
        <w:t>On application made by a person that has paid or is liable to pay the duty, if subsection (1) applies, the Commissioner is to make a reassessment of the duty disregarding the agreement referred to in subsection (1)(a).</w:t>
      </w:r>
    </w:p>
    <w:p>
      <w:pPr>
        <w:pStyle w:val="Subsection"/>
      </w:pPr>
      <w:r>
        <w:tab/>
        <w:t>(4)</w:t>
      </w:r>
      <w:r>
        <w:tab/>
        <w:t>If a reassessment is required under subsection (1)(b)(ii), the Taxation Administration Act section 17 applies as if the original assessment had been made as soon as subsection (2) became applicable to the agreement that was taken to exist under section 177(2) or (3).</w:t>
      </w:r>
    </w:p>
    <w:p>
      <w:pPr>
        <w:pStyle w:val="Heading5"/>
        <w:spacing w:before="180"/>
      </w:pPr>
      <w:bookmarkStart w:id="738" w:name="_Toc392162489"/>
      <w:bookmarkStart w:id="739" w:name="_Toc413847294"/>
      <w:r>
        <w:rPr>
          <w:rStyle w:val="CharSectno"/>
        </w:rPr>
        <w:t>197</w:t>
      </w:r>
      <w:r>
        <w:t>.</w:t>
      </w:r>
      <w:r>
        <w:tab/>
        <w:t>Condition precedent to reassessment under s. 195 or 196</w:t>
      </w:r>
      <w:bookmarkEnd w:id="738"/>
      <w:bookmarkEnd w:id="739"/>
    </w:p>
    <w:p>
      <w:pPr>
        <w:pStyle w:val="Subsection"/>
      </w:pPr>
      <w:r>
        <w:tab/>
      </w:r>
      <w:r>
        <w:tab/>
        <w:t>Despite section 195(3)(a) or 196(3),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Heading5"/>
        <w:spacing w:before="180"/>
      </w:pPr>
      <w:bookmarkStart w:id="740" w:name="_Toc392162490"/>
      <w:bookmarkStart w:id="741" w:name="_Toc413847295"/>
      <w:r>
        <w:rPr>
          <w:rStyle w:val="CharSectno"/>
        </w:rPr>
        <w:t>198</w:t>
      </w:r>
      <w:r>
        <w:t>.</w:t>
      </w:r>
      <w:r>
        <w:tab/>
      </w:r>
      <w:r>
        <w:rPr>
          <w:iCs/>
        </w:rPr>
        <w:t>Taxation Administration Act</w:t>
      </w:r>
      <w:r>
        <w:rPr>
          <w:i/>
        </w:rPr>
        <w:t xml:space="preserve"> </w:t>
      </w:r>
      <w:r>
        <w:t>not affected</w:t>
      </w:r>
      <w:bookmarkEnd w:id="740"/>
      <w:bookmarkEnd w:id="741"/>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spacing w:before="200"/>
        <w:rPr>
          <w:sz w:val="26"/>
        </w:rPr>
      </w:pPr>
      <w:bookmarkStart w:id="742" w:name="_Toc389126500"/>
      <w:bookmarkStart w:id="743" w:name="_Toc392162491"/>
      <w:bookmarkStart w:id="744" w:name="_Toc412734987"/>
      <w:bookmarkStart w:id="745" w:name="_Toc412735410"/>
      <w:bookmarkStart w:id="746" w:name="_Toc412819427"/>
      <w:bookmarkStart w:id="747" w:name="_Toc413830187"/>
      <w:bookmarkStart w:id="748" w:name="_Toc413847296"/>
      <w:r>
        <w:rPr>
          <w:sz w:val="26"/>
        </w:rPr>
        <w:t>Division 7 — Lodgment of statements</w:t>
      </w:r>
      <w:bookmarkEnd w:id="742"/>
      <w:bookmarkEnd w:id="743"/>
      <w:bookmarkEnd w:id="744"/>
      <w:bookmarkEnd w:id="745"/>
      <w:bookmarkEnd w:id="746"/>
      <w:bookmarkEnd w:id="747"/>
      <w:bookmarkEnd w:id="748"/>
    </w:p>
    <w:p>
      <w:pPr>
        <w:pStyle w:val="Heading5"/>
        <w:spacing w:before="180"/>
      </w:pPr>
      <w:bookmarkStart w:id="749" w:name="_Toc392162492"/>
      <w:bookmarkStart w:id="750" w:name="_Toc413847297"/>
      <w:r>
        <w:rPr>
          <w:rStyle w:val="CharSectno"/>
        </w:rPr>
        <w:t>199</w:t>
      </w:r>
      <w:r>
        <w:t>.</w:t>
      </w:r>
      <w:r>
        <w:tab/>
        <w:t>Term used: acquisition statement</w:t>
      </w:r>
      <w:bookmarkEnd w:id="749"/>
      <w:bookmarkEnd w:id="750"/>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keepNext w:val="0"/>
        <w:keepLines w:val="0"/>
        <w:spacing w:before="180"/>
      </w:pPr>
      <w:bookmarkStart w:id="751" w:name="_Toc392162493"/>
      <w:bookmarkStart w:id="752" w:name="_Toc413847298"/>
      <w:r>
        <w:rPr>
          <w:rStyle w:val="CharSectno"/>
        </w:rPr>
        <w:t>200</w:t>
      </w:r>
      <w:r>
        <w:t>.</w:t>
      </w:r>
      <w:r>
        <w:tab/>
        <w:t>Acquisition statement to be lodged</w:t>
      </w:r>
      <w:bookmarkEnd w:id="751"/>
      <w:bookmarkEnd w:id="752"/>
    </w:p>
    <w:p>
      <w:pPr>
        <w:pStyle w:val="Subsection"/>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w:t>
      </w:r>
    </w:p>
    <w:p>
      <w:pPr>
        <w:pStyle w:val="Subsection"/>
      </w:pPr>
      <w:r>
        <w:tab/>
        <w:t>(3)</w:t>
      </w:r>
      <w:r>
        <w:tab/>
        <w:t>An acquisition statement under subsection (2)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under this section, and may do so on such conditions as the Commissioner thinks fit.</w:t>
      </w:r>
    </w:p>
    <w:p>
      <w:pPr>
        <w:pStyle w:val="Subsection"/>
      </w:pPr>
      <w:r>
        <w:tab/>
        <w:t>(5)</w:t>
      </w:r>
      <w:r>
        <w:tab/>
        <w:t xml:space="preserve">An application under subsection (4) in respect of an acquisition statement must be made — </w:t>
      </w:r>
    </w:p>
    <w:p>
      <w:pPr>
        <w:pStyle w:val="Indenta"/>
      </w:pPr>
      <w:r>
        <w:tab/>
        <w:t>(a)</w:t>
      </w:r>
      <w:r>
        <w:tab/>
        <w:t>before the expiry of the allowed time applicable to the statement; and</w:t>
      </w:r>
    </w:p>
    <w:p>
      <w:pPr>
        <w:pStyle w:val="Indenta"/>
      </w:pPr>
      <w:r>
        <w:tab/>
        <w:t>(b)</w:t>
      </w:r>
      <w:r>
        <w:tab/>
        <w:t>in the approved form.</w:t>
      </w:r>
    </w:p>
    <w:p>
      <w:pPr>
        <w:pStyle w:val="Heading5"/>
      </w:pPr>
      <w:bookmarkStart w:id="753" w:name="_Toc392162494"/>
      <w:bookmarkStart w:id="754" w:name="_Toc413847299"/>
      <w:r>
        <w:rPr>
          <w:rStyle w:val="CharSectno"/>
        </w:rPr>
        <w:t>201</w:t>
      </w:r>
      <w:r>
        <w:t>.</w:t>
      </w:r>
      <w:r>
        <w:tab/>
        <w:t>Acquisition of further interests, lodgment of periodical statements may be approved</w:t>
      </w:r>
      <w:bookmarkEnd w:id="753"/>
      <w:bookmarkEnd w:id="754"/>
    </w:p>
    <w:p>
      <w:pPr>
        <w:pStyle w:val="Subsection"/>
        <w:spacing w:before="180"/>
      </w:pPr>
      <w:r>
        <w:tab/>
        <w:t>(1)</w:t>
      </w:r>
      <w:r>
        <w:tab/>
        <w:t xml:space="preserve">This section applies where — </w:t>
      </w:r>
    </w:p>
    <w:p>
      <w:pPr>
        <w:pStyle w:val="Indenta"/>
      </w:pPr>
      <w:r>
        <w:tab/>
        <w:t>(a)</w:t>
      </w:r>
      <w:r>
        <w:tab/>
        <w:t>by a relevant acquisition referred to in section 164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spacing w:before="180"/>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spacing w:before="180"/>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spacing w:before="180"/>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spacing w:before="180"/>
      </w:pPr>
      <w:r>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Heading5"/>
        <w:spacing w:before="240"/>
      </w:pPr>
      <w:bookmarkStart w:id="755" w:name="_Toc392162495"/>
      <w:bookmarkStart w:id="756" w:name="_Toc413847300"/>
      <w:r>
        <w:rPr>
          <w:rStyle w:val="CharSectno"/>
        </w:rPr>
        <w:t>202</w:t>
      </w:r>
      <w:r>
        <w:t>.</w:t>
      </w:r>
      <w:r>
        <w:tab/>
        <w:t>Lodgment obligations if s. 201 application refused</w:t>
      </w:r>
      <w:bookmarkEnd w:id="755"/>
      <w:bookmarkEnd w:id="756"/>
    </w:p>
    <w:p>
      <w:pPr>
        <w:pStyle w:val="Subsection"/>
        <w:spacing w:before="18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spacing w:before="180"/>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pPr>
      <w:r>
        <w:tab/>
      </w:r>
      <w:r>
        <w:tab/>
        <w:t>and section 200 does not apply to those acquisitions.</w:t>
      </w:r>
    </w:p>
    <w:p>
      <w:pPr>
        <w:pStyle w:val="Heading5"/>
      </w:pPr>
      <w:bookmarkStart w:id="757" w:name="_Toc392162496"/>
      <w:bookmarkStart w:id="758" w:name="_Toc413847301"/>
      <w:r>
        <w:rPr>
          <w:rStyle w:val="CharSectno"/>
        </w:rPr>
        <w:t>203</w:t>
      </w:r>
      <w:r>
        <w:t>.</w:t>
      </w:r>
      <w:r>
        <w:tab/>
        <w:t>Form and content of acquisition statements</w:t>
      </w:r>
      <w:bookmarkEnd w:id="757"/>
      <w:bookmarkEnd w:id="758"/>
    </w:p>
    <w:p>
      <w:pPr>
        <w:pStyle w:val="Subsection"/>
      </w:pPr>
      <w:r>
        <w:tab/>
        <w:t>(1)</w:t>
      </w:r>
      <w:r>
        <w:tab/>
        <w:t xml:space="preserve">An acquisition statement must — </w:t>
      </w:r>
    </w:p>
    <w:p>
      <w:pPr>
        <w:pStyle w:val="Indenta"/>
      </w:pPr>
      <w:r>
        <w:tab/>
        <w:t>(a)</w:t>
      </w:r>
      <w:r>
        <w:tab/>
        <w:t>be in the approved form; and</w:t>
      </w:r>
    </w:p>
    <w:p>
      <w:pPr>
        <w:pStyle w:val="Indenta"/>
      </w:pPr>
      <w:r>
        <w:tab/>
        <w:t>(b)</w:t>
      </w:r>
      <w:r>
        <w:tab/>
        <w:t xml:space="preserve">contain such information and particulars as are prescribed. </w:t>
      </w:r>
    </w:p>
    <w:p>
      <w:pPr>
        <w:pStyle w:val="Subsection"/>
      </w:pPr>
      <w:r>
        <w:tab/>
        <w:t>(2)</w:t>
      </w:r>
      <w:r>
        <w:tab/>
        <w:t>The Commissioner may approve different forms of acquisition statements for different circumstances or for different provisions of this Chapter.</w:t>
      </w:r>
    </w:p>
    <w:p>
      <w:pPr>
        <w:pStyle w:val="Heading5"/>
      </w:pPr>
      <w:bookmarkStart w:id="759" w:name="_Toc392162497"/>
      <w:bookmarkStart w:id="760" w:name="_Toc413847302"/>
      <w:r>
        <w:rPr>
          <w:rStyle w:val="CharSectno"/>
        </w:rPr>
        <w:t>204</w:t>
      </w:r>
      <w:r>
        <w:t>.</w:t>
      </w:r>
      <w:r>
        <w:tab/>
        <w:t>Failure to lodge acquisition statement</w:t>
      </w:r>
      <w:bookmarkEnd w:id="759"/>
      <w:bookmarkEnd w:id="760"/>
    </w:p>
    <w:p>
      <w:pPr>
        <w:pStyle w:val="Subsection"/>
      </w:pPr>
      <w:r>
        <w:tab/>
      </w:r>
      <w:r>
        <w:tab/>
        <w:t xml:space="preserve">If an acquisition statement is not lodged in accordance with section 200(2), 201(6) or 202(2), the following persons commit an offence —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189.</w:t>
      </w:r>
    </w:p>
    <w:p>
      <w:pPr>
        <w:pStyle w:val="Penstart"/>
      </w:pPr>
      <w:r>
        <w:tab/>
        <w:t>Penalty: a fine of $20 000.</w:t>
      </w:r>
    </w:p>
    <w:p>
      <w:pPr>
        <w:pStyle w:val="Footnotesection"/>
      </w:pPr>
      <w:r>
        <w:tab/>
        <w:t>[Section 204 amended by No. 32 of 2012 s. 23.]</w:t>
      </w:r>
    </w:p>
    <w:p>
      <w:pPr>
        <w:pStyle w:val="Ednotedivision"/>
      </w:pPr>
      <w:r>
        <w:t>[Division 8 (s. 205) omitted under the Reprints Act 1984 s. 7(4)(e).]</w:t>
      </w:r>
    </w:p>
    <w:p>
      <w:pPr>
        <w:pStyle w:val="Heading2"/>
        <w:rPr>
          <w:sz w:val="32"/>
        </w:rPr>
      </w:pPr>
      <w:bookmarkStart w:id="761" w:name="_Toc389126507"/>
      <w:bookmarkStart w:id="762" w:name="_Toc392162498"/>
      <w:bookmarkStart w:id="763" w:name="_Toc412734994"/>
      <w:bookmarkStart w:id="764" w:name="_Toc412735417"/>
      <w:bookmarkStart w:id="765" w:name="_Toc412819434"/>
      <w:bookmarkStart w:id="766" w:name="_Toc413830194"/>
      <w:bookmarkStart w:id="767" w:name="_Toc413847303"/>
      <w:r>
        <w:rPr>
          <w:rStyle w:val="CharPartNo"/>
          <w:sz w:val="32"/>
        </w:rPr>
        <w:t>Chapter 4</w:t>
      </w:r>
      <w:r>
        <w:rPr>
          <w:sz w:val="32"/>
        </w:rPr>
        <w:t> — </w:t>
      </w:r>
      <w:r>
        <w:rPr>
          <w:rStyle w:val="CharPartText"/>
          <w:sz w:val="32"/>
        </w:rPr>
        <w:t>Insurance duty</w:t>
      </w:r>
      <w:bookmarkEnd w:id="761"/>
      <w:bookmarkEnd w:id="762"/>
      <w:bookmarkEnd w:id="763"/>
      <w:bookmarkEnd w:id="764"/>
      <w:bookmarkEnd w:id="765"/>
      <w:bookmarkEnd w:id="766"/>
      <w:bookmarkEnd w:id="767"/>
    </w:p>
    <w:p>
      <w:pPr>
        <w:pStyle w:val="Heading3"/>
        <w:rPr>
          <w:sz w:val="28"/>
        </w:rPr>
      </w:pPr>
      <w:bookmarkStart w:id="768" w:name="_Toc389126508"/>
      <w:bookmarkStart w:id="769" w:name="_Toc392162499"/>
      <w:bookmarkStart w:id="770" w:name="_Toc412734995"/>
      <w:bookmarkStart w:id="771" w:name="_Toc412735418"/>
      <w:bookmarkStart w:id="772" w:name="_Toc412819435"/>
      <w:bookmarkStart w:id="773" w:name="_Toc413830195"/>
      <w:bookmarkStart w:id="774" w:name="_Toc413847304"/>
      <w:r>
        <w:rPr>
          <w:rStyle w:val="CharDivNo"/>
          <w:sz w:val="28"/>
        </w:rPr>
        <w:t>Part 1</w:t>
      </w:r>
      <w:r>
        <w:rPr>
          <w:sz w:val="28"/>
        </w:rPr>
        <w:t> — </w:t>
      </w:r>
      <w:r>
        <w:rPr>
          <w:rStyle w:val="CharDivText"/>
          <w:sz w:val="28"/>
        </w:rPr>
        <w:t>Preliminary</w:t>
      </w:r>
      <w:bookmarkEnd w:id="768"/>
      <w:bookmarkEnd w:id="769"/>
      <w:bookmarkEnd w:id="770"/>
      <w:bookmarkEnd w:id="771"/>
      <w:bookmarkEnd w:id="772"/>
      <w:bookmarkEnd w:id="773"/>
      <w:bookmarkEnd w:id="774"/>
    </w:p>
    <w:p>
      <w:pPr>
        <w:pStyle w:val="Heading5"/>
      </w:pPr>
      <w:bookmarkStart w:id="775" w:name="_Toc392162500"/>
      <w:bookmarkStart w:id="776" w:name="_Toc413847305"/>
      <w:r>
        <w:rPr>
          <w:rStyle w:val="CharSectno"/>
        </w:rPr>
        <w:t>206</w:t>
      </w:r>
      <w:r>
        <w:t>.</w:t>
      </w:r>
      <w:r>
        <w:tab/>
        <w:t>Terms used</w:t>
      </w:r>
      <w:bookmarkEnd w:id="775"/>
      <w:bookmarkEnd w:id="776"/>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tab/>
      </w:r>
      <w:r>
        <w:rPr>
          <w:rStyle w:val="CharDefText"/>
        </w:rPr>
        <w:t>offshore risk insurance</w:t>
      </w:r>
      <w:r>
        <w:t xml:space="preserve"> means any kind of insurance that is applicable to —</w:t>
      </w:r>
    </w:p>
    <w:p>
      <w:pPr>
        <w:pStyle w:val="Defpara"/>
      </w:pPr>
      <w:r>
        <w:tab/>
        <w:t>(a)</w:t>
      </w:r>
      <w:r>
        <w:tab/>
        <w:t xml:space="preserve">property outside </w:t>
      </w:r>
      <w:smartTag w:uri="urn:schemas-microsoft-com:office:smarttags" w:element="place">
        <w:smartTag w:uri="urn:schemas-microsoft-com:office:smarttags" w:element="country-region">
          <w:r>
            <w:t>Australia</w:t>
          </w:r>
        </w:smartTag>
      </w:smartTag>
      <w:r>
        <w:t>; or</w:t>
      </w:r>
    </w:p>
    <w:p>
      <w:pPr>
        <w:pStyle w:val="Defpara"/>
      </w:pPr>
      <w:r>
        <w:tab/>
        <w:t>(b)</w:t>
      </w:r>
      <w:r>
        <w:tab/>
        <w:t xml:space="preserve">a risk, contingency or event concerning an act or omission that, in the normal course of events, occurs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spacing w:before="260"/>
        <w:rPr>
          <w:sz w:val="28"/>
        </w:rPr>
      </w:pPr>
      <w:bookmarkStart w:id="777" w:name="_Toc389126510"/>
      <w:bookmarkStart w:id="778" w:name="_Toc392162501"/>
      <w:bookmarkStart w:id="779" w:name="_Toc412734997"/>
      <w:bookmarkStart w:id="780" w:name="_Toc412735420"/>
      <w:bookmarkStart w:id="781" w:name="_Toc412819437"/>
      <w:bookmarkStart w:id="782" w:name="_Toc413830197"/>
      <w:bookmarkStart w:id="783" w:name="_Toc413847306"/>
      <w:r>
        <w:rPr>
          <w:rStyle w:val="CharDivNo"/>
          <w:sz w:val="28"/>
        </w:rPr>
        <w:t>Part 2</w:t>
      </w:r>
      <w:r>
        <w:rPr>
          <w:sz w:val="28"/>
        </w:rPr>
        <w:t> — </w:t>
      </w:r>
      <w:r>
        <w:rPr>
          <w:rStyle w:val="CharDivText"/>
          <w:sz w:val="28"/>
        </w:rPr>
        <w:t>Imposition of insurance duty</w:t>
      </w:r>
      <w:bookmarkEnd w:id="777"/>
      <w:bookmarkEnd w:id="778"/>
      <w:bookmarkEnd w:id="779"/>
      <w:bookmarkEnd w:id="780"/>
      <w:bookmarkEnd w:id="781"/>
      <w:bookmarkEnd w:id="782"/>
      <w:bookmarkEnd w:id="783"/>
    </w:p>
    <w:p>
      <w:pPr>
        <w:pStyle w:val="Heading5"/>
        <w:spacing w:before="240"/>
      </w:pPr>
      <w:bookmarkStart w:id="784" w:name="_Toc392162502"/>
      <w:bookmarkStart w:id="785" w:name="_Toc413847307"/>
      <w:r>
        <w:rPr>
          <w:rStyle w:val="CharSectno"/>
        </w:rPr>
        <w:t>207</w:t>
      </w:r>
      <w:r>
        <w:t>.</w:t>
      </w:r>
      <w:r>
        <w:tab/>
        <w:t>Insurance duty imposed</w:t>
      </w:r>
      <w:bookmarkEnd w:id="784"/>
      <w:bookmarkEnd w:id="785"/>
    </w:p>
    <w:p>
      <w:pPr>
        <w:pStyle w:val="Subsection"/>
      </w:pPr>
      <w:r>
        <w:tab/>
      </w:r>
      <w:r>
        <w:tab/>
        <w:t>Duty is imposed on the premium paid in relation to a contract of insurance.</w:t>
      </w:r>
    </w:p>
    <w:p>
      <w:pPr>
        <w:pStyle w:val="Heading5"/>
        <w:spacing w:before="240"/>
      </w:pPr>
      <w:bookmarkStart w:id="786" w:name="_Toc392162503"/>
      <w:bookmarkStart w:id="787" w:name="_Toc413847308"/>
      <w:r>
        <w:rPr>
          <w:rStyle w:val="CharSectno"/>
        </w:rPr>
        <w:t>208</w:t>
      </w:r>
      <w:r>
        <w:t>.</w:t>
      </w:r>
      <w:r>
        <w:tab/>
        <w:t>Term used: contract of insurance</w:t>
      </w:r>
      <w:bookmarkEnd w:id="786"/>
      <w:bookmarkEnd w:id="787"/>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spacing w:before="240"/>
      </w:pPr>
      <w:bookmarkStart w:id="788" w:name="_Toc392162504"/>
      <w:bookmarkStart w:id="789" w:name="_Toc413847309"/>
      <w:r>
        <w:rPr>
          <w:rStyle w:val="CharSectno"/>
        </w:rPr>
        <w:t>209</w:t>
      </w:r>
      <w:r>
        <w:t>.</w:t>
      </w:r>
      <w:r>
        <w:tab/>
        <w:t>Term used: general insurance</w:t>
      </w:r>
      <w:bookmarkEnd w:id="788"/>
      <w:bookmarkEnd w:id="789"/>
    </w:p>
    <w:p>
      <w:pPr>
        <w:pStyle w:val="Subsection"/>
      </w:pPr>
      <w:r>
        <w:tab/>
        <w:t>(1)</w:t>
      </w:r>
      <w:r>
        <w:tab/>
      </w:r>
      <w:r>
        <w:rPr>
          <w:rStyle w:val="CharDefText"/>
        </w:rPr>
        <w:t>General insurance</w:t>
      </w:r>
      <w:r>
        <w:t xml:space="preserve"> is any kind of insurance that is applicable to —</w:t>
      </w:r>
    </w:p>
    <w:p>
      <w:pPr>
        <w:pStyle w:val="Indenta"/>
      </w:pPr>
      <w:r>
        <w:tab/>
        <w:t>(a)</w:t>
      </w:r>
      <w:r>
        <w:tab/>
        <w:t xml:space="preserve">property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 risk, contingency or event concerning an act or omission that, in the normal course of events, may occur within, or partly within, </w:t>
      </w:r>
      <w:smartTag w:uri="urn:schemas-microsoft-com:office:smarttags" w:element="place">
        <w:smartTag w:uri="urn:schemas-microsoft-com:office:smarttags" w:element="State">
          <w:r>
            <w:t>Western Australia</w:t>
          </w:r>
        </w:smartTag>
      </w:smartTag>
      <w:r>
        <w:t>,</w:t>
      </w:r>
    </w:p>
    <w:p>
      <w:pPr>
        <w:pStyle w:val="Subsection"/>
        <w:spacing w:before="120"/>
      </w:pPr>
      <w:r>
        <w:tab/>
      </w:r>
      <w:r>
        <w:tab/>
        <w:t>or both.</w:t>
      </w:r>
    </w:p>
    <w:p>
      <w:pPr>
        <w:pStyle w:val="Subsection"/>
        <w:keepNext/>
        <w:spacing w:before="180"/>
      </w:pPr>
      <w:r>
        <w:tab/>
        <w:t>(2)</w:t>
      </w:r>
      <w:r>
        <w:tab/>
      </w:r>
      <w:r>
        <w:rPr>
          <w:rStyle w:val="CharDefText"/>
        </w:rPr>
        <w:t>General insurance</w:t>
      </w:r>
      <w:r>
        <w:rPr>
          <w:b/>
        </w:rPr>
        <w:t xml:space="preserve"> </w:t>
      </w:r>
      <w:r>
        <w:t>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 xml:space="preserve">insurance in respect of goods in the course of being transported, whether by rail, road, air or sea, and whether within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790" w:name="_Toc392162505"/>
      <w:bookmarkStart w:id="791" w:name="_Toc413847310"/>
      <w:r>
        <w:rPr>
          <w:rStyle w:val="CharSectno"/>
        </w:rPr>
        <w:t>210</w:t>
      </w:r>
      <w:r>
        <w:t>.</w:t>
      </w:r>
      <w:r>
        <w:tab/>
        <w:t>Additional insurance in life insurance policy is general insurance</w:t>
      </w:r>
      <w:bookmarkEnd w:id="790"/>
      <w:bookmarkEnd w:id="791"/>
    </w:p>
    <w:p>
      <w:pPr>
        <w:pStyle w:val="Subsection"/>
      </w:pPr>
      <w:r>
        <w:tab/>
        <w:t>(1)</w:t>
      </w:r>
      <w:r>
        <w:tab/>
        <w:t xml:space="preserve">This section does not apply to a policy of life insurance unless the insured person’s place of residence is in </w:t>
      </w:r>
      <w:smartTag w:uri="urn:schemas-microsoft-com:office:smarttags" w:element="place">
        <w:smartTag w:uri="urn:schemas-microsoft-com:office:smarttags" w:element="State">
          <w:r>
            <w:t>Western Australia</w:t>
          </w:r>
        </w:smartTag>
      </w:smartTag>
      <w:r>
        <w:t>.</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keepNext/>
      </w:pPr>
      <w:r>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792" w:name="_Toc392162506"/>
      <w:bookmarkStart w:id="793" w:name="_Toc413847311"/>
      <w:r>
        <w:rPr>
          <w:rStyle w:val="CharSectno"/>
        </w:rPr>
        <w:t>211</w:t>
      </w:r>
      <w:r>
        <w:t>.</w:t>
      </w:r>
      <w:r>
        <w:tab/>
        <w:t>Term used: premium</w:t>
      </w:r>
      <w:bookmarkEnd w:id="792"/>
      <w:bookmarkEnd w:id="793"/>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794" w:name="_Toc392162507"/>
      <w:bookmarkStart w:id="795" w:name="_Toc413847312"/>
      <w:r>
        <w:rPr>
          <w:rStyle w:val="CharSectno"/>
        </w:rPr>
        <w:t>212</w:t>
      </w:r>
      <w:r>
        <w:t>.</w:t>
      </w:r>
      <w:r>
        <w:tab/>
        <w:t>When premium paid</w:t>
      </w:r>
      <w:bookmarkEnd w:id="794"/>
      <w:bookmarkEnd w:id="795"/>
    </w:p>
    <w:p>
      <w:pPr>
        <w:pStyle w:val="Subsection"/>
      </w:pPr>
      <w:r>
        <w:tab/>
      </w:r>
      <w:r>
        <w:tab/>
        <w:t>For the purposes of this Chapter, a premium or an instalment of a premium is paid when the first of the following events occurs —</w:t>
      </w:r>
    </w:p>
    <w:p>
      <w:pPr>
        <w:pStyle w:val="Indenta"/>
        <w:spacing w:before="60"/>
      </w:pPr>
      <w:r>
        <w:tab/>
        <w:t>(a)</w:t>
      </w:r>
      <w:r>
        <w:tab/>
        <w:t>the premium or the instalment is received by or on behalf of the insurer;</w:t>
      </w:r>
    </w:p>
    <w:p>
      <w:pPr>
        <w:pStyle w:val="Indenta"/>
        <w:spacing w:before="60"/>
      </w:pPr>
      <w:r>
        <w:tab/>
        <w:t>(b)</w:t>
      </w:r>
      <w:r>
        <w:tab/>
        <w:t>an account of the insurer is credited with the amount of the premium or the instalment.</w:t>
      </w:r>
    </w:p>
    <w:p>
      <w:pPr>
        <w:pStyle w:val="Heading3"/>
        <w:spacing w:before="260"/>
        <w:rPr>
          <w:sz w:val="28"/>
        </w:rPr>
      </w:pPr>
      <w:bookmarkStart w:id="796" w:name="_Toc389126517"/>
      <w:bookmarkStart w:id="797" w:name="_Toc392162508"/>
      <w:bookmarkStart w:id="798" w:name="_Toc412735004"/>
      <w:bookmarkStart w:id="799" w:name="_Toc412735427"/>
      <w:bookmarkStart w:id="800" w:name="_Toc412819444"/>
      <w:bookmarkStart w:id="801" w:name="_Toc413830204"/>
      <w:bookmarkStart w:id="802" w:name="_Toc413847313"/>
      <w:r>
        <w:rPr>
          <w:rStyle w:val="CharDivNo"/>
          <w:sz w:val="28"/>
        </w:rPr>
        <w:t>Part 3</w:t>
      </w:r>
      <w:r>
        <w:rPr>
          <w:sz w:val="28"/>
        </w:rPr>
        <w:t> — </w:t>
      </w:r>
      <w:r>
        <w:rPr>
          <w:rStyle w:val="CharDivText"/>
          <w:sz w:val="28"/>
        </w:rPr>
        <w:t>Collection of insurance duty</w:t>
      </w:r>
      <w:bookmarkEnd w:id="796"/>
      <w:bookmarkEnd w:id="797"/>
      <w:bookmarkEnd w:id="798"/>
      <w:bookmarkEnd w:id="799"/>
      <w:bookmarkEnd w:id="800"/>
      <w:bookmarkEnd w:id="801"/>
      <w:bookmarkEnd w:id="802"/>
    </w:p>
    <w:p>
      <w:pPr>
        <w:pStyle w:val="Heading4"/>
        <w:rPr>
          <w:sz w:val="26"/>
        </w:rPr>
      </w:pPr>
      <w:bookmarkStart w:id="803" w:name="_Toc389126518"/>
      <w:bookmarkStart w:id="804" w:name="_Toc392162509"/>
      <w:bookmarkStart w:id="805" w:name="_Toc412735005"/>
      <w:bookmarkStart w:id="806" w:name="_Toc412735428"/>
      <w:bookmarkStart w:id="807" w:name="_Toc412819445"/>
      <w:bookmarkStart w:id="808" w:name="_Toc413830205"/>
      <w:bookmarkStart w:id="809" w:name="_Toc413847314"/>
      <w:r>
        <w:rPr>
          <w:sz w:val="26"/>
        </w:rPr>
        <w:t>Division 1 — Liability</w:t>
      </w:r>
      <w:bookmarkEnd w:id="803"/>
      <w:bookmarkEnd w:id="804"/>
      <w:bookmarkEnd w:id="805"/>
      <w:bookmarkEnd w:id="806"/>
      <w:bookmarkEnd w:id="807"/>
      <w:bookmarkEnd w:id="808"/>
      <w:bookmarkEnd w:id="809"/>
    </w:p>
    <w:p>
      <w:pPr>
        <w:pStyle w:val="Heading5"/>
      </w:pPr>
      <w:bookmarkStart w:id="810" w:name="_Toc392162510"/>
      <w:bookmarkStart w:id="811" w:name="_Toc413847315"/>
      <w:r>
        <w:rPr>
          <w:rStyle w:val="CharSectno"/>
        </w:rPr>
        <w:t>213</w:t>
      </w:r>
      <w:r>
        <w:t>.</w:t>
      </w:r>
      <w:r>
        <w:tab/>
        <w:t>Who is liable to pay duty</w:t>
      </w:r>
      <w:bookmarkEnd w:id="810"/>
      <w:bookmarkEnd w:id="811"/>
    </w:p>
    <w:p>
      <w:pPr>
        <w:pStyle w:val="Subsection"/>
        <w:spacing w:before="180"/>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spacing w:before="240"/>
      </w:pPr>
      <w:bookmarkStart w:id="812" w:name="_Toc392162511"/>
      <w:bookmarkStart w:id="813" w:name="_Toc413847316"/>
      <w:r>
        <w:rPr>
          <w:rStyle w:val="CharSectno"/>
        </w:rPr>
        <w:t>214</w:t>
      </w:r>
      <w:r>
        <w:t>.</w:t>
      </w:r>
      <w:r>
        <w:tab/>
        <w:t>Term used: general insurer</w:t>
      </w:r>
      <w:bookmarkEnd w:id="812"/>
      <w:bookmarkEnd w:id="813"/>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spacing w:before="260"/>
        <w:rPr>
          <w:sz w:val="26"/>
        </w:rPr>
      </w:pPr>
      <w:bookmarkStart w:id="814" w:name="_Toc389126521"/>
      <w:bookmarkStart w:id="815" w:name="_Toc392162512"/>
      <w:bookmarkStart w:id="816" w:name="_Toc412735008"/>
      <w:bookmarkStart w:id="817" w:name="_Toc412735431"/>
      <w:bookmarkStart w:id="818" w:name="_Toc412819448"/>
      <w:bookmarkStart w:id="819" w:name="_Toc413830208"/>
      <w:bookmarkStart w:id="820" w:name="_Toc413847317"/>
      <w:r>
        <w:rPr>
          <w:sz w:val="26"/>
        </w:rPr>
        <w:t>Division 2 — Amount of insurance duty</w:t>
      </w:r>
      <w:bookmarkEnd w:id="814"/>
      <w:bookmarkEnd w:id="815"/>
      <w:bookmarkEnd w:id="816"/>
      <w:bookmarkEnd w:id="817"/>
      <w:bookmarkEnd w:id="818"/>
      <w:bookmarkEnd w:id="819"/>
      <w:bookmarkEnd w:id="820"/>
    </w:p>
    <w:p>
      <w:pPr>
        <w:pStyle w:val="Heading5"/>
        <w:spacing w:before="180"/>
      </w:pPr>
      <w:bookmarkStart w:id="821" w:name="_Toc392162513"/>
      <w:bookmarkStart w:id="822" w:name="_Toc413847318"/>
      <w:r>
        <w:rPr>
          <w:rStyle w:val="CharSectno"/>
        </w:rPr>
        <w:t>215</w:t>
      </w:r>
      <w:r>
        <w:t>.</w:t>
      </w:r>
      <w:r>
        <w:tab/>
        <w:t>Amount of duty payable</w:t>
      </w:r>
      <w:bookmarkEnd w:id="821"/>
      <w:bookmarkEnd w:id="822"/>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823" w:name="_Toc392162514"/>
      <w:bookmarkStart w:id="824" w:name="_Toc413847319"/>
      <w:r>
        <w:rPr>
          <w:rStyle w:val="CharSectno"/>
        </w:rPr>
        <w:t>216</w:t>
      </w:r>
      <w:r>
        <w:t>.</w:t>
      </w:r>
      <w:r>
        <w:tab/>
        <w:t>Policies effecting general insurance and other insurance, duty on</w:t>
      </w:r>
      <w:bookmarkEnd w:id="823"/>
      <w:bookmarkEnd w:id="824"/>
    </w:p>
    <w:p>
      <w:pPr>
        <w:pStyle w:val="Subsection"/>
        <w:spacing w:before="180"/>
      </w:pPr>
      <w:r>
        <w:tab/>
        <w:t>(1)</w:t>
      </w:r>
      <w:r>
        <w:tab/>
        <w:t>This section applies to a contract of insurance that effects both general insurance and one or more other kinds of insurance.</w:t>
      </w:r>
    </w:p>
    <w:p>
      <w:pPr>
        <w:pStyle w:val="Subsection"/>
        <w:spacing w:before="180"/>
      </w:pPr>
      <w:r>
        <w:tab/>
        <w:t>(2)</w:t>
      </w:r>
      <w:r>
        <w:tab/>
        <w:t>The proportion of the premium that is attributable to general insurance is to be determined in accordance with the Apportionment Schedule or Schedules published by the Commissioner from time to time.</w:t>
      </w:r>
    </w:p>
    <w:p>
      <w:pPr>
        <w:pStyle w:val="Subsection"/>
        <w:spacing w:before="180"/>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spacing w:before="180"/>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spacing w:before="180"/>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spacing w:before="180"/>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825" w:name="_Toc389126524"/>
      <w:bookmarkStart w:id="826" w:name="_Toc392162515"/>
      <w:bookmarkStart w:id="827" w:name="_Toc412735011"/>
      <w:bookmarkStart w:id="828" w:name="_Toc412735434"/>
      <w:bookmarkStart w:id="829" w:name="_Toc412819451"/>
      <w:bookmarkStart w:id="830" w:name="_Toc413830211"/>
      <w:bookmarkStart w:id="831" w:name="_Toc413847320"/>
      <w:r>
        <w:rPr>
          <w:sz w:val="26"/>
        </w:rPr>
        <w:t>Division 3 — Insurers</w:t>
      </w:r>
      <w:bookmarkEnd w:id="825"/>
      <w:bookmarkEnd w:id="826"/>
      <w:bookmarkEnd w:id="827"/>
      <w:bookmarkEnd w:id="828"/>
      <w:bookmarkEnd w:id="829"/>
      <w:bookmarkEnd w:id="830"/>
      <w:bookmarkEnd w:id="831"/>
    </w:p>
    <w:p>
      <w:pPr>
        <w:pStyle w:val="Heading5"/>
      </w:pPr>
      <w:bookmarkStart w:id="832" w:name="_Toc392162516"/>
      <w:bookmarkStart w:id="833" w:name="_Toc413847321"/>
      <w:r>
        <w:rPr>
          <w:rStyle w:val="CharSectno"/>
        </w:rPr>
        <w:t>217</w:t>
      </w:r>
      <w:r>
        <w:t>.</w:t>
      </w:r>
      <w:r>
        <w:tab/>
        <w:t>General insurers to apply to be registered</w:t>
      </w:r>
      <w:bookmarkEnd w:id="832"/>
      <w:bookmarkEnd w:id="833"/>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834" w:name="_Toc392162517"/>
      <w:bookmarkStart w:id="835" w:name="_Toc413847322"/>
      <w:r>
        <w:rPr>
          <w:rStyle w:val="CharSectno"/>
        </w:rPr>
        <w:t>218</w:t>
      </w:r>
      <w:r>
        <w:t>.</w:t>
      </w:r>
      <w:r>
        <w:tab/>
        <w:t>Registration of general insurers</w:t>
      </w:r>
      <w:bookmarkEnd w:id="834"/>
      <w:bookmarkEnd w:id="835"/>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836" w:name="_Toc392162518"/>
      <w:bookmarkStart w:id="837" w:name="_Toc413847323"/>
      <w:r>
        <w:rPr>
          <w:rStyle w:val="CharSectno"/>
        </w:rPr>
        <w:t>219</w:t>
      </w:r>
      <w:r>
        <w:t>.</w:t>
      </w:r>
      <w:r>
        <w:tab/>
        <w:t>Return period of registered insurer</w:t>
      </w:r>
      <w:bookmarkEnd w:id="836"/>
      <w:bookmarkEnd w:id="837"/>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tab/>
        <w:t>(b)</w:t>
      </w:r>
      <w:r>
        <w:tab/>
        <w:t>the return period provided in a special tax return arrangement in force under the Taxation Administration Act section 49.</w:t>
      </w:r>
    </w:p>
    <w:p>
      <w:pPr>
        <w:pStyle w:val="Heading5"/>
        <w:spacing w:before="200"/>
      </w:pPr>
      <w:bookmarkStart w:id="838" w:name="_Toc392162519"/>
      <w:bookmarkStart w:id="839" w:name="_Toc413847324"/>
      <w:r>
        <w:rPr>
          <w:rStyle w:val="CharSectno"/>
        </w:rPr>
        <w:t>220</w:t>
      </w:r>
      <w:r>
        <w:t>.</w:t>
      </w:r>
      <w:r>
        <w:tab/>
        <w:t>Registered insurers to lodge returns</w:t>
      </w:r>
      <w:bookmarkEnd w:id="838"/>
      <w:bookmarkEnd w:id="839"/>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840" w:name="_Toc392162520"/>
      <w:bookmarkStart w:id="841" w:name="_Toc413847325"/>
      <w:r>
        <w:rPr>
          <w:rStyle w:val="CharSectno"/>
        </w:rPr>
        <w:t>221</w:t>
      </w:r>
      <w:r>
        <w:t>.</w:t>
      </w:r>
      <w:r>
        <w:tab/>
        <w:t>Time for payment of duty by insurers</w:t>
      </w:r>
      <w:bookmarkEnd w:id="840"/>
      <w:bookmarkEnd w:id="841"/>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842" w:name="_Toc392162521"/>
      <w:bookmarkStart w:id="843" w:name="_Toc413847326"/>
      <w:r>
        <w:rPr>
          <w:rStyle w:val="CharSectno"/>
        </w:rPr>
        <w:t>222</w:t>
      </w:r>
      <w:r>
        <w:t>.</w:t>
      </w:r>
      <w:r>
        <w:tab/>
        <w:t>Cancelling registration of general insurers</w:t>
      </w:r>
      <w:bookmarkEnd w:id="842"/>
      <w:bookmarkEnd w:id="843"/>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844" w:name="_Toc389126531"/>
      <w:bookmarkStart w:id="845" w:name="_Toc392162522"/>
      <w:bookmarkStart w:id="846" w:name="_Toc412735018"/>
      <w:bookmarkStart w:id="847" w:name="_Toc412735441"/>
      <w:bookmarkStart w:id="848" w:name="_Toc412819458"/>
      <w:bookmarkStart w:id="849" w:name="_Toc413830218"/>
      <w:bookmarkStart w:id="850" w:name="_Toc413847327"/>
      <w:r>
        <w:rPr>
          <w:sz w:val="26"/>
        </w:rPr>
        <w:t>Division 4 — Insured persons</w:t>
      </w:r>
      <w:bookmarkEnd w:id="844"/>
      <w:bookmarkEnd w:id="845"/>
      <w:bookmarkEnd w:id="846"/>
      <w:bookmarkEnd w:id="847"/>
      <w:bookmarkEnd w:id="848"/>
      <w:bookmarkEnd w:id="849"/>
      <w:bookmarkEnd w:id="850"/>
    </w:p>
    <w:p>
      <w:pPr>
        <w:pStyle w:val="Heading5"/>
        <w:spacing w:before="240"/>
      </w:pPr>
      <w:bookmarkStart w:id="851" w:name="_Toc392162523"/>
      <w:bookmarkStart w:id="852" w:name="_Toc413847328"/>
      <w:r>
        <w:rPr>
          <w:rStyle w:val="CharSectno"/>
        </w:rPr>
        <w:t>223</w:t>
      </w:r>
      <w:r>
        <w:t>.</w:t>
      </w:r>
      <w:r>
        <w:tab/>
        <w:t>Some insured persons to lodge statements</w:t>
      </w:r>
      <w:bookmarkEnd w:id="851"/>
      <w:bookmarkEnd w:id="852"/>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spacing w:before="180"/>
      </w:pPr>
      <w:bookmarkStart w:id="853" w:name="_Toc392162524"/>
      <w:bookmarkStart w:id="854" w:name="_Toc413847329"/>
      <w:r>
        <w:rPr>
          <w:rStyle w:val="CharSectno"/>
        </w:rPr>
        <w:t>224</w:t>
      </w:r>
      <w:r>
        <w:t>.</w:t>
      </w:r>
      <w:r>
        <w:tab/>
        <w:t>Time for payment of duty by insured persons</w:t>
      </w:r>
      <w:bookmarkEnd w:id="853"/>
      <w:bookmarkEnd w:id="854"/>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855" w:name="_Toc389126534"/>
      <w:bookmarkStart w:id="856" w:name="_Toc392162525"/>
      <w:bookmarkStart w:id="857" w:name="_Toc412735021"/>
      <w:bookmarkStart w:id="858" w:name="_Toc412735444"/>
      <w:bookmarkStart w:id="859" w:name="_Toc412819461"/>
      <w:bookmarkStart w:id="860" w:name="_Toc413830221"/>
      <w:bookmarkStart w:id="861" w:name="_Toc413847330"/>
      <w:r>
        <w:rPr>
          <w:rStyle w:val="CharDivNo"/>
          <w:sz w:val="28"/>
        </w:rPr>
        <w:t>Part 4</w:t>
      </w:r>
      <w:r>
        <w:rPr>
          <w:sz w:val="28"/>
        </w:rPr>
        <w:t> — </w:t>
      </w:r>
      <w:r>
        <w:rPr>
          <w:rStyle w:val="CharDivText"/>
          <w:sz w:val="28"/>
        </w:rPr>
        <w:t>General provisions as to insurance duty</w:t>
      </w:r>
      <w:bookmarkEnd w:id="855"/>
      <w:bookmarkEnd w:id="856"/>
      <w:bookmarkEnd w:id="857"/>
      <w:bookmarkEnd w:id="858"/>
      <w:bookmarkEnd w:id="859"/>
      <w:bookmarkEnd w:id="860"/>
      <w:bookmarkEnd w:id="861"/>
    </w:p>
    <w:p>
      <w:pPr>
        <w:pStyle w:val="Heading5"/>
        <w:spacing w:before="180"/>
      </w:pPr>
      <w:bookmarkStart w:id="862" w:name="_Toc392162526"/>
      <w:bookmarkStart w:id="863" w:name="_Toc413847331"/>
      <w:r>
        <w:rPr>
          <w:rStyle w:val="CharSectno"/>
        </w:rPr>
        <w:t>225</w:t>
      </w:r>
      <w:r>
        <w:t>.</w:t>
      </w:r>
      <w:r>
        <w:tab/>
        <w:t>Insurer and intermediary to notify Commissioner of contracts of insurance</w:t>
      </w:r>
      <w:bookmarkEnd w:id="862"/>
      <w:bookmarkEnd w:id="863"/>
    </w:p>
    <w:p>
      <w:pPr>
        <w:pStyle w:val="Subsection"/>
        <w:spacing w:before="120"/>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spacing w:before="240"/>
      </w:pPr>
      <w:bookmarkStart w:id="864" w:name="_Toc392162527"/>
      <w:bookmarkStart w:id="865" w:name="_Toc413847332"/>
      <w:r>
        <w:rPr>
          <w:rStyle w:val="CharSectno"/>
        </w:rPr>
        <w:t>226</w:t>
      </w:r>
      <w:r>
        <w:t>.</w:t>
      </w:r>
      <w:r>
        <w:tab/>
        <w:t>Refunds of duty if premium refunded</w:t>
      </w:r>
      <w:bookmarkEnd w:id="864"/>
      <w:bookmarkEnd w:id="865"/>
    </w:p>
    <w:p>
      <w:pPr>
        <w:pStyle w:val="Subsection"/>
        <w:keepNext/>
        <w:keepLines/>
        <w:spacing w:before="18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80"/>
      </w:pPr>
      <w:r>
        <w:tab/>
      </w:r>
      <w:r>
        <w:tab/>
        <w:t>the insurer is entitled to a refund of the duty paid to the extent to which the premium was refunded.</w:t>
      </w:r>
    </w:p>
    <w:p>
      <w:pPr>
        <w:pStyle w:val="Subsection"/>
        <w:spacing w:before="180"/>
      </w:pPr>
      <w:r>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spacing w:before="180"/>
      </w:pPr>
      <w:r>
        <w:tab/>
      </w:r>
      <w:r>
        <w:tab/>
        <w:t>the person is entitled to a refund of the duty paid to the extent to which the premium was refunded.</w:t>
      </w:r>
    </w:p>
    <w:p>
      <w:pPr>
        <w:pStyle w:val="Subsection"/>
        <w:spacing w:before="180"/>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240"/>
      </w:pPr>
      <w:bookmarkStart w:id="866" w:name="_Toc392162528"/>
      <w:bookmarkStart w:id="867" w:name="_Toc413847333"/>
      <w:r>
        <w:rPr>
          <w:rStyle w:val="CharSectno"/>
        </w:rPr>
        <w:t>227</w:t>
      </w:r>
      <w:r>
        <w:t>.</w:t>
      </w:r>
      <w:r>
        <w:tab/>
        <w:t>Records to be kept</w:t>
      </w:r>
      <w:bookmarkEnd w:id="866"/>
      <w:bookmarkEnd w:id="867"/>
    </w:p>
    <w:p>
      <w:pPr>
        <w:pStyle w:val="Subsection"/>
        <w:spacing w:before="18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keepNext/>
        <w:spacing w:before="60"/>
      </w:pPr>
      <w:r>
        <w:tab/>
        <w:t>(b)</w:t>
      </w:r>
      <w:r>
        <w:tab/>
        <w:t>any other records necessary to enable the Commissioner to determine the person’s liability to pay duty.</w:t>
      </w:r>
    </w:p>
    <w:p>
      <w:pPr>
        <w:pStyle w:val="Penstart"/>
        <w:spacing w:before="60"/>
      </w:pPr>
      <w:r>
        <w:tab/>
        <w:t>Penalty: a fine of $20 000.</w:t>
      </w:r>
    </w:p>
    <w:p>
      <w:pPr>
        <w:pStyle w:val="Subsection"/>
        <w:spacing w:before="120"/>
      </w:pPr>
      <w:r>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868" w:name="_Toc389126538"/>
      <w:bookmarkStart w:id="869" w:name="_Toc392162529"/>
      <w:bookmarkStart w:id="870" w:name="_Toc412735025"/>
      <w:bookmarkStart w:id="871" w:name="_Toc412735448"/>
      <w:bookmarkStart w:id="872" w:name="_Toc412819465"/>
      <w:bookmarkStart w:id="873" w:name="_Toc413830225"/>
      <w:bookmarkStart w:id="874" w:name="_Toc413847334"/>
      <w:r>
        <w:rPr>
          <w:rStyle w:val="CharPartNo"/>
          <w:sz w:val="32"/>
        </w:rPr>
        <w:t>Chapter 5</w:t>
      </w:r>
      <w:r>
        <w:rPr>
          <w:sz w:val="32"/>
        </w:rPr>
        <w:t> — </w:t>
      </w:r>
      <w:r>
        <w:rPr>
          <w:rStyle w:val="CharPartText"/>
          <w:sz w:val="32"/>
        </w:rPr>
        <w:t>Vehicle licence duty</w:t>
      </w:r>
      <w:bookmarkEnd w:id="868"/>
      <w:bookmarkEnd w:id="869"/>
      <w:bookmarkEnd w:id="870"/>
      <w:bookmarkEnd w:id="871"/>
      <w:bookmarkEnd w:id="872"/>
      <w:bookmarkEnd w:id="873"/>
      <w:bookmarkEnd w:id="874"/>
    </w:p>
    <w:p>
      <w:pPr>
        <w:pStyle w:val="Heading3"/>
        <w:rPr>
          <w:sz w:val="28"/>
        </w:rPr>
      </w:pPr>
      <w:bookmarkStart w:id="875" w:name="_Toc389126539"/>
      <w:bookmarkStart w:id="876" w:name="_Toc392162530"/>
      <w:bookmarkStart w:id="877" w:name="_Toc412735026"/>
      <w:bookmarkStart w:id="878" w:name="_Toc412735449"/>
      <w:bookmarkStart w:id="879" w:name="_Toc412819466"/>
      <w:bookmarkStart w:id="880" w:name="_Toc413830226"/>
      <w:bookmarkStart w:id="881" w:name="_Toc413847335"/>
      <w:r>
        <w:rPr>
          <w:rStyle w:val="CharDivNo"/>
          <w:sz w:val="28"/>
        </w:rPr>
        <w:t>Part 1</w:t>
      </w:r>
      <w:r>
        <w:rPr>
          <w:sz w:val="28"/>
        </w:rPr>
        <w:t> — </w:t>
      </w:r>
      <w:r>
        <w:rPr>
          <w:rStyle w:val="CharDivText"/>
          <w:sz w:val="28"/>
        </w:rPr>
        <w:t>Preliminary</w:t>
      </w:r>
      <w:bookmarkEnd w:id="875"/>
      <w:bookmarkEnd w:id="876"/>
      <w:bookmarkEnd w:id="877"/>
      <w:bookmarkEnd w:id="878"/>
      <w:bookmarkEnd w:id="879"/>
      <w:bookmarkEnd w:id="880"/>
      <w:bookmarkEnd w:id="881"/>
    </w:p>
    <w:p>
      <w:pPr>
        <w:pStyle w:val="Heading5"/>
        <w:rPr>
          <w:sz w:val="32"/>
        </w:rPr>
      </w:pPr>
      <w:bookmarkStart w:id="882" w:name="_Toc392162531"/>
      <w:bookmarkStart w:id="883" w:name="_Toc413847336"/>
      <w:r>
        <w:rPr>
          <w:rStyle w:val="CharSectno"/>
        </w:rPr>
        <w:t>228</w:t>
      </w:r>
      <w:r>
        <w:t>.</w:t>
      </w:r>
      <w:r>
        <w:tab/>
        <w:t>Terms used</w:t>
      </w:r>
      <w:bookmarkEnd w:id="882"/>
      <w:bookmarkEnd w:id="883"/>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Road Traffic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Director General</w:t>
      </w:r>
      <w:r>
        <w:t xml:space="preserve"> means the chief executive officer of the department of the Public Service principally assisting in the administration of the provisions that the Road Traffic Act section 5 defines as the licensing provisions of this Act;</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means a vehicle with a gross vehicle mass of more than 4.5 tonnes;</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Road Traffic Act section 5, but does not include a trailer, semi</w:t>
      </w:r>
      <w:r>
        <w:noBreakHyphen/>
        <w:t>trailer or caravan;</w:t>
      </w:r>
    </w:p>
    <w:p>
      <w:pPr>
        <w:pStyle w:val="Defstar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 or 247(1), other than a vehicle that has been used for a purpose referred to in section 246(1)(a)(ii) or 247(1) for a period of more than 2 months;</w:t>
      </w:r>
    </w:p>
    <w:p>
      <w:pPr>
        <w:pStyle w:val="Defstart"/>
      </w:pPr>
      <w:r>
        <w:rPr>
          <w:b/>
        </w:rPr>
        <w:tab/>
      </w:r>
      <w:r>
        <w:rPr>
          <w:rStyle w:val="CharDefText"/>
        </w:rPr>
        <w:t>Road Traffic Act</w:t>
      </w:r>
      <w:r>
        <w:t xml:space="preserve"> means the </w:t>
      </w:r>
      <w:r>
        <w:rPr>
          <w:i/>
          <w:iCs/>
        </w:rPr>
        <w:t>Road Traffic Act 1974</w:t>
      </w:r>
      <w:r>
        <w:t>;</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Heading3"/>
        <w:rPr>
          <w:sz w:val="28"/>
        </w:rPr>
      </w:pPr>
      <w:bookmarkStart w:id="884" w:name="_Toc389126541"/>
      <w:bookmarkStart w:id="885" w:name="_Toc392162532"/>
      <w:bookmarkStart w:id="886" w:name="_Toc412735028"/>
      <w:bookmarkStart w:id="887" w:name="_Toc412735451"/>
      <w:bookmarkStart w:id="888" w:name="_Toc412819468"/>
      <w:bookmarkStart w:id="889" w:name="_Toc413830228"/>
      <w:bookmarkStart w:id="890" w:name="_Toc413847337"/>
      <w:r>
        <w:rPr>
          <w:rStyle w:val="CharDivNo"/>
          <w:sz w:val="28"/>
        </w:rPr>
        <w:t>Part 2</w:t>
      </w:r>
      <w:r>
        <w:rPr>
          <w:sz w:val="28"/>
        </w:rPr>
        <w:t> — </w:t>
      </w:r>
      <w:r>
        <w:rPr>
          <w:rStyle w:val="CharDivText"/>
          <w:sz w:val="28"/>
        </w:rPr>
        <w:t>Imposition of vehicle licence duty</w:t>
      </w:r>
      <w:bookmarkEnd w:id="884"/>
      <w:bookmarkEnd w:id="885"/>
      <w:bookmarkEnd w:id="886"/>
      <w:bookmarkEnd w:id="887"/>
      <w:bookmarkEnd w:id="888"/>
      <w:bookmarkEnd w:id="889"/>
      <w:bookmarkEnd w:id="890"/>
    </w:p>
    <w:p>
      <w:pPr>
        <w:pStyle w:val="Heading5"/>
      </w:pPr>
      <w:bookmarkStart w:id="891" w:name="_Toc392162533"/>
      <w:bookmarkStart w:id="892" w:name="_Toc413847338"/>
      <w:r>
        <w:rPr>
          <w:rStyle w:val="CharSectno"/>
        </w:rPr>
        <w:t>229</w:t>
      </w:r>
      <w:r>
        <w:t>.</w:t>
      </w:r>
      <w:r>
        <w:tab/>
        <w:t>Vehicle licence duty imposed</w:t>
      </w:r>
      <w:bookmarkEnd w:id="891"/>
      <w:bookmarkEnd w:id="892"/>
    </w:p>
    <w:p>
      <w:pPr>
        <w:pStyle w:val="Subsection"/>
      </w:pPr>
      <w:r>
        <w:tab/>
      </w:r>
      <w:r>
        <w:tab/>
        <w:t>Duty is imposed on the grant or transfer of a licence for a vehicle.</w:t>
      </w:r>
    </w:p>
    <w:p>
      <w:pPr>
        <w:pStyle w:val="Heading5"/>
      </w:pPr>
      <w:bookmarkStart w:id="893" w:name="_Toc392162534"/>
      <w:bookmarkStart w:id="894" w:name="_Toc413847339"/>
      <w:r>
        <w:rPr>
          <w:rStyle w:val="CharSectno"/>
        </w:rPr>
        <w:t>230</w:t>
      </w:r>
      <w:r>
        <w:t>.</w:t>
      </w:r>
      <w:r>
        <w:tab/>
        <w:t>Terms used</w:t>
      </w:r>
      <w:bookmarkEnd w:id="893"/>
      <w:bookmarkEnd w:id="894"/>
    </w:p>
    <w:p>
      <w:pPr>
        <w:pStyle w:val="Subsection"/>
      </w:pPr>
      <w:r>
        <w:tab/>
        <w:t>(1)</w:t>
      </w:r>
      <w:r>
        <w:tab/>
        <w:t xml:space="preserve">A </w:t>
      </w:r>
      <w:r>
        <w:rPr>
          <w:rStyle w:val="CharDefText"/>
        </w:rPr>
        <w:t>vehicle</w:t>
      </w:r>
      <w:r>
        <w:rPr>
          <w:bCs/>
        </w:rPr>
        <w:t xml:space="preserve"> is</w:t>
      </w:r>
      <w:r>
        <w:t xml:space="preserve"> a vehicle that is required to be licensed under the Road Traffic Act, other than a caravan.</w:t>
      </w:r>
    </w:p>
    <w:p>
      <w:pPr>
        <w:pStyle w:val="Subsection"/>
      </w:pPr>
      <w:r>
        <w:tab/>
        <w:t>(2)</w:t>
      </w:r>
      <w:r>
        <w:tab/>
        <w:t xml:space="preserve">A </w:t>
      </w:r>
      <w:r>
        <w:rPr>
          <w:rStyle w:val="CharDefText"/>
        </w:rPr>
        <w:t>licence</w:t>
      </w:r>
      <w:r>
        <w:t>, in respect of a vehicle, is a licence for the vehicle granted under the Road Traffic Act Part III.</w:t>
      </w:r>
    </w:p>
    <w:p>
      <w:pPr>
        <w:pStyle w:val="Subsection"/>
        <w:rPr>
          <w:bCs/>
          <w:u w:val="single"/>
        </w:rPr>
      </w:pPr>
      <w:r>
        <w:tab/>
        <w:t>(3)</w:t>
      </w:r>
      <w:r>
        <w:tab/>
        <w:t xml:space="preserve">A duplicate licence or a certified copy of the licence granted under the Road Traffic Act is not a </w:t>
      </w:r>
      <w:r>
        <w:rPr>
          <w:rStyle w:val="CharDefText"/>
        </w:rPr>
        <w:t>licence</w:t>
      </w:r>
      <w:r>
        <w:rPr>
          <w:bCs/>
        </w:rPr>
        <w:t>.</w:t>
      </w:r>
    </w:p>
    <w:p>
      <w:pPr>
        <w:pStyle w:val="Heading3"/>
        <w:rPr>
          <w:sz w:val="28"/>
        </w:rPr>
      </w:pPr>
      <w:bookmarkStart w:id="895" w:name="_Toc389126544"/>
      <w:bookmarkStart w:id="896" w:name="_Toc392162535"/>
      <w:bookmarkStart w:id="897" w:name="_Toc412735031"/>
      <w:bookmarkStart w:id="898" w:name="_Toc412735454"/>
      <w:bookmarkStart w:id="899" w:name="_Toc412819471"/>
      <w:bookmarkStart w:id="900" w:name="_Toc413830231"/>
      <w:bookmarkStart w:id="901" w:name="_Toc413847340"/>
      <w:r>
        <w:rPr>
          <w:rStyle w:val="CharDivNo"/>
          <w:sz w:val="28"/>
        </w:rPr>
        <w:t>Part 3</w:t>
      </w:r>
      <w:r>
        <w:rPr>
          <w:sz w:val="28"/>
        </w:rPr>
        <w:t> — </w:t>
      </w:r>
      <w:r>
        <w:rPr>
          <w:rStyle w:val="CharDivText"/>
          <w:sz w:val="28"/>
        </w:rPr>
        <w:t>Collection of vehicle licence duty</w:t>
      </w:r>
      <w:bookmarkEnd w:id="895"/>
      <w:bookmarkEnd w:id="896"/>
      <w:bookmarkEnd w:id="897"/>
      <w:bookmarkEnd w:id="898"/>
      <w:bookmarkEnd w:id="899"/>
      <w:bookmarkEnd w:id="900"/>
      <w:bookmarkEnd w:id="901"/>
    </w:p>
    <w:p>
      <w:pPr>
        <w:pStyle w:val="Heading4"/>
        <w:rPr>
          <w:sz w:val="26"/>
        </w:rPr>
      </w:pPr>
      <w:bookmarkStart w:id="902" w:name="_Toc389126545"/>
      <w:bookmarkStart w:id="903" w:name="_Toc392162536"/>
      <w:bookmarkStart w:id="904" w:name="_Toc412735032"/>
      <w:bookmarkStart w:id="905" w:name="_Toc412735455"/>
      <w:bookmarkStart w:id="906" w:name="_Toc412819472"/>
      <w:bookmarkStart w:id="907" w:name="_Toc413830232"/>
      <w:bookmarkStart w:id="908" w:name="_Toc413847341"/>
      <w:r>
        <w:rPr>
          <w:sz w:val="26"/>
        </w:rPr>
        <w:t>Division 1 — Preliminary</w:t>
      </w:r>
      <w:bookmarkEnd w:id="902"/>
      <w:bookmarkEnd w:id="903"/>
      <w:bookmarkEnd w:id="904"/>
      <w:bookmarkEnd w:id="905"/>
      <w:bookmarkEnd w:id="906"/>
      <w:bookmarkEnd w:id="907"/>
      <w:bookmarkEnd w:id="908"/>
    </w:p>
    <w:p>
      <w:pPr>
        <w:pStyle w:val="Heading5"/>
      </w:pPr>
      <w:bookmarkStart w:id="909" w:name="_Toc392162537"/>
      <w:bookmarkStart w:id="910" w:name="_Toc413847342"/>
      <w:r>
        <w:rPr>
          <w:rStyle w:val="CharSectno"/>
        </w:rPr>
        <w:t>231</w:t>
      </w:r>
      <w:r>
        <w:t>.</w:t>
      </w:r>
      <w:r>
        <w:tab/>
        <w:t>Terms used</w:t>
      </w:r>
      <w:bookmarkEnd w:id="909"/>
      <w:bookmarkEnd w:id="910"/>
    </w:p>
    <w:p>
      <w:pPr>
        <w:pStyle w:val="Subsection"/>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911" w:name="_Toc389126547"/>
      <w:bookmarkStart w:id="912" w:name="_Toc392162538"/>
      <w:bookmarkStart w:id="913" w:name="_Toc412735034"/>
      <w:bookmarkStart w:id="914" w:name="_Toc412735457"/>
      <w:bookmarkStart w:id="915" w:name="_Toc412819474"/>
      <w:bookmarkStart w:id="916" w:name="_Toc413830234"/>
      <w:bookmarkStart w:id="917" w:name="_Toc413847343"/>
      <w:r>
        <w:rPr>
          <w:sz w:val="26"/>
        </w:rPr>
        <w:t>Division 2 — Liability</w:t>
      </w:r>
      <w:bookmarkEnd w:id="911"/>
      <w:bookmarkEnd w:id="912"/>
      <w:bookmarkEnd w:id="913"/>
      <w:bookmarkEnd w:id="914"/>
      <w:bookmarkEnd w:id="915"/>
      <w:bookmarkEnd w:id="916"/>
      <w:bookmarkEnd w:id="917"/>
    </w:p>
    <w:p>
      <w:pPr>
        <w:pStyle w:val="Heading5"/>
        <w:ind w:left="0" w:firstLine="0"/>
      </w:pPr>
      <w:bookmarkStart w:id="918" w:name="_Toc392162539"/>
      <w:bookmarkStart w:id="919" w:name="_Toc413847344"/>
      <w:r>
        <w:rPr>
          <w:rStyle w:val="CharSectno"/>
        </w:rPr>
        <w:t>232</w:t>
      </w:r>
      <w:r>
        <w:t>.</w:t>
      </w:r>
      <w:r>
        <w:tab/>
        <w:t>Who is liable to pay duty</w:t>
      </w:r>
      <w:bookmarkEnd w:id="918"/>
      <w:bookmarkEnd w:id="919"/>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920" w:name="_Toc389126549"/>
      <w:bookmarkStart w:id="921" w:name="_Toc392162540"/>
      <w:bookmarkStart w:id="922" w:name="_Toc412735036"/>
      <w:bookmarkStart w:id="923" w:name="_Toc412735459"/>
      <w:bookmarkStart w:id="924" w:name="_Toc412819476"/>
      <w:bookmarkStart w:id="925" w:name="_Toc413830236"/>
      <w:bookmarkStart w:id="926" w:name="_Toc413847345"/>
      <w:r>
        <w:rPr>
          <w:sz w:val="26"/>
        </w:rPr>
        <w:t>Division 3 — Assessment and payment of vehicle licence duty</w:t>
      </w:r>
      <w:bookmarkEnd w:id="920"/>
      <w:bookmarkEnd w:id="921"/>
      <w:bookmarkEnd w:id="922"/>
      <w:bookmarkEnd w:id="923"/>
      <w:bookmarkEnd w:id="924"/>
      <w:bookmarkEnd w:id="925"/>
      <w:bookmarkEnd w:id="926"/>
    </w:p>
    <w:p>
      <w:pPr>
        <w:pStyle w:val="Heading5"/>
      </w:pPr>
      <w:bookmarkStart w:id="927" w:name="_Toc392162541"/>
      <w:bookmarkStart w:id="928" w:name="_Toc413847346"/>
      <w:r>
        <w:rPr>
          <w:rStyle w:val="CharSectno"/>
        </w:rPr>
        <w:t>233</w:t>
      </w:r>
      <w:r>
        <w:t>.</w:t>
      </w:r>
      <w:r>
        <w:tab/>
        <w:t>Assessment of duty</w:t>
      </w:r>
      <w:bookmarkEnd w:id="927"/>
      <w:bookmarkEnd w:id="928"/>
    </w:p>
    <w:p>
      <w:pPr>
        <w:pStyle w:val="Subsection"/>
      </w:pPr>
      <w:r>
        <w:tab/>
        <w:t>(1)</w:t>
      </w:r>
      <w:r>
        <w:tab/>
        <w:t>When an application is made for the grant or transfer of a licence for a vehicle the Director General must assess the amount of duty payable on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pPr>
      <w:r>
        <w:tab/>
        <w:t>(3)</w:t>
      </w:r>
      <w:r>
        <w:tab/>
        <w:t>An assessment made under subsection (1) is taken to be an official assessment for the purposes of the Taxation Administration Act.</w:t>
      </w:r>
    </w:p>
    <w:p>
      <w:pPr>
        <w:pStyle w:val="Heading5"/>
      </w:pPr>
      <w:bookmarkStart w:id="929" w:name="_Toc392162542"/>
      <w:bookmarkStart w:id="930" w:name="_Toc413847347"/>
      <w:r>
        <w:rPr>
          <w:rStyle w:val="CharSectno"/>
        </w:rPr>
        <w:t>234</w:t>
      </w:r>
      <w:r>
        <w:t>.</w:t>
      </w:r>
      <w:r>
        <w:tab/>
        <w:t>Applicant for licence to state dutiable value of vehicle etc.</w:t>
      </w:r>
      <w:bookmarkEnd w:id="929"/>
      <w:bookmarkEnd w:id="930"/>
    </w:p>
    <w:p>
      <w:pPr>
        <w:pStyle w:val="Subsection"/>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Director General may, by notice given to the applicant, require the applicant to give the Director General evidence of the dutiable value of the vehicle.</w:t>
      </w:r>
    </w:p>
    <w:p>
      <w:pPr>
        <w:pStyle w:val="Subsection"/>
      </w:pPr>
      <w:r>
        <w:tab/>
        <w:t>(3)</w:t>
      </w:r>
      <w:r>
        <w:tab/>
        <w:t>The applicant must comply with the requirement in subsection (2) within the period stated in the notice.</w:t>
      </w:r>
    </w:p>
    <w:p>
      <w:pPr>
        <w:pStyle w:val="Penstart"/>
      </w:pPr>
      <w:r>
        <w:tab/>
        <w:t>Penalty: a fine of $20 000.</w:t>
      </w:r>
    </w:p>
    <w:p>
      <w:pPr>
        <w:pStyle w:val="Subsection"/>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Heading5"/>
      </w:pPr>
      <w:bookmarkStart w:id="931" w:name="_Toc392162543"/>
      <w:bookmarkStart w:id="932" w:name="_Toc413847348"/>
      <w:r>
        <w:rPr>
          <w:rStyle w:val="CharSectno"/>
        </w:rPr>
        <w:t>235</w:t>
      </w:r>
      <w:r>
        <w:t>.</w:t>
      </w:r>
      <w:r>
        <w:tab/>
        <w:t>Payment of duty</w:t>
      </w:r>
      <w:bookmarkEnd w:id="931"/>
      <w:bookmarkEnd w:id="932"/>
    </w:p>
    <w:p>
      <w:pPr>
        <w:pStyle w:val="Subsection"/>
        <w:keepLines/>
      </w:pPr>
      <w:r>
        <w:tab/>
      </w:r>
      <w:r>
        <w:tab/>
        <w:t xml:space="preserve">Duty chargeable on the grant or transfer of a licence for a vehicle and any penalty tax is payable — </w:t>
      </w:r>
    </w:p>
    <w:p>
      <w:pPr>
        <w:pStyle w:val="Indenta"/>
      </w:pPr>
      <w:r>
        <w:tab/>
        <w:t>(a)</w:t>
      </w:r>
      <w:r>
        <w:tab/>
        <w:t>to the Director General in accordance with the Road Traffic Act; or</w:t>
      </w:r>
    </w:p>
    <w:p>
      <w:pPr>
        <w:pStyle w:val="Indenta"/>
      </w:pPr>
      <w:r>
        <w:tab/>
        <w:t>(b)</w:t>
      </w:r>
      <w:r>
        <w:tab/>
        <w:t>if an assessment is made by the Commissioner — in accordance with the Taxation Administration Act.</w:t>
      </w:r>
    </w:p>
    <w:p>
      <w:pPr>
        <w:pStyle w:val="Heading4"/>
        <w:rPr>
          <w:sz w:val="26"/>
        </w:rPr>
      </w:pPr>
      <w:bookmarkStart w:id="933" w:name="_Toc389126553"/>
      <w:bookmarkStart w:id="934" w:name="_Toc392162544"/>
      <w:bookmarkStart w:id="935" w:name="_Toc412735040"/>
      <w:bookmarkStart w:id="936" w:name="_Toc412735463"/>
      <w:bookmarkStart w:id="937" w:name="_Toc412819480"/>
      <w:bookmarkStart w:id="938" w:name="_Toc413830240"/>
      <w:bookmarkStart w:id="939" w:name="_Toc413847349"/>
      <w:r>
        <w:rPr>
          <w:sz w:val="26"/>
        </w:rPr>
        <w:t>Division 4 — Amount of vehicle licence duty</w:t>
      </w:r>
      <w:bookmarkEnd w:id="933"/>
      <w:bookmarkEnd w:id="934"/>
      <w:bookmarkEnd w:id="935"/>
      <w:bookmarkEnd w:id="936"/>
      <w:bookmarkEnd w:id="937"/>
      <w:bookmarkEnd w:id="938"/>
      <w:bookmarkEnd w:id="939"/>
    </w:p>
    <w:p>
      <w:pPr>
        <w:pStyle w:val="Heading5"/>
      </w:pPr>
      <w:bookmarkStart w:id="940" w:name="_Toc392162545"/>
      <w:bookmarkStart w:id="941" w:name="_Toc413847350"/>
      <w:r>
        <w:rPr>
          <w:rStyle w:val="CharSectno"/>
        </w:rPr>
        <w:t>236</w:t>
      </w:r>
      <w:r>
        <w:t>.</w:t>
      </w:r>
      <w:r>
        <w:tab/>
        <w:t>Amount of duty payable</w:t>
      </w:r>
      <w:bookmarkEnd w:id="940"/>
      <w:bookmarkEnd w:id="941"/>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pPr>
      <w:r>
        <w:tab/>
        <w:t>(b)</w:t>
      </w:r>
      <w:r>
        <w:tab/>
        <w:t>if the dutiable value of the vehicle exceeds $25 000 but does not exceed $50 000 — R% of the dutiable value, where R is determined in accordance with the following formula —</w:t>
      </w:r>
    </w:p>
    <w:p>
      <w:pPr>
        <w:pStyle w:val="Equation"/>
        <w:jc w:val="center"/>
        <w:rPr>
          <w:sz w:val="22"/>
        </w:rPr>
      </w:pPr>
      <w:r>
        <w:drawing>
          <wp:inline distT="0" distB="0" distL="0" distR="0">
            <wp:extent cx="1790700" cy="4572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r>
        <w:br/>
        <w:t>(</w:t>
      </w:r>
      <w:r>
        <w:rPr>
          <w:sz w:val="22"/>
        </w:rPr>
        <w:t>rounded to 2 decimal places);</w:t>
      </w:r>
    </w:p>
    <w:p>
      <w:pPr>
        <w:pStyle w:val="Indenta"/>
      </w:pPr>
      <w:r>
        <w:tab/>
      </w:r>
      <w:r>
        <w:tab/>
        <w:t xml:space="preserve">where — </w:t>
      </w:r>
    </w:p>
    <w:p>
      <w:pPr>
        <w:pStyle w:val="Indenta"/>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pPr>
      <w:r>
        <w:tab/>
        <w:t>(b)</w:t>
      </w:r>
      <w:r>
        <w:tab/>
        <w:t>$12 000.</w:t>
      </w:r>
    </w:p>
    <w:p>
      <w:pPr>
        <w:pStyle w:val="Footnotesection"/>
      </w:pPr>
      <w:r>
        <w:tab/>
        <w:t>[Section 236 amended by No. 12 of 2008 s. 24.]</w:t>
      </w:r>
    </w:p>
    <w:p>
      <w:pPr>
        <w:pStyle w:val="Heading4"/>
        <w:rPr>
          <w:sz w:val="26"/>
        </w:rPr>
      </w:pPr>
      <w:bookmarkStart w:id="942" w:name="_Toc389126555"/>
      <w:bookmarkStart w:id="943" w:name="_Toc392162546"/>
      <w:bookmarkStart w:id="944" w:name="_Toc412735042"/>
      <w:bookmarkStart w:id="945" w:name="_Toc412735465"/>
      <w:bookmarkStart w:id="946" w:name="_Toc412819482"/>
      <w:bookmarkStart w:id="947" w:name="_Toc413830242"/>
      <w:bookmarkStart w:id="948" w:name="_Toc413847351"/>
      <w:r>
        <w:rPr>
          <w:sz w:val="26"/>
        </w:rPr>
        <w:t>Division 5 — Dutiable value of a vehicle</w:t>
      </w:r>
      <w:bookmarkEnd w:id="942"/>
      <w:bookmarkEnd w:id="943"/>
      <w:bookmarkEnd w:id="944"/>
      <w:bookmarkEnd w:id="945"/>
      <w:bookmarkEnd w:id="946"/>
      <w:bookmarkEnd w:id="947"/>
      <w:bookmarkEnd w:id="948"/>
    </w:p>
    <w:p>
      <w:pPr>
        <w:pStyle w:val="Heading5"/>
        <w:spacing w:before="180"/>
      </w:pPr>
      <w:bookmarkStart w:id="949" w:name="_Toc392162547"/>
      <w:bookmarkStart w:id="950" w:name="_Toc413847352"/>
      <w:r>
        <w:rPr>
          <w:rStyle w:val="CharSectno"/>
        </w:rPr>
        <w:t>237</w:t>
      </w:r>
      <w:r>
        <w:t>.</w:t>
      </w:r>
      <w:r>
        <w:tab/>
        <w:t>Certain new vehicles, dutiable value of</w:t>
      </w:r>
      <w:bookmarkEnd w:id="949"/>
      <w:bookmarkEnd w:id="950"/>
    </w:p>
    <w:p>
      <w:pPr>
        <w:pStyle w:val="Subsection"/>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pPr>
      <w:r>
        <w:tab/>
        <w:t>(c)</w:t>
      </w:r>
      <w:r>
        <w:tab/>
        <w:t>for which a price has been fixed by the manufacturer, importer or principal distributor as the retail selling price in Western Australia of a vehicle of that make and model,</w:t>
      </w:r>
    </w:p>
    <w:p>
      <w:pPr>
        <w:pStyle w:val="Subsection"/>
      </w:pPr>
      <w:r>
        <w:tab/>
      </w:r>
      <w:r>
        <w:tab/>
        <w:t xml:space="preserve">is the sum of — </w:t>
      </w:r>
    </w:p>
    <w:p>
      <w:pPr>
        <w:pStyle w:val="Indenta"/>
      </w:pPr>
      <w:r>
        <w:tab/>
        <w:t>(d)</w:t>
      </w:r>
      <w:r>
        <w:tab/>
        <w:t>the price fixed as described in paragraph (c); and</w:t>
      </w:r>
    </w:p>
    <w:p>
      <w:pPr>
        <w:pStyle w:val="Indenta"/>
      </w:pPr>
      <w:r>
        <w:tab/>
        <w:t>(e)</w:t>
      </w:r>
      <w:r>
        <w:tab/>
        <w:t xml:space="preserve">for each optional feature in or of the vehicle — the additional amount fixed by the manufacturer, importer or principal distributor for the retail sale in </w:t>
      </w:r>
      <w:smartTag w:uri="urn:schemas-microsoft-com:office:smarttags" w:element="place">
        <w:smartTag w:uri="urn:schemas-microsoft-com:office:smarttags" w:element="State">
          <w:r>
            <w:t>Western Australia</w:t>
          </w:r>
        </w:smartTag>
      </w:smartTag>
      <w:r>
        <w:t xml:space="preserve"> of the optional feature.</w:t>
      </w:r>
    </w:p>
    <w:p>
      <w:pPr>
        <w:pStyle w:val="Subsection"/>
      </w:pPr>
      <w:r>
        <w:tab/>
        <w:t>(2)</w:t>
      </w:r>
      <w:r>
        <w:tab/>
        <w:t>This section has effect subject to section 239.</w:t>
      </w:r>
    </w:p>
    <w:p>
      <w:pPr>
        <w:pStyle w:val="Heading5"/>
        <w:spacing w:before="180"/>
      </w:pPr>
      <w:bookmarkStart w:id="951" w:name="_Toc392162548"/>
      <w:bookmarkStart w:id="952" w:name="_Toc413847353"/>
      <w:r>
        <w:rPr>
          <w:rStyle w:val="CharSectno"/>
        </w:rPr>
        <w:t>238</w:t>
      </w:r>
      <w:r>
        <w:t>.</w:t>
      </w:r>
      <w:r>
        <w:tab/>
        <w:t>Certain other vehicles, dutiable value of</w:t>
      </w:r>
      <w:bookmarkEnd w:id="951"/>
      <w:bookmarkEnd w:id="952"/>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953" w:name="_Toc392162549"/>
      <w:bookmarkStart w:id="954" w:name="_Toc413847354"/>
      <w:r>
        <w:rPr>
          <w:rStyle w:val="CharSectno"/>
        </w:rPr>
        <w:t>239</w:t>
      </w:r>
      <w:r>
        <w:t>.</w:t>
      </w:r>
      <w:r>
        <w:tab/>
        <w:t>Specialised vehicles, dutiable value of</w:t>
      </w:r>
      <w:bookmarkEnd w:id="953"/>
      <w:bookmarkEnd w:id="954"/>
    </w:p>
    <w:p>
      <w:pPr>
        <w:pStyle w:val="Subsection"/>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a fine of $20 000.</w:t>
      </w:r>
    </w:p>
    <w:p>
      <w:pPr>
        <w:pStyle w:val="Subsection"/>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spacing w:before="220"/>
        <w:rPr>
          <w:sz w:val="28"/>
        </w:rPr>
      </w:pPr>
      <w:bookmarkStart w:id="955" w:name="_Toc389126559"/>
      <w:bookmarkStart w:id="956" w:name="_Toc392162550"/>
      <w:bookmarkStart w:id="957" w:name="_Toc412735046"/>
      <w:bookmarkStart w:id="958" w:name="_Toc412735469"/>
      <w:bookmarkStart w:id="959" w:name="_Toc412819486"/>
      <w:bookmarkStart w:id="960" w:name="_Toc413830246"/>
      <w:bookmarkStart w:id="961" w:name="_Toc413847355"/>
      <w:r>
        <w:rPr>
          <w:rStyle w:val="CharDivNo"/>
          <w:sz w:val="28"/>
        </w:rPr>
        <w:t>Part 4</w:t>
      </w:r>
      <w:r>
        <w:rPr>
          <w:sz w:val="28"/>
        </w:rPr>
        <w:t> — </w:t>
      </w:r>
      <w:r>
        <w:rPr>
          <w:rStyle w:val="CharDivText"/>
          <w:sz w:val="28"/>
        </w:rPr>
        <w:t>Exemptions and nominal duty</w:t>
      </w:r>
      <w:bookmarkEnd w:id="955"/>
      <w:bookmarkEnd w:id="956"/>
      <w:bookmarkEnd w:id="957"/>
      <w:bookmarkEnd w:id="958"/>
      <w:bookmarkEnd w:id="959"/>
      <w:bookmarkEnd w:id="960"/>
      <w:bookmarkEnd w:id="961"/>
    </w:p>
    <w:p>
      <w:pPr>
        <w:pStyle w:val="Heading4"/>
        <w:spacing w:before="220"/>
        <w:rPr>
          <w:sz w:val="26"/>
        </w:rPr>
      </w:pPr>
      <w:bookmarkStart w:id="962" w:name="_Toc389126560"/>
      <w:bookmarkStart w:id="963" w:name="_Toc392162551"/>
      <w:bookmarkStart w:id="964" w:name="_Toc412735047"/>
      <w:bookmarkStart w:id="965" w:name="_Toc412735470"/>
      <w:bookmarkStart w:id="966" w:name="_Toc412819487"/>
      <w:bookmarkStart w:id="967" w:name="_Toc413830247"/>
      <w:bookmarkStart w:id="968" w:name="_Toc413847356"/>
      <w:r>
        <w:rPr>
          <w:sz w:val="26"/>
        </w:rPr>
        <w:t>Division 1 — Exemptions — general</w:t>
      </w:r>
      <w:bookmarkEnd w:id="962"/>
      <w:bookmarkEnd w:id="963"/>
      <w:bookmarkEnd w:id="964"/>
      <w:bookmarkEnd w:id="965"/>
      <w:bookmarkEnd w:id="966"/>
      <w:bookmarkEnd w:id="967"/>
      <w:bookmarkEnd w:id="968"/>
    </w:p>
    <w:p>
      <w:pPr>
        <w:pStyle w:val="Heading5"/>
        <w:spacing w:before="180"/>
      </w:pPr>
      <w:bookmarkStart w:id="969" w:name="_Toc392162552"/>
      <w:bookmarkStart w:id="970" w:name="_Toc413847357"/>
      <w:r>
        <w:rPr>
          <w:rStyle w:val="CharSectno"/>
        </w:rPr>
        <w:t>240</w:t>
      </w:r>
      <w:r>
        <w:t>.</w:t>
      </w:r>
      <w:r>
        <w:tab/>
        <w:t>If no vehicle licence fee payable under Road Traffic Act</w:t>
      </w:r>
      <w:bookmarkEnd w:id="969"/>
      <w:bookmarkEnd w:id="970"/>
    </w:p>
    <w:p>
      <w:pPr>
        <w:pStyle w:val="Subsection"/>
      </w:pPr>
      <w:r>
        <w:tab/>
        <w:t>(1)</w:t>
      </w:r>
      <w:r>
        <w:tab/>
        <w:t>Duty is not chargeable on the grant of a licence for a vehicle if no fee is payable under the Road Traffic Act section 19(3).</w:t>
      </w:r>
    </w:p>
    <w:p>
      <w:pPr>
        <w:pStyle w:val="Subsection"/>
      </w:pPr>
      <w:r>
        <w:tab/>
        <w:t>(2)</w:t>
      </w:r>
      <w:r>
        <w:tab/>
        <w:t>Duty is not chargeable on the transfer of a licence for a vehicle if no fee would have been payable under the Road Traffic Act section 19(3) for the grant of a licence to the transferee for the vehicle on the day of the transfer.</w:t>
      </w:r>
    </w:p>
    <w:p>
      <w:pPr>
        <w:pStyle w:val="Heading5"/>
        <w:spacing w:before="180"/>
      </w:pPr>
      <w:bookmarkStart w:id="971" w:name="_Toc392162553"/>
      <w:bookmarkStart w:id="972" w:name="_Toc413847358"/>
      <w:r>
        <w:rPr>
          <w:rStyle w:val="CharSectno"/>
        </w:rPr>
        <w:t>241</w:t>
      </w:r>
      <w:r>
        <w:t>.</w:t>
      </w:r>
      <w:r>
        <w:tab/>
        <w:t>If transfer is a reconstruction transaction</w:t>
      </w:r>
      <w:bookmarkEnd w:id="971"/>
      <w:bookmarkEnd w:id="972"/>
    </w:p>
    <w:p>
      <w:pPr>
        <w:pStyle w:val="Subsection"/>
      </w:pPr>
      <w:r>
        <w:tab/>
      </w:r>
      <w:r>
        <w:tab/>
        <w:t>Duty is not chargeable on the transfer of a licence for a vehicle if an exemption certificate issued under section 263(3)(a) in respect of the transfer is given to the Director General.</w:t>
      </w:r>
    </w:p>
    <w:p>
      <w:pPr>
        <w:pStyle w:val="Heading5"/>
        <w:spacing w:before="180"/>
      </w:pPr>
      <w:bookmarkStart w:id="973" w:name="_Toc392162554"/>
      <w:bookmarkStart w:id="974" w:name="_Toc413847359"/>
      <w:r>
        <w:rPr>
          <w:rStyle w:val="CharSectno"/>
        </w:rPr>
        <w:t>242</w:t>
      </w:r>
      <w:r>
        <w:t>.</w:t>
      </w:r>
      <w:r>
        <w:tab/>
        <w:t>If vehicle previously licensed to licence holder</w:t>
      </w:r>
      <w:bookmarkEnd w:id="973"/>
      <w:bookmarkEnd w:id="974"/>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Road Traffic Act; or</w:t>
      </w:r>
    </w:p>
    <w:p>
      <w:pPr>
        <w:pStyle w:val="Indenta"/>
      </w:pPr>
      <w:r>
        <w:tab/>
        <w:t>(b)</w:t>
      </w:r>
      <w:r>
        <w:tab/>
        <w:t>a corresponding State law; or</w:t>
      </w:r>
    </w:p>
    <w:p>
      <w:pPr>
        <w:pStyle w:val="Indenta"/>
      </w:pPr>
      <w:r>
        <w:tab/>
        <w:t>(c)</w:t>
      </w:r>
      <w:r>
        <w:tab/>
        <w:t>a law of a</w:t>
      </w:r>
      <w:r>
        <w:rPr>
          <w:bCs/>
        </w:rPr>
        <w:t xml:space="preserve"> country other than </w:t>
      </w:r>
      <w:smartTag w:uri="urn:schemas-microsoft-com:office:smarttags" w:element="place">
        <w:smartTag w:uri="urn:schemas-microsoft-com:office:smarttags" w:element="country-region">
          <w:r>
            <w:rPr>
              <w:bCs/>
            </w:rPr>
            <w:t>Australia</w:t>
          </w:r>
        </w:smartTag>
      </w:smartTag>
      <w:r>
        <w:t xml:space="preserve"> that corresponds to the Road Traffic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Heading5"/>
      </w:pPr>
      <w:bookmarkStart w:id="975" w:name="_Toc392162555"/>
      <w:bookmarkStart w:id="976" w:name="_Toc413847360"/>
      <w:r>
        <w:rPr>
          <w:rStyle w:val="CharSectno"/>
        </w:rPr>
        <w:t>243</w:t>
      </w:r>
      <w:r>
        <w:t>.</w:t>
      </w:r>
      <w:r>
        <w:tab/>
        <w:t>If licence is for certain heavy vehicle</w:t>
      </w:r>
      <w:bookmarkEnd w:id="975"/>
      <w:bookmarkEnd w:id="976"/>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smartTag w:uri="urn:schemas-microsoft-com:office:smarttags" w:element="Street">
        <w:smartTag w:uri="urn:schemas-microsoft-com:office:smarttags" w:element="address">
          <w:r>
            <w:rPr>
              <w:i/>
            </w:rPr>
            <w:t>Interstate Road</w:t>
          </w:r>
        </w:smartTag>
      </w:smartTag>
      <w:r>
        <w:rPr>
          <w:i/>
        </w:rPr>
        <w:t xml:space="preserve"> Transport Act 1985</w:t>
      </w:r>
      <w:r>
        <w:t xml:space="preserve"> (Commonwealth); and</w:t>
      </w:r>
    </w:p>
    <w:p>
      <w:pPr>
        <w:pStyle w:val="Indenta"/>
        <w:keepLines/>
      </w:pPr>
      <w:r>
        <w:tab/>
        <w:t>(b)</w:t>
      </w:r>
      <w:r>
        <w:tab/>
        <w:t>since 16 January 1997, no licence or registration has been granted under the Road Traffic Act or a corresponding State law for the vehicle in any other person’s name.</w:t>
      </w:r>
    </w:p>
    <w:p>
      <w:pPr>
        <w:pStyle w:val="Heading5"/>
      </w:pPr>
      <w:bookmarkStart w:id="977" w:name="_Toc392162556"/>
      <w:bookmarkStart w:id="978" w:name="_Toc413847361"/>
      <w:r>
        <w:rPr>
          <w:rStyle w:val="CharSectno"/>
        </w:rPr>
        <w:t>244A</w:t>
      </w:r>
      <w:r>
        <w:t>.</w:t>
      </w:r>
      <w:r>
        <w:tab/>
        <w:t>If transfer is between spouses or de facto partners</w:t>
      </w:r>
      <w:bookmarkEnd w:id="977"/>
      <w:bookmarkEnd w:id="978"/>
    </w:p>
    <w:p>
      <w:pPr>
        <w:pStyle w:val="Subsection"/>
      </w:pPr>
      <w:r>
        <w:tab/>
        <w:t>(1)</w:t>
      </w:r>
      <w:r>
        <w:tab/>
        <w:t xml:space="preserve">In this section — </w:t>
      </w:r>
    </w:p>
    <w:p>
      <w:pPr>
        <w:pStyle w:val="Defstart"/>
      </w:pPr>
      <w:r>
        <w:tab/>
      </w:r>
      <w:r>
        <w:rPr>
          <w:rStyle w:val="CharDefText"/>
        </w:rPr>
        <w:t>de facto partners of 2 years</w:t>
      </w:r>
      <w:r>
        <w:t xml:space="preserve"> has the meaning given in section 9.</w:t>
      </w:r>
    </w:p>
    <w:p>
      <w:pPr>
        <w:pStyle w:val="Subsection"/>
      </w:pPr>
      <w:r>
        <w:tab/>
        <w:t>(2)</w:t>
      </w:r>
      <w:r>
        <w:tab/>
        <w:t>Duty is not chargeable on the transfer of a licence for a vehicle if subsections (3), (4), (5) and (6) apply.</w:t>
      </w:r>
    </w:p>
    <w:p>
      <w:pPr>
        <w:pStyle w:val="Subsection"/>
      </w:pPr>
      <w:r>
        <w:tab/>
        <w:t>(3)</w:t>
      </w:r>
      <w:r>
        <w:tab/>
        <w:t>This subsection applies if the person from whom, and the person to whom, the licence is transferred are married to each other or are de facto partners of 2 years.</w:t>
      </w:r>
    </w:p>
    <w:p>
      <w:pPr>
        <w:pStyle w:val="Subsection"/>
      </w:pPr>
      <w:r>
        <w:tab/>
        <w:t>(4)</w:t>
      </w:r>
      <w:r>
        <w:tab/>
        <w:t>This subsection applies if neither the person from whom, nor the person to whom, the licence is transferred holds the vehicle as trustee of a trust.</w:t>
      </w:r>
    </w:p>
    <w:p>
      <w:pPr>
        <w:pStyle w:val="Subsection"/>
      </w:pPr>
      <w:r>
        <w:tab/>
        <w:t>(5)</w:t>
      </w:r>
      <w:r>
        <w:tab/>
        <w:t>This subsection applies if the fee that would have been payable under the Road Traffic Act for the grant of a licence to the transferee for the vehicle on the day of the transfer would have been reduced under section 19(3) of that Act for the reason, or for reasons that include the reason, that the vehicle is used exclusively for social, domestic or pleasure purposes and not for the carriage of passengers or goods, for hire or reward or in any business, trade or profession.</w:t>
      </w:r>
    </w:p>
    <w:p>
      <w:pPr>
        <w:pStyle w:val="Subsection"/>
      </w:pPr>
      <w:r>
        <w:tab/>
        <w:t>(6)</w:t>
      </w:r>
      <w:r>
        <w:tab/>
        <w:t>This subsection applies if the application for the transfer of the licence is accompanied by, or includes, a declaration in the approved form to the effect that the circumstances described in subsections (3), (4) and (5) apply.</w:t>
      </w:r>
    </w:p>
    <w:p>
      <w:pPr>
        <w:pStyle w:val="Footnotesection"/>
      </w:pPr>
      <w:r>
        <w:tab/>
        <w:t>[Section 244A inserted by No. 27 of 2011 s. 4.]</w:t>
      </w:r>
    </w:p>
    <w:p>
      <w:pPr>
        <w:pStyle w:val="Heading5"/>
      </w:pPr>
      <w:bookmarkStart w:id="979" w:name="_Toc392162557"/>
      <w:bookmarkStart w:id="980" w:name="_Toc413847362"/>
      <w:r>
        <w:rPr>
          <w:rStyle w:val="CharSectno"/>
        </w:rPr>
        <w:t>244</w:t>
      </w:r>
      <w:r>
        <w:t>.</w:t>
      </w:r>
      <w:r>
        <w:tab/>
        <w:t>If licence is for prescribed class of person or vehicle etc.</w:t>
      </w:r>
      <w:bookmarkEnd w:id="979"/>
      <w:bookmarkEnd w:id="980"/>
    </w:p>
    <w:p>
      <w:pPr>
        <w:pStyle w:val="Subsection"/>
        <w:keepNext/>
        <w:keepLines/>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981" w:name="_Toc389126567"/>
      <w:bookmarkStart w:id="982" w:name="_Toc392162558"/>
      <w:bookmarkStart w:id="983" w:name="_Toc412735054"/>
      <w:bookmarkStart w:id="984" w:name="_Toc412735477"/>
      <w:bookmarkStart w:id="985" w:name="_Toc412819494"/>
      <w:bookmarkStart w:id="986" w:name="_Toc413830254"/>
      <w:bookmarkStart w:id="987" w:name="_Toc413847363"/>
      <w:r>
        <w:rPr>
          <w:sz w:val="26"/>
        </w:rPr>
        <w:t>Division 2 — Exemptions — motor vehicle dealers</w:t>
      </w:r>
      <w:bookmarkEnd w:id="981"/>
      <w:bookmarkEnd w:id="982"/>
      <w:bookmarkEnd w:id="983"/>
      <w:bookmarkEnd w:id="984"/>
      <w:bookmarkEnd w:id="985"/>
      <w:bookmarkEnd w:id="986"/>
      <w:bookmarkEnd w:id="987"/>
    </w:p>
    <w:p>
      <w:pPr>
        <w:pStyle w:val="Heading5"/>
      </w:pPr>
      <w:bookmarkStart w:id="988" w:name="_Toc392162559"/>
      <w:bookmarkStart w:id="989" w:name="_Toc413847364"/>
      <w:r>
        <w:rPr>
          <w:rStyle w:val="CharSectno"/>
        </w:rPr>
        <w:t>245</w:t>
      </w:r>
      <w:r>
        <w:t>.</w:t>
      </w:r>
      <w:r>
        <w:tab/>
        <w:t>Use of vehicle includes for minor incidental purposes</w:t>
      </w:r>
      <w:bookmarkEnd w:id="988"/>
      <w:bookmarkEnd w:id="989"/>
    </w:p>
    <w:p>
      <w:pPr>
        <w:pStyle w:val="Subsection"/>
      </w:pPr>
      <w:r>
        <w:tab/>
      </w:r>
      <w:r>
        <w:tab/>
        <w:t>A reference in this Division to the use of a vehicle for a purpose referred to in section 246(1) or (2) or 247(1) includes a reference to its use for that purpose and for minor incidental purposes.</w:t>
      </w:r>
    </w:p>
    <w:p>
      <w:pPr>
        <w:pStyle w:val="Heading5"/>
      </w:pPr>
      <w:bookmarkStart w:id="990" w:name="_Toc392162560"/>
      <w:bookmarkStart w:id="991" w:name="_Toc413847365"/>
      <w:r>
        <w:rPr>
          <w:rStyle w:val="CharSectno"/>
        </w:rPr>
        <w:t>246</w:t>
      </w:r>
      <w:r>
        <w:t>.</w:t>
      </w:r>
      <w:r>
        <w:tab/>
        <w:t>If licence is for vehicle in dealer’s trading stock</w:t>
      </w:r>
      <w:bookmarkEnd w:id="990"/>
      <w:bookmarkEnd w:id="991"/>
    </w:p>
    <w:p>
      <w:pPr>
        <w:pStyle w:val="Subsection"/>
      </w:pPr>
      <w:r>
        <w:tab/>
        <w:t>(1)</w:t>
      </w:r>
      <w:r>
        <w:tab/>
        <w:t xml:space="preserve">Duty is not chargeable on the grant of a licence for a vehicle to a dealer if — </w:t>
      </w:r>
    </w:p>
    <w:p>
      <w:pPr>
        <w:pStyle w:val="Indenta"/>
        <w:spacing w:before="60"/>
      </w:pPr>
      <w:r>
        <w:tab/>
        <w:t>(a)</w:t>
      </w:r>
      <w:r>
        <w:tab/>
        <w:t xml:space="preserve">the dealer acquired the vehicle solely for the purpose of — </w:t>
      </w:r>
    </w:p>
    <w:p>
      <w:pPr>
        <w:pStyle w:val="Indenti"/>
        <w:spacing w:before="60"/>
      </w:pPr>
      <w:r>
        <w:tab/>
        <w:t>(i)</w:t>
      </w:r>
      <w:r>
        <w:tab/>
        <w:t>selling it to another person in the ordinary course of the dealer’s business; or</w:t>
      </w:r>
    </w:p>
    <w:p>
      <w:pPr>
        <w:pStyle w:val="Indenti"/>
        <w:spacing w:before="60"/>
      </w:pPr>
      <w:r>
        <w:tab/>
        <w:t>(ii)</w:t>
      </w:r>
      <w:r>
        <w:tab/>
        <w:t>demonstrating it to prospective purchasers;</w:t>
      </w:r>
    </w:p>
    <w:p>
      <w:pPr>
        <w:pStyle w:val="Indenta"/>
        <w:spacing w:before="60"/>
      </w:pPr>
      <w:r>
        <w:tab/>
      </w:r>
      <w:r>
        <w:tab/>
        <w:t>and</w:t>
      </w:r>
    </w:p>
    <w:p>
      <w:pPr>
        <w:pStyle w:val="Indenta"/>
        <w:keepNext/>
        <w:spacing w:before="60"/>
      </w:pPr>
      <w:r>
        <w:tab/>
        <w:t>(b)</w:t>
      </w:r>
      <w:r>
        <w:tab/>
        <w:t xml:space="preserve">the application for the grant of the licence is accompanied by, or includes, a declaration in the approved form to the effect that — </w:t>
      </w:r>
    </w:p>
    <w:p>
      <w:pPr>
        <w:pStyle w:val="Indenti"/>
        <w:spacing w:before="60"/>
      </w:pPr>
      <w:r>
        <w:tab/>
        <w:t>(i)</w:t>
      </w:r>
      <w:r>
        <w:tab/>
        <w:t>while the dealer holds the licence the vehicle will not be used for any purpose other than a purpose referred to in paragraph (a) or section 247(1)(a); and</w:t>
      </w:r>
    </w:p>
    <w:p>
      <w:pPr>
        <w:pStyle w:val="Indenti"/>
        <w:spacing w:before="60"/>
      </w:pPr>
      <w:r>
        <w:tab/>
        <w:t>(ii)</w:t>
      </w:r>
      <w:r>
        <w:tab/>
        <w:t>the dealer understands the effect of sections 248 and 249.</w:t>
      </w:r>
    </w:p>
    <w:p>
      <w:pPr>
        <w:pStyle w:val="Subsection"/>
        <w:keepNext/>
      </w:pPr>
      <w:r>
        <w:tab/>
        <w:t>(2)</w:t>
      </w:r>
      <w:r>
        <w:tab/>
        <w:t xml:space="preserve">Duty is not chargeable on the transfer of a licence for a vehicle to a dealer, if — </w:t>
      </w:r>
    </w:p>
    <w:p>
      <w:pPr>
        <w:pStyle w:val="Indenta"/>
        <w:spacing w:before="60"/>
      </w:pPr>
      <w:r>
        <w:tab/>
        <w:t>(a)</w:t>
      </w:r>
      <w:r>
        <w:tab/>
        <w:t>the dealer has acquired the vehicle solely for the purpose of reselling it to another person in the ordinary course of the dealer’s business; and</w:t>
      </w:r>
    </w:p>
    <w:p>
      <w:pPr>
        <w:pStyle w:val="Indenta"/>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Heading5"/>
      </w:pPr>
      <w:bookmarkStart w:id="992" w:name="_Toc392162561"/>
      <w:bookmarkStart w:id="993" w:name="_Toc413847366"/>
      <w:r>
        <w:rPr>
          <w:rStyle w:val="CharSectno"/>
        </w:rPr>
        <w:t>247</w:t>
      </w:r>
      <w:r>
        <w:t>.</w:t>
      </w:r>
      <w:r>
        <w:tab/>
        <w:t>If licence is for vehicle used for charitable etc. purposes</w:t>
      </w:r>
      <w:bookmarkEnd w:id="992"/>
      <w:bookmarkEnd w:id="993"/>
    </w:p>
    <w:p>
      <w:pPr>
        <w:pStyle w:val="Subsection"/>
      </w:pPr>
      <w:r>
        <w:tab/>
        <w:t>(1)</w:t>
      </w:r>
      <w:r>
        <w:tab/>
        <w:t xml:space="preserve">Duty is not chargeable on the grant or transfer of a licence for a vehicle to a dealer if — </w:t>
      </w:r>
    </w:p>
    <w:p>
      <w:pPr>
        <w:pStyle w:val="Indenta"/>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pPr>
      <w:r>
        <w:tab/>
        <w:t>(v)</w:t>
      </w:r>
      <w:r>
        <w:tab/>
        <w:t>solely for a prescribed purpose;</w:t>
      </w:r>
    </w:p>
    <w:p>
      <w:pPr>
        <w:pStyle w:val="Indenta"/>
      </w:pPr>
      <w:r>
        <w:tab/>
      </w:r>
      <w:r>
        <w:tab/>
        <w:t>and</w:t>
      </w:r>
    </w:p>
    <w:p>
      <w:pPr>
        <w:pStyle w:val="Indenta"/>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 or (2); and</w:t>
      </w:r>
    </w:p>
    <w:p>
      <w:pPr>
        <w:pStyle w:val="Indenti"/>
      </w:pPr>
      <w:r>
        <w:tab/>
        <w:t>(ii)</w:t>
      </w:r>
      <w:r>
        <w:tab/>
        <w:t>the dealer understands the effect of sections 248 and 249.</w:t>
      </w:r>
    </w:p>
    <w:p>
      <w:pPr>
        <w:pStyle w:val="Subsection"/>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pPr>
      <w:r>
        <w:tab/>
        <w:t>(3)</w:t>
      </w:r>
      <w:r>
        <w:tab/>
        <w:t>Subject to the Taxation Administration Act section 17, the Commissioner must make any reassessment necessary to give effect to subsection (2).</w:t>
      </w:r>
    </w:p>
    <w:p>
      <w:pPr>
        <w:pStyle w:val="Heading5"/>
      </w:pPr>
      <w:bookmarkStart w:id="994" w:name="_Toc392162562"/>
      <w:bookmarkStart w:id="995" w:name="_Toc413847367"/>
      <w:r>
        <w:rPr>
          <w:rStyle w:val="CharSectno"/>
        </w:rPr>
        <w:t>248</w:t>
      </w:r>
      <w:r>
        <w:t>.</w:t>
      </w:r>
      <w:r>
        <w:tab/>
        <w:t>Change of permitted use of exempt vehicle, Commissioner to be notified</w:t>
      </w:r>
      <w:bookmarkEnd w:id="994"/>
      <w:bookmarkEnd w:id="995"/>
    </w:p>
    <w:p>
      <w:pPr>
        <w:pStyle w:val="Subsection"/>
      </w:pPr>
      <w:r>
        <w:tab/>
      </w:r>
      <w:r>
        <w:tab/>
        <w:t>If, under section 246(1) or (2) or 247(1), no duty was chargeable on the grant or transfer of a licence for a vehicle to a dealer and the dealer uses, or allows another person to use, the vehicle for a different purpose referred to in section 246(1) or (2) or 247(1), the dealer must notify the Commissioner, in the approved form, of the change in use within one month after the day on which the use of the vehicle changed.</w:t>
      </w:r>
    </w:p>
    <w:p>
      <w:pPr>
        <w:pStyle w:val="Penstart"/>
      </w:pPr>
      <w:r>
        <w:tab/>
        <w:t>Penalty: a fine of $5 000.</w:t>
      </w:r>
    </w:p>
    <w:p>
      <w:pPr>
        <w:pStyle w:val="Heading5"/>
      </w:pPr>
      <w:bookmarkStart w:id="996" w:name="_Toc392162563"/>
      <w:bookmarkStart w:id="997" w:name="_Toc413847368"/>
      <w:r>
        <w:rPr>
          <w:rStyle w:val="CharSectno"/>
        </w:rPr>
        <w:t>249</w:t>
      </w:r>
      <w:r>
        <w:t>.</w:t>
      </w:r>
      <w:r>
        <w:tab/>
        <w:t>Change of use of exempt vehicle to non</w:t>
      </w:r>
      <w:r>
        <w:noBreakHyphen/>
        <w:t>permitted use, consequences of</w:t>
      </w:r>
      <w:bookmarkEnd w:id="996"/>
      <w:bookmarkEnd w:id="997"/>
    </w:p>
    <w:p>
      <w:pPr>
        <w:pStyle w:val="Subsection"/>
      </w:pPr>
      <w:r>
        <w:tab/>
        <w:t>(1)</w:t>
      </w:r>
      <w:r>
        <w:tab/>
        <w:t>If, under section 246(1) or (2)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 or (2) or 247(1) unless the person notifies the Commissioner, in the approved form, of the change in use within one month after the day on which the use of the vehicle changed.</w:t>
      </w:r>
    </w:p>
    <w:p>
      <w:pPr>
        <w:pStyle w:val="Penstart"/>
      </w:pPr>
      <w:r>
        <w:tab/>
        <w:t>Penalty: a fine of $20 000.</w:t>
      </w:r>
    </w:p>
    <w:p>
      <w:pPr>
        <w:pStyle w:val="Subsection"/>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rPr>
          <w:snapToGrid w:val="0"/>
        </w:rPr>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Heading4"/>
        <w:rPr>
          <w:sz w:val="26"/>
        </w:rPr>
      </w:pPr>
      <w:bookmarkStart w:id="998" w:name="_Toc389126573"/>
      <w:bookmarkStart w:id="999" w:name="_Toc392162564"/>
      <w:bookmarkStart w:id="1000" w:name="_Toc412735060"/>
      <w:bookmarkStart w:id="1001" w:name="_Toc412735483"/>
      <w:bookmarkStart w:id="1002" w:name="_Toc412819500"/>
      <w:bookmarkStart w:id="1003" w:name="_Toc413830260"/>
      <w:bookmarkStart w:id="1004" w:name="_Toc413847369"/>
      <w:r>
        <w:rPr>
          <w:sz w:val="26"/>
        </w:rPr>
        <w:t>Division 3 — Nominal duty</w:t>
      </w:r>
      <w:bookmarkEnd w:id="998"/>
      <w:bookmarkEnd w:id="999"/>
      <w:bookmarkEnd w:id="1000"/>
      <w:bookmarkEnd w:id="1001"/>
      <w:bookmarkEnd w:id="1002"/>
      <w:bookmarkEnd w:id="1003"/>
      <w:bookmarkEnd w:id="1004"/>
    </w:p>
    <w:p>
      <w:pPr>
        <w:pStyle w:val="Heading5"/>
      </w:pPr>
      <w:bookmarkStart w:id="1005" w:name="_Toc392162565"/>
      <w:bookmarkStart w:id="1006" w:name="_Toc413847370"/>
      <w:r>
        <w:rPr>
          <w:rStyle w:val="CharSectno"/>
        </w:rPr>
        <w:t>250</w:t>
      </w:r>
      <w:r>
        <w:t>.</w:t>
      </w:r>
      <w:r>
        <w:tab/>
        <w:t>Transactions chargeable with nominal duty</w:t>
      </w:r>
      <w:bookmarkEnd w:id="1005"/>
      <w:bookmarkEnd w:id="1006"/>
    </w:p>
    <w:p>
      <w:pPr>
        <w:pStyle w:val="Subsection"/>
      </w:pPr>
      <w:r>
        <w:tab/>
        <w:t>(1)</w:t>
      </w:r>
      <w:r>
        <w:tab/>
        <w:t>This section applies to the transfer of a licence for a vehicle that is the result of a transfer of the vehicle within the meaning of Chapter 2.</w:t>
      </w:r>
    </w:p>
    <w:p>
      <w:pPr>
        <w:pStyle w:val="Subsection"/>
        <w:keepNext/>
      </w:pPr>
      <w:r>
        <w:tab/>
        <w:t>(2)</w:t>
      </w:r>
      <w:r>
        <w:tab/>
        <w:t xml:space="preserve">If, on application, the Commissioner is satisfied that — </w:t>
      </w:r>
    </w:p>
    <w:p>
      <w:pPr>
        <w:pStyle w:val="Indenta"/>
      </w:pPr>
      <w:r>
        <w:tab/>
        <w:t>(a)</w:t>
      </w:r>
      <w:r>
        <w:tab/>
        <w:t>if the transfer of the vehicle were to be treated as a dutiable transaction — section 29, 114, 115, 116, 117 or 119 would apply to the transfer; and</w:t>
      </w:r>
    </w:p>
    <w:p>
      <w:pPr>
        <w:pStyle w:val="Indenta"/>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(3A)</w:t>
      </w:r>
      <w:r>
        <w:tab/>
        <w:t>For the purposes of subsection (2), section 116 has effect as if the requirement in section 116(2)(a) that the declaration of trust be duty endorsed or an exempt transaction were instead a requirement that duty under this Chapter was paid on the transfer of the licence for the vehicle to the trustee or was not chargeable on that transfer.</w:t>
      </w:r>
    </w:p>
    <w:p>
      <w:pPr>
        <w:pStyle w:val="Subsection"/>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tab/>
        <w:t>(6)</w:t>
      </w:r>
      <w:r>
        <w:tab/>
        <w:t xml:space="preserve">If — </w:t>
      </w:r>
    </w:p>
    <w:p>
      <w:pPr>
        <w:pStyle w:val="Indenta"/>
      </w:pPr>
      <w:r>
        <w:tab/>
        <w:t>(a)</w:t>
      </w:r>
      <w:r>
        <w:tab/>
        <w:t>the transfer of the licence was chargeable with duty other than nominal duty; and</w:t>
      </w:r>
    </w:p>
    <w:p>
      <w:pPr>
        <w:pStyle w:val="Indenta"/>
      </w:pPr>
      <w:r>
        <w:tab/>
        <w:t>(b)</w:t>
      </w:r>
      <w:r>
        <w:tab/>
        <w:t xml:space="preserve">the transfer of the vehicle was effected by or is in accordance with — </w:t>
      </w:r>
    </w:p>
    <w:p>
      <w:pPr>
        <w:pStyle w:val="Indenti"/>
      </w:pPr>
      <w:r>
        <w:tab/>
        <w:t>(i)</w:t>
      </w:r>
      <w:r>
        <w:tab/>
        <w:t>a matrimonial instrument or de facto relationship instrument that came into existence; or</w:t>
      </w:r>
    </w:p>
    <w:p>
      <w:pPr>
        <w:pStyle w:val="Indenti"/>
      </w:pPr>
      <w:r>
        <w:tab/>
        <w:t>(ii)</w:t>
      </w:r>
      <w:r>
        <w:tab/>
        <w:t>an instrument that became a matrimonial instrument or de facto relationship instrument,</w:t>
      </w:r>
    </w:p>
    <w:p>
      <w:pPr>
        <w:pStyle w:val="Indenta"/>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pPr>
      <w:r>
        <w:tab/>
        <w:t>(b)</w:t>
      </w:r>
      <w:r>
        <w:tab/>
        <w:t>the day on which the instrument became a matrimonial instrument or de facto relationship instrument,</w:t>
      </w:r>
    </w:p>
    <w:p>
      <w:pPr>
        <w:pStyle w:val="Subsection"/>
      </w:pPr>
      <w:r>
        <w:tab/>
      </w:r>
      <w:r>
        <w:tab/>
        <w:t>as the case may be.</w:t>
      </w:r>
    </w:p>
    <w:p>
      <w:pPr>
        <w:pStyle w:val="Subsection"/>
      </w:pPr>
      <w:r>
        <w:tab/>
        <w:t>(8)</w:t>
      </w:r>
      <w:r>
        <w:tab/>
        <w:t>If this section uses a term that is used in Chapter 2, the term has the same meaning in this section as it has in Chapter 2 unless the contrary intention appears in this section.</w:t>
      </w:r>
    </w:p>
    <w:p>
      <w:pPr>
        <w:pStyle w:val="Footnotesection"/>
      </w:pPr>
      <w:r>
        <w:tab/>
        <w:t>[Section 250 amended by No. 32 of 2012 s. 24.]</w:t>
      </w:r>
    </w:p>
    <w:p>
      <w:pPr>
        <w:pStyle w:val="Heading3"/>
        <w:keepLines/>
        <w:rPr>
          <w:sz w:val="28"/>
        </w:rPr>
      </w:pPr>
      <w:bookmarkStart w:id="1007" w:name="_Toc389126575"/>
      <w:bookmarkStart w:id="1008" w:name="_Toc392162566"/>
      <w:bookmarkStart w:id="1009" w:name="_Toc412735062"/>
      <w:bookmarkStart w:id="1010" w:name="_Toc412735485"/>
      <w:bookmarkStart w:id="1011" w:name="_Toc412819502"/>
      <w:bookmarkStart w:id="1012" w:name="_Toc413830262"/>
      <w:bookmarkStart w:id="1013" w:name="_Toc413847371"/>
      <w:r>
        <w:rPr>
          <w:rStyle w:val="CharDivNo"/>
          <w:sz w:val="28"/>
        </w:rPr>
        <w:t>Part 5</w:t>
      </w:r>
      <w:r>
        <w:rPr>
          <w:sz w:val="28"/>
        </w:rPr>
        <w:t> — </w:t>
      </w:r>
      <w:r>
        <w:rPr>
          <w:rStyle w:val="CharDivText"/>
          <w:sz w:val="28"/>
        </w:rPr>
        <w:t>General provisions as to vehicle licence duty</w:t>
      </w:r>
      <w:bookmarkEnd w:id="1007"/>
      <w:bookmarkEnd w:id="1008"/>
      <w:bookmarkEnd w:id="1009"/>
      <w:bookmarkEnd w:id="1010"/>
      <w:bookmarkEnd w:id="1011"/>
      <w:bookmarkEnd w:id="1012"/>
      <w:bookmarkEnd w:id="1013"/>
    </w:p>
    <w:p>
      <w:pPr>
        <w:pStyle w:val="Heading5"/>
      </w:pPr>
      <w:bookmarkStart w:id="1014" w:name="_Toc392162567"/>
      <w:bookmarkStart w:id="1015" w:name="_Toc413847372"/>
      <w:r>
        <w:rPr>
          <w:rStyle w:val="CharSectno"/>
        </w:rPr>
        <w:t>251</w:t>
      </w:r>
      <w:r>
        <w:t>.</w:t>
      </w:r>
      <w:r>
        <w:tab/>
        <w:t>Failure to apply for transfer of licence</w:t>
      </w:r>
      <w:bookmarkEnd w:id="1014"/>
      <w:bookmarkEnd w:id="1015"/>
    </w:p>
    <w:p>
      <w:pPr>
        <w:pStyle w:val="Subsection"/>
        <w:keepLines/>
      </w:pPr>
      <w:r>
        <w:tab/>
        <w:t>(1)</w:t>
      </w:r>
      <w:r>
        <w:tab/>
        <w:t xml:space="preserve">If a person fails to apply for the transfer of a licence for a vehicle when required to do so by the Road Traffic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pPr>
      <w:r>
        <w:tab/>
        <w:t>(2)</w:t>
      </w:r>
      <w:r>
        <w:tab/>
        <w:t>In choosing a day under subsection (1)(a), the Commissioner is to choose a day on which, in the ordinary course of events, the transfer would have been likely to have occurred if the person had complied with the person’s obligations under the Road Traffic Act and this Act.</w:t>
      </w:r>
    </w:p>
    <w:p>
      <w:pPr>
        <w:pStyle w:val="Heading5"/>
      </w:pPr>
      <w:bookmarkStart w:id="1016" w:name="_Toc392162568"/>
      <w:bookmarkStart w:id="1017" w:name="_Toc413847373"/>
      <w:r>
        <w:rPr>
          <w:rStyle w:val="CharSectno"/>
        </w:rPr>
        <w:t>252</w:t>
      </w:r>
      <w:r>
        <w:t>.</w:t>
      </w:r>
      <w:r>
        <w:tab/>
        <w:t>Seller to state dutiable value of vehicle etc.</w:t>
      </w:r>
      <w:bookmarkEnd w:id="1016"/>
      <w:bookmarkEnd w:id="1017"/>
    </w:p>
    <w:p>
      <w:pPr>
        <w:pStyle w:val="Subsection"/>
      </w:pPr>
      <w:r>
        <w:tab/>
        <w:t>(1)</w:t>
      </w:r>
      <w:r>
        <w:tab/>
        <w:t>A person that ceases to be the owner of a vehicle and is required under the Road Traffic Act to notify the Director General of the new owner must include in that notice a statement signed by the person setting out —</w:t>
      </w:r>
    </w:p>
    <w:p>
      <w:pPr>
        <w:pStyle w:val="Indenta"/>
      </w:pPr>
      <w:r>
        <w:tab/>
        <w:t>(a)</w:t>
      </w:r>
      <w:r>
        <w:tab/>
        <w:t>the purchase price (if any) of the vehicle; and</w:t>
      </w:r>
    </w:p>
    <w:p>
      <w:pPr>
        <w:pStyle w:val="Indenta"/>
      </w:pPr>
      <w:r>
        <w:tab/>
        <w:t>(b)</w:t>
      </w:r>
      <w:r>
        <w:tab/>
        <w:t>the person’s estimate of the dutiable value of the vehicle at the time the person ceased to be the owner of it.</w:t>
      </w:r>
    </w:p>
    <w:p>
      <w:pPr>
        <w:pStyle w:val="Penstart"/>
      </w:pPr>
      <w:r>
        <w:tab/>
        <w:t>Penalty: a fine of $20 000.</w:t>
      </w:r>
    </w:p>
    <w:p>
      <w:pPr>
        <w:pStyle w:val="Subsection"/>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pPr>
      <w:r>
        <w:tab/>
        <w:t>(3)</w:t>
      </w:r>
      <w:r>
        <w:tab/>
        <w:t>A dealer that sells a new vehicle must, within 7 days after the day of the sale, give to the Director General a statement signed by the dealer setting out —</w:t>
      </w:r>
    </w:p>
    <w:p>
      <w:pPr>
        <w:pStyle w:val="Indenta"/>
      </w:pPr>
      <w:r>
        <w:tab/>
        <w:t>(a)</w:t>
      </w:r>
      <w:r>
        <w:tab/>
        <w:t>the purchase price of the vehicle; and</w:t>
      </w:r>
    </w:p>
    <w:p>
      <w:pPr>
        <w:pStyle w:val="Indenta"/>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pPr>
      <w:r>
        <w:tab/>
        <w:t>(b)</w:t>
      </w:r>
      <w:r>
        <w:tab/>
        <w:t>duty payable on the grant or transfer of the licence for that vehicle is initially assessed on a value of the vehicle that is less than the proper dutiable value,</w:t>
      </w:r>
    </w:p>
    <w:p>
      <w:pPr>
        <w:pStyle w:val="Subsection"/>
      </w:pPr>
      <w:r>
        <w:tab/>
      </w:r>
      <w:r>
        <w:tab/>
        <w:t>the person is jointly and severally liable with the purchaser to pay the difference between the amount of duty as initially assessed and the amount of duty assessed on the vehicle’s proper dutiable value.</w:t>
      </w:r>
    </w:p>
    <w:p>
      <w:pPr>
        <w:pStyle w:val="Heading5"/>
      </w:pPr>
      <w:bookmarkStart w:id="1018" w:name="_Toc392162569"/>
      <w:bookmarkStart w:id="1019" w:name="_Toc413847374"/>
      <w:r>
        <w:rPr>
          <w:rStyle w:val="CharSectno"/>
        </w:rPr>
        <w:t>253</w:t>
      </w:r>
      <w:r>
        <w:t>.</w:t>
      </w:r>
      <w:r>
        <w:tab/>
        <w:t>Functions of Director General and Commissioner</w:t>
      </w:r>
      <w:bookmarkEnd w:id="1018"/>
      <w:bookmarkEnd w:id="1019"/>
    </w:p>
    <w:p>
      <w:pPr>
        <w:pStyle w:val="Subsection"/>
      </w:pPr>
      <w:r>
        <w:tab/>
        <w:t>(1)</w:t>
      </w:r>
      <w:r>
        <w:tab/>
        <w:t>For the purposes of this Chapter the Director General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Director General in the exercise of a function conferred by subsection (1) is taken to have been done by the Commissioner.</w:t>
      </w:r>
    </w:p>
    <w:p>
      <w:pPr>
        <w:pStyle w:val="Subsection"/>
      </w:pPr>
      <w:r>
        <w:tab/>
        <w:t>(3)</w:t>
      </w:r>
      <w:r>
        <w:tab/>
        <w:t>The Commissioner has all of the functions of the Director General under this Chapter, which is modified to the extent necessary to give effect to this subsection.</w:t>
      </w:r>
    </w:p>
    <w:p>
      <w:pPr>
        <w:pStyle w:val="Heading5"/>
      </w:pPr>
      <w:bookmarkStart w:id="1020" w:name="_Toc392162570"/>
      <w:bookmarkStart w:id="1021" w:name="_Toc413847375"/>
      <w:r>
        <w:rPr>
          <w:rStyle w:val="CharSectno"/>
        </w:rPr>
        <w:t>254</w:t>
      </w:r>
      <w:r>
        <w:t>.</w:t>
      </w:r>
      <w:r>
        <w:tab/>
        <w:t>Form of certain declarations</w:t>
      </w:r>
      <w:bookmarkEnd w:id="1020"/>
      <w:bookmarkEnd w:id="1021"/>
    </w:p>
    <w:p>
      <w:pPr>
        <w:pStyle w:val="Subsection"/>
      </w:pPr>
      <w:r>
        <w:tab/>
      </w:r>
      <w:r>
        <w:tab/>
        <w:t>A declaration for the purposes of section 239(1)(e), 246(1)(b) or (2)(b) or 247(1)(b) must be signed by the person making the application for the grant or transfer of the licence.</w:t>
      </w:r>
    </w:p>
    <w:p>
      <w:pPr>
        <w:pStyle w:val="Heading5"/>
      </w:pPr>
      <w:bookmarkStart w:id="1022" w:name="_Toc392162571"/>
      <w:bookmarkStart w:id="1023" w:name="_Toc413847376"/>
      <w:r>
        <w:rPr>
          <w:rStyle w:val="CharSectno"/>
        </w:rPr>
        <w:t>255</w:t>
      </w:r>
      <w:r>
        <w:t>.</w:t>
      </w:r>
      <w:r>
        <w:tab/>
        <w:t>Director General’s duties</w:t>
      </w:r>
      <w:bookmarkEnd w:id="1022"/>
      <w:bookmarkEnd w:id="1023"/>
    </w:p>
    <w:p>
      <w:pPr>
        <w:pStyle w:val="Subsection"/>
        <w:keepNext/>
        <w:keepLines/>
      </w:pPr>
      <w:r>
        <w:tab/>
      </w:r>
      <w:r>
        <w:tab/>
        <w:t xml:space="preserve">The Director General must, in accordance with any agreement between the Director General and the Commissioner — </w:t>
      </w:r>
    </w:p>
    <w:p>
      <w:pPr>
        <w:pStyle w:val="Indenta"/>
      </w:pPr>
      <w:r>
        <w:tab/>
        <w:t>(a)</w:t>
      </w:r>
      <w:r>
        <w:tab/>
        <w:t>give to the Commissioner details of licences granted or transferred and the duty and any penalty tax paid in respect of them; and</w:t>
      </w:r>
    </w:p>
    <w:p>
      <w:pPr>
        <w:pStyle w:val="Indenta"/>
      </w:pPr>
      <w:r>
        <w:tab/>
        <w:t>(b)</w:t>
      </w:r>
      <w:r>
        <w:tab/>
        <w:t>credit that duty and penalty tax to the Commissioner.</w:t>
      </w:r>
    </w:p>
    <w:p>
      <w:pPr>
        <w:pStyle w:val="Heading5"/>
      </w:pPr>
      <w:bookmarkStart w:id="1024" w:name="_Toc392162572"/>
      <w:bookmarkStart w:id="1025" w:name="_Toc413847377"/>
      <w:r>
        <w:rPr>
          <w:rStyle w:val="CharSectno"/>
        </w:rPr>
        <w:t>256</w:t>
      </w:r>
      <w:r>
        <w:t>.</w:t>
      </w:r>
      <w:r>
        <w:tab/>
        <w:t>Records to be kept by dealers</w:t>
      </w:r>
      <w:bookmarkEnd w:id="1024"/>
      <w:bookmarkEnd w:id="1025"/>
    </w:p>
    <w:p>
      <w:pPr>
        <w:pStyle w:val="Subsection"/>
      </w:pPr>
      <w:r>
        <w:tab/>
      </w:r>
      <w:r>
        <w:tab/>
        <w:t xml:space="preserve">A dealer must keep — </w:t>
      </w:r>
    </w:p>
    <w:p>
      <w:pPr>
        <w:pStyle w:val="Indenta"/>
      </w:pPr>
      <w:r>
        <w:tab/>
        <w:t>(a)</w:t>
      </w:r>
      <w:r>
        <w:tab/>
        <w:t>the records that are prescribed for the purposes of this Chapter (if any); and</w:t>
      </w:r>
    </w:p>
    <w:p>
      <w:pPr>
        <w:pStyle w:val="Indenta"/>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1026" w:name="_Toc389126582"/>
      <w:bookmarkStart w:id="1027" w:name="_Toc392162573"/>
      <w:bookmarkStart w:id="1028" w:name="_Toc412735069"/>
      <w:bookmarkStart w:id="1029" w:name="_Toc412735492"/>
      <w:bookmarkStart w:id="1030" w:name="_Toc412819509"/>
      <w:bookmarkStart w:id="1031" w:name="_Toc413830269"/>
      <w:bookmarkStart w:id="1032" w:name="_Toc413847378"/>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1026"/>
      <w:bookmarkEnd w:id="1027"/>
      <w:bookmarkEnd w:id="1028"/>
      <w:bookmarkEnd w:id="1029"/>
      <w:bookmarkEnd w:id="1030"/>
      <w:bookmarkEnd w:id="1031"/>
      <w:bookmarkEnd w:id="1032"/>
    </w:p>
    <w:p>
      <w:pPr>
        <w:pStyle w:val="Heading5"/>
      </w:pPr>
      <w:bookmarkStart w:id="1033" w:name="_Toc392162574"/>
      <w:bookmarkStart w:id="1034" w:name="_Toc413847379"/>
      <w:r>
        <w:rPr>
          <w:rStyle w:val="CharSectno"/>
        </w:rPr>
        <w:t>257</w:t>
      </w:r>
      <w:r>
        <w:t>.</w:t>
      </w:r>
      <w:r>
        <w:tab/>
        <w:t>Terms used</w:t>
      </w:r>
      <w:bookmarkEnd w:id="1033"/>
      <w:bookmarkEnd w:id="1034"/>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rPr>
          <w:b/>
        </w:rPr>
        <w:tab/>
      </w:r>
      <w:r>
        <w:rPr>
          <w:rStyle w:val="CharDefText"/>
        </w:rPr>
        <w:t>parent entity</w:t>
      </w:r>
      <w:r>
        <w:t xml:space="preserve"> has the meaning given in subsection (2);</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rPr>
          <w:b/>
        </w:rPr>
        <w:tab/>
      </w:r>
      <w:r>
        <w:rPr>
          <w:rStyle w:val="CharDefText"/>
        </w:rPr>
        <w:t>security</w:t>
      </w:r>
      <w:r>
        <w:t>, of an entity, means —</w:t>
      </w:r>
    </w:p>
    <w:p>
      <w:pPr>
        <w:pStyle w:val="Defpara"/>
      </w:pPr>
      <w:r>
        <w:tab/>
        <w:t>(a)</w:t>
      </w:r>
      <w:r>
        <w:tab/>
        <w:t>if the entity is a corporation, an issued share of the corporation; or</w:t>
      </w:r>
    </w:p>
    <w:p>
      <w:pPr>
        <w:pStyle w:val="Defpara"/>
      </w:pPr>
      <w:r>
        <w:tab/>
        <w:t>(b)</w:t>
      </w:r>
      <w:r>
        <w:tab/>
        <w:t>if the entity is a unit trust scheme,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spacing w:before="180"/>
      </w:pPr>
      <w:r>
        <w:tab/>
        <w:t>(2)</w:t>
      </w:r>
      <w:r>
        <w:tab/>
        <w:t>If a corporation, or the trustee of a unit trust scheme as trustee, (</w:t>
      </w:r>
      <w:r>
        <w:rPr>
          <w:rStyle w:val="CharDefText"/>
        </w:rPr>
        <w:t>A</w:t>
      </w:r>
      <w:r>
        <w:t>) directly or indirectly —</w:t>
      </w:r>
    </w:p>
    <w:p>
      <w:pPr>
        <w:pStyle w:val="Indenta"/>
      </w:pPr>
      <w:r>
        <w:tab/>
        <w:t>(a)</w:t>
      </w:r>
      <w:r>
        <w:tab/>
        <w:t>holds at least 90% of the securities of another entity (</w:t>
      </w:r>
      <w:r>
        <w:rPr>
          <w:rStyle w:val="CharDefText"/>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spacing w:before="180"/>
      </w:pPr>
      <w:r>
        <w:tab/>
      </w:r>
      <w:r>
        <w:tab/>
        <w:t>then, for the purposes of this Chapter, A is the parent entity of B and B is a subsidiary of A.</w:t>
      </w:r>
    </w:p>
    <w:p>
      <w:pPr>
        <w:pStyle w:val="Heading5"/>
        <w:spacing w:before="240"/>
      </w:pPr>
      <w:bookmarkStart w:id="1035" w:name="_Toc392162575"/>
      <w:bookmarkStart w:id="1036" w:name="_Toc413847380"/>
      <w:r>
        <w:rPr>
          <w:rStyle w:val="CharSectno"/>
        </w:rPr>
        <w:t>258</w:t>
      </w:r>
      <w:r>
        <w:t>.</w:t>
      </w:r>
      <w:r>
        <w:tab/>
        <w:t>Members of a family</w:t>
      </w:r>
      <w:bookmarkEnd w:id="1035"/>
      <w:bookmarkEnd w:id="1036"/>
    </w:p>
    <w:p>
      <w:pPr>
        <w:pStyle w:val="Subsection"/>
        <w:spacing w:before="180"/>
        <w:rPr>
          <w:bCs/>
        </w:rPr>
      </w:pPr>
      <w:r>
        <w:tab/>
        <w:t>(1)</w:t>
      </w:r>
      <w:r>
        <w:tab/>
        <w:t>A parent entity and its subsidiaries are members of a family.</w:t>
      </w:r>
    </w:p>
    <w:p>
      <w:pPr>
        <w:pStyle w:val="Subsection"/>
        <w:keepNext/>
        <w:spacing w:before="180"/>
      </w:pPr>
      <w:r>
        <w:tab/>
        <w:t>(2)</w:t>
      </w:r>
      <w:r>
        <w:tab/>
        <w:t>If all of the securities of an entity are stapled to the securities of one or more other entities, all of the entities and their subsidiaries are members of a family.</w:t>
      </w:r>
    </w:p>
    <w:p>
      <w:pPr>
        <w:pStyle w:val="Heading5"/>
        <w:spacing w:before="240"/>
      </w:pPr>
      <w:bookmarkStart w:id="1037" w:name="_Toc392162576"/>
      <w:bookmarkStart w:id="1038" w:name="_Toc413847381"/>
      <w:r>
        <w:rPr>
          <w:rStyle w:val="CharSectno"/>
        </w:rPr>
        <w:t>259</w:t>
      </w:r>
      <w:r>
        <w:t>.</w:t>
      </w:r>
      <w:r>
        <w:tab/>
        <w:t>Term used: relevant consolidation transaction</w:t>
      </w:r>
      <w:bookmarkEnd w:id="1037"/>
      <w:bookmarkEnd w:id="1038"/>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keepNext/>
        <w:keepLines/>
      </w:pPr>
      <w:r>
        <w:tab/>
        <w:t>(2)</w:t>
      </w:r>
      <w:r>
        <w:tab/>
        <w:t xml:space="preserve">Subject to this section, a </w:t>
      </w:r>
      <w:r>
        <w:rPr>
          <w:rStyle w:val="CharDefText"/>
        </w:rPr>
        <w:t>relevant consolidation transaction</w:t>
      </w:r>
      <w:r>
        <w:t xml:space="preserve"> is any acquisition on which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Heading5"/>
      </w:pPr>
      <w:bookmarkStart w:id="1039" w:name="_Toc392162577"/>
      <w:bookmarkStart w:id="1040" w:name="_Toc413847382"/>
      <w:r>
        <w:rPr>
          <w:rStyle w:val="CharSectno"/>
        </w:rPr>
        <w:t>260</w:t>
      </w:r>
      <w:r>
        <w:t>.</w:t>
      </w:r>
      <w:r>
        <w:tab/>
        <w:t>Term used: relevant reconstruction transaction</w:t>
      </w:r>
      <w:bookmarkEnd w:id="1039"/>
      <w:bookmarkEnd w:id="1040"/>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spacing w:before="100"/>
      </w:pPr>
      <w:r>
        <w:tab/>
        <w:t>(ii)</w:t>
      </w:r>
      <w:r>
        <w:tab/>
        <w:t>a transfer of dutiable property from one member of a family to another member of the family;</w:t>
      </w:r>
    </w:p>
    <w:p>
      <w:pPr>
        <w:pStyle w:val="Indenti"/>
        <w:spacing w:before="100"/>
      </w:pPr>
      <w:r>
        <w:tab/>
        <w:t>(iii)</w:t>
      </w:r>
      <w:r>
        <w:tab/>
        <w:t>a declaration of trust over dutiable property under which one member of a family holds the property on trust for another member of the family;</w:t>
      </w:r>
    </w:p>
    <w:p>
      <w:pPr>
        <w:pStyle w:val="Indenti"/>
        <w:spacing w:before="100"/>
      </w:pPr>
      <w:r>
        <w:tab/>
        <w:t>(iv)</w:t>
      </w:r>
      <w:r>
        <w:tab/>
        <w:t>a vesting of dutiable property held by one member of a family in another member of the family;</w:t>
      </w:r>
    </w:p>
    <w:p>
      <w:pPr>
        <w:pStyle w:val="Indenti"/>
        <w:spacing w:before="100"/>
      </w:pPr>
      <w:r>
        <w:tab/>
        <w:t>(v)</w:t>
      </w:r>
      <w:r>
        <w:tab/>
        <w:t>a surrender of special dutiable property, within the meaning of section 18, if the special dutiable property is surrendered by one member of a family to another member of the family;</w:t>
      </w:r>
    </w:p>
    <w:p>
      <w:pPr>
        <w:pStyle w:val="Indenta"/>
        <w:spacing w:before="100"/>
      </w:pPr>
      <w:r>
        <w:tab/>
        <w:t>(b)</w:t>
      </w:r>
      <w:r>
        <w:tab/>
        <w:t>a transfer of a licence for a vehicle from one member of a family to another member of the family, if vehicle licence duty is chargeable;</w:t>
      </w:r>
    </w:p>
    <w:p>
      <w:pPr>
        <w:pStyle w:val="Ednotepara"/>
        <w:spacing w:before="100"/>
      </w:pPr>
      <w:r>
        <w:tab/>
        <w:t>[(c)</w:t>
      </w:r>
      <w:r>
        <w:tab/>
        <w:t>deleted]</w:t>
      </w:r>
    </w:p>
    <w:p>
      <w:pPr>
        <w:pStyle w:val="Indenta"/>
        <w:spacing w:before="100"/>
      </w:pPr>
      <w:r>
        <w:tab/>
        <w:t>(d)</w:t>
      </w:r>
      <w:r>
        <w:tab/>
        <w:t>an acquisition by one member of a family from another member of the family of an interest in an entity, if landholder duty is chargeable.</w:t>
      </w:r>
    </w:p>
    <w:p>
      <w:pPr>
        <w:pStyle w:val="Subsection"/>
        <w:spacing w:before="200"/>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spacing w:before="200"/>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keepNext/>
        <w:spacing w:before="200"/>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Footnotesection"/>
      </w:pPr>
      <w:r>
        <w:tab/>
        <w:t>[Section 260 amended by No. 9 of 2010 s. 5.]</w:t>
      </w:r>
    </w:p>
    <w:p>
      <w:pPr>
        <w:pStyle w:val="Heading5"/>
      </w:pPr>
      <w:bookmarkStart w:id="1041" w:name="_Toc392162578"/>
      <w:bookmarkStart w:id="1042" w:name="_Toc413847383"/>
      <w:r>
        <w:rPr>
          <w:rStyle w:val="CharSectno"/>
        </w:rPr>
        <w:t>261</w:t>
      </w:r>
      <w:r>
        <w:t>.</w:t>
      </w:r>
      <w:r>
        <w:tab/>
        <w:t>Predetermining certain questions</w:t>
      </w:r>
      <w:bookmarkEnd w:id="1041"/>
      <w:bookmarkEnd w:id="1042"/>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(3) or (4).</w:t>
      </w:r>
    </w:p>
    <w:p>
      <w:pPr>
        <w:pStyle w:val="Subsection"/>
      </w:pPr>
      <w:r>
        <w:tab/>
        <w:t>(2)</w:t>
      </w:r>
      <w:r>
        <w:tab/>
        <w:t>A person proposing to enter into a relevant transaction may ask the Commissioner to decide whether, if the transaction were entered into, it would be exempted.</w:t>
      </w:r>
    </w:p>
    <w:p>
      <w:pPr>
        <w:pStyle w:val="Subsection"/>
      </w:pPr>
      <w:r>
        <w:tab/>
        <w:t>(3)</w:t>
      </w:r>
      <w:r>
        <w:tab/>
        <w:t>A person proposing to enter into a relevant transaction may ask the Commissioner to decide whether, if the transaction were entered into and exempted, the Commissioner, under section 265, would revoke the exemption.</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spacing w:before="120"/>
      </w:pPr>
      <w:r>
        <w:tab/>
        <w:t>(5)</w:t>
      </w:r>
      <w:r>
        <w:tab/>
        <w:t>A pre</w:t>
      </w:r>
      <w:r>
        <w:noBreakHyphen/>
        <w:t>transaction decision request must be made in the approved form.</w:t>
      </w:r>
    </w:p>
    <w:p>
      <w:pPr>
        <w:pStyle w:val="Subsection"/>
        <w:spacing w:before="120"/>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spacing w:before="120"/>
      </w:pPr>
      <w:r>
        <w:tab/>
        <w:t>(7)</w:t>
      </w:r>
      <w:r>
        <w:tab/>
        <w:t>The Commissioner may refuse a pre</w:t>
      </w:r>
      <w:r>
        <w:noBreakHyphen/>
        <w:t xml:space="preserve">transaction decision request if — </w:t>
      </w:r>
    </w:p>
    <w:p>
      <w:pPr>
        <w:pStyle w:val="Indenta"/>
      </w:pPr>
      <w:r>
        <w:tab/>
        <w:t>(a)</w:t>
      </w:r>
      <w:r>
        <w:tab/>
        <w:t>the transaction to which the request relates has been entered into; or</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1043" w:name="_Toc392162579"/>
      <w:bookmarkStart w:id="1044" w:name="_Toc413847384"/>
      <w:r>
        <w:rPr>
          <w:rStyle w:val="CharSectno"/>
        </w:rPr>
        <w:t>262</w:t>
      </w:r>
      <w:r>
        <w:t>.</w:t>
      </w:r>
      <w:r>
        <w:tab/>
        <w:t>Application for exemption</w:t>
      </w:r>
      <w:bookmarkEnd w:id="1043"/>
      <w:bookmarkEnd w:id="1044"/>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keepNext/>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pPr>
      <w:r>
        <w:tab/>
        <w:t>[Section 262 amended by No. 17 of 2010 s. 16.]</w:t>
      </w:r>
    </w:p>
    <w:p>
      <w:pPr>
        <w:pStyle w:val="Heading5"/>
      </w:pPr>
      <w:bookmarkStart w:id="1045" w:name="_Toc392162580"/>
      <w:bookmarkStart w:id="1046" w:name="_Toc413847385"/>
      <w:r>
        <w:rPr>
          <w:rStyle w:val="CharSectno"/>
        </w:rPr>
        <w:t>263</w:t>
      </w:r>
      <w:r>
        <w:t>.</w:t>
      </w:r>
      <w:r>
        <w:tab/>
        <w:t>Grant of exemption</w:t>
      </w:r>
      <w:bookmarkEnd w:id="1045"/>
      <w:bookmarkEnd w:id="1046"/>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pPr>
      <w:r>
        <w:tab/>
        <w:t>(4)</w:t>
      </w:r>
      <w:r>
        <w:tab/>
        <w:t>An exemption cannot be granted in relation to a relevant transaction if any member of the family has an outstanding tax liability.</w:t>
      </w:r>
    </w:p>
    <w:p>
      <w:pPr>
        <w:pStyle w:val="Heading5"/>
      </w:pPr>
      <w:bookmarkStart w:id="1047" w:name="_Toc392162581"/>
      <w:bookmarkStart w:id="1048" w:name="_Toc413847386"/>
      <w:r>
        <w:rPr>
          <w:rStyle w:val="CharSectno"/>
        </w:rPr>
        <w:t>264</w:t>
      </w:r>
      <w:r>
        <w:t>.</w:t>
      </w:r>
      <w:r>
        <w:tab/>
        <w:t>Commissioner to be notified of certain events after exempt relevant transaction</w:t>
      </w:r>
      <w:bookmarkEnd w:id="1047"/>
      <w:bookmarkEnd w:id="1048"/>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pPr>
      <w:r>
        <w:rPr>
          <w:b/>
        </w:rPr>
        <w:tab/>
      </w:r>
      <w:r>
        <w:rPr>
          <w:rStyle w:val="CharDefText"/>
        </w:rPr>
        <w:t>notifiable event</w:t>
      </w:r>
      <w:r>
        <w:t xml:space="preserve"> has the meaning given by subsections (2) and (3); </w:t>
      </w:r>
    </w:p>
    <w:p>
      <w:pPr>
        <w:pStyle w:val="Defstart"/>
      </w:pPr>
      <w:r>
        <w:rPr>
          <w:b/>
        </w:rPr>
        <w:tab/>
      </w:r>
      <w:r>
        <w:rPr>
          <w:rStyle w:val="CharDefText"/>
        </w:rPr>
        <w:t>responsible person</w:t>
      </w:r>
      <w:r>
        <w:t xml:space="preserve"> means —</w:t>
      </w:r>
    </w:p>
    <w:p>
      <w:pPr>
        <w:pStyle w:val="Defpara"/>
        <w:spacing w:before="60"/>
      </w:pPr>
      <w:r>
        <w:tab/>
        <w:t>(a)</w:t>
      </w:r>
      <w:r>
        <w:tab/>
        <w:t xml:space="preserve">for a notifiable event that occurs in relation to a relevant transaction as described in subsection (2)(a) — </w:t>
      </w:r>
    </w:p>
    <w:p>
      <w:pPr>
        <w:pStyle w:val="Defsubpara"/>
        <w:spacing w:before="60"/>
      </w:pPr>
      <w:r>
        <w:tab/>
        <w:t>(i)</w:t>
      </w:r>
      <w:r>
        <w:tab/>
        <w:t>if the controlling entity is a corporation — each person who is a director of the entity when the winding up begins; or</w:t>
      </w:r>
    </w:p>
    <w:p>
      <w:pPr>
        <w:pStyle w:val="Defsubpara"/>
        <w:spacing w:before="60"/>
      </w:pPr>
      <w:r>
        <w:tab/>
        <w:t>(ii)</w:t>
      </w:r>
      <w:r>
        <w:tab/>
        <w:t>if the controlling entity is a unit trust scheme — the trustee of the entity when the winding up begins; or</w:t>
      </w:r>
    </w:p>
    <w:p>
      <w:pPr>
        <w:pStyle w:val="Defsubpara"/>
        <w:spacing w:before="60"/>
      </w:pPr>
      <w:r>
        <w:tab/>
        <w:t>(iii)</w:t>
      </w:r>
      <w:r>
        <w:tab/>
        <w:t>if the controlling entity is a unit trust scheme and the trustee of the entity, being a corporation, is wound up — each person who is a director of the trustee when the winding up begins;</w:t>
      </w:r>
    </w:p>
    <w:p>
      <w:pPr>
        <w:pStyle w:val="Defpara"/>
        <w:spacing w:before="60"/>
      </w:pPr>
      <w:r>
        <w:tab/>
      </w:r>
      <w:r>
        <w:tab/>
        <w:t>or</w:t>
      </w:r>
    </w:p>
    <w:p>
      <w:pPr>
        <w:pStyle w:val="Defpara"/>
        <w:keepNext/>
        <w:spacing w:before="60"/>
      </w:pPr>
      <w:r>
        <w:tab/>
        <w:t>(b)</w:t>
      </w:r>
      <w:r>
        <w:tab/>
        <w:t>for a notifiable event that occurs in relation to a relevant transaction as described in subsection (2)(b) —</w:t>
      </w:r>
    </w:p>
    <w:p>
      <w:pPr>
        <w:pStyle w:val="Defsubpara"/>
        <w:spacing w:before="60"/>
      </w:pPr>
      <w:r>
        <w:tab/>
        <w:t>(i)</w:t>
      </w:r>
      <w:r>
        <w:tab/>
        <w:t>the controlling entity or, if the controlling entity is wound up, the major holder (if any) of the controlling entity when the winding up begins; and</w:t>
      </w:r>
    </w:p>
    <w:p>
      <w:pPr>
        <w:pStyle w:val="Defsubpara"/>
        <w:spacing w:before="60"/>
      </w:pPr>
      <w:r>
        <w:tab/>
        <w:t>(ii)</w:t>
      </w:r>
      <w:r>
        <w:tab/>
        <w:t>the member of the transaction group referred to in subsection (2)(b);</w:t>
      </w:r>
    </w:p>
    <w:p>
      <w:pPr>
        <w:pStyle w:val="Defpara"/>
        <w:spacing w:before="60"/>
      </w:pPr>
      <w:r>
        <w:tab/>
      </w:r>
      <w:r>
        <w:tab/>
        <w:t>or</w:t>
      </w:r>
    </w:p>
    <w:p>
      <w:pPr>
        <w:pStyle w:val="Defpara"/>
        <w:spacing w:before="60"/>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keepNext/>
      </w:pPr>
      <w:r>
        <w:tab/>
        <w:t>(c)</w:t>
      </w:r>
      <w:r>
        <w:tab/>
        <w:t xml:space="preserve">an acquisition that is the subject of — </w:t>
      </w:r>
    </w:p>
    <w:p>
      <w:pPr>
        <w:pStyle w:val="Indenti"/>
      </w:pPr>
      <w:r>
        <w:tab/>
        <w:t>(i)</w:t>
      </w:r>
      <w:r>
        <w:tab/>
        <w:t>an application made under section 180; or</w:t>
      </w:r>
    </w:p>
    <w:p>
      <w:pPr>
        <w:pStyle w:val="Indenti"/>
      </w:pPr>
      <w:r>
        <w:tab/>
        <w:t>(ii)</w:t>
      </w:r>
      <w:r>
        <w:tab/>
        <w:t>a statement lodged under section 200;</w:t>
      </w:r>
    </w:p>
    <w:p>
      <w:pPr>
        <w:pStyle w:val="Indenta"/>
      </w:pPr>
      <w:r>
        <w:tab/>
      </w:r>
      <w:r>
        <w:tab/>
        <w:t>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Heading5"/>
      </w:pPr>
      <w:bookmarkStart w:id="1049" w:name="_Toc392162582"/>
      <w:bookmarkStart w:id="1050" w:name="_Toc413847387"/>
      <w:r>
        <w:rPr>
          <w:rStyle w:val="CharSectno"/>
        </w:rPr>
        <w:t>265</w:t>
      </w:r>
      <w:r>
        <w:t>.</w:t>
      </w:r>
      <w:r>
        <w:tab/>
        <w:t>Revoking exemption</w:t>
      </w:r>
      <w:bookmarkEnd w:id="1049"/>
      <w:bookmarkEnd w:id="1050"/>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duty on a transaction, transfer of licence or acquisition; or</w:t>
      </w:r>
    </w:p>
    <w:p>
      <w:pPr>
        <w:pStyle w:val="Indenta"/>
      </w:pPr>
      <w:r>
        <w:tab/>
        <w:t>(b)</w:t>
      </w:r>
      <w:r>
        <w:tab/>
        <w:t>for the sole or dominant purpose of avoiding or reducing tax other than duty,</w:t>
      </w:r>
    </w:p>
    <w:p>
      <w:pPr>
        <w:pStyle w:val="Subsection"/>
      </w:pPr>
      <w:r>
        <w:tab/>
      </w:r>
      <w:r>
        <w:tab/>
        <w:t>the Commissioner may revoke the exemption for the transaction.</w:t>
      </w:r>
    </w:p>
    <w:p>
      <w:pPr>
        <w:pStyle w:val="Heading5"/>
      </w:pPr>
      <w:bookmarkStart w:id="1051" w:name="_Toc392162583"/>
      <w:bookmarkStart w:id="1052" w:name="_Toc413847388"/>
      <w:r>
        <w:rPr>
          <w:rStyle w:val="CharSectno"/>
        </w:rPr>
        <w:t>266</w:t>
      </w:r>
      <w:r>
        <w:t>.</w:t>
      </w:r>
      <w:r>
        <w:tab/>
        <w:t>Liability for duty and tax if exemption revoked</w:t>
      </w:r>
      <w:bookmarkEnd w:id="1051"/>
      <w:bookmarkEnd w:id="1052"/>
    </w:p>
    <w:p>
      <w:pPr>
        <w:pStyle w:val="Subsection"/>
      </w:pPr>
      <w:r>
        <w:tab/>
        <w:t>(1)</w:t>
      </w:r>
      <w:r>
        <w:tab/>
        <w:t>On revoking an exemption for a relevant transaction the Commissioner must make an official assessment for the transaction.</w:t>
      </w:r>
    </w:p>
    <w:p>
      <w:pPr>
        <w:pStyle w:val="Subsection"/>
      </w:pPr>
      <w:r>
        <w:tab/>
        <w:t>(2)</w:t>
      </w:r>
      <w:r>
        <w:tab/>
        <w:t xml:space="preserve">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Heading2"/>
        <w:spacing w:before="120"/>
        <w:rPr>
          <w:sz w:val="32"/>
        </w:rPr>
      </w:pPr>
      <w:bookmarkStart w:id="1053" w:name="_Toc389126593"/>
      <w:bookmarkStart w:id="1054" w:name="_Toc392162584"/>
      <w:bookmarkStart w:id="1055" w:name="_Toc412735080"/>
      <w:bookmarkStart w:id="1056" w:name="_Toc412735503"/>
      <w:bookmarkStart w:id="1057" w:name="_Toc412819520"/>
      <w:bookmarkStart w:id="1058" w:name="_Toc413830280"/>
      <w:bookmarkStart w:id="1059" w:name="_Toc413847389"/>
      <w:r>
        <w:rPr>
          <w:rStyle w:val="CharPartNo"/>
          <w:sz w:val="32"/>
        </w:rPr>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1053"/>
      <w:bookmarkEnd w:id="1054"/>
      <w:bookmarkEnd w:id="1055"/>
      <w:bookmarkEnd w:id="1056"/>
      <w:bookmarkEnd w:id="1057"/>
      <w:bookmarkEnd w:id="1058"/>
      <w:bookmarkEnd w:id="1059"/>
    </w:p>
    <w:p>
      <w:pPr>
        <w:pStyle w:val="Heading5"/>
      </w:pPr>
      <w:bookmarkStart w:id="1060" w:name="_Toc392162585"/>
      <w:bookmarkStart w:id="1061" w:name="_Toc413847390"/>
      <w:r>
        <w:rPr>
          <w:rStyle w:val="CharSectno"/>
        </w:rPr>
        <w:t>267</w:t>
      </w:r>
      <w:r>
        <w:t>.</w:t>
      </w:r>
      <w:r>
        <w:tab/>
        <w:t>Term used: scheme</w:t>
      </w:r>
      <w:bookmarkEnd w:id="1060"/>
      <w:bookmarkEnd w:id="1061"/>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pPr>
      <w:bookmarkStart w:id="1062" w:name="_Toc392162586"/>
      <w:bookmarkStart w:id="1063" w:name="_Toc413847391"/>
      <w:r>
        <w:rPr>
          <w:rStyle w:val="CharSectno"/>
        </w:rPr>
        <w:t>268</w:t>
      </w:r>
      <w:r>
        <w:t>.</w:t>
      </w:r>
      <w:r>
        <w:tab/>
        <w:t>Term used: tax avoidance scheme</w:t>
      </w:r>
      <w:bookmarkEnd w:id="1062"/>
      <w:bookmarkEnd w:id="1063"/>
    </w:p>
    <w:p>
      <w:pPr>
        <w:pStyle w:val="Subsection"/>
      </w:pPr>
      <w:r>
        <w:tab/>
        <w:t>(1)</w:t>
      </w:r>
      <w:r>
        <w:tab/>
        <w:t xml:space="preserve">In this section — </w:t>
      </w:r>
    </w:p>
    <w:p>
      <w:pPr>
        <w:pStyle w:val="Defstart"/>
        <w:rPr>
          <w:bCs/>
        </w:rPr>
      </w:pPr>
      <w:r>
        <w:rPr>
          <w:b/>
        </w:rPr>
        <w:tab/>
      </w:r>
      <w:r>
        <w:rPr>
          <w:rStyle w:val="CharDefText"/>
        </w:rPr>
        <w:t>foreign tax</w:t>
      </w:r>
      <w:r>
        <w:rPr>
          <w:b/>
        </w:rPr>
        <w:t xml:space="preserve"> </w:t>
      </w:r>
      <w:r>
        <w:rPr>
          <w:bCs/>
        </w:rPr>
        <w:t xml:space="preserve">means a tax, duty or impost imposed under a law of the Commonwealth, another State, a Territory or a country other than </w:t>
      </w:r>
      <w:smartTag w:uri="urn:schemas-microsoft-com:office:smarttags" w:element="place">
        <w:smartTag w:uri="urn:schemas-microsoft-com:office:smarttags" w:element="country-region">
          <w:r>
            <w:rPr>
              <w:bCs/>
            </w:rPr>
            <w:t>Australia</w:t>
          </w:r>
        </w:smartTag>
      </w:smartTag>
      <w:r>
        <w:rPr>
          <w:bCs/>
        </w:rPr>
        <w:t>.</w:t>
      </w:r>
    </w:p>
    <w:p>
      <w:pPr>
        <w:pStyle w:val="Subsection"/>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keepNext/>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Heading5"/>
      </w:pPr>
      <w:bookmarkStart w:id="1064" w:name="_Toc392162587"/>
      <w:bookmarkStart w:id="1065" w:name="_Toc413847392"/>
      <w:r>
        <w:rPr>
          <w:rStyle w:val="CharSectno"/>
        </w:rPr>
        <w:t>269</w:t>
      </w:r>
      <w:r>
        <w:t>.</w:t>
      </w:r>
      <w:r>
        <w:tab/>
        <w:t>Deciding whether proposed scheme would be disregarded under s. 270</w:t>
      </w:r>
      <w:bookmarkEnd w:id="1064"/>
      <w:bookmarkEnd w:id="1065"/>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spacing w:before="180"/>
      </w:pPr>
      <w:bookmarkStart w:id="1066" w:name="_Toc392162588"/>
      <w:bookmarkStart w:id="1067" w:name="_Toc413847393"/>
      <w:r>
        <w:rPr>
          <w:rStyle w:val="CharSectno"/>
        </w:rPr>
        <w:t>270</w:t>
      </w:r>
      <w:r>
        <w:t>.</w:t>
      </w:r>
      <w:r>
        <w:tab/>
        <w:t>Certain tax avoidance schemes, Commissioner may disregard</w:t>
      </w:r>
      <w:bookmarkEnd w:id="1066"/>
      <w:bookmarkEnd w:id="1067"/>
    </w:p>
    <w:p>
      <w:pPr>
        <w:pStyle w:val="Subsection"/>
        <w:spacing w:before="120"/>
      </w:pPr>
      <w:r>
        <w:tab/>
        <w:t>(1)</w:t>
      </w:r>
      <w:r>
        <w:tab/>
        <w:t>If the Commissioner decides that a person has entered into or carried out a tax avoidance scheme that is of a blatant, artificial or contrived nature, the Commissioner may disregard the scheme.</w:t>
      </w:r>
    </w:p>
    <w:p>
      <w:pPr>
        <w:pStyle w:val="Subsection"/>
        <w:keepNext/>
        <w:spacing w:before="120"/>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Subsection"/>
      </w:pPr>
      <w:r>
        <w:tab/>
        <w:t>(4)</w:t>
      </w:r>
      <w:r>
        <w:tab/>
        <w:t>The Commissioner cannot exercise the powers under this section in the course of making an interim assessment but can exercise those powers in the course of making an assessment following an interim assessment.</w:t>
      </w:r>
    </w:p>
    <w:p>
      <w:pPr>
        <w:pStyle w:val="Footnotesection"/>
      </w:pPr>
      <w:r>
        <w:tab/>
        <w:t>[Section 270 amended by No. 10 of 2013 s. 7.]</w:t>
      </w:r>
    </w:p>
    <w:p>
      <w:pPr>
        <w:pStyle w:val="Heading5"/>
      </w:pPr>
      <w:bookmarkStart w:id="1068" w:name="_Toc392162589"/>
      <w:bookmarkStart w:id="1069" w:name="_Toc413847394"/>
      <w:r>
        <w:rPr>
          <w:rStyle w:val="CharSectno"/>
        </w:rPr>
        <w:t>271</w:t>
      </w:r>
      <w:r>
        <w:t>.</w:t>
      </w:r>
      <w:r>
        <w:tab/>
        <w:t>Statement in relation to determination</w:t>
      </w:r>
      <w:bookmarkEnd w:id="1068"/>
      <w:bookmarkEnd w:id="1069"/>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1070" w:name="_Toc389126599"/>
      <w:bookmarkStart w:id="1071" w:name="_Toc392162590"/>
      <w:bookmarkStart w:id="1072" w:name="_Toc412735086"/>
      <w:bookmarkStart w:id="1073" w:name="_Toc412735509"/>
      <w:bookmarkStart w:id="1074" w:name="_Toc412819526"/>
      <w:bookmarkStart w:id="1075" w:name="_Toc413830286"/>
      <w:bookmarkStart w:id="1076" w:name="_Toc413847395"/>
      <w:r>
        <w:rPr>
          <w:rStyle w:val="CharPartNo"/>
          <w:sz w:val="32"/>
        </w:rPr>
        <w:t>Chapter 8</w:t>
      </w:r>
      <w:r>
        <w:rPr>
          <w:sz w:val="32"/>
        </w:rPr>
        <w:t> — </w:t>
      </w:r>
      <w:r>
        <w:rPr>
          <w:rStyle w:val="CharPartText"/>
          <w:sz w:val="32"/>
        </w:rPr>
        <w:t>Other general provisions</w:t>
      </w:r>
      <w:bookmarkEnd w:id="1070"/>
      <w:bookmarkEnd w:id="1071"/>
      <w:bookmarkEnd w:id="1072"/>
      <w:bookmarkEnd w:id="1073"/>
      <w:bookmarkEnd w:id="1074"/>
      <w:bookmarkEnd w:id="1075"/>
      <w:bookmarkEnd w:id="1076"/>
    </w:p>
    <w:p>
      <w:pPr>
        <w:pStyle w:val="Heading3"/>
        <w:rPr>
          <w:sz w:val="28"/>
        </w:rPr>
      </w:pPr>
      <w:bookmarkStart w:id="1077" w:name="_Toc389126600"/>
      <w:bookmarkStart w:id="1078" w:name="_Toc392162591"/>
      <w:bookmarkStart w:id="1079" w:name="_Toc412735087"/>
      <w:bookmarkStart w:id="1080" w:name="_Toc412735510"/>
      <w:bookmarkStart w:id="1081" w:name="_Toc412819527"/>
      <w:bookmarkStart w:id="1082" w:name="_Toc413830287"/>
      <w:bookmarkStart w:id="1083" w:name="_Toc413847396"/>
      <w:r>
        <w:rPr>
          <w:rStyle w:val="CharDivNo"/>
          <w:sz w:val="28"/>
        </w:rPr>
        <w:t>Part 1</w:t>
      </w:r>
      <w:r>
        <w:rPr>
          <w:sz w:val="28"/>
        </w:rPr>
        <w:t> — </w:t>
      </w:r>
      <w:r>
        <w:rPr>
          <w:rStyle w:val="CharDivText"/>
          <w:sz w:val="28"/>
        </w:rPr>
        <w:t>Duty endorsement</w:t>
      </w:r>
      <w:bookmarkEnd w:id="1077"/>
      <w:bookmarkEnd w:id="1078"/>
      <w:bookmarkEnd w:id="1079"/>
      <w:bookmarkEnd w:id="1080"/>
      <w:bookmarkEnd w:id="1081"/>
      <w:bookmarkEnd w:id="1082"/>
      <w:bookmarkEnd w:id="1083"/>
    </w:p>
    <w:p>
      <w:pPr>
        <w:pStyle w:val="Heading5"/>
        <w:spacing w:before="180"/>
      </w:pPr>
      <w:bookmarkStart w:id="1084" w:name="_Toc392162592"/>
      <w:bookmarkStart w:id="1085" w:name="_Toc413847397"/>
      <w:r>
        <w:rPr>
          <w:rStyle w:val="CharSectno"/>
        </w:rPr>
        <w:t>272</w:t>
      </w:r>
      <w:r>
        <w:t>.</w:t>
      </w:r>
      <w:r>
        <w:tab/>
        <w:t>Term used: duty endorsed</w:t>
      </w:r>
      <w:bookmarkEnd w:id="1084"/>
      <w:bookmarkEnd w:id="1085"/>
    </w:p>
    <w:p>
      <w:pPr>
        <w:pStyle w:val="Subsection"/>
        <w:spacing w:before="120"/>
      </w:pPr>
      <w:r>
        <w:tab/>
        <w:t>(1)</w:t>
      </w:r>
      <w:r>
        <w:tab/>
        <w:t xml:space="preserve">A dutiable transaction is </w:t>
      </w:r>
      <w:r>
        <w:rPr>
          <w:rStyle w:val="CharDefText"/>
        </w:rPr>
        <w:t>duty endorsed</w:t>
      </w:r>
      <w:r>
        <w:t xml:space="preserve"> if a transaction record for it is duty endorsed.</w:t>
      </w:r>
    </w:p>
    <w:p>
      <w:pPr>
        <w:pStyle w:val="Subsection"/>
        <w:spacing w:before="120"/>
      </w:pPr>
      <w:r>
        <w:tab/>
        <w:t>(2)</w:t>
      </w:r>
      <w:r>
        <w:tab/>
        <w:t xml:space="preserve">A transaction record for a dutiable transaction is </w:t>
      </w:r>
      <w:r>
        <w:rPr>
          <w:rStyle w:val="CharDefText"/>
        </w:rPr>
        <w:t>duty endorsed</w:t>
      </w:r>
      <w:r>
        <w:t xml:space="preserve"> if it is — </w:t>
      </w:r>
    </w:p>
    <w:p>
      <w:pPr>
        <w:pStyle w:val="Indenta"/>
      </w:pPr>
      <w:r>
        <w:tab/>
        <w:t>(a)</w:t>
      </w:r>
      <w:r>
        <w:tab/>
        <w:t>endorsed by the Commissioner under section 273(2), (3) or (4) or 274(2); 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Heading5"/>
      </w:pPr>
      <w:bookmarkStart w:id="1086" w:name="_Toc382914635"/>
      <w:bookmarkStart w:id="1087" w:name="_Toc392162593"/>
      <w:bookmarkStart w:id="1088" w:name="_Toc413847398"/>
      <w:r>
        <w:rPr>
          <w:rStyle w:val="CharSectno"/>
        </w:rPr>
        <w:t>273A</w:t>
      </w:r>
      <w:r>
        <w:t>.</w:t>
      </w:r>
      <w:r>
        <w:tab/>
        <w:t>Duty endorsement: electronic conveyancing instruments</w:t>
      </w:r>
      <w:bookmarkEnd w:id="1086"/>
      <w:bookmarkEnd w:id="1087"/>
      <w:bookmarkEnd w:id="1088"/>
    </w:p>
    <w:p>
      <w:pPr>
        <w:pStyle w:val="Subsection"/>
      </w:pPr>
      <w:r>
        <w:tab/>
        <w:t>(1)</w:t>
      </w:r>
      <w:r>
        <w:tab/>
        <w:t xml:space="preserve">In this section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Subsection"/>
      </w:pPr>
      <w:r>
        <w:tab/>
        <w:t>(2)</w:t>
      </w:r>
      <w:r>
        <w:tab/>
        <w:t>If the Commissioner has established procedures for the duty endorsement of transaction records that are in the form of electronic conveyancing instruments, a reference in this Act to a transaction record being duty endorsed includes a reference to a transaction record in that form being verified or certified by the Commissioner in accordance with those procedures to the effect that an amount of duty has been paid or is payable or that duty is not chargeable.</w:t>
      </w:r>
    </w:p>
    <w:p>
      <w:pPr>
        <w:pStyle w:val="Subsection"/>
      </w:pPr>
      <w:r>
        <w:tab/>
        <w:t>(3)</w:t>
      </w:r>
      <w:r>
        <w:tab/>
        <w:t xml:space="preserve">The procedures referred to in subsection (2) may include procedures for verifying or certifying electronic conveyancing instruments before they are digitally signed, and in that case — </w:t>
      </w:r>
    </w:p>
    <w:p>
      <w:pPr>
        <w:pStyle w:val="Indenta"/>
      </w:pPr>
      <w:r>
        <w:tab/>
        <w:t>(a)</w:t>
      </w:r>
      <w:r>
        <w:tab/>
        <w:t>the verification or certification of an electronic conveyancing instrument must be undertaken in accordance with those procedures as if the transaction to be effected by the instrument were a dutiable transaction, even though the instrument is not digitally signed; but</w:t>
      </w:r>
    </w:p>
    <w:p>
      <w:pPr>
        <w:pStyle w:val="Indenta"/>
      </w:pPr>
      <w:r>
        <w:tab/>
        <w:t>(b)</w:t>
      </w:r>
      <w:r>
        <w:tab/>
        <w:t>the verification or certification of the electronic conveyancing instrument in accordance with those procedures becomes a duty endorsement under subsection (2) only when the instrument is digitally signed.</w:t>
      </w:r>
    </w:p>
    <w:p>
      <w:pPr>
        <w:pStyle w:val="Footnotesection"/>
        <w:spacing w:before="100"/>
        <w:ind w:left="890" w:hanging="890"/>
      </w:pPr>
      <w:r>
        <w:tab/>
        <w:t>[Section 273A inserted by No. 2 of 2014 s. 54.]</w:t>
      </w:r>
    </w:p>
    <w:p>
      <w:pPr>
        <w:pStyle w:val="Heading5"/>
        <w:spacing w:before="180"/>
      </w:pPr>
      <w:bookmarkStart w:id="1089" w:name="_Toc392162594"/>
      <w:bookmarkStart w:id="1090" w:name="_Toc413847399"/>
      <w:r>
        <w:rPr>
          <w:rStyle w:val="CharSectno"/>
        </w:rPr>
        <w:t>273</w:t>
      </w:r>
      <w:r>
        <w:t>.</w:t>
      </w:r>
      <w:r>
        <w:tab/>
        <w:t>Endorsing transaction records as to duty paid etc.</w:t>
      </w:r>
      <w:bookmarkEnd w:id="1089"/>
      <w:bookmarkEnd w:id="1090"/>
    </w:p>
    <w:p>
      <w:pPr>
        <w:pStyle w:val="Subsection"/>
      </w:pPr>
      <w:r>
        <w:rPr>
          <w:b/>
        </w:rPr>
        <w:tab/>
      </w:r>
      <w:r>
        <w:t>(1)</w:t>
      </w:r>
      <w:r>
        <w:tab/>
        <w:t>In this section —</w:t>
      </w:r>
    </w:p>
    <w:p>
      <w:pPr>
        <w:pStyle w:val="Defstart"/>
      </w:pPr>
      <w:r>
        <w:rPr>
          <w:b/>
        </w:rPr>
        <w:tab/>
      </w:r>
      <w:r>
        <w:rPr>
          <w:rStyle w:val="CharDefText"/>
        </w:rPr>
        <w:t>duty</w:t>
      </w:r>
      <w:r>
        <w:t xml:space="preserve"> means transfer duty;</w:t>
      </w:r>
    </w:p>
    <w:p>
      <w:pPr>
        <w:pStyle w:val="Defstart"/>
      </w:pPr>
      <w:r>
        <w:rPr>
          <w:b/>
        </w:rPr>
        <w:tab/>
      </w:r>
      <w:r>
        <w:rPr>
          <w:rStyle w:val="CharDefText"/>
        </w:rPr>
        <w:t>required duty</w:t>
      </w:r>
      <w:r>
        <w:t xml:space="preserve"> means — </w:t>
      </w:r>
    </w:p>
    <w:p>
      <w:pPr>
        <w:pStyle w:val="Defpara"/>
      </w:pPr>
      <w:r>
        <w:tab/>
        <w:t>(a)</w:t>
      </w:r>
      <w:r>
        <w:tab/>
        <w:t>the duty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 xml:space="preserve">If a transaction record for a dutiable transaction is lodged for duty endorsement, the Commissioner must — </w:t>
      </w:r>
    </w:p>
    <w:p>
      <w:pPr>
        <w:pStyle w:val="Indenta"/>
      </w:pPr>
      <w:r>
        <w:tab/>
        <w:t>(a)</w:t>
      </w:r>
      <w:r>
        <w:tab/>
        <w:t>if duty is chargeable on the dutiable transaction and the required duty is paid in full — endorse the transaction record to indicate the amount so paid; or</w:t>
      </w:r>
    </w:p>
    <w:p>
      <w:pPr>
        <w:pStyle w:val="Indenta"/>
      </w:pPr>
      <w:r>
        <w:tab/>
        <w:t>(b)</w:t>
      </w:r>
      <w:r>
        <w:tab/>
        <w:t>if duty is not chargeable on the dutiable transaction because of an exemption under this Act or another written law — endorse the transaction record to indicate that duty is not chargeable because of the exemption; or</w:t>
      </w:r>
    </w:p>
    <w:p>
      <w:pPr>
        <w:pStyle w:val="Indenta"/>
      </w:pPr>
      <w:r>
        <w:tab/>
        <w:t>(c)</w:t>
      </w:r>
      <w:r>
        <w:tab/>
        <w:t>if duty is not chargeable on the dutiable transaction other than because of an exemption under this Act or another written law — endorse the transaction record to indicate that duty is not chargeable.</w:t>
      </w:r>
    </w:p>
    <w:p>
      <w:pPr>
        <w:pStyle w:val="Subsection"/>
      </w:pPr>
      <w:r>
        <w:tab/>
        <w:t>(3A)</w:t>
      </w:r>
      <w:r>
        <w:tab/>
        <w:t>Despite subsection (2), the Commissioner is not required to (but may) endorse a transaction record to indicate the duty paid as a consequence of an interim assessment.</w:t>
      </w:r>
    </w:p>
    <w:p>
      <w:pPr>
        <w:pStyle w:val="Subsection"/>
        <w:spacing w:before="120"/>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spacing w:before="120"/>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spacing w:before="120"/>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20"/>
      </w:pPr>
      <w:r>
        <w:tab/>
      </w:r>
      <w:r>
        <w:tab/>
        <w:t>to indicate the amount of duty paid or payable or that duty was not chargeable.</w:t>
      </w:r>
    </w:p>
    <w:p>
      <w:pPr>
        <w:pStyle w:val="Footnotesection"/>
      </w:pPr>
      <w:r>
        <w:tab/>
        <w:t>[Section 273 amended by No. 10 of 2013 s. 8.]</w:t>
      </w:r>
    </w:p>
    <w:p>
      <w:pPr>
        <w:pStyle w:val="Heading5"/>
        <w:keepNext w:val="0"/>
        <w:keepLines w:val="0"/>
        <w:spacing w:before="180"/>
      </w:pPr>
      <w:bookmarkStart w:id="1091" w:name="_Toc392162595"/>
      <w:bookmarkStart w:id="1092" w:name="_Toc413847400"/>
      <w:r>
        <w:rPr>
          <w:rStyle w:val="CharSectno"/>
        </w:rPr>
        <w:t>274</w:t>
      </w:r>
      <w:r>
        <w:t>.</w:t>
      </w:r>
      <w:r>
        <w:tab/>
        <w:t>Endorsement of duty that depends on duty paid on another transaction</w:t>
      </w:r>
      <w:bookmarkEnd w:id="1091"/>
      <w:bookmarkEnd w:id="1092"/>
    </w:p>
    <w:p>
      <w:pPr>
        <w:pStyle w:val="Subsection"/>
        <w:spacing w:before="120"/>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NotesPerm"/>
        <w:tabs>
          <w:tab w:val="left" w:pos="1418"/>
        </w:tabs>
        <w:ind w:left="1418" w:hanging="1418"/>
      </w:pPr>
      <w:r>
        <w:tab/>
        <w:t>Note:</w:t>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pPr>
        <w:pStyle w:val="NotesPerm"/>
        <w:numPr>
          <w:ilvl w:val="0"/>
          <w:numId w:val="28"/>
        </w:numPr>
        <w:tabs>
          <w:tab w:val="clear" w:pos="1920"/>
          <w:tab w:val="left" w:pos="1418"/>
          <w:tab w:val="num" w:pos="1843"/>
        </w:tabs>
        <w:spacing w:before="80"/>
        <w:ind w:left="1775" w:hanging="357"/>
      </w:pPr>
      <w:r>
        <w:t xml:space="preserve"> that no duty is chargeable on the transfer; and</w:t>
      </w:r>
    </w:p>
    <w:p>
      <w:pPr>
        <w:pStyle w:val="NotesPerm"/>
        <w:numPr>
          <w:ilvl w:val="0"/>
          <w:numId w:val="28"/>
        </w:numPr>
        <w:tabs>
          <w:tab w:val="clear" w:pos="1920"/>
          <w:tab w:val="num" w:pos="1843"/>
        </w:tabs>
        <w:spacing w:before="80"/>
        <w:ind w:left="1843" w:hanging="425"/>
      </w:pPr>
      <w:r>
        <w:t>the duty of $20 700 paid on the agreement for transfer.</w:t>
      </w:r>
    </w:p>
    <w:p>
      <w:pPr>
        <w:pStyle w:val="Heading5"/>
      </w:pPr>
      <w:bookmarkStart w:id="1093" w:name="_Toc392162596"/>
      <w:bookmarkStart w:id="1094" w:name="_Toc413847401"/>
      <w:r>
        <w:rPr>
          <w:rStyle w:val="CharSectno"/>
        </w:rPr>
        <w:t>275</w:t>
      </w:r>
      <w:r>
        <w:t>.</w:t>
      </w:r>
      <w:r>
        <w:tab/>
        <w:t>Duty endorsement is evidence of certain matters</w:t>
      </w:r>
      <w:bookmarkEnd w:id="1093"/>
      <w:bookmarkEnd w:id="1094"/>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Heading3"/>
        <w:rPr>
          <w:sz w:val="28"/>
        </w:rPr>
      </w:pPr>
      <w:bookmarkStart w:id="1095" w:name="_Toc389126606"/>
      <w:bookmarkStart w:id="1096" w:name="_Toc392162597"/>
      <w:bookmarkStart w:id="1097" w:name="_Toc412735093"/>
      <w:bookmarkStart w:id="1098" w:name="_Toc412735516"/>
      <w:bookmarkStart w:id="1099" w:name="_Toc412819533"/>
      <w:bookmarkStart w:id="1100" w:name="_Toc413830293"/>
      <w:bookmarkStart w:id="1101" w:name="_Toc413847402"/>
      <w:r>
        <w:rPr>
          <w:rStyle w:val="CharDivNo"/>
          <w:sz w:val="28"/>
        </w:rPr>
        <w:t>Part 2</w:t>
      </w:r>
      <w:r>
        <w:rPr>
          <w:sz w:val="28"/>
        </w:rPr>
        <w:t> — </w:t>
      </w:r>
      <w:r>
        <w:rPr>
          <w:rStyle w:val="CharDivText"/>
          <w:sz w:val="28"/>
        </w:rPr>
        <w:t>Enforcement</w:t>
      </w:r>
      <w:bookmarkEnd w:id="1095"/>
      <w:bookmarkEnd w:id="1096"/>
      <w:bookmarkEnd w:id="1097"/>
      <w:bookmarkEnd w:id="1098"/>
      <w:bookmarkEnd w:id="1099"/>
      <w:bookmarkEnd w:id="1100"/>
      <w:bookmarkEnd w:id="1101"/>
    </w:p>
    <w:p>
      <w:pPr>
        <w:pStyle w:val="Heading5"/>
      </w:pPr>
      <w:bookmarkStart w:id="1102" w:name="_Toc392162598"/>
      <w:bookmarkStart w:id="1103" w:name="_Toc413847403"/>
      <w:r>
        <w:rPr>
          <w:rStyle w:val="CharSectno"/>
        </w:rPr>
        <w:t>276</w:t>
      </w:r>
      <w:r>
        <w:t>.</w:t>
      </w:r>
      <w:r>
        <w:tab/>
        <w:t>Dutiable transactions etc. not to be registered etc. unless duty endorsed</w:t>
      </w:r>
      <w:bookmarkEnd w:id="1102"/>
      <w:bookmarkEnd w:id="1103"/>
    </w:p>
    <w:p>
      <w:pPr>
        <w:pStyle w:val="Subsection"/>
      </w:pPr>
      <w:r>
        <w:tab/>
        <w:t>(1)</w:t>
      </w:r>
      <w:r>
        <w:tab/>
        <w:t xml:space="preserve">A registrar must not register or record — </w:t>
      </w:r>
    </w:p>
    <w:p>
      <w:pPr>
        <w:pStyle w:val="Indenta"/>
        <w:spacing w:before="60"/>
      </w:pPr>
      <w:r>
        <w:tab/>
        <w:t>(a)</w:t>
      </w:r>
      <w:r>
        <w:tab/>
        <w:t>a dutiable transaction; or</w:t>
      </w:r>
    </w:p>
    <w:p>
      <w:pPr>
        <w:pStyle w:val="Indenta"/>
        <w:spacing w:before="60"/>
      </w:pPr>
      <w:r>
        <w:tab/>
        <w:t>(b)</w:t>
      </w:r>
      <w:r>
        <w:tab/>
        <w:t>a transaction record for a dutiable transaction,</w:t>
      </w:r>
    </w:p>
    <w:p>
      <w:pPr>
        <w:pStyle w:val="Subsection"/>
        <w:spacing w:before="120"/>
      </w:pPr>
      <w:r>
        <w:tab/>
      </w:r>
      <w:r>
        <w:tab/>
        <w:t>in a register of legal or beneficial interests in dutiable property unless the transaction is duty endorsed.</w:t>
      </w:r>
    </w:p>
    <w:p>
      <w:pPr>
        <w:pStyle w:val="Penstart"/>
      </w:pPr>
      <w:r>
        <w:tab/>
        <w:t>Penalty: a fine of $20 000.</w:t>
      </w:r>
    </w:p>
    <w:p>
      <w:pPr>
        <w:pStyle w:val="Subsection"/>
        <w:spacing w:before="140"/>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spacing w:before="140"/>
      </w:pPr>
      <w:r>
        <w:tab/>
        <w:t>(3)</w:t>
      </w:r>
      <w:r>
        <w:tab/>
        <w:t xml:space="preserve">If a disposition of a share in a corporate trustee is a dutiable transaction because of section 67, a person must not register or record — </w:t>
      </w:r>
    </w:p>
    <w:p>
      <w:pPr>
        <w:pStyle w:val="Indenta"/>
        <w:spacing w:before="60"/>
      </w:pPr>
      <w:r>
        <w:tab/>
        <w:t>(a)</w:t>
      </w:r>
      <w:r>
        <w:tab/>
        <w:t>the dutiable transaction; or</w:t>
      </w:r>
    </w:p>
    <w:p>
      <w:pPr>
        <w:pStyle w:val="Indenta"/>
        <w:spacing w:before="60"/>
      </w:pPr>
      <w:r>
        <w:tab/>
        <w:t>(b)</w:t>
      </w:r>
      <w:r>
        <w:tab/>
        <w:t>a transaction record for the dutiable transaction,</w:t>
      </w:r>
    </w:p>
    <w:p>
      <w:pPr>
        <w:pStyle w:val="Subsection"/>
        <w:spacing w:before="120"/>
      </w:pPr>
      <w:r>
        <w:tab/>
      </w:r>
      <w:r>
        <w:tab/>
        <w:t>in the books or records of the corporation unless the dutiable transaction is duty endorsed.</w:t>
      </w:r>
    </w:p>
    <w:p>
      <w:pPr>
        <w:pStyle w:val="Penstart"/>
      </w:pPr>
      <w:r>
        <w:tab/>
        <w:t>Penalty: a fine of $20 000.</w:t>
      </w:r>
    </w:p>
    <w:p>
      <w:pPr>
        <w:pStyle w:val="Subsection"/>
        <w:spacing w:before="140"/>
      </w:pPr>
      <w:r>
        <w:tab/>
        <w:t>(4)</w:t>
      </w:r>
      <w:r>
        <w:tab/>
        <w:t>A contravention of subsection (3) does not invalidate any right or obligation arising out of the disposition.</w:t>
      </w:r>
    </w:p>
    <w:p>
      <w:pPr>
        <w:pStyle w:val="Subsection"/>
        <w:spacing w:before="140"/>
      </w:pPr>
      <w:r>
        <w:tab/>
        <w:t>(5)</w:t>
      </w:r>
      <w:r>
        <w:tab/>
        <w:t xml:space="preserve">It is a defence to a charge of an offence under subsection (1) or (3) to prove that the accused person did not know and could not reasonably have been expected to have known that — </w:t>
      </w:r>
    </w:p>
    <w:p>
      <w:pPr>
        <w:pStyle w:val="Indenta"/>
        <w:spacing w:before="60"/>
      </w:pPr>
      <w:r>
        <w:tab/>
        <w:t>(a)</w:t>
      </w:r>
      <w:r>
        <w:tab/>
        <w:t>the transaction was a dutiable transaction; or</w:t>
      </w:r>
    </w:p>
    <w:p>
      <w:pPr>
        <w:pStyle w:val="Indenta"/>
        <w:spacing w:before="60"/>
      </w:pPr>
      <w:r>
        <w:tab/>
        <w:t>(b)</w:t>
      </w:r>
      <w:r>
        <w:tab/>
        <w:t>the transaction was not duty endorsed.</w:t>
      </w:r>
    </w:p>
    <w:p>
      <w:pPr>
        <w:pStyle w:val="Heading5"/>
      </w:pPr>
      <w:bookmarkStart w:id="1104" w:name="_Toc392162599"/>
      <w:bookmarkStart w:id="1105" w:name="_Toc413847404"/>
      <w:r>
        <w:rPr>
          <w:rStyle w:val="CharSectno"/>
        </w:rPr>
        <w:t>277</w:t>
      </w:r>
      <w:r>
        <w:t>.</w:t>
      </w:r>
      <w:r>
        <w:tab/>
        <w:t>Business licences not to be registered etc. unless duty endorsed or instrument lodged</w:t>
      </w:r>
      <w:bookmarkEnd w:id="1104"/>
      <w:bookmarkEnd w:id="1105"/>
    </w:p>
    <w:p>
      <w:pPr>
        <w:pStyle w:val="Subsection"/>
      </w:pPr>
      <w:r>
        <w:rPr>
          <w:b/>
        </w:rPr>
        <w:tab/>
      </w:r>
      <w:r>
        <w:t>(1)</w:t>
      </w:r>
      <w:r>
        <w:tab/>
        <w:t>In this section —</w:t>
      </w:r>
    </w:p>
    <w:p>
      <w:pPr>
        <w:pStyle w:val="Defstart"/>
      </w:pPr>
      <w:r>
        <w:rPr>
          <w:b/>
        </w:rPr>
        <w:tab/>
      </w:r>
      <w:r>
        <w:rPr>
          <w:rStyle w:val="CharDefText"/>
        </w:rPr>
        <w:t>business licence</w:t>
      </w:r>
      <w:r>
        <w:t xml:space="preserve"> has the meaning given in section 79.</w:t>
      </w:r>
    </w:p>
    <w:p>
      <w:pPr>
        <w:pStyle w:val="Subsection"/>
      </w:pPr>
      <w:r>
        <w:tab/>
        <w:t>(2)</w:t>
      </w:r>
      <w:r>
        <w:tab/>
        <w:t xml:space="preserve">If a business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 xml:space="preserve">in any register of business licences, </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business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Heading5"/>
      </w:pPr>
      <w:bookmarkStart w:id="1106" w:name="_Toc392162600"/>
      <w:bookmarkStart w:id="1107" w:name="_Toc413847405"/>
      <w:r>
        <w:rPr>
          <w:rStyle w:val="CharSectno"/>
        </w:rPr>
        <w:t>278</w:t>
      </w:r>
      <w:r>
        <w:t>.</w:t>
      </w:r>
      <w:r>
        <w:tab/>
        <w:t>Caveat as to dutiable transaction not to be registered unless transaction is duty endorsed or lodged</w:t>
      </w:r>
      <w:bookmarkEnd w:id="1106"/>
      <w:bookmarkEnd w:id="1107"/>
    </w:p>
    <w:p>
      <w:pPr>
        <w:pStyle w:val="Subsection"/>
      </w:pPr>
      <w:r>
        <w:tab/>
        <w:t>(1)</w:t>
      </w:r>
      <w:r>
        <w:tab/>
        <w:t xml:space="preserve">In this section — </w:t>
      </w:r>
    </w:p>
    <w:p>
      <w:pPr>
        <w:pStyle w:val="Defstart"/>
      </w:pPr>
      <w:r>
        <w:tab/>
      </w:r>
      <w:r>
        <w:rPr>
          <w:rStyle w:val="CharDefText"/>
        </w:rPr>
        <w:t>caveat</w:t>
      </w:r>
      <w:r>
        <w:t xml:space="preserve"> means a caveat lodged under the </w:t>
      </w:r>
      <w:r>
        <w:rPr>
          <w:i/>
        </w:rPr>
        <w:t>Mining Act 1978</w:t>
      </w:r>
      <w:r>
        <w:t>;</w:t>
      </w:r>
    </w:p>
    <w:p>
      <w:pPr>
        <w:pStyle w:val="Defstart"/>
      </w:pPr>
      <w:r>
        <w:tab/>
      </w:r>
      <w:r>
        <w:rPr>
          <w:rStyle w:val="CharDefText"/>
        </w:rPr>
        <w:t>registrar</w:t>
      </w:r>
      <w:r>
        <w:t xml:space="preserve"> means a mining registrar as defined in the </w:t>
      </w:r>
      <w:r>
        <w:rPr>
          <w:i/>
        </w:rPr>
        <w:t>Mining Act 1978</w:t>
      </w:r>
      <w:r>
        <w:t xml:space="preserve"> section 8(1).</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Footnotesection"/>
        <w:spacing w:before="100"/>
        <w:ind w:left="890" w:hanging="890"/>
      </w:pPr>
      <w:r>
        <w:tab/>
        <w:t>[Section 278 amended by No. 2 of 2014 s. 55.]</w:t>
      </w:r>
    </w:p>
    <w:p>
      <w:pPr>
        <w:pStyle w:val="Heading5"/>
      </w:pPr>
      <w:bookmarkStart w:id="1108" w:name="_Toc392162601"/>
      <w:bookmarkStart w:id="1109" w:name="_Toc413847406"/>
      <w:r>
        <w:rPr>
          <w:rStyle w:val="CharSectno"/>
        </w:rPr>
        <w:t>279</w:t>
      </w:r>
      <w:r>
        <w:t>.</w:t>
      </w:r>
      <w:r>
        <w:tab/>
        <w:t>Use of transaction records in civil proceedings</w:t>
      </w:r>
      <w:bookmarkEnd w:id="1108"/>
      <w:bookmarkEnd w:id="1109"/>
    </w:p>
    <w:p>
      <w:pPr>
        <w:pStyle w:val="Subsection"/>
      </w:pPr>
      <w:r>
        <w:tab/>
        <w:t>(1)</w:t>
      </w:r>
      <w:r>
        <w:tab/>
        <w:t>Unless a transaction record for a dutiable transaction is duty endorsed, then, other than in respect of criminal proceedings, the transaction record is not available for use in any proceedings before a court or tribunal.</w:t>
      </w:r>
    </w:p>
    <w:p>
      <w:pPr>
        <w:pStyle w:val="Subsection"/>
        <w:keepNext/>
      </w:pPr>
      <w:r>
        <w:tab/>
        <w:t>(2)</w:t>
      </w:r>
      <w:r>
        <w:tab/>
        <w:t xml:space="preserve">Subsection (1) does not apply to a transaction record — </w:t>
      </w:r>
    </w:p>
    <w:p>
      <w:pPr>
        <w:pStyle w:val="Indenta"/>
      </w:pPr>
      <w:r>
        <w:tab/>
        <w:t>(a)</w:t>
      </w:r>
      <w:r>
        <w:tab/>
        <w:t xml:space="preserve">where the person that produces the transaction record is the person liable to pay the duty — </w:t>
      </w:r>
    </w:p>
    <w:p>
      <w:pPr>
        <w:pStyle w:val="Indenti"/>
      </w:pPr>
      <w:r>
        <w:tab/>
        <w:t>(i)</w:t>
      </w:r>
      <w:r>
        <w:tab/>
        <w:t>if the transaction record has been transmitted to the Commissioner; or</w:t>
      </w:r>
    </w:p>
    <w:p>
      <w:pPr>
        <w:pStyle w:val="Indenti"/>
      </w:pPr>
      <w:r>
        <w:tab/>
        <w:t>(ii)</w:t>
      </w:r>
      <w:r>
        <w:tab/>
        <w:t>if the court or tribunal is satisfied that the transaction record will be transmitted to the Commissioner in accordance with arrangements approved by the court or tribunal;</w:t>
      </w:r>
    </w:p>
    <w:p>
      <w:pPr>
        <w:pStyle w:val="Indenta"/>
      </w:pPr>
      <w:r>
        <w:tab/>
      </w:r>
      <w:r>
        <w:tab/>
        <w:t>or</w:t>
      </w:r>
    </w:p>
    <w:p>
      <w:pPr>
        <w:pStyle w:val="Indenta"/>
      </w:pPr>
      <w:r>
        <w:tab/>
        <w:t>(b)</w:t>
      </w:r>
      <w:r>
        <w:tab/>
        <w:t xml:space="preserve">where the person that produces the transaction record is not the person liable to pay the duty — </w:t>
      </w:r>
    </w:p>
    <w:p>
      <w:pPr>
        <w:pStyle w:val="Indenti"/>
      </w:pPr>
      <w:r>
        <w:tab/>
        <w:t>(i)</w:t>
      </w:r>
      <w:r>
        <w:tab/>
        <w:t>if the name and address of the person so liable and the transaction record have been transmitted to the Commissioner; or</w:t>
      </w:r>
    </w:p>
    <w:p>
      <w:pPr>
        <w:pStyle w:val="Indenti"/>
      </w:pPr>
      <w:r>
        <w:tab/>
        <w:t>(ii)</w:t>
      </w:r>
      <w:r>
        <w:tab/>
        <w:t>if the court or tribunal is satisfied that the name and address of the person so liable and the transaction record will be transmitted to the Commissioner in accordance with arrangements approved by the court or tribunal.</w:t>
      </w:r>
    </w:p>
    <w:p>
      <w:pPr>
        <w:pStyle w:val="Subsection"/>
      </w:pPr>
      <w:r>
        <w:tab/>
        <w:t>(3)</w:t>
      </w:r>
      <w:r>
        <w:tab/>
        <w:t xml:space="preserve">Subsection (1) does not apply to — </w:t>
      </w:r>
    </w:p>
    <w:p>
      <w:pPr>
        <w:pStyle w:val="Indenta"/>
      </w:pPr>
      <w:r>
        <w:tab/>
        <w:t>(a)</w:t>
      </w:r>
      <w:r>
        <w:tab/>
        <w:t>a duty endorsed duplicate of a transaction record for a dutiable transaction; or</w:t>
      </w:r>
    </w:p>
    <w:p>
      <w:pPr>
        <w:pStyle w:val="Indenta"/>
      </w:pPr>
      <w:r>
        <w:tab/>
        <w:t>(b)</w:t>
      </w:r>
      <w:r>
        <w:tab/>
        <w:t>an unexecuted copy of an instrument that effects a dutiable transaction or an instrument that evidences a dutiable transaction if a court or tribunal is satisfied that a transaction record for the dutiable transaction is duty endorsed.</w:t>
      </w:r>
    </w:p>
    <w:p>
      <w:pPr>
        <w:pStyle w:val="Footnotesection"/>
      </w:pPr>
      <w:r>
        <w:tab/>
        <w:t>[Section 279 inserted by No. 29 of 2012 s. 8.]</w:t>
      </w:r>
    </w:p>
    <w:p>
      <w:pPr>
        <w:pStyle w:val="Heading5"/>
      </w:pPr>
      <w:bookmarkStart w:id="1110" w:name="_Toc392162602"/>
      <w:bookmarkStart w:id="1111" w:name="_Toc413847407"/>
      <w:r>
        <w:rPr>
          <w:rStyle w:val="CharSectno"/>
        </w:rPr>
        <w:t>280</w:t>
      </w:r>
      <w:r>
        <w:t>.</w:t>
      </w:r>
      <w:r>
        <w:tab/>
        <w:t>Unlodged instruments, duty of non</w:t>
      </w:r>
      <w:r>
        <w:noBreakHyphen/>
        <w:t>party to lodge</w:t>
      </w:r>
      <w:bookmarkEnd w:id="1110"/>
      <w:bookmarkEnd w:id="1111"/>
    </w:p>
    <w:p>
      <w:pPr>
        <w:pStyle w:val="Subsection"/>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1112" w:name="_Toc389126612"/>
      <w:bookmarkStart w:id="1113" w:name="_Toc392162603"/>
      <w:bookmarkStart w:id="1114" w:name="_Toc412735099"/>
      <w:bookmarkStart w:id="1115" w:name="_Toc412735522"/>
      <w:bookmarkStart w:id="1116" w:name="_Toc412819539"/>
      <w:bookmarkStart w:id="1117" w:name="_Toc413830299"/>
      <w:bookmarkStart w:id="1118" w:name="_Toc413847408"/>
      <w:r>
        <w:rPr>
          <w:rStyle w:val="CharDivNo"/>
          <w:sz w:val="28"/>
        </w:rPr>
        <w:t>Part 3</w:t>
      </w:r>
      <w:r>
        <w:rPr>
          <w:sz w:val="28"/>
        </w:rPr>
        <w:t> — </w:t>
      </w:r>
      <w:r>
        <w:rPr>
          <w:rStyle w:val="CharDivText"/>
          <w:sz w:val="28"/>
        </w:rPr>
        <w:t>Miscellaneous</w:t>
      </w:r>
      <w:bookmarkEnd w:id="1112"/>
      <w:bookmarkEnd w:id="1113"/>
      <w:bookmarkEnd w:id="1114"/>
      <w:bookmarkEnd w:id="1115"/>
      <w:bookmarkEnd w:id="1116"/>
      <w:bookmarkEnd w:id="1117"/>
      <w:bookmarkEnd w:id="1118"/>
    </w:p>
    <w:p>
      <w:pPr>
        <w:pStyle w:val="Heading5"/>
      </w:pPr>
      <w:bookmarkStart w:id="1119" w:name="_Toc392162604"/>
      <w:bookmarkStart w:id="1120" w:name="_Toc413847409"/>
      <w:r>
        <w:rPr>
          <w:rStyle w:val="CharSectno"/>
        </w:rPr>
        <w:t>281</w:t>
      </w:r>
      <w:r>
        <w:t>.</w:t>
      </w:r>
      <w:r>
        <w:tab/>
        <w:t>Transaction records etc., Commissioner’s power to destroy</w:t>
      </w:r>
      <w:bookmarkEnd w:id="1119"/>
      <w:bookmarkEnd w:id="1120"/>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1121" w:name="_Toc392162605"/>
      <w:bookmarkStart w:id="1122" w:name="_Toc413847410"/>
      <w:r>
        <w:rPr>
          <w:rStyle w:val="CharSectno"/>
        </w:rPr>
        <w:t>282</w:t>
      </w:r>
      <w:r>
        <w:t>.</w:t>
      </w:r>
      <w:r>
        <w:tab/>
        <w:t>Correction of errors</w:t>
      </w:r>
      <w:bookmarkEnd w:id="1121"/>
      <w:bookmarkEnd w:id="1122"/>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NotesPerm"/>
        <w:tabs>
          <w:tab w:val="left" w:pos="1800"/>
        </w:tabs>
        <w:ind w:left="1560" w:hanging="1418"/>
      </w:pPr>
      <w:r>
        <w:tab/>
        <w:t>Note:</w:t>
      </w:r>
      <w:r>
        <w:tab/>
        <w:t>The following are examples of clerical errors in an instrument that effects or evidences a dutiable transaction —</w:t>
      </w:r>
    </w:p>
    <w:p>
      <w:pPr>
        <w:pStyle w:val="NotesPerm"/>
        <w:numPr>
          <w:ilvl w:val="0"/>
          <w:numId w:val="28"/>
        </w:numPr>
        <w:tabs>
          <w:tab w:val="clear" w:pos="1920"/>
          <w:tab w:val="num" w:pos="1800"/>
        </w:tabs>
        <w:spacing w:before="80"/>
        <w:ind w:left="1775" w:hanging="215"/>
      </w:pPr>
      <w:r>
        <w:t>an accidental misdescription of property;</w:t>
      </w:r>
    </w:p>
    <w:p>
      <w:pPr>
        <w:pStyle w:val="NotesPerm"/>
        <w:numPr>
          <w:ilvl w:val="0"/>
          <w:numId w:val="28"/>
        </w:numPr>
        <w:tabs>
          <w:tab w:val="clear" w:pos="1920"/>
          <w:tab w:val="left" w:pos="1560"/>
          <w:tab w:val="num" w:pos="1800"/>
        </w:tabs>
        <w:spacing w:before="80"/>
        <w:ind w:left="1775" w:hanging="215"/>
      </w:pPr>
      <w:r>
        <w:t>an accidental misdescription of a party to the transaction.</w:t>
      </w:r>
    </w:p>
    <w:p>
      <w:pPr>
        <w:pStyle w:val="Heading5"/>
        <w:rPr>
          <w:snapToGrid w:val="0"/>
        </w:rPr>
      </w:pPr>
      <w:bookmarkStart w:id="1123" w:name="_Toc392162606"/>
      <w:bookmarkStart w:id="1124" w:name="_Toc413847411"/>
      <w:r>
        <w:rPr>
          <w:rStyle w:val="CharSectno"/>
        </w:rPr>
        <w:t>283</w:t>
      </w:r>
      <w:r>
        <w:t>.</w:t>
      </w:r>
      <w:r>
        <w:tab/>
      </w:r>
      <w:r>
        <w:rPr>
          <w:snapToGrid w:val="0"/>
        </w:rPr>
        <w:t>Amounts expressed in foreign currency</w:t>
      </w:r>
      <w:bookmarkEnd w:id="1123"/>
      <w:bookmarkEnd w:id="1124"/>
    </w:p>
    <w:p>
      <w:pPr>
        <w:pStyle w:val="Subsection"/>
        <w:rPr>
          <w:snapToGrid w:val="0"/>
        </w:rPr>
      </w:pPr>
      <w:r>
        <w:rPr>
          <w:snapToGrid w:val="0"/>
        </w:rPr>
        <w:tab/>
      </w:r>
      <w:r>
        <w:rPr>
          <w:snapToGrid w:val="0"/>
        </w:rPr>
        <w:tab/>
        <w:t xml:space="preserve">If an amount by reference to which duty has to be calculated is expressed in a currency other than the currency of </w:t>
      </w:r>
      <w:smartTag w:uri="urn:schemas-microsoft-com:office:smarttags" w:element="country-region">
        <w:r>
          <w:rPr>
            <w:snapToGrid w:val="0"/>
          </w:rPr>
          <w:t>Australia</w:t>
        </w:r>
      </w:smartTag>
      <w:r>
        <w:rPr>
          <w:snapToGrid w:val="0"/>
        </w:rPr>
        <w:t xml:space="preserve">, the amount is the amount expressed in Australian currency according to the buy rate of exchange reported by the Reserve Bank of </w:t>
      </w:r>
      <w:smartTag w:uri="urn:schemas-microsoft-com:office:smarttags" w:element="country-region">
        <w:r>
          <w:rPr>
            <w:snapToGrid w:val="0"/>
          </w:rPr>
          <w:t>Australia</w:t>
        </w:r>
      </w:smartTag>
      <w:r>
        <w:rPr>
          <w:snapToGrid w:val="0"/>
        </w:rPr>
        <w:t xml:space="preserve"> and applicable in </w:t>
      </w:r>
      <w:smartTag w:uri="urn:schemas-microsoft-com:office:smarttags" w:element="place">
        <w:smartTag w:uri="urn:schemas-microsoft-com:office:smarttags" w:element="country-region">
          <w:r>
            <w:rPr>
              <w:snapToGrid w:val="0"/>
            </w:rPr>
            <w:t>Australia</w:t>
          </w:r>
        </w:smartTag>
      </w:smartTag>
      <w:r>
        <w:rPr>
          <w:snapToGrid w:val="0"/>
        </w:rPr>
        <w:t xml:space="preserve">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 xml:space="preserve">if the rate is not obtainable for </w:t>
      </w:r>
      <w:smartTag w:uri="urn:schemas-microsoft-com:office:smarttags" w:element="country-region">
        <w:r>
          <w:rPr>
            <w:snapToGrid w:val="0"/>
          </w:rPr>
          <w:t>Australia</w:t>
        </w:r>
      </w:smartTag>
      <w:r>
        <w:rPr>
          <w:snapToGrid w:val="0"/>
        </w:rPr>
        <w:t xml:space="preserve"> on that day — the last earlier day on which the rate was obtainable for </w:t>
      </w:r>
      <w:smartTag w:uri="urn:schemas-microsoft-com:office:smarttags" w:element="place">
        <w:smartTag w:uri="urn:schemas-microsoft-com:office:smarttags" w:element="country-region">
          <w:r>
            <w:rPr>
              <w:snapToGrid w:val="0"/>
            </w:rPr>
            <w:t>Australia</w:t>
          </w:r>
        </w:smartTag>
      </w:smartTag>
      <w:r>
        <w:rPr>
          <w:snapToGrid w:val="0"/>
        </w:rPr>
        <w:t>.</w:t>
      </w:r>
    </w:p>
    <w:p>
      <w:pPr>
        <w:pStyle w:val="Heading5"/>
      </w:pPr>
      <w:bookmarkStart w:id="1125" w:name="_Toc392162607"/>
      <w:bookmarkStart w:id="1126" w:name="_Toc413847412"/>
      <w:r>
        <w:rPr>
          <w:rStyle w:val="CharSectno"/>
        </w:rPr>
        <w:t>284</w:t>
      </w:r>
      <w:r>
        <w:t>.</w:t>
      </w:r>
      <w:r>
        <w:tab/>
        <w:t>Application of Corporations Act s. 1070A(1)(a) limited</w:t>
      </w:r>
      <w:bookmarkEnd w:id="1125"/>
      <w:bookmarkEnd w:id="1126"/>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pPr>
      <w:bookmarkStart w:id="1127" w:name="_Toc392162608"/>
      <w:bookmarkStart w:id="1128" w:name="_Toc413847413"/>
      <w:r>
        <w:rPr>
          <w:rStyle w:val="CharSectno"/>
        </w:rPr>
        <w:t>285</w:t>
      </w:r>
      <w:r>
        <w:t>.</w:t>
      </w:r>
      <w:r>
        <w:tab/>
        <w:t>Regulations</w:t>
      </w:r>
      <w:bookmarkEnd w:id="1127"/>
      <w:bookmarkEnd w:id="1128"/>
    </w:p>
    <w:p>
      <w:pPr>
        <w:pStyle w:val="Subsection"/>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1129" w:name="_Toc392162609"/>
      <w:bookmarkStart w:id="1130" w:name="_Toc413847414"/>
      <w:r>
        <w:rPr>
          <w:rStyle w:val="CharSectno"/>
        </w:rPr>
        <w:t>286</w:t>
      </w:r>
      <w:r>
        <w:t>.</w:t>
      </w:r>
      <w:r>
        <w:tab/>
        <w:t>Transitional provisions (Sch. 3)</w:t>
      </w:r>
      <w:bookmarkEnd w:id="1129"/>
      <w:bookmarkEnd w:id="1130"/>
    </w:p>
    <w:p>
      <w:pPr>
        <w:pStyle w:val="Subsection"/>
      </w:pPr>
      <w:r>
        <w:tab/>
      </w:r>
      <w:r>
        <w:tab/>
        <w:t>Schedule 3 sets out transitional provisions.</w:t>
      </w:r>
    </w:p>
    <w:p>
      <w:pPr>
        <w:pStyle w:val="Subsection"/>
        <w:sectPr>
          <w:headerReference w:type="even" r:id="rId35"/>
          <w:headerReference w:type="default" r:id="rId36"/>
          <w:headerReference w:type="first" r:id="rId37"/>
          <w:endnotePr>
            <w:numFmt w:val="decimal"/>
          </w:endnotePr>
          <w:pgSz w:w="11907" w:h="16840" w:code="9"/>
          <w:pgMar w:top="2381" w:right="2410" w:bottom="3544" w:left="2410" w:header="720" w:footer="3380" w:gutter="0"/>
          <w:pgNumType w:start="1"/>
          <w:cols w:space="720"/>
          <w:titlePg/>
          <w:docGrid w:linePitch="326"/>
        </w:sectPr>
      </w:pPr>
    </w:p>
    <w:p>
      <w:pPr>
        <w:pStyle w:val="yScheduleHeading"/>
      </w:pPr>
      <w:bookmarkStart w:id="1131" w:name="_Toc389126619"/>
      <w:bookmarkStart w:id="1132" w:name="_Toc392162610"/>
      <w:bookmarkStart w:id="1133" w:name="_Toc412735106"/>
      <w:bookmarkStart w:id="1134" w:name="_Toc412735529"/>
      <w:bookmarkStart w:id="1135" w:name="_Toc412819546"/>
      <w:bookmarkStart w:id="1136" w:name="_Toc413830306"/>
      <w:bookmarkStart w:id="1137" w:name="_Toc413847415"/>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1131"/>
      <w:bookmarkEnd w:id="1132"/>
      <w:bookmarkEnd w:id="1133"/>
      <w:bookmarkEnd w:id="1134"/>
      <w:bookmarkEnd w:id="1135"/>
      <w:bookmarkEnd w:id="1136"/>
      <w:bookmarkEnd w:id="1137"/>
    </w:p>
    <w:p>
      <w:pPr>
        <w:pStyle w:val="yShoulderClause"/>
        <w:spacing w:after="120"/>
      </w:pPr>
      <w:r>
        <w:t>[s. 19 and 20]</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701"/>
        <w:gridCol w:w="1842"/>
        <w:gridCol w:w="1985"/>
      </w:tblGrid>
      <w:tr>
        <w:trPr>
          <w:cantSplit/>
          <w:tblHeader/>
        </w:trPr>
        <w:tc>
          <w:tcPr>
            <w:tcW w:w="1560" w:type="dxa"/>
            <w:tcBorders>
              <w:left w:val="nil"/>
              <w:bottom w:val="single" w:sz="4" w:space="0" w:color="auto"/>
              <w:right w:val="nil"/>
            </w:tcBorders>
          </w:tcPr>
          <w:p>
            <w:pPr>
              <w:pStyle w:val="yTableNAm"/>
              <w:rPr>
                <w:b/>
              </w:rPr>
            </w:pPr>
            <w:r>
              <w:rPr>
                <w:b/>
              </w:rPr>
              <w:t>Column 1</w:t>
            </w:r>
          </w:p>
          <w:p>
            <w:pPr>
              <w:pStyle w:val="yTableNAm"/>
              <w:rPr>
                <w:b/>
              </w:rPr>
            </w:pPr>
            <w:r>
              <w:rPr>
                <w:b/>
              </w:rPr>
              <w:t>Provision of section 11</w:t>
            </w:r>
          </w:p>
        </w:tc>
        <w:tc>
          <w:tcPr>
            <w:tcW w:w="1701" w:type="dxa"/>
            <w:tcBorders>
              <w:left w:val="nil"/>
              <w:bottom w:val="single" w:sz="4" w:space="0" w:color="auto"/>
              <w:right w:val="nil"/>
            </w:tcBorders>
          </w:tcPr>
          <w:p>
            <w:pPr>
              <w:pStyle w:val="yTableNAm"/>
              <w:rPr>
                <w:b/>
              </w:rPr>
            </w:pPr>
            <w:r>
              <w:rPr>
                <w:b/>
              </w:rPr>
              <w:t>Column 2</w:t>
            </w:r>
          </w:p>
          <w:p>
            <w:pPr>
              <w:pStyle w:val="yTableNAm"/>
              <w:rPr>
                <w:b/>
              </w:rPr>
            </w:pPr>
            <w:r>
              <w:rPr>
                <w:b/>
              </w:rPr>
              <w:t>Dutiable transaction</w:t>
            </w:r>
          </w:p>
        </w:tc>
        <w:tc>
          <w:tcPr>
            <w:tcW w:w="1842" w:type="dxa"/>
            <w:tcBorders>
              <w:left w:val="nil"/>
              <w:bottom w:val="single" w:sz="4" w:space="0" w:color="auto"/>
              <w:right w:val="nil"/>
            </w:tcBorders>
          </w:tcPr>
          <w:p>
            <w:pPr>
              <w:pStyle w:val="yTableNAm"/>
              <w:rPr>
                <w:b/>
              </w:rPr>
            </w:pPr>
            <w:r>
              <w:rPr>
                <w:b/>
              </w:rPr>
              <w:t>Column 3</w:t>
            </w:r>
          </w:p>
          <w:p>
            <w:pPr>
              <w:pStyle w:val="yTableNAm"/>
              <w:rPr>
                <w:b/>
              </w:rPr>
            </w:pPr>
            <w:r>
              <w:rPr>
                <w:b/>
              </w:rPr>
              <w:t>When liability for transfer duty arises</w:t>
            </w:r>
          </w:p>
        </w:tc>
        <w:tc>
          <w:tcPr>
            <w:tcW w:w="1985" w:type="dxa"/>
            <w:tcBorders>
              <w:left w:val="nil"/>
              <w:bottom w:val="single" w:sz="4" w:space="0" w:color="auto"/>
              <w:right w:val="nil"/>
            </w:tcBorders>
          </w:tcPr>
          <w:p>
            <w:pPr>
              <w:pStyle w:val="yTableNAm"/>
              <w:rPr>
                <w:b/>
              </w:rPr>
            </w:pPr>
            <w:r>
              <w:rPr>
                <w:b/>
              </w:rPr>
              <w:t>Column 4</w:t>
            </w:r>
          </w:p>
          <w:p>
            <w:pPr>
              <w:pStyle w:val="yTableNAm"/>
              <w:rPr>
                <w:b/>
              </w:rPr>
            </w:pPr>
            <w:r>
              <w:rPr>
                <w:b/>
              </w:rPr>
              <w:t>Person liable to pay transfer duty</w:t>
            </w:r>
          </w:p>
        </w:tc>
      </w:tr>
      <w:tr>
        <w:trPr>
          <w:cantSplit/>
        </w:trPr>
        <w:tc>
          <w:tcPr>
            <w:tcW w:w="1560" w:type="dxa"/>
            <w:tcBorders>
              <w:top w:val="nil"/>
              <w:left w:val="nil"/>
              <w:bottom w:val="nil"/>
              <w:right w:val="nil"/>
            </w:tcBorders>
          </w:tcPr>
          <w:p>
            <w:pPr>
              <w:pStyle w:val="yTableNAm"/>
            </w:pPr>
            <w:r>
              <w:t>s. 11(1)(a)</w:t>
            </w:r>
          </w:p>
        </w:tc>
        <w:tc>
          <w:tcPr>
            <w:tcW w:w="1701" w:type="dxa"/>
            <w:tcBorders>
              <w:top w:val="nil"/>
              <w:left w:val="nil"/>
              <w:bottom w:val="nil"/>
              <w:right w:val="nil"/>
            </w:tcBorders>
          </w:tcPr>
          <w:p>
            <w:pPr>
              <w:pStyle w:val="yTableNAm"/>
            </w:pPr>
            <w:r>
              <w:t>Transfer</w:t>
            </w:r>
          </w:p>
        </w:tc>
        <w:tc>
          <w:tcPr>
            <w:tcW w:w="1842" w:type="dxa"/>
            <w:tcBorders>
              <w:top w:val="nil"/>
              <w:left w:val="nil"/>
              <w:bottom w:val="nil"/>
              <w:right w:val="nil"/>
            </w:tcBorders>
          </w:tcPr>
          <w:p>
            <w:pPr>
              <w:pStyle w:val="yTableNAm"/>
            </w:pPr>
            <w:r>
              <w:t xml:space="preserve">When the property is transferred </w:t>
            </w:r>
          </w:p>
        </w:tc>
        <w:tc>
          <w:tcPr>
            <w:tcW w:w="1985" w:type="dxa"/>
            <w:tcBorders>
              <w:top w:val="nil"/>
              <w:left w:val="nil"/>
              <w:bottom w:val="nil"/>
              <w:right w:val="nil"/>
            </w:tcBorders>
          </w:tcPr>
          <w:p>
            <w:pPr>
              <w:pStyle w:val="yTableNAm"/>
            </w:pPr>
            <w:r>
              <w:t>Transferee</w:t>
            </w:r>
          </w:p>
        </w:tc>
      </w:tr>
      <w:tr>
        <w:trPr>
          <w:cantSplit/>
        </w:trPr>
        <w:tc>
          <w:tcPr>
            <w:tcW w:w="1560" w:type="dxa"/>
            <w:tcBorders>
              <w:top w:val="nil"/>
              <w:left w:val="nil"/>
              <w:bottom w:val="nil"/>
              <w:right w:val="nil"/>
            </w:tcBorders>
          </w:tcPr>
          <w:p>
            <w:pPr>
              <w:pStyle w:val="yTableNAm"/>
            </w:pPr>
            <w:r>
              <w:t>s. 11(1)(b)</w:t>
            </w:r>
          </w:p>
        </w:tc>
        <w:tc>
          <w:tcPr>
            <w:tcW w:w="1701" w:type="dxa"/>
            <w:tcBorders>
              <w:top w:val="nil"/>
              <w:left w:val="nil"/>
              <w:bottom w:val="nil"/>
              <w:right w:val="nil"/>
            </w:tcBorders>
          </w:tcPr>
          <w:p>
            <w:pPr>
              <w:pStyle w:val="yTableNAm"/>
            </w:pPr>
            <w:r>
              <w:t>Agreement for transfer</w:t>
            </w:r>
          </w:p>
        </w:tc>
        <w:tc>
          <w:tcPr>
            <w:tcW w:w="1842" w:type="dxa"/>
            <w:tcBorders>
              <w:top w:val="nil"/>
              <w:left w:val="nil"/>
              <w:bottom w:val="nil"/>
              <w:right w:val="nil"/>
            </w:tcBorders>
          </w:tcPr>
          <w:p>
            <w:pPr>
              <w:pStyle w:val="yTableNAm"/>
            </w:pPr>
            <w:r>
              <w:t>When the agreement is made</w:t>
            </w:r>
          </w:p>
        </w:tc>
        <w:tc>
          <w:tcPr>
            <w:tcW w:w="1985" w:type="dxa"/>
            <w:tcBorders>
              <w:top w:val="nil"/>
              <w:left w:val="nil"/>
              <w:bottom w:val="nil"/>
              <w:right w:val="nil"/>
            </w:tcBorders>
          </w:tcPr>
          <w:p>
            <w:pPr>
              <w:pStyle w:val="yTableNAm"/>
            </w:pPr>
            <w:r>
              <w:t>Purchaser or transferee</w:t>
            </w:r>
          </w:p>
        </w:tc>
      </w:tr>
      <w:tr>
        <w:trPr>
          <w:cantSplit/>
        </w:trPr>
        <w:tc>
          <w:tcPr>
            <w:tcW w:w="1560" w:type="dxa"/>
            <w:tcBorders>
              <w:top w:val="nil"/>
              <w:left w:val="nil"/>
              <w:bottom w:val="nil"/>
              <w:right w:val="nil"/>
            </w:tcBorders>
          </w:tcPr>
          <w:p>
            <w:pPr>
              <w:pStyle w:val="yTableNAm"/>
            </w:pPr>
            <w:r>
              <w:t>s. 11(1)(c)</w:t>
            </w:r>
          </w:p>
        </w:tc>
        <w:tc>
          <w:tcPr>
            <w:tcW w:w="1701" w:type="dxa"/>
            <w:tcBorders>
              <w:top w:val="nil"/>
              <w:left w:val="nil"/>
              <w:bottom w:val="nil"/>
              <w:right w:val="nil"/>
            </w:tcBorders>
          </w:tcPr>
          <w:p>
            <w:pPr>
              <w:pStyle w:val="yTableNAm"/>
            </w:pPr>
            <w:r>
              <w:t>Declaration of trust</w:t>
            </w:r>
          </w:p>
        </w:tc>
        <w:tc>
          <w:tcPr>
            <w:tcW w:w="1842" w:type="dxa"/>
            <w:tcBorders>
              <w:top w:val="nil"/>
              <w:left w:val="nil"/>
              <w:bottom w:val="nil"/>
              <w:right w:val="nil"/>
            </w:tcBorders>
          </w:tcPr>
          <w:p>
            <w:pPr>
              <w:pStyle w:val="yTableNAm"/>
            </w:pPr>
            <w:r>
              <w:t>When the declaration is made</w:t>
            </w:r>
          </w:p>
        </w:tc>
        <w:tc>
          <w:tcPr>
            <w:tcW w:w="1985" w:type="dxa"/>
            <w:tcBorders>
              <w:top w:val="nil"/>
              <w:left w:val="nil"/>
              <w:bottom w:val="nil"/>
              <w:right w:val="nil"/>
            </w:tcBorders>
          </w:tcPr>
          <w:p>
            <w:pPr>
              <w:pStyle w:val="yTableNAm"/>
            </w:pPr>
            <w:r>
              <w:t>Person making the declaration</w:t>
            </w:r>
          </w:p>
        </w:tc>
      </w:tr>
      <w:tr>
        <w:trPr>
          <w:cantSplit/>
        </w:trPr>
        <w:tc>
          <w:tcPr>
            <w:tcW w:w="1560" w:type="dxa"/>
            <w:tcBorders>
              <w:top w:val="nil"/>
              <w:left w:val="nil"/>
              <w:bottom w:val="nil"/>
              <w:right w:val="nil"/>
            </w:tcBorders>
          </w:tcPr>
          <w:p>
            <w:pPr>
              <w:pStyle w:val="yTableNAm"/>
            </w:pPr>
            <w:r>
              <w:t>s. 11(1)(d)(i)</w:t>
            </w:r>
          </w:p>
        </w:tc>
        <w:tc>
          <w:tcPr>
            <w:tcW w:w="1701" w:type="dxa"/>
            <w:tcBorders>
              <w:top w:val="nil"/>
              <w:left w:val="nil"/>
              <w:bottom w:val="nil"/>
              <w:right w:val="nil"/>
            </w:tcBorders>
          </w:tcPr>
          <w:p>
            <w:pPr>
              <w:pStyle w:val="yTableNAm"/>
            </w:pPr>
            <w:r>
              <w:t>Vesting by statute law</w:t>
            </w:r>
          </w:p>
        </w:tc>
        <w:tc>
          <w:tcPr>
            <w:tcW w:w="1842" w:type="dxa"/>
            <w:tcBorders>
              <w:top w:val="nil"/>
              <w:left w:val="nil"/>
              <w:bottom w:val="nil"/>
              <w:right w:val="nil"/>
            </w:tcBorders>
          </w:tcPr>
          <w:p>
            <w:pPr>
              <w:pStyle w:val="yTableNAm"/>
            </w:pPr>
            <w:r>
              <w:t>When the vesting takes place</w:t>
            </w:r>
          </w:p>
        </w:tc>
        <w:tc>
          <w:tcPr>
            <w:tcW w:w="1985" w:type="dxa"/>
            <w:tcBorders>
              <w:top w:val="nil"/>
              <w:left w:val="nil"/>
              <w:bottom w:val="nil"/>
              <w:right w:val="nil"/>
            </w:tcBorders>
          </w:tcPr>
          <w:p>
            <w:pPr>
              <w:pStyle w:val="yTableNAm"/>
            </w:pPr>
            <w:r>
              <w:t>Person in whom the property is vested</w:t>
            </w:r>
          </w:p>
        </w:tc>
      </w:tr>
      <w:tr>
        <w:trPr>
          <w:cantSplit/>
        </w:trPr>
        <w:tc>
          <w:tcPr>
            <w:tcW w:w="1560" w:type="dxa"/>
            <w:tcBorders>
              <w:top w:val="nil"/>
              <w:left w:val="nil"/>
              <w:bottom w:val="nil"/>
              <w:right w:val="nil"/>
            </w:tcBorders>
          </w:tcPr>
          <w:p>
            <w:pPr>
              <w:pStyle w:val="yTableNAm"/>
            </w:pPr>
            <w:r>
              <w:t>s. 11(1)(d)(ii)</w:t>
            </w:r>
          </w:p>
        </w:tc>
        <w:tc>
          <w:tcPr>
            <w:tcW w:w="1701" w:type="dxa"/>
            <w:tcBorders>
              <w:top w:val="nil"/>
              <w:left w:val="nil"/>
              <w:bottom w:val="nil"/>
              <w:right w:val="nil"/>
            </w:tcBorders>
          </w:tcPr>
          <w:p>
            <w:pPr>
              <w:pStyle w:val="yTableNAm"/>
            </w:pPr>
            <w:r>
              <w:t>Vesting by court order</w:t>
            </w:r>
          </w:p>
        </w:tc>
        <w:tc>
          <w:tcPr>
            <w:tcW w:w="1842" w:type="dxa"/>
            <w:tcBorders>
              <w:top w:val="nil"/>
              <w:left w:val="nil"/>
              <w:bottom w:val="nil"/>
              <w:right w:val="nil"/>
            </w:tcBorders>
          </w:tcPr>
          <w:p>
            <w:pPr>
              <w:pStyle w:val="yTableNAm"/>
            </w:pPr>
            <w:r>
              <w:t>When the order is made</w:t>
            </w:r>
          </w:p>
        </w:tc>
        <w:tc>
          <w:tcPr>
            <w:tcW w:w="1985" w:type="dxa"/>
            <w:tcBorders>
              <w:top w:val="nil"/>
              <w:left w:val="nil"/>
              <w:bottom w:val="nil"/>
              <w:right w:val="nil"/>
            </w:tcBorders>
          </w:tcPr>
          <w:p>
            <w:pPr>
              <w:pStyle w:val="yTableNAm"/>
            </w:pPr>
            <w:r>
              <w:t>Person in whom the property is vested</w:t>
            </w:r>
          </w:p>
        </w:tc>
      </w:tr>
      <w:tr>
        <w:trPr>
          <w:cantSplit/>
        </w:trPr>
        <w:tc>
          <w:tcPr>
            <w:tcW w:w="1560" w:type="dxa"/>
            <w:tcBorders>
              <w:top w:val="nil"/>
              <w:left w:val="nil"/>
              <w:bottom w:val="nil"/>
              <w:right w:val="nil"/>
            </w:tcBorders>
          </w:tcPr>
          <w:p>
            <w:pPr>
              <w:pStyle w:val="yTableNAm"/>
            </w:pPr>
            <w:r>
              <w:t>s. 11(1)(e)</w:t>
            </w:r>
          </w:p>
        </w:tc>
        <w:tc>
          <w:tcPr>
            <w:tcW w:w="1701" w:type="dxa"/>
            <w:tcBorders>
              <w:top w:val="nil"/>
              <w:left w:val="nil"/>
              <w:bottom w:val="nil"/>
              <w:right w:val="nil"/>
            </w:tcBorders>
          </w:tcPr>
          <w:p>
            <w:pPr>
              <w:pStyle w:val="yTableNAm"/>
            </w:pPr>
            <w:r>
              <w:t>Foreclosure of mortgage</w:t>
            </w:r>
          </w:p>
        </w:tc>
        <w:tc>
          <w:tcPr>
            <w:tcW w:w="1842" w:type="dxa"/>
            <w:tcBorders>
              <w:top w:val="nil"/>
              <w:left w:val="nil"/>
              <w:bottom w:val="nil"/>
              <w:right w:val="nil"/>
            </w:tcBorders>
          </w:tcPr>
          <w:p>
            <w:pPr>
              <w:pStyle w:val="yTableNAm"/>
            </w:pPr>
            <w:r>
              <w:t>When the foreclosure order is made</w:t>
            </w:r>
          </w:p>
        </w:tc>
        <w:tc>
          <w:tcPr>
            <w:tcW w:w="1985" w:type="dxa"/>
            <w:tcBorders>
              <w:top w:val="nil"/>
              <w:left w:val="nil"/>
              <w:bottom w:val="nil"/>
              <w:right w:val="nil"/>
            </w:tcBorders>
          </w:tcPr>
          <w:p>
            <w:pPr>
              <w:pStyle w:val="yTableNAm"/>
            </w:pPr>
            <w:r>
              <w:t>Mortgagee</w:t>
            </w:r>
          </w:p>
        </w:tc>
      </w:tr>
      <w:tr>
        <w:trPr>
          <w:cantSplit/>
          <w:trHeight w:val="1508"/>
        </w:trPr>
        <w:tc>
          <w:tcPr>
            <w:tcW w:w="1560" w:type="dxa"/>
            <w:tcBorders>
              <w:top w:val="nil"/>
              <w:left w:val="nil"/>
              <w:bottom w:val="nil"/>
              <w:right w:val="nil"/>
            </w:tcBorders>
          </w:tcPr>
          <w:p>
            <w:pPr>
              <w:pStyle w:val="yTableNAm"/>
            </w:pPr>
            <w:r>
              <w:t>s. 11(1)(f)</w:t>
            </w:r>
          </w:p>
        </w:tc>
        <w:tc>
          <w:tcPr>
            <w:tcW w:w="1701" w:type="dxa"/>
            <w:tcBorders>
              <w:top w:val="nil"/>
              <w:left w:val="nil"/>
              <w:bottom w:val="nil"/>
              <w:right w:val="nil"/>
            </w:tcBorders>
          </w:tcPr>
          <w:p>
            <w:pPr>
              <w:pStyle w:val="yTableNAm"/>
            </w:pPr>
            <w:r>
              <w:t>Acquisition of new dutiable property</w:t>
            </w:r>
          </w:p>
        </w:tc>
        <w:tc>
          <w:tcPr>
            <w:tcW w:w="1842"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property is </w:t>
            </w:r>
            <w:r>
              <w:tab/>
              <w:t>acquired; or</w:t>
            </w:r>
          </w:p>
        </w:tc>
        <w:tc>
          <w:tcPr>
            <w:tcW w:w="1985" w:type="dxa"/>
            <w:tcBorders>
              <w:top w:val="nil"/>
              <w:left w:val="nil"/>
              <w:bottom w:val="nil"/>
              <w:right w:val="nil"/>
            </w:tcBorders>
          </w:tcPr>
          <w:p>
            <w:pPr>
              <w:pStyle w:val="yTableNAm"/>
            </w:pPr>
            <w:r>
              <w:t>Person that acquires the property</w:t>
            </w:r>
          </w:p>
        </w:tc>
      </w:tr>
      <w:tr>
        <w:trPr>
          <w:cantSplit/>
          <w:trHeight w:val="1869"/>
        </w:trPr>
        <w:tc>
          <w:tcPr>
            <w:tcW w:w="1560" w:type="dxa"/>
            <w:tcBorders>
              <w:top w:val="nil"/>
              <w:left w:val="nil"/>
              <w:bottom w:val="nil"/>
              <w:right w:val="nil"/>
            </w:tcBorders>
          </w:tcPr>
          <w:p>
            <w:pPr>
              <w:pStyle w:val="yTableNAm"/>
            </w:pPr>
          </w:p>
        </w:tc>
        <w:tc>
          <w:tcPr>
            <w:tcW w:w="1701" w:type="dxa"/>
            <w:tcBorders>
              <w:top w:val="nil"/>
              <w:left w:val="nil"/>
              <w:bottom w:val="nil"/>
              <w:right w:val="nil"/>
            </w:tcBorders>
          </w:tcPr>
          <w:p>
            <w:pPr>
              <w:pStyle w:val="yTableNAm"/>
            </w:pPr>
          </w:p>
        </w:tc>
        <w:tc>
          <w:tcPr>
            <w:tcW w:w="1842" w:type="dxa"/>
            <w:tcBorders>
              <w:top w:val="nil"/>
              <w:left w:val="nil"/>
              <w:bottom w:val="nil"/>
              <w:right w:val="nil"/>
            </w:tcBorders>
          </w:tcPr>
          <w:p>
            <w:pPr>
              <w:pStyle w:val="yTableNAm"/>
            </w:pPr>
            <w:r>
              <w:t>(b)</w:t>
            </w:r>
            <w:r>
              <w:tab/>
              <w:t xml:space="preserve">if an </w:t>
            </w:r>
            <w:r>
              <w:tab/>
              <w:t xml:space="preserve">instrument </w:t>
            </w:r>
            <w:r>
              <w:tab/>
              <w:t xml:space="preserve">evidences </w:t>
            </w:r>
            <w:r>
              <w:tab/>
              <w:t xml:space="preserve">the </w:t>
            </w:r>
            <w:r>
              <w:tab/>
              <w:t xml:space="preserve">acquisition, </w:t>
            </w:r>
            <w:r>
              <w:tab/>
              <w:t xml:space="preserve">when the </w:t>
            </w:r>
            <w:r>
              <w:tab/>
              <w:t xml:space="preserve">instrument </w:t>
            </w:r>
            <w:r>
              <w:tab/>
              <w:t>is executed</w:t>
            </w:r>
          </w:p>
        </w:tc>
        <w:tc>
          <w:tcPr>
            <w:tcW w:w="1985" w:type="dxa"/>
            <w:tcBorders>
              <w:top w:val="nil"/>
              <w:left w:val="nil"/>
              <w:bottom w:val="nil"/>
              <w:right w:val="nil"/>
            </w:tcBorders>
          </w:tcPr>
          <w:p>
            <w:pPr>
              <w:pStyle w:val="yTableNAm"/>
            </w:pPr>
          </w:p>
        </w:tc>
      </w:tr>
      <w:tr>
        <w:trPr>
          <w:cantSplit/>
        </w:trPr>
        <w:tc>
          <w:tcPr>
            <w:tcW w:w="1560" w:type="dxa"/>
            <w:tcBorders>
              <w:top w:val="nil"/>
              <w:left w:val="nil"/>
              <w:bottom w:val="nil"/>
              <w:right w:val="nil"/>
            </w:tcBorders>
          </w:tcPr>
          <w:p>
            <w:pPr>
              <w:pStyle w:val="yTableNAm"/>
            </w:pPr>
            <w:r>
              <w:t>s. 11(1)(g)</w:t>
            </w:r>
          </w:p>
        </w:tc>
        <w:tc>
          <w:tcPr>
            <w:tcW w:w="1701" w:type="dxa"/>
            <w:tcBorders>
              <w:top w:val="nil"/>
              <w:left w:val="nil"/>
              <w:bottom w:val="nil"/>
              <w:right w:val="nil"/>
            </w:tcBorders>
          </w:tcPr>
          <w:p>
            <w:pPr>
              <w:pStyle w:val="yTableNAm"/>
            </w:pPr>
            <w:r>
              <w:t>Surrender of special dutiable property</w:t>
            </w:r>
          </w:p>
        </w:tc>
        <w:tc>
          <w:tcPr>
            <w:tcW w:w="1842" w:type="dxa"/>
            <w:tcBorders>
              <w:top w:val="nil"/>
              <w:left w:val="nil"/>
              <w:bottom w:val="nil"/>
              <w:right w:val="nil"/>
            </w:tcBorders>
          </w:tcPr>
          <w:p>
            <w:pPr>
              <w:pStyle w:val="yTableNAm"/>
            </w:pPr>
            <w:r>
              <w:t>When the surrender takes place</w:t>
            </w:r>
          </w:p>
        </w:tc>
        <w:tc>
          <w:tcPr>
            <w:tcW w:w="1985" w:type="dxa"/>
            <w:tcBorders>
              <w:top w:val="nil"/>
              <w:left w:val="nil"/>
              <w:bottom w:val="nil"/>
              <w:right w:val="nil"/>
            </w:tcBorders>
          </w:tcPr>
          <w:p>
            <w:pPr>
              <w:pStyle w:val="yTableNAm"/>
            </w:pPr>
            <w:r>
              <w:t>Person to whom the interest is surrendered; or</w:t>
            </w:r>
          </w:p>
        </w:tc>
      </w:tr>
      <w:tr>
        <w:trPr>
          <w:cantSplit/>
        </w:trPr>
        <w:tc>
          <w:tcPr>
            <w:tcW w:w="1560" w:type="dxa"/>
            <w:tcBorders>
              <w:top w:val="nil"/>
              <w:left w:val="nil"/>
              <w:bottom w:val="nil"/>
              <w:right w:val="nil"/>
            </w:tcBorders>
          </w:tcPr>
          <w:p>
            <w:pPr>
              <w:pStyle w:val="yTableNAm"/>
            </w:pPr>
          </w:p>
        </w:tc>
        <w:tc>
          <w:tcPr>
            <w:tcW w:w="1701" w:type="dxa"/>
            <w:tcBorders>
              <w:top w:val="nil"/>
              <w:left w:val="nil"/>
              <w:bottom w:val="nil"/>
              <w:right w:val="nil"/>
            </w:tcBorders>
          </w:tcPr>
          <w:p>
            <w:pPr>
              <w:pStyle w:val="yTableNAm"/>
            </w:pPr>
          </w:p>
        </w:tc>
        <w:tc>
          <w:tcPr>
            <w:tcW w:w="1842" w:type="dxa"/>
            <w:tcBorders>
              <w:top w:val="nil"/>
              <w:left w:val="nil"/>
              <w:bottom w:val="nil"/>
              <w:right w:val="nil"/>
            </w:tcBorders>
          </w:tcPr>
          <w:p>
            <w:pPr>
              <w:pStyle w:val="yTableNAm"/>
            </w:pPr>
          </w:p>
        </w:tc>
        <w:tc>
          <w:tcPr>
            <w:tcW w:w="1985" w:type="dxa"/>
            <w:tcBorders>
              <w:top w:val="nil"/>
              <w:left w:val="nil"/>
              <w:bottom w:val="nil"/>
              <w:right w:val="nil"/>
            </w:tcBorders>
          </w:tcPr>
          <w:p>
            <w:pPr>
              <w:pStyle w:val="yTableNAm"/>
            </w:pPr>
            <w:r>
              <w:t>in the case of a surrender referred to in section 18(f), the person to whom the mining tenement is granted in accordance with the agreement; or</w:t>
            </w:r>
          </w:p>
        </w:tc>
      </w:tr>
      <w:tr>
        <w:trPr>
          <w:cantSplit/>
        </w:trPr>
        <w:tc>
          <w:tcPr>
            <w:tcW w:w="1560" w:type="dxa"/>
            <w:tcBorders>
              <w:top w:val="nil"/>
              <w:left w:val="nil"/>
              <w:bottom w:val="nil"/>
              <w:right w:val="nil"/>
            </w:tcBorders>
          </w:tcPr>
          <w:p>
            <w:pPr>
              <w:pStyle w:val="yTableNAm"/>
            </w:pPr>
          </w:p>
        </w:tc>
        <w:tc>
          <w:tcPr>
            <w:tcW w:w="1701" w:type="dxa"/>
            <w:tcBorders>
              <w:top w:val="nil"/>
              <w:left w:val="nil"/>
              <w:bottom w:val="nil"/>
              <w:right w:val="nil"/>
            </w:tcBorders>
          </w:tcPr>
          <w:p>
            <w:pPr>
              <w:pStyle w:val="yTableNAm"/>
            </w:pPr>
          </w:p>
        </w:tc>
        <w:tc>
          <w:tcPr>
            <w:tcW w:w="1842" w:type="dxa"/>
            <w:tcBorders>
              <w:top w:val="nil"/>
              <w:left w:val="nil"/>
              <w:bottom w:val="nil"/>
              <w:right w:val="nil"/>
            </w:tcBorders>
          </w:tcPr>
          <w:p>
            <w:pPr>
              <w:pStyle w:val="yTableNAm"/>
            </w:pPr>
          </w:p>
        </w:tc>
        <w:tc>
          <w:tcPr>
            <w:tcW w:w="1985" w:type="dxa"/>
            <w:tcBorders>
              <w:top w:val="nil"/>
              <w:left w:val="nil"/>
              <w:bottom w:val="nil"/>
              <w:right w:val="nil"/>
            </w:tcBorders>
          </w:tcPr>
          <w:p>
            <w:pPr>
              <w:pStyle w:val="yTableNAm"/>
            </w:pPr>
            <w:r>
              <w:t>in the case of a surrender referred to in section 18(g), the person that paid the consideration for the surrender</w:t>
            </w:r>
          </w:p>
        </w:tc>
      </w:tr>
      <w:tr>
        <w:trPr>
          <w:cantSplit/>
        </w:trPr>
        <w:tc>
          <w:tcPr>
            <w:tcW w:w="1560" w:type="dxa"/>
            <w:tcBorders>
              <w:top w:val="nil"/>
              <w:left w:val="nil"/>
              <w:bottom w:val="nil"/>
              <w:right w:val="nil"/>
            </w:tcBorders>
          </w:tcPr>
          <w:p>
            <w:pPr>
              <w:pStyle w:val="yTableNAm"/>
            </w:pPr>
            <w:r>
              <w:t xml:space="preserve">s. 11(1)(h) </w:t>
            </w:r>
          </w:p>
        </w:tc>
        <w:tc>
          <w:tcPr>
            <w:tcW w:w="1701" w:type="dxa"/>
            <w:tcBorders>
              <w:top w:val="nil"/>
              <w:left w:val="nil"/>
              <w:bottom w:val="nil"/>
              <w:right w:val="nil"/>
            </w:tcBorders>
          </w:tcPr>
          <w:p>
            <w:pPr>
              <w:pStyle w:val="yTableNAm"/>
            </w:pPr>
            <w:r>
              <w:t xml:space="preserve">A trust acquisition or trust surrender </w:t>
            </w:r>
          </w:p>
        </w:tc>
        <w:tc>
          <w:tcPr>
            <w:tcW w:w="1842" w:type="dxa"/>
            <w:tcBorders>
              <w:top w:val="nil"/>
              <w:left w:val="nil"/>
              <w:bottom w:val="nil"/>
              <w:right w:val="nil"/>
            </w:tcBorders>
          </w:tcPr>
          <w:p>
            <w:pPr>
              <w:pStyle w:val="yTableNAm"/>
            </w:pPr>
            <w:r>
              <w:t>When the interest in the trust is acquired or surrendered</w:t>
            </w:r>
          </w:p>
        </w:tc>
        <w:tc>
          <w:tcPr>
            <w:tcW w:w="1985" w:type="dxa"/>
            <w:tcBorders>
              <w:top w:val="nil"/>
              <w:left w:val="nil"/>
              <w:bottom w:val="nil"/>
              <w:right w:val="nil"/>
            </w:tcBorders>
          </w:tcPr>
          <w:p>
            <w:pPr>
              <w:pStyle w:val="yTableNAm"/>
            </w:pPr>
            <w:r>
              <w:t>Person that is the trustee of the discretionary trust</w:t>
            </w:r>
          </w:p>
        </w:tc>
      </w:tr>
      <w:tr>
        <w:trPr>
          <w:cantSplit/>
        </w:trPr>
        <w:tc>
          <w:tcPr>
            <w:tcW w:w="1560" w:type="dxa"/>
            <w:tcBorders>
              <w:top w:val="nil"/>
              <w:left w:val="nil"/>
              <w:bottom w:val="nil"/>
              <w:right w:val="nil"/>
            </w:tcBorders>
          </w:tcPr>
          <w:p>
            <w:pPr>
              <w:pStyle w:val="yTableNAm"/>
            </w:pPr>
            <w:r>
              <w:t>s. 11(1)(i)</w:t>
            </w:r>
          </w:p>
        </w:tc>
        <w:tc>
          <w:tcPr>
            <w:tcW w:w="1701" w:type="dxa"/>
            <w:tcBorders>
              <w:top w:val="nil"/>
              <w:left w:val="nil"/>
              <w:bottom w:val="nil"/>
              <w:right w:val="nil"/>
            </w:tcBorders>
          </w:tcPr>
          <w:p>
            <w:pPr>
              <w:pStyle w:val="yTableNAm"/>
            </w:pPr>
            <w:r>
              <w:t>A partnership acquisition</w:t>
            </w:r>
          </w:p>
        </w:tc>
        <w:tc>
          <w:tcPr>
            <w:tcW w:w="1842"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partnership </w:t>
            </w:r>
            <w:r>
              <w:tab/>
              <w:t xml:space="preserve">interest is </w:t>
            </w:r>
            <w:r>
              <w:tab/>
              <w:t>acquired; or</w:t>
            </w:r>
          </w:p>
          <w:p>
            <w:pPr>
              <w:pStyle w:val="yTableNAm"/>
            </w:pPr>
            <w:r>
              <w:t>(b)</w:t>
            </w:r>
            <w:r>
              <w:tab/>
              <w:t xml:space="preserve">if the </w:t>
            </w:r>
            <w:r>
              <w:tab/>
              <w:t xml:space="preserve">acquisition </w:t>
            </w:r>
            <w:r>
              <w:tab/>
              <w:t xml:space="preserve">is </w:t>
            </w:r>
            <w:r>
              <w:tab/>
              <w:t xml:space="preserve">evidenced </w:t>
            </w:r>
            <w:r>
              <w:tab/>
              <w:t xml:space="preserve">by an </w:t>
            </w:r>
            <w:r>
              <w:tab/>
              <w:t xml:space="preserve">instrument, </w:t>
            </w:r>
            <w:r>
              <w:tab/>
              <w:t xml:space="preserve">when the </w:t>
            </w:r>
            <w:r>
              <w:tab/>
              <w:t xml:space="preserve">instrument </w:t>
            </w:r>
            <w:r>
              <w:tab/>
              <w:t>is executed</w:t>
            </w:r>
          </w:p>
        </w:tc>
        <w:tc>
          <w:tcPr>
            <w:tcW w:w="1985" w:type="dxa"/>
            <w:tcBorders>
              <w:top w:val="nil"/>
              <w:left w:val="nil"/>
              <w:bottom w:val="nil"/>
              <w:right w:val="nil"/>
            </w:tcBorders>
          </w:tcPr>
          <w:p>
            <w:pPr>
              <w:pStyle w:val="yTableNAm"/>
            </w:pPr>
            <w:r>
              <w:t>Person that acquires the partnership interest</w:t>
            </w:r>
          </w:p>
        </w:tc>
      </w:tr>
      <w:tr>
        <w:trPr>
          <w:cantSplit/>
        </w:trPr>
        <w:tc>
          <w:tcPr>
            <w:tcW w:w="1560" w:type="dxa"/>
            <w:tcBorders>
              <w:top w:val="nil"/>
              <w:left w:val="nil"/>
              <w:bottom w:val="single" w:sz="4" w:space="0" w:color="auto"/>
              <w:right w:val="nil"/>
            </w:tcBorders>
          </w:tcPr>
          <w:p>
            <w:pPr>
              <w:pStyle w:val="yTableNAm"/>
            </w:pPr>
            <w:r>
              <w:t>s. 11(1)(j)</w:t>
            </w:r>
          </w:p>
        </w:tc>
        <w:tc>
          <w:tcPr>
            <w:tcW w:w="1701" w:type="dxa"/>
            <w:tcBorders>
              <w:top w:val="nil"/>
              <w:left w:val="nil"/>
              <w:bottom w:val="single" w:sz="4" w:space="0" w:color="auto"/>
              <w:right w:val="nil"/>
            </w:tcBorders>
          </w:tcPr>
          <w:p>
            <w:pPr>
              <w:pStyle w:val="yTableNAm"/>
            </w:pPr>
            <w:r>
              <w:t>A farm</w:t>
            </w:r>
            <w:r>
              <w:noBreakHyphen/>
              <w:t>in agreement</w:t>
            </w:r>
          </w:p>
        </w:tc>
        <w:tc>
          <w:tcPr>
            <w:tcW w:w="1842" w:type="dxa"/>
            <w:tcBorders>
              <w:top w:val="nil"/>
              <w:left w:val="nil"/>
              <w:bottom w:val="single" w:sz="4" w:space="0" w:color="auto"/>
              <w:right w:val="nil"/>
            </w:tcBorders>
          </w:tcPr>
          <w:p>
            <w:pPr>
              <w:pStyle w:val="yTableNAm"/>
            </w:pPr>
            <w:r>
              <w:t>When the agreement is made</w:t>
            </w:r>
          </w:p>
        </w:tc>
        <w:tc>
          <w:tcPr>
            <w:tcW w:w="1985" w:type="dxa"/>
            <w:tcBorders>
              <w:top w:val="nil"/>
              <w:left w:val="nil"/>
              <w:bottom w:val="single" w:sz="4" w:space="0" w:color="auto"/>
              <w:right w:val="nil"/>
            </w:tcBorders>
          </w:tcPr>
          <w:p>
            <w:pPr>
              <w:pStyle w:val="yTableNAm"/>
            </w:pPr>
            <w:r>
              <w:t>Person referred to in section 13(1)(b)</w:t>
            </w:r>
          </w:p>
        </w:tc>
      </w:tr>
    </w:tbl>
    <w:p>
      <w:pPr>
        <w:pStyle w:val="yScheduleHeading"/>
      </w:pPr>
      <w:bookmarkStart w:id="1138" w:name="_Toc389126620"/>
      <w:bookmarkStart w:id="1139" w:name="_Toc392162611"/>
      <w:bookmarkStart w:id="1140" w:name="_Toc412735107"/>
      <w:bookmarkStart w:id="1141" w:name="_Toc412735530"/>
      <w:bookmarkStart w:id="1142" w:name="_Toc412819547"/>
      <w:bookmarkStart w:id="1143" w:name="_Toc413830307"/>
      <w:bookmarkStart w:id="1144" w:name="_Toc413847416"/>
      <w:r>
        <w:rPr>
          <w:rStyle w:val="CharSchNo"/>
        </w:rPr>
        <w:t>Schedule 2</w:t>
      </w:r>
      <w:r>
        <w:t> — </w:t>
      </w:r>
      <w:r>
        <w:rPr>
          <w:rStyle w:val="CharSchText"/>
        </w:rPr>
        <w:t>Rates of transfer duty</w:t>
      </w:r>
      <w:bookmarkEnd w:id="1138"/>
      <w:bookmarkEnd w:id="1139"/>
      <w:bookmarkEnd w:id="1140"/>
      <w:bookmarkEnd w:id="1141"/>
      <w:bookmarkEnd w:id="1142"/>
      <w:bookmarkEnd w:id="1143"/>
      <w:bookmarkEnd w:id="1144"/>
    </w:p>
    <w:p>
      <w:pPr>
        <w:pStyle w:val="yHeading3"/>
      </w:pPr>
      <w:bookmarkStart w:id="1145" w:name="_Toc389126621"/>
      <w:bookmarkStart w:id="1146" w:name="_Toc392162612"/>
      <w:bookmarkStart w:id="1147" w:name="_Toc412735108"/>
      <w:bookmarkStart w:id="1148" w:name="_Toc412735531"/>
      <w:bookmarkStart w:id="1149" w:name="_Toc412819548"/>
      <w:bookmarkStart w:id="1150" w:name="_Toc413830308"/>
      <w:bookmarkStart w:id="1151" w:name="_Toc413847417"/>
      <w:r>
        <w:rPr>
          <w:rStyle w:val="CharSDivNo"/>
        </w:rPr>
        <w:t>Division 1</w:t>
      </w:r>
      <w:r>
        <w:t> — </w:t>
      </w:r>
      <w:r>
        <w:rPr>
          <w:rStyle w:val="CharSDivText"/>
        </w:rPr>
        <w:t>General rate</w:t>
      </w:r>
      <w:bookmarkEnd w:id="1145"/>
      <w:bookmarkEnd w:id="1146"/>
      <w:bookmarkEnd w:id="1147"/>
      <w:bookmarkEnd w:id="1148"/>
      <w:bookmarkEnd w:id="1149"/>
      <w:bookmarkEnd w:id="1150"/>
      <w:bookmarkEnd w:id="1151"/>
    </w:p>
    <w:p>
      <w:pPr>
        <w:pStyle w:val="yShoulderClause"/>
        <w:spacing w:after="120"/>
      </w:pPr>
      <w:r>
        <w:t>[s. 26 and 184]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5"/>
        <w:gridCol w:w="4253"/>
      </w:tblGrid>
      <w:tr>
        <w:tc>
          <w:tcPr>
            <w:tcW w:w="2835" w:type="dxa"/>
            <w:tcBorders>
              <w:left w:val="nil"/>
              <w:bottom w:val="single" w:sz="4" w:space="0" w:color="auto"/>
              <w:right w:val="nil"/>
            </w:tcBorders>
          </w:tcPr>
          <w:p>
            <w:pPr>
              <w:pStyle w:val="yTableNAm"/>
              <w:rPr>
                <w:b/>
              </w:rPr>
            </w:pPr>
            <w:r>
              <w:rPr>
                <w:b/>
              </w:rPr>
              <w:t>Dutiable value</w:t>
            </w:r>
          </w:p>
        </w:tc>
        <w:tc>
          <w:tcPr>
            <w:tcW w:w="4253" w:type="dxa"/>
            <w:tcBorders>
              <w:left w:val="nil"/>
              <w:bottom w:val="single" w:sz="4" w:space="0" w:color="auto"/>
              <w:right w:val="nil"/>
            </w:tcBorders>
          </w:tcPr>
          <w:p>
            <w:pPr>
              <w:pStyle w:val="yTableNAm"/>
              <w:rPr>
                <w:b/>
              </w:rPr>
            </w:pPr>
            <w:r>
              <w:rPr>
                <w:b/>
              </w:rPr>
              <w:t>General rate of duty</w:t>
            </w:r>
          </w:p>
        </w:tc>
      </w:tr>
      <w:tr>
        <w:tc>
          <w:tcPr>
            <w:tcW w:w="2835" w:type="dxa"/>
            <w:tcBorders>
              <w:left w:val="nil"/>
              <w:bottom w:val="nil"/>
              <w:right w:val="nil"/>
            </w:tcBorders>
          </w:tcPr>
          <w:p>
            <w:pPr>
              <w:pStyle w:val="yTableNAm"/>
            </w:pPr>
            <w:r>
              <w:t>$ 0 — $80 000</w:t>
            </w:r>
          </w:p>
        </w:tc>
        <w:tc>
          <w:tcPr>
            <w:tcW w:w="4253" w:type="dxa"/>
            <w:tcBorders>
              <w:left w:val="nil"/>
              <w:bottom w:val="nil"/>
              <w:right w:val="nil"/>
            </w:tcBorders>
          </w:tcPr>
          <w:p>
            <w:pPr>
              <w:pStyle w:val="yTableNAm"/>
            </w:pPr>
            <w:r>
              <w:t>$1.90 per $100.00 or part of $100.00</w:t>
            </w:r>
          </w:p>
        </w:tc>
      </w:tr>
      <w:tr>
        <w:tc>
          <w:tcPr>
            <w:tcW w:w="2835" w:type="dxa"/>
            <w:tcBorders>
              <w:top w:val="nil"/>
              <w:left w:val="nil"/>
              <w:bottom w:val="nil"/>
              <w:right w:val="nil"/>
            </w:tcBorders>
          </w:tcPr>
          <w:p>
            <w:pPr>
              <w:pStyle w:val="yTableNAm"/>
            </w:pPr>
            <w:r>
              <w:t>$80 001 — $100 000</w:t>
            </w:r>
          </w:p>
        </w:tc>
        <w:tc>
          <w:tcPr>
            <w:tcW w:w="4253" w:type="dxa"/>
            <w:tcBorders>
              <w:top w:val="nil"/>
              <w:left w:val="nil"/>
              <w:bottom w:val="nil"/>
              <w:right w:val="nil"/>
            </w:tcBorders>
          </w:tcPr>
          <w:p>
            <w:pPr>
              <w:pStyle w:val="yTableNAm"/>
            </w:pPr>
            <w:r>
              <w:t>$1 520 + $2.85 per $100.00 or part of $100.00 above $80 000</w:t>
            </w:r>
          </w:p>
        </w:tc>
      </w:tr>
      <w:tr>
        <w:tc>
          <w:tcPr>
            <w:tcW w:w="2835" w:type="dxa"/>
            <w:tcBorders>
              <w:top w:val="nil"/>
              <w:left w:val="nil"/>
              <w:bottom w:val="nil"/>
              <w:right w:val="nil"/>
            </w:tcBorders>
          </w:tcPr>
          <w:p>
            <w:pPr>
              <w:pStyle w:val="yTableNAm"/>
            </w:pPr>
            <w:r>
              <w:t>$100 001 — $250 000</w:t>
            </w:r>
          </w:p>
        </w:tc>
        <w:tc>
          <w:tcPr>
            <w:tcW w:w="4253" w:type="dxa"/>
            <w:tcBorders>
              <w:top w:val="nil"/>
              <w:left w:val="nil"/>
              <w:bottom w:val="nil"/>
              <w:right w:val="nil"/>
            </w:tcBorders>
          </w:tcPr>
          <w:p>
            <w:pPr>
              <w:pStyle w:val="yTableNAm"/>
            </w:pPr>
            <w:r>
              <w:t>$2 090 + $3.80 per $100.00 or part of $100.00 above $100 000</w:t>
            </w:r>
          </w:p>
        </w:tc>
      </w:tr>
      <w:tr>
        <w:tc>
          <w:tcPr>
            <w:tcW w:w="2835" w:type="dxa"/>
            <w:tcBorders>
              <w:top w:val="nil"/>
              <w:left w:val="nil"/>
              <w:bottom w:val="nil"/>
              <w:right w:val="nil"/>
            </w:tcBorders>
          </w:tcPr>
          <w:p>
            <w:pPr>
              <w:pStyle w:val="yTableNAm"/>
            </w:pPr>
            <w:r>
              <w:t>$250 001 — $500 000</w:t>
            </w:r>
          </w:p>
        </w:tc>
        <w:tc>
          <w:tcPr>
            <w:tcW w:w="4253" w:type="dxa"/>
            <w:tcBorders>
              <w:top w:val="nil"/>
              <w:left w:val="nil"/>
              <w:bottom w:val="nil"/>
              <w:right w:val="nil"/>
            </w:tcBorders>
          </w:tcPr>
          <w:p>
            <w:pPr>
              <w:pStyle w:val="yTableNAm"/>
            </w:pPr>
            <w:r>
              <w:t>$7 790 + $4.75 per $100.00 or part of $100.00 above $250 000</w:t>
            </w:r>
          </w:p>
        </w:tc>
      </w:tr>
      <w:tr>
        <w:tc>
          <w:tcPr>
            <w:tcW w:w="2835" w:type="dxa"/>
            <w:tcBorders>
              <w:top w:val="nil"/>
              <w:left w:val="nil"/>
              <w:bottom w:val="single" w:sz="4" w:space="0" w:color="auto"/>
              <w:right w:val="nil"/>
            </w:tcBorders>
          </w:tcPr>
          <w:p>
            <w:pPr>
              <w:pStyle w:val="yTableNAm"/>
            </w:pPr>
            <w:r>
              <w:t>$500 001 and upwards</w:t>
            </w:r>
          </w:p>
        </w:tc>
        <w:tc>
          <w:tcPr>
            <w:tcW w:w="4253" w:type="dxa"/>
            <w:tcBorders>
              <w:top w:val="nil"/>
              <w:left w:val="nil"/>
              <w:bottom w:val="single" w:sz="4" w:space="0" w:color="auto"/>
              <w:right w:val="nil"/>
            </w:tcBorders>
          </w:tcPr>
          <w:p>
            <w:pPr>
              <w:pStyle w:val="yTableNAm"/>
            </w:pPr>
            <w:r>
              <w:t>$19 665 + $5.15 per $100.00 or part of $100.00 above $500 000</w:t>
            </w:r>
          </w:p>
        </w:tc>
      </w:tr>
    </w:tbl>
    <w:p>
      <w:pPr>
        <w:pStyle w:val="yHeading3"/>
      </w:pPr>
      <w:bookmarkStart w:id="1152" w:name="_Toc389126622"/>
      <w:bookmarkStart w:id="1153" w:name="_Toc392162613"/>
      <w:bookmarkStart w:id="1154" w:name="_Toc412735109"/>
      <w:bookmarkStart w:id="1155" w:name="_Toc412735532"/>
      <w:bookmarkStart w:id="1156" w:name="_Toc412819549"/>
      <w:bookmarkStart w:id="1157" w:name="_Toc413830309"/>
      <w:bookmarkStart w:id="1158" w:name="_Toc413847418"/>
      <w:r>
        <w:rPr>
          <w:rStyle w:val="CharSDivNo"/>
        </w:rPr>
        <w:t>Division 2</w:t>
      </w:r>
      <w:r>
        <w:t> — </w:t>
      </w:r>
      <w:r>
        <w:rPr>
          <w:rStyle w:val="CharSDivText"/>
        </w:rPr>
        <w:t>Concessional rates</w:t>
      </w:r>
      <w:bookmarkEnd w:id="1152"/>
      <w:bookmarkEnd w:id="1153"/>
      <w:bookmarkEnd w:id="1154"/>
      <w:bookmarkEnd w:id="1155"/>
      <w:bookmarkEnd w:id="1156"/>
      <w:bookmarkEnd w:id="1157"/>
      <w:bookmarkEnd w:id="1158"/>
    </w:p>
    <w:p>
      <w:pPr>
        <w:pStyle w:val="yShoulderClause"/>
        <w:spacing w:after="120"/>
      </w:pPr>
      <w:r>
        <w:t>[Chapter 2 Part 6 Divisions 3, 4A and 4]</w:t>
      </w:r>
    </w:p>
    <w:p>
      <w:pPr>
        <w:pStyle w:val="Footnoteheading"/>
        <w:spacing w:after="160"/>
      </w:pPr>
      <w:r>
        <w:tab/>
        <w:t>[Heading amended by No. 30 of 2008 s. 28.]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10"/>
        <w:gridCol w:w="2268"/>
        <w:gridCol w:w="2378"/>
      </w:tblGrid>
      <w:tr>
        <w:trPr>
          <w:cantSplit/>
          <w:tblHeader/>
        </w:trPr>
        <w:tc>
          <w:tcPr>
            <w:tcW w:w="2410" w:type="dxa"/>
            <w:tcBorders>
              <w:left w:val="nil"/>
              <w:bottom w:val="single" w:sz="4" w:space="0" w:color="auto"/>
              <w:right w:val="nil"/>
            </w:tcBorders>
          </w:tcPr>
          <w:p>
            <w:pPr>
              <w:pStyle w:val="yTableNAm"/>
              <w:rPr>
                <w:b/>
              </w:rPr>
            </w:pPr>
            <w:r>
              <w:rPr>
                <w:b/>
              </w:rPr>
              <w:t>Concessional transaction</w:t>
            </w:r>
          </w:p>
        </w:tc>
        <w:tc>
          <w:tcPr>
            <w:tcW w:w="2268" w:type="dxa"/>
            <w:tcBorders>
              <w:left w:val="nil"/>
              <w:bottom w:val="single" w:sz="4" w:space="0" w:color="auto"/>
              <w:right w:val="nil"/>
            </w:tcBorders>
          </w:tcPr>
          <w:p>
            <w:pPr>
              <w:pStyle w:val="yTableNAm"/>
              <w:rPr>
                <w:b/>
              </w:rPr>
            </w:pPr>
            <w:r>
              <w:rPr>
                <w:b/>
              </w:rPr>
              <w:t>Dutiable value</w:t>
            </w:r>
          </w:p>
        </w:tc>
        <w:tc>
          <w:tcPr>
            <w:tcW w:w="2378" w:type="dxa"/>
            <w:tcBorders>
              <w:left w:val="nil"/>
              <w:bottom w:val="single" w:sz="4" w:space="0" w:color="auto"/>
              <w:right w:val="nil"/>
            </w:tcBorders>
          </w:tcPr>
          <w:p>
            <w:pPr>
              <w:pStyle w:val="yTableNAm"/>
              <w:rPr>
                <w:b/>
              </w:rPr>
            </w:pPr>
            <w:r>
              <w:rPr>
                <w:b/>
              </w:rPr>
              <w:t>Concessional rate of duty</w:t>
            </w:r>
          </w:p>
        </w:tc>
      </w:tr>
      <w:tr>
        <w:trPr>
          <w:cantSplit/>
        </w:trPr>
        <w:tc>
          <w:tcPr>
            <w:tcW w:w="2410" w:type="dxa"/>
            <w:tcBorders>
              <w:top w:val="nil"/>
              <w:left w:val="nil"/>
              <w:bottom w:val="nil"/>
              <w:right w:val="nil"/>
            </w:tcBorders>
          </w:tcPr>
          <w:p>
            <w:pPr>
              <w:pStyle w:val="yTableNAm"/>
            </w:pPr>
            <w:r>
              <w:t>s. 143</w:t>
            </w:r>
            <w:r>
              <w:br/>
              <w:t>First home owners</w:t>
            </w:r>
          </w:p>
        </w:tc>
        <w:tc>
          <w:tcPr>
            <w:tcW w:w="2268" w:type="dxa"/>
            <w:tcBorders>
              <w:top w:val="nil"/>
              <w:left w:val="nil"/>
              <w:bottom w:val="nil"/>
              <w:right w:val="nil"/>
            </w:tcBorders>
          </w:tcPr>
          <w:p>
            <w:pPr>
              <w:pStyle w:val="yTableNAm"/>
            </w:pPr>
          </w:p>
        </w:tc>
        <w:tc>
          <w:tcPr>
            <w:tcW w:w="2378" w:type="dxa"/>
            <w:tcBorders>
              <w:top w:val="nil"/>
              <w:left w:val="nil"/>
              <w:bottom w:val="nil"/>
              <w:right w:val="nil"/>
            </w:tcBorders>
          </w:tcPr>
          <w:p>
            <w:pPr>
              <w:pStyle w:val="yTableNAm"/>
            </w:pPr>
          </w:p>
        </w:tc>
      </w:tr>
      <w:tr>
        <w:trPr>
          <w:cantSplit/>
        </w:trPr>
        <w:tc>
          <w:tcPr>
            <w:tcW w:w="2410" w:type="dxa"/>
            <w:tcBorders>
              <w:top w:val="nil"/>
              <w:left w:val="nil"/>
              <w:bottom w:val="nil"/>
              <w:right w:val="nil"/>
            </w:tcBorders>
          </w:tcPr>
          <w:p>
            <w:pPr>
              <w:pStyle w:val="yTableNAm"/>
            </w:pPr>
            <w:r>
              <w:t>If the property includes a home</w:t>
            </w:r>
          </w:p>
        </w:tc>
        <w:tc>
          <w:tcPr>
            <w:tcW w:w="2268" w:type="dxa"/>
            <w:tcBorders>
              <w:top w:val="nil"/>
              <w:left w:val="nil"/>
              <w:bottom w:val="nil"/>
              <w:right w:val="nil"/>
            </w:tcBorders>
          </w:tcPr>
          <w:p>
            <w:pPr>
              <w:pStyle w:val="yTableNAm"/>
            </w:pPr>
            <w:r>
              <w:t>$0 — $430 000</w:t>
            </w:r>
            <w:r>
              <w:br/>
              <w:t>$430 001 — $530 000</w:t>
            </w:r>
          </w:p>
        </w:tc>
        <w:tc>
          <w:tcPr>
            <w:tcW w:w="2378" w:type="dxa"/>
            <w:tcBorders>
              <w:top w:val="nil"/>
              <w:left w:val="nil"/>
              <w:bottom w:val="nil"/>
              <w:right w:val="nil"/>
            </w:tcBorders>
          </w:tcPr>
          <w:p>
            <w:pPr>
              <w:pStyle w:val="yTableNAm"/>
            </w:pPr>
            <w:r>
              <w:t>Nil</w:t>
            </w:r>
            <w:r>
              <w:br/>
              <w:t xml:space="preserve">$19.19 per $100.00 or part of $100.00 above </w:t>
            </w:r>
            <w:r>
              <w:br/>
              <w:t>$430 000</w:t>
            </w:r>
          </w:p>
        </w:tc>
      </w:tr>
      <w:tr>
        <w:trPr>
          <w:cantSplit/>
        </w:trPr>
        <w:tc>
          <w:tcPr>
            <w:tcW w:w="2410" w:type="dxa"/>
            <w:tcBorders>
              <w:top w:val="nil"/>
              <w:left w:val="nil"/>
              <w:bottom w:val="nil"/>
              <w:right w:val="nil"/>
            </w:tcBorders>
          </w:tcPr>
          <w:p>
            <w:pPr>
              <w:pStyle w:val="yTableNAm"/>
            </w:pPr>
            <w:r>
              <w:t>If the property does not include a home</w:t>
            </w:r>
          </w:p>
        </w:tc>
        <w:tc>
          <w:tcPr>
            <w:tcW w:w="2268" w:type="dxa"/>
            <w:tcBorders>
              <w:top w:val="nil"/>
              <w:left w:val="nil"/>
              <w:bottom w:val="nil"/>
              <w:right w:val="nil"/>
            </w:tcBorders>
          </w:tcPr>
          <w:p>
            <w:pPr>
              <w:pStyle w:val="yTableNAm"/>
            </w:pPr>
            <w:r>
              <w:t>$0 — $300 000</w:t>
            </w:r>
            <w:r>
              <w:br/>
              <w:t>$300 001 — $400 000</w:t>
            </w:r>
          </w:p>
        </w:tc>
        <w:tc>
          <w:tcPr>
            <w:tcW w:w="2378" w:type="dxa"/>
            <w:tcBorders>
              <w:top w:val="nil"/>
              <w:left w:val="nil"/>
              <w:bottom w:val="nil"/>
              <w:right w:val="nil"/>
            </w:tcBorders>
          </w:tcPr>
          <w:p>
            <w:pPr>
              <w:pStyle w:val="yTableNAm"/>
            </w:pPr>
            <w:r>
              <w:t>Nil</w:t>
            </w:r>
            <w:r>
              <w:br/>
              <w:t>$13.01 per $100.00 or part of $100.00 above $300 000</w:t>
            </w:r>
          </w:p>
        </w:tc>
      </w:tr>
      <w:tr>
        <w:trPr>
          <w:cantSplit/>
        </w:trPr>
        <w:tc>
          <w:tcPr>
            <w:tcW w:w="2410" w:type="dxa"/>
            <w:tcBorders>
              <w:top w:val="nil"/>
              <w:left w:val="nil"/>
              <w:bottom w:val="nil"/>
              <w:right w:val="nil"/>
            </w:tcBorders>
          </w:tcPr>
          <w:p>
            <w:pPr>
              <w:pStyle w:val="yTableNAm"/>
            </w:pPr>
            <w:r>
              <w:t>s. 147E</w:t>
            </w:r>
            <w:r>
              <w:br/>
              <w:t>Residential property</w:t>
            </w:r>
          </w:p>
        </w:tc>
        <w:tc>
          <w:tcPr>
            <w:tcW w:w="2268" w:type="dxa"/>
            <w:tcBorders>
              <w:top w:val="nil"/>
              <w:left w:val="nil"/>
              <w:bottom w:val="nil"/>
              <w:right w:val="nil"/>
            </w:tcBorders>
          </w:tcPr>
          <w:p>
            <w:pPr>
              <w:pStyle w:val="yTableNAm"/>
            </w:pPr>
            <w:r>
              <w:br/>
              <w:t>$0 — $120 000</w:t>
            </w:r>
            <w:r>
              <w:br/>
            </w:r>
          </w:p>
        </w:tc>
        <w:tc>
          <w:tcPr>
            <w:tcW w:w="2378" w:type="dxa"/>
            <w:tcBorders>
              <w:top w:val="nil"/>
              <w:left w:val="nil"/>
              <w:bottom w:val="nil"/>
              <w:right w:val="nil"/>
            </w:tcBorders>
          </w:tcPr>
          <w:p>
            <w:pPr>
              <w:pStyle w:val="yTableNAm"/>
            </w:pPr>
            <w:r>
              <w:br/>
              <w:t>$1.90 per $100.00 or part of $100.00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$120 001 — $150 000</w:t>
            </w:r>
          </w:p>
        </w:tc>
        <w:tc>
          <w:tcPr>
            <w:tcW w:w="2378" w:type="dxa"/>
            <w:tcBorders>
              <w:top w:val="nil"/>
              <w:left w:val="nil"/>
              <w:bottom w:val="nil"/>
              <w:right w:val="nil"/>
            </w:tcBorders>
          </w:tcPr>
          <w:p>
            <w:pPr>
              <w:pStyle w:val="yTableNAm"/>
            </w:pPr>
            <w:r>
              <w:t>$2 280 + $2.85 per $100.00 or part of $100.00 above $120 000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$150 001 — $360 000</w:t>
            </w:r>
          </w:p>
        </w:tc>
        <w:tc>
          <w:tcPr>
            <w:tcW w:w="2378" w:type="dxa"/>
            <w:tcBorders>
              <w:top w:val="nil"/>
              <w:left w:val="nil"/>
              <w:bottom w:val="nil"/>
              <w:right w:val="nil"/>
            </w:tcBorders>
          </w:tcPr>
          <w:p>
            <w:pPr>
              <w:pStyle w:val="yTableNAm"/>
            </w:pPr>
            <w:r>
              <w:t>$3 135 + $3.80 per $100.00 or part of $100.00 above $150 000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$360 001 — $725 000</w:t>
            </w:r>
          </w:p>
        </w:tc>
        <w:tc>
          <w:tcPr>
            <w:tcW w:w="2378" w:type="dxa"/>
            <w:tcBorders>
              <w:top w:val="nil"/>
              <w:left w:val="nil"/>
              <w:bottom w:val="nil"/>
              <w:right w:val="nil"/>
            </w:tcBorders>
          </w:tcPr>
          <w:p>
            <w:pPr>
              <w:pStyle w:val="yTableNAm"/>
            </w:pPr>
            <w:r>
              <w:t>$11 115 + $4.75 per $100.00 or part of $100.00 above $360 000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$725 001 and upwards</w:t>
            </w:r>
          </w:p>
        </w:tc>
        <w:tc>
          <w:tcPr>
            <w:tcW w:w="2378" w:type="dxa"/>
            <w:tcBorders>
              <w:top w:val="nil"/>
              <w:left w:val="nil"/>
              <w:bottom w:val="nil"/>
              <w:right w:val="nil"/>
            </w:tcBorders>
          </w:tcPr>
          <w:p>
            <w:pPr>
              <w:pStyle w:val="yTableNAm"/>
            </w:pPr>
            <w:r>
              <w:t>$28 453 + $5.15 per $100.00 or part of $100.00 above $725 000</w:t>
            </w:r>
          </w:p>
        </w:tc>
      </w:tr>
      <w:tr>
        <w:trPr>
          <w:cantSplit/>
        </w:trPr>
        <w:tc>
          <w:tcPr>
            <w:tcW w:w="2410" w:type="dxa"/>
            <w:tcBorders>
              <w:top w:val="nil"/>
              <w:left w:val="nil"/>
              <w:bottom w:val="single" w:sz="4" w:space="0" w:color="auto"/>
              <w:right w:val="nil"/>
            </w:tcBorders>
          </w:tcPr>
          <w:p>
            <w:pPr>
              <w:pStyle w:val="yTableNAm"/>
            </w:pPr>
            <w:r>
              <w:t>s. 147</w:t>
            </w:r>
            <w:r>
              <w:br/>
              <w:t>Residential or business property</w:t>
            </w:r>
          </w:p>
        </w:tc>
        <w:tc>
          <w:tcPr>
            <w:tcW w:w="2268" w:type="dxa"/>
            <w:tcBorders>
              <w:top w:val="nil"/>
              <w:left w:val="nil"/>
              <w:bottom w:val="single" w:sz="4" w:space="0" w:color="auto"/>
              <w:right w:val="nil"/>
            </w:tcBorders>
          </w:tcPr>
          <w:p>
            <w:pPr>
              <w:pStyle w:val="yTableNAm"/>
            </w:pPr>
            <w:r>
              <w:br/>
              <w:t>$0 — $100 000</w:t>
            </w:r>
            <w:r>
              <w:br/>
            </w:r>
          </w:p>
          <w:p>
            <w:pPr>
              <w:pStyle w:val="yTableNAm"/>
            </w:pPr>
            <w:r>
              <w:t>$100 001 — $200 000</w:t>
            </w:r>
          </w:p>
        </w:tc>
        <w:tc>
          <w:tcPr>
            <w:tcW w:w="2378" w:type="dxa"/>
            <w:tcBorders>
              <w:top w:val="nil"/>
              <w:left w:val="nil"/>
              <w:bottom w:val="single" w:sz="4" w:space="0" w:color="auto"/>
              <w:right w:val="nil"/>
            </w:tcBorders>
          </w:tcPr>
          <w:p>
            <w:pPr>
              <w:pStyle w:val="yTableNAm"/>
            </w:pPr>
            <w:r>
              <w:br/>
              <w:t>$1.50 per $100.00 or part of $100.00</w:t>
            </w:r>
          </w:p>
          <w:p>
            <w:pPr>
              <w:pStyle w:val="yTableNAm"/>
            </w:pPr>
            <w:r>
              <w:t>$1 500 + $4.39 per $100.00 or part of $100.00 above $100 000</w:t>
            </w:r>
          </w:p>
        </w:tc>
      </w:tr>
    </w:tbl>
    <w:p>
      <w:pPr>
        <w:pStyle w:val="Footnotesection"/>
      </w:pPr>
      <w:r>
        <w:tab/>
        <w:t>[Division 2 amended by No. 30 of 2008 s. 28; No. 15 of 2014 s. 5.]</w:t>
      </w:r>
    </w:p>
    <w:p>
      <w:pPr>
        <w:pStyle w:val="yHeading3"/>
      </w:pPr>
      <w:bookmarkStart w:id="1159" w:name="_Toc389126623"/>
      <w:bookmarkStart w:id="1160" w:name="_Toc392162614"/>
      <w:bookmarkStart w:id="1161" w:name="_Toc412735110"/>
      <w:bookmarkStart w:id="1162" w:name="_Toc412735533"/>
      <w:bookmarkStart w:id="1163" w:name="_Toc412819550"/>
      <w:bookmarkStart w:id="1164" w:name="_Toc413830310"/>
      <w:bookmarkStart w:id="1165" w:name="_Toc413847419"/>
      <w:r>
        <w:rPr>
          <w:rStyle w:val="CharSDivNo"/>
        </w:rPr>
        <w:t>Division 3</w:t>
      </w:r>
      <w:r>
        <w:t> — </w:t>
      </w:r>
      <w:r>
        <w:rPr>
          <w:rStyle w:val="CharSDivText"/>
        </w:rPr>
        <w:t>Nominal duty</w:t>
      </w:r>
      <w:bookmarkEnd w:id="1159"/>
      <w:bookmarkEnd w:id="1160"/>
      <w:bookmarkEnd w:id="1161"/>
      <w:bookmarkEnd w:id="1162"/>
      <w:bookmarkEnd w:id="1163"/>
      <w:bookmarkEnd w:id="1164"/>
      <w:bookmarkEnd w:id="1165"/>
    </w:p>
    <w:p>
      <w:pPr>
        <w:pStyle w:val="ySubsection"/>
      </w:pPr>
      <w:r>
        <w:tab/>
      </w:r>
      <w:r>
        <w:tab/>
        <w:t>The amount of nominal duty is $20.00.</w:t>
      </w:r>
    </w:p>
    <w:p>
      <w:pPr>
        <w:sectPr>
          <w:headerReference w:type="even" r:id="rId38"/>
          <w:headerReference w:type="default" r:id="rId39"/>
          <w:endnotePr>
            <w:numFmt w:val="decimal"/>
          </w:endnotePr>
          <w:pgSz w:w="11907" w:h="16840" w:code="9"/>
          <w:pgMar w:top="2381" w:right="2410" w:bottom="3544" w:left="2410" w:header="720" w:footer="3380" w:gutter="0"/>
          <w:cols w:space="720"/>
          <w:docGrid w:linePitch="326"/>
        </w:sectPr>
      </w:pPr>
    </w:p>
    <w:p>
      <w:pPr>
        <w:pStyle w:val="yScheduleHeading"/>
      </w:pPr>
      <w:bookmarkStart w:id="1166" w:name="_Toc389126624"/>
      <w:bookmarkStart w:id="1167" w:name="_Toc392162615"/>
      <w:bookmarkStart w:id="1168" w:name="_Toc412735111"/>
      <w:bookmarkStart w:id="1169" w:name="_Toc412735534"/>
      <w:bookmarkStart w:id="1170" w:name="_Toc412819551"/>
      <w:bookmarkStart w:id="1171" w:name="_Toc413830311"/>
      <w:bookmarkStart w:id="1172" w:name="_Toc413847420"/>
      <w:r>
        <w:rPr>
          <w:rStyle w:val="CharSchNo"/>
        </w:rPr>
        <w:t>Schedule 3</w:t>
      </w:r>
      <w:r>
        <w:t> — </w:t>
      </w:r>
      <w:r>
        <w:rPr>
          <w:rStyle w:val="CharSchText"/>
        </w:rPr>
        <w:t>Transitional provisions</w:t>
      </w:r>
      <w:bookmarkEnd w:id="1166"/>
      <w:bookmarkEnd w:id="1167"/>
      <w:bookmarkEnd w:id="1168"/>
      <w:bookmarkEnd w:id="1169"/>
      <w:bookmarkEnd w:id="1170"/>
      <w:bookmarkEnd w:id="1171"/>
      <w:bookmarkEnd w:id="1172"/>
    </w:p>
    <w:p>
      <w:pPr>
        <w:pStyle w:val="yShoulderClause"/>
      </w:pPr>
      <w:r>
        <w:t>[s. 286]</w:t>
      </w:r>
    </w:p>
    <w:p>
      <w:pPr>
        <w:pStyle w:val="yHeading3"/>
      </w:pPr>
      <w:bookmarkStart w:id="1173" w:name="_Toc389126625"/>
      <w:bookmarkStart w:id="1174" w:name="_Toc392162616"/>
      <w:bookmarkStart w:id="1175" w:name="_Toc412735112"/>
      <w:bookmarkStart w:id="1176" w:name="_Toc412735535"/>
      <w:bookmarkStart w:id="1177" w:name="_Toc412819552"/>
      <w:bookmarkStart w:id="1178" w:name="_Toc413830312"/>
      <w:bookmarkStart w:id="1179" w:name="_Toc413847421"/>
      <w:r>
        <w:rPr>
          <w:rStyle w:val="CharSDivNo"/>
        </w:rPr>
        <w:t>Division 1</w:t>
      </w:r>
      <w:r>
        <w:t> — </w:t>
      </w:r>
      <w:r>
        <w:rPr>
          <w:rStyle w:val="CharSDivText"/>
        </w:rPr>
        <w:t xml:space="preserve">Provisions for </w:t>
      </w:r>
      <w:r>
        <w:rPr>
          <w:rStyle w:val="CharSDivText"/>
          <w:i/>
          <w:iCs/>
        </w:rPr>
        <w:t>Duties Act 2008</w:t>
      </w:r>
      <w:bookmarkEnd w:id="1173"/>
      <w:bookmarkEnd w:id="1174"/>
      <w:bookmarkEnd w:id="1175"/>
      <w:bookmarkEnd w:id="1176"/>
      <w:bookmarkEnd w:id="1177"/>
      <w:bookmarkEnd w:id="1178"/>
      <w:bookmarkEnd w:id="1179"/>
    </w:p>
    <w:p>
      <w:pPr>
        <w:pStyle w:val="yHeading4"/>
      </w:pPr>
      <w:bookmarkStart w:id="1180" w:name="_Toc389126626"/>
      <w:bookmarkStart w:id="1181" w:name="_Toc392162617"/>
      <w:bookmarkStart w:id="1182" w:name="_Toc412735113"/>
      <w:bookmarkStart w:id="1183" w:name="_Toc412735536"/>
      <w:bookmarkStart w:id="1184" w:name="_Toc412819553"/>
      <w:bookmarkStart w:id="1185" w:name="_Toc413830313"/>
      <w:bookmarkStart w:id="1186" w:name="_Toc413847422"/>
      <w:r>
        <w:t>Subdivision 1</w:t>
      </w:r>
      <w:r>
        <w:rPr>
          <w:b w:val="0"/>
        </w:rPr>
        <w:t> — </w:t>
      </w:r>
      <w:r>
        <w:t>Preliminary</w:t>
      </w:r>
      <w:bookmarkEnd w:id="1180"/>
      <w:bookmarkEnd w:id="1181"/>
      <w:bookmarkEnd w:id="1182"/>
      <w:bookmarkEnd w:id="1183"/>
      <w:bookmarkEnd w:id="1184"/>
      <w:bookmarkEnd w:id="1185"/>
      <w:bookmarkEnd w:id="1186"/>
    </w:p>
    <w:p>
      <w:pPr>
        <w:pStyle w:val="yHeading5"/>
      </w:pPr>
      <w:bookmarkStart w:id="1187" w:name="_Toc392162618"/>
      <w:bookmarkStart w:id="1188" w:name="_Toc413847423"/>
      <w:r>
        <w:rPr>
          <w:rStyle w:val="CharSClsNo"/>
        </w:rPr>
        <w:t>1</w:t>
      </w:r>
      <w:r>
        <w:t>.</w:t>
      </w:r>
      <w:r>
        <w:tab/>
        <w:t>Terms used</w:t>
      </w:r>
      <w:bookmarkEnd w:id="1187"/>
      <w:bookmarkEnd w:id="1188"/>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sections 163 and 164.</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Heading4"/>
      </w:pPr>
      <w:bookmarkStart w:id="1189" w:name="_Toc389126628"/>
      <w:bookmarkStart w:id="1190" w:name="_Toc392162619"/>
      <w:bookmarkStart w:id="1191" w:name="_Toc412735115"/>
      <w:bookmarkStart w:id="1192" w:name="_Toc412735538"/>
      <w:bookmarkStart w:id="1193" w:name="_Toc412819555"/>
      <w:bookmarkStart w:id="1194" w:name="_Toc413830315"/>
      <w:bookmarkStart w:id="1195" w:name="_Toc413847424"/>
      <w:r>
        <w:t>Subdivision 2</w:t>
      </w:r>
      <w:r>
        <w:rPr>
          <w:b w:val="0"/>
        </w:rPr>
        <w:t> — </w:t>
      </w:r>
      <w:r>
        <w:t>Provisions for Chapter 2</w:t>
      </w:r>
      <w:bookmarkEnd w:id="1189"/>
      <w:bookmarkEnd w:id="1190"/>
      <w:bookmarkEnd w:id="1191"/>
      <w:bookmarkEnd w:id="1192"/>
      <w:bookmarkEnd w:id="1193"/>
      <w:bookmarkEnd w:id="1194"/>
      <w:bookmarkEnd w:id="1195"/>
    </w:p>
    <w:p>
      <w:pPr>
        <w:pStyle w:val="yHeading5"/>
      </w:pPr>
      <w:bookmarkStart w:id="1196" w:name="_Toc392162620"/>
      <w:bookmarkStart w:id="1197" w:name="_Toc413847425"/>
      <w:r>
        <w:rPr>
          <w:rStyle w:val="CharSClsNo"/>
        </w:rPr>
        <w:t>2</w:t>
      </w:r>
      <w:r>
        <w:t>.</w:t>
      </w:r>
      <w:r>
        <w:tab/>
        <w:t xml:space="preserve">When </w:t>
      </w:r>
      <w:smartTag w:uri="urn:schemas-microsoft-com:office:smarttags" w:element="place">
        <w:smartTag w:uri="urn:schemas-microsoft-com:office:smarttags" w:element="country-region">
          <w:r>
            <w:t>Ch.</w:t>
          </w:r>
        </w:smartTag>
      </w:smartTag>
      <w:r>
        <w:t xml:space="preserve"> 2 starts to apply</w:t>
      </w:r>
      <w:bookmarkEnd w:id="1196"/>
      <w:bookmarkEnd w:id="1197"/>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1198" w:name="_Toc392162621"/>
      <w:bookmarkStart w:id="1199" w:name="_Toc413847426"/>
      <w:r>
        <w:rPr>
          <w:rStyle w:val="CharSClsNo"/>
        </w:rPr>
        <w:t>3</w:t>
      </w:r>
      <w:r>
        <w:t>.</w:t>
      </w:r>
      <w:r>
        <w:tab/>
        <w:t>No double duty</w:t>
      </w:r>
      <w:bookmarkEnd w:id="1198"/>
      <w:bookmarkEnd w:id="1199"/>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1200" w:name="_Toc392162622"/>
      <w:bookmarkStart w:id="1201" w:name="_Toc413847427"/>
      <w:r>
        <w:rPr>
          <w:rStyle w:val="CharSClsNo"/>
        </w:rPr>
        <w:t>4</w:t>
      </w:r>
      <w:r>
        <w:t>.</w:t>
      </w:r>
      <w:r>
        <w:tab/>
        <w:t>Alteration of consideration (s. 31)</w:t>
      </w:r>
      <w:bookmarkEnd w:id="1200"/>
      <w:bookmarkEnd w:id="1201"/>
    </w:p>
    <w:p>
      <w:pPr>
        <w:pStyle w:val="ySubsection"/>
      </w:pPr>
      <w:r>
        <w:tab/>
      </w:r>
      <w:r>
        <w:tab/>
        <w:t xml:space="preserve">Section 31(1) and (3) do not apply if the liability to duty is under the </w:t>
      </w:r>
      <w:r>
        <w:rPr>
          <w:i/>
          <w:iCs/>
        </w:rPr>
        <w:t>Stamp Act 1921</w:t>
      </w:r>
      <w:r>
        <w:t>.</w:t>
      </w:r>
    </w:p>
    <w:p>
      <w:pPr>
        <w:pStyle w:val="yHeading5"/>
      </w:pPr>
      <w:bookmarkStart w:id="1202" w:name="_Toc392162623"/>
      <w:bookmarkStart w:id="1203" w:name="_Toc413847428"/>
      <w:r>
        <w:rPr>
          <w:rStyle w:val="CharSClsNo"/>
        </w:rPr>
        <w:t>5</w:t>
      </w:r>
      <w:r>
        <w:t>.</w:t>
      </w:r>
      <w:r>
        <w:tab/>
        <w:t>Aggregation (s. 37)</w:t>
      </w:r>
      <w:bookmarkEnd w:id="1202"/>
      <w:bookmarkEnd w:id="1203"/>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pPr>
      <w:r>
        <w:tab/>
      </w:r>
      <w:r>
        <w:tab/>
        <w:t>whichever is greater.</w:t>
      </w:r>
    </w:p>
    <w:p>
      <w:pPr>
        <w:pStyle w:val="ySubsection"/>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pPr>
      <w:r>
        <w:tab/>
      </w:r>
      <w:r>
        <w:tab/>
        <w:t>a reference in section 37(7) to duty paid on the transaction is a reference to that stamp duty.</w:t>
      </w:r>
    </w:p>
    <w:p>
      <w:pPr>
        <w:pStyle w:val="yHeading5"/>
      </w:pPr>
      <w:bookmarkStart w:id="1204" w:name="_Toc392162624"/>
      <w:bookmarkStart w:id="1205" w:name="_Toc413847429"/>
      <w:r>
        <w:rPr>
          <w:rStyle w:val="CharSClsNo"/>
        </w:rPr>
        <w:t>6</w:t>
      </w:r>
      <w:r>
        <w:t>.</w:t>
      </w:r>
      <w:r>
        <w:tab/>
        <w:t>Exchanges (s. 40)</w:t>
      </w:r>
      <w:bookmarkEnd w:id="1204"/>
      <w:bookmarkEnd w:id="1205"/>
    </w:p>
    <w:p>
      <w:pPr>
        <w:pStyle w:val="ySubsection"/>
      </w:pPr>
      <w:r>
        <w:tab/>
      </w:r>
      <w:r>
        <w:tab/>
        <w:t>Without limiting clause 2, if any of the dutiable transactions referred to in section 40 took place before 1 July 2008, transfer duty is not chargeable on that transaction.</w:t>
      </w:r>
    </w:p>
    <w:p>
      <w:pPr>
        <w:pStyle w:val="yHeading5"/>
      </w:pPr>
      <w:bookmarkStart w:id="1206" w:name="_Toc392162625"/>
      <w:bookmarkStart w:id="1207" w:name="_Toc413847430"/>
      <w:r>
        <w:rPr>
          <w:rStyle w:val="CharSClsNo"/>
        </w:rPr>
        <w:t>7</w:t>
      </w:r>
      <w:r>
        <w:t>.</w:t>
      </w:r>
      <w:r>
        <w:tab/>
        <w:t>Exempt bodies (s. 92)</w:t>
      </w:r>
      <w:bookmarkEnd w:id="1206"/>
      <w:bookmarkEnd w:id="1207"/>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1208" w:name="_Toc392162626"/>
      <w:bookmarkStart w:id="1209" w:name="_Toc413847431"/>
      <w:r>
        <w:rPr>
          <w:rStyle w:val="CharSClsNo"/>
        </w:rPr>
        <w:t>8</w:t>
      </w:r>
      <w:r>
        <w:t>.</w:t>
      </w:r>
      <w:r>
        <w:tab/>
        <w:t>Family farm transactions (s. 104 and 105)</w:t>
      </w:r>
      <w:bookmarkEnd w:id="1208"/>
      <w:bookmarkEnd w:id="1209"/>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spacing w:before="180"/>
      </w:pPr>
      <w:bookmarkStart w:id="1210" w:name="_Toc392162627"/>
      <w:bookmarkStart w:id="1211" w:name="_Toc413847432"/>
      <w:r>
        <w:rPr>
          <w:rStyle w:val="CharSClsNo"/>
        </w:rPr>
        <w:t>9</w:t>
      </w:r>
      <w:r>
        <w:t>.</w:t>
      </w:r>
      <w:r>
        <w:tab/>
        <w:t>Matrimonial and de facto relationship instruments (s. 129, 130)</w:t>
      </w:r>
      <w:bookmarkEnd w:id="1210"/>
      <w:bookmarkEnd w:id="1211"/>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spacing w:before="180"/>
      </w:pPr>
      <w:bookmarkStart w:id="1212" w:name="_Toc392162628"/>
      <w:bookmarkStart w:id="1213" w:name="_Toc413847433"/>
      <w:r>
        <w:rPr>
          <w:rStyle w:val="CharSClsNo"/>
        </w:rPr>
        <w:t>10</w:t>
      </w:r>
      <w:r>
        <w:t>.</w:t>
      </w:r>
      <w:r>
        <w:tab/>
        <w:t>First home owners (Part 6 Div. 3)</w:t>
      </w:r>
      <w:bookmarkEnd w:id="1212"/>
      <w:bookmarkEnd w:id="1213"/>
    </w:p>
    <w:p>
      <w:pPr>
        <w:pStyle w:val="ySubsection"/>
      </w:pPr>
      <w:r>
        <w:tab/>
        <w:t>(1)</w:t>
      </w:r>
      <w:r>
        <w:tab/>
        <w:t xml:space="preserve">In determining the meaning of the term further FHOG concessional transaction for the purposes of Chapter 2 Part 6 Division 3, the transaction referred to in section 142(2) as the first FHOG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FHOG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Heading5"/>
        <w:spacing w:before="180"/>
      </w:pPr>
      <w:bookmarkStart w:id="1214" w:name="_Toc392162629"/>
      <w:bookmarkStart w:id="1215" w:name="_Toc413847434"/>
      <w:r>
        <w:rPr>
          <w:rStyle w:val="CharSClsNo"/>
        </w:rPr>
        <w:t>11A</w:t>
      </w:r>
      <w:r>
        <w:t>.</w:t>
      </w:r>
      <w:r>
        <w:rPr>
          <w:b w:val="0"/>
        </w:rPr>
        <w:tab/>
      </w:r>
      <w:r>
        <w:t>Residential concession (Part 6 Div. 4A)</w:t>
      </w:r>
      <w:bookmarkEnd w:id="1214"/>
      <w:bookmarkEnd w:id="1215"/>
    </w:p>
    <w:p>
      <w:pPr>
        <w:pStyle w:val="ySubsection"/>
      </w:pPr>
      <w:r>
        <w:tab/>
        <w:t>(1)</w:t>
      </w:r>
      <w:r>
        <w:tab/>
        <w:t xml:space="preserve">In this clause — </w:t>
      </w:r>
    </w:p>
    <w:p>
      <w:pPr>
        <w:pStyle w:val="yDefstart"/>
      </w:pPr>
      <w:r>
        <w:tab/>
      </w:r>
      <w:r>
        <w:rPr>
          <w:rStyle w:val="CharDefText"/>
        </w:rPr>
        <w:t>concessional transaction</w:t>
      </w:r>
      <w:r>
        <w:t xml:space="preserve"> means a transaction that is a concessional transaction under section 147C(1).</w:t>
      </w:r>
    </w:p>
    <w:p>
      <w:pPr>
        <w:pStyle w:val="ySubsection"/>
      </w:pPr>
      <w:r>
        <w:tab/>
        <w:t>(2)</w:t>
      </w:r>
      <w:r>
        <w:tab/>
        <w:t>Section 147C(2) applies as long as the concessional transaction mentioned in it (or at least one of them, if there are 2 or more) takes place on or after 1 July 2008.</w:t>
      </w:r>
    </w:p>
    <w:p>
      <w:pPr>
        <w:pStyle w:val="yFootnotesection"/>
        <w:spacing w:before="80"/>
      </w:pPr>
      <w:r>
        <w:tab/>
        <w:t>[Clause 11A inserted by No. 30 of 2008 s. 29.]</w:t>
      </w:r>
    </w:p>
    <w:p>
      <w:pPr>
        <w:pStyle w:val="yHeading4"/>
      </w:pPr>
      <w:bookmarkStart w:id="1216" w:name="_Toc389126639"/>
      <w:bookmarkStart w:id="1217" w:name="_Toc392162630"/>
      <w:bookmarkStart w:id="1218" w:name="_Toc412735126"/>
      <w:bookmarkStart w:id="1219" w:name="_Toc412735549"/>
      <w:bookmarkStart w:id="1220" w:name="_Toc412819566"/>
      <w:bookmarkStart w:id="1221" w:name="_Toc413830326"/>
      <w:bookmarkStart w:id="1222" w:name="_Toc413847435"/>
      <w:r>
        <w:t>Subdivision 3</w:t>
      </w:r>
      <w:r>
        <w:rPr>
          <w:b w:val="0"/>
        </w:rPr>
        <w:t> — </w:t>
      </w:r>
      <w:r>
        <w:t>Provisions for Chapter 3</w:t>
      </w:r>
      <w:bookmarkEnd w:id="1216"/>
      <w:bookmarkEnd w:id="1217"/>
      <w:bookmarkEnd w:id="1218"/>
      <w:bookmarkEnd w:id="1219"/>
      <w:bookmarkEnd w:id="1220"/>
      <w:bookmarkEnd w:id="1221"/>
      <w:bookmarkEnd w:id="1222"/>
    </w:p>
    <w:p>
      <w:pPr>
        <w:pStyle w:val="yHeading5"/>
      </w:pPr>
      <w:bookmarkStart w:id="1223" w:name="_Toc392162631"/>
      <w:bookmarkStart w:id="1224" w:name="_Toc413847436"/>
      <w:r>
        <w:rPr>
          <w:rStyle w:val="CharSClsNo"/>
        </w:rPr>
        <w:t>11</w:t>
      </w:r>
      <w:r>
        <w:t>.</w:t>
      </w:r>
      <w:r>
        <w:tab/>
        <w:t xml:space="preserve">When </w:t>
      </w:r>
      <w:smartTag w:uri="urn:schemas-microsoft-com:office:smarttags" w:element="place">
        <w:smartTag w:uri="urn:schemas-microsoft-com:office:smarttags" w:element="country-region">
          <w:r>
            <w:t>Ch.</w:t>
          </w:r>
        </w:smartTag>
      </w:smartTag>
      <w:r>
        <w:t xml:space="preserve"> 3 starts to apply</w:t>
      </w:r>
      <w:bookmarkEnd w:id="1223"/>
      <w:bookmarkEnd w:id="1224"/>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1225" w:name="_Toc392162632"/>
      <w:bookmarkStart w:id="1226" w:name="_Toc413847437"/>
      <w:r>
        <w:rPr>
          <w:rStyle w:val="CharSClsNo"/>
        </w:rPr>
        <w:t>12</w:t>
      </w:r>
      <w:r>
        <w:t>.</w:t>
      </w:r>
      <w:r>
        <w:tab/>
        <w:t>Acquisitions under an agreement made before 1 July 2008</w:t>
      </w:r>
      <w:bookmarkEnd w:id="1225"/>
      <w:bookmarkEnd w:id="1226"/>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Ednotesection"/>
      </w:pPr>
      <w:r>
        <w:t>[</w:t>
      </w:r>
      <w:r>
        <w:rPr>
          <w:b/>
        </w:rPr>
        <w:t>13.</w:t>
      </w:r>
      <w:r>
        <w:rPr>
          <w:b/>
        </w:rPr>
        <w:tab/>
      </w:r>
      <w:r>
        <w:t>Deleted by No. 32 of 2012 s. 25.]</w:t>
      </w:r>
    </w:p>
    <w:p>
      <w:pPr>
        <w:pStyle w:val="yHeading4"/>
      </w:pPr>
      <w:bookmarkStart w:id="1227" w:name="_Toc389126642"/>
      <w:bookmarkStart w:id="1228" w:name="_Toc392162633"/>
      <w:bookmarkStart w:id="1229" w:name="_Toc412735129"/>
      <w:bookmarkStart w:id="1230" w:name="_Toc412735552"/>
      <w:bookmarkStart w:id="1231" w:name="_Toc412819569"/>
      <w:bookmarkStart w:id="1232" w:name="_Toc413830329"/>
      <w:bookmarkStart w:id="1233" w:name="_Toc413847438"/>
      <w:r>
        <w:t>Subdivision 4</w:t>
      </w:r>
      <w:r>
        <w:rPr>
          <w:b w:val="0"/>
        </w:rPr>
        <w:t> — </w:t>
      </w:r>
      <w:r>
        <w:t>Provisions for Chapter 4</w:t>
      </w:r>
      <w:bookmarkEnd w:id="1227"/>
      <w:bookmarkEnd w:id="1228"/>
      <w:bookmarkEnd w:id="1229"/>
      <w:bookmarkEnd w:id="1230"/>
      <w:bookmarkEnd w:id="1231"/>
      <w:bookmarkEnd w:id="1232"/>
      <w:bookmarkEnd w:id="1233"/>
    </w:p>
    <w:p>
      <w:pPr>
        <w:pStyle w:val="yHeading5"/>
      </w:pPr>
      <w:bookmarkStart w:id="1234" w:name="_Toc392162634"/>
      <w:bookmarkStart w:id="1235" w:name="_Toc413847439"/>
      <w:r>
        <w:rPr>
          <w:rStyle w:val="CharSClsNo"/>
        </w:rPr>
        <w:t>14</w:t>
      </w:r>
      <w:r>
        <w:t>.</w:t>
      </w:r>
      <w:r>
        <w:tab/>
        <w:t>Terms used</w:t>
      </w:r>
      <w:bookmarkEnd w:id="1234"/>
      <w:bookmarkEnd w:id="1235"/>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1236" w:name="_Toc392162635"/>
      <w:bookmarkStart w:id="1237" w:name="_Toc413847440"/>
      <w:r>
        <w:rPr>
          <w:rStyle w:val="CharSClsNo"/>
        </w:rPr>
        <w:t>15</w:t>
      </w:r>
      <w:r>
        <w:t>.</w:t>
      </w:r>
      <w:r>
        <w:tab/>
        <w:t xml:space="preserve">When </w:t>
      </w:r>
      <w:smartTag w:uri="urn:schemas-microsoft-com:office:smarttags" w:element="place">
        <w:smartTag w:uri="urn:schemas-microsoft-com:office:smarttags" w:element="country-region">
          <w:r>
            <w:t>Ch.</w:t>
          </w:r>
        </w:smartTag>
      </w:smartTag>
      <w:r>
        <w:t xml:space="preserve"> 4 starts to apply</w:t>
      </w:r>
      <w:bookmarkEnd w:id="1236"/>
      <w:bookmarkEnd w:id="1237"/>
    </w:p>
    <w:p>
      <w:pPr>
        <w:pStyle w:val="ySubsection"/>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1238" w:name="_Toc392162636"/>
      <w:bookmarkStart w:id="1239" w:name="_Toc413847441"/>
      <w:r>
        <w:rPr>
          <w:rStyle w:val="CharSClsNo"/>
        </w:rPr>
        <w:t>16</w:t>
      </w:r>
      <w:r>
        <w:t>.</w:t>
      </w:r>
      <w:r>
        <w:tab/>
        <w:t>Registration</w:t>
      </w:r>
      <w:bookmarkEnd w:id="1238"/>
      <w:bookmarkEnd w:id="1239"/>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1240" w:name="_Toc389126646"/>
      <w:bookmarkStart w:id="1241" w:name="_Toc392162637"/>
      <w:bookmarkStart w:id="1242" w:name="_Toc412735133"/>
      <w:bookmarkStart w:id="1243" w:name="_Toc412735556"/>
      <w:bookmarkStart w:id="1244" w:name="_Toc412819573"/>
      <w:bookmarkStart w:id="1245" w:name="_Toc413830333"/>
      <w:bookmarkStart w:id="1246" w:name="_Toc413847442"/>
      <w:r>
        <w:t>Subdivision 5</w:t>
      </w:r>
      <w:r>
        <w:rPr>
          <w:b w:val="0"/>
        </w:rPr>
        <w:t> — </w:t>
      </w:r>
      <w:r>
        <w:t>Provisions for Chapter 5</w:t>
      </w:r>
      <w:bookmarkEnd w:id="1240"/>
      <w:bookmarkEnd w:id="1241"/>
      <w:bookmarkEnd w:id="1242"/>
      <w:bookmarkEnd w:id="1243"/>
      <w:bookmarkEnd w:id="1244"/>
      <w:bookmarkEnd w:id="1245"/>
      <w:bookmarkEnd w:id="1246"/>
    </w:p>
    <w:p>
      <w:pPr>
        <w:pStyle w:val="yHeading5"/>
      </w:pPr>
      <w:bookmarkStart w:id="1247" w:name="_Toc392162638"/>
      <w:bookmarkStart w:id="1248" w:name="_Toc413847443"/>
      <w:r>
        <w:rPr>
          <w:rStyle w:val="CharSClsNo"/>
        </w:rPr>
        <w:t>17</w:t>
      </w:r>
      <w:r>
        <w:t>.</w:t>
      </w:r>
      <w:r>
        <w:tab/>
        <w:t>Terms used</w:t>
      </w:r>
      <w:bookmarkEnd w:id="1247"/>
      <w:bookmarkEnd w:id="1248"/>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1249" w:name="_Toc392162639"/>
      <w:bookmarkStart w:id="1250" w:name="_Toc413847444"/>
      <w:r>
        <w:rPr>
          <w:rStyle w:val="CharSClsNo"/>
        </w:rPr>
        <w:t>18</w:t>
      </w:r>
      <w:r>
        <w:t>.</w:t>
      </w:r>
      <w:r>
        <w:tab/>
        <w:t xml:space="preserve">When </w:t>
      </w:r>
      <w:smartTag w:uri="urn:schemas-microsoft-com:office:smarttags" w:element="place">
        <w:smartTag w:uri="urn:schemas-microsoft-com:office:smarttags" w:element="country-region">
          <w:r>
            <w:t>Ch.</w:t>
          </w:r>
        </w:smartTag>
      </w:smartTag>
      <w:r>
        <w:t xml:space="preserve"> 5 starts to apply</w:t>
      </w:r>
      <w:bookmarkEnd w:id="1249"/>
      <w:bookmarkEnd w:id="1250"/>
    </w:p>
    <w:p>
      <w:pPr>
        <w:pStyle w:val="ySubsection"/>
      </w:pPr>
      <w:r>
        <w:tab/>
        <w:t>(1)</w:t>
      </w:r>
      <w:r>
        <w:tab/>
        <w:t>Chapter 5 applies to and in relation to the grant or transfer of a licence the application for which was made on or after 1 July 2008.</w:t>
      </w:r>
    </w:p>
    <w:p>
      <w:pPr>
        <w:pStyle w:val="ySubsection"/>
      </w:pPr>
      <w:r>
        <w:tab/>
        <w:t>(2)</w:t>
      </w:r>
      <w:r>
        <w:tab/>
        <w:t xml:space="preserve">Despite subclause (1), section 242(3) does not apply in respect of the grant of a licence if the vehicle was licensed or registered outside of </w:t>
      </w:r>
      <w:smartTag w:uri="urn:schemas-microsoft-com:office:smarttags" w:element="place">
        <w:smartTag w:uri="urn:schemas-microsoft-com:office:smarttags" w:element="State">
          <w:r>
            <w:t>Western Australia</w:t>
          </w:r>
        </w:smartTag>
      </w:smartTag>
      <w:r>
        <w:t xml:space="preserve"> before 1 July 2008.</w:t>
      </w:r>
    </w:p>
    <w:p>
      <w:pPr>
        <w:pStyle w:val="yHeading5"/>
      </w:pPr>
      <w:bookmarkStart w:id="1251" w:name="_Toc392162640"/>
      <w:bookmarkStart w:id="1252" w:name="_Toc413847445"/>
      <w:r>
        <w:rPr>
          <w:rStyle w:val="CharSClsNo"/>
        </w:rPr>
        <w:t>19</w:t>
      </w:r>
      <w:r>
        <w:t>.</w:t>
      </w:r>
      <w:r>
        <w:tab/>
        <w:t>New vehicles (s. 228)</w:t>
      </w:r>
      <w:bookmarkEnd w:id="1251"/>
      <w:bookmarkEnd w:id="1252"/>
    </w:p>
    <w:p>
      <w:pPr>
        <w:pStyle w:val="ySubsection"/>
        <w:spacing w:before="100"/>
      </w:pPr>
      <w:r>
        <w:tab/>
      </w:r>
      <w:r>
        <w:tab/>
        <w:t xml:space="preserve">In section 228, in the definition of </w:t>
      </w:r>
      <w:r>
        <w:rPr>
          <w:b/>
          <w:i/>
        </w:rPr>
        <w:t>new vehicle</w:t>
      </w:r>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1253" w:name="_Toc392162641"/>
      <w:bookmarkStart w:id="1254" w:name="_Toc413847446"/>
      <w:r>
        <w:rPr>
          <w:rStyle w:val="CharSClsNo"/>
        </w:rPr>
        <w:t>20</w:t>
      </w:r>
      <w:r>
        <w:t>.</w:t>
      </w:r>
      <w:r>
        <w:tab/>
        <w:t>Specialised vehicles (s. 239)</w:t>
      </w:r>
      <w:bookmarkEnd w:id="1253"/>
      <w:bookmarkEnd w:id="1254"/>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1255" w:name="_Toc392162642"/>
      <w:bookmarkStart w:id="1256" w:name="_Toc413847447"/>
      <w:r>
        <w:rPr>
          <w:rStyle w:val="CharSClsNo"/>
        </w:rPr>
        <w:t>21</w:t>
      </w:r>
      <w:r>
        <w:t>.</w:t>
      </w:r>
      <w:r>
        <w:tab/>
        <w:t>Approval of philanthropic purposes (s. 247)</w:t>
      </w:r>
      <w:bookmarkEnd w:id="1255"/>
      <w:bookmarkEnd w:id="1256"/>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1257" w:name="_Toc392162643"/>
      <w:bookmarkStart w:id="1258" w:name="_Toc413847448"/>
      <w:r>
        <w:rPr>
          <w:rStyle w:val="CharSClsNo"/>
        </w:rPr>
        <w:t>22</w:t>
      </w:r>
      <w:r>
        <w:t>.</w:t>
      </w:r>
      <w:r>
        <w:tab/>
        <w:t>Transfer of vehicles, nominal duty on (s. 250)</w:t>
      </w:r>
      <w:bookmarkEnd w:id="1257"/>
      <w:bookmarkEnd w:id="1258"/>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1259" w:name="_Toc392162644"/>
      <w:bookmarkStart w:id="1260" w:name="_Toc413847449"/>
      <w:r>
        <w:rPr>
          <w:rStyle w:val="CharSClsNo"/>
        </w:rPr>
        <w:t>23</w:t>
      </w:r>
      <w:r>
        <w:t>.</w:t>
      </w:r>
      <w:r>
        <w:tab/>
        <w:t xml:space="preserve">Statements made under </w:t>
      </w:r>
      <w:r>
        <w:rPr>
          <w:i/>
          <w:iCs/>
        </w:rPr>
        <w:t>Stamp Act 1921</w:t>
      </w:r>
      <w:r>
        <w:t xml:space="preserve"> s. 76H (s. 252)</w:t>
      </w:r>
      <w:bookmarkEnd w:id="1259"/>
      <w:bookmarkEnd w:id="1260"/>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1261" w:name="_Toc389126654"/>
      <w:bookmarkStart w:id="1262" w:name="_Toc392162645"/>
      <w:bookmarkStart w:id="1263" w:name="_Toc412735141"/>
      <w:bookmarkStart w:id="1264" w:name="_Toc412735564"/>
      <w:bookmarkStart w:id="1265" w:name="_Toc412819581"/>
      <w:bookmarkStart w:id="1266" w:name="_Toc413830341"/>
      <w:bookmarkStart w:id="1267" w:name="_Toc413847450"/>
      <w:r>
        <w:t>Subdivision 6</w:t>
      </w:r>
      <w:r>
        <w:rPr>
          <w:b w:val="0"/>
        </w:rPr>
        <w:t> — </w:t>
      </w:r>
      <w:r>
        <w:t>Provisions for Chapter 7</w:t>
      </w:r>
      <w:bookmarkEnd w:id="1261"/>
      <w:bookmarkEnd w:id="1262"/>
      <w:bookmarkEnd w:id="1263"/>
      <w:bookmarkEnd w:id="1264"/>
      <w:bookmarkEnd w:id="1265"/>
      <w:bookmarkEnd w:id="1266"/>
      <w:bookmarkEnd w:id="1267"/>
    </w:p>
    <w:p>
      <w:pPr>
        <w:pStyle w:val="yHeading5"/>
      </w:pPr>
      <w:bookmarkStart w:id="1268" w:name="_Toc392162646"/>
      <w:bookmarkStart w:id="1269" w:name="_Toc413847451"/>
      <w:r>
        <w:rPr>
          <w:rStyle w:val="CharSClsNo"/>
        </w:rPr>
        <w:t>24</w:t>
      </w:r>
      <w:r>
        <w:t>.</w:t>
      </w:r>
      <w:r>
        <w:tab/>
        <w:t xml:space="preserve">When </w:t>
      </w:r>
      <w:smartTag w:uri="urn:schemas-microsoft-com:office:smarttags" w:element="place">
        <w:smartTag w:uri="urn:schemas-microsoft-com:office:smarttags" w:element="country-region">
          <w:r>
            <w:t>Ch.</w:t>
          </w:r>
        </w:smartTag>
      </w:smartTag>
      <w:r>
        <w:t xml:space="preserve"> 7 starts to apply</w:t>
      </w:r>
      <w:bookmarkEnd w:id="1268"/>
      <w:bookmarkEnd w:id="1269"/>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pPr>
      <w:bookmarkStart w:id="1270" w:name="_Toc389126656"/>
      <w:bookmarkStart w:id="1271" w:name="_Toc392162647"/>
      <w:bookmarkStart w:id="1272" w:name="_Toc412735143"/>
      <w:bookmarkStart w:id="1273" w:name="_Toc412735566"/>
      <w:bookmarkStart w:id="1274" w:name="_Toc412819583"/>
      <w:bookmarkStart w:id="1275" w:name="_Toc413830343"/>
      <w:bookmarkStart w:id="1276" w:name="_Toc413847452"/>
      <w:r>
        <w:t>Subdivision 7</w:t>
      </w:r>
      <w:r>
        <w:rPr>
          <w:b w:val="0"/>
        </w:rPr>
        <w:t> — </w:t>
      </w:r>
      <w:r>
        <w:t>General</w:t>
      </w:r>
      <w:bookmarkEnd w:id="1270"/>
      <w:bookmarkEnd w:id="1271"/>
      <w:bookmarkEnd w:id="1272"/>
      <w:bookmarkEnd w:id="1273"/>
      <w:bookmarkEnd w:id="1274"/>
      <w:bookmarkEnd w:id="1275"/>
      <w:bookmarkEnd w:id="1276"/>
    </w:p>
    <w:p>
      <w:pPr>
        <w:pStyle w:val="yHeading5"/>
      </w:pPr>
      <w:bookmarkStart w:id="1277" w:name="_Toc392162648"/>
      <w:bookmarkStart w:id="1278" w:name="_Toc413847453"/>
      <w:r>
        <w:rPr>
          <w:rStyle w:val="CharSClsNo"/>
        </w:rPr>
        <w:t>25</w:t>
      </w:r>
      <w:r>
        <w:t>.</w:t>
      </w:r>
      <w:r>
        <w:tab/>
        <w:t>Some references to duty include stamp duty</w:t>
      </w:r>
      <w:bookmarkEnd w:id="1277"/>
      <w:bookmarkEnd w:id="1278"/>
      <w:r>
        <w:t xml:space="preserve"> </w:t>
      </w:r>
    </w:p>
    <w:p>
      <w:pPr>
        <w:pStyle w:val="ySubsection"/>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spacing w:before="180"/>
      </w:pPr>
      <w:bookmarkStart w:id="1279" w:name="_Toc392162649"/>
      <w:bookmarkStart w:id="1280" w:name="_Toc413847454"/>
      <w:r>
        <w:rPr>
          <w:rStyle w:val="CharSClsNo"/>
        </w:rPr>
        <w:t>26</w:t>
      </w:r>
      <w:r>
        <w:t>.</w:t>
      </w:r>
      <w:r>
        <w:tab/>
        <w:t xml:space="preserve">Application of some </w:t>
      </w:r>
      <w:smartTag w:uri="urn:schemas-microsoft-com:office:smarttags" w:element="place">
        <w:smartTag w:uri="urn:schemas-microsoft-com:office:smarttags" w:element="country-region">
          <w:r>
            <w:t>Ch.</w:t>
          </w:r>
        </w:smartTag>
      </w:smartTag>
      <w:r>
        <w:t> 8 provisions</w:t>
      </w:r>
      <w:bookmarkEnd w:id="1279"/>
      <w:bookmarkEnd w:id="1280"/>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spacing w:before="180"/>
      </w:pPr>
      <w:bookmarkStart w:id="1281" w:name="_Toc392162650"/>
      <w:bookmarkStart w:id="1282" w:name="_Toc413847455"/>
      <w:r>
        <w:rPr>
          <w:rStyle w:val="CharSClsNo"/>
        </w:rPr>
        <w:t>27</w:t>
      </w:r>
      <w:r>
        <w:t>.</w:t>
      </w:r>
      <w:r>
        <w:tab/>
        <w:t>Regulations</w:t>
      </w:r>
      <w:bookmarkEnd w:id="1281"/>
      <w:bookmarkEnd w:id="1282"/>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1283" w:name="_Toc392162651"/>
      <w:bookmarkStart w:id="1284" w:name="_Toc413847456"/>
      <w:r>
        <w:rPr>
          <w:rStyle w:val="CharSClsNo"/>
        </w:rPr>
        <w:t>28</w:t>
      </w:r>
      <w:r>
        <w:t>.</w:t>
      </w:r>
      <w:r>
        <w:tab/>
      </w:r>
      <w:r>
        <w:rPr>
          <w:i/>
          <w:iCs/>
        </w:rPr>
        <w:t>Stamp Act 1921</w:t>
      </w:r>
      <w:r>
        <w:rPr>
          <w:iCs/>
        </w:rPr>
        <w:t>, references to</w:t>
      </w:r>
      <w:bookmarkEnd w:id="1283"/>
      <w:bookmarkEnd w:id="1284"/>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(cl. 29) deleted by No. 30 of 2008 s. 4.]</w:t>
      </w:r>
    </w:p>
    <w:p>
      <w:pPr>
        <w:pStyle w:val="yEdnotedivision"/>
      </w:pPr>
      <w:r>
        <w:t>[Division 3 (cl. 30) deleted by No. 5 of 2013 s. 7.]</w:t>
      </w:r>
    </w:p>
    <w:p>
      <w:pPr>
        <w:pStyle w:val="yHeading3"/>
      </w:pPr>
      <w:bookmarkStart w:id="1285" w:name="_Toc389126661"/>
      <w:bookmarkStart w:id="1286" w:name="_Toc392162652"/>
      <w:bookmarkStart w:id="1287" w:name="_Toc412735148"/>
      <w:bookmarkStart w:id="1288" w:name="_Toc412735571"/>
      <w:bookmarkStart w:id="1289" w:name="_Toc412819588"/>
      <w:bookmarkStart w:id="1290" w:name="_Toc413830348"/>
      <w:bookmarkStart w:id="1291" w:name="_Toc413847457"/>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1285"/>
      <w:bookmarkEnd w:id="1286"/>
      <w:bookmarkEnd w:id="1287"/>
      <w:bookmarkEnd w:id="1288"/>
      <w:bookmarkEnd w:id="1289"/>
      <w:bookmarkEnd w:id="1290"/>
      <w:bookmarkEnd w:id="1291"/>
    </w:p>
    <w:p>
      <w:pPr>
        <w:pStyle w:val="yFootnoteheading"/>
      </w:pPr>
      <w:r>
        <w:tab/>
        <w:t>[Heading inserted by No. 9 of 2010 s. 6.]</w:t>
      </w:r>
    </w:p>
    <w:p>
      <w:pPr>
        <w:pStyle w:val="yHeading5"/>
      </w:pPr>
      <w:bookmarkStart w:id="1292" w:name="_Toc392162653"/>
      <w:bookmarkStart w:id="1293" w:name="_Toc413847458"/>
      <w:r>
        <w:rPr>
          <w:rStyle w:val="CharSClsNo"/>
        </w:rPr>
        <w:t>31</w:t>
      </w:r>
      <w:r>
        <w:t>.</w:t>
      </w:r>
      <w:r>
        <w:rPr>
          <w:b w:val="0"/>
        </w:rPr>
        <w:tab/>
      </w:r>
      <w:r>
        <w:rPr>
          <w:bCs/>
        </w:rPr>
        <w:t>Terms used</w:t>
      </w:r>
      <w:bookmarkEnd w:id="1292"/>
      <w:bookmarkEnd w:id="1293"/>
    </w:p>
    <w:p>
      <w:pPr>
        <w:pStyle w:val="ySubsection"/>
      </w:pPr>
      <w:r>
        <w:tab/>
      </w:r>
      <w:r>
        <w:tab/>
        <w:t>When this Division uses a term that is used in Chapter 6, the term has the same meaning in this Division as it has in Chapter 6.</w:t>
      </w:r>
    </w:p>
    <w:p>
      <w:pPr>
        <w:pStyle w:val="yFootnotesection"/>
      </w:pPr>
      <w:r>
        <w:tab/>
        <w:t>[Clause 31 inserted by No. 9 of 2010 s. 6.]</w:t>
      </w:r>
    </w:p>
    <w:p>
      <w:pPr>
        <w:pStyle w:val="yHeading5"/>
      </w:pPr>
      <w:bookmarkStart w:id="1294" w:name="_Toc392162654"/>
      <w:bookmarkStart w:id="1295" w:name="_Toc413847459"/>
      <w:r>
        <w:rPr>
          <w:rStyle w:val="CharSClsNo"/>
        </w:rPr>
        <w:t>32</w:t>
      </w:r>
      <w:r>
        <w:t>.</w:t>
      </w:r>
      <w:r>
        <w:rPr>
          <w:b w:val="0"/>
        </w:rPr>
        <w:tab/>
      </w:r>
      <w:r>
        <w:rPr>
          <w:bCs/>
        </w:rPr>
        <w:t>Certain relevant reconstruction transactions</w:t>
      </w:r>
      <w:bookmarkEnd w:id="1294"/>
      <w:bookmarkEnd w:id="1295"/>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by No. 9 of 2010 s. 6.]</w:t>
      </w:r>
    </w:p>
    <w:p>
      <w:pPr>
        <w:pStyle w:val="yHeading3"/>
        <w:rPr>
          <w:highlight w:val="cyan"/>
        </w:rPr>
      </w:pPr>
      <w:bookmarkStart w:id="1296" w:name="_Toc389126664"/>
      <w:bookmarkStart w:id="1297" w:name="_Toc392162655"/>
      <w:bookmarkStart w:id="1298" w:name="_Toc412735151"/>
      <w:bookmarkStart w:id="1299" w:name="_Toc412735574"/>
      <w:bookmarkStart w:id="1300" w:name="_Toc412819591"/>
      <w:bookmarkStart w:id="1301" w:name="_Toc413830351"/>
      <w:bookmarkStart w:id="1302" w:name="_Toc413847460"/>
      <w:r>
        <w:rPr>
          <w:rStyle w:val="CharSDivNo"/>
        </w:rPr>
        <w:t>Division 5</w:t>
      </w:r>
      <w:r>
        <w:rPr>
          <w:b w:val="0"/>
        </w:rPr>
        <w:t> — </w:t>
      </w:r>
      <w:r>
        <w:rPr>
          <w:rStyle w:val="CharSDivText"/>
        </w:rPr>
        <w:t xml:space="preserve">Provisions for </w:t>
      </w:r>
      <w:r>
        <w:rPr>
          <w:rStyle w:val="CharSDivText"/>
          <w:i/>
        </w:rPr>
        <w:t>Duties Amendment Act (No. 2) 2011</w:t>
      </w:r>
      <w:bookmarkEnd w:id="1296"/>
      <w:bookmarkEnd w:id="1297"/>
      <w:bookmarkEnd w:id="1298"/>
      <w:bookmarkEnd w:id="1299"/>
      <w:bookmarkEnd w:id="1300"/>
      <w:bookmarkEnd w:id="1301"/>
      <w:bookmarkEnd w:id="1302"/>
    </w:p>
    <w:p>
      <w:pPr>
        <w:pStyle w:val="yFootnoteheading"/>
      </w:pPr>
      <w:r>
        <w:tab/>
        <w:t>[Heading inserted by No. 33 of 2011 s. 6.]</w:t>
      </w:r>
    </w:p>
    <w:p>
      <w:pPr>
        <w:pStyle w:val="yHeading5"/>
      </w:pPr>
      <w:bookmarkStart w:id="1303" w:name="_Toc392162656"/>
      <w:bookmarkStart w:id="1304" w:name="_Toc413847461"/>
      <w:r>
        <w:rPr>
          <w:rStyle w:val="CharSClsNo"/>
        </w:rPr>
        <w:t>33</w:t>
      </w:r>
      <w:r>
        <w:t>.</w:t>
      </w:r>
      <w:r>
        <w:rPr>
          <w:b w:val="0"/>
        </w:rPr>
        <w:tab/>
      </w:r>
      <w:r>
        <w:t>Term used: relevant period</w:t>
      </w:r>
      <w:bookmarkEnd w:id="1303"/>
      <w:bookmarkEnd w:id="1304"/>
    </w:p>
    <w:p>
      <w:pPr>
        <w:pStyle w:val="ySubsection"/>
      </w:pPr>
      <w:r>
        <w:tab/>
      </w:r>
      <w:r>
        <w:tab/>
        <w:t xml:space="preserve">In this Division — </w:t>
      </w:r>
    </w:p>
    <w:p>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pPr>
        <w:pStyle w:val="yFootnotesection"/>
      </w:pPr>
      <w:r>
        <w:tab/>
        <w:t>[Clause 33 inserted by No. 33 of 2011 s. 6.]</w:t>
      </w:r>
    </w:p>
    <w:p>
      <w:pPr>
        <w:pStyle w:val="yHeading5"/>
      </w:pPr>
      <w:bookmarkStart w:id="1305" w:name="_Toc392162657"/>
      <w:bookmarkStart w:id="1306" w:name="_Toc413847462"/>
      <w:r>
        <w:rPr>
          <w:rStyle w:val="CharSClsNo"/>
        </w:rPr>
        <w:t>34</w:t>
      </w:r>
      <w:r>
        <w:t>.</w:t>
      </w:r>
      <w:r>
        <w:rPr>
          <w:b w:val="0"/>
        </w:rPr>
        <w:tab/>
      </w:r>
      <w:r>
        <w:t>When transfer duty deemed to arise in certain cases</w:t>
      </w:r>
      <w:bookmarkEnd w:id="1305"/>
      <w:bookmarkEnd w:id="1306"/>
    </w:p>
    <w:p>
      <w:pPr>
        <w:pStyle w:val="ySubsection"/>
      </w:pPr>
      <w:r>
        <w:tab/>
        <w:t>(1)</w:t>
      </w:r>
      <w:r>
        <w:tab/>
        <w:t>When this clause uses a term that is used in Chapter 2, the term has the same meaning in this clause as it has in that Chapter.</w:t>
      </w:r>
    </w:p>
    <w:p>
      <w:pPr>
        <w:pStyle w:val="ySubsection"/>
      </w:pPr>
      <w:r>
        <w:tab/>
        <w:t>(2)</w:t>
      </w:r>
      <w:r>
        <w:tab/>
        <w:t xml:space="preserve">This clause applies to any transaction — </w:t>
      </w:r>
    </w:p>
    <w:p>
      <w:pPr>
        <w:pStyle w:val="yIndenta"/>
      </w:pPr>
      <w:r>
        <w:tab/>
        <w:t>(a)</w:t>
      </w:r>
      <w:r>
        <w:tab/>
        <w:t>that became a dutiable transaction during the relevant period; and</w:t>
      </w:r>
    </w:p>
    <w:p>
      <w:pPr>
        <w:pStyle w:val="yIndenta"/>
      </w:pPr>
      <w:r>
        <w:tab/>
        <w:t>(b)</w:t>
      </w:r>
      <w:r>
        <w:tab/>
        <w:t xml:space="preserve">that would not have become a dutiable transaction during that period if the </w:t>
      </w:r>
      <w:r>
        <w:rPr>
          <w:i/>
        </w:rPr>
        <w:t>Duties Amendment Act (No. 2) 2011</w:t>
      </w:r>
      <w:r>
        <w:t xml:space="preserve"> Part 2 had not been enacted.</w:t>
      </w:r>
    </w:p>
    <w:p>
      <w:pPr>
        <w:pStyle w:val="ySubsection"/>
      </w:pPr>
      <w:r>
        <w:tab/>
        <w:t>(3)</w:t>
      </w:r>
      <w:r>
        <w:tab/>
        <w:t xml:space="preserve">If this clause applies to a transaction, liability (if any) for transfer duty chargeable on the transaction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34 inserted by No. 33 of 2011 s. 6.]</w:t>
      </w:r>
    </w:p>
    <w:p>
      <w:pPr>
        <w:pStyle w:val="yHeading5"/>
        <w:spacing w:before="180"/>
      </w:pPr>
      <w:bookmarkStart w:id="1307" w:name="_Toc392162658"/>
      <w:bookmarkStart w:id="1308" w:name="_Toc413847463"/>
      <w:r>
        <w:rPr>
          <w:rStyle w:val="CharSClsNo"/>
        </w:rPr>
        <w:t>35</w:t>
      </w:r>
      <w:r>
        <w:t>.</w:t>
      </w:r>
      <w:r>
        <w:rPr>
          <w:b w:val="0"/>
        </w:rPr>
        <w:tab/>
      </w:r>
      <w:r>
        <w:t>When landholder duty deemed to arise in certain cases</w:t>
      </w:r>
      <w:bookmarkEnd w:id="1307"/>
      <w:bookmarkEnd w:id="1308"/>
    </w:p>
    <w:p>
      <w:pPr>
        <w:pStyle w:val="ySubsection"/>
      </w:pPr>
      <w:r>
        <w:tab/>
        <w:t>(1)</w:t>
      </w:r>
      <w:r>
        <w:tab/>
        <w:t>When this clause uses a term that is used in Chapter 3, the term has the same meaning in this clause as it has in that Chapter.</w:t>
      </w:r>
    </w:p>
    <w:p>
      <w:pPr>
        <w:pStyle w:val="ySubsection"/>
      </w:pPr>
      <w:r>
        <w:tab/>
        <w:t>(2)</w:t>
      </w:r>
      <w:r>
        <w:tab/>
        <w:t xml:space="preserve">This clause applies to any acquisition of an interest in an entity — </w:t>
      </w:r>
    </w:p>
    <w:p>
      <w:pPr>
        <w:pStyle w:val="yIndenta"/>
      </w:pPr>
      <w:r>
        <w:tab/>
        <w:t>(a)</w:t>
      </w:r>
      <w:r>
        <w:tab/>
        <w:t>that became a relevant acquisition during the relevant period; and</w:t>
      </w:r>
    </w:p>
    <w:p>
      <w:pPr>
        <w:pStyle w:val="yIndenta"/>
      </w:pPr>
      <w:r>
        <w:tab/>
        <w:t>(b)</w:t>
      </w:r>
      <w:r>
        <w:tab/>
        <w:t xml:space="preserve">that would not have become a relevant acquisition during that period if the </w:t>
      </w:r>
      <w:r>
        <w:rPr>
          <w:i/>
        </w:rPr>
        <w:t>Duties Amendment Act (No. 2) 2011</w:t>
      </w:r>
      <w:r>
        <w:t xml:space="preserve"> Part 2 had not been enacted.</w:t>
      </w:r>
    </w:p>
    <w:p>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35 inserted by No. 33 of 2011 s. 6.]</w:t>
      </w:r>
    </w:p>
    <w:p>
      <w:pPr>
        <w:pStyle w:val="yHeading3"/>
      </w:pPr>
      <w:bookmarkStart w:id="1309" w:name="_Toc389126668"/>
      <w:bookmarkStart w:id="1310" w:name="_Toc392162659"/>
      <w:bookmarkStart w:id="1311" w:name="_Toc412735155"/>
      <w:bookmarkStart w:id="1312" w:name="_Toc412735578"/>
      <w:bookmarkStart w:id="1313" w:name="_Toc412819595"/>
      <w:bookmarkStart w:id="1314" w:name="_Toc413830355"/>
      <w:bookmarkStart w:id="1315" w:name="_Toc413847464"/>
      <w:r>
        <w:rPr>
          <w:rStyle w:val="CharSDivNo"/>
        </w:rPr>
        <w:t>Division 6</w:t>
      </w:r>
      <w:r>
        <w:rPr>
          <w:b w:val="0"/>
        </w:rPr>
        <w:t> — </w:t>
      </w:r>
      <w:r>
        <w:rPr>
          <w:rStyle w:val="CharSDivText"/>
        </w:rPr>
        <w:t xml:space="preserve">Provisions for </w:t>
      </w:r>
      <w:r>
        <w:rPr>
          <w:rStyle w:val="CharSDivText"/>
          <w:i/>
        </w:rPr>
        <w:t>Revenue Laws Amendment Act 2013</w:t>
      </w:r>
      <w:r>
        <w:rPr>
          <w:rStyle w:val="CharSDivText"/>
        </w:rPr>
        <w:t xml:space="preserve"> Part 2</w:t>
      </w:r>
      <w:bookmarkEnd w:id="1309"/>
      <w:bookmarkEnd w:id="1310"/>
      <w:bookmarkEnd w:id="1311"/>
      <w:bookmarkEnd w:id="1312"/>
      <w:bookmarkEnd w:id="1313"/>
      <w:bookmarkEnd w:id="1314"/>
      <w:bookmarkEnd w:id="1315"/>
    </w:p>
    <w:p>
      <w:pPr>
        <w:pStyle w:val="yFootnoteheading"/>
      </w:pPr>
      <w:r>
        <w:tab/>
        <w:t>[Heading inserted by No. 10 of 2013 s. 9.]</w:t>
      </w:r>
    </w:p>
    <w:p>
      <w:pPr>
        <w:pStyle w:val="yHeading5"/>
      </w:pPr>
      <w:bookmarkStart w:id="1316" w:name="_Toc392162660"/>
      <w:bookmarkStart w:id="1317" w:name="_Toc413847465"/>
      <w:r>
        <w:rPr>
          <w:rStyle w:val="CharSClsNo"/>
        </w:rPr>
        <w:t>36</w:t>
      </w:r>
      <w:r>
        <w:t>.</w:t>
      </w:r>
      <w:r>
        <w:tab/>
        <w:t>Interim assessments</w:t>
      </w:r>
      <w:bookmarkEnd w:id="1316"/>
      <w:bookmarkEnd w:id="1317"/>
    </w:p>
    <w:p>
      <w:pPr>
        <w:pStyle w:val="ySubsection"/>
        <w:rPr>
          <w:snapToGrid w:val="0"/>
        </w:rPr>
      </w:pPr>
      <w:r>
        <w:tab/>
      </w:r>
      <w:r>
        <w:tab/>
        <w:t xml:space="preserve">The Commissioner may make an interim assessment of duty payable under Chapter 2 on a dutiable transaction, or under Chapter 3 in respect of a relevant acquisition, that occurred before the day on which the </w:t>
      </w:r>
      <w:r>
        <w:rPr>
          <w:i/>
          <w:snapToGrid w:val="0"/>
        </w:rPr>
        <w:t>Revenue Laws Amendment Act 2013</w:t>
      </w:r>
      <w:r>
        <w:rPr>
          <w:snapToGrid w:val="0"/>
        </w:rPr>
        <w:t xml:space="preserve"> Part 2 came into operation.</w:t>
      </w:r>
    </w:p>
    <w:p>
      <w:pPr>
        <w:pStyle w:val="yFootnotesection"/>
      </w:pPr>
      <w:r>
        <w:tab/>
        <w:t>[Clause 36 inserted by No. 10 of 2013 s. 9.]</w:t>
      </w:r>
    </w:p>
    <w:p>
      <w:pPr>
        <w:pStyle w:val="yHeading3"/>
        <w:rPr>
          <w:i/>
        </w:rPr>
      </w:pPr>
      <w:bookmarkStart w:id="1318" w:name="_Toc401044677"/>
      <w:bookmarkStart w:id="1319" w:name="_Toc401044752"/>
      <w:bookmarkStart w:id="1320" w:name="_Toc401044827"/>
      <w:bookmarkStart w:id="1321" w:name="_Toc401044902"/>
      <w:bookmarkStart w:id="1322" w:name="_Toc401045267"/>
      <w:bookmarkStart w:id="1323" w:name="_Toc401045465"/>
      <w:bookmarkStart w:id="1324" w:name="_Toc401045593"/>
      <w:bookmarkStart w:id="1325" w:name="_Toc404191840"/>
      <w:bookmarkStart w:id="1326" w:name="_Toc404242833"/>
      <w:bookmarkStart w:id="1327" w:name="_Toc412116174"/>
      <w:bookmarkStart w:id="1328" w:name="_Toc412116262"/>
      <w:bookmarkStart w:id="1329" w:name="_Toc412712855"/>
      <w:bookmarkStart w:id="1330" w:name="_Toc412723317"/>
      <w:bookmarkStart w:id="1331" w:name="_Toc412732571"/>
      <w:bookmarkStart w:id="1332" w:name="_Toc412819597"/>
      <w:bookmarkStart w:id="1333" w:name="_Toc413830357"/>
      <w:bookmarkStart w:id="1334" w:name="_Toc413847466"/>
      <w:r>
        <w:rPr>
          <w:rStyle w:val="CharSDivNo"/>
        </w:rPr>
        <w:t>Division 7</w:t>
      </w:r>
      <w:r>
        <w:t> — </w:t>
      </w:r>
      <w:r>
        <w:rPr>
          <w:rStyle w:val="CharSDivText"/>
        </w:rPr>
        <w:t xml:space="preserve">Provisions for </w:t>
      </w:r>
      <w:r>
        <w:rPr>
          <w:rStyle w:val="CharSDivText"/>
          <w:i/>
        </w:rPr>
        <w:t>Taxation Legislation Amendment Act 2015</w:t>
      </w:r>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p>
    <w:p>
      <w:pPr>
        <w:pStyle w:val="yFootnoteheading"/>
      </w:pPr>
      <w:r>
        <w:tab/>
        <w:t>[Heading inserted by No. 1 of 2015 s. 28.]</w:t>
      </w:r>
    </w:p>
    <w:p>
      <w:pPr>
        <w:pStyle w:val="yHeading5"/>
      </w:pPr>
      <w:bookmarkStart w:id="1335" w:name="_Toc412712856"/>
      <w:bookmarkStart w:id="1336" w:name="_Toc412723318"/>
      <w:bookmarkStart w:id="1337" w:name="_Toc412732572"/>
      <w:bookmarkStart w:id="1338" w:name="_Toc413847467"/>
      <w:r>
        <w:rPr>
          <w:rStyle w:val="CharSClsNo"/>
        </w:rPr>
        <w:t>37</w:t>
      </w:r>
      <w:r>
        <w:t>.</w:t>
      </w:r>
      <w:r>
        <w:tab/>
        <w:t>Terms used</w:t>
      </w:r>
      <w:bookmarkEnd w:id="1335"/>
      <w:bookmarkEnd w:id="1336"/>
      <w:bookmarkEnd w:id="1337"/>
      <w:bookmarkEnd w:id="1338"/>
    </w:p>
    <w:p>
      <w:pPr>
        <w:pStyle w:val="ySubsection"/>
      </w:pPr>
      <w:r>
        <w:tab/>
      </w:r>
      <w:r>
        <w:tab/>
        <w:t xml:space="preserve">In this Division — </w:t>
      </w:r>
    </w:p>
    <w:p>
      <w:pPr>
        <w:pStyle w:val="yDefstart"/>
      </w:pPr>
      <w:r>
        <w:tab/>
      </w:r>
      <w:r>
        <w:rPr>
          <w:rStyle w:val="CharDefText"/>
        </w:rPr>
        <w:t>amended provisions</w:t>
      </w:r>
      <w:r>
        <w:t xml:space="preserve"> means sections 156(8)(b) and 195(2)(a) as in force immediately after commencement;</w:t>
      </w:r>
    </w:p>
    <w:p>
      <w:pPr>
        <w:pStyle w:val="yDefstart"/>
      </w:pPr>
      <w:r>
        <w:tab/>
      </w:r>
      <w:r>
        <w:rPr>
          <w:rStyle w:val="CharDefText"/>
        </w:rPr>
        <w:t>commencement</w:t>
      </w:r>
      <w:r>
        <w:t xml:space="preserve"> means the day on which the </w:t>
      </w:r>
      <w:r>
        <w:rPr>
          <w:i/>
        </w:rPr>
        <w:t>Taxation Legislation Amendment Act 2015</w:t>
      </w:r>
      <w:r>
        <w:t xml:space="preserve"> Part 4 comes into operation;</w:t>
      </w:r>
    </w:p>
    <w:p>
      <w:pPr>
        <w:pStyle w:val="yDefstart"/>
      </w:pPr>
      <w:r>
        <w:tab/>
      </w:r>
      <w:r>
        <w:rPr>
          <w:rStyle w:val="CharDefText"/>
        </w:rPr>
        <w:t xml:space="preserve">relevant acquisition </w:t>
      </w:r>
      <w:r>
        <w:t>means a relevant acquisition that occurred on or after 1 July 2008 but before commencement.</w:t>
      </w:r>
    </w:p>
    <w:p>
      <w:pPr>
        <w:pStyle w:val="yFootnotesection"/>
      </w:pPr>
      <w:bookmarkStart w:id="1339" w:name="_Toc412712857"/>
      <w:bookmarkStart w:id="1340" w:name="_Toc412723319"/>
      <w:bookmarkStart w:id="1341" w:name="_Toc412732573"/>
      <w:r>
        <w:tab/>
        <w:t>[Clause 37 inserted by No. 1 of 2015 s. 28.]</w:t>
      </w:r>
    </w:p>
    <w:p>
      <w:pPr>
        <w:pStyle w:val="yHeading5"/>
      </w:pPr>
      <w:bookmarkStart w:id="1342" w:name="_Toc413847468"/>
      <w:r>
        <w:rPr>
          <w:rStyle w:val="CharSClsNo"/>
        </w:rPr>
        <w:t>38</w:t>
      </w:r>
      <w:r>
        <w:t>.</w:t>
      </w:r>
      <w:r>
        <w:tab/>
        <w:t>Duty on certain relevant acquisitions</w:t>
      </w:r>
      <w:bookmarkEnd w:id="1339"/>
      <w:bookmarkEnd w:id="1340"/>
      <w:bookmarkEnd w:id="1341"/>
      <w:bookmarkEnd w:id="1342"/>
      <w:r>
        <w:t xml:space="preserve"> </w:t>
      </w:r>
    </w:p>
    <w:p>
      <w:pPr>
        <w:pStyle w:val="ySubsection"/>
      </w:pPr>
      <w:r>
        <w:tab/>
        <w:t>(1)</w:t>
      </w:r>
      <w:r>
        <w:tab/>
        <w:t xml:space="preserve">The amended provisions apply, and are to be taken to have always applied, for the purposes of — </w:t>
      </w:r>
    </w:p>
    <w:p>
      <w:pPr>
        <w:pStyle w:val="yIndenta"/>
      </w:pPr>
      <w:r>
        <w:tab/>
        <w:t>(a)</w:t>
      </w:r>
      <w:r>
        <w:tab/>
        <w:t>assessing duty in respect of a relevant acquisition; and</w:t>
      </w:r>
    </w:p>
    <w:p>
      <w:pPr>
        <w:pStyle w:val="yIndenta"/>
      </w:pPr>
      <w:r>
        <w:tab/>
        <w:t>(b)</w:t>
      </w:r>
      <w:r>
        <w:tab/>
        <w:t xml:space="preserve">reassessing duty in respect of a relevant acquisition on an application made under section 195(3)(b) before whichever is the later of the following — </w:t>
      </w:r>
    </w:p>
    <w:p>
      <w:pPr>
        <w:pStyle w:val="yIndenti0"/>
      </w:pPr>
      <w:r>
        <w:tab/>
        <w:t>(i)</w:t>
      </w:r>
      <w:r>
        <w:tab/>
        <w:t>5 years after the original assessment was made;</w:t>
      </w:r>
    </w:p>
    <w:p>
      <w:pPr>
        <w:pStyle w:val="yIndenti0"/>
      </w:pPr>
      <w:r>
        <w:tab/>
        <w:t>(ii)</w:t>
      </w:r>
      <w:r>
        <w:tab/>
        <w:t>12 months after commencement.</w:t>
      </w:r>
    </w:p>
    <w:p>
      <w:pPr>
        <w:pStyle w:val="ySubsection"/>
      </w:pPr>
      <w:r>
        <w:tab/>
        <w:t>(2)</w:t>
      </w:r>
      <w:r>
        <w:tab/>
        <w:t xml:space="preserve">Subclause (1)(b) applies despite the </w:t>
      </w:r>
      <w:r>
        <w:rPr>
          <w:i/>
        </w:rPr>
        <w:t>Taxation Administration Act 2003</w:t>
      </w:r>
      <w:r>
        <w:t xml:space="preserve"> section 17(4).</w:t>
      </w:r>
    </w:p>
    <w:p>
      <w:pPr>
        <w:pStyle w:val="yFootnotesection"/>
      </w:pPr>
      <w:r>
        <w:tab/>
        <w:t>[Clause 38 inserted by No. 1 of 2015 s. 28.]</w:t>
      </w:r>
    </w:p>
    <w:p>
      <w:pPr>
        <w:pStyle w:val="yFootnotesection"/>
      </w:pPr>
    </w:p>
    <w:p>
      <w:pPr>
        <w:pStyle w:val="CentredBaseLine"/>
        <w:jc w:val="center"/>
        <w:rPr>
          <w:noProof/>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1"/>
          <w:headerReference w:type="default" r:id="rId42"/>
          <w:endnotePr>
            <w:numFmt w:val="decimal"/>
          </w:endnotePr>
          <w:pgSz w:w="11907" w:h="16840" w:code="9"/>
          <w:pgMar w:top="2381" w:right="2410" w:bottom="3544" w:left="2410" w:header="720" w:footer="3380" w:gutter="0"/>
          <w:cols w:space="720"/>
          <w:docGrid w:linePitch="326"/>
        </w:sectPr>
      </w:pPr>
    </w:p>
    <w:p>
      <w:pPr>
        <w:pStyle w:val="nHeading2"/>
      </w:pPr>
      <w:bookmarkStart w:id="1343" w:name="_Toc389126670"/>
      <w:bookmarkStart w:id="1344" w:name="_Toc392162661"/>
      <w:bookmarkStart w:id="1345" w:name="_Toc412735157"/>
      <w:bookmarkStart w:id="1346" w:name="_Toc412735580"/>
      <w:bookmarkStart w:id="1347" w:name="_Toc412819600"/>
      <w:bookmarkStart w:id="1348" w:name="_Toc413830360"/>
      <w:bookmarkStart w:id="1349" w:name="_Toc413847469"/>
      <w:r>
        <w:t>Notes</w:t>
      </w:r>
      <w:bookmarkEnd w:id="1343"/>
      <w:bookmarkEnd w:id="1344"/>
      <w:bookmarkEnd w:id="1345"/>
      <w:bookmarkEnd w:id="1346"/>
      <w:bookmarkEnd w:id="1347"/>
      <w:bookmarkEnd w:id="1348"/>
      <w:bookmarkEnd w:id="1349"/>
    </w:p>
    <w:p>
      <w:pPr>
        <w:pStyle w:val="nSubsection"/>
        <w:rPr>
          <w:snapToGrid w:val="0"/>
        </w:rPr>
      </w:pPr>
      <w:r>
        <w:rPr>
          <w:snapToGrid w:val="0"/>
          <w:vertAlign w:val="superscript"/>
        </w:rPr>
        <w:t>1</w:t>
      </w:r>
      <w:r>
        <w:rPr>
          <w:snapToGrid w:val="0"/>
        </w:rPr>
        <w:tab/>
        <w:t>This is a compilation of the</w:t>
      </w:r>
      <w:r>
        <w:rPr>
          <w:i/>
          <w:snapToGrid w:val="0"/>
        </w:rPr>
        <w:t xml:space="preserve"> </w:t>
      </w:r>
      <w:r>
        <w:rPr>
          <w:i/>
          <w:noProof/>
          <w:snapToGrid w:val="0"/>
        </w:rPr>
        <w:t>Duties Act 2008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350" w:name="_Toc392162662"/>
      <w:bookmarkStart w:id="1351" w:name="_Toc413847470"/>
      <w:r>
        <w:rPr>
          <w:snapToGrid w:val="0"/>
        </w:rPr>
        <w:t>Compilation table</w:t>
      </w:r>
      <w:bookmarkEnd w:id="1350"/>
      <w:bookmarkEnd w:id="135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iCs/>
              </w:rPr>
            </w:pPr>
            <w:r>
              <w:rPr>
                <w:i/>
                <w:noProof/>
                <w:snapToGrid w:val="0"/>
              </w:rPr>
              <w:t>Duties Act 2008</w:t>
            </w:r>
          </w:p>
        </w:tc>
        <w:tc>
          <w:tcPr>
            <w:tcW w:w="1134" w:type="dxa"/>
            <w:tcBorders>
              <w:top w:val="single" w:sz="8" w:space="0" w:color="auto"/>
              <w:bottom w:val="nil"/>
            </w:tcBorders>
          </w:tcPr>
          <w:p>
            <w:pPr>
              <w:pStyle w:val="nTable"/>
              <w:spacing w:after="40"/>
            </w:pPr>
            <w:r>
              <w:t>11 of 2008</w:t>
            </w:r>
          </w:p>
        </w:tc>
        <w:tc>
          <w:tcPr>
            <w:tcW w:w="1134" w:type="dxa"/>
            <w:tcBorders>
              <w:top w:val="single" w:sz="8" w:space="0" w:color="auto"/>
              <w:bottom w:val="nil"/>
            </w:tcBorders>
          </w:tcPr>
          <w:p>
            <w:pPr>
              <w:pStyle w:val="nTable"/>
              <w:spacing w:after="40"/>
            </w:pPr>
            <w:r>
              <w:t>14 Apr 2008</w:t>
            </w:r>
          </w:p>
        </w:tc>
        <w:tc>
          <w:tcPr>
            <w:tcW w:w="2552" w:type="dxa"/>
            <w:tcBorders>
              <w:top w:val="single" w:sz="8" w:space="0" w:color="auto"/>
              <w:bottom w:val="nil"/>
            </w:tcBorders>
          </w:tcPr>
          <w:p>
            <w:pPr>
              <w:pStyle w:val="nTable"/>
              <w:spacing w:after="40"/>
            </w:pPr>
            <w:r>
              <w:t xml:space="preserve">s. 1 and 2: 14 Apr 2008 </w:t>
            </w:r>
            <w:r>
              <w:rPr>
                <w:snapToGrid w:val="0"/>
              </w:rPr>
              <w:t>(see s. 2(a));</w:t>
            </w:r>
            <w:r>
              <w:rPr>
                <w:snapToGrid w:val="0"/>
              </w:rPr>
              <w:br/>
              <w:t>Act other than s. 1 and 2 and Sch. 3 Div. 2: 1 Jul 2008 (see s. 2(b));</w:t>
            </w:r>
            <w:r>
              <w:rPr>
                <w:snapToGrid w:val="0"/>
              </w:rPr>
              <w:br/>
              <w:t>Sch. 3 Div. 2: deleted by No. 30 of 2008 s. 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Duties Legislation Amendment Act 2008</w:t>
            </w:r>
            <w:r>
              <w:rPr>
                <w:iCs/>
                <w:noProof/>
                <w:snapToGrid w:val="0"/>
              </w:rPr>
              <w:t xml:space="preserve"> Pt. 2 Div. 2 </w:t>
            </w:r>
            <w:r>
              <w:rPr>
                <w:snapToGrid w:val="0"/>
              </w:rPr>
              <w:t>Subdiv. 1 and 2 </w:t>
            </w:r>
            <w:r>
              <w:rPr>
                <w:snapToGrid w:val="0"/>
                <w:vertAlign w:val="superscript"/>
              </w:rPr>
              <w:t>5</w:t>
            </w:r>
          </w:p>
        </w:tc>
        <w:tc>
          <w:tcPr>
            <w:tcW w:w="1134" w:type="dxa"/>
          </w:tcPr>
          <w:p>
            <w:pPr>
              <w:pStyle w:val="nTable"/>
              <w:spacing w:after="40"/>
            </w:pPr>
            <w:r>
              <w:t>12 of 2008 (as amended by No. 30 of 2008 s. 3)</w:t>
            </w:r>
          </w:p>
        </w:tc>
        <w:tc>
          <w:tcPr>
            <w:tcW w:w="1134" w:type="dxa"/>
          </w:tcPr>
          <w:p>
            <w:pPr>
              <w:pStyle w:val="nTable"/>
              <w:spacing w:after="40"/>
            </w:pPr>
            <w:r>
              <w:t>14 Apr 2008</w:t>
            </w:r>
          </w:p>
        </w:tc>
        <w:tc>
          <w:tcPr>
            <w:tcW w:w="2552" w:type="dxa"/>
          </w:tcPr>
          <w:p>
            <w:pPr>
              <w:pStyle w:val="nTable"/>
              <w:spacing w:after="40"/>
              <w:rPr>
                <w:snapToGrid w:val="0"/>
              </w:rPr>
            </w:pPr>
            <w:r>
              <w:rPr>
                <w:snapToGrid w:val="0"/>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rPr>
            </w:pPr>
            <w:r>
              <w:rPr>
                <w:i/>
                <w:noProof/>
                <w:snapToGrid w:val="0"/>
              </w:rPr>
              <w:t>Revenue Laws Amendment Act 2008</w:t>
            </w:r>
            <w:r>
              <w:rPr>
                <w:iCs/>
                <w:noProof/>
                <w:snapToGrid w:val="0"/>
              </w:rPr>
              <w:t xml:space="preserve"> s. 4 and Pt. 7 </w:t>
            </w:r>
          </w:p>
        </w:tc>
        <w:tc>
          <w:tcPr>
            <w:tcW w:w="1134" w:type="dxa"/>
          </w:tcPr>
          <w:p>
            <w:pPr>
              <w:pStyle w:val="nTable"/>
              <w:spacing w:after="40"/>
            </w:pPr>
            <w:r>
              <w:t>30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s. 4: 27 Jun 2008 (see s. 2(2)(a));</w:t>
            </w:r>
            <w:r>
              <w:rPr>
                <w:snapToGrid w:val="0"/>
              </w:rPr>
              <w:br/>
              <w:t>Pt. 7: 1 Jul 2008 (see s. 2(1)(c)(i))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 xml:space="preserve">Revenue Laws Amendment Act (No. 2) 2008 </w:t>
            </w:r>
            <w:r>
              <w:rPr>
                <w:iCs/>
                <w:noProof/>
                <w:snapToGrid w:val="0"/>
              </w:rPr>
              <w:t>s. 32</w:t>
            </w:r>
          </w:p>
        </w:tc>
        <w:tc>
          <w:tcPr>
            <w:tcW w:w="1134" w:type="dxa"/>
          </w:tcPr>
          <w:p>
            <w:pPr>
              <w:pStyle w:val="nTable"/>
              <w:spacing w:after="40"/>
            </w:pPr>
            <w:r>
              <w:t>31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Revenue Laws Amendment Act 2010</w:t>
            </w:r>
            <w:r>
              <w:rPr>
                <w:iCs/>
                <w:noProof/>
                <w:snapToGrid w:val="0"/>
              </w:rPr>
              <w:t xml:space="preserve"> Pt. 2 and Pt. 3 Div. 2 </w:t>
            </w:r>
            <w:r>
              <w:rPr>
                <w:iCs/>
                <w:noProof/>
                <w:snapToGrid w:val="0"/>
                <w:vertAlign w:val="superscript"/>
              </w:rPr>
              <w:t>5</w:t>
            </w:r>
          </w:p>
        </w:tc>
        <w:tc>
          <w:tcPr>
            <w:tcW w:w="1134" w:type="dxa"/>
          </w:tcPr>
          <w:p>
            <w:pPr>
              <w:pStyle w:val="nTable"/>
              <w:spacing w:after="40"/>
            </w:pPr>
            <w:r>
              <w:t>9 of 2010</w:t>
            </w:r>
          </w:p>
        </w:tc>
        <w:tc>
          <w:tcPr>
            <w:tcW w:w="1134" w:type="dxa"/>
          </w:tcPr>
          <w:p>
            <w:pPr>
              <w:pStyle w:val="nTable"/>
              <w:spacing w:after="40"/>
            </w:pPr>
            <w:r>
              <w:t>10 Jun 2010</w:t>
            </w:r>
          </w:p>
        </w:tc>
        <w:tc>
          <w:tcPr>
            <w:tcW w:w="2552" w:type="dxa"/>
          </w:tcPr>
          <w:p>
            <w:pPr>
              <w:pStyle w:val="nTable"/>
              <w:spacing w:after="40"/>
              <w:rPr>
                <w:snapToGrid w:val="0"/>
              </w:rPr>
            </w:pPr>
            <w:r>
              <w:rPr>
                <w:snapToGrid w:val="0"/>
              </w:rPr>
              <w:t>s. 5 and 6: 10 Mar 2010 (see s. 2(d));</w:t>
            </w:r>
            <w:r>
              <w:rPr>
                <w:snapToGrid w:val="0"/>
              </w:rPr>
              <w:br/>
              <w:t>s. 3: 10 Jun 2010 (see s. 2(a));</w:t>
            </w:r>
            <w:r>
              <w:rPr>
                <w:snapToGrid w:val="0"/>
              </w:rPr>
              <w:br/>
              <w:t>Pt. 3 Div. 2: 10 Jun 2010 (see s. 2(b)(i));</w:t>
            </w:r>
            <w:r>
              <w:rPr>
                <w:snapToGrid w:val="0"/>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Revenue Laws Amendment and Repeal Act 2010</w:t>
            </w:r>
            <w:r>
              <w:rPr>
                <w:iCs/>
                <w:noProof/>
                <w:snapToGrid w:val="0"/>
              </w:rPr>
              <w:t xml:space="preserve"> Pt. 2</w:t>
            </w:r>
          </w:p>
        </w:tc>
        <w:tc>
          <w:tcPr>
            <w:tcW w:w="1134" w:type="dxa"/>
          </w:tcPr>
          <w:p>
            <w:pPr>
              <w:pStyle w:val="nTable"/>
              <w:spacing w:after="40"/>
            </w:pPr>
            <w:r>
              <w:t>17 of 2010</w:t>
            </w:r>
          </w:p>
        </w:tc>
        <w:tc>
          <w:tcPr>
            <w:tcW w:w="1134" w:type="dxa"/>
          </w:tcPr>
          <w:p>
            <w:pPr>
              <w:pStyle w:val="nTable"/>
              <w:spacing w:after="40"/>
            </w:pPr>
            <w:r>
              <w:t>25 Jun 2010</w:t>
            </w:r>
          </w:p>
        </w:tc>
        <w:tc>
          <w:tcPr>
            <w:tcW w:w="2552" w:type="dxa"/>
          </w:tcPr>
          <w:p>
            <w:pPr>
              <w:pStyle w:val="nTable"/>
              <w:spacing w:after="40"/>
              <w:rPr>
                <w:snapToGrid w:val="0"/>
              </w:rPr>
            </w:pPr>
            <w:r>
              <w:rPr>
                <w:snapToGrid w:val="0"/>
              </w:rPr>
              <w:t>s. 12: 1 Jul 2008 (see s. 2(c));</w:t>
            </w:r>
            <w:r>
              <w:rPr>
                <w:snapToGrid w:val="0"/>
              </w:rPr>
              <w:br/>
              <w:t>s. 3, 13 and 16: 25 Jun 2010 (see s. 2(a));</w:t>
            </w:r>
            <w:r>
              <w:rPr>
                <w:snapToGrid w:val="0"/>
              </w:rPr>
              <w:br/>
              <w:t>s. 4</w:t>
            </w:r>
            <w:r>
              <w:rPr>
                <w:snapToGrid w:val="0"/>
              </w:rPr>
              <w:noBreakHyphen/>
              <w:t xml:space="preserve">11, 14 and 15: 1 Mar 2011 (see s. 2(d) and </w:t>
            </w:r>
            <w:r>
              <w:rPr>
                <w:i/>
                <w:snapToGrid w:val="0"/>
              </w:rPr>
              <w:t>Gazette</w:t>
            </w:r>
            <w:r>
              <w:rPr>
                <w:snapToGrid w:val="0"/>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Duties Amendment Act 2011</w:t>
            </w:r>
          </w:p>
        </w:tc>
        <w:tc>
          <w:tcPr>
            <w:tcW w:w="1134" w:type="dxa"/>
          </w:tcPr>
          <w:p>
            <w:pPr>
              <w:pStyle w:val="nTable"/>
              <w:spacing w:after="40"/>
            </w:pPr>
            <w:r>
              <w:t>27 of 2011</w:t>
            </w:r>
          </w:p>
        </w:tc>
        <w:tc>
          <w:tcPr>
            <w:tcW w:w="1134" w:type="dxa"/>
          </w:tcPr>
          <w:p>
            <w:pPr>
              <w:pStyle w:val="nTable"/>
              <w:spacing w:after="40"/>
            </w:pPr>
            <w:r>
              <w:t>11 Jul 2011</w:t>
            </w:r>
          </w:p>
        </w:tc>
        <w:tc>
          <w:tcPr>
            <w:tcW w:w="2552" w:type="dxa"/>
          </w:tcPr>
          <w:p>
            <w:pPr>
              <w:pStyle w:val="nTable"/>
              <w:spacing w:after="40"/>
              <w:rPr>
                <w:snapToGrid w:val="0"/>
              </w:rPr>
            </w:pPr>
            <w:r>
              <w:rPr>
                <w:snapToGrid w:val="0"/>
              </w:rPr>
              <w:t>s. 1 and 2: 11 Jul 2011 (see s. 2(a));</w:t>
            </w:r>
            <w:r>
              <w:rPr>
                <w:snapToGrid w:val="0"/>
              </w:rPr>
              <w:br/>
              <w:t xml:space="preserve">Act other than s. 1 and 2: 1 Jul 2011 (see s. 2(b)(ii)) </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keepNext/>
              <w:keepLines/>
              <w:spacing w:after="40"/>
              <w:rPr>
                <w:snapToGrid w:val="0"/>
              </w:rPr>
            </w:pPr>
            <w:r>
              <w:rPr>
                <w:b/>
                <w:snapToGrid w:val="0"/>
              </w:rPr>
              <w:t xml:space="preserve">Reprint 1:  The </w:t>
            </w:r>
            <w:r>
              <w:rPr>
                <w:b/>
                <w:i/>
                <w:snapToGrid w:val="0"/>
              </w:rPr>
              <w:t>Duties Act 2008</w:t>
            </w:r>
            <w:r>
              <w:rPr>
                <w:b/>
                <w:snapToGrid w:val="0"/>
              </w:rPr>
              <w:t xml:space="preserve"> as at 12 Jul 2011</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rPr>
            </w:pPr>
            <w:r>
              <w:rPr>
                <w:i/>
                <w:noProof/>
                <w:snapToGrid w:val="0"/>
              </w:rPr>
              <w:t>Duties Amendment Act (No. 2) 2011</w:t>
            </w:r>
          </w:p>
        </w:tc>
        <w:tc>
          <w:tcPr>
            <w:tcW w:w="1134" w:type="dxa"/>
          </w:tcPr>
          <w:p>
            <w:pPr>
              <w:pStyle w:val="nTable"/>
              <w:spacing w:after="40"/>
            </w:pPr>
            <w:r>
              <w:t>33 of 2011</w:t>
            </w:r>
          </w:p>
        </w:tc>
        <w:tc>
          <w:tcPr>
            <w:tcW w:w="1134" w:type="dxa"/>
          </w:tcPr>
          <w:p>
            <w:pPr>
              <w:pStyle w:val="nTable"/>
              <w:spacing w:after="40"/>
            </w:pPr>
            <w:r>
              <w:t>12 Sep 2011</w:t>
            </w:r>
          </w:p>
        </w:tc>
        <w:tc>
          <w:tcPr>
            <w:tcW w:w="2552" w:type="dxa"/>
          </w:tcPr>
          <w:p>
            <w:pPr>
              <w:pStyle w:val="nTable"/>
              <w:spacing w:after="40"/>
            </w:pPr>
            <w:r>
              <w:rPr>
                <w:snapToGrid w:val="0"/>
              </w:rPr>
              <w:t>Pt. 2: 24 Dec 2010 (see s.</w:t>
            </w:r>
            <w:r>
              <w:t> 2(b));</w:t>
            </w:r>
            <w:r>
              <w:br/>
              <w:t>Pt. 1: 12 Sep 2011 (see s. 2(a));</w:t>
            </w:r>
            <w:r>
              <w:br/>
              <w:t>Pt. 3: 13 Sep 2011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Inheritance (Family and Dependants Provision) Amendment Act 2011</w:t>
            </w:r>
            <w:r>
              <w:rPr>
                <w:snapToGrid w:val="0"/>
              </w:rPr>
              <w:t xml:space="preserve"> s. 15</w:t>
            </w:r>
          </w:p>
        </w:tc>
        <w:tc>
          <w:tcPr>
            <w:tcW w:w="1134" w:type="dxa"/>
          </w:tcPr>
          <w:p>
            <w:pPr>
              <w:pStyle w:val="nTable"/>
              <w:spacing w:after="40"/>
            </w:pPr>
            <w:r>
              <w:t>48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16 Jan 2013 (see s. 2(b) and </w:t>
            </w:r>
            <w:r>
              <w:rPr>
                <w:i/>
                <w:snapToGrid w:val="0"/>
              </w:rPr>
              <w:t xml:space="preserve">Gazette </w:t>
            </w:r>
            <w:r>
              <w:rPr>
                <w:snapToGrid w:val="0"/>
              </w:rPr>
              <w:t>15 Jan 2013 p. 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Revenue Laws Amendment Act 2012</w:t>
            </w:r>
            <w:r>
              <w:t xml:space="preserve"> Pt. 2</w:t>
            </w:r>
          </w:p>
        </w:tc>
        <w:tc>
          <w:tcPr>
            <w:tcW w:w="1134" w:type="dxa"/>
          </w:tcPr>
          <w:p>
            <w:pPr>
              <w:pStyle w:val="nTable"/>
              <w:spacing w:after="40"/>
            </w:pPr>
            <w:r>
              <w:t>29 of 2012</w:t>
            </w:r>
          </w:p>
        </w:tc>
        <w:tc>
          <w:tcPr>
            <w:tcW w:w="1134" w:type="dxa"/>
          </w:tcPr>
          <w:p>
            <w:pPr>
              <w:pStyle w:val="nTable"/>
              <w:spacing w:after="40"/>
            </w:pPr>
            <w:r>
              <w:t>3 Sep 2012</w:t>
            </w:r>
          </w:p>
        </w:tc>
        <w:tc>
          <w:tcPr>
            <w:tcW w:w="2552" w:type="dxa"/>
          </w:tcPr>
          <w:p>
            <w:pPr>
              <w:pStyle w:val="nTable"/>
              <w:spacing w:after="40"/>
            </w:pPr>
            <w:r>
              <w:t>Heading to Pt. 2, Pt. 2 Div. 1 and 2: 1 Dec 2011 (see s. 2(b));</w:t>
            </w:r>
            <w:r>
              <w:br/>
              <w:t>Pt. 2 Div. 3: 4 Sep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rPr>
            </w:pPr>
            <w:r>
              <w:rPr>
                <w:i/>
                <w:noProof/>
                <w:snapToGrid w:val="0"/>
              </w:rPr>
              <w:t>Revenue Laws Amendment Act (No. 2) 2012</w:t>
            </w:r>
            <w:r>
              <w:rPr>
                <w:noProof/>
                <w:snapToGrid w:val="0"/>
              </w:rPr>
              <w:t> Pt. 2</w:t>
            </w:r>
          </w:p>
        </w:tc>
        <w:tc>
          <w:tcPr>
            <w:tcW w:w="1134" w:type="dxa"/>
          </w:tcPr>
          <w:p>
            <w:pPr>
              <w:pStyle w:val="nTable"/>
              <w:spacing w:after="40"/>
            </w:pPr>
            <w:r>
              <w:t>32 of 2012</w:t>
            </w:r>
          </w:p>
        </w:tc>
        <w:tc>
          <w:tcPr>
            <w:tcW w:w="1134" w:type="dxa"/>
          </w:tcPr>
          <w:p>
            <w:pPr>
              <w:pStyle w:val="nTable"/>
              <w:spacing w:after="40"/>
            </w:pPr>
            <w:r>
              <w:t>8 Oct 2012</w:t>
            </w:r>
          </w:p>
        </w:tc>
        <w:tc>
          <w:tcPr>
            <w:tcW w:w="2552" w:type="dxa"/>
          </w:tcPr>
          <w:p>
            <w:pPr>
              <w:pStyle w:val="nTable"/>
              <w:spacing w:after="40"/>
              <w:rPr>
                <w:snapToGrid w:val="0"/>
              </w:rPr>
            </w:pPr>
            <w:r>
              <w:rPr>
                <w:snapToGrid w:val="0"/>
              </w:rPr>
              <w:t xml:space="preserve">Pt. 2 (other than </w:t>
            </w:r>
            <w:r>
              <w:rPr>
                <w:noProof/>
                <w:snapToGrid w:val="0"/>
              </w:rPr>
              <w:t>s. </w:t>
            </w:r>
            <w:r>
              <w:t>5</w:t>
            </w:r>
            <w:r>
              <w:noBreakHyphen/>
              <w:t>7, 12, 15, 18, 22 and 25:</w:t>
            </w:r>
            <w:r>
              <w:rPr>
                <w:snapToGrid w:val="0"/>
              </w:rPr>
              <w:t xml:space="preserve"> 1 Jul 2008 (see s. 2(b));</w:t>
            </w:r>
            <w:r>
              <w:rPr>
                <w:snapToGrid w:val="0"/>
              </w:rPr>
              <w:br/>
            </w:r>
            <w:r>
              <w:rPr>
                <w:noProof/>
                <w:snapToGrid w:val="0"/>
              </w:rPr>
              <w:t>s. </w:t>
            </w:r>
            <w:r>
              <w:t>5</w:t>
            </w:r>
            <w:r>
              <w:noBreakHyphen/>
              <w:t>7, 12, 15, 18, 22 and 25: 9 Oct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Duties Legislation Amendment Act 2013</w:t>
            </w:r>
            <w:r>
              <w:t xml:space="preserve"> Pt. 2 Div. 2</w:t>
            </w:r>
            <w:r>
              <w:rPr>
                <w:snapToGrid w:val="0"/>
                <w:vertAlign w:val="superscript"/>
              </w:rPr>
              <w:t> 6</w:t>
            </w:r>
          </w:p>
        </w:tc>
        <w:tc>
          <w:tcPr>
            <w:tcW w:w="1134" w:type="dxa"/>
          </w:tcPr>
          <w:p>
            <w:pPr>
              <w:pStyle w:val="nTable"/>
              <w:spacing w:after="40"/>
            </w:pPr>
            <w:r>
              <w:t>5 of 2013</w:t>
            </w:r>
          </w:p>
        </w:tc>
        <w:tc>
          <w:tcPr>
            <w:tcW w:w="1134" w:type="dxa"/>
          </w:tcPr>
          <w:p>
            <w:pPr>
              <w:pStyle w:val="nTable"/>
              <w:spacing w:after="40"/>
            </w:pPr>
            <w:r>
              <w:t>29 Jun 2013</w:t>
            </w:r>
          </w:p>
        </w:tc>
        <w:tc>
          <w:tcPr>
            <w:tcW w:w="2552" w:type="dxa"/>
          </w:tcPr>
          <w:p>
            <w:pPr>
              <w:pStyle w:val="nTable"/>
              <w:spacing w:after="40"/>
            </w:pPr>
            <w:r>
              <w:rPr>
                <w:snapToGrid w:val="0"/>
              </w:rPr>
              <w:t>29 Jun 2013 (see s. 2(1)(b))</w:t>
            </w:r>
          </w:p>
        </w:tc>
      </w:tr>
      <w:tr>
        <w:trPr>
          <w:cantSplit/>
        </w:trPr>
        <w:tc>
          <w:tcPr>
            <w:tcW w:w="7088" w:type="dxa"/>
            <w:gridSpan w:val="4"/>
            <w:tcBorders>
              <w:top w:val="nil"/>
              <w:bottom w:val="nil"/>
            </w:tcBorders>
          </w:tcPr>
          <w:p>
            <w:pPr>
              <w:pStyle w:val="nTable"/>
              <w:spacing w:after="40"/>
              <w:rPr>
                <w:b/>
              </w:rPr>
            </w:pPr>
            <w:r>
              <w:rPr>
                <w:b/>
              </w:rPr>
              <w:t xml:space="preserve">Reprint 2: The </w:t>
            </w:r>
            <w:r>
              <w:rPr>
                <w:b/>
                <w:i/>
              </w:rPr>
              <w:t xml:space="preserve">Duties Act 2008 </w:t>
            </w:r>
            <w:r>
              <w:rPr>
                <w:b/>
              </w:rPr>
              <w:t xml:space="preserve">as at 9 Aug 2013 </w:t>
            </w:r>
            <w:r>
              <w:t>(includes amendments listed above)</w:t>
            </w:r>
          </w:p>
        </w:tc>
      </w:tr>
      <w:tr>
        <w:trPr>
          <w:cantSplit/>
        </w:trPr>
        <w:tc>
          <w:tcPr>
            <w:tcW w:w="2268" w:type="dxa"/>
            <w:tcBorders>
              <w:top w:val="nil"/>
              <w:bottom w:val="nil"/>
            </w:tcBorders>
          </w:tcPr>
          <w:p>
            <w:pPr>
              <w:pStyle w:val="nTable"/>
              <w:spacing w:after="40"/>
            </w:pPr>
            <w:r>
              <w:rPr>
                <w:i/>
              </w:rPr>
              <w:t>Revenue Laws Amendment Act 2013</w:t>
            </w:r>
            <w:r>
              <w:t xml:space="preserve"> Pt. 2 Div. 1</w:t>
            </w:r>
          </w:p>
        </w:tc>
        <w:tc>
          <w:tcPr>
            <w:tcW w:w="1134" w:type="dxa"/>
            <w:tcBorders>
              <w:top w:val="nil"/>
              <w:bottom w:val="nil"/>
            </w:tcBorders>
          </w:tcPr>
          <w:p>
            <w:pPr>
              <w:pStyle w:val="nTable"/>
              <w:spacing w:after="40"/>
            </w:pPr>
            <w:r>
              <w:t>10 of 2013</w:t>
            </w:r>
          </w:p>
        </w:tc>
        <w:tc>
          <w:tcPr>
            <w:tcW w:w="1134" w:type="dxa"/>
            <w:tcBorders>
              <w:top w:val="nil"/>
              <w:bottom w:val="nil"/>
            </w:tcBorders>
          </w:tcPr>
          <w:p>
            <w:pPr>
              <w:pStyle w:val="nTable"/>
              <w:spacing w:after="40"/>
            </w:pPr>
            <w:r>
              <w:t>24 Sep 2013</w:t>
            </w:r>
          </w:p>
        </w:tc>
        <w:tc>
          <w:tcPr>
            <w:tcW w:w="2552" w:type="dxa"/>
            <w:tcBorders>
              <w:top w:val="nil"/>
              <w:bottom w:val="nil"/>
            </w:tcBorders>
          </w:tcPr>
          <w:p>
            <w:pPr>
              <w:pStyle w:val="nTable"/>
              <w:spacing w:after="40"/>
            </w:pPr>
            <w:r>
              <w:rPr>
                <w:snapToGrid w:val="0"/>
              </w:rPr>
              <w:t>25 Sep 2013 (see s. 2(b))</w:t>
            </w:r>
          </w:p>
        </w:tc>
      </w:tr>
      <w:tr>
        <w:trPr>
          <w:cantSplit/>
        </w:trPr>
        <w:tc>
          <w:tcPr>
            <w:tcW w:w="2268" w:type="dxa"/>
            <w:tcBorders>
              <w:top w:val="nil"/>
              <w:bottom w:val="nil"/>
              <w:right w:val="nil"/>
            </w:tcBorders>
            <w:shd w:val="clear" w:color="auto" w:fill="auto"/>
          </w:tcPr>
          <w:p>
            <w:pPr>
              <w:pStyle w:val="nTable"/>
              <w:spacing w:after="40"/>
              <w:rPr>
                <w:i/>
              </w:rPr>
            </w:pPr>
            <w:r>
              <w:rPr>
                <w:i/>
              </w:rPr>
              <w:t xml:space="preserve">Electronic Conveyancing Act 2014 </w:t>
            </w:r>
            <w:r>
              <w:t>Pt. 6</w:t>
            </w:r>
          </w:p>
        </w:tc>
        <w:tc>
          <w:tcPr>
            <w:tcW w:w="1134" w:type="dxa"/>
            <w:tcBorders>
              <w:top w:val="nil"/>
              <w:left w:val="nil"/>
              <w:bottom w:val="nil"/>
              <w:right w:val="nil"/>
            </w:tcBorders>
            <w:shd w:val="clear" w:color="auto" w:fill="auto"/>
          </w:tcPr>
          <w:p>
            <w:pPr>
              <w:pStyle w:val="nTable"/>
              <w:spacing w:after="40"/>
            </w:pPr>
            <w:r>
              <w:t>2 of 2014</w:t>
            </w:r>
          </w:p>
        </w:tc>
        <w:tc>
          <w:tcPr>
            <w:tcW w:w="1134" w:type="dxa"/>
            <w:tcBorders>
              <w:top w:val="nil"/>
              <w:left w:val="nil"/>
              <w:bottom w:val="nil"/>
              <w:right w:val="nil"/>
            </w:tcBorders>
            <w:shd w:val="clear" w:color="auto" w:fill="auto"/>
          </w:tcPr>
          <w:p>
            <w:pPr>
              <w:pStyle w:val="nTable"/>
              <w:spacing w:after="40"/>
            </w:pPr>
            <w:r>
              <w:t>24 Mar 2014</w:t>
            </w:r>
          </w:p>
        </w:tc>
        <w:tc>
          <w:tcPr>
            <w:tcW w:w="2552" w:type="dxa"/>
            <w:tcBorders>
              <w:top w:val="nil"/>
              <w:left w:val="nil"/>
              <w:bottom w:val="nil"/>
            </w:tcBorders>
            <w:shd w:val="clear" w:color="auto" w:fill="auto"/>
          </w:tcPr>
          <w:p>
            <w:pPr>
              <w:pStyle w:val="nTable"/>
              <w:spacing w:after="40"/>
              <w:rPr>
                <w:snapToGrid w:val="0"/>
              </w:rPr>
            </w:pPr>
            <w:r>
              <w:rPr>
                <w:snapToGrid w:val="0"/>
              </w:rPr>
              <w:t xml:space="preserve">3 Jun 2014 (see s. 2(c) and </w:t>
            </w:r>
            <w:r>
              <w:rPr>
                <w:i/>
                <w:snapToGrid w:val="0"/>
              </w:rPr>
              <w:t xml:space="preserve">Gazette </w:t>
            </w:r>
            <w:r>
              <w:rPr>
                <w:snapToGrid w:val="0"/>
              </w:rPr>
              <w:t>30 May 2014 p. 1679)</w:t>
            </w:r>
          </w:p>
        </w:tc>
      </w:tr>
      <w:tr>
        <w:trPr>
          <w:cantSplit/>
        </w:trPr>
        <w:tc>
          <w:tcPr>
            <w:tcW w:w="2268" w:type="dxa"/>
            <w:tcBorders>
              <w:top w:val="nil"/>
              <w:bottom w:val="nil"/>
              <w:right w:val="nil"/>
            </w:tcBorders>
            <w:shd w:val="clear" w:color="auto" w:fill="auto"/>
          </w:tcPr>
          <w:p>
            <w:pPr>
              <w:pStyle w:val="nTable"/>
              <w:spacing w:after="40"/>
            </w:pPr>
            <w:r>
              <w:rPr>
                <w:i/>
              </w:rPr>
              <w:t>Revenue Laws Amendment Act 2014</w:t>
            </w:r>
            <w:r>
              <w:t xml:space="preserve"> Pt. 2</w:t>
            </w:r>
          </w:p>
        </w:tc>
        <w:tc>
          <w:tcPr>
            <w:tcW w:w="1134" w:type="dxa"/>
            <w:tcBorders>
              <w:top w:val="nil"/>
              <w:left w:val="nil"/>
              <w:bottom w:val="nil"/>
              <w:right w:val="nil"/>
            </w:tcBorders>
            <w:shd w:val="clear" w:color="auto" w:fill="auto"/>
          </w:tcPr>
          <w:p>
            <w:pPr>
              <w:pStyle w:val="nTable"/>
              <w:spacing w:after="40"/>
            </w:pPr>
            <w:r>
              <w:t>15 of 2014</w:t>
            </w:r>
          </w:p>
        </w:tc>
        <w:tc>
          <w:tcPr>
            <w:tcW w:w="1134" w:type="dxa"/>
            <w:tcBorders>
              <w:top w:val="nil"/>
              <w:left w:val="nil"/>
              <w:bottom w:val="nil"/>
              <w:right w:val="nil"/>
            </w:tcBorders>
            <w:shd w:val="clear" w:color="auto" w:fill="auto"/>
          </w:tcPr>
          <w:p>
            <w:pPr>
              <w:pStyle w:val="nTable"/>
              <w:spacing w:after="40"/>
            </w:pPr>
            <w:r>
              <w:t>2 Jul 2014</w:t>
            </w:r>
          </w:p>
        </w:tc>
        <w:tc>
          <w:tcPr>
            <w:tcW w:w="2552" w:type="dxa"/>
            <w:tcBorders>
              <w:top w:val="nil"/>
              <w:left w:val="nil"/>
              <w:bottom w:val="nil"/>
            </w:tcBorders>
            <w:shd w:val="clear" w:color="auto" w:fill="auto"/>
          </w:tcPr>
          <w:p>
            <w:pPr>
              <w:pStyle w:val="nTable"/>
              <w:spacing w:after="40"/>
              <w:rPr>
                <w:snapToGrid w:val="0"/>
              </w:rPr>
            </w:pPr>
            <w:r>
              <w:rPr>
                <w:snapToGrid w:val="0"/>
              </w:rPr>
              <w:t>3 Jul 2014 (see s. 2(c)(i))</w:t>
            </w:r>
          </w:p>
        </w:tc>
      </w:tr>
      <w:tr>
        <w:trPr>
          <w:cantSplit/>
        </w:trPr>
        <w:tc>
          <w:tcPr>
            <w:tcW w:w="2268" w:type="dxa"/>
            <w:tcBorders>
              <w:top w:val="nil"/>
              <w:bottom w:val="nil"/>
              <w:right w:val="nil"/>
            </w:tcBorders>
            <w:shd w:val="clear" w:color="auto" w:fill="auto"/>
          </w:tcPr>
          <w:p>
            <w:pPr>
              <w:pStyle w:val="nTable"/>
              <w:spacing w:after="40"/>
            </w:pPr>
            <w:r>
              <w:rPr>
                <w:i/>
              </w:rPr>
              <w:t>Taxation Legislation Amendment Act 2015</w:t>
            </w:r>
            <w:r>
              <w:t xml:space="preserve"> Pt.2 Div. 2 and Pt. 4</w:t>
            </w:r>
          </w:p>
        </w:tc>
        <w:tc>
          <w:tcPr>
            <w:tcW w:w="1134" w:type="dxa"/>
            <w:tcBorders>
              <w:top w:val="nil"/>
              <w:left w:val="nil"/>
              <w:bottom w:val="nil"/>
              <w:right w:val="nil"/>
            </w:tcBorders>
            <w:shd w:val="clear" w:color="auto" w:fill="auto"/>
          </w:tcPr>
          <w:p>
            <w:pPr>
              <w:pStyle w:val="nTable"/>
              <w:spacing w:after="40"/>
            </w:pPr>
            <w:r>
              <w:t>1 of 2015</w:t>
            </w:r>
          </w:p>
        </w:tc>
        <w:tc>
          <w:tcPr>
            <w:tcW w:w="1134" w:type="dxa"/>
            <w:tcBorders>
              <w:top w:val="nil"/>
              <w:left w:val="nil"/>
              <w:bottom w:val="nil"/>
              <w:right w:val="nil"/>
            </w:tcBorders>
            <w:shd w:val="clear" w:color="auto" w:fill="auto"/>
          </w:tcPr>
          <w:p>
            <w:pPr>
              <w:pStyle w:val="nTable"/>
              <w:spacing w:after="40"/>
            </w:pPr>
            <w:r>
              <w:t>25 Feb 2015</w:t>
            </w:r>
          </w:p>
        </w:tc>
        <w:tc>
          <w:tcPr>
            <w:tcW w:w="2552" w:type="dxa"/>
            <w:tcBorders>
              <w:top w:val="nil"/>
              <w:left w:val="nil"/>
              <w:bottom w:val="nil"/>
            </w:tcBorders>
            <w:shd w:val="clear" w:color="auto" w:fill="auto"/>
          </w:tcPr>
          <w:p>
            <w:pPr>
              <w:pStyle w:val="nTable"/>
              <w:spacing w:after="40"/>
              <w:rPr>
                <w:snapToGrid w:val="0"/>
              </w:rPr>
            </w:pPr>
            <w:r>
              <w:rPr>
                <w:snapToGrid w:val="0"/>
              </w:rPr>
              <w:t>26 Feb 2015 (see s. 2(d)</w:t>
            </w:r>
          </w:p>
        </w:tc>
      </w:tr>
      <w:tr>
        <w:trPr>
          <w:cantSplit/>
        </w:trPr>
        <w:tc>
          <w:tcPr>
            <w:tcW w:w="2268" w:type="dxa"/>
            <w:tcBorders>
              <w:top w:val="nil"/>
              <w:bottom w:val="single" w:sz="4" w:space="0" w:color="auto"/>
              <w:right w:val="nil"/>
            </w:tcBorders>
            <w:shd w:val="clear" w:color="auto" w:fill="auto"/>
          </w:tcPr>
          <w:p>
            <w:pPr>
              <w:pStyle w:val="nTable"/>
              <w:spacing w:after="40"/>
            </w:pPr>
            <w:r>
              <w:rPr>
                <w:i/>
              </w:rPr>
              <w:t>Taxation Legislation Amendment Act (No. 2) 2015</w:t>
            </w:r>
            <w:r>
              <w:t xml:space="preserve"> Pt. 2</w:t>
            </w:r>
          </w:p>
        </w:tc>
        <w:tc>
          <w:tcPr>
            <w:tcW w:w="1134" w:type="dxa"/>
            <w:tcBorders>
              <w:top w:val="nil"/>
              <w:left w:val="nil"/>
              <w:bottom w:val="single" w:sz="4" w:space="0" w:color="auto"/>
              <w:right w:val="nil"/>
            </w:tcBorders>
            <w:shd w:val="clear" w:color="auto" w:fill="auto"/>
          </w:tcPr>
          <w:p>
            <w:pPr>
              <w:pStyle w:val="nTable"/>
              <w:spacing w:after="40"/>
            </w:pPr>
            <w:r>
              <w:t xml:space="preserve">8 of 2015 </w:t>
            </w:r>
          </w:p>
        </w:tc>
        <w:tc>
          <w:tcPr>
            <w:tcW w:w="1134" w:type="dxa"/>
            <w:tcBorders>
              <w:top w:val="nil"/>
              <w:left w:val="nil"/>
              <w:bottom w:val="single" w:sz="4" w:space="0" w:color="auto"/>
              <w:right w:val="nil"/>
            </w:tcBorders>
            <w:shd w:val="clear" w:color="auto" w:fill="auto"/>
          </w:tcPr>
          <w:p>
            <w:pPr>
              <w:pStyle w:val="nTable"/>
              <w:spacing w:after="40"/>
            </w:pPr>
            <w:r>
              <w:t>9 Mar 2015</w:t>
            </w:r>
          </w:p>
        </w:tc>
        <w:tc>
          <w:tcPr>
            <w:tcW w:w="2552" w:type="dxa"/>
            <w:tcBorders>
              <w:top w:val="nil"/>
              <w:left w:val="nil"/>
              <w:bottom w:val="single" w:sz="4" w:space="0" w:color="auto"/>
            </w:tcBorders>
            <w:shd w:val="clear" w:color="auto" w:fill="auto"/>
          </w:tcPr>
          <w:p>
            <w:pPr>
              <w:pStyle w:val="nTable"/>
              <w:spacing w:after="40"/>
              <w:rPr>
                <w:snapToGrid w:val="0"/>
              </w:rPr>
            </w:pPr>
            <w:r>
              <w:rPr>
                <w:snapToGrid w:val="0"/>
              </w:rPr>
              <w:t>10 Mar 2015 (see s. 2(b))</w:t>
            </w:r>
          </w:p>
        </w:tc>
      </w:tr>
    </w:tbl>
    <w:p>
      <w:pPr>
        <w:pStyle w:val="nSubsection"/>
        <w:keepNext/>
        <w:keepLines/>
        <w:spacing w:before="24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52" w:name="_Toc392162663"/>
      <w:bookmarkStart w:id="1353" w:name="_Toc413847471"/>
      <w:r>
        <w:t>Provisions that have not come into operation</w:t>
      </w:r>
      <w:bookmarkEnd w:id="1352"/>
      <w:bookmarkEnd w:id="135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shd w:val="clear" w:color="auto" w:fill="auto"/>
          </w:tcPr>
          <w:p>
            <w:pPr>
              <w:pStyle w:val="nTable"/>
              <w:keepNext/>
              <w:spacing w:after="40"/>
              <w:rPr>
                <w:b/>
              </w:rPr>
            </w:pPr>
            <w:r>
              <w:rPr>
                <w:b/>
              </w:rPr>
              <w:t>Short title</w:t>
            </w:r>
          </w:p>
        </w:tc>
        <w:tc>
          <w:tcPr>
            <w:tcW w:w="1134" w:type="dxa"/>
            <w:tcBorders>
              <w:top w:val="single" w:sz="8" w:space="0" w:color="auto"/>
              <w:bottom w:val="single" w:sz="4" w:space="0" w:color="auto"/>
            </w:tcBorders>
            <w:shd w:val="clear" w:color="auto" w:fill="auto"/>
          </w:tcPr>
          <w:p>
            <w:pPr>
              <w:pStyle w:val="nTable"/>
              <w:keepNext/>
              <w:spacing w:after="40"/>
              <w:rPr>
                <w:b/>
              </w:rPr>
            </w:pPr>
            <w:r>
              <w:rPr>
                <w:b/>
              </w:rPr>
              <w:t>Number and year</w:t>
            </w:r>
          </w:p>
        </w:tc>
        <w:tc>
          <w:tcPr>
            <w:tcW w:w="1134" w:type="dxa"/>
            <w:tcBorders>
              <w:top w:val="single" w:sz="8" w:space="0" w:color="auto"/>
              <w:bottom w:val="single" w:sz="4"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4" w:space="0" w:color="auto"/>
            </w:tcBorders>
            <w:shd w:val="clear" w:color="auto" w:fill="auto"/>
          </w:tcPr>
          <w:p>
            <w:pPr>
              <w:pStyle w:val="nTable"/>
              <w:keepNext/>
              <w:spacing w:after="40"/>
              <w:rPr>
                <w:b/>
              </w:rPr>
            </w:pPr>
            <w:r>
              <w:rPr>
                <w:b/>
              </w:rPr>
              <w:t>Commencement</w:t>
            </w:r>
          </w:p>
        </w:tc>
      </w:tr>
      <w:tr>
        <w:trPr>
          <w:cantSplit/>
        </w:trPr>
        <w:tc>
          <w:tcPr>
            <w:tcW w:w="2268" w:type="dxa"/>
            <w:tcBorders>
              <w:top w:val="single" w:sz="4" w:space="0" w:color="auto"/>
              <w:bottom w:val="single" w:sz="4" w:space="0" w:color="auto"/>
            </w:tcBorders>
            <w:shd w:val="clear" w:color="auto" w:fill="auto"/>
          </w:tcPr>
          <w:p>
            <w:pPr>
              <w:pStyle w:val="nTable"/>
              <w:spacing w:after="40"/>
              <w:rPr>
                <w:i/>
                <w:snapToGrid w:val="0"/>
              </w:rPr>
            </w:pPr>
            <w:r>
              <w:rPr>
                <w:i/>
                <w:snapToGrid w:val="0"/>
              </w:rPr>
              <w:t xml:space="preserve">Road Traffic Legislation Amendment Act 2012 </w:t>
            </w:r>
            <w:r>
              <w:rPr>
                <w:snapToGrid w:val="0"/>
              </w:rPr>
              <w:t>Pt. 4 Div. 18</w:t>
            </w:r>
            <w:r>
              <w:rPr>
                <w:snapToGrid w:val="0"/>
                <w:vertAlign w:val="superscript"/>
              </w:rPr>
              <w:t> 7</w:t>
            </w:r>
          </w:p>
        </w:tc>
        <w:tc>
          <w:tcPr>
            <w:tcW w:w="1134" w:type="dxa"/>
            <w:tcBorders>
              <w:top w:val="single" w:sz="4" w:space="0" w:color="auto"/>
              <w:bottom w:val="single" w:sz="4" w:space="0" w:color="auto"/>
            </w:tcBorders>
            <w:shd w:val="clear" w:color="auto" w:fill="auto"/>
          </w:tcPr>
          <w:p>
            <w:pPr>
              <w:pStyle w:val="nTable"/>
              <w:spacing w:after="40"/>
            </w:pPr>
            <w:r>
              <w:rPr>
                <w:snapToGrid w:val="0"/>
              </w:rPr>
              <w:t>8 of 2012</w:t>
            </w:r>
          </w:p>
        </w:tc>
        <w:tc>
          <w:tcPr>
            <w:tcW w:w="1134" w:type="dxa"/>
            <w:tcBorders>
              <w:top w:val="single" w:sz="4" w:space="0" w:color="auto"/>
              <w:bottom w:val="single" w:sz="4" w:space="0" w:color="auto"/>
            </w:tcBorders>
            <w:shd w:val="clear" w:color="auto" w:fill="auto"/>
          </w:tcPr>
          <w:p>
            <w:pPr>
              <w:pStyle w:val="nTable"/>
              <w:spacing w:after="40"/>
            </w:pPr>
            <w:r>
              <w:t>21 May 2012</w:t>
            </w:r>
          </w:p>
        </w:tc>
        <w:tc>
          <w:tcPr>
            <w:tcW w:w="2552" w:type="dxa"/>
            <w:tcBorders>
              <w:top w:val="single" w:sz="4" w:space="0" w:color="auto"/>
              <w:bottom w:val="single" w:sz="4" w:space="0" w:color="auto"/>
            </w:tcBorders>
            <w:shd w:val="clear" w:color="auto" w:fill="auto"/>
          </w:tcPr>
          <w:p>
            <w:pPr>
              <w:pStyle w:val="nTable"/>
              <w:spacing w:after="40"/>
              <w:rPr>
                <w:snapToGrid w:val="0"/>
              </w:rPr>
            </w:pPr>
            <w:r>
              <w:rPr>
                <w:snapToGrid w:val="0"/>
              </w:rPr>
              <w:t xml:space="preserve">Operative on commencement of the </w:t>
            </w:r>
            <w:r>
              <w:rPr>
                <w:i/>
                <w:snapToGrid w:val="0"/>
              </w:rPr>
              <w:t>Road Traffic (Administration) Act 2008</w:t>
            </w:r>
            <w:r>
              <w:rPr>
                <w:snapToGrid w:val="0"/>
              </w:rPr>
              <w:t xml:space="preserve"> (see s. 2(d))</w:t>
            </w:r>
          </w:p>
        </w:tc>
      </w:tr>
    </w:tbl>
    <w:p>
      <w:pPr>
        <w:pStyle w:val="nSubsection"/>
        <w:spacing w:before="200"/>
      </w:pPr>
      <w:r>
        <w:rPr>
          <w:snapToGrid w:val="0"/>
          <w:vertAlign w:val="superscript"/>
        </w:rPr>
        <w:t>2</w:t>
      </w:r>
      <w:r>
        <w:rPr>
          <w:snapToGrid w:val="0"/>
          <w:vertAlign w:val="superscript"/>
        </w:rPr>
        <w:tab/>
      </w:r>
      <w:r>
        <w:t xml:space="preserve">The </w:t>
      </w:r>
      <w:r>
        <w:rPr>
          <w:i/>
        </w:rPr>
        <w:t>Mining Act 1904</w:t>
      </w:r>
      <w:r>
        <w:t xml:space="preserve"> was repealed by the </w:t>
      </w:r>
      <w:r>
        <w:rPr>
          <w:i/>
        </w:rPr>
        <w:t>Mining Act 1978</w:t>
      </w:r>
      <w:r>
        <w:t>.</w:t>
      </w:r>
    </w:p>
    <w:p>
      <w:pPr>
        <w:pStyle w:val="nSubsection"/>
        <w:spacing w:before="100"/>
        <w:rPr>
          <w:snapToGrid w:val="0"/>
        </w:rPr>
      </w:pPr>
      <w:r>
        <w:rPr>
          <w:snapToGrid w:val="0"/>
          <w:vertAlign w:val="superscript"/>
        </w:rPr>
        <w:t>3</w:t>
      </w:r>
      <w:r>
        <w:rPr>
          <w:snapToGrid w:val="0"/>
        </w:rPr>
        <w:tab/>
        <w:t xml:space="preserve">This section has a retrospective commencement date effective from 1 Dec 2011 (see the </w:t>
      </w:r>
      <w:r>
        <w:rPr>
          <w:i/>
          <w:snapToGrid w:val="0"/>
        </w:rPr>
        <w:t>Revenue Laws Amendment Act 2012</w:t>
      </w:r>
      <w:r>
        <w:rPr>
          <w:snapToGrid w:val="0"/>
        </w:rPr>
        <w:t xml:space="preserve"> Pt. 2 Div. 1 and 2).</w:t>
      </w:r>
    </w:p>
    <w:p>
      <w:pPr>
        <w:pStyle w:val="nSubsection"/>
        <w:spacing w:before="100"/>
        <w:rPr>
          <w:snapToGrid w:val="0"/>
        </w:rPr>
      </w:pPr>
      <w:r>
        <w:rPr>
          <w:snapToGrid w:val="0"/>
          <w:vertAlign w:val="superscript"/>
        </w:rPr>
        <w:t>4</w:t>
      </w:r>
      <w:r>
        <w:rPr>
          <w:snapToGrid w:val="0"/>
          <w:vertAlign w:val="superscript"/>
        </w:rPr>
        <w:tab/>
      </w:r>
      <w:r>
        <w:t xml:space="preserve">The </w:t>
      </w:r>
      <w:r>
        <w:rPr>
          <w:i/>
          <w:iCs/>
        </w:rPr>
        <w:t>Acts Amendment (Land Administration) Act 1997</w:t>
      </w:r>
      <w:r>
        <w:rPr>
          <w:iCs/>
        </w:rPr>
        <w:t xml:space="preserve"> commenced </w:t>
      </w:r>
      <w:r>
        <w:rPr>
          <w:color w:val="000000"/>
        </w:rPr>
        <w:t xml:space="preserve">30 Mar 1998 (see </w:t>
      </w:r>
      <w:r>
        <w:rPr>
          <w:i/>
          <w:color w:val="000000"/>
        </w:rPr>
        <w:t>Gazette</w:t>
      </w:r>
      <w:r>
        <w:rPr>
          <w:color w:val="000000"/>
        </w:rPr>
        <w:t xml:space="preserve"> 27 Mar 1998 p. 1765).</w:t>
      </w:r>
    </w:p>
    <w:p>
      <w:pPr>
        <w:pStyle w:val="nSubsection"/>
        <w:spacing w:before="100"/>
        <w:rPr>
          <w:snapToGrid w:val="0"/>
          <w:vertAlign w:val="superscript"/>
        </w:rPr>
      </w:pPr>
      <w:r>
        <w:rPr>
          <w:snapToGrid w:val="0"/>
          <w:vertAlign w:val="superscript"/>
        </w:rPr>
        <w:t>5</w:t>
      </w:r>
      <w:r>
        <w:rPr>
          <w:snapToGrid w:val="0"/>
          <w:vertAlign w:val="superscript"/>
        </w:rPr>
        <w:tab/>
      </w:r>
      <w:r>
        <w:rPr>
          <w:snapToGrid w:val="0"/>
        </w:rPr>
        <w:t xml:space="preserve">The </w:t>
      </w:r>
      <w:r>
        <w:rPr>
          <w:i/>
          <w:snapToGrid w:val="0"/>
        </w:rPr>
        <w:t xml:space="preserve">Duties Legislation Amendment Act 2008 </w:t>
      </w:r>
      <w:r>
        <w:rPr>
          <w:iCs/>
          <w:snapToGrid w:val="0"/>
        </w:rPr>
        <w:t xml:space="preserve">Pt. 2 Div. 2 Subdiv. 3 was deleted by the </w:t>
      </w:r>
      <w:r>
        <w:rPr>
          <w:i/>
          <w:iCs/>
          <w:snapToGrid w:val="0"/>
        </w:rPr>
        <w:t>Duties Legislation Amendment Act 2013</w:t>
      </w:r>
      <w:r>
        <w:rPr>
          <w:iCs/>
          <w:snapToGrid w:val="0"/>
        </w:rPr>
        <w:t xml:space="preserve"> Pt. 2 Div. 1.  The amendments made by the </w:t>
      </w:r>
      <w:r>
        <w:rPr>
          <w:i/>
          <w:iCs/>
          <w:snapToGrid w:val="0"/>
        </w:rPr>
        <w:t xml:space="preserve">Revenue Laws Amendment Act 2010 </w:t>
      </w:r>
      <w:r>
        <w:rPr>
          <w:iCs/>
          <w:snapToGrid w:val="0"/>
        </w:rPr>
        <w:t>Pt. 3 Div. 1 have no effect for the same reason.</w:t>
      </w:r>
      <w:r>
        <w:rPr>
          <w:snapToGrid w:val="0"/>
        </w:rPr>
        <w:t xml:space="preserve"> </w:t>
      </w:r>
    </w:p>
    <w:p>
      <w:pPr>
        <w:pStyle w:val="nSubsection"/>
        <w:rPr>
          <w:snapToGrid w:val="0"/>
          <w:vertAlign w:val="superscript"/>
        </w:rPr>
      </w:pPr>
      <w:r>
        <w:rPr>
          <w:snapToGrid w:val="0"/>
          <w:vertAlign w:val="superscript"/>
        </w:rPr>
        <w:t>6</w:t>
      </w:r>
      <w:r>
        <w:rPr>
          <w:snapToGrid w:val="0"/>
          <w:vertAlign w:val="superscript"/>
        </w:rPr>
        <w:tab/>
      </w:r>
      <w:r>
        <w:rPr>
          <w:snapToGrid w:val="0"/>
        </w:rPr>
        <w:t xml:space="preserve">The </w:t>
      </w:r>
      <w:r>
        <w:rPr>
          <w:i/>
          <w:snapToGrid w:val="0"/>
        </w:rPr>
        <w:t>Duties Legislation Amendment Act 2013</w:t>
      </w:r>
      <w:r>
        <w:rPr>
          <w:snapToGrid w:val="0"/>
        </w:rPr>
        <w:t xml:space="preserve"> Pt. 3 will not come into operation (see s. 2(1)(c) and (2)).</w:t>
      </w:r>
    </w:p>
    <w:p>
      <w:pPr>
        <w:pStyle w:val="nSubsection"/>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18 had not come into operation.  It reads as follows:</w:t>
      </w:r>
    </w:p>
    <w:p>
      <w:pPr>
        <w:pStyle w:val="BlankOpen"/>
        <w:rPr>
          <w:snapToGrid w:val="0"/>
        </w:rPr>
      </w:pPr>
    </w:p>
    <w:p>
      <w:pPr>
        <w:pStyle w:val="nzHeading3"/>
        <w:spacing w:before="80"/>
      </w:pPr>
      <w:r>
        <w:rPr>
          <w:rStyle w:val="CharDivNo"/>
        </w:rPr>
        <w:t>Division 18</w:t>
      </w:r>
      <w:r>
        <w:t> — </w:t>
      </w:r>
      <w:r>
        <w:rPr>
          <w:rStyle w:val="CharDivText"/>
          <w:i/>
          <w:iCs/>
        </w:rPr>
        <w:t>Duties Act 2008</w:t>
      </w:r>
      <w:r>
        <w:rPr>
          <w:rStyle w:val="CharDivText"/>
        </w:rPr>
        <w:t xml:space="preserve"> amended</w:t>
      </w:r>
    </w:p>
    <w:p>
      <w:pPr>
        <w:pStyle w:val="nzHeading5"/>
        <w:rPr>
          <w:snapToGrid w:val="0"/>
        </w:rPr>
      </w:pPr>
      <w:r>
        <w:rPr>
          <w:rStyle w:val="CharSectno"/>
        </w:rPr>
        <w:t>89</w:t>
      </w:r>
      <w:r>
        <w:rPr>
          <w:snapToGrid w:val="0"/>
        </w:rPr>
        <w:t>.</w:t>
      </w:r>
      <w:r>
        <w:rPr>
          <w:snapToGrid w:val="0"/>
        </w:rPr>
        <w:tab/>
        <w:t>Act amended</w:t>
      </w:r>
    </w:p>
    <w:p>
      <w:pPr>
        <w:pStyle w:val="nzSubsection"/>
      </w:pPr>
      <w:r>
        <w:tab/>
      </w:r>
      <w:r>
        <w:tab/>
        <w:t xml:space="preserve">This Division amends the </w:t>
      </w:r>
      <w:r>
        <w:rPr>
          <w:i/>
        </w:rPr>
        <w:t>Duties Act 2008</w:t>
      </w:r>
      <w:r>
        <w:t>.</w:t>
      </w:r>
    </w:p>
    <w:p>
      <w:pPr>
        <w:pStyle w:val="nzHeading5"/>
      </w:pPr>
      <w:r>
        <w:rPr>
          <w:rStyle w:val="CharSectno"/>
        </w:rPr>
        <w:t>90</w:t>
      </w:r>
      <w:r>
        <w:t>.</w:t>
      </w:r>
      <w:r>
        <w:tab/>
        <w:t>Section 228 amended</w:t>
      </w:r>
    </w:p>
    <w:p>
      <w:pPr>
        <w:pStyle w:val="nzSubsection"/>
        <w:spacing w:before="40"/>
      </w:pPr>
      <w:r>
        <w:tab/>
        <w:t>(1)</w:t>
      </w:r>
      <w:r>
        <w:tab/>
        <w:t>In section 228 delete the definitions of:</w:t>
      </w:r>
    </w:p>
    <w:p>
      <w:pPr>
        <w:pStyle w:val="DeleteListSub"/>
        <w:ind w:left="1425"/>
        <w:rPr>
          <w:sz w:val="20"/>
        </w:rPr>
      </w:pPr>
      <w:r>
        <w:rPr>
          <w:b/>
          <w:bCs/>
          <w:i/>
          <w:iCs/>
          <w:sz w:val="20"/>
        </w:rPr>
        <w:t>Director General</w:t>
      </w:r>
    </w:p>
    <w:p>
      <w:pPr>
        <w:pStyle w:val="DeleteListSub"/>
        <w:ind w:left="1425"/>
        <w:rPr>
          <w:sz w:val="20"/>
        </w:rPr>
      </w:pPr>
      <w:r>
        <w:rPr>
          <w:b/>
          <w:bCs/>
          <w:i/>
          <w:iCs/>
          <w:sz w:val="20"/>
        </w:rPr>
        <w:t>Road Traffic Act</w:t>
      </w:r>
    </w:p>
    <w:p>
      <w:pPr>
        <w:pStyle w:val="nzSubsection"/>
        <w:spacing w:before="40"/>
      </w:pPr>
      <w:r>
        <w:tab/>
        <w:t>(2)</w:t>
      </w:r>
      <w:r>
        <w:tab/>
        <w:t>In section 228 insert in alphabetical order:</w:t>
      </w:r>
    </w:p>
    <w:p>
      <w:pPr>
        <w:pStyle w:val="BlankOpen"/>
      </w:pPr>
    </w:p>
    <w:p>
      <w:pPr>
        <w:pStyle w:val="nzDefstart"/>
      </w:pPr>
      <w:r>
        <w:rPr>
          <w:b/>
        </w:rPr>
        <w:tab/>
      </w:r>
      <w:r>
        <w:rPr>
          <w:rStyle w:val="CharDefText"/>
        </w:rPr>
        <w:t>CEO</w:t>
      </w:r>
      <w:r>
        <w:t xml:space="preserve"> has the meaning given in the </w:t>
      </w:r>
      <w:r>
        <w:rPr>
          <w:i/>
          <w:iCs/>
        </w:rPr>
        <w:t>Road Traffic (Administration) Act 2008</w:t>
      </w:r>
      <w:r>
        <w:t xml:space="preserve"> section 4;</w:t>
      </w:r>
    </w:p>
    <w:p>
      <w:pPr>
        <w:pStyle w:val="nzDefstart"/>
      </w:pPr>
      <w:r>
        <w:rPr>
          <w:b/>
        </w:rPr>
        <w:tab/>
      </w:r>
      <w:r>
        <w:rPr>
          <w:rStyle w:val="CharDefText"/>
        </w:rPr>
        <w:t>Vehicles Act</w:t>
      </w:r>
      <w:r>
        <w:t xml:space="preserve"> means the </w:t>
      </w:r>
      <w:r>
        <w:rPr>
          <w:i/>
          <w:iCs/>
        </w:rPr>
        <w:t>Road Traffic (Vehicles) Act 2012</w:t>
      </w:r>
      <w:r>
        <w:t>.</w:t>
      </w:r>
    </w:p>
    <w:p>
      <w:pPr>
        <w:pStyle w:val="BlankClose"/>
        <w:keepNext/>
      </w:pPr>
    </w:p>
    <w:p>
      <w:pPr>
        <w:pStyle w:val="nzSubsection"/>
        <w:spacing w:before="40"/>
      </w:pPr>
      <w:r>
        <w:tab/>
        <w:t>(3)</w:t>
      </w:r>
      <w:r>
        <w:tab/>
        <w:t xml:space="preserve">In section 228 in the definition of </w:t>
      </w:r>
      <w:r>
        <w:rPr>
          <w:b/>
          <w:bCs/>
          <w:i/>
          <w:iCs/>
        </w:rPr>
        <w:t>heavy vehicle</w:t>
      </w:r>
      <w:r>
        <w:t xml:space="preserve"> delete “means a vehicle with a gross vehicle mass of more than 4.5 tonnes;” and insert:</w:t>
      </w:r>
    </w:p>
    <w:p>
      <w:pPr>
        <w:pStyle w:val="BlankOpen"/>
      </w:pPr>
    </w:p>
    <w:p>
      <w:pPr>
        <w:pStyle w:val="nzSubsection"/>
      </w:pPr>
      <w:r>
        <w:tab/>
      </w:r>
      <w:r>
        <w:tab/>
        <w:t>has the meaning given in the Vehicles Act;</w:t>
      </w:r>
    </w:p>
    <w:p>
      <w:pPr>
        <w:pStyle w:val="BlankClose"/>
      </w:pPr>
    </w:p>
    <w:p>
      <w:pPr>
        <w:pStyle w:val="nzSubsection"/>
        <w:spacing w:before="40"/>
      </w:pPr>
      <w:r>
        <w:tab/>
        <w:t>(4)</w:t>
      </w:r>
      <w:r>
        <w:tab/>
        <w:t xml:space="preserve">In section 228 in the definition of </w:t>
      </w:r>
      <w:r>
        <w:rPr>
          <w:b/>
          <w:bCs/>
          <w:i/>
          <w:iCs/>
        </w:rPr>
        <w:t>motor vehicle</w:t>
      </w:r>
      <w:r>
        <w:t xml:space="preserve"> delete “in the Road Traffic Act section 5,” and insert:</w:t>
      </w:r>
    </w:p>
    <w:p>
      <w:pPr>
        <w:pStyle w:val="BlankOpen"/>
      </w:pPr>
    </w:p>
    <w:p>
      <w:pPr>
        <w:pStyle w:val="nzDefstart"/>
      </w:pPr>
      <w:r>
        <w:tab/>
        <w:t xml:space="preserve">in the </w:t>
      </w:r>
      <w:r>
        <w:rPr>
          <w:i/>
          <w:iCs/>
        </w:rPr>
        <w:t>Road Traffic (Administration) Act 2008</w:t>
      </w:r>
      <w:r>
        <w:t xml:space="preserve"> section 4,</w:t>
      </w:r>
    </w:p>
    <w:p>
      <w:pPr>
        <w:pStyle w:val="BlankClose"/>
      </w:pPr>
    </w:p>
    <w:p>
      <w:pPr>
        <w:pStyle w:val="nzSubsection"/>
        <w:spacing w:before="40"/>
      </w:pPr>
      <w:r>
        <w:tab/>
        <w:t>(5)</w:t>
      </w:r>
      <w:r>
        <w:tab/>
        <w:t xml:space="preserve">In section 228 in the definition of </w:t>
      </w:r>
      <w:r>
        <w:rPr>
          <w:b/>
          <w:bCs/>
          <w:i/>
          <w:iCs/>
        </w:rPr>
        <w:t>vehicle</w:t>
      </w:r>
      <w:r>
        <w:t xml:space="preserve"> delete “section 230(1).” and insert:</w:t>
      </w:r>
    </w:p>
    <w:p>
      <w:pPr>
        <w:pStyle w:val="BlankOpen"/>
        <w:rPr>
          <w:sz w:val="20"/>
          <w:szCs w:val="20"/>
        </w:rPr>
      </w:pPr>
    </w:p>
    <w:p>
      <w:pPr>
        <w:pStyle w:val="nzSubsection"/>
      </w:pPr>
      <w:r>
        <w:tab/>
      </w:r>
      <w:r>
        <w:tab/>
        <w:t>section 230(1);</w:t>
      </w:r>
    </w:p>
    <w:p>
      <w:pPr>
        <w:pStyle w:val="BlankClose"/>
      </w:pPr>
    </w:p>
    <w:p>
      <w:pPr>
        <w:pStyle w:val="nzHeading5"/>
      </w:pPr>
      <w:r>
        <w:rPr>
          <w:rStyle w:val="CharSectno"/>
        </w:rPr>
        <w:t>91</w:t>
      </w:r>
      <w:r>
        <w:t>.</w:t>
      </w:r>
      <w:r>
        <w:tab/>
        <w:t>Section 230 amended</w:t>
      </w:r>
    </w:p>
    <w:p>
      <w:pPr>
        <w:pStyle w:val="nzSubsection"/>
      </w:pPr>
      <w:r>
        <w:tab/>
      </w:r>
      <w:r>
        <w:tab/>
        <w:t>In section 230(2) delete “Road Traffic Act Part III.” and insert:</w:t>
      </w:r>
    </w:p>
    <w:p>
      <w:pPr>
        <w:pStyle w:val="BlankOpen"/>
      </w:pPr>
    </w:p>
    <w:p>
      <w:pPr>
        <w:pStyle w:val="nzSubsection"/>
      </w:pPr>
      <w:r>
        <w:tab/>
      </w:r>
      <w:r>
        <w:tab/>
        <w:t>the Vehicles Act.</w:t>
      </w:r>
    </w:p>
    <w:p>
      <w:pPr>
        <w:pStyle w:val="BlankClose"/>
      </w:pPr>
    </w:p>
    <w:p>
      <w:pPr>
        <w:pStyle w:val="nzHeading5"/>
      </w:pPr>
      <w:r>
        <w:rPr>
          <w:rStyle w:val="CharSectno"/>
        </w:rPr>
        <w:t>92</w:t>
      </w:r>
      <w:r>
        <w:t>.</w:t>
      </w:r>
      <w:r>
        <w:tab/>
        <w:t>Section 240 amended</w:t>
      </w:r>
    </w:p>
    <w:p>
      <w:pPr>
        <w:pStyle w:val="nzSubsection"/>
      </w:pPr>
      <w:r>
        <w:tab/>
        <w:t>(1)</w:t>
      </w:r>
      <w:r>
        <w:tab/>
        <w:t>In section 240(1) delete “Road Traffic Act section 19(3).” and insert:</w:t>
      </w:r>
    </w:p>
    <w:p>
      <w:pPr>
        <w:pStyle w:val="BlankOpen"/>
      </w:pPr>
    </w:p>
    <w:p>
      <w:pPr>
        <w:pStyle w:val="nzSubsection"/>
      </w:pPr>
      <w:r>
        <w:tab/>
      </w:r>
      <w:r>
        <w:tab/>
        <w:t>Vehicles Act section 7(3).</w:t>
      </w:r>
    </w:p>
    <w:p>
      <w:pPr>
        <w:pStyle w:val="BlankClose"/>
      </w:pPr>
    </w:p>
    <w:p>
      <w:pPr>
        <w:pStyle w:val="nzNotesPerm"/>
      </w:pPr>
      <w:r>
        <w:tab/>
        <w:t>Note:</w:t>
      </w:r>
      <w:r>
        <w:tab/>
        <w:t>The heading to amended section 240 is to read:</w:t>
      </w:r>
    </w:p>
    <w:p>
      <w:pPr>
        <w:pStyle w:val="nzNotesPerm"/>
      </w:pPr>
      <w:r>
        <w:tab/>
      </w:r>
      <w:r>
        <w:tab/>
      </w:r>
      <w:r>
        <w:rPr>
          <w:b/>
        </w:rPr>
        <w:t>If no vehicle licence fee payable under Vehicles Act</w:t>
      </w:r>
    </w:p>
    <w:p>
      <w:pPr>
        <w:pStyle w:val="nzSubsection"/>
      </w:pPr>
      <w:r>
        <w:tab/>
        <w:t>(2)</w:t>
      </w:r>
      <w:r>
        <w:tab/>
        <w:t>In section 240(2) delete “Road Traffic Act section 19(3)” and insert:</w:t>
      </w:r>
    </w:p>
    <w:p>
      <w:pPr>
        <w:pStyle w:val="BlankOpen"/>
      </w:pPr>
    </w:p>
    <w:p>
      <w:pPr>
        <w:pStyle w:val="nzSubsection"/>
      </w:pPr>
      <w:r>
        <w:tab/>
      </w:r>
      <w:r>
        <w:tab/>
        <w:t>Vehicles Act section 7(3)</w:t>
      </w:r>
    </w:p>
    <w:p>
      <w:pPr>
        <w:pStyle w:val="BlankClose"/>
      </w:pPr>
    </w:p>
    <w:p>
      <w:pPr>
        <w:pStyle w:val="nzHeading5"/>
      </w:pPr>
      <w:r>
        <w:rPr>
          <w:rStyle w:val="CharSectno"/>
        </w:rPr>
        <w:t>93</w:t>
      </w:r>
      <w:r>
        <w:t>.</w:t>
      </w:r>
      <w:r>
        <w:tab/>
        <w:t>Section 243 amended</w:t>
      </w:r>
    </w:p>
    <w:p>
      <w:pPr>
        <w:pStyle w:val="nzSubsection"/>
      </w:pPr>
      <w:r>
        <w:tab/>
      </w:r>
      <w:r>
        <w:tab/>
        <w:t>In section 243(b) delete “Road Traffic Act” and insert:</w:t>
      </w:r>
    </w:p>
    <w:p>
      <w:pPr>
        <w:pStyle w:val="BlankOpen"/>
      </w:pPr>
    </w:p>
    <w:p>
      <w:pPr>
        <w:pStyle w:val="nzSubsection"/>
      </w:pPr>
      <w:r>
        <w:tab/>
      </w:r>
      <w:r>
        <w:tab/>
      </w:r>
      <w:r>
        <w:rPr>
          <w:i/>
        </w:rPr>
        <w:t>Road Traffic Act 1974</w:t>
      </w:r>
      <w:r>
        <w:t xml:space="preserve"> or the Vehicles Act</w:t>
      </w:r>
    </w:p>
    <w:p>
      <w:pPr>
        <w:pStyle w:val="BlankClose"/>
      </w:pPr>
    </w:p>
    <w:p>
      <w:pPr>
        <w:pStyle w:val="nzHeading5"/>
      </w:pPr>
      <w:r>
        <w:rPr>
          <w:rStyle w:val="CharSectno"/>
        </w:rPr>
        <w:t>94</w:t>
      </w:r>
      <w:r>
        <w:t>.</w:t>
      </w:r>
      <w:r>
        <w:tab/>
        <w:t>Section 244A amended</w:t>
      </w:r>
    </w:p>
    <w:p>
      <w:pPr>
        <w:pStyle w:val="nzSubsection"/>
      </w:pPr>
      <w:r>
        <w:tab/>
      </w:r>
      <w:r>
        <w:tab/>
        <w:t>In section 244A(5):</w:t>
      </w:r>
    </w:p>
    <w:p>
      <w:pPr>
        <w:pStyle w:val="nzIndenta"/>
      </w:pPr>
      <w:r>
        <w:tab/>
        <w:t>(a)</w:t>
      </w:r>
      <w:r>
        <w:tab/>
        <w:t>delete “Road Traffic” and insert:</w:t>
      </w:r>
    </w:p>
    <w:p>
      <w:pPr>
        <w:pStyle w:val="BlankOpen"/>
      </w:pPr>
    </w:p>
    <w:p>
      <w:pPr>
        <w:pStyle w:val="nzIndenta"/>
      </w:pPr>
      <w:r>
        <w:tab/>
      </w:r>
      <w:r>
        <w:tab/>
        <w:t>Vehicles</w:t>
      </w:r>
    </w:p>
    <w:p>
      <w:pPr>
        <w:pStyle w:val="BlankClose"/>
      </w:pPr>
    </w:p>
    <w:p>
      <w:pPr>
        <w:pStyle w:val="nzIndenta"/>
      </w:pPr>
      <w:r>
        <w:tab/>
        <w:t>(b)</w:t>
      </w:r>
      <w:r>
        <w:tab/>
        <w:t>delete “section 19(3)” and insert:</w:t>
      </w:r>
    </w:p>
    <w:p>
      <w:pPr>
        <w:pStyle w:val="BlankOpen"/>
      </w:pPr>
    </w:p>
    <w:p>
      <w:pPr>
        <w:pStyle w:val="nzIndenta"/>
      </w:pPr>
      <w:r>
        <w:tab/>
      </w:r>
      <w:r>
        <w:tab/>
        <w:t>regulations made under section 7(3)</w:t>
      </w:r>
    </w:p>
    <w:p>
      <w:pPr>
        <w:pStyle w:val="BlankClose"/>
      </w:pPr>
    </w:p>
    <w:p>
      <w:pPr>
        <w:pStyle w:val="nzHeading5"/>
      </w:pPr>
      <w:r>
        <w:rPr>
          <w:rStyle w:val="CharSectno"/>
        </w:rPr>
        <w:t>95</w:t>
      </w:r>
      <w:r>
        <w:t>.</w:t>
      </w:r>
      <w:r>
        <w:tab/>
        <w:t>Various references to “Road Traffic Act” amended</w:t>
      </w:r>
    </w:p>
    <w:p>
      <w:pPr>
        <w:pStyle w:val="nzSubsection"/>
        <w:keepNext/>
      </w:pPr>
      <w:r>
        <w:tab/>
      </w:r>
      <w:r>
        <w:tab/>
        <w:t>In the provisions listed in the Table delete “Road Traffic Act” (each occurrence) and insert:</w:t>
      </w:r>
    </w:p>
    <w:p>
      <w:pPr>
        <w:pStyle w:val="BlankOpen"/>
      </w:pPr>
    </w:p>
    <w:p>
      <w:pPr>
        <w:pStyle w:val="nzSubsection"/>
      </w:pPr>
      <w:r>
        <w:tab/>
      </w:r>
      <w:r>
        <w:tab/>
        <w:t>Vehicles Act</w:t>
      </w:r>
    </w:p>
    <w:p>
      <w:pPr>
        <w:pStyle w:val="BlankClose"/>
      </w:pPr>
    </w:p>
    <w:p>
      <w:pPr>
        <w:pStyle w:val="THeading"/>
        <w:rPr>
          <w:sz w:val="20"/>
        </w:rPr>
      </w:pPr>
      <w:r>
        <w:rPr>
          <w:sz w:val="20"/>
        </w:rPr>
        <w:t>Table</w:t>
      </w:r>
    </w:p>
    <w:tbl>
      <w:tblPr>
        <w:tblW w:w="0" w:type="auto"/>
        <w:jc w:val="center"/>
        <w:tblInd w:w="2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34"/>
        <w:gridCol w:w="1494"/>
      </w:tblGrid>
      <w:tr>
        <w:trPr>
          <w:cantSplit/>
          <w:jc w:val="center"/>
        </w:trPr>
        <w:tc>
          <w:tcPr>
            <w:tcW w:w="2934" w:type="dxa"/>
          </w:tcPr>
          <w:p>
            <w:pPr>
              <w:pStyle w:val="TableAm"/>
              <w:tabs>
                <w:tab w:val="clear" w:pos="567"/>
              </w:tabs>
              <w:rPr>
                <w:sz w:val="20"/>
              </w:rPr>
            </w:pPr>
            <w:r>
              <w:rPr>
                <w:sz w:val="20"/>
              </w:rPr>
              <w:t xml:space="preserve">s. 228 def. of </w:t>
            </w:r>
            <w:r>
              <w:rPr>
                <w:b/>
                <w:i/>
                <w:sz w:val="20"/>
              </w:rPr>
              <w:t>corresponding State law</w:t>
            </w:r>
          </w:p>
        </w:tc>
        <w:tc>
          <w:tcPr>
            <w:tcW w:w="1494" w:type="dxa"/>
          </w:tcPr>
          <w:p>
            <w:pPr>
              <w:pStyle w:val="TableAm"/>
              <w:tabs>
                <w:tab w:val="clear" w:pos="567"/>
              </w:tabs>
              <w:ind w:left="19"/>
              <w:rPr>
                <w:sz w:val="20"/>
              </w:rPr>
            </w:pPr>
            <w:r>
              <w:rPr>
                <w:sz w:val="20"/>
              </w:rPr>
              <w:t>s. 230(1), (3)</w:t>
            </w:r>
          </w:p>
        </w:tc>
      </w:tr>
      <w:tr>
        <w:trPr>
          <w:cantSplit/>
          <w:jc w:val="center"/>
        </w:trPr>
        <w:tc>
          <w:tcPr>
            <w:tcW w:w="2934" w:type="dxa"/>
          </w:tcPr>
          <w:p>
            <w:pPr>
              <w:pStyle w:val="TableAm"/>
              <w:tabs>
                <w:tab w:val="clear" w:pos="567"/>
              </w:tabs>
              <w:rPr>
                <w:sz w:val="20"/>
              </w:rPr>
            </w:pPr>
            <w:r>
              <w:rPr>
                <w:sz w:val="20"/>
              </w:rPr>
              <w:t>s. 235(a)</w:t>
            </w:r>
          </w:p>
        </w:tc>
        <w:tc>
          <w:tcPr>
            <w:tcW w:w="1494" w:type="dxa"/>
          </w:tcPr>
          <w:p>
            <w:pPr>
              <w:pStyle w:val="TableAm"/>
              <w:tabs>
                <w:tab w:val="clear" w:pos="567"/>
              </w:tabs>
              <w:ind w:left="19"/>
              <w:rPr>
                <w:sz w:val="20"/>
              </w:rPr>
            </w:pPr>
            <w:r>
              <w:rPr>
                <w:sz w:val="20"/>
              </w:rPr>
              <w:t>s. 242(1)(a) and (c)</w:t>
            </w:r>
          </w:p>
        </w:tc>
      </w:tr>
      <w:tr>
        <w:trPr>
          <w:cantSplit/>
          <w:jc w:val="center"/>
        </w:trPr>
        <w:tc>
          <w:tcPr>
            <w:tcW w:w="2934" w:type="dxa"/>
          </w:tcPr>
          <w:p>
            <w:pPr>
              <w:pStyle w:val="TableAm"/>
              <w:tabs>
                <w:tab w:val="clear" w:pos="567"/>
              </w:tabs>
              <w:rPr>
                <w:sz w:val="20"/>
              </w:rPr>
            </w:pPr>
            <w:r>
              <w:rPr>
                <w:sz w:val="20"/>
              </w:rPr>
              <w:t>s. 251(1), (2)</w:t>
            </w:r>
          </w:p>
        </w:tc>
        <w:tc>
          <w:tcPr>
            <w:tcW w:w="1494" w:type="dxa"/>
          </w:tcPr>
          <w:p>
            <w:pPr>
              <w:pStyle w:val="TableAm"/>
              <w:tabs>
                <w:tab w:val="clear" w:pos="567"/>
              </w:tabs>
              <w:ind w:left="19"/>
              <w:rPr>
                <w:sz w:val="20"/>
              </w:rPr>
            </w:pPr>
            <w:r>
              <w:rPr>
                <w:sz w:val="20"/>
              </w:rPr>
              <w:t>s. 252(1)</w:t>
            </w:r>
          </w:p>
        </w:tc>
      </w:tr>
    </w:tbl>
    <w:p>
      <w:pPr>
        <w:pStyle w:val="nzHeading5"/>
      </w:pPr>
      <w:r>
        <w:rPr>
          <w:rStyle w:val="CharSectno"/>
        </w:rPr>
        <w:t>96</w:t>
      </w:r>
      <w:r>
        <w:t>.</w:t>
      </w:r>
      <w:r>
        <w:tab/>
        <w:t>Various references to “Director General” amended</w:t>
      </w:r>
    </w:p>
    <w:p>
      <w:pPr>
        <w:pStyle w:val="nzSubsection"/>
      </w:pPr>
      <w:r>
        <w:tab/>
      </w:r>
      <w:r>
        <w:tab/>
        <w:t>In the provisions listed in the Table delete “Director General” (each occurrence) and insert:</w:t>
      </w:r>
    </w:p>
    <w:p>
      <w:pPr>
        <w:pStyle w:val="BlankOpen"/>
      </w:pPr>
    </w:p>
    <w:p>
      <w:pPr>
        <w:pStyle w:val="nzSubsection"/>
      </w:pPr>
      <w:r>
        <w:tab/>
      </w:r>
      <w:r>
        <w:tab/>
        <w:t>CEO</w:t>
      </w:r>
    </w:p>
    <w:p>
      <w:pPr>
        <w:pStyle w:val="BlankClose"/>
      </w:pPr>
    </w:p>
    <w:p>
      <w:pPr>
        <w:pStyle w:val="THeading"/>
        <w:spacing w:before="100"/>
        <w:rPr>
          <w:sz w:val="20"/>
        </w:rPr>
      </w:pPr>
      <w:r>
        <w:rPr>
          <w:sz w:val="20"/>
        </w:rPr>
        <w:t>Table</w:t>
      </w:r>
    </w:p>
    <w:tbl>
      <w:tblPr>
        <w:tblW w:w="0" w:type="auto"/>
        <w:jc w:val="center"/>
        <w:tblInd w:w="2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671"/>
        <w:gridCol w:w="1792"/>
      </w:tblGrid>
      <w:tr>
        <w:trPr>
          <w:cantSplit/>
          <w:jc w:val="center"/>
        </w:trPr>
        <w:tc>
          <w:tcPr>
            <w:tcW w:w="2671" w:type="dxa"/>
          </w:tcPr>
          <w:p>
            <w:pPr>
              <w:pStyle w:val="TableAm"/>
              <w:tabs>
                <w:tab w:val="clear" w:pos="567"/>
              </w:tabs>
              <w:rPr>
                <w:sz w:val="20"/>
              </w:rPr>
            </w:pPr>
            <w:r>
              <w:rPr>
                <w:sz w:val="20"/>
              </w:rPr>
              <w:t>s. 233(1)</w:t>
            </w:r>
          </w:p>
        </w:tc>
        <w:tc>
          <w:tcPr>
            <w:tcW w:w="1792" w:type="dxa"/>
          </w:tcPr>
          <w:p>
            <w:pPr>
              <w:pStyle w:val="TableAm"/>
              <w:ind w:left="54"/>
              <w:rPr>
                <w:sz w:val="20"/>
              </w:rPr>
            </w:pPr>
            <w:r>
              <w:rPr>
                <w:sz w:val="20"/>
              </w:rPr>
              <w:t>s. 234(2)</w:t>
            </w:r>
          </w:p>
        </w:tc>
      </w:tr>
      <w:tr>
        <w:trPr>
          <w:cantSplit/>
          <w:jc w:val="center"/>
        </w:trPr>
        <w:tc>
          <w:tcPr>
            <w:tcW w:w="2671" w:type="dxa"/>
          </w:tcPr>
          <w:p>
            <w:pPr>
              <w:pStyle w:val="TableAm"/>
              <w:tabs>
                <w:tab w:val="clear" w:pos="567"/>
              </w:tabs>
              <w:rPr>
                <w:sz w:val="20"/>
              </w:rPr>
            </w:pPr>
            <w:r>
              <w:rPr>
                <w:sz w:val="20"/>
              </w:rPr>
              <w:t>s. 235(a)</w:t>
            </w:r>
          </w:p>
        </w:tc>
        <w:tc>
          <w:tcPr>
            <w:tcW w:w="1792" w:type="dxa"/>
          </w:tcPr>
          <w:p>
            <w:pPr>
              <w:pStyle w:val="TableAm"/>
              <w:ind w:left="54"/>
              <w:rPr>
                <w:sz w:val="20"/>
              </w:rPr>
            </w:pPr>
            <w:r>
              <w:rPr>
                <w:sz w:val="20"/>
              </w:rPr>
              <w:t>s. 241</w:t>
            </w:r>
          </w:p>
        </w:tc>
      </w:tr>
      <w:tr>
        <w:trPr>
          <w:cantSplit/>
          <w:jc w:val="center"/>
        </w:trPr>
        <w:tc>
          <w:tcPr>
            <w:tcW w:w="2671" w:type="dxa"/>
          </w:tcPr>
          <w:p>
            <w:pPr>
              <w:pStyle w:val="TableAm"/>
              <w:tabs>
                <w:tab w:val="clear" w:pos="567"/>
              </w:tabs>
              <w:rPr>
                <w:sz w:val="20"/>
              </w:rPr>
            </w:pPr>
            <w:r>
              <w:rPr>
                <w:sz w:val="20"/>
              </w:rPr>
              <w:t>s. 252(1), (3)</w:t>
            </w:r>
          </w:p>
        </w:tc>
        <w:tc>
          <w:tcPr>
            <w:tcW w:w="1792" w:type="dxa"/>
          </w:tcPr>
          <w:p>
            <w:pPr>
              <w:pStyle w:val="TableAm"/>
              <w:ind w:left="54"/>
              <w:rPr>
                <w:sz w:val="20"/>
              </w:rPr>
            </w:pPr>
            <w:r>
              <w:rPr>
                <w:sz w:val="20"/>
              </w:rPr>
              <w:t>s. 253(1), (2), (3)</w:t>
            </w:r>
          </w:p>
        </w:tc>
      </w:tr>
      <w:tr>
        <w:trPr>
          <w:cantSplit/>
          <w:jc w:val="center"/>
        </w:trPr>
        <w:tc>
          <w:tcPr>
            <w:tcW w:w="2671" w:type="dxa"/>
          </w:tcPr>
          <w:p>
            <w:pPr>
              <w:pStyle w:val="TableAm"/>
              <w:tabs>
                <w:tab w:val="clear" w:pos="567"/>
              </w:tabs>
              <w:rPr>
                <w:sz w:val="20"/>
              </w:rPr>
            </w:pPr>
            <w:r>
              <w:rPr>
                <w:sz w:val="20"/>
              </w:rPr>
              <w:t>s. 255</w:t>
            </w:r>
          </w:p>
        </w:tc>
        <w:tc>
          <w:tcPr>
            <w:tcW w:w="1792" w:type="dxa"/>
          </w:tcPr>
          <w:p>
            <w:pPr>
              <w:pStyle w:val="TableAm"/>
              <w:rPr>
                <w:sz w:val="20"/>
              </w:rPr>
            </w:pPr>
          </w:p>
        </w:tc>
      </w:tr>
    </w:tbl>
    <w:p>
      <w:pPr>
        <w:pStyle w:val="nzNotesPerm"/>
      </w:pPr>
      <w:r>
        <w:tab/>
        <w:t>Note:</w:t>
      </w:r>
      <w:r>
        <w:tab/>
        <w:t>The heading to amended section 253 is to read:</w:t>
      </w:r>
    </w:p>
    <w:p>
      <w:pPr>
        <w:pStyle w:val="nzNotesPerm"/>
      </w:pPr>
      <w:r>
        <w:tab/>
      </w:r>
      <w:r>
        <w:tab/>
      </w:r>
      <w:r>
        <w:rPr>
          <w:b/>
        </w:rPr>
        <w:t>Functions of CEO and Commissioner</w:t>
      </w:r>
    </w:p>
    <w:p>
      <w:pPr>
        <w:pStyle w:val="nzNotesPerm"/>
      </w:pPr>
      <w:r>
        <w:tab/>
        <w:t>Note:</w:t>
      </w:r>
      <w:r>
        <w:tab/>
        <w:t>The heading to amended section 255 is to read:</w:t>
      </w:r>
    </w:p>
    <w:p>
      <w:pPr>
        <w:pStyle w:val="nzNotesPerm"/>
      </w:pPr>
      <w:r>
        <w:tab/>
      </w:r>
      <w:r>
        <w:tab/>
      </w:r>
      <w:r>
        <w:rPr>
          <w:b/>
        </w:rPr>
        <w:t>CEO’s duties</w:t>
      </w:r>
    </w:p>
    <w:p>
      <w:pPr>
        <w:pStyle w:val="BlankClose"/>
      </w:pPr>
    </w:p>
    <w:p/>
    <w:p>
      <w:pPr>
        <w:sectPr>
          <w:headerReference w:type="even" r:id="rId43"/>
          <w:headerReference w:type="default" r:id="rId44"/>
          <w:headerReference w:type="first" r:id="rId45"/>
          <w:pgSz w:w="11907" w:h="16840" w:code="9"/>
          <w:pgMar w:top="2376" w:right="2405" w:bottom="3542" w:left="2405" w:header="706" w:footer="3380" w:gutter="0"/>
          <w:cols w:space="720"/>
          <w:noEndnote/>
          <w:docGrid w:linePitch="326"/>
        </w:sectPr>
      </w:pPr>
    </w:p>
    <w:p>
      <w:pPr>
        <w:pStyle w:val="nHeading2"/>
        <w:rPr>
          <w:sz w:val="28"/>
        </w:rPr>
      </w:pPr>
      <w:bookmarkStart w:id="1355" w:name="_Toc413847472"/>
      <w:r>
        <w:rPr>
          <w:sz w:val="28"/>
        </w:rPr>
        <w:t>Defined terms</w:t>
      </w:r>
      <w:bookmarkEnd w:id="135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44(2), 257(2)</w:t>
      </w:r>
    </w:p>
    <w:p>
      <w:pPr>
        <w:pStyle w:val="DefinedTerms"/>
      </w:pPr>
      <w:r>
        <w:t>accident insurance</w:t>
      </w:r>
      <w:r>
        <w:tab/>
        <w:t>206</w:t>
      </w:r>
    </w:p>
    <w:p>
      <w:pPr>
        <w:pStyle w:val="DefinedTerms"/>
      </w:pPr>
      <w:r>
        <w:t>acquirer</w:t>
      </w:r>
      <w:r>
        <w:tab/>
        <w:t>171(2), 175</w:t>
      </w:r>
    </w:p>
    <w:p>
      <w:pPr>
        <w:pStyle w:val="DefinedTerms"/>
      </w:pPr>
      <w:r>
        <w:t>acquiring person</w:t>
      </w:r>
      <w:r>
        <w:tab/>
        <w:t>167(1), 168(1)</w:t>
      </w:r>
    </w:p>
    <w:p>
      <w:pPr>
        <w:pStyle w:val="DefinedTerms"/>
      </w:pPr>
      <w:r>
        <w:t>acquisition</w:t>
      </w:r>
      <w:r>
        <w:tab/>
        <w:t>165</w:t>
      </w:r>
    </w:p>
    <w:p>
      <w:pPr>
        <w:pStyle w:val="DefinedTerms"/>
      </w:pPr>
      <w:r>
        <w:t>acquisition statement</w:t>
      </w:r>
      <w:r>
        <w:tab/>
        <w:t>199</w:t>
      </w:r>
    </w:p>
    <w:p>
      <w:pPr>
        <w:pStyle w:val="DefinedTerms"/>
      </w:pPr>
      <w:r>
        <w:t>additional insurance</w:t>
      </w:r>
      <w:r>
        <w:tab/>
        <w:t>210(2)</w:t>
      </w:r>
    </w:p>
    <w:p>
      <w:pPr>
        <w:pStyle w:val="DefinedTerms"/>
      </w:pPr>
      <w:r>
        <w:t>affected entity</w:t>
      </w:r>
      <w:r>
        <w:tab/>
        <w:t>259(1)</w:t>
      </w:r>
    </w:p>
    <w:p>
      <w:pPr>
        <w:pStyle w:val="DefinedTerms"/>
      </w:pPr>
      <w:r>
        <w:t>aggregated transaction</w:t>
      </w:r>
      <w:r>
        <w:tab/>
        <w:t>147F(3)</w:t>
      </w:r>
    </w:p>
    <w:p>
      <w:pPr>
        <w:pStyle w:val="DefinedTerms"/>
      </w:pPr>
      <w:r>
        <w:t>agreement by instalments</w:t>
      </w:r>
      <w:r>
        <w:tab/>
        <w:t>33(1)</w:t>
      </w:r>
    </w:p>
    <w:p>
      <w:pPr>
        <w:pStyle w:val="DefinedTerms"/>
      </w:pPr>
      <w:r>
        <w:t>amended provisions</w:t>
      </w:r>
      <w:r>
        <w:tab/>
        <w:t>Sch. 3 cl. 37</w:t>
      </w:r>
    </w:p>
    <w:p>
      <w:pPr>
        <w:pStyle w:val="DefinedTerms"/>
      </w:pPr>
      <w:r>
        <w:t>authorised trustee corporation</w:t>
      </w:r>
      <w:r>
        <w:tab/>
        <w:t>63</w:t>
      </w:r>
    </w:p>
    <w:p>
      <w:pPr>
        <w:pStyle w:val="DefinedTerms"/>
      </w:pPr>
      <w:r>
        <w:t>B</w:t>
      </w:r>
      <w:r>
        <w:tab/>
        <w:t>44(2), 257(2)</w:t>
      </w:r>
    </w:p>
    <w:p>
      <w:pPr>
        <w:pStyle w:val="DefinedTerms"/>
      </w:pPr>
      <w:r>
        <w:t>bankruptcy trustee</w:t>
      </w:r>
      <w:r>
        <w:tab/>
        <w:t>108(1)</w:t>
      </w:r>
    </w:p>
    <w:p>
      <w:pPr>
        <w:pStyle w:val="DefinedTerms"/>
      </w:pPr>
      <w:r>
        <w:t>beneficiary</w:t>
      </w:r>
      <w:r>
        <w:tab/>
        <w:t>43(4)</w:t>
      </w:r>
    </w:p>
    <w:p>
      <w:pPr>
        <w:pStyle w:val="DefinedTerms"/>
      </w:pPr>
      <w:r>
        <w:t>business asset</w:t>
      </w:r>
      <w:r>
        <w:tab/>
        <w:t>79</w:t>
      </w:r>
    </w:p>
    <w:p>
      <w:pPr>
        <w:pStyle w:val="DefinedTerms"/>
      </w:pPr>
      <w:r>
        <w:t>business identity</w:t>
      </w:r>
      <w:r>
        <w:tab/>
        <w:t>79</w:t>
      </w:r>
    </w:p>
    <w:p>
      <w:pPr>
        <w:pStyle w:val="DefinedTerms"/>
      </w:pPr>
      <w:r>
        <w:t>business licence</w:t>
      </w:r>
      <w:r>
        <w:tab/>
        <w:t>79, 277(1)</w:t>
      </w:r>
    </w:p>
    <w:p>
      <w:pPr>
        <w:pStyle w:val="DefinedTerms"/>
      </w:pPr>
      <w:r>
        <w:t>C</w:t>
      </w:r>
      <w:r>
        <w:tab/>
        <w:t>49(1)</w:t>
      </w:r>
    </w:p>
    <w:p>
      <w:pPr>
        <w:pStyle w:val="DefinedTerms"/>
      </w:pPr>
      <w:r>
        <w:t>call option</w:t>
      </w:r>
      <w:r>
        <w:tab/>
        <w:t>44(1), 177(1)</w:t>
      </w:r>
    </w:p>
    <w:p>
      <w:pPr>
        <w:pStyle w:val="DefinedTerms"/>
      </w:pPr>
      <w:r>
        <w:t>cancelled transaction</w:t>
      </w:r>
      <w:r>
        <w:tab/>
        <w:t>107(1)</w:t>
      </w:r>
    </w:p>
    <w:p>
      <w:pPr>
        <w:pStyle w:val="DefinedTerms"/>
      </w:pPr>
      <w:r>
        <w:t>caravan</w:t>
      </w:r>
      <w:r>
        <w:tab/>
        <w:t>228</w:t>
      </w:r>
    </w:p>
    <w:p>
      <w:pPr>
        <w:pStyle w:val="DefinedTerms"/>
      </w:pPr>
      <w:r>
        <w:t>caveat</w:t>
      </w:r>
      <w:r>
        <w:tab/>
        <w:t>278(1)</w:t>
      </w:r>
    </w:p>
    <w:p>
      <w:pPr>
        <w:pStyle w:val="DefinedTerms"/>
      </w:pPr>
      <w:r>
        <w:t>charitable organisation</w:t>
      </w:r>
      <w:r>
        <w:tab/>
        <w:t>228</w:t>
      </w:r>
    </w:p>
    <w:p>
      <w:pPr>
        <w:pStyle w:val="DefinedTerms"/>
      </w:pPr>
      <w:r>
        <w:t>chattel</w:t>
      </w:r>
      <w:r>
        <w:tab/>
        <w:t>3</w:t>
      </w:r>
    </w:p>
    <w:p>
      <w:pPr>
        <w:pStyle w:val="DefinedTerms"/>
      </w:pPr>
      <w:r>
        <w:t>child</w:t>
      </w:r>
      <w:r>
        <w:tab/>
        <w:t>128(1)</w:t>
      </w:r>
    </w:p>
    <w:p>
      <w:pPr>
        <w:pStyle w:val="DefinedTerms"/>
      </w:pPr>
      <w:r>
        <w:t>chosen entity</w:t>
      </w:r>
      <w:r>
        <w:tab/>
        <w:t>125(2)</w:t>
      </w:r>
    </w:p>
    <w:p>
      <w:pPr>
        <w:pStyle w:val="DefinedTerms"/>
      </w:pPr>
      <w:r>
        <w:t>circuit layout right</w:t>
      </w:r>
      <w:r>
        <w:tab/>
        <w:t>79</w:t>
      </w:r>
    </w:p>
    <w:p>
      <w:pPr>
        <w:pStyle w:val="DefinedTerms"/>
      </w:pPr>
      <w:r>
        <w:t>commencement</w:t>
      </w:r>
      <w:r>
        <w:tab/>
        <w:t>Sch. 3 cl. 37</w:t>
      </w:r>
    </w:p>
    <w:p>
      <w:pPr>
        <w:pStyle w:val="DefinedTerms"/>
      </w:pPr>
      <w:r>
        <w:t>commodities</w:t>
      </w:r>
      <w:r>
        <w:tab/>
        <w:t>79</w:t>
      </w:r>
    </w:p>
    <w:p>
      <w:pPr>
        <w:pStyle w:val="DefinedTerms"/>
      </w:pPr>
      <w:r>
        <w:t>Commonwealth Act</w:t>
      </w:r>
      <w:r>
        <w:tab/>
        <w:t>121</w:t>
      </w:r>
    </w:p>
    <w:p>
      <w:pPr>
        <w:pStyle w:val="DefinedTerms"/>
      </w:pPr>
      <w:r>
        <w:t>company A</w:t>
      </w:r>
      <w:r>
        <w:tab/>
        <w:t>12(3)</w:t>
      </w:r>
    </w:p>
    <w:p>
      <w:pPr>
        <w:pStyle w:val="DefinedTerms"/>
      </w:pPr>
      <w:r>
        <w:t>company B</w:t>
      </w:r>
      <w:r>
        <w:tab/>
        <w:t>12(3)</w:t>
      </w:r>
    </w:p>
    <w:p>
      <w:pPr>
        <w:pStyle w:val="DefinedTerms"/>
      </w:pPr>
      <w:r>
        <w:t>company C</w:t>
      </w:r>
      <w:r>
        <w:tab/>
        <w:t>12(4)</w:t>
      </w:r>
    </w:p>
    <w:p>
      <w:pPr>
        <w:pStyle w:val="DefinedTerms"/>
      </w:pPr>
      <w:r>
        <w:t>complying approved deposit fund</w:t>
      </w:r>
      <w:r>
        <w:tab/>
        <w:t>121</w:t>
      </w:r>
    </w:p>
    <w:p>
      <w:pPr>
        <w:pStyle w:val="DefinedTerms"/>
      </w:pPr>
      <w:r>
        <w:t>complying superannuation fund</w:t>
      </w:r>
      <w:r>
        <w:tab/>
        <w:t>121</w:t>
      </w:r>
    </w:p>
    <w:p>
      <w:pPr>
        <w:pStyle w:val="DefinedTerms"/>
      </w:pPr>
      <w:r>
        <w:t>concessional rate</w:t>
      </w:r>
      <w:r>
        <w:tab/>
        <w:t>9</w:t>
      </w:r>
    </w:p>
    <w:p>
      <w:pPr>
        <w:pStyle w:val="DefinedTerms"/>
      </w:pPr>
      <w:r>
        <w:t>concessional transaction</w:t>
      </w:r>
      <w:r>
        <w:tab/>
        <w:t>147(1), Sch. 3 cl. 11A(1)</w:t>
      </w:r>
    </w:p>
    <w:p>
      <w:pPr>
        <w:pStyle w:val="DefinedTerms"/>
      </w:pPr>
      <w:r>
        <w:t>conditional agreement</w:t>
      </w:r>
      <w:r>
        <w:tab/>
        <w:t>9</w:t>
      </w:r>
    </w:p>
    <w:p>
      <w:pPr>
        <w:pStyle w:val="DefinedTerms"/>
      </w:pPr>
      <w:r>
        <w:t>consideration</w:t>
      </w:r>
      <w:r>
        <w:tab/>
        <w:t>3, 9, 135(3)</w:t>
      </w:r>
    </w:p>
    <w:p>
      <w:pPr>
        <w:pStyle w:val="DefinedTerms"/>
      </w:pPr>
      <w:r>
        <w:t>construction</w:t>
      </w:r>
      <w:r>
        <w:tab/>
        <w:t>147A(1)</w:t>
      </w:r>
    </w:p>
    <w:p>
      <w:pPr>
        <w:pStyle w:val="DefinedTerms"/>
      </w:pPr>
      <w:r>
        <w:t>contingent consideration</w:t>
      </w:r>
      <w:r>
        <w:tab/>
        <w:t>32(1)</w:t>
      </w:r>
    </w:p>
    <w:p>
      <w:pPr>
        <w:pStyle w:val="DefinedTerms"/>
      </w:pPr>
      <w:r>
        <w:t>continuing proprietor or proprietors</w:t>
      </w:r>
      <w:r>
        <w:tab/>
        <w:t>45(1), 178(3)</w:t>
      </w:r>
    </w:p>
    <w:p>
      <w:pPr>
        <w:pStyle w:val="DefinedTerms"/>
      </w:pPr>
      <w:r>
        <w:t>contract of insurance</w:t>
      </w:r>
      <w:r>
        <w:tab/>
        <w:t>206, 208</w:t>
      </w:r>
    </w:p>
    <w:p>
      <w:pPr>
        <w:pStyle w:val="DefinedTerms"/>
      </w:pPr>
      <w:r>
        <w:t>controlling entity</w:t>
      </w:r>
      <w:r>
        <w:tab/>
        <w:t>264(1)</w:t>
      </w:r>
    </w:p>
    <w:p>
      <w:pPr>
        <w:pStyle w:val="DefinedTerms"/>
      </w:pPr>
      <w:r>
        <w:t>corporate consolidation</w:t>
      </w:r>
      <w:r>
        <w:tab/>
        <w:t>259(1)</w:t>
      </w:r>
    </w:p>
    <w:p>
      <w:pPr>
        <w:pStyle w:val="DefinedTerms"/>
      </w:pPr>
      <w:r>
        <w:t>corporate trustee</w:t>
      </w:r>
      <w:r>
        <w:tab/>
        <w:t>3</w:t>
      </w:r>
    </w:p>
    <w:p>
      <w:pPr>
        <w:pStyle w:val="DefinedTerms"/>
      </w:pPr>
      <w:r>
        <w:t>corporation</w:t>
      </w:r>
      <w:r>
        <w:tab/>
        <w:t>3, 171(1)</w:t>
      </w:r>
    </w:p>
    <w:p>
      <w:pPr>
        <w:pStyle w:val="DefinedTerms"/>
      </w:pPr>
      <w:r>
        <w:t>Corporations Act</w:t>
      </w:r>
      <w:r>
        <w:tab/>
        <w:t>3</w:t>
      </w:r>
    </w:p>
    <w:p>
      <w:pPr>
        <w:pStyle w:val="DefinedTerms"/>
      </w:pPr>
      <w:r>
        <w:t>corresponding State law</w:t>
      </w:r>
      <w:r>
        <w:tab/>
        <w:t>228</w:t>
      </w:r>
    </w:p>
    <w:p>
      <w:pPr>
        <w:pStyle w:val="DefinedTerms"/>
      </w:pPr>
      <w:r>
        <w:t>court</w:t>
      </w:r>
      <w:r>
        <w:tab/>
        <w:t>3</w:t>
      </w:r>
    </w:p>
    <w:p>
      <w:pPr>
        <w:pStyle w:val="DefinedTerms"/>
      </w:pPr>
      <w:r>
        <w:t>de facto partner of 2 years</w:t>
      </w:r>
      <w:r>
        <w:tab/>
        <w:t>9</w:t>
      </w:r>
    </w:p>
    <w:p>
      <w:pPr>
        <w:pStyle w:val="DefinedTerms"/>
      </w:pPr>
      <w:r>
        <w:t>de facto partners of 2 years</w:t>
      </w:r>
      <w:r>
        <w:tab/>
        <w:t>9, 244A(1)</w:t>
      </w:r>
    </w:p>
    <w:p>
      <w:pPr>
        <w:pStyle w:val="DefinedTerms"/>
      </w:pPr>
      <w:r>
        <w:t>de facto relationship</w:t>
      </w:r>
      <w:r>
        <w:tab/>
        <w:t>62(2), 128(1)</w:t>
      </w:r>
    </w:p>
    <w:p>
      <w:pPr>
        <w:pStyle w:val="DefinedTerms"/>
      </w:pPr>
      <w:r>
        <w:t>de facto relationship instrument</w:t>
      </w:r>
      <w:r>
        <w:tab/>
        <w:t>128(1)</w:t>
      </w:r>
    </w:p>
    <w:p>
      <w:pPr>
        <w:pStyle w:val="DefinedTerms"/>
      </w:pPr>
      <w:r>
        <w:t>de facto relationship property</w:t>
      </w:r>
      <w:r>
        <w:tab/>
        <w:t>128(1)</w:t>
      </w:r>
    </w:p>
    <w:p>
      <w:pPr>
        <w:pStyle w:val="DefinedTerms"/>
      </w:pPr>
      <w:r>
        <w:t>dealer</w:t>
      </w:r>
      <w:r>
        <w:tab/>
        <w:t>228</w:t>
      </w:r>
    </w:p>
    <w:p>
      <w:pPr>
        <w:pStyle w:val="DefinedTerms"/>
      </w:pPr>
      <w:r>
        <w:t>decision</w:t>
      </w:r>
      <w:r>
        <w:tab/>
        <w:t>96B(1)</w:t>
      </w:r>
    </w:p>
    <w:p>
      <w:pPr>
        <w:pStyle w:val="DefinedTerms"/>
      </w:pPr>
      <w:r>
        <w:t>declaration of trust</w:t>
      </w:r>
      <w:r>
        <w:tab/>
        <w:t>9</w:t>
      </w:r>
    </w:p>
    <w:p>
      <w:pPr>
        <w:pStyle w:val="DefinedTerms"/>
      </w:pPr>
      <w:r>
        <w:t>dependant</w:t>
      </w:r>
      <w:r>
        <w:tab/>
        <w:t>127(1)</w:t>
      </w:r>
    </w:p>
    <w:p>
      <w:pPr>
        <w:pStyle w:val="DefinedTerms"/>
      </w:pPr>
      <w:r>
        <w:t>dependent transaction</w:t>
      </w:r>
      <w:r>
        <w:tab/>
        <w:t>274(1)</w:t>
      </w:r>
    </w:p>
    <w:p>
      <w:pPr>
        <w:pStyle w:val="DefinedTerms"/>
      </w:pPr>
      <w:r>
        <w:t>digitally sign</w:t>
      </w:r>
      <w:r>
        <w:tab/>
        <w:t>22A, 273A(1)</w:t>
      </w:r>
    </w:p>
    <w:p>
      <w:pPr>
        <w:pStyle w:val="DefinedTerms"/>
      </w:pPr>
      <w:r>
        <w:t>director</w:t>
      </w:r>
      <w:r>
        <w:tab/>
        <w:t>3</w:t>
      </w:r>
    </w:p>
    <w:p>
      <w:pPr>
        <w:pStyle w:val="DefinedTerms"/>
      </w:pPr>
      <w:r>
        <w:t>Director General</w:t>
      </w:r>
      <w:r>
        <w:tab/>
        <w:t>228</w:t>
      </w:r>
    </w:p>
    <w:p>
      <w:pPr>
        <w:pStyle w:val="DefinedTerms"/>
      </w:pPr>
      <w:r>
        <w:t>discretionary trust</w:t>
      </w:r>
      <w:r>
        <w:tab/>
        <w:t>3</w:t>
      </w:r>
    </w:p>
    <w:p>
      <w:pPr>
        <w:pStyle w:val="DefinedTerms"/>
      </w:pPr>
      <w:r>
        <w:t>disposition</w:t>
      </w:r>
      <w:r>
        <w:tab/>
        <w:t>9, 63</w:t>
      </w:r>
    </w:p>
    <w:p>
      <w:pPr>
        <w:pStyle w:val="DefinedTerms"/>
      </w:pPr>
      <w:r>
        <w:t>distributed value</w:t>
      </w:r>
      <w:r>
        <w:tab/>
        <w:t>194(4)</w:t>
      </w:r>
    </w:p>
    <w:p>
      <w:pPr>
        <w:pStyle w:val="DefinedTerms"/>
      </w:pPr>
      <w:r>
        <w:t>distribution</w:t>
      </w:r>
      <w:r>
        <w:tab/>
        <w:t>139(1)</w:t>
      </w:r>
    </w:p>
    <w:p>
      <w:pPr>
        <w:pStyle w:val="DefinedTerms"/>
      </w:pPr>
      <w:r>
        <w:t>dormant corporation</w:t>
      </w:r>
      <w:r>
        <w:tab/>
        <w:t>42(6)</w:t>
      </w:r>
    </w:p>
    <w:p>
      <w:pPr>
        <w:pStyle w:val="DefinedTerms"/>
      </w:pPr>
      <w:r>
        <w:t>duplicate</w:t>
      </w:r>
      <w:r>
        <w:tab/>
        <w:t>3</w:t>
      </w:r>
    </w:p>
    <w:p>
      <w:pPr>
        <w:pStyle w:val="DefinedTerms"/>
      </w:pPr>
      <w:r>
        <w:t>dutiable property</w:t>
      </w:r>
      <w:r>
        <w:tab/>
        <w:t>3, 15, 70</w:t>
      </w:r>
    </w:p>
    <w:p>
      <w:pPr>
        <w:pStyle w:val="DefinedTerms"/>
      </w:pPr>
      <w:r>
        <w:t>dutiable transaction</w:t>
      </w:r>
      <w:r>
        <w:tab/>
        <w:t>3, 11(1)</w:t>
      </w:r>
    </w:p>
    <w:p>
      <w:pPr>
        <w:pStyle w:val="DefinedTerms"/>
      </w:pPr>
      <w:r>
        <w:t>dutiable transactions</w:t>
      </w:r>
      <w:r>
        <w:tab/>
        <w:t>11(2)</w:t>
      </w:r>
    </w:p>
    <w:p>
      <w:pPr>
        <w:pStyle w:val="DefinedTerms"/>
      </w:pPr>
      <w:r>
        <w:t>dutiable value</w:t>
      </w:r>
      <w:r>
        <w:tab/>
        <w:t>9, 231</w:t>
      </w:r>
    </w:p>
    <w:p>
      <w:pPr>
        <w:pStyle w:val="DefinedTerms"/>
      </w:pPr>
      <w:r>
        <w:t>duties Act</w:t>
      </w:r>
      <w:r>
        <w:tab/>
        <w:t>3</w:t>
      </w:r>
    </w:p>
    <w:p>
      <w:pPr>
        <w:pStyle w:val="DefinedTerms"/>
      </w:pPr>
      <w:r>
        <w:t>duty</w:t>
      </w:r>
      <w:r>
        <w:tab/>
        <w:t>3, 9, 148, 206, 228, 273(1)</w:t>
      </w:r>
    </w:p>
    <w:p>
      <w:pPr>
        <w:pStyle w:val="DefinedTerms"/>
      </w:pPr>
      <w:r>
        <w:t>duty endorsed</w:t>
      </w:r>
      <w:r>
        <w:tab/>
        <w:t>3, 272(1), (2) and (3)</w:t>
      </w:r>
    </w:p>
    <w:p>
      <w:pPr>
        <w:pStyle w:val="DefinedTerms"/>
      </w:pPr>
      <w:r>
        <w:t>earlier acquisition</w:t>
      </w:r>
      <w:r>
        <w:tab/>
        <w:t>189(4), 189(6)</w:t>
      </w:r>
    </w:p>
    <w:p>
      <w:pPr>
        <w:pStyle w:val="DefinedTerms"/>
      </w:pPr>
      <w:r>
        <w:t>earlier instrument</w:t>
      </w:r>
      <w:r>
        <w:tab/>
        <w:t>Sch. 3 cl. 10(1)</w:t>
      </w:r>
    </w:p>
    <w:p>
      <w:pPr>
        <w:pStyle w:val="DefinedTerms"/>
      </w:pPr>
      <w:r>
        <w:t>electronic conveyancing instrument</w:t>
      </w:r>
      <w:r>
        <w:tab/>
        <w:t>22A, 273A(1)</w:t>
      </w:r>
    </w:p>
    <w:p>
      <w:pPr>
        <w:pStyle w:val="DefinedTerms"/>
      </w:pPr>
      <w:r>
        <w:t>eligible rollover fund</w:t>
      </w:r>
      <w:r>
        <w:tab/>
        <w:t>121</w:t>
      </w:r>
    </w:p>
    <w:p>
      <w:pPr>
        <w:pStyle w:val="DefinedTerms"/>
      </w:pPr>
      <w:r>
        <w:t>eligible transaction</w:t>
      </w:r>
      <w:r>
        <w:tab/>
        <w:t>147A(1), 147B</w:t>
      </w:r>
    </w:p>
    <w:p>
      <w:pPr>
        <w:pStyle w:val="DefinedTerms"/>
      </w:pPr>
      <w:r>
        <w:t>entitled</w:t>
      </w:r>
      <w:r>
        <w:tab/>
        <w:t>3</w:t>
      </w:r>
    </w:p>
    <w:p>
      <w:pPr>
        <w:pStyle w:val="DefinedTerms"/>
      </w:pPr>
      <w:r>
        <w:t>entitlement value</w:t>
      </w:r>
      <w:r>
        <w:tab/>
        <w:t>194(4), 194(4)</w:t>
      </w:r>
    </w:p>
    <w:p>
      <w:pPr>
        <w:pStyle w:val="DefinedTerms"/>
      </w:pPr>
      <w:r>
        <w:t>entity</w:t>
      </w:r>
      <w:r>
        <w:tab/>
        <w:t>9, 102(3), 148, 257(1)</w:t>
      </w:r>
    </w:p>
    <w:p>
      <w:pPr>
        <w:pStyle w:val="DefinedTerms"/>
      </w:pPr>
      <w:r>
        <w:t>exempt body</w:t>
      </w:r>
      <w:r>
        <w:tab/>
        <w:t>3</w:t>
      </w:r>
    </w:p>
    <w:p>
      <w:pPr>
        <w:pStyle w:val="DefinedTerms"/>
      </w:pPr>
      <w:r>
        <w:t>exempt family farm transaction</w:t>
      </w:r>
      <w:r>
        <w:tab/>
        <w:t>99(1)</w:t>
      </w:r>
    </w:p>
    <w:p>
      <w:pPr>
        <w:pStyle w:val="DefinedTerms"/>
      </w:pPr>
      <w:r>
        <w:t>exempt transaction</w:t>
      </w:r>
      <w:r>
        <w:tab/>
        <w:t>9</w:t>
      </w:r>
    </w:p>
    <w:p>
      <w:pPr>
        <w:pStyle w:val="DefinedTerms"/>
      </w:pPr>
      <w:r>
        <w:t>exemption</w:t>
      </w:r>
      <w:r>
        <w:tab/>
        <w:t>257(1)</w:t>
      </w:r>
    </w:p>
    <w:p>
      <w:pPr>
        <w:pStyle w:val="DefinedTerms"/>
      </w:pPr>
      <w:r>
        <w:t>exemption application</w:t>
      </w:r>
      <w:r>
        <w:tab/>
        <w:t>262(1)</w:t>
      </w:r>
    </w:p>
    <w:p>
      <w:pPr>
        <w:pStyle w:val="DefinedTerms"/>
      </w:pPr>
      <w:r>
        <w:t>exploration amount</w:t>
      </w:r>
      <w:r>
        <w:tab/>
        <w:t>9</w:t>
      </w:r>
    </w:p>
    <w:p>
      <w:pPr>
        <w:pStyle w:val="DefinedTerms"/>
      </w:pPr>
      <w:r>
        <w:t>family</w:t>
      </w:r>
      <w:r>
        <w:tab/>
        <w:t>257(1)</w:t>
      </w:r>
    </w:p>
    <w:p>
      <w:pPr>
        <w:pStyle w:val="DefinedTerms"/>
      </w:pPr>
      <w:r>
        <w:t>Family Court Act</w:t>
      </w:r>
      <w:r>
        <w:tab/>
        <w:t>9</w:t>
      </w:r>
    </w:p>
    <w:p>
      <w:pPr>
        <w:pStyle w:val="DefinedTerms"/>
      </w:pPr>
      <w:r>
        <w:t>Family Law Act</w:t>
      </w:r>
      <w:r>
        <w:tab/>
        <w:t>128(1)</w:t>
      </w:r>
    </w:p>
    <w:p>
      <w:pPr>
        <w:pStyle w:val="DefinedTerms"/>
      </w:pPr>
      <w:r>
        <w:t>family member</w:t>
      </w:r>
      <w:r>
        <w:tab/>
        <w:t>99(1)</w:t>
      </w:r>
    </w:p>
    <w:p>
      <w:pPr>
        <w:pStyle w:val="DefinedTerms"/>
      </w:pPr>
      <w:r>
        <w:t>farm</w:t>
      </w:r>
      <w:r>
        <w:noBreakHyphen/>
        <w:t>in agreement</w:t>
      </w:r>
      <w:r>
        <w:tab/>
        <w:t>9</w:t>
      </w:r>
    </w:p>
    <w:p>
      <w:pPr>
        <w:pStyle w:val="DefinedTerms"/>
      </w:pPr>
      <w:r>
        <w:t>farming land</w:t>
      </w:r>
      <w:r>
        <w:tab/>
        <w:t>99(1)</w:t>
      </w:r>
    </w:p>
    <w:p>
      <w:pPr>
        <w:pStyle w:val="DefinedTerms"/>
      </w:pPr>
      <w:r>
        <w:t>farming land conditional agreement</w:t>
      </w:r>
      <w:r>
        <w:tab/>
        <w:t>9</w:t>
      </w:r>
    </w:p>
    <w:p>
      <w:pPr>
        <w:pStyle w:val="DefinedTerms"/>
      </w:pPr>
      <w:r>
        <w:t>farming property</w:t>
      </w:r>
      <w:r>
        <w:tab/>
        <w:t>99(1)</w:t>
      </w:r>
    </w:p>
    <w:p>
      <w:pPr>
        <w:pStyle w:val="DefinedTerms"/>
      </w:pPr>
      <w:r>
        <w:t>FHOG Act</w:t>
      </w:r>
      <w:r>
        <w:tab/>
        <w:t>141(1)</w:t>
      </w:r>
    </w:p>
    <w:p>
      <w:pPr>
        <w:pStyle w:val="DefinedTerms"/>
      </w:pPr>
      <w:r>
        <w:t>FHOG concessional transaction</w:t>
      </w:r>
      <w:r>
        <w:tab/>
        <w:t>141(1)</w:t>
      </w:r>
    </w:p>
    <w:p>
      <w:pPr>
        <w:pStyle w:val="DefinedTerms"/>
      </w:pPr>
      <w:r>
        <w:t>financial services licensee</w:t>
      </w:r>
      <w:r>
        <w:tab/>
        <w:t>206</w:t>
      </w:r>
    </w:p>
    <w:p>
      <w:pPr>
        <w:pStyle w:val="DefinedTerms"/>
      </w:pPr>
      <w:r>
        <w:t>first acquisition</w:t>
      </w:r>
      <w:r>
        <w:tab/>
        <w:t>174(1)</w:t>
      </w:r>
    </w:p>
    <w:p>
      <w:pPr>
        <w:pStyle w:val="DefinedTerms"/>
      </w:pPr>
      <w:r>
        <w:t>first agreement</w:t>
      </w:r>
      <w:r>
        <w:tab/>
        <w:t>42(8)</w:t>
      </w:r>
    </w:p>
    <w:p>
      <w:pPr>
        <w:pStyle w:val="DefinedTerms"/>
      </w:pPr>
      <w:r>
        <w:t>first business</w:t>
      </w:r>
      <w:r>
        <w:tab/>
        <w:t>81(5)</w:t>
      </w:r>
    </w:p>
    <w:p>
      <w:pPr>
        <w:pStyle w:val="DefinedTerms"/>
      </w:pPr>
      <w:r>
        <w:t>first dutiable transaction</w:t>
      </w:r>
      <w:r>
        <w:tab/>
        <w:t>35, 47, 51</w:t>
      </w:r>
    </w:p>
    <w:p>
      <w:pPr>
        <w:pStyle w:val="DefinedTerms"/>
      </w:pPr>
      <w:r>
        <w:t>first FHOG concessional transaction</w:t>
      </w:r>
      <w:r>
        <w:tab/>
        <w:t>141(1), 142(2)</w:t>
      </w:r>
    </w:p>
    <w:p>
      <w:pPr>
        <w:pStyle w:val="DefinedTerms"/>
      </w:pPr>
      <w:r>
        <w:t>first transaction</w:t>
      </w:r>
      <w:r>
        <w:tab/>
        <w:t>104</w:t>
      </w:r>
    </w:p>
    <w:p>
      <w:pPr>
        <w:pStyle w:val="DefinedTerms"/>
      </w:pPr>
      <w:r>
        <w:t>flag lifting agreement</w:t>
      </w:r>
      <w:r>
        <w:tab/>
        <w:t>128(1)</w:t>
      </w:r>
    </w:p>
    <w:p>
      <w:pPr>
        <w:pStyle w:val="DefinedTerms"/>
      </w:pPr>
      <w:r>
        <w:t>foreign tax</w:t>
      </w:r>
      <w:r>
        <w:tab/>
        <w:t>268(1)</w:t>
      </w:r>
    </w:p>
    <w:p>
      <w:pPr>
        <w:pStyle w:val="DefinedTerms"/>
      </w:pPr>
      <w:r>
        <w:t>franchise arrangement</w:t>
      </w:r>
      <w:r>
        <w:tab/>
        <w:t>79</w:t>
      </w:r>
    </w:p>
    <w:p>
      <w:pPr>
        <w:pStyle w:val="DefinedTerms"/>
      </w:pPr>
      <w:r>
        <w:t>franchisee</w:t>
      </w:r>
      <w:r>
        <w:tab/>
        <w:t>79</w:t>
      </w:r>
    </w:p>
    <w:p>
      <w:pPr>
        <w:pStyle w:val="DefinedTerms"/>
      </w:pPr>
      <w:r>
        <w:t>franchisor</w:t>
      </w:r>
      <w:r>
        <w:tab/>
        <w:t>79</w:t>
      </w:r>
    </w:p>
    <w:p>
      <w:pPr>
        <w:pStyle w:val="DefinedTerms"/>
      </w:pPr>
      <w:r>
        <w:t>further FHOG concessional transaction</w:t>
      </w:r>
      <w:r>
        <w:tab/>
        <w:t>141(1)</w:t>
      </w:r>
    </w:p>
    <w:p>
      <w:pPr>
        <w:pStyle w:val="DefinedTerms"/>
      </w:pPr>
      <w:r>
        <w:t>general conditional agreement</w:t>
      </w:r>
      <w:r>
        <w:tab/>
        <w:t>9</w:t>
      </w:r>
    </w:p>
    <w:p>
      <w:pPr>
        <w:pStyle w:val="DefinedTerms"/>
      </w:pPr>
      <w:r>
        <w:t>general insurance</w:t>
      </w:r>
      <w:r>
        <w:tab/>
        <w:t>206</w:t>
      </w:r>
    </w:p>
    <w:p>
      <w:pPr>
        <w:pStyle w:val="DefinedTerms"/>
      </w:pPr>
      <w:r>
        <w:t>General insurance</w:t>
      </w:r>
      <w:r>
        <w:tab/>
        <w:t>209(1), (2)</w:t>
      </w:r>
    </w:p>
    <w:p>
      <w:pPr>
        <w:pStyle w:val="DefinedTerms"/>
      </w:pPr>
      <w:r>
        <w:t>general insurer</w:t>
      </w:r>
      <w:r>
        <w:tab/>
        <w:t>206, 214</w:t>
      </w:r>
    </w:p>
    <w:p>
      <w:pPr>
        <w:pStyle w:val="DefinedTerms"/>
      </w:pPr>
      <w:r>
        <w:t>general rate</w:t>
      </w:r>
      <w:r>
        <w:tab/>
        <w:t>3</w:t>
      </w:r>
    </w:p>
    <w:p>
      <w:pPr>
        <w:pStyle w:val="DefinedTerms"/>
      </w:pPr>
      <w:r>
        <w:t>grant</w:t>
      </w:r>
      <w:r>
        <w:tab/>
        <w:t>228</w:t>
      </w:r>
    </w:p>
    <w:p>
      <w:pPr>
        <w:pStyle w:val="DefinedTerms"/>
      </w:pPr>
      <w:r>
        <w:t>GST</w:t>
      </w:r>
      <w:r>
        <w:tab/>
        <w:t>3</w:t>
      </w:r>
    </w:p>
    <w:p>
      <w:pPr>
        <w:pStyle w:val="DefinedTerms"/>
      </w:pPr>
      <w:r>
        <w:t>head entity</w:t>
      </w:r>
      <w:r>
        <w:tab/>
        <w:t>259(1)</w:t>
      </w:r>
    </w:p>
    <w:p>
      <w:pPr>
        <w:pStyle w:val="DefinedTerms"/>
      </w:pPr>
      <w:r>
        <w:t>heavy vehicle</w:t>
      </w:r>
      <w:r>
        <w:tab/>
        <w:t>228</w:t>
      </w:r>
    </w:p>
    <w:p>
      <w:pPr>
        <w:pStyle w:val="DefinedTerms"/>
      </w:pPr>
      <w:r>
        <w:t>industrial association</w:t>
      </w:r>
      <w:r>
        <w:tab/>
        <w:t>3</w:t>
      </w:r>
    </w:p>
    <w:p>
      <w:pPr>
        <w:pStyle w:val="DefinedTerms"/>
      </w:pPr>
      <w:r>
        <w:t>insured person</w:t>
      </w:r>
      <w:r>
        <w:tab/>
        <w:t>223(1)</w:t>
      </w:r>
    </w:p>
    <w:p>
      <w:pPr>
        <w:pStyle w:val="DefinedTerms"/>
      </w:pPr>
      <w:r>
        <w:t>insurer</w:t>
      </w:r>
      <w:r>
        <w:tab/>
        <w:t>206</w:t>
      </w:r>
    </w:p>
    <w:p>
      <w:pPr>
        <w:pStyle w:val="DefinedTerms"/>
      </w:pPr>
      <w:r>
        <w:t>intellectual property</w:t>
      </w:r>
      <w:r>
        <w:tab/>
        <w:t>79</w:t>
      </w:r>
    </w:p>
    <w:p>
      <w:pPr>
        <w:pStyle w:val="DefinedTerms"/>
      </w:pPr>
      <w:r>
        <w:t>interest</w:t>
      </w:r>
      <w:r>
        <w:tab/>
        <w:t>148</w:t>
      </w:r>
    </w:p>
    <w:p>
      <w:pPr>
        <w:pStyle w:val="DefinedTerms"/>
      </w:pPr>
      <w:r>
        <w:t>interest in a discretionary trust</w:t>
      </w:r>
      <w:r>
        <w:tab/>
        <w:t>9</w:t>
      </w:r>
    </w:p>
    <w:p>
      <w:pPr>
        <w:pStyle w:val="DefinedTerms"/>
      </w:pPr>
      <w:r>
        <w:t>interim assessment</w:t>
      </w:r>
      <w:r>
        <w:tab/>
        <w:t>44A(1), 195A(1)</w:t>
      </w:r>
    </w:p>
    <w:p>
      <w:pPr>
        <w:pStyle w:val="DefinedTerms"/>
      </w:pPr>
      <w:r>
        <w:t>intermediary</w:t>
      </w:r>
      <w:r>
        <w:tab/>
        <w:t>206</w:t>
      </w:r>
    </w:p>
    <w:p>
      <w:pPr>
        <w:pStyle w:val="DefinedTerms"/>
      </w:pPr>
      <w:r>
        <w:t>interstate duty</w:t>
      </w:r>
      <w:r>
        <w:tab/>
        <w:t>206</w:t>
      </w:r>
    </w:p>
    <w:p>
      <w:pPr>
        <w:pStyle w:val="DefinedTerms"/>
      </w:pPr>
      <w:r>
        <w:t>intervening transactions</w:t>
      </w:r>
      <w:r>
        <w:tab/>
        <w:t>42(8)</w:t>
      </w:r>
    </w:p>
    <w:p>
      <w:pPr>
        <w:pStyle w:val="DefinedTerms"/>
      </w:pPr>
      <w:r>
        <w:t>issue of title conditional agreement</w:t>
      </w:r>
      <w:r>
        <w:tab/>
        <w:t>9</w:t>
      </w:r>
    </w:p>
    <w:p>
      <w:pPr>
        <w:pStyle w:val="DefinedTerms"/>
      </w:pPr>
      <w:r>
        <w:t>land</w:t>
      </w:r>
      <w:r>
        <w:tab/>
        <w:t>3, 147F(1), (3), 148</w:t>
      </w:r>
    </w:p>
    <w:p>
      <w:pPr>
        <w:pStyle w:val="DefinedTerms"/>
      </w:pPr>
      <w:r>
        <w:t>landholder</w:t>
      </w:r>
      <w:r>
        <w:tab/>
        <w:t>148</w:t>
      </w:r>
    </w:p>
    <w:p>
      <w:pPr>
        <w:pStyle w:val="DefinedTerms"/>
      </w:pPr>
      <w:r>
        <w:t>landholder duty</w:t>
      </w:r>
      <w:r>
        <w:tab/>
        <w:t>3</w:t>
      </w:r>
    </w:p>
    <w:p>
      <w:pPr>
        <w:pStyle w:val="DefinedTerms"/>
      </w:pPr>
      <w:r>
        <w:t>legal personal representative</w:t>
      </w:r>
      <w:r>
        <w:tab/>
        <w:t>127(1)</w:t>
      </w:r>
    </w:p>
    <w:p>
      <w:pPr>
        <w:pStyle w:val="DefinedTerms"/>
      </w:pPr>
      <w:r>
        <w:t>licence</w:t>
      </w:r>
      <w:r>
        <w:tab/>
        <w:t>228, 230(2), (3)</w:t>
      </w:r>
    </w:p>
    <w:p>
      <w:pPr>
        <w:pStyle w:val="DefinedTerms"/>
      </w:pPr>
      <w:r>
        <w:t>life insurance</w:t>
      </w:r>
      <w:r>
        <w:tab/>
        <w:t>206</w:t>
      </w:r>
    </w:p>
    <w:p>
      <w:pPr>
        <w:pStyle w:val="DefinedTerms"/>
      </w:pPr>
      <w:r>
        <w:t>linked entity</w:t>
      </w:r>
      <w:r>
        <w:tab/>
        <w:t>148, 156(2)</w:t>
      </w:r>
    </w:p>
    <w:p>
      <w:pPr>
        <w:pStyle w:val="DefinedTerms"/>
      </w:pPr>
      <w:r>
        <w:t>listed corporation</w:t>
      </w:r>
      <w:r>
        <w:tab/>
        <w:t>148</w:t>
      </w:r>
    </w:p>
    <w:p>
      <w:pPr>
        <w:pStyle w:val="DefinedTerms"/>
      </w:pPr>
      <w:r>
        <w:t>listed landholder</w:t>
      </w:r>
      <w:r>
        <w:tab/>
        <w:t>148</w:t>
      </w:r>
    </w:p>
    <w:p>
      <w:pPr>
        <w:pStyle w:val="DefinedTerms"/>
      </w:pPr>
      <w:r>
        <w:t>listed unit trust scheme</w:t>
      </w:r>
      <w:r>
        <w:tab/>
        <w:t>148</w:t>
      </w:r>
    </w:p>
    <w:p>
      <w:pPr>
        <w:pStyle w:val="DefinedTerms"/>
      </w:pPr>
      <w:r>
        <w:t>local government</w:t>
      </w:r>
      <w:r>
        <w:tab/>
        <w:t>3</w:t>
      </w:r>
    </w:p>
    <w:p>
      <w:pPr>
        <w:pStyle w:val="DefinedTerms"/>
      </w:pPr>
      <w:r>
        <w:t>lodge</w:t>
      </w:r>
      <w:r>
        <w:tab/>
        <w:t>3</w:t>
      </w:r>
    </w:p>
    <w:p>
      <w:pPr>
        <w:pStyle w:val="DefinedTerms"/>
      </w:pPr>
      <w:r>
        <w:t>lot</w:t>
      </w:r>
      <w:r>
        <w:tab/>
        <w:t>96</w:t>
      </w:r>
    </w:p>
    <w:p>
      <w:pPr>
        <w:pStyle w:val="DefinedTerms"/>
      </w:pPr>
      <w:r>
        <w:t>main entity</w:t>
      </w:r>
      <w:r>
        <w:tab/>
        <w:t>156(1)</w:t>
      </w:r>
    </w:p>
    <w:p>
      <w:pPr>
        <w:pStyle w:val="DefinedTerms"/>
      </w:pPr>
      <w:r>
        <w:t>major holder</w:t>
      </w:r>
      <w:r>
        <w:tab/>
        <w:t>264(1)</w:t>
      </w:r>
    </w:p>
    <w:p>
      <w:pPr>
        <w:pStyle w:val="DefinedTerms"/>
      </w:pPr>
      <w:r>
        <w:t>majority shareholder</w:t>
      </w:r>
      <w:r>
        <w:tab/>
        <w:t>3</w:t>
      </w:r>
    </w:p>
    <w:p>
      <w:pPr>
        <w:pStyle w:val="DefinedTerms"/>
      </w:pPr>
      <w:r>
        <w:t>managed investment scheme</w:t>
      </w:r>
      <w:r>
        <w:tab/>
        <w:t>9</w:t>
      </w:r>
    </w:p>
    <w:p>
      <w:pPr>
        <w:pStyle w:val="DefinedTerms"/>
      </w:pPr>
      <w:r>
        <w:t>matrimonial instrument</w:t>
      </w:r>
      <w:r>
        <w:tab/>
        <w:t>128(1)</w:t>
      </w:r>
    </w:p>
    <w:p>
      <w:pPr>
        <w:pStyle w:val="DefinedTerms"/>
      </w:pPr>
      <w:r>
        <w:t>matrimonial property</w:t>
      </w:r>
      <w:r>
        <w:tab/>
        <w:t>128(1)</w:t>
      </w:r>
    </w:p>
    <w:p>
      <w:pPr>
        <w:pStyle w:val="DefinedTerms"/>
      </w:pPr>
      <w:r>
        <w:t>merging corporations</w:t>
      </w:r>
      <w:r>
        <w:tab/>
        <w:t>12(4), 12(5)</w:t>
      </w:r>
    </w:p>
    <w:p>
      <w:pPr>
        <w:pStyle w:val="DefinedTerms"/>
      </w:pPr>
      <w:r>
        <w:t>mining tenement</w:t>
      </w:r>
      <w:r>
        <w:tab/>
        <w:t>3</w:t>
      </w:r>
    </w:p>
    <w:p>
      <w:pPr>
        <w:pStyle w:val="DefinedTerms"/>
      </w:pPr>
      <w:r>
        <w:t>mining tenement conditional agreement</w:t>
      </w:r>
      <w:r>
        <w:tab/>
        <w:t>9</w:t>
      </w:r>
    </w:p>
    <w:p>
      <w:pPr>
        <w:pStyle w:val="DefinedTerms"/>
      </w:pPr>
      <w:r>
        <w:t>motor vehicle</w:t>
      </w:r>
      <w:r>
        <w:tab/>
        <w:t>228</w:t>
      </w:r>
    </w:p>
    <w:p>
      <w:pPr>
        <w:pStyle w:val="DefinedTerms"/>
      </w:pPr>
      <w:r>
        <w:t>new dutiable property</w:t>
      </w:r>
      <w:r>
        <w:tab/>
        <w:t>9, 17(1), 17(2)</w:t>
      </w:r>
    </w:p>
    <w:p>
      <w:pPr>
        <w:pStyle w:val="DefinedTerms"/>
      </w:pPr>
      <w:r>
        <w:t>new record</w:t>
      </w:r>
      <w:r>
        <w:tab/>
        <w:t>273(3)</w:t>
      </w:r>
    </w:p>
    <w:p>
      <w:pPr>
        <w:pStyle w:val="DefinedTerms"/>
      </w:pPr>
      <w:r>
        <w:t>new trustee</w:t>
      </w:r>
      <w:r>
        <w:tab/>
        <w:t>119(1)</w:t>
      </w:r>
    </w:p>
    <w:p>
      <w:pPr>
        <w:pStyle w:val="DefinedTerms"/>
      </w:pPr>
      <w:r>
        <w:t>new vehicle</w:t>
      </w:r>
      <w:r>
        <w:tab/>
        <w:t>228</w:t>
      </w:r>
    </w:p>
    <w:p>
      <w:pPr>
        <w:pStyle w:val="DefinedTerms"/>
      </w:pPr>
      <w:r>
        <w:t>nominal duty</w:t>
      </w:r>
      <w:r>
        <w:tab/>
        <w:t>3</w:t>
      </w:r>
    </w:p>
    <w:p>
      <w:pPr>
        <w:pStyle w:val="DefinedTerms"/>
      </w:pPr>
      <w:r>
        <w:t>notifiable event</w:t>
      </w:r>
      <w:r>
        <w:tab/>
        <w:t>264(1), (2) and (3)</w:t>
      </w:r>
    </w:p>
    <w:p>
      <w:pPr>
        <w:pStyle w:val="DefinedTerms"/>
      </w:pPr>
      <w:r>
        <w:t>offshore risk insurance</w:t>
      </w:r>
      <w:r>
        <w:tab/>
        <w:t>206</w:t>
      </w:r>
    </w:p>
    <w:p>
      <w:pPr>
        <w:pStyle w:val="DefinedTerms"/>
      </w:pPr>
      <w:r>
        <w:t>old partnership</w:t>
      </w:r>
      <w:r>
        <w:tab/>
        <w:t>77(4)</w:t>
      </w:r>
    </w:p>
    <w:p>
      <w:pPr>
        <w:pStyle w:val="DefinedTerms"/>
      </w:pPr>
      <w:r>
        <w:t>old public unit trust</w:t>
      </w:r>
      <w:r>
        <w:tab/>
        <w:t>119(1)</w:t>
      </w:r>
    </w:p>
    <w:p>
      <w:pPr>
        <w:pStyle w:val="DefinedTerms"/>
      </w:pPr>
      <w:r>
        <w:t>option property</w:t>
      </w:r>
      <w:r>
        <w:tab/>
        <w:t>44(1)</w:t>
      </w:r>
    </w:p>
    <w:p>
      <w:pPr>
        <w:pStyle w:val="DefinedTerms"/>
      </w:pPr>
      <w:r>
        <w:t>optional feature</w:t>
      </w:r>
      <w:r>
        <w:tab/>
        <w:t>231</w:t>
      </w:r>
    </w:p>
    <w:p>
      <w:pPr>
        <w:pStyle w:val="DefinedTerms"/>
      </w:pPr>
      <w:r>
        <w:t>order</w:t>
      </w:r>
      <w:r>
        <w:tab/>
        <w:t>3</w:t>
      </w:r>
    </w:p>
    <w:p>
      <w:pPr>
        <w:pStyle w:val="DefinedTerms"/>
      </w:pPr>
      <w:r>
        <w:t>original equipment</w:t>
      </w:r>
      <w:r>
        <w:tab/>
        <w:t>239(2)</w:t>
      </w:r>
    </w:p>
    <w:p>
      <w:pPr>
        <w:pStyle w:val="DefinedTerms"/>
      </w:pPr>
      <w:r>
        <w:t>original transaction</w:t>
      </w:r>
      <w:r>
        <w:tab/>
        <w:t>96C(8)</w:t>
      </w:r>
    </w:p>
    <w:p>
      <w:pPr>
        <w:pStyle w:val="DefinedTerms"/>
      </w:pPr>
      <w:r>
        <w:t>original transfer</w:t>
      </w:r>
      <w:r>
        <w:tab/>
        <w:t>120(1)</w:t>
      </w:r>
    </w:p>
    <w:p>
      <w:pPr>
        <w:pStyle w:val="DefinedTerms"/>
      </w:pPr>
      <w:r>
        <w:t>parent entity</w:t>
      </w:r>
      <w:r>
        <w:tab/>
        <w:t>257(1)</w:t>
      </w:r>
    </w:p>
    <w:p>
      <w:pPr>
        <w:pStyle w:val="DefinedTerms"/>
      </w:pPr>
      <w:r>
        <w:t>partially exempt acquisition</w:t>
      </w:r>
      <w:r>
        <w:tab/>
        <w:t>172(2)</w:t>
      </w:r>
    </w:p>
    <w:p>
      <w:pPr>
        <w:pStyle w:val="DefinedTerms"/>
      </w:pPr>
      <w:r>
        <w:t>partnership</w:t>
      </w:r>
      <w:r>
        <w:tab/>
        <w:t>3</w:t>
      </w:r>
    </w:p>
    <w:p>
      <w:pPr>
        <w:pStyle w:val="DefinedTerms"/>
      </w:pPr>
      <w:r>
        <w:t>partnership acquisition</w:t>
      </w:r>
      <w:r>
        <w:tab/>
        <w:t>9</w:t>
      </w:r>
    </w:p>
    <w:p>
      <w:pPr>
        <w:pStyle w:val="DefinedTerms"/>
      </w:pPr>
      <w:r>
        <w:t>partnership interest</w:t>
      </w:r>
      <w:r>
        <w:tab/>
        <w:t>9</w:t>
      </w:r>
    </w:p>
    <w:p>
      <w:pPr>
        <w:pStyle w:val="DefinedTerms"/>
      </w:pPr>
      <w:r>
        <w:t>person</w:t>
      </w:r>
      <w:r>
        <w:tab/>
        <w:t>154(1)</w:t>
      </w:r>
    </w:p>
    <w:p>
      <w:pPr>
        <w:pStyle w:val="DefinedTerms"/>
      </w:pPr>
      <w:r>
        <w:t>person liable to pay duty</w:t>
      </w:r>
      <w:r>
        <w:tab/>
        <w:t>9</w:t>
      </w:r>
    </w:p>
    <w:p>
      <w:pPr>
        <w:pStyle w:val="DefinedTerms"/>
      </w:pPr>
      <w:r>
        <w:t>person related</w:t>
      </w:r>
      <w:r>
        <w:tab/>
        <w:t>29(3), 194(6)</w:t>
      </w:r>
    </w:p>
    <w:p>
      <w:pPr>
        <w:pStyle w:val="DefinedTerms"/>
      </w:pPr>
      <w:r>
        <w:t>plant breeder right</w:t>
      </w:r>
      <w:r>
        <w:tab/>
        <w:t>79</w:t>
      </w:r>
    </w:p>
    <w:p>
      <w:pPr>
        <w:pStyle w:val="DefinedTerms"/>
      </w:pPr>
      <w:r>
        <w:t>political party</w:t>
      </w:r>
      <w:r>
        <w:tab/>
        <w:t>3</w:t>
      </w:r>
    </w:p>
    <w:p>
      <w:pPr>
        <w:pStyle w:val="DefinedTerms"/>
      </w:pPr>
      <w:r>
        <w:t>pooled superannuation trust</w:t>
      </w:r>
      <w:r>
        <w:tab/>
        <w:t>121</w:t>
      </w:r>
    </w:p>
    <w:p>
      <w:pPr>
        <w:pStyle w:val="DefinedTerms"/>
      </w:pPr>
      <w:r>
        <w:t>premium</w:t>
      </w:r>
      <w:r>
        <w:tab/>
        <w:t>206, 211</w:t>
      </w:r>
    </w:p>
    <w:p>
      <w:pPr>
        <w:pStyle w:val="DefinedTerms"/>
      </w:pPr>
      <w:r>
        <w:t>prescribed</w:t>
      </w:r>
      <w:r>
        <w:tab/>
        <w:t>3</w:t>
      </w:r>
    </w:p>
    <w:p>
      <w:pPr>
        <w:pStyle w:val="DefinedTerms"/>
      </w:pPr>
      <w:r>
        <w:t>prescribed financial market</w:t>
      </w:r>
      <w:r>
        <w:tab/>
        <w:t>3</w:t>
      </w:r>
    </w:p>
    <w:p>
      <w:pPr>
        <w:pStyle w:val="DefinedTerms"/>
      </w:pPr>
      <w:r>
        <w:t>pre</w:t>
      </w:r>
      <w:r>
        <w:noBreakHyphen/>
        <w:t>section 270 decision request</w:t>
      </w:r>
      <w:r>
        <w:tab/>
        <w:t>269(1)</w:t>
      </w:r>
    </w:p>
    <w:p>
      <w:pPr>
        <w:pStyle w:val="DefinedTerms"/>
      </w:pPr>
      <w:r>
        <w:t>pre</w:t>
      </w:r>
      <w:r>
        <w:noBreakHyphen/>
        <w:t>transaction decision request</w:t>
      </w:r>
      <w:r>
        <w:tab/>
        <w:t>261(1)</w:t>
      </w:r>
    </w:p>
    <w:p>
      <w:pPr>
        <w:pStyle w:val="DefinedTerms"/>
      </w:pPr>
      <w:r>
        <w:t>primary production</w:t>
      </w:r>
      <w:r>
        <w:tab/>
        <w:t>3, 101A(1)</w:t>
      </w:r>
    </w:p>
    <w:p>
      <w:pPr>
        <w:pStyle w:val="DefinedTerms"/>
      </w:pPr>
      <w:r>
        <w:t>produce animals</w:t>
      </w:r>
      <w:r>
        <w:tab/>
        <w:t>101A(1)</w:t>
      </w:r>
    </w:p>
    <w:p>
      <w:pPr>
        <w:pStyle w:val="DefinedTerms"/>
      </w:pPr>
      <w:r>
        <w:t>professional association</w:t>
      </w:r>
      <w:r>
        <w:tab/>
        <w:t>3</w:t>
      </w:r>
    </w:p>
    <w:p>
      <w:pPr>
        <w:pStyle w:val="DefinedTerms"/>
      </w:pPr>
      <w:r>
        <w:t>promote trade, industry or commerce</w:t>
      </w:r>
      <w:r>
        <w:tab/>
        <w:t>3</w:t>
      </w:r>
    </w:p>
    <w:p>
      <w:pPr>
        <w:pStyle w:val="DefinedTerms"/>
      </w:pPr>
      <w:r>
        <w:t>property</w:t>
      </w:r>
      <w:r>
        <w:tab/>
        <w:t>122(2)</w:t>
      </w:r>
    </w:p>
    <w:p>
      <w:pPr>
        <w:pStyle w:val="DefinedTerms"/>
      </w:pPr>
      <w:r>
        <w:t>proprietor</w:t>
      </w:r>
      <w:r>
        <w:tab/>
        <w:t>45(2)</w:t>
      </w:r>
    </w:p>
    <w:p>
      <w:pPr>
        <w:pStyle w:val="DefinedTerms"/>
      </w:pPr>
      <w:r>
        <w:t>proprietor of a business</w:t>
      </w:r>
      <w:r>
        <w:tab/>
        <w:t>178(1)</w:t>
      </w:r>
    </w:p>
    <w:p>
      <w:pPr>
        <w:pStyle w:val="DefinedTerms"/>
      </w:pPr>
      <w:r>
        <w:t>public authority</w:t>
      </w:r>
      <w:r>
        <w:tab/>
        <w:t>3</w:t>
      </w:r>
    </w:p>
    <w:p>
      <w:pPr>
        <w:pStyle w:val="DefinedTerms"/>
      </w:pPr>
      <w:r>
        <w:t>purchase price</w:t>
      </w:r>
      <w:r>
        <w:tab/>
        <w:t>231</w:t>
      </w:r>
    </w:p>
    <w:p>
      <w:pPr>
        <w:pStyle w:val="DefinedTerms"/>
      </w:pPr>
      <w:r>
        <w:t>put option</w:t>
      </w:r>
      <w:r>
        <w:tab/>
        <w:t>44(1), 177(1)</w:t>
      </w:r>
    </w:p>
    <w:p>
      <w:pPr>
        <w:pStyle w:val="DefinedTerms"/>
      </w:pPr>
      <w:r>
        <w:t>registered insurer</w:t>
      </w:r>
      <w:r>
        <w:tab/>
        <w:t>206</w:t>
      </w:r>
    </w:p>
    <w:p>
      <w:pPr>
        <w:pStyle w:val="DefinedTerms"/>
      </w:pPr>
      <w:r>
        <w:t>registered scheme</w:t>
      </w:r>
      <w:r>
        <w:tab/>
        <w:t>3</w:t>
      </w:r>
    </w:p>
    <w:p>
      <w:pPr>
        <w:pStyle w:val="DefinedTerms"/>
      </w:pPr>
      <w:r>
        <w:t>registrar</w:t>
      </w:r>
      <w:r>
        <w:tab/>
        <w:t>276(2), 278(1)</w:t>
      </w:r>
    </w:p>
    <w:p>
      <w:pPr>
        <w:pStyle w:val="DefinedTerms"/>
      </w:pPr>
      <w:r>
        <w:t>related corporation</w:t>
      </w:r>
      <w:r>
        <w:tab/>
        <w:t>3</w:t>
      </w:r>
    </w:p>
    <w:p>
      <w:pPr>
        <w:pStyle w:val="DefinedTerms"/>
      </w:pPr>
      <w:r>
        <w:t>related person</w:t>
      </w:r>
      <w:r>
        <w:tab/>
        <w:t>79, 148, 201(1)</w:t>
      </w:r>
    </w:p>
    <w:p>
      <w:pPr>
        <w:pStyle w:val="DefinedTerms"/>
      </w:pPr>
      <w:r>
        <w:t>related transaction</w:t>
      </w:r>
      <w:r>
        <w:tab/>
        <w:t>274(1)</w:t>
      </w:r>
    </w:p>
    <w:p>
      <w:pPr>
        <w:pStyle w:val="DefinedTerms"/>
      </w:pPr>
      <w:r>
        <w:t>relevant acquisition</w:t>
      </w:r>
      <w:r>
        <w:tab/>
        <w:t>148, 163, 164, Sch. 3 cl. 1(1)</w:t>
      </w:r>
    </w:p>
    <w:p>
      <w:pPr>
        <w:pStyle w:val="DefinedTerms"/>
      </w:pPr>
      <w:r>
        <w:t xml:space="preserve">relevant acquisition </w:t>
      </w:r>
      <w:r>
        <w:tab/>
        <w:t>Sch. 3 cl. 37</w:t>
      </w:r>
    </w:p>
    <w:p>
      <w:pPr>
        <w:pStyle w:val="DefinedTerms"/>
      </w:pPr>
      <w:r>
        <w:t>relevant body</w:t>
      </w:r>
      <w:r>
        <w:tab/>
        <w:t>3</w:t>
      </w:r>
    </w:p>
    <w:p>
      <w:pPr>
        <w:pStyle w:val="DefinedTerms"/>
      </w:pPr>
      <w:r>
        <w:t>relevant consolidation transaction</w:t>
      </w:r>
      <w:r>
        <w:tab/>
        <w:t>257(1), 259(2), 259(3), 259(4)</w:t>
      </w:r>
    </w:p>
    <w:p>
      <w:pPr>
        <w:pStyle w:val="DefinedTerms"/>
      </w:pPr>
      <w:r>
        <w:t>relevant entity</w:t>
      </w:r>
      <w:r>
        <w:tab/>
        <w:t>126(1)</w:t>
      </w:r>
    </w:p>
    <w:p>
      <w:pPr>
        <w:pStyle w:val="DefinedTerms"/>
      </w:pPr>
      <w:r>
        <w:t>relevant interest</w:t>
      </w:r>
      <w:r>
        <w:tab/>
        <w:t>177(1)</w:t>
      </w:r>
    </w:p>
    <w:p>
      <w:pPr>
        <w:pStyle w:val="DefinedTerms"/>
      </w:pPr>
      <w:r>
        <w:t>relevant period</w:t>
      </w:r>
      <w:r>
        <w:tab/>
        <w:t>29(3), 147F(2), 147F(4), 193(1), 194(6), 201(2), Sch. 3 cl. 33</w:t>
      </w:r>
    </w:p>
    <w:p>
      <w:pPr>
        <w:pStyle w:val="DefinedTerms"/>
      </w:pPr>
      <w:r>
        <w:t>relevant person</w:t>
      </w:r>
      <w:r>
        <w:tab/>
        <w:t>154(2)</w:t>
      </w:r>
    </w:p>
    <w:p>
      <w:pPr>
        <w:pStyle w:val="DefinedTerms"/>
      </w:pPr>
      <w:r>
        <w:t>relevant reconstruction transaction</w:t>
      </w:r>
      <w:r>
        <w:tab/>
        <w:t>257(1), 260(1), 260(2), (3) and (4)</w:t>
      </w:r>
    </w:p>
    <w:p>
      <w:pPr>
        <w:pStyle w:val="DefinedTerms"/>
      </w:pPr>
      <w:r>
        <w:t>relevant transaction</w:t>
      </w:r>
      <w:r>
        <w:tab/>
        <w:t>257(1)</w:t>
      </w:r>
    </w:p>
    <w:p>
      <w:pPr>
        <w:pStyle w:val="DefinedTerms"/>
      </w:pPr>
      <w:r>
        <w:t>relevant transfer</w:t>
      </w:r>
      <w:r>
        <w:tab/>
        <w:t>125(1)</w:t>
      </w:r>
    </w:p>
    <w:p>
      <w:pPr>
        <w:pStyle w:val="DefinedTerms"/>
      </w:pPr>
      <w:r>
        <w:t>relinquishing person</w:t>
      </w:r>
      <w:r>
        <w:tab/>
        <w:t>167(1), 168(1)</w:t>
      </w:r>
    </w:p>
    <w:p>
      <w:pPr>
        <w:pStyle w:val="DefinedTerms"/>
      </w:pPr>
      <w:r>
        <w:t>replacement transaction</w:t>
      </w:r>
      <w:r>
        <w:tab/>
        <w:t>107(1)</w:t>
      </w:r>
    </w:p>
    <w:p>
      <w:pPr>
        <w:pStyle w:val="DefinedTerms"/>
      </w:pPr>
      <w:r>
        <w:t>representative</w:t>
      </w:r>
      <w:r>
        <w:tab/>
        <w:t>206</w:t>
      </w:r>
    </w:p>
    <w:p>
      <w:pPr>
        <w:pStyle w:val="DefinedTerms"/>
      </w:pPr>
      <w:r>
        <w:t>required duty</w:t>
      </w:r>
      <w:r>
        <w:tab/>
        <w:t>273(1)</w:t>
      </w:r>
    </w:p>
    <w:p>
      <w:pPr>
        <w:pStyle w:val="DefinedTerms"/>
      </w:pPr>
      <w:r>
        <w:t>residence</w:t>
      </w:r>
      <w:r>
        <w:tab/>
        <w:t>96, 147A(1)</w:t>
      </w:r>
    </w:p>
    <w:p>
      <w:pPr>
        <w:pStyle w:val="DefinedTerms"/>
      </w:pPr>
      <w:r>
        <w:t>residential property</w:t>
      </w:r>
      <w:r>
        <w:tab/>
        <w:t>147A(1), 147D</w:t>
      </w:r>
    </w:p>
    <w:p>
      <w:pPr>
        <w:pStyle w:val="DefinedTerms"/>
      </w:pPr>
      <w:r>
        <w:t>responsible entity</w:t>
      </w:r>
      <w:r>
        <w:tab/>
        <w:t>119(1)</w:t>
      </w:r>
    </w:p>
    <w:p>
      <w:pPr>
        <w:pStyle w:val="DefinedTerms"/>
      </w:pPr>
      <w:r>
        <w:t>responsible person</w:t>
      </w:r>
      <w:r>
        <w:tab/>
        <w:t>264(1)</w:t>
      </w:r>
    </w:p>
    <w:p>
      <w:pPr>
        <w:pStyle w:val="DefinedTerms"/>
      </w:pPr>
      <w:r>
        <w:t>restraint of trade arrangement</w:t>
      </w:r>
      <w:r>
        <w:tab/>
        <w:t>79</w:t>
      </w:r>
    </w:p>
    <w:p>
      <w:pPr>
        <w:pStyle w:val="DefinedTerms"/>
      </w:pPr>
      <w:r>
        <w:t>retiring partner</w:t>
      </w:r>
      <w:r>
        <w:tab/>
        <w:t>78(1)</w:t>
      </w:r>
    </w:p>
    <w:p>
      <w:pPr>
        <w:pStyle w:val="DefinedTerms"/>
      </w:pPr>
      <w:r>
        <w:t>right</w:t>
      </w:r>
      <w:r>
        <w:tab/>
        <w:t>9</w:t>
      </w:r>
    </w:p>
    <w:p>
      <w:pPr>
        <w:pStyle w:val="DefinedTerms"/>
      </w:pPr>
      <w:r>
        <w:t>Road Traffic Act</w:t>
      </w:r>
      <w:r>
        <w:tab/>
        <w:t>228</w:t>
      </w:r>
    </w:p>
    <w:p>
      <w:pPr>
        <w:pStyle w:val="DefinedTerms"/>
      </w:pPr>
      <w:r>
        <w:t>scheme</w:t>
      </w:r>
      <w:r>
        <w:tab/>
        <w:t>267(1)</w:t>
      </w:r>
    </w:p>
    <w:p>
      <w:pPr>
        <w:pStyle w:val="DefinedTerms"/>
      </w:pPr>
      <w:r>
        <w:t>scheme property</w:t>
      </w:r>
      <w:r>
        <w:tab/>
        <w:t>9</w:t>
      </w:r>
    </w:p>
    <w:p>
      <w:pPr>
        <w:pStyle w:val="DefinedTerms"/>
      </w:pPr>
      <w:r>
        <w:t>second dutiable transaction</w:t>
      </w:r>
      <w:r>
        <w:tab/>
        <w:t>35, 47, 51</w:t>
      </w:r>
    </w:p>
    <w:p>
      <w:pPr>
        <w:pStyle w:val="DefinedTerms"/>
      </w:pPr>
      <w:r>
        <w:t>section 270 decision</w:t>
      </w:r>
      <w:r>
        <w:tab/>
        <w:t>269(1)</w:t>
      </w:r>
    </w:p>
    <w:p>
      <w:pPr>
        <w:pStyle w:val="DefinedTerms"/>
      </w:pPr>
      <w:r>
        <w:t>security</w:t>
      </w:r>
      <w:r>
        <w:tab/>
        <w:t>257(1)</w:t>
      </w:r>
    </w:p>
    <w:p>
      <w:pPr>
        <w:pStyle w:val="DefinedTerms"/>
      </w:pPr>
      <w:r>
        <w:t>security holder</w:t>
      </w:r>
      <w:r>
        <w:tab/>
        <w:t>259(4)</w:t>
      </w:r>
    </w:p>
    <w:p>
      <w:pPr>
        <w:pStyle w:val="DefinedTerms"/>
      </w:pPr>
      <w:r>
        <w:t>security interest</w:t>
      </w:r>
      <w:r>
        <w:tab/>
        <w:t>3</w:t>
      </w:r>
    </w:p>
    <w:p>
      <w:pPr>
        <w:pStyle w:val="DefinedTerms"/>
      </w:pPr>
      <w:r>
        <w:t>separate transactions</w:t>
      </w:r>
      <w:r>
        <w:tab/>
        <w:t>147F(3)</w:t>
      </w:r>
    </w:p>
    <w:p>
      <w:pPr>
        <w:pStyle w:val="DefinedTerms"/>
      </w:pPr>
      <w:r>
        <w:t>share</w:t>
      </w:r>
      <w:r>
        <w:tab/>
        <w:t>3, 63</w:t>
      </w:r>
    </w:p>
    <w:p>
      <w:pPr>
        <w:pStyle w:val="DefinedTerms"/>
      </w:pPr>
      <w:r>
        <w:t>significant interest</w:t>
      </w:r>
      <w:r>
        <w:tab/>
        <w:t>161</w:t>
      </w:r>
    </w:p>
    <w:p>
      <w:pPr>
        <w:pStyle w:val="DefinedTerms"/>
      </w:pPr>
      <w:r>
        <w:t>simultaneous put and call option</w:t>
      </w:r>
      <w:r>
        <w:tab/>
        <w:t>9, 177(1)</w:t>
      </w:r>
    </w:p>
    <w:p>
      <w:pPr>
        <w:pStyle w:val="DefinedTerms"/>
      </w:pPr>
      <w:r>
        <w:t>special dutiable property</w:t>
      </w:r>
      <w:r>
        <w:tab/>
        <w:t>9, 18</w:t>
      </w:r>
    </w:p>
    <w:p>
      <w:pPr>
        <w:pStyle w:val="DefinedTerms"/>
      </w:pPr>
      <w:r>
        <w:t>specialised equipment</w:t>
      </w:r>
      <w:r>
        <w:tab/>
        <w:t>231</w:t>
      </w:r>
    </w:p>
    <w:p>
      <w:pPr>
        <w:pStyle w:val="DefinedTerms"/>
      </w:pPr>
      <w:r>
        <w:t>specialised vehicle</w:t>
      </w:r>
      <w:r>
        <w:tab/>
        <w:t>231</w:t>
      </w:r>
    </w:p>
    <w:p>
      <w:pPr>
        <w:pStyle w:val="DefinedTerms"/>
      </w:pPr>
      <w:r>
        <w:t>splitting agreement</w:t>
      </w:r>
      <w:r>
        <w:tab/>
        <w:t>128(1)</w:t>
      </w:r>
    </w:p>
    <w:p>
      <w:pPr>
        <w:pStyle w:val="DefinedTerms"/>
      </w:pPr>
      <w:r>
        <w:t>Stamp Act reference</w:t>
      </w:r>
      <w:r>
        <w:tab/>
        <w:t>Sch. 3 cl. 28(1)</w:t>
      </w:r>
    </w:p>
    <w:p>
      <w:pPr>
        <w:pStyle w:val="DefinedTerms"/>
      </w:pPr>
      <w:r>
        <w:t>stamp duty</w:t>
      </w:r>
      <w:r>
        <w:tab/>
        <w:t>Sch. 3 cl. 5(3)</w:t>
      </w:r>
    </w:p>
    <w:p>
      <w:pPr>
        <w:pStyle w:val="DefinedTerms"/>
      </w:pPr>
      <w:r>
        <w:t>subdivision conditional agreement</w:t>
      </w:r>
      <w:r>
        <w:tab/>
        <w:t>9</w:t>
      </w:r>
    </w:p>
    <w:p>
      <w:pPr>
        <w:pStyle w:val="DefinedTerms"/>
      </w:pPr>
      <w:r>
        <w:t>subsale transaction</w:t>
      </w:r>
      <w:r>
        <w:tab/>
        <w:t>107(1)</w:t>
      </w:r>
    </w:p>
    <w:p>
      <w:pPr>
        <w:pStyle w:val="DefinedTerms"/>
      </w:pPr>
      <w:r>
        <w:t>subsequent transaction</w:t>
      </w:r>
      <w:r>
        <w:tab/>
        <w:t>104</w:t>
      </w:r>
    </w:p>
    <w:p>
      <w:pPr>
        <w:pStyle w:val="DefinedTerms"/>
      </w:pPr>
      <w:r>
        <w:t>subsidiary</w:t>
      </w:r>
      <w:r>
        <w:tab/>
        <w:t>257(1)</w:t>
      </w:r>
    </w:p>
    <w:p>
      <w:pPr>
        <w:pStyle w:val="DefinedTerms"/>
      </w:pPr>
      <w:r>
        <w:t>superannuation agreement</w:t>
      </w:r>
      <w:r>
        <w:tab/>
        <w:t>128(1)</w:t>
      </w:r>
    </w:p>
    <w:p>
      <w:pPr>
        <w:pStyle w:val="DefinedTerms"/>
      </w:pPr>
      <w:r>
        <w:t>superannuation fund</w:t>
      </w:r>
      <w:r>
        <w:tab/>
        <w:t>121, 125(1), 128(1)</w:t>
      </w:r>
    </w:p>
    <w:p>
      <w:pPr>
        <w:pStyle w:val="DefinedTerms"/>
      </w:pPr>
      <w:r>
        <w:t>superannuation interest</w:t>
      </w:r>
      <w:r>
        <w:tab/>
        <w:t>128(1)</w:t>
      </w:r>
    </w:p>
    <w:p>
      <w:pPr>
        <w:pStyle w:val="DefinedTerms"/>
      </w:pPr>
      <w:r>
        <w:t>supply</w:t>
      </w:r>
      <w:r>
        <w:tab/>
        <w:t>3</w:t>
      </w:r>
    </w:p>
    <w:p>
      <w:pPr>
        <w:pStyle w:val="DefinedTerms"/>
      </w:pPr>
      <w:r>
        <w:t>surplus property</w:t>
      </w:r>
      <w:r>
        <w:tab/>
        <w:t>148</w:t>
      </w:r>
    </w:p>
    <w:p>
      <w:pPr>
        <w:pStyle w:val="DefinedTerms"/>
      </w:pPr>
      <w:r>
        <w:t>surrender</w:t>
      </w:r>
      <w:r>
        <w:tab/>
        <w:t>9</w:t>
      </w:r>
    </w:p>
    <w:p>
      <w:pPr>
        <w:pStyle w:val="DefinedTerms"/>
      </w:pPr>
      <w:r>
        <w:t>taker in default</w:t>
      </w:r>
      <w:r>
        <w:tab/>
        <w:t>9</w:t>
      </w:r>
    </w:p>
    <w:p>
      <w:pPr>
        <w:pStyle w:val="DefinedTerms"/>
      </w:pPr>
      <w:r>
        <w:t>tax avoidance scheme</w:t>
      </w:r>
      <w:r>
        <w:tab/>
        <w:t>268(2)</w:t>
      </w:r>
    </w:p>
    <w:p>
      <w:pPr>
        <w:pStyle w:val="DefinedTerms"/>
      </w:pPr>
      <w:r>
        <w:t>Taxation Administration Act</w:t>
      </w:r>
      <w:r>
        <w:tab/>
        <w:t>3</w:t>
      </w:r>
    </w:p>
    <w:p>
      <w:pPr>
        <w:pStyle w:val="DefinedTerms"/>
      </w:pPr>
      <w:r>
        <w:t>taxpayer</w:t>
      </w:r>
      <w:r>
        <w:tab/>
        <w:t>147A(1)</w:t>
      </w:r>
    </w:p>
    <w:p>
      <w:pPr>
        <w:pStyle w:val="DefinedTerms"/>
      </w:pPr>
      <w:r>
        <w:t>terminated on relevant grounds</w:t>
      </w:r>
      <w:r>
        <w:tab/>
        <w:t>9</w:t>
      </w:r>
    </w:p>
    <w:p>
      <w:pPr>
        <w:pStyle w:val="DefinedTerms"/>
      </w:pPr>
      <w:r>
        <w:t>trailer</w:t>
      </w:r>
      <w:r>
        <w:tab/>
        <w:t>228</w:t>
      </w:r>
    </w:p>
    <w:p>
      <w:pPr>
        <w:pStyle w:val="DefinedTerms"/>
      </w:pPr>
      <w:r>
        <w:t>transaction</w:t>
      </w:r>
      <w:r>
        <w:tab/>
        <w:t>3</w:t>
      </w:r>
    </w:p>
    <w:p>
      <w:pPr>
        <w:pStyle w:val="DefinedTerms"/>
      </w:pPr>
      <w:r>
        <w:t>transaction group</w:t>
      </w:r>
      <w:r>
        <w:tab/>
        <w:t>257(1)</w:t>
      </w:r>
    </w:p>
    <w:p>
      <w:pPr>
        <w:pStyle w:val="DefinedTerms"/>
      </w:pPr>
      <w:r>
        <w:t>transaction record</w:t>
      </w:r>
      <w:r>
        <w:tab/>
        <w:t>3</w:t>
      </w:r>
    </w:p>
    <w:p>
      <w:pPr>
        <w:pStyle w:val="DefinedTerms"/>
      </w:pPr>
      <w:r>
        <w:t>transfer</w:t>
      </w:r>
      <w:r>
        <w:tab/>
        <w:t>9</w:t>
      </w:r>
    </w:p>
    <w:p>
      <w:pPr>
        <w:pStyle w:val="DefinedTerms"/>
      </w:pPr>
      <w:r>
        <w:t>transfer duty</w:t>
      </w:r>
      <w:r>
        <w:tab/>
        <w:t>3</w:t>
      </w:r>
    </w:p>
    <w:p>
      <w:pPr>
        <w:pStyle w:val="DefinedTerms"/>
      </w:pPr>
      <w:r>
        <w:t>transfer duty statement</w:t>
      </w:r>
      <w:r>
        <w:tab/>
        <w:t>3</w:t>
      </w:r>
    </w:p>
    <w:p>
      <w:pPr>
        <w:pStyle w:val="DefinedTerms"/>
      </w:pPr>
      <w:r>
        <w:t>transferee</w:t>
      </w:r>
      <w:r>
        <w:tab/>
        <w:t>99(1), 141(1)</w:t>
      </w:r>
    </w:p>
    <w:p>
      <w:pPr>
        <w:pStyle w:val="DefinedTerms"/>
      </w:pPr>
      <w:r>
        <w:t>transferor</w:t>
      </w:r>
      <w:r>
        <w:tab/>
        <w:t>99(1), 122(1), 173(1)</w:t>
      </w:r>
    </w:p>
    <w:p>
      <w:pPr>
        <w:pStyle w:val="DefinedTerms"/>
      </w:pPr>
      <w:r>
        <w:t>transfers</w:t>
      </w:r>
      <w:r>
        <w:tab/>
        <w:t>42(8)</w:t>
      </w:r>
    </w:p>
    <w:p>
      <w:pPr>
        <w:pStyle w:val="DefinedTerms"/>
      </w:pPr>
      <w:r>
        <w:t>trust acquisition</w:t>
      </w:r>
      <w:r>
        <w:tab/>
        <w:t>9</w:t>
      </w:r>
    </w:p>
    <w:p>
      <w:pPr>
        <w:pStyle w:val="DefinedTerms"/>
      </w:pPr>
      <w:r>
        <w:t>trust surrender</w:t>
      </w:r>
      <w:r>
        <w:tab/>
        <w:t>9</w:t>
      </w:r>
    </w:p>
    <w:p>
      <w:pPr>
        <w:pStyle w:val="DefinedTerms"/>
      </w:pPr>
      <w:r>
        <w:t>trustee</w:t>
      </w:r>
      <w:r>
        <w:tab/>
        <w:t>118(1), 122(1)</w:t>
      </w:r>
    </w:p>
    <w:p>
      <w:pPr>
        <w:pStyle w:val="DefinedTerms"/>
      </w:pPr>
      <w:r>
        <w:t>unencumbered value</w:t>
      </w:r>
      <w:r>
        <w:tab/>
        <w:t>9, 36(1), 148</w:t>
      </w:r>
    </w:p>
    <w:p>
      <w:pPr>
        <w:pStyle w:val="DefinedTerms"/>
      </w:pPr>
      <w:r>
        <w:t>unlisted corporation</w:t>
      </w:r>
      <w:r>
        <w:tab/>
        <w:t>63</w:t>
      </w:r>
    </w:p>
    <w:p>
      <w:pPr>
        <w:pStyle w:val="DefinedTerms"/>
      </w:pPr>
      <w:r>
        <w:t>vehicle</w:t>
      </w:r>
      <w:r>
        <w:tab/>
        <w:t>228, 230(1)</w:t>
      </w:r>
    </w:p>
    <w:p>
      <w:pPr>
        <w:pStyle w:val="DefinedTerms"/>
      </w:pPr>
      <w:r>
        <w:t>vehicle licence duty</w:t>
      </w:r>
      <w:r>
        <w:tab/>
        <w:t>3</w:t>
      </w:r>
    </w:p>
    <w:p>
      <w:pPr>
        <w:pStyle w:val="DefinedTerms"/>
      </w:pPr>
      <w:r>
        <w:t>vehicle A</w:t>
      </w:r>
      <w:r>
        <w:tab/>
        <w:t>239(1)</w:t>
      </w:r>
    </w:p>
    <w:p>
      <w:pPr>
        <w:pStyle w:val="DefinedTerms"/>
      </w:pPr>
      <w:r>
        <w:t>vehicle B</w:t>
      </w:r>
      <w:r>
        <w:tab/>
        <w:t>239(1)</w:t>
      </w:r>
    </w:p>
    <w:p>
      <w:pPr>
        <w:pStyle w:val="DefinedTerms"/>
      </w:pPr>
      <w:r>
        <w:t>Western Australian business</w:t>
      </w:r>
      <w:r>
        <w:tab/>
        <w:t>9, 79</w:t>
      </w:r>
    </w:p>
    <w:p>
      <w:pPr>
        <w:pStyle w:val="DefinedTerms"/>
      </w:pPr>
      <w:r>
        <w:t>Western Australian business asset</w:t>
      </w:r>
      <w:r>
        <w:tab/>
        <w:t>9, 79</w:t>
      </w:r>
    </w:p>
    <w:p>
      <w:pPr>
        <w:pStyle w:val="DefinedTerms"/>
      </w:pPr>
      <w:r>
        <w:t>wound up</w:t>
      </w:r>
      <w:r>
        <w:tab/>
        <w:t>3</w:t>
      </w:r>
    </w:p>
    <w:p>
      <w:pPr>
        <w:pStyle w:val="DefinedTerms"/>
        <w:sectPr>
          <w:headerReference w:type="even" r:id="rId46"/>
          <w:headerReference w:type="default" r:id="rId47"/>
          <w:pgSz w:w="11907" w:h="16840" w:code="9"/>
          <w:pgMar w:top="2381" w:right="2409" w:bottom="3543" w:left="2409" w:header="720" w:footer="3380" w:gutter="0"/>
          <w:cols w:space="720"/>
          <w:noEndnote/>
          <w:docGrid w:linePitch="326"/>
        </w:sectPr>
      </w:pPr>
    </w:p>
    <w:p/>
    <w:sectPr>
      <w:headerReference w:type="even" r:id="rId48"/>
      <w:headerReference w:type="default" r:id="rId49"/>
      <w:footerReference w:type="even" r:id="rId50"/>
      <w:footerReference w:type="default" r:id="rId51"/>
      <w:headerReference w:type="first" r:id="rId52"/>
      <w:footerReference w:type="first" r:id="rId5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Mar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262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Mar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263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283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Rates of transfer duty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3</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Nominal duty</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Rates of transfer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separate"/>
          </w:r>
          <w:r>
            <w:t>Nominal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354" w:name="Schedule"/>
    <w:bookmarkEnd w:id="1354"/>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56" w:name="DefinedTerms"/>
    <w:bookmarkEnd w:id="1356"/>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57" w:name="Coversheet"/>
    <w:bookmarkEnd w:id="135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1">
    <w:nsid w:val="138B63E2"/>
    <w:multiLevelType w:val="multilevel"/>
    <w:tmpl w:val="3550C8FC"/>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6)"/>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2">
    <w:nsid w:val="17F0064C"/>
    <w:multiLevelType w:val="multilevel"/>
    <w:tmpl w:val="B978DF16"/>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3">
    <w:nsid w:val="2BE82A86"/>
    <w:multiLevelType w:val="multilevel"/>
    <w:tmpl w:val="E1506BB2"/>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4">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15">
    <w:nsid w:val="42C41A54"/>
    <w:multiLevelType w:val="multilevel"/>
    <w:tmpl w:val="3C54BBA6"/>
    <w:name w:val="ScheduleNumberedItems"/>
    <w:lvl w:ilvl="0">
      <w:start w:val="1"/>
      <w:numFmt w:val="decimal"/>
      <w:lvlText w:val="%1"/>
      <w:lvlJc w:val="left"/>
      <w:pPr>
        <w:ind w:left="0"/>
      </w:pPr>
      <w:rPr>
        <w:b w:val="0"/>
        <w:i w:val="0"/>
      </w:rPr>
    </w:lvl>
    <w:lvl w:ilvl="1">
      <w:start w:val="1"/>
      <w:numFmt w:val="decimal"/>
      <w:lvlText w:val="%2)"/>
      <w:lvlJc w:val="left"/>
      <w:pPr>
        <w:tabs>
          <w:tab w:val="left" w:pos="360"/>
        </w:tabs>
        <w:ind w:left="0"/>
      </w:pPr>
    </w:lvl>
    <w:lvl w:ilvl="2">
      <w:start w:val="1"/>
      <w:numFmt w:val="decimal"/>
      <w:lvlText w:val="%3)"/>
      <w:lvlJc w:val="left"/>
      <w:pPr>
        <w:tabs>
          <w:tab w:val="left" w:pos="720"/>
        </w:tabs>
        <w:ind w:left="0"/>
      </w:pPr>
    </w:lvl>
    <w:lvl w:ilvl="3">
      <w:start w:val="1"/>
      <w:numFmt w:val="decimal"/>
      <w:lvlText w:val="(%4)"/>
      <w:lvlJc w:val="left"/>
      <w:pPr>
        <w:tabs>
          <w:tab w:val="left" w:pos="360"/>
        </w:tabs>
        <w:ind w:left="0"/>
      </w:pPr>
    </w:lvl>
    <w:lvl w:ilvl="4">
      <w:start w:val="1"/>
      <w:numFmt w:val="decimal"/>
      <w:lvlText w:val="(%5)"/>
      <w:lvlJc w:val="left"/>
      <w:pPr>
        <w:tabs>
          <w:tab w:val="left" w:pos="360"/>
        </w:tabs>
        <w:ind w:left="0"/>
      </w:pPr>
    </w:lvl>
    <w:lvl w:ilvl="5">
      <w:start w:val="1"/>
      <w:numFmt w:val="decimal"/>
      <w:lvlText w:val="(%6)"/>
      <w:lvlJc w:val="left"/>
      <w:pPr>
        <w:tabs>
          <w:tab w:val="left" w:pos="720"/>
        </w:tabs>
        <w:ind w:left="0"/>
      </w:pPr>
    </w:lvl>
    <w:lvl w:ilvl="6">
      <w:start w:val="1"/>
      <w:numFmt w:val="decimal"/>
      <w:lvlText w:val="%7."/>
      <w:lvlJc w:val="left"/>
      <w:pPr>
        <w:tabs>
          <w:tab w:val="left" w:pos="360"/>
        </w:tabs>
        <w:ind w:left="0"/>
      </w:pPr>
    </w:lvl>
    <w:lvl w:ilvl="7">
      <w:start w:val="1"/>
      <w:numFmt w:val="decimal"/>
      <w:lvlText w:val="%8."/>
      <w:lvlJc w:val="left"/>
      <w:pPr>
        <w:tabs>
          <w:tab w:val="left" w:pos="360"/>
        </w:tabs>
        <w:ind w:left="0"/>
      </w:pPr>
    </w:lvl>
    <w:lvl w:ilvl="8">
      <w:start w:val="1"/>
      <w:numFmt w:val="decimal"/>
      <w:lvlText w:val="%9."/>
      <w:lvlJc w:val="left"/>
      <w:pPr>
        <w:tabs>
          <w:tab w:val="left" w:pos="720"/>
        </w:tabs>
        <w:ind w:left="0"/>
      </w:pPr>
    </w:lvl>
  </w:abstractNum>
  <w:abstractNum w:abstractNumId="16">
    <w:nsid w:val="553E70E9"/>
    <w:multiLevelType w:val="hybridMultilevel"/>
    <w:tmpl w:val="E4BEDA3C"/>
    <w:lvl w:ilvl="0" w:tplc="04090001">
      <w:start w:val="1"/>
      <w:numFmt w:val="bullet"/>
      <w:lvlText w:val=""/>
      <w:lvlJc w:val="left"/>
      <w:pPr>
        <w:tabs>
          <w:tab w:val="num" w:pos="1920"/>
        </w:tabs>
        <w:ind w:left="1920" w:hanging="360"/>
      </w:pPr>
      <w:rPr>
        <w:rFonts w:ascii="Symbol" w:hAnsi="Symbol" w:hint="default"/>
      </w:rPr>
    </w:lvl>
    <w:lvl w:ilvl="1" w:tplc="04090003" w:tentative="1">
      <w:start w:val="1"/>
      <w:numFmt w:val="bullet"/>
      <w:lvlText w:val="o"/>
      <w:lvlJc w:val="left"/>
      <w:pPr>
        <w:tabs>
          <w:tab w:val="num" w:pos="2498"/>
        </w:tabs>
        <w:ind w:left="2498" w:hanging="360"/>
      </w:pPr>
      <w:rPr>
        <w:rFonts w:ascii="Courier New" w:hAnsi="Courier New" w:hint="default"/>
      </w:rPr>
    </w:lvl>
    <w:lvl w:ilvl="2" w:tplc="04090005" w:tentative="1">
      <w:start w:val="1"/>
      <w:numFmt w:val="bullet"/>
      <w:lvlText w:val=""/>
      <w:lvlJc w:val="left"/>
      <w:pPr>
        <w:tabs>
          <w:tab w:val="num" w:pos="3218"/>
        </w:tabs>
        <w:ind w:left="3218" w:hanging="360"/>
      </w:pPr>
      <w:rPr>
        <w:rFonts w:ascii="Wingdings" w:hAnsi="Wingdings" w:hint="default"/>
      </w:rPr>
    </w:lvl>
    <w:lvl w:ilvl="3" w:tplc="04090001" w:tentative="1">
      <w:start w:val="1"/>
      <w:numFmt w:val="bullet"/>
      <w:lvlText w:val=""/>
      <w:lvlJc w:val="left"/>
      <w:pPr>
        <w:tabs>
          <w:tab w:val="num" w:pos="3938"/>
        </w:tabs>
        <w:ind w:left="3938" w:hanging="360"/>
      </w:pPr>
      <w:rPr>
        <w:rFonts w:ascii="Symbol" w:hAnsi="Symbol" w:hint="default"/>
      </w:rPr>
    </w:lvl>
    <w:lvl w:ilvl="4" w:tplc="04090003" w:tentative="1">
      <w:start w:val="1"/>
      <w:numFmt w:val="bullet"/>
      <w:lvlText w:val="o"/>
      <w:lvlJc w:val="left"/>
      <w:pPr>
        <w:tabs>
          <w:tab w:val="num" w:pos="4658"/>
        </w:tabs>
        <w:ind w:left="4658" w:hanging="360"/>
      </w:pPr>
      <w:rPr>
        <w:rFonts w:ascii="Courier New" w:hAnsi="Courier New" w:hint="default"/>
      </w:rPr>
    </w:lvl>
    <w:lvl w:ilvl="5" w:tplc="04090005" w:tentative="1">
      <w:start w:val="1"/>
      <w:numFmt w:val="bullet"/>
      <w:lvlText w:val=""/>
      <w:lvlJc w:val="left"/>
      <w:pPr>
        <w:tabs>
          <w:tab w:val="num" w:pos="5378"/>
        </w:tabs>
        <w:ind w:left="5378" w:hanging="360"/>
      </w:pPr>
      <w:rPr>
        <w:rFonts w:ascii="Wingdings" w:hAnsi="Wingdings" w:hint="default"/>
      </w:rPr>
    </w:lvl>
    <w:lvl w:ilvl="6" w:tplc="04090001" w:tentative="1">
      <w:start w:val="1"/>
      <w:numFmt w:val="bullet"/>
      <w:lvlText w:val=""/>
      <w:lvlJc w:val="left"/>
      <w:pPr>
        <w:tabs>
          <w:tab w:val="num" w:pos="6098"/>
        </w:tabs>
        <w:ind w:left="6098" w:hanging="360"/>
      </w:pPr>
      <w:rPr>
        <w:rFonts w:ascii="Symbol" w:hAnsi="Symbol" w:hint="default"/>
      </w:rPr>
    </w:lvl>
    <w:lvl w:ilvl="7" w:tplc="04090003" w:tentative="1">
      <w:start w:val="1"/>
      <w:numFmt w:val="bullet"/>
      <w:lvlText w:val="o"/>
      <w:lvlJc w:val="left"/>
      <w:pPr>
        <w:tabs>
          <w:tab w:val="num" w:pos="6818"/>
        </w:tabs>
        <w:ind w:left="6818" w:hanging="360"/>
      </w:pPr>
      <w:rPr>
        <w:rFonts w:ascii="Courier New" w:hAnsi="Courier New" w:hint="default"/>
      </w:rPr>
    </w:lvl>
    <w:lvl w:ilvl="8" w:tplc="04090005" w:tentative="1">
      <w:start w:val="1"/>
      <w:numFmt w:val="bullet"/>
      <w:lvlText w:val=""/>
      <w:lvlJc w:val="left"/>
      <w:pPr>
        <w:tabs>
          <w:tab w:val="num" w:pos="7538"/>
        </w:tabs>
        <w:ind w:left="7538" w:hanging="360"/>
      </w:pPr>
      <w:rPr>
        <w:rFonts w:ascii="Wingdings" w:hAnsi="Wingdings" w:hint="default"/>
      </w:rPr>
    </w:lvl>
  </w:abstractNum>
  <w:abstractNum w:abstractNumId="17">
    <w:nsid w:val="5E761E26"/>
    <w:multiLevelType w:val="multilevel"/>
    <w:tmpl w:val="9B2EA622"/>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6)"/>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20">
    <w:nsid w:val="7AB12928"/>
    <w:multiLevelType w:val="multilevel"/>
    <w:tmpl w:val="4B987CFA"/>
    <w:name w:val="SchedulePenalty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21">
    <w:nsid w:val="7DEB7FFD"/>
    <w:multiLevelType w:val="multilevel"/>
    <w:tmpl w:val="B330E066"/>
    <w:lvl w:ilvl="0">
      <w:start w:val="1"/>
      <w:numFmt w:val="decimal"/>
      <w:pStyle w:val="DefinitionNumber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nsid w:val="7E512DEB"/>
    <w:multiLevelType w:val="multilevel"/>
    <w:tmpl w:val="9D2ACE92"/>
    <w:name w:val="ScheduleDefinition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num w:numId="1">
    <w:abstractNumId w:val="21"/>
  </w:num>
  <w:num w:numId="2">
    <w:abstractNumId w:val="21"/>
  </w:num>
  <w:num w:numId="3">
    <w:abstractNumId w:val="2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4"/>
  </w:num>
  <w:num w:numId="15">
    <w:abstractNumId w:val="18"/>
  </w:num>
  <w:num w:numId="16">
    <w:abstractNumId w:val="21"/>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4"/>
  </w:num>
  <w:num w:numId="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activeWritingStyle w:appName="MSWord" w:lang="en-AU" w:vendorID="64" w:dllVersion="131078" w:nlCheck="1" w:checkStyle="1"/>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fr-FR"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1264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226172146"/>
    <w:docVar w:name="WAFER_20131218113115" w:val="RemoveTocBookmarks,RemoveUnusedBookmarks,RemoveLanguageTags,UsedStyles,ResetPageSize,UpdateArrangement"/>
    <w:docVar w:name="WAFER_20131218113115_GUID" w:val="d55c374d-c3e6-470b-8af1-a49a812ff5ba"/>
    <w:docVar w:name="WAFER_20140325103122" w:val="RemoveTocBookmarks,RemoveUnusedBookmarks,RemoveLanguageTags,UsedStyles,ResetPageSize,UpdateArrangement"/>
    <w:docVar w:name="WAFER_20140325103122_GUID" w:val="cd25496b-3805-4767-a75d-87ac135718be"/>
    <w:docVar w:name="WAFER_20140527170146" w:val="RemoveTocBookmarks,RemoveUnusedBookmarks,RemoveLanguageTags,UsedStyles,ResetPageSize,UpdateArrangement"/>
    <w:docVar w:name="WAFER_20140527170146_GUID" w:val="569b149c-8581-4042-8c90-b8ab14c0f86c"/>
    <w:docVar w:name="WAFER_20150226172146" w:val="ResetPageSize,UpdateArrangement,UpdateNTable"/>
    <w:docVar w:name="WAFER_20150226172146_GUID" w:val="975d427f-1ce3-49eb-a9ad-4486ad1a701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126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link w:val="Heading3Char"/>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link w:val="SubsectionChar"/>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6"/>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pPr>
  </w:style>
  <w:style w:type="paragraph" w:styleId="ListBullet3">
    <w:name w:val="List Bullet 3"/>
    <w:basedOn w:val="Normal"/>
    <w:autoRedefine/>
    <w:pPr>
      <w:numPr>
        <w:numId w:val="19"/>
      </w:numPr>
    </w:pPr>
  </w:style>
  <w:style w:type="paragraph" w:styleId="ListBullet4">
    <w:name w:val="List Bullet 4"/>
    <w:basedOn w:val="Normal"/>
    <w:autoRedefine/>
    <w:pPr>
      <w:numPr>
        <w:numId w:val="20"/>
      </w:numPr>
    </w:pPr>
  </w:style>
  <w:style w:type="paragraph" w:styleId="ListBullet5">
    <w:name w:val="List Bullet 5"/>
    <w:basedOn w:val="Normal"/>
    <w:autoRedefine/>
    <w:pPr>
      <w:numPr>
        <w:numId w:val="2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pPr>
  </w:style>
  <w:style w:type="paragraph" w:styleId="ListNumber3">
    <w:name w:val="List Number 3"/>
    <w:basedOn w:val="Normal"/>
    <w:pPr>
      <w:numPr>
        <w:numId w:val="24"/>
      </w:numPr>
    </w:pPr>
  </w:style>
  <w:style w:type="paragraph" w:styleId="ListNumber4">
    <w:name w:val="List Number 4"/>
    <w:basedOn w:val="Normal"/>
    <w:pPr>
      <w:numPr>
        <w:numId w:val="25"/>
      </w:numPr>
    </w:pPr>
  </w:style>
  <w:style w:type="paragraph" w:styleId="ListNumber5">
    <w:name w:val="List Number 5"/>
    <w:basedOn w:val="Normal"/>
    <w:pPr>
      <w:numPr>
        <w:numId w:val="2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7"/>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character" w:customStyle="1" w:styleId="Heading3Char">
    <w:name w:val="Heading 3 Char"/>
    <w:basedOn w:val="DefaultParagraphFont"/>
    <w:link w:val="Heading3"/>
    <w:rPr>
      <w:rFonts w:ascii="Times New Roman" w:hAnsi="Times New Roman"/>
      <w:b/>
      <w:sz w:val="26"/>
    </w:rPr>
  </w:style>
  <w:style w:type="character" w:customStyle="1" w:styleId="SubsectionChar">
    <w:name w:val="Subsection Char"/>
    <w:link w:val="Subsection"/>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link w:val="Heading3Char"/>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link w:val="SubsectionChar"/>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6"/>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pPr>
  </w:style>
  <w:style w:type="paragraph" w:styleId="ListBullet3">
    <w:name w:val="List Bullet 3"/>
    <w:basedOn w:val="Normal"/>
    <w:autoRedefine/>
    <w:pPr>
      <w:numPr>
        <w:numId w:val="19"/>
      </w:numPr>
    </w:pPr>
  </w:style>
  <w:style w:type="paragraph" w:styleId="ListBullet4">
    <w:name w:val="List Bullet 4"/>
    <w:basedOn w:val="Normal"/>
    <w:autoRedefine/>
    <w:pPr>
      <w:numPr>
        <w:numId w:val="20"/>
      </w:numPr>
    </w:pPr>
  </w:style>
  <w:style w:type="paragraph" w:styleId="ListBullet5">
    <w:name w:val="List Bullet 5"/>
    <w:basedOn w:val="Normal"/>
    <w:autoRedefine/>
    <w:pPr>
      <w:numPr>
        <w:numId w:val="2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pPr>
  </w:style>
  <w:style w:type="paragraph" w:styleId="ListNumber3">
    <w:name w:val="List Number 3"/>
    <w:basedOn w:val="Normal"/>
    <w:pPr>
      <w:numPr>
        <w:numId w:val="24"/>
      </w:numPr>
    </w:pPr>
  </w:style>
  <w:style w:type="paragraph" w:styleId="ListNumber4">
    <w:name w:val="List Number 4"/>
    <w:basedOn w:val="Normal"/>
    <w:pPr>
      <w:numPr>
        <w:numId w:val="25"/>
      </w:numPr>
    </w:pPr>
  </w:style>
  <w:style w:type="paragraph" w:styleId="ListNumber5">
    <w:name w:val="List Number 5"/>
    <w:basedOn w:val="Normal"/>
    <w:pPr>
      <w:numPr>
        <w:numId w:val="2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7"/>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character" w:customStyle="1" w:styleId="Heading3Char">
    <w:name w:val="Heading 3 Char"/>
    <w:basedOn w:val="DefaultParagraphFont"/>
    <w:link w:val="Heading3"/>
    <w:rPr>
      <w:rFonts w:ascii="Times New Roman" w:hAnsi="Times New Roman"/>
      <w:b/>
      <w:sz w:val="26"/>
    </w:rPr>
  </w:style>
  <w:style w:type="character" w:customStyle="1" w:styleId="SubsectionChar">
    <w:name w:val="Subsection Char"/>
    <w:link w:val="Subsection"/>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wmf"/><Relationship Id="rId39" Type="http://schemas.openxmlformats.org/officeDocument/2006/relationships/header" Target="header11.xml"/><Relationship Id="rId21" Type="http://schemas.openxmlformats.org/officeDocument/2006/relationships/footer" Target="footer6.xml"/><Relationship Id="rId34" Type="http://schemas.openxmlformats.org/officeDocument/2006/relationships/image" Target="media/image7.wmf"/><Relationship Id="rId42" Type="http://schemas.openxmlformats.org/officeDocument/2006/relationships/header" Target="header13.xml"/><Relationship Id="rId47" Type="http://schemas.openxmlformats.org/officeDocument/2006/relationships/header" Target="header18.xml"/><Relationship Id="rId50" Type="http://schemas.openxmlformats.org/officeDocument/2006/relationships/footer" Target="footer7.xml"/><Relationship Id="rId55"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oleObject" Target="embeddings/oleObject3.bin"/><Relationship Id="rId33" Type="http://schemas.openxmlformats.org/officeDocument/2006/relationships/oleObject" Target="embeddings/oleObject7.bin"/><Relationship Id="rId38" Type="http://schemas.openxmlformats.org/officeDocument/2006/relationships/header" Target="header10.xml"/><Relationship Id="rId46"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oleObject" Target="embeddings/oleObject5.bin"/><Relationship Id="rId41" Type="http://schemas.openxmlformats.org/officeDocument/2006/relationships/header" Target="header12.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oleObject" Target="embeddings/oleObject2.bin"/><Relationship Id="rId32" Type="http://schemas.openxmlformats.org/officeDocument/2006/relationships/image" Target="media/image6.wmf"/><Relationship Id="rId37" Type="http://schemas.openxmlformats.org/officeDocument/2006/relationships/header" Target="header9.xml"/><Relationship Id="rId40" Type="http://schemas.openxmlformats.org/officeDocument/2006/relationships/image" Target="media/image8.png"/><Relationship Id="rId45" Type="http://schemas.openxmlformats.org/officeDocument/2006/relationships/header" Target="header16.xml"/><Relationship Id="rId53"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image" Target="media/image4.wmf"/><Relationship Id="rId36" Type="http://schemas.openxmlformats.org/officeDocument/2006/relationships/header" Target="header8.xml"/><Relationship Id="rId49"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oleObject" Target="embeddings/oleObject6.bin"/><Relationship Id="rId44" Type="http://schemas.openxmlformats.org/officeDocument/2006/relationships/header" Target="header15.xml"/><Relationship Id="rId52" Type="http://schemas.openxmlformats.org/officeDocument/2006/relationships/header" Target="header2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oleObject" Target="embeddings/oleObject4.bin"/><Relationship Id="rId30" Type="http://schemas.openxmlformats.org/officeDocument/2006/relationships/image" Target="media/image5.wmf"/><Relationship Id="rId35" Type="http://schemas.openxmlformats.org/officeDocument/2006/relationships/header" Target="header7.xml"/><Relationship Id="rId43" Type="http://schemas.openxmlformats.org/officeDocument/2006/relationships/header" Target="header14.xml"/><Relationship Id="rId48" Type="http://schemas.openxmlformats.org/officeDocument/2006/relationships/header" Target="header19.xml"/><Relationship Id="rId8" Type="http://schemas.openxmlformats.org/officeDocument/2006/relationships/endnotes" Target="endnotes.xml"/><Relationship Id="rId51" Type="http://schemas.openxmlformats.org/officeDocument/2006/relationships/footer" Target="footer8.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0579F9-4E08-42BD-9349-EC27559880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281</Pages>
  <Words>68099</Words>
  <Characters>330283</Characters>
  <Application>Microsoft Office Word</Application>
  <DocSecurity>0</DocSecurity>
  <Lines>9174</Lines>
  <Paragraphs>5457</Paragraphs>
  <ScaleCrop>false</ScaleCrop>
  <HeadingPairs>
    <vt:vector size="2" baseType="variant">
      <vt:variant>
        <vt:lpstr>Title</vt:lpstr>
      </vt:variant>
      <vt:variant>
        <vt:i4>1</vt:i4>
      </vt:variant>
    </vt:vector>
  </HeadingPairs>
  <TitlesOfParts>
    <vt:vector size="1" baseType="lpstr">
      <vt:lpstr>Duties Act 2008</vt:lpstr>
    </vt:vector>
  </TitlesOfParts>
  <Manager/>
  <Company/>
  <LinksUpToDate>false</LinksUpToDate>
  <CharactersWithSpaces>392925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2008 - 02-g0-00</dc:title>
  <dc:subject/>
  <dc:creator/>
  <cp:keywords/>
  <dc:description/>
  <cp:lastModifiedBy>svcMRProcess</cp:lastModifiedBy>
  <cp:revision>4</cp:revision>
  <cp:lastPrinted>2013-08-20T00:42:00Z</cp:lastPrinted>
  <dcterms:created xsi:type="dcterms:W3CDTF">2020-02-15T07:47:00Z</dcterms:created>
  <dcterms:modified xsi:type="dcterms:W3CDTF">2020-02-15T07:48:00Z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CommencementDate">
    <vt:lpwstr>20150310</vt:lpwstr>
  </property>
  <property fmtid="{D5CDD505-2E9C-101B-9397-08002B2CF9AE}" pid="4" name="OwlsUID">
    <vt:i4>146657</vt:i4>
  </property>
  <property fmtid="{D5CDD505-2E9C-101B-9397-08002B2CF9AE}" pid="5" name="ReprintNo">
    <vt:lpwstr>2</vt:lpwstr>
  </property>
  <property fmtid="{D5CDD505-2E9C-101B-9397-08002B2CF9AE}" pid="6" name="ReprintedAsAt">
    <vt:filetime>2013-08-08T16:00:00Z</vt:filetime>
  </property>
  <property fmtid="{D5CDD505-2E9C-101B-9397-08002B2CF9AE}" pid="7" name="AsAtDate">
    <vt:lpwstr>10 Mar 2015</vt:lpwstr>
  </property>
  <property fmtid="{D5CDD505-2E9C-101B-9397-08002B2CF9AE}" pid="8" name="Suffix">
    <vt:lpwstr>02-g0-00</vt:lpwstr>
  </property>
  <property fmtid="{D5CDD505-2E9C-101B-9397-08002B2CF9AE}" pid="9" name="DocumentType">
    <vt:lpwstr>Act</vt:lpwstr>
  </property>
</Properties>
</file>