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_Toc413847485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_Toc413847486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_Toc413847487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_Toc413847488 \h </w:instrText>
      </w:r>
      <w:r>
        <w:fldChar w:fldCharType="separate"/>
      </w:r>
      <w:r>
        <w:t>2</w:t>
      </w:r>
      <w:r>
        <w:fldChar w:fldCharType="end"/>
      </w:r>
    </w:p>
    <w:p>
      <w:pPr>
        <w:pStyle w:val="TOC8"/>
        <w:rPr>
          <w:rFonts w:asciiTheme="minorHAnsi" w:eastAsiaTheme="minorEastAsia" w:hAnsiTheme="minorHAnsi" w:cstheme="minorBidi"/>
          <w:szCs w:val="22"/>
        </w:rPr>
      </w:pPr>
      <w:r>
        <w:t>5A.</w:t>
      </w:r>
      <w:r>
        <w:tab/>
        <w:t>Notes in text</w:t>
      </w:r>
      <w:r>
        <w:tab/>
      </w:r>
      <w:r>
        <w:fldChar w:fldCharType="begin"/>
      </w:r>
      <w:r>
        <w:instrText xml:space="preserve"> PAGEREF _Toc413847489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Liability and assessment</w:t>
      </w:r>
    </w:p>
    <w:p>
      <w:pPr>
        <w:pStyle w:val="TOC4"/>
        <w:tabs>
          <w:tab w:val="right" w:leader="dot" w:pos="7077"/>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 taxable wages</w:t>
      </w:r>
      <w:r>
        <w:tab/>
      </w:r>
      <w:r>
        <w:fldChar w:fldCharType="begin"/>
      </w:r>
      <w:r>
        <w:instrText xml:space="preserve"> PAGEREF _Toc413847492 \h </w:instrText>
      </w:r>
      <w:r>
        <w:fldChar w:fldCharType="separate"/>
      </w:r>
      <w:r>
        <w:t>3</w:t>
      </w:r>
      <w:r>
        <w:fldChar w:fldCharType="end"/>
      </w:r>
    </w:p>
    <w:p>
      <w:pPr>
        <w:pStyle w:val="TOC8"/>
        <w:rPr>
          <w:rFonts w:asciiTheme="minorHAnsi" w:eastAsiaTheme="minorEastAsia" w:hAnsiTheme="minorHAnsi" w:cstheme="minorBidi"/>
          <w:szCs w:val="22"/>
        </w:rPr>
      </w:pPr>
      <w:r>
        <w:t>6A.</w:t>
      </w:r>
      <w:r>
        <w:tab/>
        <w:t>Wages that are taxable in this jurisdiction</w:t>
      </w:r>
      <w:r>
        <w:tab/>
      </w:r>
      <w:r>
        <w:fldChar w:fldCharType="begin"/>
      </w:r>
      <w:r>
        <w:instrText xml:space="preserve"> PAGEREF _Toc413847493 \h </w:instrText>
      </w:r>
      <w:r>
        <w:fldChar w:fldCharType="separate"/>
      </w:r>
      <w:r>
        <w:t>3</w:t>
      </w:r>
      <w:r>
        <w:fldChar w:fldCharType="end"/>
      </w:r>
    </w:p>
    <w:p>
      <w:pPr>
        <w:pStyle w:val="TOC8"/>
        <w:rPr>
          <w:rFonts w:asciiTheme="minorHAnsi" w:eastAsiaTheme="minorEastAsia" w:hAnsiTheme="minorHAnsi" w:cstheme="minorBidi"/>
          <w:szCs w:val="22"/>
        </w:rPr>
      </w:pPr>
      <w:r>
        <w:t>6B.</w:t>
      </w:r>
      <w:r>
        <w:tab/>
        <w:t>Jurisdiction in which person who performs services is based</w:t>
      </w:r>
      <w:r>
        <w:tab/>
      </w:r>
      <w:r>
        <w:fldChar w:fldCharType="begin"/>
      </w:r>
      <w:r>
        <w:instrText xml:space="preserve"> PAGEREF _Toc413847494 \h </w:instrText>
      </w:r>
      <w:r>
        <w:fldChar w:fldCharType="separate"/>
      </w:r>
      <w:r>
        <w:t>6</w:t>
      </w:r>
      <w:r>
        <w:fldChar w:fldCharType="end"/>
      </w:r>
    </w:p>
    <w:p>
      <w:pPr>
        <w:pStyle w:val="TOC8"/>
        <w:rPr>
          <w:rFonts w:asciiTheme="minorHAnsi" w:eastAsiaTheme="minorEastAsia" w:hAnsiTheme="minorHAnsi" w:cstheme="minorBidi"/>
          <w:szCs w:val="22"/>
        </w:rPr>
      </w:pPr>
      <w:r>
        <w:t>6C.</w:t>
      </w:r>
      <w:r>
        <w:tab/>
        <w:t>Jurisdiction in which employer is based</w:t>
      </w:r>
      <w:r>
        <w:tab/>
      </w:r>
      <w:r>
        <w:fldChar w:fldCharType="begin"/>
      </w:r>
      <w:r>
        <w:instrText xml:space="preserve"> PAGEREF _Toc413847495 \h </w:instrText>
      </w:r>
      <w:r>
        <w:fldChar w:fldCharType="separate"/>
      </w:r>
      <w:r>
        <w:t>6</w:t>
      </w:r>
      <w:r>
        <w:fldChar w:fldCharType="end"/>
      </w:r>
    </w:p>
    <w:p>
      <w:pPr>
        <w:pStyle w:val="TOC8"/>
        <w:rPr>
          <w:rFonts w:asciiTheme="minorHAnsi" w:eastAsiaTheme="minorEastAsia" w:hAnsiTheme="minorHAnsi" w:cstheme="minorBidi"/>
          <w:szCs w:val="22"/>
        </w:rPr>
      </w:pPr>
      <w:r>
        <w:t>6D.</w:t>
      </w:r>
      <w:r>
        <w:tab/>
        <w:t>Place and date of payment of wages</w:t>
      </w:r>
      <w:r>
        <w:tab/>
      </w:r>
      <w:r>
        <w:fldChar w:fldCharType="begin"/>
      </w:r>
      <w:r>
        <w:instrText xml:space="preserve"> PAGEREF _Toc413847496 \h </w:instrText>
      </w:r>
      <w:r>
        <w:fldChar w:fldCharType="separate"/>
      </w:r>
      <w:r>
        <w:t>7</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_Toc413847497 \h </w:instrText>
      </w:r>
      <w:r>
        <w:fldChar w:fldCharType="separate"/>
      </w:r>
      <w:r>
        <w:t>8</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_Toc413847498 \h </w:instrText>
      </w:r>
      <w:r>
        <w:fldChar w:fldCharType="separate"/>
      </w:r>
      <w:r>
        <w:t>8</w:t>
      </w:r>
      <w:r>
        <w:fldChar w:fldCharType="end"/>
      </w:r>
    </w:p>
    <w:p>
      <w:pPr>
        <w:pStyle w:val="TOC8"/>
        <w:rPr>
          <w:rFonts w:asciiTheme="minorHAnsi" w:eastAsiaTheme="minorEastAsia" w:hAnsiTheme="minorHAnsi" w:cstheme="minorBidi"/>
          <w:szCs w:val="22"/>
        </w:rPr>
      </w:pPr>
      <w:r>
        <w:t>8.</w:t>
      </w:r>
      <w:r>
        <w:tab/>
        <w:t>The tax threshold</w:t>
      </w:r>
      <w:r>
        <w:tab/>
      </w:r>
      <w:r>
        <w:fldChar w:fldCharType="begin"/>
      </w:r>
      <w:r>
        <w:instrText xml:space="preserve"> PAGEREF _Toc413847499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2A — Wages</w:t>
      </w:r>
    </w:p>
    <w:p>
      <w:pPr>
        <w:pStyle w:val="TOC6"/>
        <w:tabs>
          <w:tab w:val="right" w:leader="dot" w:pos="7077"/>
        </w:tabs>
        <w:rPr>
          <w:rFonts w:asciiTheme="minorHAnsi" w:eastAsiaTheme="minorEastAsia" w:hAnsiTheme="minorHAnsi" w:cstheme="minorBidi"/>
          <w:b w:val="0"/>
          <w:sz w:val="22"/>
          <w:szCs w:val="22"/>
        </w:rPr>
      </w:pPr>
      <w:r>
        <w:t>Subdivision 1 — General concept of wages</w:t>
      </w:r>
    </w:p>
    <w:p>
      <w:pPr>
        <w:pStyle w:val="TOC8"/>
        <w:rPr>
          <w:rFonts w:asciiTheme="minorHAnsi" w:eastAsiaTheme="minorEastAsia" w:hAnsiTheme="minorHAnsi" w:cstheme="minorBidi"/>
          <w:szCs w:val="22"/>
        </w:rPr>
      </w:pPr>
      <w:r>
        <w:t>9AA.</w:t>
      </w:r>
      <w:r>
        <w:tab/>
        <w:t>Term used: wages</w:t>
      </w:r>
      <w:r>
        <w:tab/>
      </w:r>
      <w:r>
        <w:fldChar w:fldCharType="begin"/>
      </w:r>
      <w:r>
        <w:instrText xml:space="preserve"> PAGEREF _Toc413847502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t>Subdivision 2 — Fringe benefits and specified taxable benefits</w:t>
      </w:r>
    </w:p>
    <w:p>
      <w:pPr>
        <w:pStyle w:val="TOC8"/>
        <w:rPr>
          <w:rFonts w:asciiTheme="minorHAnsi" w:eastAsiaTheme="minorEastAsia" w:hAnsiTheme="minorHAnsi" w:cstheme="minorBidi"/>
          <w:szCs w:val="22"/>
        </w:rPr>
      </w:pPr>
      <w:r>
        <w:t>9BA.</w:t>
      </w:r>
      <w:r>
        <w:tab/>
        <w:t>Wages include fringe benefits and specified taxable benefits</w:t>
      </w:r>
      <w:r>
        <w:tab/>
      </w:r>
      <w:r>
        <w:fldChar w:fldCharType="begin"/>
      </w:r>
      <w:r>
        <w:instrText xml:space="preserve"> PAGEREF _Toc413847504 \h </w:instrText>
      </w:r>
      <w:r>
        <w:fldChar w:fldCharType="separate"/>
      </w:r>
      <w:r>
        <w:t>11</w:t>
      </w:r>
      <w:r>
        <w:fldChar w:fldCharType="end"/>
      </w:r>
    </w:p>
    <w:p>
      <w:pPr>
        <w:pStyle w:val="TOC8"/>
        <w:rPr>
          <w:rFonts w:asciiTheme="minorHAnsi" w:eastAsiaTheme="minorEastAsia" w:hAnsiTheme="minorHAnsi" w:cstheme="minorBidi"/>
          <w:szCs w:val="22"/>
        </w:rPr>
      </w:pPr>
      <w:r>
        <w:t>9BB.</w:t>
      </w:r>
      <w:r>
        <w:tab/>
        <w:t>Actual value of fringe benefit</w:t>
      </w:r>
      <w:r>
        <w:tab/>
      </w:r>
      <w:r>
        <w:fldChar w:fldCharType="begin"/>
      </w:r>
      <w:r>
        <w:instrText xml:space="preserve"> PAGEREF _Toc413847505 \h </w:instrText>
      </w:r>
      <w:r>
        <w:fldChar w:fldCharType="separate"/>
      </w:r>
      <w:r>
        <w:t>11</w:t>
      </w:r>
      <w:r>
        <w:fldChar w:fldCharType="end"/>
      </w:r>
    </w:p>
    <w:p>
      <w:pPr>
        <w:pStyle w:val="TOC8"/>
        <w:rPr>
          <w:rFonts w:asciiTheme="minorHAnsi" w:eastAsiaTheme="minorEastAsia" w:hAnsiTheme="minorHAnsi" w:cstheme="minorBidi"/>
          <w:szCs w:val="22"/>
        </w:rPr>
      </w:pPr>
      <w:r>
        <w:t>9BC.</w:t>
      </w:r>
      <w:r>
        <w:tab/>
        <w:t>Basis for including value of fringe benefits in returns</w:t>
      </w:r>
      <w:r>
        <w:tab/>
      </w:r>
      <w:r>
        <w:fldChar w:fldCharType="begin"/>
      </w:r>
      <w:r>
        <w:instrText xml:space="preserve"> PAGEREF _Toc413847506 \h </w:instrText>
      </w:r>
      <w:r>
        <w:fldChar w:fldCharType="separate"/>
      </w:r>
      <w:r>
        <w:t>11</w:t>
      </w:r>
      <w:r>
        <w:fldChar w:fldCharType="end"/>
      </w:r>
    </w:p>
    <w:p>
      <w:pPr>
        <w:pStyle w:val="TOC8"/>
        <w:rPr>
          <w:rFonts w:asciiTheme="minorHAnsi" w:eastAsiaTheme="minorEastAsia" w:hAnsiTheme="minorHAnsi" w:cstheme="minorBidi"/>
          <w:szCs w:val="22"/>
        </w:rPr>
      </w:pPr>
      <w:r>
        <w:t>9BD.</w:t>
      </w:r>
      <w:r>
        <w:tab/>
        <w:t>Eligibility to use estimated value method</w:t>
      </w:r>
      <w:r>
        <w:tab/>
      </w:r>
      <w:r>
        <w:fldChar w:fldCharType="begin"/>
      </w:r>
      <w:r>
        <w:instrText xml:space="preserve"> PAGEREF _Toc413847507 \h </w:instrText>
      </w:r>
      <w:r>
        <w:fldChar w:fldCharType="separate"/>
      </w:r>
      <w:r>
        <w:t>12</w:t>
      </w:r>
      <w:r>
        <w:fldChar w:fldCharType="end"/>
      </w:r>
    </w:p>
    <w:p>
      <w:pPr>
        <w:pStyle w:val="TOC8"/>
        <w:rPr>
          <w:rFonts w:asciiTheme="minorHAnsi" w:eastAsiaTheme="minorEastAsia" w:hAnsiTheme="minorHAnsi" w:cstheme="minorBidi"/>
          <w:szCs w:val="22"/>
        </w:rPr>
      </w:pPr>
      <w:r>
        <w:t>9BE.</w:t>
      </w:r>
      <w:r>
        <w:tab/>
        <w:t>Returns (other than annual returns) using estimated value method</w:t>
      </w:r>
      <w:r>
        <w:tab/>
      </w:r>
      <w:r>
        <w:fldChar w:fldCharType="begin"/>
      </w:r>
      <w:r>
        <w:instrText xml:space="preserve"> PAGEREF _Toc413847508 \h </w:instrText>
      </w:r>
      <w:r>
        <w:fldChar w:fldCharType="separate"/>
      </w:r>
      <w:r>
        <w:t>12</w:t>
      </w:r>
      <w:r>
        <w:fldChar w:fldCharType="end"/>
      </w:r>
    </w:p>
    <w:p>
      <w:pPr>
        <w:pStyle w:val="TOC8"/>
        <w:rPr>
          <w:rFonts w:asciiTheme="minorHAnsi" w:eastAsiaTheme="minorEastAsia" w:hAnsiTheme="minorHAnsi" w:cstheme="minorBidi"/>
          <w:szCs w:val="22"/>
        </w:rPr>
      </w:pPr>
      <w:r>
        <w:t>9BF.</w:t>
      </w:r>
      <w:r>
        <w:tab/>
        <w:t>Annual returns using estimated value method</w:t>
      </w:r>
      <w:r>
        <w:tab/>
      </w:r>
      <w:r>
        <w:fldChar w:fldCharType="begin"/>
      </w:r>
      <w:r>
        <w:instrText xml:space="preserve"> PAGEREF _Toc413847509 \h </w:instrText>
      </w:r>
      <w:r>
        <w:fldChar w:fldCharType="separate"/>
      </w:r>
      <w:r>
        <w:t>13</w:t>
      </w:r>
      <w:r>
        <w:fldChar w:fldCharType="end"/>
      </w:r>
    </w:p>
    <w:p>
      <w:pPr>
        <w:pStyle w:val="TOC8"/>
        <w:rPr>
          <w:rFonts w:asciiTheme="minorHAnsi" w:eastAsiaTheme="minorEastAsia" w:hAnsiTheme="minorHAnsi" w:cstheme="minorBidi"/>
          <w:szCs w:val="22"/>
        </w:rPr>
      </w:pPr>
      <w:r>
        <w:t>9BG.</w:t>
      </w:r>
      <w:r>
        <w:tab/>
        <w:t>Final returns using estimated value method</w:t>
      </w:r>
      <w:r>
        <w:tab/>
      </w:r>
      <w:r>
        <w:fldChar w:fldCharType="begin"/>
      </w:r>
      <w:r>
        <w:instrText xml:space="preserve"> PAGEREF _Toc413847510 \h </w:instrText>
      </w:r>
      <w:r>
        <w:fldChar w:fldCharType="separate"/>
      </w:r>
      <w:r>
        <w:t>13</w:t>
      </w:r>
      <w:r>
        <w:fldChar w:fldCharType="end"/>
      </w:r>
    </w:p>
    <w:p>
      <w:pPr>
        <w:pStyle w:val="TOC8"/>
        <w:rPr>
          <w:rFonts w:asciiTheme="minorHAnsi" w:eastAsiaTheme="minorEastAsia" w:hAnsiTheme="minorHAnsi" w:cstheme="minorBidi"/>
          <w:szCs w:val="22"/>
        </w:rPr>
      </w:pPr>
      <w:r>
        <w:t>9BH.</w:t>
      </w:r>
      <w:r>
        <w:tab/>
        <w:t>Changing method of valuing fringe benefits</w:t>
      </w:r>
      <w:r>
        <w:tab/>
      </w:r>
      <w:r>
        <w:fldChar w:fldCharType="begin"/>
      </w:r>
      <w:r>
        <w:instrText xml:space="preserve"> PAGEREF _Toc413847511 \h </w:instrText>
      </w:r>
      <w:r>
        <w:fldChar w:fldCharType="separate"/>
      </w:r>
      <w:r>
        <w:t>14</w:t>
      </w:r>
      <w:r>
        <w:fldChar w:fldCharType="end"/>
      </w:r>
    </w:p>
    <w:p>
      <w:pPr>
        <w:pStyle w:val="TOC8"/>
        <w:rPr>
          <w:rFonts w:asciiTheme="minorHAnsi" w:eastAsiaTheme="minorEastAsia" w:hAnsiTheme="minorHAnsi" w:cstheme="minorBidi"/>
          <w:szCs w:val="22"/>
        </w:rPr>
      </w:pPr>
      <w:r>
        <w:t>9BI.</w:t>
      </w:r>
      <w:r>
        <w:tab/>
        <w:t>Value of specified taxable benefit</w:t>
      </w:r>
      <w:r>
        <w:tab/>
      </w:r>
      <w:r>
        <w:fldChar w:fldCharType="begin"/>
      </w:r>
      <w:r>
        <w:instrText xml:space="preserve"> PAGEREF _Toc413847512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Superannuation contributions</w:t>
      </w:r>
    </w:p>
    <w:p>
      <w:pPr>
        <w:pStyle w:val="TOC8"/>
        <w:rPr>
          <w:rFonts w:asciiTheme="minorHAnsi" w:eastAsiaTheme="minorEastAsia" w:hAnsiTheme="minorHAnsi" w:cstheme="minorBidi"/>
          <w:szCs w:val="22"/>
        </w:rPr>
      </w:pPr>
      <w:r>
        <w:t>9CA.</w:t>
      </w:r>
      <w:r>
        <w:tab/>
        <w:t>Terms used</w:t>
      </w:r>
      <w:r>
        <w:tab/>
      </w:r>
      <w:r>
        <w:fldChar w:fldCharType="begin"/>
      </w:r>
      <w:r>
        <w:instrText xml:space="preserve"> PAGEREF _Toc413847514 \h </w:instrText>
      </w:r>
      <w:r>
        <w:fldChar w:fldCharType="separate"/>
      </w:r>
      <w:r>
        <w:t>16</w:t>
      </w:r>
      <w:r>
        <w:fldChar w:fldCharType="end"/>
      </w:r>
    </w:p>
    <w:p>
      <w:pPr>
        <w:pStyle w:val="TOC8"/>
        <w:rPr>
          <w:rFonts w:asciiTheme="minorHAnsi" w:eastAsiaTheme="minorEastAsia" w:hAnsiTheme="minorHAnsi" w:cstheme="minorBidi"/>
          <w:szCs w:val="22"/>
        </w:rPr>
      </w:pPr>
      <w:r>
        <w:t>9CB.</w:t>
      </w:r>
      <w:r>
        <w:tab/>
        <w:t>Wages include superannuation contributions and other similar amounts</w:t>
      </w:r>
      <w:r>
        <w:tab/>
      </w:r>
      <w:r>
        <w:fldChar w:fldCharType="begin"/>
      </w:r>
      <w:r>
        <w:instrText xml:space="preserve"> PAGEREF _Toc413847515 \h </w:instrText>
      </w:r>
      <w:r>
        <w:fldChar w:fldCharType="separate"/>
      </w:r>
      <w:r>
        <w:t>17</w:t>
      </w:r>
      <w:r>
        <w:fldChar w:fldCharType="end"/>
      </w:r>
    </w:p>
    <w:p>
      <w:pPr>
        <w:pStyle w:val="TOC8"/>
        <w:rPr>
          <w:rFonts w:asciiTheme="minorHAnsi" w:eastAsiaTheme="minorEastAsia" w:hAnsiTheme="minorHAnsi" w:cstheme="minorBidi"/>
          <w:szCs w:val="22"/>
        </w:rPr>
      </w:pPr>
      <w:r>
        <w:t>9CC.</w:t>
      </w:r>
      <w:r>
        <w:tab/>
        <w:t>Superannuation contributions</w:t>
      </w:r>
      <w:r>
        <w:tab/>
      </w:r>
      <w:r>
        <w:fldChar w:fldCharType="begin"/>
      </w:r>
      <w:r>
        <w:instrText xml:space="preserve"> PAGEREF _Toc413847516 \h </w:instrText>
      </w:r>
      <w:r>
        <w:fldChar w:fldCharType="separate"/>
      </w:r>
      <w:r>
        <w:t>18</w:t>
      </w:r>
      <w:r>
        <w:fldChar w:fldCharType="end"/>
      </w:r>
    </w:p>
    <w:p>
      <w:pPr>
        <w:pStyle w:val="TOC8"/>
        <w:rPr>
          <w:rFonts w:asciiTheme="minorHAnsi" w:eastAsiaTheme="minorEastAsia" w:hAnsiTheme="minorHAnsi" w:cstheme="minorBidi"/>
          <w:szCs w:val="22"/>
        </w:rPr>
      </w:pPr>
      <w:r>
        <w:t>9CD.</w:t>
      </w:r>
      <w:r>
        <w:tab/>
        <w:t>Notional contributions</w:t>
      </w:r>
      <w:r>
        <w:tab/>
      </w:r>
      <w:r>
        <w:fldChar w:fldCharType="begin"/>
      </w:r>
      <w:r>
        <w:instrText xml:space="preserve"> PAGEREF _Toc413847517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Shares and options</w:t>
      </w:r>
    </w:p>
    <w:p>
      <w:pPr>
        <w:pStyle w:val="TOC8"/>
        <w:rPr>
          <w:rFonts w:asciiTheme="minorHAnsi" w:eastAsiaTheme="minorEastAsia" w:hAnsiTheme="minorHAnsi" w:cstheme="minorBidi"/>
          <w:szCs w:val="22"/>
        </w:rPr>
      </w:pPr>
      <w:r>
        <w:t>9DA.</w:t>
      </w:r>
      <w:r>
        <w:tab/>
        <w:t>Wages include shares and options granted to employees</w:t>
      </w:r>
      <w:r>
        <w:tab/>
      </w:r>
      <w:r>
        <w:fldChar w:fldCharType="begin"/>
      </w:r>
      <w:r>
        <w:instrText xml:space="preserve"> PAGEREF _Toc413847519 \h </w:instrText>
      </w:r>
      <w:r>
        <w:fldChar w:fldCharType="separate"/>
      </w:r>
      <w:r>
        <w:t>20</w:t>
      </w:r>
      <w:r>
        <w:fldChar w:fldCharType="end"/>
      </w:r>
    </w:p>
    <w:p>
      <w:pPr>
        <w:pStyle w:val="TOC8"/>
        <w:rPr>
          <w:rFonts w:asciiTheme="minorHAnsi" w:eastAsiaTheme="minorEastAsia" w:hAnsiTheme="minorHAnsi" w:cstheme="minorBidi"/>
          <w:szCs w:val="22"/>
        </w:rPr>
      </w:pPr>
      <w:r>
        <w:t>9DB.</w:t>
      </w:r>
      <w:r>
        <w:tab/>
        <w:t>Relevant day: choice of</w:t>
      </w:r>
      <w:r>
        <w:tab/>
      </w:r>
      <w:r>
        <w:fldChar w:fldCharType="begin"/>
      </w:r>
      <w:r>
        <w:instrText xml:space="preserve"> PAGEREF _Toc413847520 \h </w:instrText>
      </w:r>
      <w:r>
        <w:fldChar w:fldCharType="separate"/>
      </w:r>
      <w:r>
        <w:t>21</w:t>
      </w:r>
      <w:r>
        <w:fldChar w:fldCharType="end"/>
      </w:r>
    </w:p>
    <w:p>
      <w:pPr>
        <w:pStyle w:val="TOC8"/>
        <w:rPr>
          <w:rFonts w:asciiTheme="minorHAnsi" w:eastAsiaTheme="minorEastAsia" w:hAnsiTheme="minorHAnsi" w:cstheme="minorBidi"/>
          <w:szCs w:val="22"/>
        </w:rPr>
      </w:pPr>
      <w:r>
        <w:t>9DC.</w:t>
      </w:r>
      <w:r>
        <w:tab/>
        <w:t>Relevant day: special cases</w:t>
      </w:r>
      <w:r>
        <w:tab/>
      </w:r>
      <w:r>
        <w:fldChar w:fldCharType="begin"/>
      </w:r>
      <w:r>
        <w:instrText xml:space="preserve"> PAGEREF _Toc413847521 \h </w:instrText>
      </w:r>
      <w:r>
        <w:fldChar w:fldCharType="separate"/>
      </w:r>
      <w:r>
        <w:t>21</w:t>
      </w:r>
      <w:r>
        <w:fldChar w:fldCharType="end"/>
      </w:r>
    </w:p>
    <w:p>
      <w:pPr>
        <w:pStyle w:val="TOC8"/>
        <w:rPr>
          <w:rFonts w:asciiTheme="minorHAnsi" w:eastAsiaTheme="minorEastAsia" w:hAnsiTheme="minorHAnsi" w:cstheme="minorBidi"/>
          <w:szCs w:val="22"/>
        </w:rPr>
      </w:pPr>
      <w:r>
        <w:t>9DD.</w:t>
      </w:r>
      <w:r>
        <w:tab/>
        <w:t>Value of shares and options</w:t>
      </w:r>
      <w:r>
        <w:tab/>
      </w:r>
      <w:r>
        <w:fldChar w:fldCharType="begin"/>
      </w:r>
      <w:r>
        <w:instrText xml:space="preserve"> PAGEREF _Toc413847522 \h </w:instrText>
      </w:r>
      <w:r>
        <w:fldChar w:fldCharType="separate"/>
      </w:r>
      <w:r>
        <w:t>22</w:t>
      </w:r>
      <w:r>
        <w:fldChar w:fldCharType="end"/>
      </w:r>
    </w:p>
    <w:p>
      <w:pPr>
        <w:pStyle w:val="TOC8"/>
        <w:rPr>
          <w:rFonts w:asciiTheme="minorHAnsi" w:eastAsiaTheme="minorEastAsia" w:hAnsiTheme="minorHAnsi" w:cstheme="minorBidi"/>
          <w:szCs w:val="22"/>
        </w:rPr>
      </w:pPr>
      <w:r>
        <w:t>9DE.</w:t>
      </w:r>
      <w:r>
        <w:tab/>
        <w:t>Effect of rescission, cancellation etc. of share or option</w:t>
      </w:r>
      <w:r>
        <w:tab/>
      </w:r>
      <w:r>
        <w:fldChar w:fldCharType="begin"/>
      </w:r>
      <w:r>
        <w:instrText xml:space="preserve"> PAGEREF _Toc413847523 \h </w:instrText>
      </w:r>
      <w:r>
        <w:fldChar w:fldCharType="separate"/>
      </w:r>
      <w:r>
        <w:t>23</w:t>
      </w:r>
      <w:r>
        <w:fldChar w:fldCharType="end"/>
      </w:r>
    </w:p>
    <w:p>
      <w:pPr>
        <w:pStyle w:val="TOC8"/>
        <w:rPr>
          <w:rFonts w:asciiTheme="minorHAnsi" w:eastAsiaTheme="minorEastAsia" w:hAnsiTheme="minorHAnsi" w:cstheme="minorBidi"/>
          <w:szCs w:val="22"/>
        </w:rPr>
      </w:pPr>
      <w:r>
        <w:t>9DF.</w:t>
      </w:r>
      <w:r>
        <w:tab/>
        <w:t>Grant of share under exercise of option</w:t>
      </w:r>
      <w:r>
        <w:tab/>
      </w:r>
      <w:r>
        <w:fldChar w:fldCharType="begin"/>
      </w:r>
      <w:r>
        <w:instrText xml:space="preserve"> PAGEREF _Toc413847524 \h </w:instrText>
      </w:r>
      <w:r>
        <w:fldChar w:fldCharType="separate"/>
      </w:r>
      <w:r>
        <w:t>24</w:t>
      </w:r>
      <w:r>
        <w:fldChar w:fldCharType="end"/>
      </w:r>
    </w:p>
    <w:p>
      <w:pPr>
        <w:pStyle w:val="TOC8"/>
        <w:rPr>
          <w:rFonts w:asciiTheme="minorHAnsi" w:eastAsiaTheme="minorEastAsia" w:hAnsiTheme="minorHAnsi" w:cstheme="minorBidi"/>
          <w:szCs w:val="22"/>
        </w:rPr>
      </w:pPr>
      <w:r>
        <w:t>9DG.</w:t>
      </w:r>
      <w:r>
        <w:tab/>
        <w:t>Wages include certain shares and options granted to directors</w:t>
      </w:r>
      <w:r>
        <w:tab/>
      </w:r>
      <w:r>
        <w:fldChar w:fldCharType="begin"/>
      </w:r>
      <w:r>
        <w:instrText xml:space="preserve"> PAGEREF _Toc413847525 \h </w:instrText>
      </w:r>
      <w:r>
        <w:fldChar w:fldCharType="separate"/>
      </w:r>
      <w:r>
        <w:t>25</w:t>
      </w:r>
      <w:r>
        <w:fldChar w:fldCharType="end"/>
      </w:r>
    </w:p>
    <w:p>
      <w:pPr>
        <w:pStyle w:val="TOC8"/>
        <w:rPr>
          <w:rFonts w:asciiTheme="minorHAnsi" w:eastAsiaTheme="minorEastAsia" w:hAnsiTheme="minorHAnsi" w:cstheme="minorBidi"/>
          <w:szCs w:val="22"/>
        </w:rPr>
      </w:pPr>
      <w:r>
        <w:t>9DH.</w:t>
      </w:r>
      <w:r>
        <w:tab/>
        <w:t>Place where wages (as shares or options) are payable</w:t>
      </w:r>
      <w:r>
        <w:tab/>
      </w:r>
      <w:r>
        <w:fldChar w:fldCharType="begin"/>
      </w:r>
      <w:r>
        <w:instrText xml:space="preserve"> PAGEREF _Toc413847526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5 — Termination payments</w:t>
      </w:r>
    </w:p>
    <w:p>
      <w:pPr>
        <w:pStyle w:val="TOC8"/>
        <w:rPr>
          <w:rFonts w:asciiTheme="minorHAnsi" w:eastAsiaTheme="minorEastAsia" w:hAnsiTheme="minorHAnsi" w:cstheme="minorBidi"/>
          <w:szCs w:val="22"/>
        </w:rPr>
      </w:pPr>
      <w:r>
        <w:t>9EA.</w:t>
      </w:r>
      <w:r>
        <w:tab/>
        <w:t>Wages include termination payments</w:t>
      </w:r>
      <w:r>
        <w:tab/>
      </w:r>
      <w:r>
        <w:fldChar w:fldCharType="begin"/>
      </w:r>
      <w:r>
        <w:instrText xml:space="preserve"> PAGEREF _Toc413847528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Allowances</w:t>
      </w:r>
    </w:p>
    <w:p>
      <w:pPr>
        <w:pStyle w:val="TOC8"/>
        <w:rPr>
          <w:rFonts w:asciiTheme="minorHAnsi" w:eastAsiaTheme="minorEastAsia" w:hAnsiTheme="minorHAnsi" w:cstheme="minorBidi"/>
          <w:szCs w:val="22"/>
        </w:rPr>
      </w:pPr>
      <w:r>
        <w:t>9FA.</w:t>
      </w:r>
      <w:r>
        <w:tab/>
        <w:t>Motor vehicle allowances</w:t>
      </w:r>
      <w:r>
        <w:tab/>
      </w:r>
      <w:r>
        <w:fldChar w:fldCharType="begin"/>
      </w:r>
      <w:r>
        <w:instrText xml:space="preserve"> PAGEREF _Toc413847530 \h </w:instrText>
      </w:r>
      <w:r>
        <w:fldChar w:fldCharType="separate"/>
      </w:r>
      <w:r>
        <w:t>27</w:t>
      </w:r>
      <w:r>
        <w:fldChar w:fldCharType="end"/>
      </w:r>
    </w:p>
    <w:p>
      <w:pPr>
        <w:pStyle w:val="TOC8"/>
        <w:rPr>
          <w:rFonts w:asciiTheme="minorHAnsi" w:eastAsiaTheme="minorEastAsia" w:hAnsiTheme="minorHAnsi" w:cstheme="minorBidi"/>
          <w:szCs w:val="22"/>
        </w:rPr>
      </w:pPr>
      <w:r>
        <w:t>9FB.</w:t>
      </w:r>
      <w:r>
        <w:tab/>
        <w:t>Accommodation allowances</w:t>
      </w:r>
      <w:r>
        <w:tab/>
      </w:r>
      <w:r>
        <w:fldChar w:fldCharType="begin"/>
      </w:r>
      <w:r>
        <w:instrText xml:space="preserve"> PAGEREF _Toc413847531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7 — Employment agents</w:t>
      </w:r>
    </w:p>
    <w:p>
      <w:pPr>
        <w:pStyle w:val="TOC8"/>
        <w:rPr>
          <w:rFonts w:asciiTheme="minorHAnsi" w:eastAsiaTheme="minorEastAsia" w:hAnsiTheme="minorHAnsi" w:cstheme="minorBidi"/>
          <w:szCs w:val="22"/>
        </w:rPr>
      </w:pPr>
      <w:r>
        <w:t>9GA.</w:t>
      </w:r>
      <w:r>
        <w:tab/>
        <w:t>Wages include amounts paid by employment agents</w:t>
      </w:r>
      <w:r>
        <w:tab/>
      </w:r>
      <w:r>
        <w:fldChar w:fldCharType="begin"/>
      </w:r>
      <w:r>
        <w:instrText xml:space="preserve"> PAGEREF _Toc413847533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8 — Miscellaneous provisions</w:t>
      </w:r>
    </w:p>
    <w:p>
      <w:pPr>
        <w:pStyle w:val="TOC8"/>
        <w:rPr>
          <w:rFonts w:asciiTheme="minorHAnsi" w:eastAsiaTheme="minorEastAsia" w:hAnsiTheme="minorHAnsi" w:cstheme="minorBidi"/>
          <w:szCs w:val="22"/>
        </w:rPr>
      </w:pPr>
      <w:r>
        <w:t>9HA.</w:t>
      </w:r>
      <w:r>
        <w:tab/>
        <w:t>Value of wages paid in kind</w:t>
      </w:r>
      <w:r>
        <w:tab/>
      </w:r>
      <w:r>
        <w:fldChar w:fldCharType="begin"/>
      </w:r>
      <w:r>
        <w:instrText xml:space="preserve"> PAGEREF _Toc413847535 \h </w:instrText>
      </w:r>
      <w:r>
        <w:fldChar w:fldCharType="separate"/>
      </w:r>
      <w:r>
        <w:t>29</w:t>
      </w:r>
      <w:r>
        <w:fldChar w:fldCharType="end"/>
      </w:r>
    </w:p>
    <w:p>
      <w:pPr>
        <w:pStyle w:val="TOC8"/>
        <w:rPr>
          <w:rFonts w:asciiTheme="minorHAnsi" w:eastAsiaTheme="minorEastAsia" w:hAnsiTheme="minorHAnsi" w:cstheme="minorBidi"/>
          <w:szCs w:val="22"/>
        </w:rPr>
      </w:pPr>
      <w:r>
        <w:t>9HB.</w:t>
      </w:r>
      <w:r>
        <w:tab/>
        <w:t>GST excluded from wages</w:t>
      </w:r>
      <w:r>
        <w:tab/>
      </w:r>
      <w:r>
        <w:fldChar w:fldCharType="begin"/>
      </w:r>
      <w:r>
        <w:instrText xml:space="preserve"> PAGEREF _Toc413847536 \h </w:instrText>
      </w:r>
      <w:r>
        <w:fldChar w:fldCharType="separate"/>
      </w:r>
      <w:r>
        <w:t>29</w:t>
      </w:r>
      <w:r>
        <w:fldChar w:fldCharType="end"/>
      </w:r>
    </w:p>
    <w:p>
      <w:pPr>
        <w:pStyle w:val="TOC8"/>
        <w:rPr>
          <w:rFonts w:asciiTheme="minorHAnsi" w:eastAsiaTheme="minorEastAsia" w:hAnsiTheme="minorHAnsi" w:cstheme="minorBidi"/>
          <w:szCs w:val="22"/>
        </w:rPr>
      </w:pPr>
      <w:r>
        <w:t>9HC.</w:t>
      </w:r>
      <w:r>
        <w:tab/>
        <w:t>Wages paid by or to third parties</w:t>
      </w:r>
      <w:r>
        <w:tab/>
      </w:r>
      <w:r>
        <w:fldChar w:fldCharType="begin"/>
      </w:r>
      <w:r>
        <w:instrText xml:space="preserve"> PAGEREF _Toc413847537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local non</w:t>
      </w:r>
      <w:r>
        <w:noBreakHyphen/>
        <w:t>group employers</w:t>
      </w:r>
      <w:r>
        <w:tab/>
      </w:r>
      <w:r>
        <w:fldChar w:fldCharType="begin"/>
      </w:r>
      <w:r>
        <w:instrText xml:space="preserve"> PAGEREF _Toc413847539 \h </w:instrText>
      </w:r>
      <w:r>
        <w:fldChar w:fldCharType="separate"/>
      </w:r>
      <w:r>
        <w:t>31</w:t>
      </w:r>
      <w:r>
        <w:fldChar w:fldCharType="end"/>
      </w:r>
    </w:p>
    <w:p>
      <w:pPr>
        <w:pStyle w:val="TOC8"/>
        <w:rPr>
          <w:rFonts w:asciiTheme="minorHAnsi" w:eastAsiaTheme="minorEastAsia" w:hAnsiTheme="minorHAnsi" w:cstheme="minorBidi"/>
          <w:szCs w:val="22"/>
        </w:rPr>
      </w:pPr>
      <w:r>
        <w:t>11.</w:t>
      </w:r>
      <w:r>
        <w:tab/>
        <w:t>Tax payable with returns: local non</w:t>
      </w:r>
      <w:r>
        <w:noBreakHyphen/>
        <w:t>group employers</w:t>
      </w:r>
      <w:r>
        <w:tab/>
      </w:r>
      <w:r>
        <w:fldChar w:fldCharType="begin"/>
      </w:r>
      <w:r>
        <w:instrText xml:space="preserve"> PAGEREF _Toc413847540 \h </w:instrText>
      </w:r>
      <w:r>
        <w:fldChar w:fldCharType="separate"/>
      </w:r>
      <w:r>
        <w:t>32</w:t>
      </w:r>
      <w:r>
        <w:fldChar w:fldCharType="end"/>
      </w:r>
    </w:p>
    <w:p>
      <w:pPr>
        <w:pStyle w:val="TOC8"/>
        <w:rPr>
          <w:rFonts w:asciiTheme="minorHAnsi" w:eastAsiaTheme="minorEastAsia" w:hAnsiTheme="minorHAnsi" w:cstheme="minorBidi"/>
          <w:szCs w:val="22"/>
        </w:rPr>
      </w:pPr>
      <w:r>
        <w:t>12</w:t>
      </w:r>
      <w:r>
        <w:rPr>
          <w:color w:val="000000"/>
        </w:rPr>
        <w:t>.</w:t>
      </w:r>
      <w:r>
        <w:rPr>
          <w:color w:val="000000"/>
        </w:rPr>
        <w:tab/>
        <w:t>Apportioned threshold amount: local non</w:t>
      </w:r>
      <w:r>
        <w:rPr>
          <w:color w:val="000000"/>
        </w:rPr>
        <w:noBreakHyphen/>
        <w:t>group employers</w:t>
      </w:r>
      <w:r>
        <w:tab/>
      </w:r>
      <w:r>
        <w:fldChar w:fldCharType="begin"/>
      </w:r>
      <w:r>
        <w:instrText xml:space="preserve"> PAGEREF _Toc413847541 \h </w:instrText>
      </w:r>
      <w:r>
        <w:fldChar w:fldCharType="separate"/>
      </w:r>
      <w:r>
        <w:t>32</w:t>
      </w:r>
      <w:r>
        <w:fldChar w:fldCharType="end"/>
      </w:r>
    </w:p>
    <w:p>
      <w:pPr>
        <w:pStyle w:val="TOC8"/>
        <w:rPr>
          <w:rFonts w:asciiTheme="minorHAnsi" w:eastAsiaTheme="minorEastAsia" w:hAnsiTheme="minorHAnsi" w:cstheme="minorBidi"/>
          <w:szCs w:val="22"/>
        </w:rPr>
      </w:pPr>
      <w:r>
        <w:t>13.</w:t>
      </w:r>
      <w:r>
        <w:tab/>
        <w:t>Annual tax liability: interstate non</w:t>
      </w:r>
      <w:r>
        <w:noBreakHyphen/>
        <w:t>group employers</w:t>
      </w:r>
      <w:r>
        <w:tab/>
      </w:r>
      <w:r>
        <w:fldChar w:fldCharType="begin"/>
      </w:r>
      <w:r>
        <w:instrText xml:space="preserve"> PAGEREF _Toc413847542 \h </w:instrText>
      </w:r>
      <w:r>
        <w:fldChar w:fldCharType="separate"/>
      </w:r>
      <w:r>
        <w:t>33</w:t>
      </w:r>
      <w:r>
        <w:fldChar w:fldCharType="end"/>
      </w:r>
    </w:p>
    <w:p>
      <w:pPr>
        <w:pStyle w:val="TOC8"/>
        <w:rPr>
          <w:rFonts w:asciiTheme="minorHAnsi" w:eastAsiaTheme="minorEastAsia" w:hAnsiTheme="minorHAnsi" w:cstheme="minorBidi"/>
          <w:szCs w:val="22"/>
        </w:rPr>
      </w:pPr>
      <w:r>
        <w:t>14</w:t>
      </w:r>
      <w:r>
        <w:rPr>
          <w:color w:val="000000"/>
        </w:rPr>
        <w:t>.</w:t>
      </w:r>
      <w:r>
        <w:rPr>
          <w:color w:val="000000"/>
        </w:rPr>
        <w:tab/>
        <w:t>Apportioned threshold amounts: interstate non</w:t>
      </w:r>
      <w:r>
        <w:rPr>
          <w:color w:val="000000"/>
        </w:rPr>
        <w:noBreakHyphen/>
        <w:t>group employers</w:t>
      </w:r>
      <w:r>
        <w:tab/>
      </w:r>
      <w:r>
        <w:fldChar w:fldCharType="begin"/>
      </w:r>
      <w:r>
        <w:instrText xml:space="preserve"> PAGEREF _Toc413847543 \h </w:instrText>
      </w:r>
      <w:r>
        <w:fldChar w:fldCharType="separate"/>
      </w:r>
      <w:r>
        <w:t>34</w:t>
      </w:r>
      <w:r>
        <w:fldChar w:fldCharType="end"/>
      </w:r>
    </w:p>
    <w:p>
      <w:pPr>
        <w:pStyle w:val="TOC8"/>
        <w:rPr>
          <w:rFonts w:asciiTheme="minorHAnsi" w:eastAsiaTheme="minorEastAsia" w:hAnsiTheme="minorHAnsi" w:cstheme="minorBidi"/>
          <w:szCs w:val="22"/>
        </w:rPr>
      </w:pPr>
      <w:r>
        <w:t>15.</w:t>
      </w:r>
      <w:r>
        <w:tab/>
        <w:t>Tax payable with progressive returns: interstate non</w:t>
      </w:r>
      <w:r>
        <w:noBreakHyphen/>
        <w:t>group employers</w:t>
      </w:r>
      <w:r>
        <w:tab/>
      </w:r>
      <w:r>
        <w:fldChar w:fldCharType="begin"/>
      </w:r>
      <w:r>
        <w:instrText xml:space="preserve"> PAGEREF _Toc413847544 \h </w:instrText>
      </w:r>
      <w:r>
        <w:fldChar w:fldCharType="separate"/>
      </w:r>
      <w:r>
        <w:t>35</w:t>
      </w:r>
      <w:r>
        <w:fldChar w:fldCharType="end"/>
      </w:r>
    </w:p>
    <w:p>
      <w:pPr>
        <w:pStyle w:val="TOC8"/>
        <w:rPr>
          <w:rFonts w:asciiTheme="minorHAnsi" w:eastAsiaTheme="minorEastAsia" w:hAnsiTheme="minorHAnsi" w:cstheme="minorBidi"/>
          <w:szCs w:val="22"/>
        </w:rPr>
      </w:pPr>
      <w:r>
        <w:t>16.</w:t>
      </w:r>
      <w:r>
        <w:tab/>
        <w:t>Annual reconciliation: non</w:t>
      </w:r>
      <w:r>
        <w:noBreakHyphen/>
        <w:t>group employers</w:t>
      </w:r>
      <w:r>
        <w:tab/>
      </w:r>
      <w:r>
        <w:fldChar w:fldCharType="begin"/>
      </w:r>
      <w:r>
        <w:instrText xml:space="preserve"> PAGEREF _Toc413847545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Group employers’ liability</w:t>
      </w:r>
    </w:p>
    <w:p>
      <w:pPr>
        <w:pStyle w:val="TOC8"/>
        <w:rPr>
          <w:rFonts w:asciiTheme="minorHAnsi" w:eastAsiaTheme="minorEastAsia" w:hAnsiTheme="minorHAnsi" w:cstheme="minorBidi"/>
          <w:szCs w:val="22"/>
        </w:rPr>
      </w:pPr>
      <w:r>
        <w:t>17.</w:t>
      </w:r>
      <w:r>
        <w:tab/>
        <w:t>Annual tax liability: groups</w:t>
      </w:r>
      <w:r>
        <w:tab/>
      </w:r>
      <w:r>
        <w:fldChar w:fldCharType="begin"/>
      </w:r>
      <w:r>
        <w:instrText xml:space="preserve"> PAGEREF _Toc413847547 \h </w:instrText>
      </w:r>
      <w:r>
        <w:fldChar w:fldCharType="separate"/>
      </w:r>
      <w:r>
        <w:t>37</w:t>
      </w:r>
      <w:r>
        <w:fldChar w:fldCharType="end"/>
      </w:r>
    </w:p>
    <w:p>
      <w:pPr>
        <w:pStyle w:val="TOC8"/>
        <w:rPr>
          <w:rFonts w:asciiTheme="minorHAnsi" w:eastAsiaTheme="minorEastAsia" w:hAnsiTheme="minorHAnsi" w:cstheme="minorBidi"/>
          <w:szCs w:val="22"/>
        </w:rPr>
      </w:pPr>
      <w:r>
        <w:t>18</w:t>
      </w:r>
      <w:r>
        <w:rPr>
          <w:color w:val="000000"/>
        </w:rPr>
        <w:t>.</w:t>
      </w:r>
      <w:r>
        <w:rPr>
          <w:color w:val="000000"/>
        </w:rPr>
        <w:tab/>
        <w:t>Apportioned threshold amounts: groups</w:t>
      </w:r>
      <w:r>
        <w:tab/>
      </w:r>
      <w:r>
        <w:fldChar w:fldCharType="begin"/>
      </w:r>
      <w:r>
        <w:instrText xml:space="preserve"> PAGEREF _Toc413847548 \h </w:instrText>
      </w:r>
      <w:r>
        <w:fldChar w:fldCharType="separate"/>
      </w:r>
      <w:r>
        <w:t>38</w:t>
      </w:r>
      <w:r>
        <w:fldChar w:fldCharType="end"/>
      </w:r>
    </w:p>
    <w:p>
      <w:pPr>
        <w:pStyle w:val="TOC8"/>
        <w:rPr>
          <w:rFonts w:asciiTheme="minorHAnsi" w:eastAsiaTheme="minorEastAsia" w:hAnsiTheme="minorHAnsi" w:cstheme="minorBidi"/>
          <w:szCs w:val="22"/>
        </w:rPr>
      </w:pPr>
      <w:r>
        <w:t>19.</w:t>
      </w:r>
      <w:r>
        <w:tab/>
        <w:t>Tax payable with progressive returns: groups</w:t>
      </w:r>
      <w:r>
        <w:tab/>
      </w:r>
      <w:r>
        <w:fldChar w:fldCharType="begin"/>
      </w:r>
      <w:r>
        <w:instrText xml:space="preserve"> PAGEREF _Toc413847549 \h </w:instrText>
      </w:r>
      <w:r>
        <w:fldChar w:fldCharType="separate"/>
      </w:r>
      <w:r>
        <w:t>39</w:t>
      </w:r>
      <w:r>
        <w:fldChar w:fldCharType="end"/>
      </w:r>
    </w:p>
    <w:p>
      <w:pPr>
        <w:pStyle w:val="TOC8"/>
        <w:rPr>
          <w:rFonts w:asciiTheme="minorHAnsi" w:eastAsiaTheme="minorEastAsia" w:hAnsiTheme="minorHAnsi" w:cstheme="minorBidi"/>
          <w:szCs w:val="22"/>
        </w:rPr>
      </w:pPr>
      <w:r>
        <w:t>20.</w:t>
      </w:r>
      <w:r>
        <w:tab/>
        <w:t>Annual reconciliation: groups</w:t>
      </w:r>
      <w:r>
        <w:tab/>
      </w:r>
      <w:r>
        <w:fldChar w:fldCharType="begin"/>
      </w:r>
      <w:r>
        <w:instrText xml:space="preserve"> PAGEREF _Toc413847550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_Toc413847552 \h </w:instrText>
      </w:r>
      <w:r>
        <w:fldChar w:fldCharType="separate"/>
      </w:r>
      <w:r>
        <w:t>41</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_Toc413847553 \h </w:instrText>
      </w:r>
      <w:r>
        <w:fldChar w:fldCharType="separate"/>
      </w:r>
      <w:r>
        <w:t>41</w:t>
      </w:r>
      <w:r>
        <w:fldChar w:fldCharType="end"/>
      </w:r>
    </w:p>
    <w:p>
      <w:pPr>
        <w:pStyle w:val="TOC8"/>
        <w:rPr>
          <w:rFonts w:asciiTheme="minorHAnsi" w:eastAsiaTheme="minorEastAsia" w:hAnsiTheme="minorHAnsi" w:cstheme="minorBidi"/>
          <w:szCs w:val="22"/>
        </w:rPr>
      </w:pPr>
      <w:r>
        <w:t>22A.</w:t>
      </w:r>
      <w:r>
        <w:tab/>
        <w:t>Effect of change in tax rate during 2004/5 year</w:t>
      </w:r>
      <w:r>
        <w:tab/>
      </w:r>
      <w:r>
        <w:fldChar w:fldCharType="begin"/>
      </w:r>
      <w:r>
        <w:instrText xml:space="preserve"> PAGEREF _Toc413847554 \h </w:instrText>
      </w:r>
      <w:r>
        <w:fldChar w:fldCharType="separate"/>
      </w:r>
      <w:r>
        <w:t>42</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_Toc413847555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employer</w:t>
      </w:r>
      <w:r>
        <w:tab/>
      </w:r>
      <w:r>
        <w:fldChar w:fldCharType="begin"/>
      </w:r>
      <w:r>
        <w:instrText xml:space="preserve"> PAGEREF _Toc413847557 \h </w:instrText>
      </w:r>
      <w:r>
        <w:fldChar w:fldCharType="separate"/>
      </w:r>
      <w:r>
        <w:t>45</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_Toc413847558 \h </w:instrText>
      </w:r>
      <w:r>
        <w:fldChar w:fldCharType="separate"/>
      </w:r>
      <w:r>
        <w:t>45</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_Toc413847559 \h </w:instrText>
      </w:r>
      <w:r>
        <w:fldChar w:fldCharType="separate"/>
      </w:r>
      <w:r>
        <w:t>46</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_Toc413847560 \h </w:instrText>
      </w:r>
      <w:r>
        <w:fldChar w:fldCharType="separate"/>
      </w:r>
      <w:r>
        <w:t>47</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_Toc413847561 \h </w:instrText>
      </w:r>
      <w:r>
        <w:fldChar w:fldCharType="separate"/>
      </w:r>
      <w:r>
        <w:t>47</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_Toc413847562 \h </w:instrText>
      </w:r>
      <w:r>
        <w:fldChar w:fldCharType="separate"/>
      </w:r>
      <w:r>
        <w:t>48</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_Toc413847563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_Toc413847565 \h </w:instrText>
      </w:r>
      <w:r>
        <w:fldChar w:fldCharType="separate"/>
      </w:r>
      <w:r>
        <w:t>53</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_Toc413847566 \h </w:instrText>
      </w:r>
      <w:r>
        <w:fldChar w:fldCharType="separate"/>
      </w:r>
      <w:r>
        <w:t>53</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_Toc413847567 \h </w:instrText>
      </w:r>
      <w:r>
        <w:fldChar w:fldCharType="separate"/>
      </w:r>
      <w:r>
        <w:t>54</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_Toc413847568 \h </w:instrText>
      </w:r>
      <w:r>
        <w:fldChar w:fldCharType="separate"/>
      </w:r>
      <w:r>
        <w:t>54</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_Toc413847569 \h </w:instrText>
      </w:r>
      <w:r>
        <w:fldChar w:fldCharType="separate"/>
      </w:r>
      <w:r>
        <w:t>56</w:t>
      </w:r>
      <w:r>
        <w:fldChar w:fldCharType="end"/>
      </w:r>
    </w:p>
    <w:p>
      <w:pPr>
        <w:pStyle w:val="TOC8"/>
        <w:rPr>
          <w:rFonts w:asciiTheme="minorHAnsi" w:eastAsiaTheme="minorEastAsia" w:hAnsiTheme="minorHAnsi" w:cstheme="minorBidi"/>
          <w:szCs w:val="22"/>
        </w:rPr>
      </w:pPr>
      <w:r>
        <w:t>35A.</w:t>
      </w:r>
      <w:r>
        <w:tab/>
        <w:t>Groups arising from tracing of interests in corporations</w:t>
      </w:r>
      <w:r>
        <w:tab/>
      </w:r>
      <w:r>
        <w:fldChar w:fldCharType="begin"/>
      </w:r>
      <w:r>
        <w:instrText xml:space="preserve"> PAGEREF _Toc413847570 \h </w:instrText>
      </w:r>
      <w:r>
        <w:fldChar w:fldCharType="separate"/>
      </w:r>
      <w:r>
        <w:t>57</w:t>
      </w:r>
      <w:r>
        <w:fldChar w:fldCharType="end"/>
      </w:r>
    </w:p>
    <w:p>
      <w:pPr>
        <w:pStyle w:val="TOC8"/>
        <w:rPr>
          <w:rFonts w:asciiTheme="minorHAnsi" w:eastAsiaTheme="minorEastAsia" w:hAnsiTheme="minorHAnsi" w:cstheme="minorBidi"/>
          <w:szCs w:val="22"/>
        </w:rPr>
      </w:pPr>
      <w:r>
        <w:t>35B.</w:t>
      </w:r>
      <w:r>
        <w:tab/>
        <w:t>Direct interests</w:t>
      </w:r>
      <w:r>
        <w:tab/>
      </w:r>
      <w:r>
        <w:fldChar w:fldCharType="begin"/>
      </w:r>
      <w:r>
        <w:instrText xml:space="preserve"> PAGEREF _Toc413847571 \h </w:instrText>
      </w:r>
      <w:r>
        <w:fldChar w:fldCharType="separate"/>
      </w:r>
      <w:r>
        <w:t>58</w:t>
      </w:r>
      <w:r>
        <w:fldChar w:fldCharType="end"/>
      </w:r>
    </w:p>
    <w:p>
      <w:pPr>
        <w:pStyle w:val="TOC8"/>
        <w:rPr>
          <w:rFonts w:asciiTheme="minorHAnsi" w:eastAsiaTheme="minorEastAsia" w:hAnsiTheme="minorHAnsi" w:cstheme="minorBidi"/>
          <w:szCs w:val="22"/>
        </w:rPr>
      </w:pPr>
      <w:r>
        <w:t>35C.</w:t>
      </w:r>
      <w:r>
        <w:tab/>
        <w:t>Indirect interests</w:t>
      </w:r>
      <w:r>
        <w:tab/>
      </w:r>
      <w:r>
        <w:fldChar w:fldCharType="begin"/>
      </w:r>
      <w:r>
        <w:instrText xml:space="preserve"> PAGEREF _Toc413847572 \h </w:instrText>
      </w:r>
      <w:r>
        <w:fldChar w:fldCharType="separate"/>
      </w:r>
      <w:r>
        <w:t>59</w:t>
      </w:r>
      <w:r>
        <w:fldChar w:fldCharType="end"/>
      </w:r>
    </w:p>
    <w:p>
      <w:pPr>
        <w:pStyle w:val="TOC8"/>
        <w:rPr>
          <w:rFonts w:asciiTheme="minorHAnsi" w:eastAsiaTheme="minorEastAsia" w:hAnsiTheme="minorHAnsi" w:cstheme="minorBidi"/>
          <w:szCs w:val="22"/>
        </w:rPr>
      </w:pPr>
      <w:r>
        <w:t>35D.</w:t>
      </w:r>
      <w:r>
        <w:tab/>
        <w:t>Aggregate interests</w:t>
      </w:r>
      <w:r>
        <w:tab/>
      </w:r>
      <w:r>
        <w:fldChar w:fldCharType="begin"/>
      </w:r>
      <w:r>
        <w:instrText xml:space="preserve"> PAGEREF _Toc413847573 \h </w:instrText>
      </w:r>
      <w:r>
        <w:fldChar w:fldCharType="separate"/>
      </w:r>
      <w:r>
        <w:t>60</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_Toc413847574 \h </w:instrText>
      </w:r>
      <w:r>
        <w:fldChar w:fldCharType="separate"/>
      </w:r>
      <w:r>
        <w:t>60</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_Toc413847575 \h </w:instrText>
      </w:r>
      <w:r>
        <w:fldChar w:fldCharType="separate"/>
      </w:r>
      <w:r>
        <w:t>61</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_Toc413847576 \h </w:instrText>
      </w:r>
      <w:r>
        <w:fldChar w:fldCharType="separate"/>
      </w:r>
      <w:r>
        <w:t>61</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_Toc413847577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5 — Exempt wages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_Toc413847579 \h </w:instrText>
      </w:r>
      <w:r>
        <w:fldChar w:fldCharType="separate"/>
      </w:r>
      <w:r>
        <w:t>64</w:t>
      </w:r>
      <w:r>
        <w:fldChar w:fldCharType="end"/>
      </w:r>
    </w:p>
    <w:p>
      <w:pPr>
        <w:pStyle w:val="TOC8"/>
        <w:rPr>
          <w:rFonts w:asciiTheme="minorHAnsi" w:eastAsiaTheme="minorEastAsia" w:hAnsiTheme="minorHAnsi" w:cstheme="minorBidi"/>
          <w:szCs w:val="22"/>
        </w:rPr>
      </w:pPr>
      <w:r>
        <w:t>41A.</w:t>
      </w:r>
      <w:r>
        <w:tab/>
        <w:t>Exempt wages: parental and adoption leave</w:t>
      </w:r>
      <w:r>
        <w:tab/>
      </w:r>
      <w:r>
        <w:fldChar w:fldCharType="begin"/>
      </w:r>
      <w:r>
        <w:instrText xml:space="preserve"> PAGEREF _Toc413847580 \h </w:instrText>
      </w:r>
      <w:r>
        <w:fldChar w:fldCharType="separate"/>
      </w:r>
      <w:r>
        <w:t>67</w:t>
      </w:r>
      <w:r>
        <w:fldChar w:fldCharType="end"/>
      </w:r>
    </w:p>
    <w:p>
      <w:pPr>
        <w:pStyle w:val="TOC8"/>
        <w:rPr>
          <w:rFonts w:asciiTheme="minorHAnsi" w:eastAsiaTheme="minorEastAsia" w:hAnsiTheme="minorHAnsi" w:cstheme="minorBidi"/>
          <w:szCs w:val="22"/>
        </w:rPr>
      </w:pPr>
      <w:r>
        <w:t>41B.</w:t>
      </w:r>
      <w:r>
        <w:tab/>
        <w:t>Exempt wages: wages paid or payable for or in relation to services performed in other countries</w:t>
      </w:r>
      <w:r>
        <w:tab/>
      </w:r>
      <w:r>
        <w:fldChar w:fldCharType="begin"/>
      </w:r>
      <w:r>
        <w:instrText xml:space="preserve"> PAGEREF _Toc413847581 \h </w:instrText>
      </w:r>
      <w:r>
        <w:fldChar w:fldCharType="separate"/>
      </w:r>
      <w:r>
        <w:t>68</w:t>
      </w:r>
      <w:r>
        <w:fldChar w:fldCharType="end"/>
      </w:r>
    </w:p>
    <w:p>
      <w:pPr>
        <w:pStyle w:val="TOC8"/>
        <w:rPr>
          <w:rFonts w:asciiTheme="minorHAnsi" w:eastAsiaTheme="minorEastAsia" w:hAnsiTheme="minorHAnsi" w:cstheme="minorBidi"/>
          <w:szCs w:val="22"/>
        </w:rPr>
      </w:pPr>
      <w:r>
        <w:t>41C.</w:t>
      </w:r>
      <w:r>
        <w:tab/>
        <w:t>Exempt wages: DSC disability support and disability wages subsidy</w:t>
      </w:r>
      <w:r>
        <w:tab/>
      </w:r>
      <w:r>
        <w:fldChar w:fldCharType="begin"/>
      </w:r>
      <w:r>
        <w:instrText xml:space="preserve"> PAGEREF _Toc413847582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_Toc413847584 \h </w:instrText>
      </w:r>
      <w:r>
        <w:fldChar w:fldCharType="separate"/>
      </w:r>
      <w:r>
        <w:t>71</w:t>
      </w:r>
      <w:r>
        <w:fldChar w:fldCharType="end"/>
      </w:r>
    </w:p>
    <w:p>
      <w:pPr>
        <w:pStyle w:val="TOC8"/>
        <w:rPr>
          <w:rFonts w:asciiTheme="minorHAnsi" w:eastAsiaTheme="minorEastAsia" w:hAnsiTheme="minorHAnsi" w:cstheme="minorBidi"/>
          <w:szCs w:val="22"/>
        </w:rPr>
      </w:pPr>
      <w:r>
        <w:t>42A.</w:t>
      </w:r>
      <w:r>
        <w:tab/>
        <w:t>What is a relevant body</w:t>
      </w:r>
      <w:r>
        <w:tab/>
      </w:r>
      <w:r>
        <w:fldChar w:fldCharType="begin"/>
      </w:r>
      <w:r>
        <w:instrText xml:space="preserve"> PAGEREF _Toc413847585 \h </w:instrText>
      </w:r>
      <w:r>
        <w:fldChar w:fldCharType="separate"/>
      </w:r>
      <w:r>
        <w:t>72</w:t>
      </w:r>
      <w:r>
        <w:fldChar w:fldCharType="end"/>
      </w:r>
    </w:p>
    <w:p>
      <w:pPr>
        <w:pStyle w:val="TOC8"/>
        <w:rPr>
          <w:rFonts w:asciiTheme="minorHAnsi" w:eastAsiaTheme="minorEastAsia" w:hAnsiTheme="minorHAnsi" w:cstheme="minorBidi"/>
          <w:szCs w:val="22"/>
        </w:rPr>
      </w:pPr>
      <w:r>
        <w:t>42B.</w:t>
      </w:r>
      <w:r>
        <w:tab/>
        <w:t>Application for a beneficial body determination</w:t>
      </w:r>
      <w:r>
        <w:tab/>
      </w:r>
      <w:r>
        <w:fldChar w:fldCharType="begin"/>
      </w:r>
      <w:r>
        <w:instrText xml:space="preserve"> PAGEREF _Toc413847586 \h </w:instrText>
      </w:r>
      <w:r>
        <w:fldChar w:fldCharType="separate"/>
      </w:r>
      <w:r>
        <w:t>73</w:t>
      </w:r>
      <w:r>
        <w:fldChar w:fldCharType="end"/>
      </w:r>
    </w:p>
    <w:p>
      <w:pPr>
        <w:pStyle w:val="TOC8"/>
        <w:rPr>
          <w:rFonts w:asciiTheme="minorHAnsi" w:eastAsiaTheme="minorEastAsia" w:hAnsiTheme="minorHAnsi" w:cstheme="minorBidi"/>
          <w:szCs w:val="22"/>
        </w:rPr>
      </w:pPr>
      <w:r>
        <w:t>42C.</w:t>
      </w:r>
      <w:r>
        <w:tab/>
        <w:t>Beneficial body determination</w:t>
      </w:r>
      <w:r>
        <w:tab/>
      </w:r>
      <w:r>
        <w:fldChar w:fldCharType="begin"/>
      </w:r>
      <w:r>
        <w:instrText xml:space="preserve"> PAGEREF _Toc413847587 \h </w:instrText>
      </w:r>
      <w:r>
        <w:fldChar w:fldCharType="separate"/>
      </w:r>
      <w:r>
        <w:t>74</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_Toc413847588 \h </w:instrText>
      </w:r>
      <w:r>
        <w:fldChar w:fldCharType="separate"/>
      </w:r>
      <w:r>
        <w:t>76</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_Toc413847589 \h </w:instrText>
      </w:r>
      <w:r>
        <w:fldChar w:fldCharType="separate"/>
      </w:r>
      <w:r>
        <w:t>76</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_Toc413847590 \h </w:instrText>
      </w:r>
      <w:r>
        <w:fldChar w:fldCharType="separate"/>
      </w:r>
      <w:r>
        <w:t>77</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_Toc413847591 \h </w:instrText>
      </w:r>
      <w:r>
        <w:fldChar w:fldCharType="separate"/>
      </w:r>
      <w:r>
        <w:t>78</w:t>
      </w:r>
      <w:r>
        <w:fldChar w:fldCharType="end"/>
      </w:r>
    </w:p>
    <w:p>
      <w:pPr>
        <w:pStyle w:val="TOC8"/>
        <w:rPr>
          <w:rFonts w:asciiTheme="minorHAnsi" w:eastAsiaTheme="minorEastAsia" w:hAnsiTheme="minorHAnsi" w:cstheme="minorBidi"/>
          <w:szCs w:val="22"/>
        </w:rPr>
      </w:pPr>
      <w:r>
        <w:t>46.</w:t>
      </w:r>
      <w:r>
        <w:tab/>
        <w:t>Transitional provisions</w:t>
      </w:r>
      <w:r>
        <w:tab/>
      </w:r>
      <w:r>
        <w:fldChar w:fldCharType="begin"/>
      </w:r>
      <w:r>
        <w:instrText xml:space="preserve"> PAGEREF _Toc413847592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rFonts w:asciiTheme="minorHAnsi" w:eastAsiaTheme="minorEastAsia" w:hAnsiTheme="minorHAnsi" w:cstheme="minorBidi"/>
          <w:szCs w:val="22"/>
        </w:rPr>
      </w:pPr>
      <w:r>
        <w:t>1.</w:t>
      </w:r>
      <w:r>
        <w:tab/>
        <w:t>Liability to tax for assessment years commencing on 1 July 2009 and 1 July 2010</w:t>
      </w:r>
      <w:r>
        <w:tab/>
      </w:r>
      <w:r>
        <w:fldChar w:fldCharType="begin"/>
      </w:r>
      <w:r>
        <w:instrText xml:space="preserve"> PAGEREF _Toc413847595 \h </w:instrText>
      </w:r>
      <w:r>
        <w:fldChar w:fldCharType="separate"/>
      </w:r>
      <w:r>
        <w:t>80</w:t>
      </w:r>
      <w:r>
        <w:fldChar w:fldCharType="end"/>
      </w:r>
    </w:p>
    <w:p>
      <w:pPr>
        <w:pStyle w:val="TOC8"/>
        <w:rPr>
          <w:rFonts w:asciiTheme="minorHAnsi" w:eastAsiaTheme="minorEastAsia" w:hAnsiTheme="minorHAnsi" w:cstheme="minorBidi"/>
          <w:szCs w:val="22"/>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r>
        <w:tab/>
      </w:r>
      <w:r>
        <w:fldChar w:fldCharType="begin"/>
      </w:r>
      <w:r>
        <w:instrText xml:space="preserve"> PAGEREF _Toc413847596 \h </w:instrText>
      </w:r>
      <w:r>
        <w:fldChar w:fldCharType="separate"/>
      </w:r>
      <w:r>
        <w:t>80</w:t>
      </w:r>
      <w:r>
        <w:fldChar w:fldCharType="end"/>
      </w:r>
    </w:p>
    <w:p>
      <w:pPr>
        <w:pStyle w:val="TOC8"/>
        <w:rPr>
          <w:rFonts w:asciiTheme="minorHAnsi" w:eastAsiaTheme="minorEastAsia" w:hAnsiTheme="minorHAnsi" w:cstheme="minorBidi"/>
          <w:szCs w:val="22"/>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_Toc413847597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rFonts w:asciiTheme="minorHAnsi" w:eastAsiaTheme="minorEastAsia" w:hAnsiTheme="minorHAnsi" w:cstheme="minorBidi"/>
          <w:szCs w:val="22"/>
        </w:rPr>
      </w:pPr>
      <w:r>
        <w:t>4.</w:t>
      </w:r>
      <w:r>
        <w:tab/>
        <w:t>Exclusion from group in force before 1 July 2012</w:t>
      </w:r>
      <w:r>
        <w:tab/>
      </w:r>
      <w:r>
        <w:fldChar w:fldCharType="begin"/>
      </w:r>
      <w:r>
        <w:instrText xml:space="preserve"> PAGEREF _Toc413847599 \h </w:instrText>
      </w:r>
      <w:r>
        <w:fldChar w:fldCharType="separate"/>
      </w:r>
      <w:r>
        <w:t>81</w:t>
      </w:r>
      <w:r>
        <w:fldChar w:fldCharType="end"/>
      </w:r>
    </w:p>
    <w:p>
      <w:pPr>
        <w:pStyle w:val="TOC8"/>
        <w:rPr>
          <w:rFonts w:asciiTheme="minorHAnsi" w:eastAsiaTheme="minorEastAsia" w:hAnsiTheme="minorHAnsi" w:cstheme="minorBidi"/>
          <w:szCs w:val="22"/>
        </w:rPr>
      </w:pPr>
      <w:r>
        <w:t>5.</w:t>
      </w:r>
      <w:r>
        <w:tab/>
        <w:t>Exclusion from group granted on or after 1 July 2012</w:t>
      </w:r>
      <w:r>
        <w:tab/>
      </w:r>
      <w:r>
        <w:fldChar w:fldCharType="begin"/>
      </w:r>
      <w:r>
        <w:instrText xml:space="preserve"> PAGEREF _Toc413847600 \h </w:instrText>
      </w:r>
      <w:r>
        <w:fldChar w:fldCharType="separate"/>
      </w:r>
      <w:r>
        <w:t>81</w:t>
      </w:r>
      <w:r>
        <w:fldChar w:fldCharType="end"/>
      </w:r>
    </w:p>
    <w:p>
      <w:pPr>
        <w:pStyle w:val="TOC8"/>
        <w:rPr>
          <w:rFonts w:asciiTheme="minorHAnsi" w:eastAsiaTheme="minorEastAsia" w:hAnsiTheme="minorHAnsi" w:cstheme="minorBidi"/>
          <w:szCs w:val="22"/>
        </w:rPr>
      </w:pPr>
      <w:r>
        <w:t>6.</w:t>
      </w:r>
      <w:r>
        <w:tab/>
        <w:t>Exclusion from group having effect before 1 July 2012</w:t>
      </w:r>
      <w:r>
        <w:tab/>
      </w:r>
      <w:r>
        <w:fldChar w:fldCharType="begin"/>
      </w:r>
      <w:r>
        <w:instrText xml:space="preserve"> PAGEREF _Toc413847601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consequent on enactment of </w:t>
      </w:r>
      <w:r>
        <w:rPr>
          <w:i/>
        </w:rPr>
        <w:t>Revenue Laws Amendment Act 2012</w:t>
      </w:r>
      <w:r>
        <w:t xml:space="preserve"> Part 5 Division 2</w:t>
      </w:r>
    </w:p>
    <w:p>
      <w:pPr>
        <w:pStyle w:val="TOC8"/>
        <w:rPr>
          <w:rFonts w:asciiTheme="minorHAnsi" w:eastAsiaTheme="minorEastAsia" w:hAnsiTheme="minorHAnsi" w:cstheme="minorBidi"/>
          <w:szCs w:val="22"/>
        </w:rPr>
      </w:pPr>
      <w:r>
        <w:t>7.</w:t>
      </w:r>
      <w:r>
        <w:tab/>
        <w:t>Assessment and payment of pay</w:t>
      </w:r>
      <w:r>
        <w:noBreakHyphen/>
        <w:t>roll tax in relation to employee shares and options</w:t>
      </w:r>
      <w:r>
        <w:tab/>
      </w:r>
      <w:r>
        <w:fldChar w:fldCharType="begin"/>
      </w:r>
      <w:r>
        <w:instrText xml:space="preserve"> PAGEREF _Toc413847603 \h </w:instrText>
      </w:r>
      <w:r>
        <w:fldChar w:fldCharType="separate"/>
      </w:r>
      <w:r>
        <w:t>82</w:t>
      </w:r>
      <w:r>
        <w:fldChar w:fldCharType="end"/>
      </w:r>
    </w:p>
    <w:p>
      <w:pPr>
        <w:pStyle w:val="TOC8"/>
        <w:rPr>
          <w:rFonts w:asciiTheme="minorHAnsi" w:eastAsiaTheme="minorEastAsia" w:hAnsiTheme="minorHAnsi" w:cstheme="minorBidi"/>
          <w:szCs w:val="22"/>
        </w:rPr>
      </w:pPr>
      <w:r>
        <w:t>8.</w:t>
      </w:r>
      <w:r>
        <w:tab/>
        <w:t>Determination of vesting day and value of employee shares and options</w:t>
      </w:r>
      <w:r>
        <w:tab/>
      </w:r>
      <w:r>
        <w:fldChar w:fldCharType="begin"/>
      </w:r>
      <w:r>
        <w:instrText xml:space="preserve"> PAGEREF _Toc413847604 \h </w:instrText>
      </w:r>
      <w:r>
        <w:fldChar w:fldCharType="separate"/>
      </w:r>
      <w:r>
        <w:t>82</w:t>
      </w:r>
      <w:r>
        <w:fldChar w:fldCharType="end"/>
      </w:r>
    </w:p>
    <w:p>
      <w:pPr>
        <w:pStyle w:val="TOC8"/>
        <w:rPr>
          <w:rFonts w:asciiTheme="minorHAnsi" w:eastAsiaTheme="minorEastAsia" w:hAnsiTheme="minorHAnsi" w:cstheme="minorBidi"/>
          <w:szCs w:val="22"/>
        </w:rPr>
      </w:pPr>
      <w:r>
        <w:t>9.</w:t>
      </w:r>
      <w:r>
        <w:tab/>
        <w:t xml:space="preserve">Shares and options granted on or after 1 July 2011 and before </w:t>
      </w:r>
      <w:r>
        <w:rPr>
          <w:i/>
        </w:rPr>
        <w:t>Revenue Laws Amendment Act 2012</w:t>
      </w:r>
      <w:r>
        <w:t xml:space="preserve"> received Royal Assent</w:t>
      </w:r>
      <w:r>
        <w:tab/>
      </w:r>
      <w:r>
        <w:fldChar w:fldCharType="begin"/>
      </w:r>
      <w:r>
        <w:instrText xml:space="preserve"> PAGEREF _Toc413847605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Provisions for the Taxation Legislation Amendment Act (No. 2) 2015</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_Toc413847607 \h </w:instrText>
      </w:r>
      <w:r>
        <w:fldChar w:fldCharType="separate"/>
      </w:r>
      <w:r>
        <w:t>84</w:t>
      </w:r>
      <w:r>
        <w:fldChar w:fldCharType="end"/>
      </w:r>
    </w:p>
    <w:p>
      <w:pPr>
        <w:pStyle w:val="TOC8"/>
        <w:rPr>
          <w:rFonts w:asciiTheme="minorHAnsi" w:eastAsiaTheme="minorEastAsia" w:hAnsiTheme="minorHAnsi" w:cstheme="minorBidi"/>
          <w:szCs w:val="22"/>
        </w:rPr>
      </w:pPr>
      <w:r>
        <w:t>11.</w:t>
      </w:r>
      <w:r>
        <w:tab/>
        <w:t>Exemptions currently held by relevant bodies may be revoked</w:t>
      </w:r>
      <w:r>
        <w:tab/>
      </w:r>
      <w:r>
        <w:fldChar w:fldCharType="begin"/>
      </w:r>
      <w:r>
        <w:instrText xml:space="preserve"> PAGEREF _Toc413847608 \h </w:instrText>
      </w:r>
      <w:r>
        <w:fldChar w:fldCharType="separate"/>
      </w:r>
      <w:r>
        <w:t>84</w:t>
      </w:r>
      <w:r>
        <w:fldChar w:fldCharType="end"/>
      </w:r>
    </w:p>
    <w:p>
      <w:pPr>
        <w:pStyle w:val="TOC8"/>
        <w:rPr>
          <w:rFonts w:asciiTheme="minorHAnsi" w:eastAsiaTheme="minorEastAsia" w:hAnsiTheme="minorHAnsi" w:cstheme="minorBidi"/>
          <w:szCs w:val="22"/>
        </w:rPr>
      </w:pPr>
      <w:r>
        <w:t>12.</w:t>
      </w:r>
      <w:r>
        <w:tab/>
        <w:t xml:space="preserve">Exemptions for periods before the commencement of the </w:t>
      </w:r>
      <w:r>
        <w:rPr>
          <w:i/>
        </w:rPr>
        <w:t>Taxation Legislation Amendment Act (No. 2) 2015</w:t>
      </w:r>
      <w:r>
        <w:t xml:space="preserve"> Part 4</w:t>
      </w:r>
      <w:r>
        <w:tab/>
      </w:r>
      <w:r>
        <w:fldChar w:fldCharType="begin"/>
      </w:r>
      <w:r>
        <w:instrText xml:space="preserve"> PAGEREF _Toc413847609 \h </w:instrText>
      </w:r>
      <w:r>
        <w:fldChar w:fldCharType="separate"/>
      </w:r>
      <w:r>
        <w:t>85</w:t>
      </w:r>
      <w:r>
        <w:fldChar w:fldCharType="end"/>
      </w:r>
    </w:p>
    <w:p>
      <w:pPr>
        <w:pStyle w:val="TOC8"/>
        <w:rPr>
          <w:rFonts w:asciiTheme="minorHAnsi" w:eastAsiaTheme="minorEastAsia" w:hAnsiTheme="minorHAnsi" w:cstheme="minorBidi"/>
          <w:szCs w:val="22"/>
        </w:rPr>
      </w:pPr>
      <w:r>
        <w:t>13.</w:t>
      </w:r>
      <w:r>
        <w:tab/>
        <w:t>A body or organisation given an exemption under clause 12 may apply for a beneficial body determination</w:t>
      </w:r>
      <w:r>
        <w:tab/>
      </w:r>
      <w:r>
        <w:fldChar w:fldCharType="begin"/>
      </w:r>
      <w:r>
        <w:instrText xml:space="preserve"> PAGEREF _Toc413847610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_Toc413847612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_Toc413847614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pPr>
      <w:r>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3" w:name="_Toc381880566"/>
      <w:bookmarkStart w:id="4" w:name="_Toc392162652"/>
      <w:bookmarkStart w:id="5" w:name="_Toc413764596"/>
      <w:bookmarkStart w:id="6" w:name="_Toc413764719"/>
      <w:bookmarkStart w:id="7" w:name="_Toc413841425"/>
      <w:bookmarkStart w:id="8" w:name="_Toc41384748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rPr>
          <w:snapToGrid w:val="0"/>
        </w:rPr>
      </w:pPr>
      <w:bookmarkStart w:id="9" w:name="_Toc392162653"/>
      <w:bookmarkStart w:id="10" w:name="_Toc413847485"/>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11" w:name="_Toc392162654"/>
      <w:bookmarkStart w:id="12" w:name="_Toc413847486"/>
      <w:r>
        <w:rPr>
          <w:rStyle w:val="CharSectno"/>
        </w:rPr>
        <w:t>2</w:t>
      </w:r>
      <w:r>
        <w:t>.</w:t>
      </w:r>
      <w:r>
        <w:tab/>
        <w:t>Commencement</w:t>
      </w:r>
      <w:bookmarkEnd w:id="11"/>
      <w:bookmarkEnd w:id="12"/>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13" w:name="_Toc392162655"/>
      <w:bookmarkStart w:id="14" w:name="_Toc413847487"/>
      <w:r>
        <w:rPr>
          <w:rStyle w:val="CharSectno"/>
        </w:rPr>
        <w:t>3</w:t>
      </w:r>
      <w:r>
        <w:t>.</w:t>
      </w:r>
      <w:r>
        <w:tab/>
        <w:t>Relationship with other Acts</w:t>
      </w:r>
      <w:bookmarkEnd w:id="13"/>
      <w:bookmarkEnd w:id="14"/>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15" w:name="_Toc392162656"/>
      <w:bookmarkStart w:id="16" w:name="_Toc413847488"/>
      <w:r>
        <w:rPr>
          <w:rStyle w:val="CharSectno"/>
        </w:rPr>
        <w:t>4</w:t>
      </w:r>
      <w:r>
        <w:t>.</w:t>
      </w:r>
      <w:r>
        <w:tab/>
        <w:t>Terms used</w:t>
      </w:r>
      <w:bookmarkEnd w:id="15"/>
      <w:bookmarkEnd w:id="16"/>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17" w:name="_Toc392162657"/>
      <w:bookmarkStart w:id="18" w:name="_Toc413847489"/>
      <w:r>
        <w:rPr>
          <w:rStyle w:val="CharSectno"/>
        </w:rPr>
        <w:t>5A</w:t>
      </w:r>
      <w:r>
        <w:t>.</w:t>
      </w:r>
      <w:r>
        <w:tab/>
        <w:t>Notes in text</w:t>
      </w:r>
      <w:bookmarkEnd w:id="17"/>
      <w:bookmarkEnd w:id="18"/>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19" w:name="_Toc381880572"/>
      <w:bookmarkStart w:id="20" w:name="_Toc392162658"/>
      <w:bookmarkStart w:id="21" w:name="_Toc413764602"/>
      <w:bookmarkStart w:id="22" w:name="_Toc413764725"/>
      <w:bookmarkStart w:id="23" w:name="_Toc413841431"/>
      <w:bookmarkStart w:id="24" w:name="_Toc413847490"/>
      <w:r>
        <w:rPr>
          <w:rStyle w:val="CharPartNo"/>
        </w:rPr>
        <w:t>Part 2</w:t>
      </w:r>
      <w:r>
        <w:t xml:space="preserve"> — </w:t>
      </w:r>
      <w:r>
        <w:rPr>
          <w:rStyle w:val="CharPartText"/>
        </w:rPr>
        <w:t>Liability and assessment</w:t>
      </w:r>
      <w:bookmarkEnd w:id="19"/>
      <w:bookmarkEnd w:id="20"/>
      <w:bookmarkEnd w:id="21"/>
      <w:bookmarkEnd w:id="22"/>
      <w:bookmarkEnd w:id="23"/>
      <w:bookmarkEnd w:id="24"/>
    </w:p>
    <w:p>
      <w:pPr>
        <w:pStyle w:val="Heading3"/>
      </w:pPr>
      <w:bookmarkStart w:id="25" w:name="_Toc381880573"/>
      <w:bookmarkStart w:id="26" w:name="_Toc392162659"/>
      <w:bookmarkStart w:id="27" w:name="_Toc413764603"/>
      <w:bookmarkStart w:id="28" w:name="_Toc413764726"/>
      <w:bookmarkStart w:id="29" w:name="_Toc413841432"/>
      <w:bookmarkStart w:id="30" w:name="_Toc413847491"/>
      <w:r>
        <w:rPr>
          <w:rStyle w:val="CharDivNo"/>
        </w:rPr>
        <w:t>Division 1</w:t>
      </w:r>
      <w:r>
        <w:t xml:space="preserve"> — </w:t>
      </w:r>
      <w:r>
        <w:rPr>
          <w:rStyle w:val="CharDivText"/>
        </w:rPr>
        <w:t>Liability to pay</w:t>
      </w:r>
      <w:r>
        <w:rPr>
          <w:rStyle w:val="CharDivText"/>
        </w:rPr>
        <w:noBreakHyphen/>
        <w:t>roll tax</w:t>
      </w:r>
      <w:bookmarkEnd w:id="25"/>
      <w:bookmarkEnd w:id="26"/>
      <w:bookmarkEnd w:id="27"/>
      <w:bookmarkEnd w:id="28"/>
      <w:bookmarkEnd w:id="29"/>
      <w:bookmarkEnd w:id="30"/>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31" w:name="_Toc392162660"/>
      <w:bookmarkStart w:id="32" w:name="_Toc413847492"/>
      <w:r>
        <w:rPr>
          <w:rStyle w:val="CharSectno"/>
        </w:rPr>
        <w:t>5</w:t>
      </w:r>
      <w:r>
        <w:t>.</w:t>
      </w:r>
      <w:r>
        <w:tab/>
        <w:t>Pay</w:t>
      </w:r>
      <w:r>
        <w:noBreakHyphen/>
        <w:t>roll tax on WA taxable wages</w:t>
      </w:r>
      <w:bookmarkEnd w:id="31"/>
      <w:bookmarkEnd w:id="32"/>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33" w:name="_Toc392162661"/>
      <w:bookmarkStart w:id="34" w:name="_Toc413847493"/>
      <w:r>
        <w:rPr>
          <w:rStyle w:val="CharSectno"/>
        </w:rPr>
        <w:t>6A</w:t>
      </w:r>
      <w:r>
        <w:t>.</w:t>
      </w:r>
      <w:r>
        <w:tab/>
        <w:t>Wages that are taxable in this jurisdiction</w:t>
      </w:r>
      <w:bookmarkEnd w:id="33"/>
      <w:bookmarkEnd w:id="34"/>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spacing w:before="140"/>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spacing w:before="140"/>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35" w:name="_Toc392162662"/>
      <w:bookmarkStart w:id="36" w:name="_Toc413847494"/>
      <w:r>
        <w:rPr>
          <w:rStyle w:val="CharSectno"/>
        </w:rPr>
        <w:t>6B</w:t>
      </w:r>
      <w:r>
        <w:t>.</w:t>
      </w:r>
      <w:r>
        <w:tab/>
        <w:t>Jurisdiction in which person who performs services is based</w:t>
      </w:r>
      <w:bookmarkEnd w:id="35"/>
      <w:bookmarkEnd w:id="36"/>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37" w:name="_Toc392162663"/>
      <w:bookmarkStart w:id="38" w:name="_Toc413847495"/>
      <w:r>
        <w:rPr>
          <w:rStyle w:val="CharSectno"/>
        </w:rPr>
        <w:t>6C</w:t>
      </w:r>
      <w:r>
        <w:t>.</w:t>
      </w:r>
      <w:r>
        <w:tab/>
        <w:t>Jurisdiction in which employer is based</w:t>
      </w:r>
      <w:bookmarkEnd w:id="37"/>
      <w:bookmarkEnd w:id="38"/>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39" w:name="_Toc392162664"/>
      <w:bookmarkStart w:id="40" w:name="_Toc413847496"/>
      <w:r>
        <w:rPr>
          <w:rStyle w:val="CharSectno"/>
        </w:rPr>
        <w:t>6D</w:t>
      </w:r>
      <w:r>
        <w:t>.</w:t>
      </w:r>
      <w:r>
        <w:tab/>
        <w:t>Place and date of payment of wages</w:t>
      </w:r>
      <w:bookmarkEnd w:id="39"/>
      <w:bookmarkEnd w:id="40"/>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41" w:name="_Toc392162665"/>
      <w:bookmarkStart w:id="42" w:name="_Toc413847497"/>
      <w:r>
        <w:rPr>
          <w:rStyle w:val="CharSectno"/>
        </w:rPr>
        <w:t>6</w:t>
      </w:r>
      <w:r>
        <w:t>.</w:t>
      </w:r>
      <w:r>
        <w:tab/>
        <w:t>Time for payment of pay</w:t>
      </w:r>
      <w:r>
        <w:noBreakHyphen/>
        <w:t>roll tax</w:t>
      </w:r>
      <w:bookmarkEnd w:id="41"/>
      <w:bookmarkEnd w:id="42"/>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43" w:name="_Toc392162666"/>
      <w:bookmarkStart w:id="44" w:name="_Toc413847498"/>
      <w:r>
        <w:rPr>
          <w:rStyle w:val="CharSectno"/>
        </w:rPr>
        <w:t>7</w:t>
      </w:r>
      <w:r>
        <w:t>.</w:t>
      </w:r>
      <w:r>
        <w:tab/>
        <w:t>Liability to pay</w:t>
      </w:r>
      <w:r>
        <w:noBreakHyphen/>
        <w:t>roll tax</w:t>
      </w:r>
      <w:bookmarkEnd w:id="43"/>
      <w:bookmarkEnd w:id="44"/>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45" w:name="_Toc392132936"/>
      <w:bookmarkStart w:id="46" w:name="_Toc392143945"/>
      <w:bookmarkStart w:id="47" w:name="_Toc392162667"/>
      <w:bookmarkStart w:id="48" w:name="_Toc413847499"/>
      <w:r>
        <w:rPr>
          <w:rStyle w:val="CharSectno"/>
        </w:rPr>
        <w:t>8</w:t>
      </w:r>
      <w:r>
        <w:t>.</w:t>
      </w:r>
      <w:r>
        <w:tab/>
        <w:t>The tax threshold</w:t>
      </w:r>
      <w:bookmarkEnd w:id="45"/>
      <w:bookmarkEnd w:id="46"/>
      <w:bookmarkEnd w:id="47"/>
      <w:bookmarkEnd w:id="48"/>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Footnotesection"/>
      </w:pPr>
      <w:r>
        <w:tab/>
        <w:t>[Section 8 inserted by No. 15 of 2014 s. 9.]</w:t>
      </w:r>
    </w:p>
    <w:p>
      <w:pPr>
        <w:pStyle w:val="Ednotesection"/>
      </w:pPr>
      <w:r>
        <w:t>[</w:t>
      </w:r>
      <w:r>
        <w:rPr>
          <w:b/>
        </w:rPr>
        <w:t>9.</w:t>
      </w:r>
      <w:r>
        <w:tab/>
        <w:t>Deleted by No. 40 of 2003 s. 13.]</w:t>
      </w:r>
    </w:p>
    <w:p>
      <w:pPr>
        <w:pStyle w:val="Heading3"/>
      </w:pPr>
      <w:bookmarkStart w:id="49" w:name="_Toc381880582"/>
      <w:bookmarkStart w:id="50" w:name="_Toc392162668"/>
      <w:bookmarkStart w:id="51" w:name="_Toc413764612"/>
      <w:bookmarkStart w:id="52" w:name="_Toc413764735"/>
      <w:bookmarkStart w:id="53" w:name="_Toc413841441"/>
      <w:bookmarkStart w:id="54" w:name="_Toc413847500"/>
      <w:r>
        <w:rPr>
          <w:rStyle w:val="CharDivNo"/>
        </w:rPr>
        <w:t>Division 2A</w:t>
      </w:r>
      <w:r>
        <w:t> — </w:t>
      </w:r>
      <w:r>
        <w:rPr>
          <w:rStyle w:val="CharDivText"/>
        </w:rPr>
        <w:t>Wages</w:t>
      </w:r>
      <w:bookmarkEnd w:id="49"/>
      <w:bookmarkEnd w:id="50"/>
      <w:bookmarkEnd w:id="51"/>
      <w:bookmarkEnd w:id="52"/>
      <w:bookmarkEnd w:id="53"/>
      <w:bookmarkEnd w:id="54"/>
    </w:p>
    <w:p>
      <w:pPr>
        <w:pStyle w:val="Footnoteheading"/>
        <w:spacing w:before="100"/>
      </w:pPr>
      <w:r>
        <w:tab/>
        <w:t>[Heading inserted by No. 15 of 2010 s. 7.]</w:t>
      </w:r>
    </w:p>
    <w:p>
      <w:pPr>
        <w:pStyle w:val="Heading4"/>
      </w:pPr>
      <w:bookmarkStart w:id="55" w:name="_Toc381880583"/>
      <w:bookmarkStart w:id="56" w:name="_Toc392162669"/>
      <w:bookmarkStart w:id="57" w:name="_Toc413764613"/>
      <w:bookmarkStart w:id="58" w:name="_Toc413764736"/>
      <w:bookmarkStart w:id="59" w:name="_Toc413841442"/>
      <w:bookmarkStart w:id="60" w:name="_Toc413847501"/>
      <w:r>
        <w:t>Subdivision 1 — General concept of wages</w:t>
      </w:r>
      <w:bookmarkEnd w:id="55"/>
      <w:bookmarkEnd w:id="56"/>
      <w:bookmarkEnd w:id="57"/>
      <w:bookmarkEnd w:id="58"/>
      <w:bookmarkEnd w:id="59"/>
      <w:bookmarkEnd w:id="60"/>
    </w:p>
    <w:p>
      <w:pPr>
        <w:pStyle w:val="Footnoteheading"/>
        <w:spacing w:before="100"/>
      </w:pPr>
      <w:r>
        <w:tab/>
        <w:t>[Heading inserted by No. 15 of 2010 s. 7.]</w:t>
      </w:r>
    </w:p>
    <w:p>
      <w:pPr>
        <w:pStyle w:val="Heading5"/>
      </w:pPr>
      <w:bookmarkStart w:id="61" w:name="_Toc392162670"/>
      <w:bookmarkStart w:id="62" w:name="_Toc413847502"/>
      <w:r>
        <w:rPr>
          <w:rStyle w:val="CharSectno"/>
        </w:rPr>
        <w:t>9AA</w:t>
      </w:r>
      <w:r>
        <w:t>.</w:t>
      </w:r>
      <w:r>
        <w:tab/>
        <w:t>Term used: wages</w:t>
      </w:r>
      <w:bookmarkEnd w:id="61"/>
      <w:bookmarkEnd w:id="62"/>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63" w:name="_Toc381880585"/>
      <w:bookmarkStart w:id="64" w:name="_Toc392162671"/>
      <w:bookmarkStart w:id="65" w:name="_Toc413764615"/>
      <w:bookmarkStart w:id="66" w:name="_Toc413764738"/>
      <w:bookmarkStart w:id="67" w:name="_Toc413841444"/>
      <w:bookmarkStart w:id="68" w:name="_Toc413847503"/>
      <w:r>
        <w:t>Subdivision 2 — Fringe benefits and specified taxable benefits</w:t>
      </w:r>
      <w:bookmarkEnd w:id="63"/>
      <w:bookmarkEnd w:id="64"/>
      <w:bookmarkEnd w:id="65"/>
      <w:bookmarkEnd w:id="66"/>
      <w:bookmarkEnd w:id="67"/>
      <w:bookmarkEnd w:id="68"/>
    </w:p>
    <w:p>
      <w:pPr>
        <w:pStyle w:val="Footnoteheading"/>
      </w:pPr>
      <w:r>
        <w:tab/>
        <w:t>[Heading inserted by No. 15 of 2010 s. 7.]</w:t>
      </w:r>
    </w:p>
    <w:p>
      <w:pPr>
        <w:pStyle w:val="Heading5"/>
      </w:pPr>
      <w:bookmarkStart w:id="69" w:name="_Toc392162672"/>
      <w:bookmarkStart w:id="70" w:name="_Toc413847504"/>
      <w:r>
        <w:rPr>
          <w:rStyle w:val="CharSectno"/>
        </w:rPr>
        <w:t>9BA</w:t>
      </w:r>
      <w:r>
        <w:t>.</w:t>
      </w:r>
      <w:r>
        <w:tab/>
        <w:t>Wages include fringe benefits and specified taxable benefits</w:t>
      </w:r>
      <w:bookmarkEnd w:id="69"/>
      <w:bookmarkEnd w:id="70"/>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71" w:name="_Toc392162673"/>
      <w:bookmarkStart w:id="72" w:name="_Toc413847505"/>
      <w:r>
        <w:rPr>
          <w:rStyle w:val="CharSectno"/>
        </w:rPr>
        <w:t>9BB</w:t>
      </w:r>
      <w:r>
        <w:t>.</w:t>
      </w:r>
      <w:r>
        <w:tab/>
        <w:t>Actual value of fringe benefit</w:t>
      </w:r>
      <w:bookmarkEnd w:id="71"/>
      <w:bookmarkEnd w:id="72"/>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73" w:name="_Toc392162674"/>
      <w:bookmarkStart w:id="74" w:name="_Toc413847506"/>
      <w:r>
        <w:rPr>
          <w:rStyle w:val="CharSectno"/>
        </w:rPr>
        <w:t>9BC</w:t>
      </w:r>
      <w:r>
        <w:t>.</w:t>
      </w:r>
      <w:r>
        <w:tab/>
        <w:t>Basis for including value of fringe benefits in returns</w:t>
      </w:r>
      <w:bookmarkEnd w:id="73"/>
      <w:bookmarkEnd w:id="74"/>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75" w:name="_Toc392162675"/>
      <w:bookmarkStart w:id="76" w:name="_Toc413847507"/>
      <w:r>
        <w:rPr>
          <w:rStyle w:val="CharSectno"/>
        </w:rPr>
        <w:t>9BD</w:t>
      </w:r>
      <w:r>
        <w:t>.</w:t>
      </w:r>
      <w:r>
        <w:tab/>
        <w:t>Eligibility to use estimated value method</w:t>
      </w:r>
      <w:bookmarkEnd w:id="75"/>
      <w:bookmarkEnd w:id="76"/>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77" w:name="_Toc392162676"/>
      <w:bookmarkStart w:id="78" w:name="_Toc413847508"/>
      <w:r>
        <w:rPr>
          <w:rStyle w:val="CharSectno"/>
        </w:rPr>
        <w:t>9BE</w:t>
      </w:r>
      <w:r>
        <w:t>.</w:t>
      </w:r>
      <w:r>
        <w:tab/>
        <w:t>Returns (other than annual returns) using estimated value method</w:t>
      </w:r>
      <w:bookmarkEnd w:id="77"/>
      <w:bookmarkEnd w:id="78"/>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79" w:name="_Toc392162677"/>
      <w:bookmarkStart w:id="80" w:name="_Toc413847509"/>
      <w:r>
        <w:rPr>
          <w:rStyle w:val="CharSectno"/>
        </w:rPr>
        <w:t>9BF</w:t>
      </w:r>
      <w:r>
        <w:t>.</w:t>
      </w:r>
      <w:r>
        <w:tab/>
        <w:t>Annual returns using estimated value method</w:t>
      </w:r>
      <w:bookmarkEnd w:id="79"/>
      <w:bookmarkEnd w:id="80"/>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81" w:name="_Toc392162678"/>
      <w:bookmarkStart w:id="82" w:name="_Toc413847510"/>
      <w:r>
        <w:rPr>
          <w:rStyle w:val="CharSectno"/>
        </w:rPr>
        <w:t>9BG</w:t>
      </w:r>
      <w:r>
        <w:t>.</w:t>
      </w:r>
      <w:r>
        <w:tab/>
        <w:t>Final returns using estimated value method</w:t>
      </w:r>
      <w:bookmarkEnd w:id="81"/>
      <w:bookmarkEnd w:id="82"/>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83" w:name="_Toc392162679"/>
      <w:bookmarkStart w:id="84" w:name="_Toc413847511"/>
      <w:r>
        <w:rPr>
          <w:rStyle w:val="CharSectno"/>
        </w:rPr>
        <w:t>9BH</w:t>
      </w:r>
      <w:r>
        <w:t>.</w:t>
      </w:r>
      <w:r>
        <w:tab/>
        <w:t>Changing method of valuing fringe benefits</w:t>
      </w:r>
      <w:bookmarkEnd w:id="83"/>
      <w:bookmarkEnd w:id="84"/>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85" w:name="_Toc392162680"/>
      <w:bookmarkStart w:id="86" w:name="_Toc413847512"/>
      <w:r>
        <w:rPr>
          <w:rStyle w:val="CharSectno"/>
        </w:rPr>
        <w:t>9BI</w:t>
      </w:r>
      <w:r>
        <w:t>.</w:t>
      </w:r>
      <w:r>
        <w:tab/>
        <w:t>Value of specified taxable benefit</w:t>
      </w:r>
      <w:bookmarkEnd w:id="85"/>
      <w:bookmarkEnd w:id="86"/>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87" w:name="_Toc381880595"/>
      <w:bookmarkStart w:id="88" w:name="_Toc392162681"/>
      <w:bookmarkStart w:id="89" w:name="_Toc413764625"/>
      <w:bookmarkStart w:id="90" w:name="_Toc413764748"/>
      <w:bookmarkStart w:id="91" w:name="_Toc413841454"/>
      <w:bookmarkStart w:id="92" w:name="_Toc413847513"/>
      <w:r>
        <w:t>Subdivision 3 — Superannuation contributions</w:t>
      </w:r>
      <w:bookmarkEnd w:id="87"/>
      <w:bookmarkEnd w:id="88"/>
      <w:bookmarkEnd w:id="89"/>
      <w:bookmarkEnd w:id="90"/>
      <w:bookmarkEnd w:id="91"/>
      <w:bookmarkEnd w:id="92"/>
    </w:p>
    <w:p>
      <w:pPr>
        <w:pStyle w:val="Footnoteheading"/>
      </w:pPr>
      <w:r>
        <w:tab/>
        <w:t>[Heading inserted by No. 15 of 2010 s. 7.]</w:t>
      </w:r>
    </w:p>
    <w:p>
      <w:pPr>
        <w:pStyle w:val="Heading5"/>
      </w:pPr>
      <w:bookmarkStart w:id="93" w:name="_Toc392162682"/>
      <w:bookmarkStart w:id="94" w:name="_Toc413847514"/>
      <w:r>
        <w:rPr>
          <w:rStyle w:val="CharSectno"/>
        </w:rPr>
        <w:t>9CA</w:t>
      </w:r>
      <w:r>
        <w:t>.</w:t>
      </w:r>
      <w:r>
        <w:tab/>
        <w:t>Terms used</w:t>
      </w:r>
      <w:bookmarkEnd w:id="93"/>
      <w:bookmarkEnd w:id="94"/>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95" w:name="_Toc392162683"/>
      <w:bookmarkStart w:id="96" w:name="_Toc413847515"/>
      <w:r>
        <w:rPr>
          <w:rStyle w:val="CharSectno"/>
        </w:rPr>
        <w:t>9CB</w:t>
      </w:r>
      <w:r>
        <w:t>.</w:t>
      </w:r>
      <w:r>
        <w:tab/>
        <w:t>Wages include superannuation contributions and other similar amounts</w:t>
      </w:r>
      <w:bookmarkEnd w:id="95"/>
      <w:bookmarkEnd w:id="96"/>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97" w:name="_Toc392162684"/>
      <w:bookmarkStart w:id="98" w:name="_Toc413847516"/>
      <w:r>
        <w:rPr>
          <w:rStyle w:val="CharSectno"/>
        </w:rPr>
        <w:t>9CC</w:t>
      </w:r>
      <w:r>
        <w:t>.</w:t>
      </w:r>
      <w:r>
        <w:tab/>
        <w:t>Superannuation contributions</w:t>
      </w:r>
      <w:bookmarkEnd w:id="97"/>
      <w:bookmarkEnd w:id="98"/>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99" w:name="_Toc392162685"/>
      <w:bookmarkStart w:id="100" w:name="_Toc413847517"/>
      <w:r>
        <w:rPr>
          <w:rStyle w:val="CharSectno"/>
        </w:rPr>
        <w:t>9CD</w:t>
      </w:r>
      <w:r>
        <w:t>.</w:t>
      </w:r>
      <w:r>
        <w:tab/>
        <w:t>Notional contributions</w:t>
      </w:r>
      <w:bookmarkEnd w:id="99"/>
      <w:bookmarkEnd w:id="100"/>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101" w:name="_Toc381880600"/>
      <w:bookmarkStart w:id="102" w:name="_Toc392162686"/>
      <w:bookmarkStart w:id="103" w:name="_Toc413764630"/>
      <w:bookmarkStart w:id="104" w:name="_Toc413764753"/>
      <w:bookmarkStart w:id="105" w:name="_Toc413841459"/>
      <w:bookmarkStart w:id="106" w:name="_Toc413847518"/>
      <w:r>
        <w:t>Subdivision 4 — Shares and options</w:t>
      </w:r>
      <w:bookmarkEnd w:id="101"/>
      <w:bookmarkEnd w:id="102"/>
      <w:bookmarkEnd w:id="103"/>
      <w:bookmarkEnd w:id="104"/>
      <w:bookmarkEnd w:id="105"/>
      <w:bookmarkEnd w:id="106"/>
    </w:p>
    <w:p>
      <w:pPr>
        <w:pStyle w:val="Footnoteheading"/>
        <w:spacing w:before="100"/>
      </w:pPr>
      <w:r>
        <w:tab/>
        <w:t>[Heading inserted by No. 15 of 2010 s. 7.]</w:t>
      </w:r>
    </w:p>
    <w:p>
      <w:pPr>
        <w:pStyle w:val="Heading5"/>
      </w:pPr>
      <w:bookmarkStart w:id="107" w:name="_Toc392162687"/>
      <w:bookmarkStart w:id="108" w:name="_Toc413847519"/>
      <w:r>
        <w:rPr>
          <w:rStyle w:val="CharSectno"/>
        </w:rPr>
        <w:t>9DA</w:t>
      </w:r>
      <w:r>
        <w:t>.</w:t>
      </w:r>
      <w:r>
        <w:tab/>
        <w:t>Wages include shares and options granted to employees</w:t>
      </w:r>
      <w:bookmarkEnd w:id="107"/>
      <w:bookmarkEnd w:id="108"/>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NotesPerm"/>
        <w:tabs>
          <w:tab w:val="clear" w:pos="879"/>
          <w:tab w:val="left" w:pos="851"/>
        </w:tabs>
        <w:ind w:left="1418" w:hanging="1418"/>
      </w:pPr>
      <w:r>
        <w:tab/>
        <w:t>Note:</w:t>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109" w:name="_Toc392162688"/>
      <w:bookmarkStart w:id="110" w:name="_Toc413847520"/>
      <w:r>
        <w:rPr>
          <w:rStyle w:val="CharSectno"/>
        </w:rPr>
        <w:t>9DB</w:t>
      </w:r>
      <w:r>
        <w:t>.</w:t>
      </w:r>
      <w:r>
        <w:tab/>
        <w:t>Relevant day: choice of</w:t>
      </w:r>
      <w:bookmarkEnd w:id="109"/>
      <w:bookmarkEnd w:id="110"/>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111" w:name="_Toc392162689"/>
      <w:bookmarkStart w:id="112" w:name="_Toc413847521"/>
      <w:r>
        <w:rPr>
          <w:rStyle w:val="CharSectno"/>
        </w:rPr>
        <w:t>9DC</w:t>
      </w:r>
      <w:r>
        <w:t>.</w:t>
      </w:r>
      <w:r>
        <w:tab/>
        <w:t>Relevant day: special cases</w:t>
      </w:r>
      <w:bookmarkEnd w:id="111"/>
      <w:bookmarkEnd w:id="112"/>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113" w:name="_Toc392162690"/>
      <w:bookmarkStart w:id="114" w:name="_Toc413847522"/>
      <w:r>
        <w:rPr>
          <w:rStyle w:val="CharSectno"/>
        </w:rPr>
        <w:t>9DD</w:t>
      </w:r>
      <w:r>
        <w:t>.</w:t>
      </w:r>
      <w:r>
        <w:tab/>
        <w:t>Value of shares and options</w:t>
      </w:r>
      <w:bookmarkEnd w:id="113"/>
      <w:bookmarkEnd w:id="114"/>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NotesPerm"/>
        <w:tabs>
          <w:tab w:val="clear" w:pos="879"/>
          <w:tab w:val="left" w:pos="851"/>
        </w:tabs>
        <w:ind w:left="1418" w:hanging="1418"/>
      </w:pPr>
      <w:r>
        <w:tab/>
        <w:t>Note:</w:t>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115" w:name="_Toc392162691"/>
      <w:bookmarkStart w:id="116" w:name="_Toc413847523"/>
      <w:r>
        <w:rPr>
          <w:rStyle w:val="CharSectno"/>
        </w:rPr>
        <w:t>9DE</w:t>
      </w:r>
      <w:r>
        <w:t>.</w:t>
      </w:r>
      <w:r>
        <w:tab/>
        <w:t>Effect of rescission, cancellation etc. of share or option</w:t>
      </w:r>
      <w:bookmarkEnd w:id="115"/>
      <w:bookmarkEnd w:id="116"/>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117" w:name="_Toc392162692"/>
      <w:bookmarkStart w:id="118" w:name="_Toc413847524"/>
      <w:r>
        <w:rPr>
          <w:rStyle w:val="CharSectno"/>
        </w:rPr>
        <w:t>9DF</w:t>
      </w:r>
      <w:r>
        <w:t>.</w:t>
      </w:r>
      <w:r>
        <w:tab/>
        <w:t>Grant of share under exercise of option</w:t>
      </w:r>
      <w:bookmarkEnd w:id="117"/>
      <w:bookmarkEnd w:id="118"/>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119" w:name="_Toc392162693"/>
      <w:bookmarkStart w:id="120" w:name="_Toc413847525"/>
      <w:r>
        <w:rPr>
          <w:rStyle w:val="CharSectno"/>
        </w:rPr>
        <w:t>9DG</w:t>
      </w:r>
      <w:r>
        <w:t>.</w:t>
      </w:r>
      <w:r>
        <w:tab/>
        <w:t>Wages include certain shares and options granted to directors</w:t>
      </w:r>
      <w:bookmarkEnd w:id="119"/>
      <w:bookmarkEnd w:id="120"/>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121" w:name="_Toc392162694"/>
      <w:bookmarkStart w:id="122" w:name="_Toc413847526"/>
      <w:r>
        <w:rPr>
          <w:rStyle w:val="CharSectno"/>
        </w:rPr>
        <w:t>9DH</w:t>
      </w:r>
      <w:r>
        <w:t>.</w:t>
      </w:r>
      <w:r>
        <w:tab/>
        <w:t>Place where wages (as shares or options) are payable</w:t>
      </w:r>
      <w:bookmarkEnd w:id="121"/>
      <w:bookmarkEnd w:id="122"/>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123" w:name="_Toc381880609"/>
      <w:bookmarkStart w:id="124" w:name="_Toc392162695"/>
      <w:bookmarkStart w:id="125" w:name="_Toc413764639"/>
      <w:bookmarkStart w:id="126" w:name="_Toc413764762"/>
      <w:bookmarkStart w:id="127" w:name="_Toc413841468"/>
      <w:bookmarkStart w:id="128" w:name="_Toc413847527"/>
      <w:r>
        <w:t>Subdivision 5 — Termination payments</w:t>
      </w:r>
      <w:bookmarkEnd w:id="123"/>
      <w:bookmarkEnd w:id="124"/>
      <w:bookmarkEnd w:id="125"/>
      <w:bookmarkEnd w:id="126"/>
      <w:bookmarkEnd w:id="127"/>
      <w:bookmarkEnd w:id="128"/>
    </w:p>
    <w:p>
      <w:pPr>
        <w:pStyle w:val="Footnoteheading"/>
      </w:pPr>
      <w:r>
        <w:tab/>
        <w:t>[Heading inserted by No. 15 of 2010 s. 7.]</w:t>
      </w:r>
    </w:p>
    <w:p>
      <w:pPr>
        <w:pStyle w:val="Heading5"/>
        <w:spacing w:before="200"/>
      </w:pPr>
      <w:bookmarkStart w:id="129" w:name="_Toc392162696"/>
      <w:bookmarkStart w:id="130" w:name="_Toc413847528"/>
      <w:r>
        <w:rPr>
          <w:rStyle w:val="CharSectno"/>
        </w:rPr>
        <w:t>9EA</w:t>
      </w:r>
      <w:r>
        <w:t>.</w:t>
      </w:r>
      <w:r>
        <w:tab/>
        <w:t>Wages include termination payments</w:t>
      </w:r>
      <w:bookmarkEnd w:id="129"/>
      <w:bookmarkEnd w:id="130"/>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131" w:name="_Toc381880611"/>
      <w:bookmarkStart w:id="132" w:name="_Toc392162697"/>
      <w:bookmarkStart w:id="133" w:name="_Toc413764641"/>
      <w:bookmarkStart w:id="134" w:name="_Toc413764764"/>
      <w:bookmarkStart w:id="135" w:name="_Toc413841470"/>
      <w:bookmarkStart w:id="136" w:name="_Toc413847529"/>
      <w:r>
        <w:t>Subdivision 6 — Allowances</w:t>
      </w:r>
      <w:bookmarkEnd w:id="131"/>
      <w:bookmarkEnd w:id="132"/>
      <w:bookmarkEnd w:id="133"/>
      <w:bookmarkEnd w:id="134"/>
      <w:bookmarkEnd w:id="135"/>
      <w:bookmarkEnd w:id="136"/>
    </w:p>
    <w:p>
      <w:pPr>
        <w:pStyle w:val="Footnoteheading"/>
      </w:pPr>
      <w:r>
        <w:tab/>
        <w:t>[Heading inserted by No. 15 of 2010 s. 7.]</w:t>
      </w:r>
    </w:p>
    <w:p>
      <w:pPr>
        <w:pStyle w:val="Heading5"/>
      </w:pPr>
      <w:bookmarkStart w:id="137" w:name="_Toc392162698"/>
      <w:bookmarkStart w:id="138" w:name="_Toc413847530"/>
      <w:r>
        <w:rPr>
          <w:rStyle w:val="CharSectno"/>
        </w:rPr>
        <w:t>9FA</w:t>
      </w:r>
      <w:r>
        <w:t>.</w:t>
      </w:r>
      <w:r>
        <w:tab/>
        <w:t>Motor vehicle allowances</w:t>
      </w:r>
      <w:bookmarkEnd w:id="137"/>
      <w:bookmarkEnd w:id="138"/>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139" w:name="_Toc392162699"/>
      <w:bookmarkStart w:id="140" w:name="_Toc413847531"/>
      <w:r>
        <w:rPr>
          <w:rStyle w:val="CharSectno"/>
        </w:rPr>
        <w:t>9FB</w:t>
      </w:r>
      <w:r>
        <w:t>.</w:t>
      </w:r>
      <w:r>
        <w:tab/>
        <w:t>Accommodation allowances</w:t>
      </w:r>
      <w:bookmarkEnd w:id="139"/>
      <w:bookmarkEnd w:id="140"/>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141" w:name="_Toc381880614"/>
      <w:bookmarkStart w:id="142" w:name="_Toc392162700"/>
      <w:bookmarkStart w:id="143" w:name="_Toc413764644"/>
      <w:bookmarkStart w:id="144" w:name="_Toc413764767"/>
      <w:bookmarkStart w:id="145" w:name="_Toc413841473"/>
      <w:bookmarkStart w:id="146" w:name="_Toc413847532"/>
      <w:r>
        <w:t>Subdivision 7 — Employment agents</w:t>
      </w:r>
      <w:bookmarkEnd w:id="141"/>
      <w:bookmarkEnd w:id="142"/>
      <w:bookmarkEnd w:id="143"/>
      <w:bookmarkEnd w:id="144"/>
      <w:bookmarkEnd w:id="145"/>
      <w:bookmarkEnd w:id="146"/>
    </w:p>
    <w:p>
      <w:pPr>
        <w:pStyle w:val="Footnoteheading"/>
      </w:pPr>
      <w:r>
        <w:tab/>
        <w:t>[Heading inserted by No. 15 of 2010 s. 7.]</w:t>
      </w:r>
    </w:p>
    <w:p>
      <w:pPr>
        <w:pStyle w:val="Heading5"/>
      </w:pPr>
      <w:bookmarkStart w:id="147" w:name="_Toc392162701"/>
      <w:bookmarkStart w:id="148" w:name="_Toc413847533"/>
      <w:r>
        <w:rPr>
          <w:rStyle w:val="CharSectno"/>
        </w:rPr>
        <w:t>9GA</w:t>
      </w:r>
      <w:r>
        <w:t>.</w:t>
      </w:r>
      <w:r>
        <w:tab/>
        <w:t>Wages include amounts paid by employment agents</w:t>
      </w:r>
      <w:bookmarkEnd w:id="147"/>
      <w:bookmarkEnd w:id="148"/>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149" w:name="_Toc381880616"/>
      <w:bookmarkStart w:id="150" w:name="_Toc392162702"/>
      <w:bookmarkStart w:id="151" w:name="_Toc413764646"/>
      <w:bookmarkStart w:id="152" w:name="_Toc413764769"/>
      <w:bookmarkStart w:id="153" w:name="_Toc413841475"/>
      <w:bookmarkStart w:id="154" w:name="_Toc413847534"/>
      <w:r>
        <w:t>Subdivision 8 — Miscellaneous provisions</w:t>
      </w:r>
      <w:bookmarkEnd w:id="149"/>
      <w:bookmarkEnd w:id="150"/>
      <w:bookmarkEnd w:id="151"/>
      <w:bookmarkEnd w:id="152"/>
      <w:bookmarkEnd w:id="153"/>
      <w:bookmarkEnd w:id="154"/>
    </w:p>
    <w:p>
      <w:pPr>
        <w:pStyle w:val="Footnoteheading"/>
        <w:spacing w:before="80"/>
      </w:pPr>
      <w:r>
        <w:tab/>
        <w:t>[Heading inserted by No. 15 of 2010 s. 7.]</w:t>
      </w:r>
    </w:p>
    <w:p>
      <w:pPr>
        <w:pStyle w:val="Heading5"/>
      </w:pPr>
      <w:bookmarkStart w:id="155" w:name="_Toc392162703"/>
      <w:bookmarkStart w:id="156" w:name="_Toc413847535"/>
      <w:r>
        <w:rPr>
          <w:rStyle w:val="CharSectno"/>
        </w:rPr>
        <w:t>9HA</w:t>
      </w:r>
      <w:r>
        <w:t>.</w:t>
      </w:r>
      <w:r>
        <w:tab/>
        <w:t>Value of wages paid in kind</w:t>
      </w:r>
      <w:bookmarkEnd w:id="155"/>
      <w:bookmarkEnd w:id="156"/>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157" w:name="_Toc392162704"/>
      <w:bookmarkStart w:id="158" w:name="_Toc413847536"/>
      <w:r>
        <w:rPr>
          <w:rStyle w:val="CharSectno"/>
        </w:rPr>
        <w:t>9HB</w:t>
      </w:r>
      <w:r>
        <w:t>.</w:t>
      </w:r>
      <w:r>
        <w:tab/>
        <w:t>GST excluded from wages</w:t>
      </w:r>
      <w:bookmarkEnd w:id="157"/>
      <w:bookmarkEnd w:id="158"/>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159" w:name="_Toc392162705"/>
      <w:bookmarkStart w:id="160" w:name="_Toc413847537"/>
      <w:r>
        <w:rPr>
          <w:rStyle w:val="CharSectno"/>
        </w:rPr>
        <w:t>9HC</w:t>
      </w:r>
      <w:r>
        <w:t>.</w:t>
      </w:r>
      <w:r>
        <w:tab/>
        <w:t>Wages paid by or to third parties</w:t>
      </w:r>
      <w:bookmarkEnd w:id="159"/>
      <w:bookmarkEnd w:id="160"/>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161" w:name="_Toc381880620"/>
      <w:bookmarkStart w:id="162" w:name="_Toc392162706"/>
      <w:bookmarkStart w:id="163" w:name="_Toc413764650"/>
      <w:bookmarkStart w:id="164" w:name="_Toc413764773"/>
      <w:bookmarkStart w:id="165" w:name="_Toc413841479"/>
      <w:bookmarkStart w:id="166" w:name="_Toc413847538"/>
      <w:r>
        <w:rPr>
          <w:rStyle w:val="CharDivNo"/>
        </w:rPr>
        <w:t>Division 2</w:t>
      </w:r>
      <w:r>
        <w:t xml:space="preserve"> — </w:t>
      </w:r>
      <w:r>
        <w:rPr>
          <w:rStyle w:val="CharDivText"/>
        </w:rPr>
        <w:t>Non</w:t>
      </w:r>
      <w:r>
        <w:rPr>
          <w:rStyle w:val="CharDivText"/>
        </w:rPr>
        <w:noBreakHyphen/>
        <w:t>group employers’ liability</w:t>
      </w:r>
      <w:bookmarkEnd w:id="161"/>
      <w:bookmarkEnd w:id="162"/>
      <w:bookmarkEnd w:id="163"/>
      <w:bookmarkEnd w:id="164"/>
      <w:bookmarkEnd w:id="165"/>
      <w:bookmarkEnd w:id="166"/>
    </w:p>
    <w:p>
      <w:pPr>
        <w:pStyle w:val="Heading5"/>
      </w:pPr>
      <w:bookmarkStart w:id="167" w:name="_Toc392162707"/>
      <w:bookmarkStart w:id="168" w:name="_Toc413847539"/>
      <w:r>
        <w:rPr>
          <w:rStyle w:val="CharSectno"/>
        </w:rPr>
        <w:t>10</w:t>
      </w:r>
      <w:r>
        <w:t>.</w:t>
      </w:r>
      <w:r>
        <w:tab/>
        <w:t>Annual tax liability: local non</w:t>
      </w:r>
      <w:r>
        <w:noBreakHyphen/>
        <w:t>group employers</w:t>
      </w:r>
      <w:bookmarkEnd w:id="167"/>
      <w:bookmarkEnd w:id="168"/>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spacing w:before="260"/>
      </w:pPr>
      <w:bookmarkStart w:id="169" w:name="_Toc392162708"/>
      <w:bookmarkStart w:id="170" w:name="_Toc413847540"/>
      <w:r>
        <w:rPr>
          <w:rStyle w:val="CharSectno"/>
        </w:rPr>
        <w:t>11</w:t>
      </w:r>
      <w:r>
        <w:t>.</w:t>
      </w:r>
      <w:r>
        <w:tab/>
        <w:t>Tax payable with returns: local non</w:t>
      </w:r>
      <w:r>
        <w:noBreakHyphen/>
        <w:t>group employers</w:t>
      </w:r>
      <w:bookmarkEnd w:id="169"/>
      <w:bookmarkEnd w:id="170"/>
    </w:p>
    <w:p>
      <w:pPr>
        <w:pStyle w:val="Subsection"/>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spacing w:before="260"/>
      </w:pPr>
      <w:bookmarkStart w:id="171" w:name="_Toc392162709"/>
      <w:bookmarkStart w:id="172" w:name="_Toc413847541"/>
      <w:r>
        <w:rPr>
          <w:rStyle w:val="CharSectno"/>
        </w:rPr>
        <w:t>12</w:t>
      </w:r>
      <w:r>
        <w:rPr>
          <w:color w:val="000000"/>
        </w:rPr>
        <w:t>.</w:t>
      </w:r>
      <w:r>
        <w:rPr>
          <w:color w:val="000000"/>
        </w:rPr>
        <w:tab/>
        <w:t>Apportioned threshold amount: local non</w:t>
      </w:r>
      <w:r>
        <w:rPr>
          <w:color w:val="000000"/>
        </w:rPr>
        <w:noBreakHyphen/>
        <w:t>group employers</w:t>
      </w:r>
      <w:bookmarkEnd w:id="171"/>
      <w:bookmarkEnd w:id="172"/>
    </w:p>
    <w:p>
      <w:pPr>
        <w:pStyle w:val="Subsection"/>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spacing w:before="120"/>
        <w:ind w:left="1440"/>
      </w:pPr>
      <w:r>
        <w:rPr>
          <w:position w:val="-28"/>
        </w:rPr>
        <w:object w:dxaOrig="1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o:ole="" fillcolor="window">
            <v:imagedata r:id="rId24" o:title=""/>
          </v:shape>
          <o:OLEObject Type="Embed" ProgID="Equation.3" ShapeID="_x0000_i1025" DrawAspect="Content" ObjectID="_1643583570" r:id="rId25"/>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keepNext/>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object w:dxaOrig="1620" w:dyaOrig="680">
          <v:shape id="_x0000_i1026" type="#_x0000_t75" style="width:80.25pt;height:33.75pt" o:ole="" fillcolor="window">
            <v:imagedata r:id="rId26" o:title=""/>
          </v:shape>
          <o:OLEObject Type="Embed" ProgID="Equation.3" ShapeID="_x0000_i1026" DrawAspect="Content" ObjectID="_1643583571" r:id="rId27"/>
        </w:obje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pPr>
      <w:bookmarkStart w:id="173" w:name="_Toc392162710"/>
      <w:bookmarkStart w:id="174" w:name="_Toc413847542"/>
      <w:r>
        <w:rPr>
          <w:rStyle w:val="CharSectno"/>
        </w:rPr>
        <w:t>13</w:t>
      </w:r>
      <w:r>
        <w:t>.</w:t>
      </w:r>
      <w:r>
        <w:tab/>
        <w:t>Annual tax liability: interstate non</w:t>
      </w:r>
      <w:r>
        <w:noBreakHyphen/>
        <w:t>group employers</w:t>
      </w:r>
      <w:bookmarkEnd w:id="173"/>
      <w:bookmarkEnd w:id="174"/>
    </w:p>
    <w:p>
      <w:pPr>
        <w:pStyle w:val="Subsection"/>
        <w:spacing w:before="14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pPr>
      <w:r>
        <w:rPr>
          <w:color w:val="000000"/>
        </w:rPr>
        <w:tab/>
        <w:t>(b)</w:t>
      </w:r>
      <w:r>
        <w:rPr>
          <w:color w:val="000000"/>
        </w:rPr>
        <w:tab/>
        <w:t>the apportioned threshold amount for the assessment year calculated in accordance with section 14(1).</w:t>
      </w:r>
    </w:p>
    <w:p>
      <w:pPr>
        <w:pStyle w:val="Subsection"/>
        <w:spacing w:before="14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pPr>
      <w:bookmarkStart w:id="175" w:name="_Toc392162711"/>
      <w:bookmarkStart w:id="176" w:name="_Toc413847543"/>
      <w:r>
        <w:rPr>
          <w:rStyle w:val="CharSectno"/>
        </w:rPr>
        <w:t>14</w:t>
      </w:r>
      <w:r>
        <w:rPr>
          <w:color w:val="000000"/>
        </w:rPr>
        <w:t>.</w:t>
      </w:r>
      <w:r>
        <w:rPr>
          <w:color w:val="000000"/>
        </w:rPr>
        <w:tab/>
        <w:t>Apportioned threshold amounts: interstate non</w:t>
      </w:r>
      <w:r>
        <w:rPr>
          <w:color w:val="000000"/>
        </w:rPr>
        <w:noBreakHyphen/>
        <w:t>group employers</w:t>
      </w:r>
      <w:bookmarkEnd w:id="175"/>
      <w:bookmarkEnd w:id="176"/>
    </w:p>
    <w:p>
      <w:pPr>
        <w:pStyle w:val="Subsection"/>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object w:dxaOrig="1680" w:dyaOrig="760">
          <v:shape id="_x0000_i1027" type="#_x0000_t75" style="width:83.25pt;height:38.25pt" o:ole="" fillcolor="window">
            <v:imagedata r:id="rId28" o:title=""/>
          </v:shape>
          <o:OLEObject Type="Embed" ProgID="Equation.3" ShapeID="_x0000_i1027" DrawAspect="Content" ObjectID="_1643583572" r:id="rId29"/>
        </w:obje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object w:dxaOrig="2260" w:dyaOrig="760">
          <v:shape id="_x0000_i1028" type="#_x0000_t75" style="width:113.25pt;height:38.25pt" o:ole="" fillcolor="window">
            <v:imagedata r:id="rId30" o:title=""/>
          </v:shape>
          <o:OLEObject Type="Embed" ProgID="Equation.3" ShapeID="_x0000_i1028" DrawAspect="Content" ObjectID="_1643583573" r:id="rId31"/>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177" w:name="_Toc392162712"/>
      <w:bookmarkStart w:id="178" w:name="_Toc413847544"/>
      <w:r>
        <w:rPr>
          <w:rStyle w:val="CharSectno"/>
        </w:rPr>
        <w:t>15</w:t>
      </w:r>
      <w:r>
        <w:t>.</w:t>
      </w:r>
      <w:r>
        <w:tab/>
        <w:t>Tax payable with progressive returns: interstate non</w:t>
      </w:r>
      <w:r>
        <w:noBreakHyphen/>
        <w:t>group employers</w:t>
      </w:r>
      <w:bookmarkEnd w:id="177"/>
      <w:bookmarkEnd w:id="178"/>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179" w:name="_Toc392162713"/>
      <w:bookmarkStart w:id="180" w:name="_Toc413847545"/>
      <w:r>
        <w:rPr>
          <w:rStyle w:val="CharSectno"/>
        </w:rPr>
        <w:t>16</w:t>
      </w:r>
      <w:r>
        <w:t>.</w:t>
      </w:r>
      <w:r>
        <w:tab/>
        <w:t>Annual reconciliation: non</w:t>
      </w:r>
      <w:r>
        <w:noBreakHyphen/>
        <w:t>group employers</w:t>
      </w:r>
      <w:bookmarkEnd w:id="179"/>
      <w:bookmarkEnd w:id="180"/>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181" w:name="_Toc381880628"/>
      <w:bookmarkStart w:id="182" w:name="_Toc392162714"/>
      <w:bookmarkStart w:id="183" w:name="_Toc413764658"/>
      <w:bookmarkStart w:id="184" w:name="_Toc413764781"/>
      <w:bookmarkStart w:id="185" w:name="_Toc413841487"/>
      <w:bookmarkStart w:id="186" w:name="_Toc413847546"/>
      <w:r>
        <w:rPr>
          <w:rStyle w:val="CharDivNo"/>
        </w:rPr>
        <w:t>Division 3</w:t>
      </w:r>
      <w:r>
        <w:t xml:space="preserve"> — </w:t>
      </w:r>
      <w:r>
        <w:rPr>
          <w:rStyle w:val="CharDivText"/>
        </w:rPr>
        <w:t>Group employers’ liability</w:t>
      </w:r>
      <w:bookmarkEnd w:id="181"/>
      <w:bookmarkEnd w:id="182"/>
      <w:bookmarkEnd w:id="183"/>
      <w:bookmarkEnd w:id="184"/>
      <w:bookmarkEnd w:id="185"/>
      <w:bookmarkEnd w:id="186"/>
    </w:p>
    <w:p>
      <w:pPr>
        <w:pStyle w:val="Heading5"/>
      </w:pPr>
      <w:bookmarkStart w:id="187" w:name="_Toc392162715"/>
      <w:bookmarkStart w:id="188" w:name="_Toc413847547"/>
      <w:r>
        <w:rPr>
          <w:rStyle w:val="CharSectno"/>
        </w:rPr>
        <w:t>17</w:t>
      </w:r>
      <w:r>
        <w:t>.</w:t>
      </w:r>
      <w:r>
        <w:tab/>
        <w:t>Annual tax liability: groups</w:t>
      </w:r>
      <w:bookmarkEnd w:id="187"/>
      <w:bookmarkEnd w:id="188"/>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ind w:left="890" w:hanging="890"/>
      </w:pPr>
      <w:r>
        <w:tab/>
        <w:t>[Section 17 amended by No. 40 of 2003 s. 20.]</w:t>
      </w:r>
    </w:p>
    <w:p>
      <w:pPr>
        <w:pStyle w:val="Heading5"/>
      </w:pPr>
      <w:bookmarkStart w:id="189" w:name="_Toc392162716"/>
      <w:bookmarkStart w:id="190" w:name="_Toc413847548"/>
      <w:r>
        <w:rPr>
          <w:rStyle w:val="CharSectno"/>
        </w:rPr>
        <w:t>18</w:t>
      </w:r>
      <w:r>
        <w:rPr>
          <w:color w:val="000000"/>
        </w:rPr>
        <w:t>.</w:t>
      </w:r>
      <w:r>
        <w:rPr>
          <w:color w:val="000000"/>
        </w:rPr>
        <w:tab/>
        <w:t>Apportioned threshold amounts: groups</w:t>
      </w:r>
      <w:bookmarkEnd w:id="189"/>
      <w:bookmarkEnd w:id="190"/>
    </w:p>
    <w:p>
      <w:pPr>
        <w:pStyle w:val="Subsection"/>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spacing w:before="60"/>
        <w:ind w:left="1440"/>
      </w:pPr>
      <w:r>
        <w:rPr>
          <w:position w:val="-32"/>
        </w:rPr>
        <w:object w:dxaOrig="1680" w:dyaOrig="760">
          <v:shape id="_x0000_i1029" type="#_x0000_t75" style="width:83.25pt;height:38.25pt" o:ole="" fillcolor="window">
            <v:imagedata r:id="rId32" o:title=""/>
          </v:shape>
          <o:OLEObject Type="Embed" ProgID="Equation.3" ShapeID="_x0000_i1029" DrawAspect="Content" ObjectID="_1643583574" r:id="rId33"/>
        </w:object>
      </w:r>
    </w:p>
    <w:p>
      <w:pPr>
        <w:pStyle w:val="Subsection"/>
        <w:keepNext/>
      </w:pPr>
      <w:r>
        <w:tab/>
      </w:r>
      <w:r>
        <w:tab/>
        <w:t>where —</w:t>
      </w:r>
    </w:p>
    <w:p>
      <w:pPr>
        <w:pStyle w:val="Defstart"/>
        <w:spacing w:before="100"/>
      </w:pPr>
      <w:r>
        <w:tab/>
      </w:r>
      <w:r>
        <w:rPr>
          <w:b/>
          <w:bCs/>
          <w:i/>
          <w:iCs/>
        </w:rPr>
        <w:t>T</w:t>
      </w:r>
      <w:r>
        <w:t xml:space="preserve"> is the annual threshold amount for the assessment year;</w:t>
      </w:r>
    </w:p>
    <w:p>
      <w:pPr>
        <w:pStyle w:val="Defstart"/>
        <w:spacing w:before="100"/>
      </w:pPr>
      <w:r>
        <w:tab/>
      </w:r>
      <w:r>
        <w:rPr>
          <w:b/>
          <w:bCs/>
          <w:i/>
          <w:iCs/>
        </w:rPr>
        <w:t>W</w:t>
      </w:r>
      <w:r>
        <w:t xml:space="preserve"> is the total amount of WA taxable wages paid or payable by the group for the assessment year;</w:t>
      </w:r>
    </w:p>
    <w:p>
      <w:pPr>
        <w:pStyle w:val="Defstart"/>
        <w:spacing w:before="100"/>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spacing w:before="60"/>
        <w:ind w:left="1440"/>
      </w:pPr>
      <w:r>
        <w:rPr>
          <w:position w:val="-32"/>
        </w:rPr>
        <w:object w:dxaOrig="2260" w:dyaOrig="760">
          <v:shape id="_x0000_i1030" type="#_x0000_t75" style="width:113.25pt;height:38.25pt" o:ole="" fillcolor="window">
            <v:imagedata r:id="rId34" o:title=""/>
          </v:shape>
          <o:OLEObject Type="Embed" ProgID="Equation.3" ShapeID="_x0000_i1030" DrawAspect="Content" ObjectID="_1643583575" r:id="rId35"/>
        </w:object>
      </w:r>
    </w:p>
    <w:p>
      <w:pPr>
        <w:pStyle w:val="Subsection"/>
        <w:keepNext/>
      </w:pPr>
      <w:r>
        <w:tab/>
      </w:r>
      <w:r>
        <w:tab/>
        <w:t>where —</w:t>
      </w:r>
    </w:p>
    <w:p>
      <w:pPr>
        <w:pStyle w:val="Defstart"/>
        <w:spacing w:before="60"/>
      </w:pPr>
      <w:r>
        <w:tab/>
      </w:r>
      <w:r>
        <w:rPr>
          <w:b/>
          <w:bCs/>
          <w:i/>
          <w:iCs/>
        </w:rPr>
        <w:t>T</w:t>
      </w:r>
      <w:r>
        <w:t xml:space="preserve"> is the annual threshold amount for the assessment year;</w:t>
      </w:r>
    </w:p>
    <w:p>
      <w:pPr>
        <w:pStyle w:val="Defstart"/>
        <w:spacing w:before="100"/>
      </w:pPr>
      <w:r>
        <w:tab/>
      </w:r>
      <w:r>
        <w:rPr>
          <w:b/>
          <w:bCs/>
          <w:i/>
          <w:iCs/>
        </w:rPr>
        <w:t>W</w:t>
      </w:r>
      <w:r>
        <w:t xml:space="preserve"> is the total amount of WA taxable wages paid or payable by the group for that part of the assessment year;</w:t>
      </w:r>
    </w:p>
    <w:p>
      <w:pPr>
        <w:pStyle w:val="Defstart"/>
        <w:spacing w:before="100"/>
      </w:pPr>
      <w:r>
        <w:tab/>
      </w:r>
      <w:r>
        <w:rPr>
          <w:b/>
          <w:bCs/>
          <w:i/>
          <w:iCs/>
        </w:rPr>
        <w:t>I</w:t>
      </w:r>
      <w:r>
        <w:t xml:space="preserve"> is the total amount of interstate taxable wages paid or payable by the group during that part of the assessment year;</w:t>
      </w:r>
    </w:p>
    <w:p>
      <w:pPr>
        <w:pStyle w:val="Defstart"/>
        <w:spacing w:before="100"/>
      </w:pPr>
      <w:r>
        <w:tab/>
      </w:r>
      <w:r>
        <w:rPr>
          <w:b/>
          <w:bCs/>
          <w:i/>
          <w:iCs/>
        </w:rPr>
        <w:t>P</w:t>
      </w:r>
      <w:r>
        <w:t xml:space="preserve"> is the number of days in that part of the assessment year;</w:t>
      </w:r>
    </w:p>
    <w:p>
      <w:pPr>
        <w:pStyle w:val="Defstart"/>
        <w:spacing w:before="100"/>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191" w:name="_Toc392162717"/>
      <w:bookmarkStart w:id="192" w:name="_Toc413847549"/>
      <w:r>
        <w:rPr>
          <w:rStyle w:val="CharSectno"/>
        </w:rPr>
        <w:t>19</w:t>
      </w:r>
      <w:r>
        <w:t>.</w:t>
      </w:r>
      <w:r>
        <w:tab/>
        <w:t>Tax payable with progressive returns: groups</w:t>
      </w:r>
      <w:bookmarkEnd w:id="191"/>
      <w:bookmarkEnd w:id="192"/>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193" w:name="_Toc392162718"/>
      <w:bookmarkStart w:id="194" w:name="_Toc413847550"/>
      <w:r>
        <w:rPr>
          <w:rStyle w:val="CharSectno"/>
        </w:rPr>
        <w:t>20</w:t>
      </w:r>
      <w:r>
        <w:t>.</w:t>
      </w:r>
      <w:r>
        <w:tab/>
        <w:t>Annual reconciliation: groups</w:t>
      </w:r>
      <w:bookmarkEnd w:id="193"/>
      <w:bookmarkEnd w:id="194"/>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195" w:name="_Toc381880633"/>
      <w:bookmarkStart w:id="196" w:name="_Toc392162719"/>
      <w:bookmarkStart w:id="197" w:name="_Toc413764663"/>
      <w:bookmarkStart w:id="198" w:name="_Toc413764786"/>
      <w:bookmarkStart w:id="199" w:name="_Toc413841492"/>
      <w:bookmarkStart w:id="200" w:name="_Toc413847551"/>
      <w:r>
        <w:rPr>
          <w:rStyle w:val="CharDivNo"/>
        </w:rPr>
        <w:t>Division 4</w:t>
      </w:r>
      <w:r>
        <w:t xml:space="preserve"> — </w:t>
      </w:r>
      <w:r>
        <w:rPr>
          <w:rStyle w:val="CharDivText"/>
        </w:rPr>
        <w:t>Assessment generally</w:t>
      </w:r>
      <w:bookmarkEnd w:id="195"/>
      <w:bookmarkEnd w:id="196"/>
      <w:bookmarkEnd w:id="197"/>
      <w:bookmarkEnd w:id="198"/>
      <w:bookmarkEnd w:id="199"/>
      <w:bookmarkEnd w:id="200"/>
    </w:p>
    <w:p>
      <w:pPr>
        <w:pStyle w:val="Heading5"/>
      </w:pPr>
      <w:bookmarkStart w:id="201" w:name="_Toc392162720"/>
      <w:bookmarkStart w:id="202" w:name="_Toc413847552"/>
      <w:r>
        <w:rPr>
          <w:rStyle w:val="CharSectno"/>
        </w:rPr>
        <w:t>21</w:t>
      </w:r>
      <w:r>
        <w:t>.</w:t>
      </w:r>
      <w:r>
        <w:tab/>
        <w:t>Tax</w:t>
      </w:r>
      <w:r>
        <w:noBreakHyphen/>
        <w:t>reducing arrangements</w:t>
      </w:r>
      <w:bookmarkEnd w:id="201"/>
      <w:bookmarkEnd w:id="202"/>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203" w:name="_Toc392162721"/>
      <w:bookmarkStart w:id="204" w:name="_Toc413847553"/>
      <w:r>
        <w:rPr>
          <w:rStyle w:val="CharSectno"/>
        </w:rPr>
        <w:t>22</w:t>
      </w:r>
      <w:r>
        <w:t>.</w:t>
      </w:r>
      <w:r>
        <w:tab/>
        <w:t>Adjustments for changes in annual threshold amount</w:t>
      </w:r>
      <w:bookmarkEnd w:id="203"/>
      <w:bookmarkEnd w:id="204"/>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205" w:name="_Toc392162722"/>
      <w:bookmarkStart w:id="206" w:name="_Toc413847554"/>
      <w:r>
        <w:rPr>
          <w:rStyle w:val="CharSectno"/>
        </w:rPr>
        <w:t>22A</w:t>
      </w:r>
      <w:r>
        <w:t>.</w:t>
      </w:r>
      <w:r>
        <w:tab/>
        <w:t>Effect of change in tax rate during 2004/5 year</w:t>
      </w:r>
      <w:bookmarkEnd w:id="205"/>
      <w:bookmarkEnd w:id="206"/>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60"/>
      </w:pPr>
      <w:r>
        <w:tab/>
        <w:t>(a)</w:t>
      </w:r>
      <w:r>
        <w:tab/>
        <w:t>separate amounts are to be calculated, as described in subsection (5), for —</w:t>
      </w:r>
    </w:p>
    <w:p>
      <w:pPr>
        <w:pStyle w:val="Indenti"/>
        <w:spacing w:before="60"/>
      </w:pPr>
      <w:r>
        <w:tab/>
        <w:t>(i)</w:t>
      </w:r>
      <w:r>
        <w:tab/>
        <w:t xml:space="preserve">any part of the tax period that is before 1 January 2005 (the </w:t>
      </w:r>
      <w:r>
        <w:rPr>
          <w:rStyle w:val="CharDefText"/>
        </w:rPr>
        <w:t>first part of the tax period</w:t>
      </w:r>
      <w:r>
        <w:t>); and</w:t>
      </w:r>
    </w:p>
    <w:p>
      <w:pPr>
        <w:pStyle w:val="Indenti"/>
        <w:spacing w:before="60"/>
      </w:pPr>
      <w:r>
        <w:tab/>
        <w:t>(ii)</w:t>
      </w:r>
      <w:r>
        <w:tab/>
        <w:t xml:space="preserve">any part of the tax period that is after 31 December 2004 (the </w:t>
      </w:r>
      <w:r>
        <w:rPr>
          <w:rStyle w:val="CharDefText"/>
        </w:rPr>
        <w:t>second part of the tax period</w:t>
      </w:r>
      <w:r>
        <w:t>);</w:t>
      </w:r>
    </w:p>
    <w:p>
      <w:pPr>
        <w:pStyle w:val="Indenta"/>
        <w:spacing w:before="6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60"/>
      </w:pPr>
      <w:r>
        <w:tab/>
        <w:t>(a)</w:t>
      </w:r>
      <w:r>
        <w:tab/>
        <w:t>a reference to the tax period is to be taken to refer to the relevant part period, except in a reference to an annual threshold amount or an apportioned threshold amount; and</w:t>
      </w:r>
    </w:p>
    <w:p>
      <w:pPr>
        <w:pStyle w:val="Indenta"/>
        <w:spacing w:before="60"/>
      </w:pPr>
      <w:r>
        <w:tab/>
        <w:t>(b)</w:t>
      </w:r>
      <w:r>
        <w:tab/>
        <w:t>a reference to the pay</w:t>
      </w:r>
      <w:r>
        <w:noBreakHyphen/>
        <w:t>roll tax rate means —</w:t>
      </w:r>
    </w:p>
    <w:p>
      <w:pPr>
        <w:pStyle w:val="Indenti"/>
        <w:spacing w:before="60"/>
      </w:pPr>
      <w:r>
        <w:tab/>
        <w:t>(i)</w:t>
      </w:r>
      <w:r>
        <w:tab/>
        <w:t>if the relevant part period is the first part of the tax period, the old rate; and</w:t>
      </w:r>
    </w:p>
    <w:p>
      <w:pPr>
        <w:pStyle w:val="Indenti"/>
        <w:spacing w:before="60"/>
      </w:pPr>
      <w:r>
        <w:tab/>
        <w:t>(ii)</w:t>
      </w:r>
      <w:r>
        <w:tab/>
        <w:t>if the relevant part period is the second part of the tax period, the new rate;</w:t>
      </w:r>
    </w:p>
    <w:p>
      <w:pPr>
        <w:pStyle w:val="Indenta"/>
        <w:spacing w:before="60"/>
      </w:pPr>
      <w:r>
        <w:tab/>
      </w:r>
      <w:r>
        <w:tab/>
        <w:t>and</w:t>
      </w:r>
    </w:p>
    <w:p>
      <w:pPr>
        <w:pStyle w:val="Indenta"/>
        <w:spacing w:before="60"/>
      </w:pPr>
      <w:r>
        <w:tab/>
        <w:t>(c)</w:t>
      </w:r>
      <w:r>
        <w:tab/>
        <w:t>if the provision is section 10(1), the amount referred to in section 10(1)(b) is to be multiplied by the part period factor, as defined in subsection (6); and</w:t>
      </w:r>
    </w:p>
    <w:p>
      <w:pPr>
        <w:pStyle w:val="Indenta"/>
        <w:spacing w:before="60"/>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spacing w:before="140"/>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object w:dxaOrig="780" w:dyaOrig="620">
          <v:shape id="_x0000_i1031" type="#_x0000_t75" style="width:38.25pt;height:30.75pt" o:ole="">
            <v:imagedata r:id="rId36" o:title=""/>
          </v:shape>
          <o:OLEObject Type="Embed" ProgID="Equation.3" ShapeID="_x0000_i1031" DrawAspect="Content" ObjectID="_1643583576" r:id="rId37"/>
        </w:object>
      </w:r>
    </w:p>
    <w:p>
      <w:pPr>
        <w:pStyle w:val="Defstart"/>
      </w:pPr>
      <w:r>
        <w:tab/>
        <w:t>where —</w:t>
      </w:r>
    </w:p>
    <w:p>
      <w:pPr>
        <w:pStyle w:val="Defstart"/>
        <w:spacing w:before="60"/>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spacing w:before="60"/>
      </w:pPr>
      <w:r>
        <w:tab/>
      </w:r>
      <w:r>
        <w:rPr>
          <w:b/>
          <w:bCs/>
          <w:i/>
          <w:iCs/>
        </w:rPr>
        <w:t>W</w:t>
      </w:r>
      <w:r>
        <w:t xml:space="preserve"> is the total amount of WA taxable wages paid or payable by the employer or group during the tax period.</w:t>
      </w:r>
    </w:p>
    <w:p>
      <w:pPr>
        <w:pStyle w:val="Footnotesection"/>
        <w:spacing w:before="80"/>
      </w:pPr>
      <w:r>
        <w:tab/>
        <w:t>[Section 22A inserted by No. 82 of 2004 s. 4.]</w:t>
      </w:r>
    </w:p>
    <w:p>
      <w:pPr>
        <w:pStyle w:val="Heading5"/>
      </w:pPr>
      <w:bookmarkStart w:id="207" w:name="_Toc392162723"/>
      <w:bookmarkStart w:id="208" w:name="_Toc413847555"/>
      <w:r>
        <w:rPr>
          <w:rStyle w:val="CharSectno"/>
        </w:rPr>
        <w:t>23</w:t>
      </w:r>
      <w:r>
        <w:t>.</w:t>
      </w:r>
      <w:r>
        <w:tab/>
        <w:t>Taxable wages not paid throughout assessment year</w:t>
      </w:r>
      <w:bookmarkEnd w:id="207"/>
      <w:bookmarkEnd w:id="208"/>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209" w:name="_Toc381880638"/>
      <w:bookmarkStart w:id="210" w:name="_Toc392162724"/>
      <w:bookmarkStart w:id="211" w:name="_Toc413764668"/>
      <w:bookmarkStart w:id="212" w:name="_Toc413764791"/>
      <w:bookmarkStart w:id="213" w:name="_Toc413841497"/>
      <w:bookmarkStart w:id="214" w:name="_Toc413847556"/>
      <w:r>
        <w:rPr>
          <w:rStyle w:val="CharPartNo"/>
        </w:rPr>
        <w:t>Part 3</w:t>
      </w:r>
      <w:r>
        <w:rPr>
          <w:rStyle w:val="CharDivNo"/>
        </w:rPr>
        <w:t xml:space="preserve"> </w:t>
      </w:r>
      <w:r>
        <w:t>—</w:t>
      </w:r>
      <w:r>
        <w:rPr>
          <w:rStyle w:val="CharDivText"/>
        </w:rPr>
        <w:t xml:space="preserve"> </w:t>
      </w:r>
      <w:r>
        <w:rPr>
          <w:rStyle w:val="CharPartText"/>
        </w:rPr>
        <w:t>Registration and returns</w:t>
      </w:r>
      <w:bookmarkEnd w:id="209"/>
      <w:bookmarkEnd w:id="210"/>
      <w:bookmarkEnd w:id="211"/>
      <w:bookmarkEnd w:id="212"/>
      <w:bookmarkEnd w:id="213"/>
      <w:bookmarkEnd w:id="214"/>
    </w:p>
    <w:p>
      <w:pPr>
        <w:pStyle w:val="Heading5"/>
      </w:pPr>
      <w:bookmarkStart w:id="215" w:name="_Toc392162725"/>
      <w:bookmarkStart w:id="216" w:name="_Toc413847557"/>
      <w:r>
        <w:rPr>
          <w:rStyle w:val="CharSectno"/>
        </w:rPr>
        <w:t>24</w:t>
      </w:r>
      <w:r>
        <w:t>.</w:t>
      </w:r>
      <w:r>
        <w:tab/>
        <w:t>Applications for registration as employer</w:t>
      </w:r>
      <w:bookmarkEnd w:id="215"/>
      <w:bookmarkEnd w:id="216"/>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217" w:name="_Toc392162726"/>
      <w:bookmarkStart w:id="218" w:name="_Toc413847558"/>
      <w:r>
        <w:rPr>
          <w:rStyle w:val="CharSectno"/>
        </w:rPr>
        <w:t>25</w:t>
      </w:r>
      <w:r>
        <w:t>.</w:t>
      </w:r>
      <w:r>
        <w:tab/>
        <w:t>Registration and cancellation of registration</w:t>
      </w:r>
      <w:bookmarkEnd w:id="217"/>
      <w:bookmarkEnd w:id="218"/>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219" w:name="_Toc392162727"/>
      <w:bookmarkStart w:id="220" w:name="_Toc413847559"/>
      <w:r>
        <w:rPr>
          <w:rStyle w:val="CharSectno"/>
        </w:rPr>
        <w:t>26</w:t>
      </w:r>
      <w:r>
        <w:t>.</w:t>
      </w:r>
      <w:r>
        <w:tab/>
        <w:t>Monthly returns</w:t>
      </w:r>
      <w:bookmarkEnd w:id="219"/>
      <w:bookmarkEnd w:id="220"/>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221" w:name="_Toc392162728"/>
      <w:bookmarkStart w:id="222" w:name="_Toc413847560"/>
      <w:r>
        <w:rPr>
          <w:rStyle w:val="CharSectno"/>
        </w:rPr>
        <w:t>27</w:t>
      </w:r>
      <w:r>
        <w:t>.</w:t>
      </w:r>
      <w:r>
        <w:tab/>
        <w:t>Additional returns for reconciliation purposes</w:t>
      </w:r>
      <w:bookmarkEnd w:id="221"/>
      <w:bookmarkEnd w:id="222"/>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223" w:name="_Toc392162729"/>
      <w:bookmarkStart w:id="224" w:name="_Toc413847561"/>
      <w:r>
        <w:rPr>
          <w:rStyle w:val="CharSectno"/>
        </w:rPr>
        <w:t>28</w:t>
      </w:r>
      <w:r>
        <w:t>.</w:t>
      </w:r>
      <w:r>
        <w:tab/>
        <w:t>Further returns</w:t>
      </w:r>
      <w:bookmarkEnd w:id="223"/>
      <w:bookmarkEnd w:id="224"/>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225" w:name="_Toc392162730"/>
      <w:bookmarkStart w:id="226" w:name="_Toc413847562"/>
      <w:r>
        <w:rPr>
          <w:rStyle w:val="CharSectno"/>
        </w:rPr>
        <w:t>28A</w:t>
      </w:r>
      <w:r>
        <w:t>.</w:t>
      </w:r>
      <w:r>
        <w:tab/>
        <w:t>Manner of lodging and paying in certain cases</w:t>
      </w:r>
      <w:bookmarkEnd w:id="225"/>
      <w:bookmarkEnd w:id="226"/>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227" w:name="_Toc392162731"/>
      <w:bookmarkStart w:id="228" w:name="_Toc413847563"/>
      <w:r>
        <w:rPr>
          <w:rStyle w:val="CharSectno"/>
        </w:rPr>
        <w:t>29</w:t>
      </w:r>
      <w:r>
        <w:t>.</w:t>
      </w:r>
      <w:r>
        <w:tab/>
        <w:t>Exemptions from lodging monthly returns</w:t>
      </w:r>
      <w:bookmarkEnd w:id="227"/>
      <w:bookmarkEnd w:id="228"/>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229" w:name="_Toc381880646"/>
      <w:bookmarkStart w:id="230" w:name="_Toc392162732"/>
      <w:bookmarkStart w:id="231" w:name="_Toc413764676"/>
      <w:bookmarkStart w:id="232" w:name="_Toc413764799"/>
      <w:bookmarkStart w:id="233" w:name="_Toc413841505"/>
      <w:bookmarkStart w:id="234" w:name="_Toc413847564"/>
      <w:r>
        <w:rPr>
          <w:rStyle w:val="CharPartNo"/>
        </w:rPr>
        <w:t>Part 4</w:t>
      </w:r>
      <w:r>
        <w:t xml:space="preserve"> — </w:t>
      </w:r>
      <w:r>
        <w:rPr>
          <w:rStyle w:val="CharPartText"/>
        </w:rPr>
        <w:t>Constitution of business groups</w:t>
      </w:r>
      <w:bookmarkEnd w:id="229"/>
      <w:bookmarkEnd w:id="230"/>
      <w:bookmarkEnd w:id="231"/>
      <w:bookmarkEnd w:id="232"/>
      <w:bookmarkEnd w:id="233"/>
      <w:bookmarkEnd w:id="234"/>
    </w:p>
    <w:p>
      <w:pPr>
        <w:pStyle w:val="Heading5"/>
      </w:pPr>
      <w:bookmarkStart w:id="235" w:name="_Toc392162733"/>
      <w:bookmarkStart w:id="236" w:name="_Toc413847565"/>
      <w:r>
        <w:rPr>
          <w:rStyle w:val="CharSectno"/>
        </w:rPr>
        <w:t>30</w:t>
      </w:r>
      <w:r>
        <w:t>.</w:t>
      </w:r>
      <w:r>
        <w:tab/>
        <w:t>Grouping corporations</w:t>
      </w:r>
      <w:bookmarkEnd w:id="235"/>
      <w:bookmarkEnd w:id="236"/>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237" w:name="_Toc392162734"/>
      <w:bookmarkStart w:id="238" w:name="_Toc413847566"/>
      <w:r>
        <w:rPr>
          <w:rStyle w:val="CharSectno"/>
        </w:rPr>
        <w:t>31</w:t>
      </w:r>
      <w:r>
        <w:t>.</w:t>
      </w:r>
      <w:r>
        <w:tab/>
        <w:t>Grouping where employees used in another business</w:t>
      </w:r>
      <w:bookmarkEnd w:id="237"/>
      <w:bookmarkEnd w:id="238"/>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239" w:name="_Toc392162735"/>
      <w:bookmarkStart w:id="240" w:name="_Toc413847567"/>
      <w:r>
        <w:rPr>
          <w:rStyle w:val="CharSectno"/>
        </w:rPr>
        <w:t>32</w:t>
      </w:r>
      <w:r>
        <w:t>.</w:t>
      </w:r>
      <w:r>
        <w:tab/>
        <w:t>Grouping commonly controlled businesses</w:t>
      </w:r>
      <w:bookmarkEnd w:id="239"/>
      <w:bookmarkEnd w:id="240"/>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241" w:name="_Toc392162736"/>
      <w:bookmarkStart w:id="242" w:name="_Toc413847568"/>
      <w:r>
        <w:rPr>
          <w:rStyle w:val="CharSectno"/>
        </w:rPr>
        <w:t>33</w:t>
      </w:r>
      <w:r>
        <w:t>.</w:t>
      </w:r>
      <w:r>
        <w:tab/>
        <w:t>Controlling interest in business</w:t>
      </w:r>
      <w:bookmarkEnd w:id="241"/>
      <w:bookmarkEnd w:id="242"/>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243" w:name="_Toc392162737"/>
      <w:bookmarkStart w:id="244" w:name="_Toc413847569"/>
      <w:r>
        <w:rPr>
          <w:rStyle w:val="CharSectno"/>
        </w:rPr>
        <w:t>34</w:t>
      </w:r>
      <w:r>
        <w:t>.</w:t>
      </w:r>
      <w:r>
        <w:tab/>
        <w:t>Value of beneficial interest in discretionary trusts</w:t>
      </w:r>
      <w:bookmarkEnd w:id="243"/>
      <w:bookmarkEnd w:id="244"/>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245" w:name="_Toc392162738"/>
      <w:bookmarkStart w:id="246" w:name="_Toc413847570"/>
      <w:r>
        <w:rPr>
          <w:rStyle w:val="CharSectno"/>
        </w:rPr>
        <w:t>35A</w:t>
      </w:r>
      <w:r>
        <w:t>.</w:t>
      </w:r>
      <w:r>
        <w:tab/>
        <w:t>Groups arising from tracing of interests in corporations</w:t>
      </w:r>
      <w:bookmarkEnd w:id="245"/>
      <w:bookmarkEnd w:id="246"/>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247" w:name="_Toc392162739"/>
      <w:bookmarkStart w:id="248" w:name="_Toc413847571"/>
      <w:r>
        <w:rPr>
          <w:rStyle w:val="CharSectno"/>
        </w:rPr>
        <w:t>35B</w:t>
      </w:r>
      <w:r>
        <w:t>.</w:t>
      </w:r>
      <w:r>
        <w:tab/>
        <w:t>Direct interests</w:t>
      </w:r>
      <w:bookmarkEnd w:id="247"/>
      <w:bookmarkEnd w:id="248"/>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249" w:name="_Toc392162740"/>
      <w:bookmarkStart w:id="250" w:name="_Toc413847572"/>
      <w:r>
        <w:rPr>
          <w:rStyle w:val="CharSectno"/>
        </w:rPr>
        <w:t>35C</w:t>
      </w:r>
      <w:r>
        <w:t>.</w:t>
      </w:r>
      <w:r>
        <w:tab/>
        <w:t>Indirect interests</w:t>
      </w:r>
      <w:bookmarkEnd w:id="249"/>
      <w:bookmarkEnd w:id="250"/>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251" w:name="_Toc392162741"/>
      <w:bookmarkStart w:id="252" w:name="_Toc413847573"/>
      <w:r>
        <w:rPr>
          <w:rStyle w:val="CharSectno"/>
        </w:rPr>
        <w:t>35D</w:t>
      </w:r>
      <w:r>
        <w:t>.</w:t>
      </w:r>
      <w:r>
        <w:tab/>
        <w:t>Aggregate interests</w:t>
      </w:r>
      <w:bookmarkEnd w:id="251"/>
      <w:bookmarkEnd w:id="252"/>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253" w:name="_Toc392162742"/>
      <w:bookmarkStart w:id="254" w:name="_Toc413847574"/>
      <w:r>
        <w:rPr>
          <w:rStyle w:val="CharSectno"/>
        </w:rPr>
        <w:t>36</w:t>
      </w:r>
      <w:r>
        <w:t>.</w:t>
      </w:r>
      <w:r>
        <w:tab/>
        <w:t>Smaller groups subsumed into larger groups</w:t>
      </w:r>
      <w:bookmarkEnd w:id="253"/>
      <w:bookmarkEnd w:id="254"/>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255" w:name="_Toc392162743"/>
      <w:bookmarkStart w:id="256" w:name="_Toc413847575"/>
      <w:r>
        <w:rPr>
          <w:rStyle w:val="CharSectno"/>
        </w:rPr>
        <w:t>37</w:t>
      </w:r>
      <w:r>
        <w:t>.</w:t>
      </w:r>
      <w:r>
        <w:tab/>
        <w:t>Grouping provisions operate independently</w:t>
      </w:r>
      <w:bookmarkEnd w:id="255"/>
      <w:bookmarkEnd w:id="256"/>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257" w:name="_Toc392162744"/>
      <w:bookmarkStart w:id="258" w:name="_Toc413847576"/>
      <w:r>
        <w:rPr>
          <w:rStyle w:val="CharSectno"/>
        </w:rPr>
        <w:t>38</w:t>
      </w:r>
      <w:r>
        <w:t>.</w:t>
      </w:r>
      <w:r>
        <w:tab/>
        <w:t>Exclusion from groups</w:t>
      </w:r>
      <w:bookmarkEnd w:id="257"/>
      <w:bookmarkEnd w:id="258"/>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259" w:name="_Toc392162745"/>
      <w:bookmarkStart w:id="260" w:name="_Toc413847577"/>
      <w:r>
        <w:rPr>
          <w:rStyle w:val="CharSectno"/>
        </w:rPr>
        <w:t>39</w:t>
      </w:r>
      <w:r>
        <w:t>.</w:t>
      </w:r>
      <w:r>
        <w:tab/>
        <w:t>Designated group employer</w:t>
      </w:r>
      <w:bookmarkEnd w:id="259"/>
      <w:bookmarkEnd w:id="260"/>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261" w:name="_Toc381880660"/>
      <w:bookmarkStart w:id="262" w:name="_Toc392162746"/>
      <w:bookmarkStart w:id="263" w:name="_Toc413764690"/>
      <w:bookmarkStart w:id="264" w:name="_Toc413764813"/>
      <w:bookmarkStart w:id="265" w:name="_Toc413841519"/>
      <w:bookmarkStart w:id="266" w:name="_Toc413847578"/>
      <w:r>
        <w:rPr>
          <w:rStyle w:val="CharPartNo"/>
        </w:rPr>
        <w:t>Part 5</w:t>
      </w:r>
      <w:r>
        <w:rPr>
          <w:rStyle w:val="CharDivNo"/>
        </w:rPr>
        <w:t> </w:t>
      </w:r>
      <w:r>
        <w:t>—</w:t>
      </w:r>
      <w:r>
        <w:rPr>
          <w:rStyle w:val="CharDivText"/>
        </w:rPr>
        <w:t> </w:t>
      </w:r>
      <w:r>
        <w:rPr>
          <w:rStyle w:val="CharPartText"/>
        </w:rPr>
        <w:t>Exempt wages</w:t>
      </w:r>
      <w:bookmarkEnd w:id="261"/>
      <w:bookmarkEnd w:id="262"/>
      <w:bookmarkEnd w:id="263"/>
      <w:bookmarkEnd w:id="264"/>
      <w:bookmarkEnd w:id="265"/>
      <w:bookmarkEnd w:id="266"/>
    </w:p>
    <w:p>
      <w:pPr>
        <w:pStyle w:val="Footnoteheading"/>
      </w:pPr>
      <w:r>
        <w:tab/>
        <w:t>[Heading inserted by No. 15 of 2010 s. 12.]</w:t>
      </w:r>
    </w:p>
    <w:p>
      <w:pPr>
        <w:pStyle w:val="Heading5"/>
      </w:pPr>
      <w:bookmarkStart w:id="267" w:name="_Toc392162747"/>
      <w:bookmarkStart w:id="268" w:name="_Toc413847579"/>
      <w:r>
        <w:rPr>
          <w:rStyle w:val="CharSectno"/>
        </w:rPr>
        <w:t>40</w:t>
      </w:r>
      <w:r>
        <w:t>.</w:t>
      </w:r>
      <w:r>
        <w:tab/>
        <w:t>Exempt wages</w:t>
      </w:r>
      <w:bookmarkEnd w:id="267"/>
      <w:bookmarkEnd w:id="268"/>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by a public hospital for doing work of a kind ordinarily performed in connection with the conduct of public hospitals;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pPr>
      <w:r>
        <w:tab/>
        <w:t>(o)</w:t>
      </w:r>
      <w:r>
        <w:tab/>
        <w:t>by an employer to or in relation to a trainee employed under a training agreement as part of the Australian Traineeship System established by the Governments of the Commonwealth and the State; or</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w:t>
      </w:r>
    </w:p>
    <w:p>
      <w:pPr>
        <w:pStyle w:val="Heading5"/>
      </w:pPr>
      <w:bookmarkStart w:id="269" w:name="_Toc392162748"/>
      <w:bookmarkStart w:id="270" w:name="_Toc413847580"/>
      <w:r>
        <w:rPr>
          <w:rStyle w:val="CharSectno"/>
        </w:rPr>
        <w:t>41A</w:t>
      </w:r>
      <w:r>
        <w:t>.</w:t>
      </w:r>
      <w:r>
        <w:tab/>
        <w:t>Exempt wages: parental and adoption leave</w:t>
      </w:r>
      <w:bookmarkEnd w:id="269"/>
      <w:bookmarkEnd w:id="270"/>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NotesPerm"/>
        <w:tabs>
          <w:tab w:val="clear" w:pos="879"/>
          <w:tab w:val="left" w:pos="851"/>
        </w:tabs>
        <w:ind w:left="1418" w:hanging="1418"/>
      </w:pPr>
      <w:r>
        <w:tab/>
        <w:t>Note:</w:t>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271" w:name="_Toc392162749"/>
      <w:bookmarkStart w:id="272" w:name="_Toc413847581"/>
      <w:r>
        <w:rPr>
          <w:rStyle w:val="CharSectno"/>
        </w:rPr>
        <w:t>41B</w:t>
      </w:r>
      <w:r>
        <w:t>.</w:t>
      </w:r>
      <w:r>
        <w:tab/>
        <w:t>Exempt wages: wages paid or payable for or in relation to services performed in other countries</w:t>
      </w:r>
      <w:bookmarkEnd w:id="271"/>
      <w:bookmarkEnd w:id="272"/>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273" w:name="_Toc392162750"/>
      <w:bookmarkStart w:id="274" w:name="_Toc413847582"/>
      <w:r>
        <w:rPr>
          <w:rStyle w:val="CharSectno"/>
        </w:rPr>
        <w:t>41C</w:t>
      </w:r>
      <w:r>
        <w:t>.</w:t>
      </w:r>
      <w:r>
        <w:tab/>
        <w:t>Exempt wages: DSC disability support and disability wages subsidy</w:t>
      </w:r>
      <w:bookmarkEnd w:id="273"/>
      <w:bookmarkEnd w:id="274"/>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275" w:name="_Toc381880665"/>
      <w:bookmarkStart w:id="276" w:name="_Toc392162751"/>
      <w:bookmarkStart w:id="277" w:name="_Toc413764695"/>
      <w:bookmarkStart w:id="278" w:name="_Toc413764818"/>
      <w:bookmarkStart w:id="279" w:name="_Toc413841524"/>
      <w:bookmarkStart w:id="280" w:name="_Toc413847583"/>
      <w:r>
        <w:rPr>
          <w:rStyle w:val="CharPartNo"/>
        </w:rPr>
        <w:t>Part 6</w:t>
      </w:r>
      <w:r>
        <w:rPr>
          <w:rStyle w:val="CharDivNo"/>
        </w:rPr>
        <w:t> </w:t>
      </w:r>
      <w:r>
        <w:t>—</w:t>
      </w:r>
      <w:r>
        <w:rPr>
          <w:rStyle w:val="CharDivText"/>
        </w:rPr>
        <w:t> </w:t>
      </w:r>
      <w:r>
        <w:rPr>
          <w:rStyle w:val="CharPartText"/>
        </w:rPr>
        <w:t>Miscellaneous</w:t>
      </w:r>
      <w:bookmarkEnd w:id="275"/>
      <w:bookmarkEnd w:id="276"/>
      <w:bookmarkEnd w:id="277"/>
      <w:bookmarkEnd w:id="278"/>
      <w:bookmarkEnd w:id="279"/>
      <w:bookmarkEnd w:id="280"/>
    </w:p>
    <w:p>
      <w:pPr>
        <w:pStyle w:val="Footnoteheading"/>
      </w:pPr>
      <w:r>
        <w:tab/>
        <w:t>[Heading inserted by No. 15 of 2010 s. 15.]</w:t>
      </w:r>
    </w:p>
    <w:p>
      <w:pPr>
        <w:pStyle w:val="Heading5"/>
      </w:pPr>
      <w:bookmarkStart w:id="281" w:name="_Toc392162752"/>
      <w:bookmarkStart w:id="282" w:name="_Toc413847584"/>
      <w:r>
        <w:rPr>
          <w:rStyle w:val="CharSectno"/>
        </w:rPr>
        <w:t>41</w:t>
      </w:r>
      <w:r>
        <w:t>.</w:t>
      </w:r>
      <w:r>
        <w:tab/>
        <w:t>Exempting charitable bodies or organisations</w:t>
      </w:r>
      <w:bookmarkEnd w:id="281"/>
      <w:bookmarkEnd w:id="282"/>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by No. 12 of 2004 s. 7; No. 8 of 2015 s. 13.]</w:t>
      </w:r>
    </w:p>
    <w:p>
      <w:pPr>
        <w:pStyle w:val="Heading5"/>
      </w:pPr>
      <w:bookmarkStart w:id="283" w:name="_Toc412808337"/>
      <w:bookmarkStart w:id="284" w:name="_Toc413753272"/>
      <w:bookmarkStart w:id="285" w:name="_Toc413761785"/>
      <w:bookmarkStart w:id="286" w:name="_Toc413847585"/>
      <w:bookmarkStart w:id="287" w:name="_Toc392162753"/>
      <w:r>
        <w:rPr>
          <w:rStyle w:val="CharSectno"/>
        </w:rPr>
        <w:t>42A</w:t>
      </w:r>
      <w:r>
        <w:t>.</w:t>
      </w:r>
      <w:r>
        <w:tab/>
        <w:t>What is a relevant body</w:t>
      </w:r>
      <w:bookmarkEnd w:id="283"/>
      <w:bookmarkEnd w:id="284"/>
      <w:bookmarkEnd w:id="285"/>
      <w:bookmarkEnd w:id="286"/>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by No. 8 of 2015 s. 14.]</w:t>
      </w:r>
    </w:p>
    <w:p>
      <w:pPr>
        <w:pStyle w:val="Heading5"/>
      </w:pPr>
      <w:bookmarkStart w:id="288" w:name="_Toc412808338"/>
      <w:bookmarkStart w:id="289" w:name="_Toc413753273"/>
      <w:bookmarkStart w:id="290" w:name="_Toc413761786"/>
      <w:bookmarkStart w:id="291" w:name="_Toc413847586"/>
      <w:r>
        <w:rPr>
          <w:rStyle w:val="CharSectno"/>
        </w:rPr>
        <w:t>42B</w:t>
      </w:r>
      <w:r>
        <w:t>.</w:t>
      </w:r>
      <w:r>
        <w:tab/>
        <w:t>Application for a beneficial body determination</w:t>
      </w:r>
      <w:bookmarkEnd w:id="288"/>
      <w:bookmarkEnd w:id="289"/>
      <w:bookmarkEnd w:id="290"/>
      <w:bookmarkEnd w:id="291"/>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rPr>
          <w:rStyle w:val="CharDefText"/>
          <w:b w:val="0"/>
          <w:i w:val="0"/>
        </w:rPr>
        <w:t>)</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292" w:name="_Toc412808339"/>
      <w:bookmarkStart w:id="293" w:name="_Toc413753274"/>
      <w:bookmarkStart w:id="294" w:name="_Toc413761787"/>
      <w:r>
        <w:tab/>
        <w:t>[Section 42B inserted by No. 8 of 2015 s. 14.]</w:t>
      </w:r>
    </w:p>
    <w:p>
      <w:pPr>
        <w:pStyle w:val="Heading5"/>
      </w:pPr>
      <w:bookmarkStart w:id="295" w:name="_Toc413847587"/>
      <w:r>
        <w:rPr>
          <w:rStyle w:val="CharSectno"/>
        </w:rPr>
        <w:t>42C</w:t>
      </w:r>
      <w:r>
        <w:t>.</w:t>
      </w:r>
      <w:r>
        <w:tab/>
        <w:t>Beneficial body determination</w:t>
      </w:r>
      <w:bookmarkEnd w:id="292"/>
      <w:bookmarkEnd w:id="293"/>
      <w:bookmarkEnd w:id="294"/>
      <w:bookmarkEnd w:id="295"/>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by No. 8 of 2015 s. 14.]</w:t>
      </w:r>
    </w:p>
    <w:p>
      <w:pPr>
        <w:pStyle w:val="Heading5"/>
      </w:pPr>
      <w:bookmarkStart w:id="296" w:name="_Toc413847588"/>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287"/>
      <w:bookmarkEnd w:id="296"/>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297" w:name="_Toc392162754"/>
      <w:bookmarkStart w:id="298" w:name="_Toc413847589"/>
      <w:r>
        <w:rPr>
          <w:rStyle w:val="CharSectno"/>
        </w:rPr>
        <w:t>43</w:t>
      </w:r>
      <w:r>
        <w:t>.</w:t>
      </w:r>
      <w:r>
        <w:tab/>
        <w:t>Agents and trustees</w:t>
      </w:r>
      <w:bookmarkEnd w:id="297"/>
      <w:bookmarkEnd w:id="298"/>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299" w:name="_Toc392162755"/>
      <w:bookmarkStart w:id="300" w:name="_Toc413847590"/>
      <w:r>
        <w:rPr>
          <w:rStyle w:val="CharSectno"/>
        </w:rPr>
        <w:t>44</w:t>
      </w:r>
      <w:r>
        <w:t>.</w:t>
      </w:r>
      <w:r>
        <w:tab/>
        <w:t>Keeping books and accounts</w:t>
      </w:r>
      <w:bookmarkEnd w:id="299"/>
      <w:bookmarkEnd w:id="300"/>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301" w:name="_Toc392162756"/>
      <w:bookmarkStart w:id="302" w:name="_Toc413847591"/>
      <w:r>
        <w:rPr>
          <w:rStyle w:val="CharSectno"/>
        </w:rPr>
        <w:t>45</w:t>
      </w:r>
      <w:r>
        <w:t>.</w:t>
      </w:r>
      <w:r>
        <w:tab/>
        <w:t>Regulations</w:t>
      </w:r>
      <w:bookmarkEnd w:id="301"/>
      <w:bookmarkEnd w:id="30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303" w:name="_Toc392162757"/>
      <w:bookmarkStart w:id="304" w:name="_Toc413847592"/>
      <w:r>
        <w:rPr>
          <w:rStyle w:val="CharSectno"/>
        </w:rPr>
        <w:t>46</w:t>
      </w:r>
      <w:r>
        <w:t>.</w:t>
      </w:r>
      <w:r>
        <w:tab/>
        <w:t>Transitional provisions</w:t>
      </w:r>
      <w:bookmarkEnd w:id="303"/>
      <w:bookmarkEnd w:id="304"/>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38"/>
          <w:headerReference w:type="default" r:id="rId39"/>
          <w:headerReference w:type="first" r:id="rId40"/>
          <w:pgSz w:w="11907" w:h="16840" w:code="9"/>
          <w:pgMar w:top="2376" w:right="2405" w:bottom="3542" w:left="2405" w:header="706" w:footer="3380" w:gutter="0"/>
          <w:pgNumType w:start="1"/>
          <w:cols w:space="720"/>
          <w:noEndnote/>
          <w:titlePg/>
          <w:docGrid w:linePitch="326"/>
        </w:sectPr>
      </w:pPr>
    </w:p>
    <w:p>
      <w:pPr>
        <w:pStyle w:val="yScheduleHeading"/>
      </w:pPr>
      <w:bookmarkStart w:id="305" w:name="_Toc381880672"/>
      <w:bookmarkStart w:id="306" w:name="_Toc392162758"/>
      <w:bookmarkStart w:id="307" w:name="_Toc413764702"/>
      <w:bookmarkStart w:id="308" w:name="_Toc413764825"/>
      <w:bookmarkStart w:id="309" w:name="_Toc413841534"/>
      <w:bookmarkStart w:id="310" w:name="_Toc413847593"/>
      <w:r>
        <w:rPr>
          <w:rStyle w:val="CharSchNo"/>
        </w:rPr>
        <w:t>Schedule 1</w:t>
      </w:r>
      <w:r>
        <w:t> — </w:t>
      </w:r>
      <w:r>
        <w:rPr>
          <w:rStyle w:val="CharSchText"/>
        </w:rPr>
        <w:t>Transitional provisions</w:t>
      </w:r>
      <w:bookmarkEnd w:id="305"/>
      <w:bookmarkEnd w:id="306"/>
      <w:bookmarkEnd w:id="307"/>
      <w:bookmarkEnd w:id="308"/>
      <w:bookmarkEnd w:id="309"/>
      <w:bookmarkEnd w:id="310"/>
    </w:p>
    <w:p>
      <w:pPr>
        <w:pStyle w:val="yShoulderClause"/>
      </w:pPr>
      <w:r>
        <w:t>[s. 46]</w:t>
      </w:r>
    </w:p>
    <w:p>
      <w:pPr>
        <w:pStyle w:val="yFootnoteheading"/>
        <w:spacing w:before="80"/>
      </w:pPr>
      <w:r>
        <w:tab/>
        <w:t>[Heading inserted by No. 15 of 2010 s. 17.]</w:t>
      </w:r>
    </w:p>
    <w:p>
      <w:pPr>
        <w:pStyle w:val="yHeading3"/>
      </w:pPr>
      <w:bookmarkStart w:id="311" w:name="_Toc381880673"/>
      <w:bookmarkStart w:id="312" w:name="_Toc392162759"/>
      <w:bookmarkStart w:id="313" w:name="_Toc413764703"/>
      <w:bookmarkStart w:id="314" w:name="_Toc413764826"/>
      <w:bookmarkStart w:id="315" w:name="_Toc413841535"/>
      <w:bookmarkStart w:id="316" w:name="_Toc413847594"/>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311"/>
      <w:bookmarkEnd w:id="312"/>
      <w:bookmarkEnd w:id="313"/>
      <w:bookmarkEnd w:id="314"/>
      <w:bookmarkEnd w:id="315"/>
      <w:bookmarkEnd w:id="316"/>
    </w:p>
    <w:p>
      <w:pPr>
        <w:pStyle w:val="yFootnoteheading"/>
      </w:pPr>
      <w:r>
        <w:tab/>
        <w:t>[Heading inserted by No. 15 of 2010 s. 17.]</w:t>
      </w:r>
    </w:p>
    <w:p>
      <w:pPr>
        <w:pStyle w:val="yHeading5"/>
      </w:pPr>
      <w:bookmarkStart w:id="317" w:name="_Toc392162760"/>
      <w:bookmarkStart w:id="318" w:name="_Toc413847595"/>
      <w:r>
        <w:rPr>
          <w:rStyle w:val="CharSClsNo"/>
        </w:rPr>
        <w:t>1</w:t>
      </w:r>
      <w:r>
        <w:t>.</w:t>
      </w:r>
      <w:r>
        <w:rPr>
          <w:b w:val="0"/>
        </w:rPr>
        <w:tab/>
      </w:r>
      <w:r>
        <w:t>Liability to tax for assessment years commencing on 1 July 2009 and 1 July 2010</w:t>
      </w:r>
      <w:bookmarkEnd w:id="317"/>
      <w:bookmarkEnd w:id="318"/>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319" w:name="_Toc392162761"/>
      <w:bookmarkStart w:id="320" w:name="_Toc413847596"/>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319"/>
      <w:bookmarkEnd w:id="320"/>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321" w:name="_Toc392162762"/>
      <w:bookmarkStart w:id="322" w:name="_Toc413847597"/>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321"/>
      <w:bookmarkEnd w:id="322"/>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323" w:name="_Toc381880677"/>
      <w:bookmarkStart w:id="324" w:name="_Toc392162763"/>
      <w:bookmarkStart w:id="325" w:name="_Toc413764707"/>
      <w:bookmarkStart w:id="326" w:name="_Toc413764830"/>
      <w:bookmarkStart w:id="327" w:name="_Toc413841539"/>
      <w:bookmarkStart w:id="328" w:name="_Toc413847598"/>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323"/>
      <w:bookmarkEnd w:id="324"/>
      <w:bookmarkEnd w:id="325"/>
      <w:bookmarkEnd w:id="326"/>
      <w:bookmarkEnd w:id="327"/>
      <w:bookmarkEnd w:id="328"/>
    </w:p>
    <w:p>
      <w:pPr>
        <w:pStyle w:val="yFootnoteheading"/>
        <w:spacing w:after="60"/>
      </w:pPr>
      <w:r>
        <w:tab/>
        <w:t>[Heading inserted by No. 15 of 2010 s. 26.]</w:t>
      </w:r>
    </w:p>
    <w:p>
      <w:pPr>
        <w:pStyle w:val="yHeading5"/>
      </w:pPr>
      <w:bookmarkStart w:id="329" w:name="_Toc392162764"/>
      <w:bookmarkStart w:id="330" w:name="_Toc413847599"/>
      <w:r>
        <w:rPr>
          <w:rStyle w:val="CharSClsNo"/>
        </w:rPr>
        <w:t>4</w:t>
      </w:r>
      <w:r>
        <w:t>.</w:t>
      </w:r>
      <w:r>
        <w:rPr>
          <w:b w:val="0"/>
        </w:rPr>
        <w:tab/>
      </w:r>
      <w:r>
        <w:t>Exclusion from group in force before 1 July 2012</w:t>
      </w:r>
      <w:bookmarkEnd w:id="329"/>
      <w:bookmarkEnd w:id="330"/>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331" w:name="_Toc392162765"/>
      <w:bookmarkStart w:id="332" w:name="_Toc413847600"/>
      <w:r>
        <w:rPr>
          <w:rStyle w:val="CharSClsNo"/>
        </w:rPr>
        <w:t>5</w:t>
      </w:r>
      <w:r>
        <w:t>.</w:t>
      </w:r>
      <w:r>
        <w:rPr>
          <w:b w:val="0"/>
        </w:rPr>
        <w:tab/>
      </w:r>
      <w:r>
        <w:t>Exclusion from group granted on or after 1 July 2012</w:t>
      </w:r>
      <w:bookmarkEnd w:id="331"/>
      <w:bookmarkEnd w:id="332"/>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333" w:name="_Toc392162766"/>
      <w:bookmarkStart w:id="334" w:name="_Toc413847601"/>
      <w:r>
        <w:rPr>
          <w:rStyle w:val="CharSClsNo"/>
        </w:rPr>
        <w:t>6</w:t>
      </w:r>
      <w:r>
        <w:t>.</w:t>
      </w:r>
      <w:r>
        <w:rPr>
          <w:b w:val="0"/>
        </w:rPr>
        <w:tab/>
      </w:r>
      <w:r>
        <w:t>Exclusion from group having effect before 1 July 2012</w:t>
      </w:r>
      <w:bookmarkEnd w:id="333"/>
      <w:bookmarkEnd w:id="334"/>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335" w:name="_Toc381880681"/>
      <w:bookmarkStart w:id="336" w:name="_Toc392162767"/>
      <w:bookmarkStart w:id="337" w:name="_Toc413764711"/>
      <w:bookmarkStart w:id="338" w:name="_Toc413764834"/>
      <w:bookmarkStart w:id="339" w:name="_Toc413841543"/>
      <w:bookmarkStart w:id="340" w:name="_Toc413847602"/>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335"/>
      <w:bookmarkEnd w:id="336"/>
      <w:bookmarkEnd w:id="337"/>
      <w:bookmarkEnd w:id="338"/>
      <w:bookmarkEnd w:id="339"/>
      <w:bookmarkEnd w:id="340"/>
    </w:p>
    <w:p>
      <w:pPr>
        <w:pStyle w:val="yFootnoteheading"/>
        <w:spacing w:after="60"/>
      </w:pPr>
      <w:r>
        <w:tab/>
        <w:t>[Heading</w:t>
      </w:r>
      <w:r>
        <w:rPr>
          <w:vertAlign w:val="superscript"/>
        </w:rPr>
        <w:t> 3</w:t>
      </w:r>
      <w:r>
        <w:t xml:space="preserve"> inserted by No. 29 of 2012 s. 25.]</w:t>
      </w:r>
    </w:p>
    <w:p>
      <w:pPr>
        <w:pStyle w:val="yHeading5"/>
      </w:pPr>
      <w:bookmarkStart w:id="341" w:name="_Toc392162768"/>
      <w:bookmarkStart w:id="342" w:name="_Toc413847603"/>
      <w:r>
        <w:rPr>
          <w:rStyle w:val="CharSClsNo"/>
        </w:rPr>
        <w:t>7</w:t>
      </w:r>
      <w:r>
        <w:t>.</w:t>
      </w:r>
      <w:r>
        <w:rPr>
          <w:b w:val="0"/>
        </w:rPr>
        <w:tab/>
      </w:r>
      <w:r>
        <w:t>Assessment and payment of pay</w:t>
      </w:r>
      <w:r>
        <w:noBreakHyphen/>
        <w:t>roll tax in relation to employee shares and options</w:t>
      </w:r>
      <w:bookmarkEnd w:id="341"/>
      <w:bookmarkEnd w:id="342"/>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NotesPerm"/>
        <w:tabs>
          <w:tab w:val="clear" w:pos="879"/>
          <w:tab w:val="left" w:pos="851"/>
        </w:tabs>
        <w:ind w:left="1418" w:hanging="1418"/>
      </w:pPr>
      <w:r>
        <w:tab/>
        <w:t>Note:</w:t>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343" w:name="_Toc392162769"/>
      <w:bookmarkStart w:id="344" w:name="_Toc413847604"/>
      <w:r>
        <w:rPr>
          <w:rStyle w:val="CharSClsNo"/>
        </w:rPr>
        <w:t>8</w:t>
      </w:r>
      <w:r>
        <w:t>.</w:t>
      </w:r>
      <w:r>
        <w:rPr>
          <w:b w:val="0"/>
        </w:rPr>
        <w:tab/>
      </w:r>
      <w:r>
        <w:t>Determination of vesting day and value of employee shares and options</w:t>
      </w:r>
      <w:bookmarkEnd w:id="343"/>
      <w:bookmarkEnd w:id="344"/>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NotesPerm"/>
        <w:tabs>
          <w:tab w:val="clear" w:pos="879"/>
          <w:tab w:val="left" w:pos="851"/>
        </w:tabs>
        <w:ind w:left="1418" w:hanging="1418"/>
      </w:pPr>
      <w:r>
        <w:tab/>
        <w:t>Note:</w:t>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345" w:name="_Toc392162770"/>
      <w:bookmarkStart w:id="346" w:name="_Toc413847605"/>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345"/>
      <w:bookmarkEnd w:id="346"/>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
      <w:pPr>
        <w:pStyle w:val="yHeading3"/>
        <w:rPr>
          <w:i/>
        </w:rPr>
      </w:pPr>
      <w:bookmarkStart w:id="347" w:name="_Toc390165754"/>
      <w:bookmarkStart w:id="348" w:name="_Toc390165801"/>
      <w:bookmarkStart w:id="349" w:name="_Toc390173990"/>
      <w:bookmarkStart w:id="350" w:name="_Toc390174850"/>
      <w:bookmarkStart w:id="351" w:name="_Toc390178974"/>
      <w:bookmarkStart w:id="352" w:name="_Toc390180248"/>
      <w:bookmarkStart w:id="353" w:name="_Toc390186353"/>
      <w:bookmarkStart w:id="354" w:name="_Toc390243837"/>
      <w:bookmarkStart w:id="355" w:name="_Toc390251065"/>
      <w:bookmarkStart w:id="356" w:name="_Toc390251500"/>
      <w:bookmarkStart w:id="357" w:name="_Toc390251746"/>
      <w:bookmarkStart w:id="358" w:name="_Toc390262092"/>
      <w:bookmarkStart w:id="359" w:name="_Toc390263574"/>
      <w:bookmarkStart w:id="360" w:name="_Toc390263669"/>
      <w:bookmarkStart w:id="361" w:name="_Toc390266125"/>
      <w:bookmarkStart w:id="362" w:name="_Toc390266468"/>
      <w:bookmarkStart w:id="363" w:name="_Toc390267248"/>
      <w:bookmarkStart w:id="364" w:name="_Toc390333628"/>
      <w:bookmarkStart w:id="365" w:name="_Toc390337851"/>
      <w:bookmarkStart w:id="366" w:name="_Toc390338120"/>
      <w:bookmarkStart w:id="367" w:name="_Toc390338341"/>
      <w:bookmarkStart w:id="368" w:name="_Toc390347296"/>
      <w:bookmarkStart w:id="369" w:name="_Toc390347428"/>
      <w:bookmarkStart w:id="370" w:name="_Toc390932539"/>
      <w:bookmarkStart w:id="371" w:name="_Toc391364864"/>
      <w:bookmarkStart w:id="372" w:name="_Toc391386737"/>
      <w:bookmarkStart w:id="373" w:name="_Toc391388889"/>
      <w:bookmarkStart w:id="374" w:name="_Toc412556081"/>
      <w:bookmarkStart w:id="375" w:name="_Toc412561522"/>
      <w:bookmarkStart w:id="376" w:name="_Toc412808341"/>
      <w:bookmarkStart w:id="377" w:name="_Toc413753276"/>
      <w:bookmarkStart w:id="378" w:name="_Toc413761387"/>
      <w:bookmarkStart w:id="379" w:name="_Toc413761452"/>
      <w:bookmarkStart w:id="380" w:name="_Toc413761789"/>
      <w:bookmarkStart w:id="381" w:name="_Toc413841547"/>
      <w:bookmarkStart w:id="382" w:name="_Toc413847606"/>
      <w:r>
        <w:rPr>
          <w:rStyle w:val="CharSDivNo"/>
        </w:rPr>
        <w:t>Division 4</w:t>
      </w:r>
      <w:r>
        <w:rPr>
          <w:b w:val="0"/>
        </w:rPr>
        <w:t> — </w:t>
      </w:r>
      <w:r>
        <w:rPr>
          <w:rStyle w:val="CharSDivText"/>
        </w:rPr>
        <w:t>Provisions for the Taxation Legislation Amendment Act (No. 2) 2015</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yFootnoteheading"/>
      </w:pPr>
      <w:r>
        <w:tab/>
        <w:t>[Heading inserted by No. 8 of 2015 s. 15.]</w:t>
      </w:r>
    </w:p>
    <w:p>
      <w:pPr>
        <w:pStyle w:val="yHeading5"/>
      </w:pPr>
      <w:bookmarkStart w:id="383" w:name="_Toc412808342"/>
      <w:bookmarkStart w:id="384" w:name="_Toc413753277"/>
      <w:bookmarkStart w:id="385" w:name="_Toc413761790"/>
      <w:bookmarkStart w:id="386" w:name="_Toc413847607"/>
      <w:r>
        <w:rPr>
          <w:rStyle w:val="CharSClsNo"/>
        </w:rPr>
        <w:t>10</w:t>
      </w:r>
      <w:r>
        <w:t>.</w:t>
      </w:r>
      <w:r>
        <w:tab/>
        <w:t>Terms used</w:t>
      </w:r>
      <w:bookmarkEnd w:id="383"/>
      <w:bookmarkEnd w:id="384"/>
      <w:bookmarkEnd w:id="385"/>
      <w:bookmarkEnd w:id="386"/>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by No. 8 of 2015 s. 15.]</w:t>
      </w:r>
    </w:p>
    <w:p>
      <w:pPr>
        <w:pStyle w:val="yHeading5"/>
      </w:pPr>
      <w:bookmarkStart w:id="387" w:name="_Toc412808343"/>
      <w:bookmarkStart w:id="388" w:name="_Toc413753278"/>
      <w:bookmarkStart w:id="389" w:name="_Toc413761791"/>
      <w:bookmarkStart w:id="390" w:name="_Toc413847608"/>
      <w:r>
        <w:rPr>
          <w:rStyle w:val="CharSClsNo"/>
        </w:rPr>
        <w:t>11</w:t>
      </w:r>
      <w:r>
        <w:t>.</w:t>
      </w:r>
      <w:r>
        <w:tab/>
        <w:t>Exemptions currently held by relevant bodies may be revoked</w:t>
      </w:r>
      <w:bookmarkEnd w:id="387"/>
      <w:bookmarkEnd w:id="388"/>
      <w:bookmarkEnd w:id="389"/>
      <w:bookmarkEnd w:id="390"/>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391" w:name="_Toc412808344"/>
      <w:bookmarkStart w:id="392" w:name="_Toc413753279"/>
      <w:bookmarkStart w:id="393" w:name="_Toc413761792"/>
      <w:r>
        <w:tab/>
        <w:t>[Clause 11 inserted by No. 8 of 2015 s. 15.]</w:t>
      </w:r>
    </w:p>
    <w:p>
      <w:pPr>
        <w:pStyle w:val="yHeading5"/>
      </w:pPr>
      <w:bookmarkStart w:id="394" w:name="_Toc413847609"/>
      <w:r>
        <w:rPr>
          <w:rStyle w:val="CharSClsNo"/>
        </w:rPr>
        <w:t>12</w:t>
      </w:r>
      <w:r>
        <w:t>.</w:t>
      </w:r>
      <w:r>
        <w:tab/>
        <w:t xml:space="preserve">Exemptions for periods before the commencement of the </w:t>
      </w:r>
      <w:r>
        <w:rPr>
          <w:i/>
        </w:rPr>
        <w:t>Taxation Legislation Amendment Act (No. 2) 2015</w:t>
      </w:r>
      <w:r>
        <w:t xml:space="preserve"> Part 4</w:t>
      </w:r>
      <w:bookmarkEnd w:id="391"/>
      <w:bookmarkEnd w:id="392"/>
      <w:bookmarkEnd w:id="393"/>
      <w:bookmarkEnd w:id="394"/>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395" w:name="_Toc412808345"/>
      <w:bookmarkStart w:id="396" w:name="_Toc413753280"/>
      <w:bookmarkStart w:id="397" w:name="_Toc413761793"/>
      <w:r>
        <w:tab/>
        <w:t>[Clause 12 inserted by No. 8 of 2015 s. 15.]</w:t>
      </w:r>
    </w:p>
    <w:p>
      <w:pPr>
        <w:pStyle w:val="yHeading5"/>
      </w:pPr>
      <w:bookmarkStart w:id="398" w:name="_Toc413847610"/>
      <w:r>
        <w:rPr>
          <w:rStyle w:val="CharSClsNo"/>
        </w:rPr>
        <w:t>13</w:t>
      </w:r>
      <w:r>
        <w:t>.</w:t>
      </w:r>
      <w:r>
        <w:tab/>
        <w:t>A body or organisation given an exemption under clause 12 may apply for a beneficial body determination</w:t>
      </w:r>
      <w:bookmarkEnd w:id="395"/>
      <w:bookmarkEnd w:id="396"/>
      <w:bookmarkEnd w:id="397"/>
      <w:bookmarkEnd w:id="398"/>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by No. 8 of 2015 s. 15.]</w:t>
      </w:r>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keepLines/>
      </w:pPr>
      <w:bookmarkStart w:id="400" w:name="_Toc381880685"/>
      <w:bookmarkStart w:id="401" w:name="_Toc392162771"/>
      <w:bookmarkStart w:id="402" w:name="_Toc413764715"/>
      <w:bookmarkStart w:id="403" w:name="_Toc413764838"/>
      <w:bookmarkStart w:id="404" w:name="_Toc413841552"/>
      <w:bookmarkStart w:id="405" w:name="_Toc413847611"/>
      <w:r>
        <w:rPr>
          <w:rStyle w:val="CharSchNo"/>
        </w:rPr>
        <w:t>Glossary</w:t>
      </w:r>
      <w:bookmarkEnd w:id="400"/>
      <w:bookmarkEnd w:id="401"/>
      <w:bookmarkEnd w:id="402"/>
      <w:bookmarkEnd w:id="403"/>
      <w:bookmarkEnd w:id="404"/>
      <w:bookmarkEnd w:id="405"/>
    </w:p>
    <w:p>
      <w:pPr>
        <w:pStyle w:val="yShoulderClause"/>
        <w:spacing w:before="60"/>
      </w:pPr>
      <w:r>
        <w:t>[s. 4]</w:t>
      </w:r>
    </w:p>
    <w:p>
      <w:pPr>
        <w:pStyle w:val="yHeading5"/>
        <w:spacing w:before="140"/>
        <w:outlineLvl w:val="9"/>
      </w:pPr>
      <w:bookmarkStart w:id="406" w:name="_Toc392162772"/>
      <w:bookmarkStart w:id="407" w:name="_Toc413847612"/>
      <w:r>
        <w:rPr>
          <w:rStyle w:val="CharSClsNo"/>
        </w:rPr>
        <w:t>1</w:t>
      </w:r>
      <w:r>
        <w:t>.</w:t>
      </w:r>
      <w:r>
        <w:tab/>
        <w:t>Terms used</w:t>
      </w:r>
      <w:bookmarkEnd w:id="406"/>
      <w:bookmarkEnd w:id="407"/>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rPr>
          <w:color w:val="000000"/>
        </w:rPr>
      </w:pPr>
      <w:r>
        <w:rPr>
          <w:color w:val="000000"/>
        </w:rPr>
        <w:tab/>
      </w:r>
      <w:r>
        <w:rPr>
          <w:rStyle w:val="CharDefText"/>
          <w:color w:val="000000"/>
        </w:rPr>
        <w:t>apportioned threshold amount</w:t>
      </w:r>
      <w:r>
        <w:rPr>
          <w:color w:val="000000"/>
        </w:rPr>
        <w:t xml:space="preserve"> means —</w:t>
      </w:r>
    </w:p>
    <w:p>
      <w:pPr>
        <w:pStyle w:val="yDefpara"/>
        <w:spacing w:before="100"/>
      </w:pPr>
      <w:r>
        <w:rPr>
          <w:color w:val="000000"/>
        </w:rPr>
        <w:tab/>
        <w:t>(a)</w:t>
      </w:r>
      <w:r>
        <w:rPr>
          <w:color w:val="000000"/>
        </w:rPr>
        <w:tab/>
        <w:t>in relation to a group — the amount calculated in accordance with section 18;</w:t>
      </w:r>
    </w:p>
    <w:p>
      <w:pPr>
        <w:pStyle w:val="yDefpara"/>
        <w:spacing w:before="100"/>
      </w:pPr>
      <w:r>
        <w:tab/>
        <w:t>(b)</w:t>
      </w:r>
      <w:r>
        <w:tab/>
        <w:t>in relation to an interstate non</w:t>
      </w:r>
      <w:r>
        <w:noBreakHyphen/>
        <w:t>group employer — the amount calculated in accordance with section 14;</w:t>
      </w:r>
    </w:p>
    <w:p>
      <w:pPr>
        <w:pStyle w:val="yDefpara"/>
        <w:spacing w:before="100"/>
      </w:pPr>
      <w:r>
        <w:tab/>
        <w:t>(c)</w:t>
      </w:r>
      <w:r>
        <w:tab/>
        <w:t>in relation to a local non</w:t>
      </w:r>
      <w:r>
        <w:noBreakHyphen/>
        <w:t>group employer — the amount calculated in accordance with section 12;</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 No. 8 of 2015 s. 16.]</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408" w:name="_Toc381880687"/>
      <w:bookmarkStart w:id="409" w:name="_Toc392162773"/>
      <w:bookmarkStart w:id="410" w:name="_Toc413764717"/>
      <w:bookmarkStart w:id="411" w:name="_Toc413764840"/>
      <w:bookmarkStart w:id="412" w:name="_Toc413841554"/>
      <w:bookmarkStart w:id="413" w:name="_Toc413847613"/>
      <w:r>
        <w:t>Notes</w:t>
      </w:r>
      <w:bookmarkEnd w:id="408"/>
      <w:bookmarkEnd w:id="409"/>
      <w:bookmarkEnd w:id="410"/>
      <w:bookmarkEnd w:id="411"/>
      <w:bookmarkEnd w:id="412"/>
      <w:bookmarkEnd w:id="413"/>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1M, 1MC</w:t>
      </w:r>
      <w:r>
        <w:rPr>
          <w:snapToGrid w:val="0"/>
        </w:rPr>
        <w:t>.  The table also contains information about any reprint.</w:t>
      </w:r>
    </w:p>
    <w:p>
      <w:pPr>
        <w:pStyle w:val="nHeading3"/>
        <w:rPr>
          <w:snapToGrid w:val="0"/>
        </w:rPr>
      </w:pPr>
      <w:bookmarkStart w:id="414" w:name="_Toc392162774"/>
      <w:bookmarkStart w:id="415" w:name="_Toc413847614"/>
      <w:r>
        <w:rPr>
          <w:snapToGrid w:val="0"/>
        </w:rPr>
        <w:t>Compilation table</w:t>
      </w:r>
      <w:bookmarkEnd w:id="414"/>
      <w:bookmarkEnd w:id="41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Pay</w:t>
            </w:r>
            <w:r>
              <w:rPr>
                <w:i/>
              </w:rPr>
              <w:noBreakHyphen/>
              <w:t>roll Tax Assessment Act 2002</w:t>
            </w:r>
          </w:p>
        </w:tc>
        <w:tc>
          <w:tcPr>
            <w:tcW w:w="1134" w:type="dxa"/>
            <w:tcBorders>
              <w:top w:val="single" w:sz="8" w:space="0" w:color="auto"/>
            </w:tcBorders>
          </w:tcPr>
          <w:p>
            <w:pPr>
              <w:pStyle w:val="nTable"/>
              <w:spacing w:after="40"/>
            </w:pPr>
            <w:r>
              <w:t>48 of 2002</w:t>
            </w:r>
          </w:p>
        </w:tc>
        <w:tc>
          <w:tcPr>
            <w:tcW w:w="1134" w:type="dxa"/>
            <w:tcBorders>
              <w:top w:val="single" w:sz="8" w:space="0" w:color="auto"/>
            </w:tcBorders>
          </w:tcPr>
          <w:p>
            <w:pPr>
              <w:pStyle w:val="nTable"/>
              <w:spacing w:after="40"/>
            </w:pPr>
            <w:r>
              <w:t>20 Mar 2003</w:t>
            </w:r>
          </w:p>
        </w:tc>
        <w:tc>
          <w:tcPr>
            <w:tcW w:w="2552" w:type="dxa"/>
            <w:gridSpan w:val="2"/>
            <w:tcBorders>
              <w:top w:val="single" w:sz="8" w:space="0" w:color="auto"/>
            </w:tcBorders>
          </w:tcPr>
          <w:p>
            <w:pPr>
              <w:pStyle w:val="nTable"/>
              <w:spacing w:after="40"/>
            </w:pPr>
            <w:r>
              <w:t xml:space="preserve">1 Jul 2003 (see. s. 2 and </w:t>
            </w:r>
            <w:r>
              <w:rPr>
                <w:i/>
              </w:rPr>
              <w:t xml:space="preserve">Gazette </w:t>
            </w:r>
            <w:r>
              <w:t>27 Jun 2003 p. 2383)</w:t>
            </w:r>
          </w:p>
        </w:tc>
      </w:tr>
      <w:tr>
        <w:tc>
          <w:tcPr>
            <w:tcW w:w="2268" w:type="dxa"/>
          </w:tcPr>
          <w:p>
            <w:pPr>
              <w:pStyle w:val="nTable"/>
              <w:spacing w:after="40"/>
              <w:rPr>
                <w:noProof/>
                <w:snapToGrid w:val="0"/>
              </w:rPr>
            </w:pPr>
            <w:r>
              <w:rPr>
                <w:i/>
                <w:noProof/>
                <w:snapToGrid w:val="0"/>
              </w:rPr>
              <w:t xml:space="preserve">Business Tax Review (Assessment) Act 2003 </w:t>
            </w:r>
            <w:r>
              <w:rPr>
                <w:noProof/>
                <w:snapToGrid w:val="0"/>
              </w:rPr>
              <w:t>Pt. 4 and 5</w:t>
            </w:r>
          </w:p>
        </w:tc>
        <w:tc>
          <w:tcPr>
            <w:tcW w:w="1134" w:type="dxa"/>
          </w:tcPr>
          <w:p>
            <w:pPr>
              <w:pStyle w:val="nTable"/>
              <w:spacing w:after="40"/>
            </w:pPr>
            <w:r>
              <w:t>40 of 2003</w:t>
            </w:r>
          </w:p>
        </w:tc>
        <w:tc>
          <w:tcPr>
            <w:tcW w:w="1134" w:type="dxa"/>
          </w:tcPr>
          <w:p>
            <w:pPr>
              <w:pStyle w:val="nTable"/>
              <w:spacing w:after="40"/>
            </w:pPr>
            <w:r>
              <w:t>30 Jun 2003</w:t>
            </w:r>
          </w:p>
        </w:tc>
        <w:tc>
          <w:tcPr>
            <w:tcW w:w="2552" w:type="dxa"/>
            <w:gridSpan w:val="2"/>
          </w:tcPr>
          <w:p>
            <w:pPr>
              <w:pStyle w:val="nTable"/>
              <w:spacing w:after="40"/>
            </w:pPr>
            <w:r>
              <w:t>1 Jul 2003 (see s. 2(1))</w:t>
            </w:r>
          </w:p>
        </w:tc>
      </w:tr>
      <w:tr>
        <w:tc>
          <w:tcPr>
            <w:tcW w:w="2268" w:type="dxa"/>
          </w:tcPr>
          <w:p>
            <w:pPr>
              <w:pStyle w:val="nTable"/>
              <w:spacing w:after="40"/>
              <w:rPr>
                <w:noProof/>
                <w:snapToGrid w:val="0"/>
              </w:rPr>
            </w:pPr>
            <w:r>
              <w:rPr>
                <w:i/>
                <w:noProof/>
                <w:snapToGrid w:val="0"/>
              </w:rPr>
              <w:t>Revenue Laws Amendment and Repeal Act 2004</w:t>
            </w:r>
            <w:r>
              <w:rPr>
                <w:noProof/>
                <w:snapToGrid w:val="0"/>
              </w:rPr>
              <w:t xml:space="preserve"> Pt. 3</w:t>
            </w:r>
          </w:p>
        </w:tc>
        <w:tc>
          <w:tcPr>
            <w:tcW w:w="1134" w:type="dxa"/>
          </w:tcPr>
          <w:p>
            <w:pPr>
              <w:pStyle w:val="nTable"/>
              <w:spacing w:after="40"/>
            </w:pPr>
            <w:r>
              <w:t>12 of 2004</w:t>
            </w:r>
          </w:p>
        </w:tc>
        <w:tc>
          <w:tcPr>
            <w:tcW w:w="1134" w:type="dxa"/>
          </w:tcPr>
          <w:p>
            <w:pPr>
              <w:pStyle w:val="nTable"/>
              <w:spacing w:after="40"/>
            </w:pPr>
            <w:r>
              <w:t>29 Jun 2004</w:t>
            </w:r>
          </w:p>
        </w:tc>
        <w:tc>
          <w:tcPr>
            <w:tcW w:w="2552" w:type="dxa"/>
            <w:gridSpan w:val="2"/>
          </w:tcPr>
          <w:p>
            <w:pPr>
              <w:pStyle w:val="nTable"/>
              <w:spacing w:after="40"/>
            </w:pPr>
            <w:r>
              <w:t>29 Jun 2004 (see s. 2(1))</w:t>
            </w:r>
          </w:p>
        </w:tc>
      </w:tr>
      <w:tr>
        <w:tc>
          <w:tcPr>
            <w:tcW w:w="2268" w:type="dxa"/>
          </w:tcPr>
          <w:p>
            <w:pPr>
              <w:pStyle w:val="nTable"/>
              <w:spacing w:after="40"/>
              <w:rPr>
                <w:i/>
                <w:noProof/>
                <w:snapToGrid w:val="0"/>
              </w:rPr>
            </w:pPr>
            <w:r>
              <w:rPr>
                <w:i/>
              </w:rPr>
              <w:t>Revenue Laws Amendment (Tax Relief) Act 2004</w:t>
            </w:r>
            <w:r>
              <w:rPr>
                <w:iCs/>
              </w:rPr>
              <w:t xml:space="preserve"> Pt. 2</w:t>
            </w:r>
            <w:r>
              <w:t> </w:t>
            </w:r>
            <w:r>
              <w:rPr>
                <w:vertAlign w:val="superscript"/>
              </w:rPr>
              <w:t>5</w:t>
            </w:r>
          </w:p>
        </w:tc>
        <w:tc>
          <w:tcPr>
            <w:tcW w:w="1134" w:type="dxa"/>
          </w:tcPr>
          <w:p>
            <w:pPr>
              <w:pStyle w:val="nTable"/>
              <w:spacing w:after="40"/>
            </w:pPr>
            <w:r>
              <w:t>82 of 2004</w:t>
            </w:r>
          </w:p>
        </w:tc>
        <w:tc>
          <w:tcPr>
            <w:tcW w:w="1134" w:type="dxa"/>
          </w:tcPr>
          <w:p>
            <w:pPr>
              <w:pStyle w:val="nTable"/>
              <w:spacing w:after="40"/>
            </w:pPr>
            <w:r>
              <w:t>8 Dec 2004</w:t>
            </w:r>
          </w:p>
        </w:tc>
        <w:tc>
          <w:tcPr>
            <w:tcW w:w="2552" w:type="dxa"/>
            <w:gridSpan w:val="2"/>
          </w:tcPr>
          <w:p>
            <w:pPr>
              <w:pStyle w:val="nTable"/>
              <w:spacing w:after="40"/>
            </w:pPr>
            <w:r>
              <w:rPr>
                <w:color w:val="000000"/>
              </w:rPr>
              <w:t>Pt. 2 Div. 1 and 2: 1 Jan 2005 (see s. 2(2));</w:t>
            </w:r>
            <w:r>
              <w:rPr>
                <w:color w:val="000000"/>
              </w:rPr>
              <w:br/>
              <w:t>Pt. 2 Div. 3: 1 Jul 2006 (see s. 2(3))</w:t>
            </w:r>
          </w:p>
        </w:tc>
      </w:tr>
      <w:tr>
        <w:tc>
          <w:tcPr>
            <w:tcW w:w="2268" w:type="dxa"/>
          </w:tcPr>
          <w:p>
            <w:pPr>
              <w:pStyle w:val="nTable"/>
              <w:spacing w:after="40"/>
            </w:pPr>
            <w:r>
              <w:rPr>
                <w:i/>
              </w:rPr>
              <w:t>Revenue Laws Amendment Act 2005</w:t>
            </w:r>
            <w:r>
              <w:t xml:space="preserve"> Pt. 2</w:t>
            </w:r>
          </w:p>
        </w:tc>
        <w:tc>
          <w:tcPr>
            <w:tcW w:w="1134" w:type="dxa"/>
          </w:tcPr>
          <w:p>
            <w:pPr>
              <w:pStyle w:val="nTable"/>
              <w:spacing w:after="40"/>
            </w:pPr>
            <w:r>
              <w:t>11 of 2005</w:t>
            </w:r>
          </w:p>
        </w:tc>
        <w:tc>
          <w:tcPr>
            <w:tcW w:w="1134" w:type="dxa"/>
          </w:tcPr>
          <w:p>
            <w:pPr>
              <w:pStyle w:val="nTable"/>
              <w:spacing w:after="40"/>
            </w:pPr>
            <w:r>
              <w:t>30 Aug 2005</w:t>
            </w:r>
          </w:p>
        </w:tc>
        <w:tc>
          <w:tcPr>
            <w:tcW w:w="2552" w:type="dxa"/>
            <w:gridSpan w:val="2"/>
          </w:tcPr>
          <w:p>
            <w:pPr>
              <w:pStyle w:val="nTable"/>
              <w:spacing w:after="40"/>
              <w:rPr>
                <w:spacing w:val="-2"/>
              </w:rPr>
            </w:pPr>
            <w:r>
              <w:rPr>
                <w:spacing w:val="-2"/>
              </w:rPr>
              <w:t>18 May 2005 (see s. 2(2))</w:t>
            </w:r>
          </w:p>
        </w:tc>
      </w:tr>
      <w:tr>
        <w:trPr>
          <w:cantSplit/>
        </w:trPr>
        <w:tc>
          <w:tcPr>
            <w:tcW w:w="7088" w:type="dxa"/>
            <w:gridSpan w:val="5"/>
          </w:tcPr>
          <w:p>
            <w:pPr>
              <w:pStyle w:val="nTable"/>
              <w:spacing w:after="40"/>
              <w:rPr>
                <w:spacing w:val="-2"/>
              </w:rPr>
            </w:pPr>
            <w:r>
              <w:rPr>
                <w:b/>
                <w:spacing w:val="-2"/>
              </w:rPr>
              <w:t xml:space="preserve">Reprint 1: The </w:t>
            </w:r>
            <w:r>
              <w:rPr>
                <w:b/>
                <w:i/>
              </w:rPr>
              <w:t>Pay</w:t>
            </w:r>
            <w:r>
              <w:rPr>
                <w:b/>
                <w:i/>
              </w:rPr>
              <w:noBreakHyphen/>
              <w:t>roll Tax Assessment Act 2002</w:t>
            </w:r>
            <w:r>
              <w:rPr>
                <w:b/>
                <w:spacing w:val="-2"/>
              </w:rPr>
              <w:t xml:space="preserve"> as at 6 Jan 2006</w:t>
            </w:r>
            <w:r>
              <w:rPr>
                <w:spacing w:val="-2"/>
              </w:rPr>
              <w:t xml:space="preserve"> (includes amendments listed above except those in the </w:t>
            </w:r>
            <w:r>
              <w:rPr>
                <w:i/>
              </w:rPr>
              <w:t>Revenue Laws Amendment (Tax Relief) Act 2004</w:t>
            </w:r>
            <w:r>
              <w:rPr>
                <w:iCs/>
              </w:rPr>
              <w:t xml:space="preserve"> Pt. 2 Div. 3</w:t>
            </w:r>
            <w:r>
              <w:rPr>
                <w:spacing w:val="-2"/>
              </w:rPr>
              <w:t>)</w:t>
            </w:r>
          </w:p>
        </w:tc>
      </w:tr>
      <w:tr>
        <w:tc>
          <w:tcPr>
            <w:tcW w:w="2268" w:type="dxa"/>
          </w:tcPr>
          <w:p>
            <w:pPr>
              <w:pStyle w:val="nTable"/>
              <w:spacing w:after="40"/>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Cs/>
                <w:snapToGrid w:val="0"/>
              </w:rPr>
            </w:pPr>
            <w:r>
              <w:rPr>
                <w:i/>
                <w:snapToGrid w:val="0"/>
              </w:rPr>
              <w:t>Training Legislation Amendment and Repeal Act 2008</w:t>
            </w:r>
            <w:r>
              <w:rPr>
                <w:iCs/>
                <w:snapToGrid w:val="0"/>
              </w:rPr>
              <w:t xml:space="preserve"> s. 59</w:t>
            </w:r>
          </w:p>
        </w:tc>
        <w:tc>
          <w:tcPr>
            <w:tcW w:w="1134" w:type="dxa"/>
          </w:tcPr>
          <w:p>
            <w:pPr>
              <w:pStyle w:val="nTable"/>
              <w:spacing w:after="40"/>
              <w:rPr>
                <w:snapToGrid w:val="0"/>
              </w:rPr>
            </w:pPr>
            <w:r>
              <w:rPr>
                <w:snapToGrid w:val="0"/>
              </w:rPr>
              <w:t>44 of 2008</w:t>
            </w:r>
          </w:p>
        </w:tc>
        <w:tc>
          <w:tcPr>
            <w:tcW w:w="1134" w:type="dxa"/>
          </w:tcPr>
          <w:p>
            <w:pPr>
              <w:pStyle w:val="nTable"/>
              <w:spacing w:after="40"/>
              <w:rPr>
                <w:snapToGrid w:val="0"/>
              </w:rPr>
            </w:pPr>
            <w:r>
              <w:rPr>
                <w:snapToGrid w:val="0"/>
              </w:rPr>
              <w:t>10 Dec 2008</w:t>
            </w:r>
          </w:p>
        </w:tc>
        <w:tc>
          <w:tcPr>
            <w:tcW w:w="2552" w:type="dxa"/>
            <w:gridSpan w:val="2"/>
          </w:tcPr>
          <w:p>
            <w:pPr>
              <w:pStyle w:val="nTable"/>
              <w:spacing w:after="40"/>
              <w:rPr>
                <w:snapToGrid w:val="0"/>
              </w:rPr>
            </w:pPr>
            <w:r>
              <w:rPr>
                <w:snapToGrid w:val="0"/>
              </w:rPr>
              <w:t>10 Jun 2009 (see s. 2(2))</w:t>
            </w:r>
          </w:p>
        </w:tc>
      </w:tr>
      <w:tr>
        <w:tc>
          <w:tcPr>
            <w:tcW w:w="2268" w:type="dxa"/>
          </w:tcPr>
          <w:p>
            <w:pPr>
              <w:pStyle w:val="nTable"/>
              <w:spacing w:after="40"/>
              <w:rPr>
                <w:iCs/>
                <w:snapToGrid w:val="0"/>
              </w:rPr>
            </w:pPr>
            <w:r>
              <w:rPr>
                <w:i/>
                <w:snapToGrid w:val="0"/>
              </w:rPr>
              <w:t>Pay-roll Tax Assessment Amendment Act 2010</w:t>
            </w:r>
            <w:r>
              <w:rPr>
                <w:iCs/>
                <w:snapToGrid w:val="0"/>
              </w:rPr>
              <w:t xml:space="preserve"> Pt. 2</w:t>
            </w:r>
          </w:p>
        </w:tc>
        <w:tc>
          <w:tcPr>
            <w:tcW w:w="1134" w:type="dxa"/>
          </w:tcPr>
          <w:p>
            <w:pPr>
              <w:pStyle w:val="nTable"/>
              <w:spacing w:after="40"/>
              <w:rPr>
                <w:snapToGrid w:val="0"/>
              </w:rPr>
            </w:pPr>
            <w:r>
              <w:rPr>
                <w:snapToGrid w:val="0"/>
              </w:rPr>
              <w:t>15 of 2010</w:t>
            </w:r>
          </w:p>
        </w:tc>
        <w:tc>
          <w:tcPr>
            <w:tcW w:w="1134" w:type="dxa"/>
          </w:tcPr>
          <w:p>
            <w:pPr>
              <w:pStyle w:val="nTable"/>
              <w:spacing w:after="40"/>
              <w:rPr>
                <w:snapToGrid w:val="0"/>
              </w:rPr>
            </w:pPr>
            <w:r>
              <w:rPr>
                <w:snapToGrid w:val="0"/>
              </w:rPr>
              <w:t>25 Jun 2010</w:t>
            </w:r>
          </w:p>
        </w:tc>
        <w:tc>
          <w:tcPr>
            <w:tcW w:w="2552" w:type="dxa"/>
            <w:gridSpan w:val="2"/>
          </w:tcPr>
          <w:p>
            <w:pPr>
              <w:pStyle w:val="nTable"/>
              <w:spacing w:after="40"/>
              <w:rPr>
                <w:snapToGrid w:val="0"/>
              </w:rPr>
            </w:pPr>
            <w:r>
              <w:rPr>
                <w:snapToGrid w:val="0"/>
              </w:rPr>
              <w:t>Pt. 2 Div. 1 and 2: 25 Jun 2010 (see s. 2(a));</w:t>
            </w:r>
            <w:r>
              <w:rPr>
                <w:snapToGrid w:val="0"/>
              </w:rPr>
              <w:br/>
              <w:t>Pt. 2 Div. 3: 1 Jul 2012 (see s. 2(b))</w:t>
            </w:r>
          </w:p>
        </w:tc>
      </w:tr>
      <w:tr>
        <w:tc>
          <w:tcPr>
            <w:tcW w:w="7088" w:type="dxa"/>
            <w:gridSpan w:val="5"/>
          </w:tcPr>
          <w:p>
            <w:pPr>
              <w:pStyle w:val="nTable"/>
              <w:spacing w:after="40"/>
              <w:rPr>
                <w:snapToGrid w:val="0"/>
              </w:rPr>
            </w:pPr>
            <w:r>
              <w:rPr>
                <w:b/>
                <w:spacing w:val="-2"/>
              </w:rPr>
              <w:t xml:space="preserve">Reprint 2: The </w:t>
            </w:r>
            <w:r>
              <w:rPr>
                <w:b/>
                <w:i/>
              </w:rPr>
              <w:t>Pay</w:t>
            </w:r>
            <w:r>
              <w:rPr>
                <w:b/>
                <w:i/>
              </w:rPr>
              <w:noBreakHyphen/>
              <w:t>roll Tax Assessment Act 2002</w:t>
            </w:r>
            <w:r>
              <w:rPr>
                <w:b/>
                <w:spacing w:val="-2"/>
              </w:rPr>
              <w:t xml:space="preserve"> as at 15 Oct 2010</w:t>
            </w:r>
            <w:r>
              <w:rPr>
                <w:spacing w:val="-2"/>
              </w:rPr>
              <w:t xml:space="preserve"> (includes amendments listed above except those in the </w:t>
            </w:r>
            <w:r>
              <w:rPr>
                <w:i/>
                <w:snapToGrid w:val="0"/>
              </w:rPr>
              <w:t>Pay-roll Tax Assessment Amendment Act 2010</w:t>
            </w:r>
            <w:r>
              <w:rPr>
                <w:iCs/>
                <w:snapToGrid w:val="0"/>
              </w:rPr>
              <w:t xml:space="preserve"> Pt. 2 Div. 3</w:t>
            </w:r>
            <w:r>
              <w:rPr>
                <w:spacing w:val="-2"/>
              </w:rPr>
              <w:t>)</w:t>
            </w:r>
          </w:p>
        </w:tc>
      </w:tr>
      <w:tr>
        <w:trPr>
          <w:cantSplit/>
        </w:trPr>
        <w:tc>
          <w:tcPr>
            <w:tcW w:w="2268" w:type="dxa"/>
          </w:tcPr>
          <w:p>
            <w:pPr>
              <w:pStyle w:val="nTable"/>
              <w:spacing w:before="30" w:after="30"/>
              <w:rPr>
                <w:iCs/>
                <w:snapToGrid w:val="0"/>
              </w:rPr>
            </w:pPr>
            <w:r>
              <w:rPr>
                <w:i/>
                <w:snapToGrid w:val="0"/>
              </w:rPr>
              <w:t xml:space="preserve">Fire and Emergency Services Legislation Amendment Act 2012 </w:t>
            </w:r>
            <w:r>
              <w:rPr>
                <w:snapToGrid w:val="0"/>
              </w:rPr>
              <w:t>Pt. 7 Div. 10</w:t>
            </w:r>
          </w:p>
        </w:tc>
        <w:tc>
          <w:tcPr>
            <w:tcW w:w="1134" w:type="dxa"/>
          </w:tcPr>
          <w:p>
            <w:pPr>
              <w:pStyle w:val="nTable"/>
              <w:spacing w:before="30" w:after="30"/>
              <w:rPr>
                <w:snapToGrid w:val="0"/>
              </w:rPr>
            </w:pPr>
            <w:r>
              <w:rPr>
                <w:snapToGrid w:val="0"/>
              </w:rPr>
              <w:t>22 of 2012</w:t>
            </w:r>
          </w:p>
        </w:tc>
        <w:tc>
          <w:tcPr>
            <w:tcW w:w="1134" w:type="dxa"/>
          </w:tcPr>
          <w:p>
            <w:pPr>
              <w:pStyle w:val="nTable"/>
              <w:spacing w:before="30" w:after="30"/>
              <w:rPr>
                <w:snapToGrid w:val="0"/>
              </w:rPr>
            </w:pPr>
            <w:r>
              <w:rPr>
                <w:snapToGrid w:val="0"/>
              </w:rPr>
              <w:t>29 Aug 2012</w:t>
            </w:r>
          </w:p>
        </w:tc>
        <w:tc>
          <w:tcPr>
            <w:tcW w:w="2552" w:type="dxa"/>
            <w:gridSpan w:val="2"/>
          </w:tcPr>
          <w:p>
            <w:pPr>
              <w:pStyle w:val="nTable"/>
              <w:spacing w:before="30" w:after="3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before="30" w:after="30"/>
              <w:rPr>
                <w:iCs/>
                <w:snapToGrid w:val="0"/>
              </w:rPr>
            </w:pPr>
            <w:r>
              <w:rPr>
                <w:i/>
                <w:snapToGrid w:val="0"/>
              </w:rPr>
              <w:t>Revenue Laws Amendment Act 2012</w:t>
            </w:r>
            <w:r>
              <w:rPr>
                <w:iCs/>
                <w:snapToGrid w:val="0"/>
              </w:rPr>
              <w:t xml:space="preserve"> Pt. 5</w:t>
            </w:r>
          </w:p>
        </w:tc>
        <w:tc>
          <w:tcPr>
            <w:tcW w:w="1134" w:type="dxa"/>
          </w:tcPr>
          <w:p>
            <w:pPr>
              <w:pStyle w:val="nTable"/>
              <w:spacing w:before="30" w:after="30"/>
              <w:rPr>
                <w:snapToGrid w:val="0"/>
              </w:rPr>
            </w:pPr>
            <w:r>
              <w:rPr>
                <w:snapToGrid w:val="0"/>
              </w:rPr>
              <w:t>29 of 2012</w:t>
            </w:r>
          </w:p>
        </w:tc>
        <w:tc>
          <w:tcPr>
            <w:tcW w:w="1134" w:type="dxa"/>
          </w:tcPr>
          <w:p>
            <w:pPr>
              <w:pStyle w:val="nTable"/>
              <w:spacing w:before="30" w:after="30"/>
              <w:rPr>
                <w:snapToGrid w:val="0"/>
              </w:rPr>
            </w:pPr>
            <w:r>
              <w:rPr>
                <w:snapToGrid w:val="0"/>
              </w:rPr>
              <w:t>3 Sep 2012</w:t>
            </w:r>
          </w:p>
        </w:tc>
        <w:tc>
          <w:tcPr>
            <w:tcW w:w="2552" w:type="dxa"/>
            <w:gridSpan w:val="2"/>
          </w:tcPr>
          <w:p>
            <w:pPr>
              <w:pStyle w:val="nTable"/>
              <w:spacing w:before="30" w:after="30"/>
              <w:rPr>
                <w:snapToGrid w:val="0"/>
              </w:rPr>
            </w:pPr>
            <w:r>
              <w:rPr>
                <w:snapToGrid w:val="0"/>
              </w:rPr>
              <w:t>Heading to Pt. 5, Pt. 5 Div. 1 and 2: 1 Jul 2011 (see s. 2(c));</w:t>
            </w:r>
            <w:r>
              <w:rPr>
                <w:snapToGrid w:val="0"/>
              </w:rPr>
              <w:br/>
              <w:t>Pt. 5 Div. 3: 4 Sep 2012 (see s. 2(e))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(No. 2) 2012 </w:t>
            </w:r>
            <w:r>
              <w:rPr>
                <w:snapToGrid w:val="0"/>
              </w:rPr>
              <w:t>Pt. 5</w:t>
            </w:r>
          </w:p>
        </w:tc>
        <w:tc>
          <w:tcPr>
            <w:tcW w:w="1134" w:type="dxa"/>
            <w:shd w:val="clear" w:color="auto" w:fill="auto"/>
          </w:tcPr>
          <w:p>
            <w:pPr>
              <w:pStyle w:val="nTable"/>
              <w:spacing w:before="30" w:after="30"/>
              <w:rPr>
                <w:snapToGrid w:val="0"/>
              </w:rPr>
            </w:pPr>
            <w:r>
              <w:rPr>
                <w:snapToGrid w:val="0"/>
              </w:rPr>
              <w:t>32 of 2012</w:t>
            </w:r>
          </w:p>
        </w:tc>
        <w:tc>
          <w:tcPr>
            <w:tcW w:w="1134" w:type="dxa"/>
            <w:shd w:val="clear" w:color="auto" w:fill="auto"/>
          </w:tcPr>
          <w:p>
            <w:pPr>
              <w:pStyle w:val="nTable"/>
              <w:spacing w:before="30" w:after="30"/>
              <w:rPr>
                <w:snapToGrid w:val="0"/>
              </w:rPr>
            </w:pPr>
            <w:r>
              <w:rPr>
                <w:snapToGrid w:val="0"/>
              </w:rPr>
              <w:t>8 Oct 2012</w:t>
            </w:r>
          </w:p>
        </w:tc>
        <w:tc>
          <w:tcPr>
            <w:tcW w:w="2552" w:type="dxa"/>
            <w:gridSpan w:val="2"/>
            <w:shd w:val="clear" w:color="auto" w:fill="auto"/>
          </w:tcPr>
          <w:p>
            <w:pPr>
              <w:pStyle w:val="nTable"/>
              <w:spacing w:before="30" w:after="30"/>
              <w:rPr>
                <w:snapToGrid w:val="0"/>
              </w:rPr>
            </w:pPr>
            <w:r>
              <w:rPr>
                <w:snapToGrid w:val="0"/>
              </w:rPr>
              <w:t>1 Jul 2012 (see s. 2(d)(ii))</w:t>
            </w:r>
          </w:p>
        </w:tc>
      </w:tr>
      <w:tr>
        <w:trPr>
          <w:cantSplit/>
        </w:trPr>
        <w:tc>
          <w:tcPr>
            <w:tcW w:w="7088" w:type="dxa"/>
            <w:gridSpan w:val="5"/>
            <w:shd w:val="clear" w:color="auto" w:fill="auto"/>
          </w:tcPr>
          <w:p>
            <w:pPr>
              <w:pStyle w:val="nTable"/>
              <w:spacing w:before="30" w:after="30"/>
              <w:rPr>
                <w:snapToGrid w:val="0"/>
              </w:rPr>
            </w:pPr>
            <w:r>
              <w:rPr>
                <w:b/>
                <w:spacing w:val="-2"/>
              </w:rPr>
              <w:t xml:space="preserve">Reprint 3: The </w:t>
            </w:r>
            <w:r>
              <w:rPr>
                <w:b/>
                <w:i/>
              </w:rPr>
              <w:t>Pay</w:t>
            </w:r>
            <w:r>
              <w:rPr>
                <w:b/>
                <w:i/>
              </w:rPr>
              <w:noBreakHyphen/>
              <w:t>roll Tax Assessment Act 2002</w:t>
            </w:r>
            <w:r>
              <w:rPr>
                <w:b/>
                <w:spacing w:val="-2"/>
              </w:rPr>
              <w:t xml:space="preserve"> as at 17 Jan 2014</w:t>
            </w:r>
            <w:r>
              <w:rPr>
                <w:spacing w:val="-2"/>
              </w:rPr>
              <w:t xml:space="preserve"> (includes amendments listed above)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2014 </w:t>
            </w:r>
            <w:r>
              <w:rPr>
                <w:snapToGrid w:val="0"/>
              </w:rPr>
              <w:t>Pt. 4</w:t>
            </w:r>
          </w:p>
        </w:tc>
        <w:tc>
          <w:tcPr>
            <w:tcW w:w="1134" w:type="dxa"/>
            <w:shd w:val="clear" w:color="auto" w:fill="auto"/>
          </w:tcPr>
          <w:p>
            <w:pPr>
              <w:pStyle w:val="nTable"/>
              <w:spacing w:before="30" w:after="30"/>
              <w:rPr>
                <w:snapToGrid w:val="0"/>
              </w:rPr>
            </w:pPr>
            <w:r>
              <w:rPr>
                <w:snapToGrid w:val="0"/>
              </w:rPr>
              <w:t>15 of 2014</w:t>
            </w:r>
          </w:p>
        </w:tc>
        <w:tc>
          <w:tcPr>
            <w:tcW w:w="1134" w:type="dxa"/>
            <w:shd w:val="clear" w:color="auto" w:fill="auto"/>
          </w:tcPr>
          <w:p>
            <w:pPr>
              <w:pStyle w:val="nTable"/>
              <w:spacing w:before="30" w:after="30"/>
              <w:rPr>
                <w:snapToGrid w:val="0"/>
              </w:rPr>
            </w:pPr>
            <w:r>
              <w:rPr>
                <w:snapToGrid w:val="0"/>
              </w:rPr>
              <w:t>2 Jul 2014</w:t>
            </w:r>
          </w:p>
        </w:tc>
        <w:tc>
          <w:tcPr>
            <w:tcW w:w="2552" w:type="dxa"/>
            <w:gridSpan w:val="2"/>
            <w:shd w:val="clear" w:color="auto" w:fill="auto"/>
          </w:tcPr>
          <w:p>
            <w:pPr>
              <w:pStyle w:val="nTable"/>
              <w:spacing w:before="30" w:after="30"/>
              <w:rPr>
                <w:snapToGrid w:val="0"/>
              </w:rPr>
            </w:pPr>
            <w:r>
              <w:rPr>
                <w:snapToGrid w:val="0"/>
              </w:rPr>
              <w:t>1 Jul 2014 (see s. 2(c)(ii))</w:t>
            </w:r>
          </w:p>
        </w:tc>
      </w:tr>
      <w:tr>
        <w:tblPrEx>
          <w:tblBorders>
            <w:top w:val="single" w:sz="8" w:space="0" w:color="auto"/>
            <w:bottom w:val="single" w:sz="8" w:space="0" w:color="auto"/>
            <w:insideH w:val="single" w:sz="8" w:space="0" w:color="auto"/>
          </w:tblBorders>
        </w:tblPrEx>
        <w:trPr>
          <w:gridAfter w:val="1"/>
          <w:wAfter w:w="28" w:type="dxa"/>
          <w:cantSplit/>
        </w:trPr>
        <w:tc>
          <w:tcPr>
            <w:tcW w:w="2268" w:type="dxa"/>
            <w:tcBorders>
              <w:top w:val="nil"/>
              <w:bottom w:val="single" w:sz="4" w:space="0" w:color="auto"/>
              <w:right w:val="nil"/>
            </w:tcBorders>
            <w:shd w:val="clear" w:color="auto" w:fill="auto"/>
          </w:tcPr>
          <w:p>
            <w:pPr>
              <w:pStyle w:val="nTable"/>
              <w:spacing w:after="40"/>
            </w:pPr>
            <w:r>
              <w:rPr>
                <w:i/>
              </w:rPr>
              <w:t>Taxation Legislation Amendment Act (No. 2) 2015</w:t>
            </w:r>
            <w:r>
              <w:t xml:space="preserve"> Pt. 4</w:t>
            </w:r>
          </w:p>
        </w:tc>
        <w:tc>
          <w:tcPr>
            <w:tcW w:w="1134" w:type="dxa"/>
            <w:tcBorders>
              <w:top w:val="nil"/>
              <w:left w:val="nil"/>
              <w:bottom w:val="single" w:sz="4" w:space="0" w:color="auto"/>
              <w:right w:val="nil"/>
            </w:tcBorders>
            <w:shd w:val="clear" w:color="auto" w:fill="auto"/>
          </w:tcPr>
          <w:p>
            <w:pPr>
              <w:pStyle w:val="nTable"/>
              <w:spacing w:after="40"/>
            </w:pPr>
            <w:r>
              <w:t xml:space="preserve">8 of 2015 </w:t>
            </w:r>
          </w:p>
        </w:tc>
        <w:tc>
          <w:tcPr>
            <w:tcW w:w="1134" w:type="dxa"/>
            <w:tcBorders>
              <w:top w:val="nil"/>
              <w:left w:val="nil"/>
              <w:bottom w:val="single" w:sz="4" w:space="0" w:color="auto"/>
              <w:right w:val="nil"/>
            </w:tcBorders>
            <w:shd w:val="clear" w:color="auto" w:fill="auto"/>
          </w:tcPr>
          <w:p>
            <w:pPr>
              <w:pStyle w:val="nTable"/>
              <w:spacing w:after="40"/>
            </w:pPr>
            <w:r>
              <w:t>9 Mar 2015</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10 Mar 2015 (see s. 2(b))</w:t>
            </w:r>
          </w:p>
        </w:tc>
      </w:tr>
    </w:tbl>
    <w:p>
      <w:pPr>
        <w:pStyle w:val="nSubsection"/>
        <w:rPr>
          <w:vertAlign w:val="superscript"/>
        </w:rPr>
      </w:pPr>
    </w:p>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rPr>
          <w:sz w:val="18"/>
          <w:szCs w:val="18"/>
        </w:rPr>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pPr>
        <w:pStyle w:val="nHeading2"/>
        <w:rPr>
          <w:sz w:val="28"/>
        </w:rPr>
      </w:pPr>
      <w:bookmarkStart w:id="416" w:name="DefinedTerms"/>
      <w:bookmarkEnd w:id="416"/>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2004/5 year</w:t>
      </w:r>
      <w:r>
        <w:tab/>
        <w:t>22A(1)</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35D(1)</w:t>
      </w:r>
    </w:p>
    <w:p>
      <w:pPr>
        <w:pStyle w:val="DefinedTerms"/>
      </w:pPr>
      <w:r>
        <w:t>annual threshold amount</w:t>
      </w:r>
      <w:r>
        <w:tab/>
        <w:t>Gl.</w:t>
      </w:r>
    </w:p>
    <w:p>
      <w:pPr>
        <w:pStyle w:val="DefinedTerms"/>
      </w:pPr>
      <w:r>
        <w:t>apportioned threshold amount</w:t>
      </w:r>
      <w:r>
        <w:tab/>
        <w:t>Gl.</w:t>
      </w:r>
    </w:p>
    <w:p>
      <w:pPr>
        <w:pStyle w:val="DefinedTerms"/>
      </w:pPr>
      <w:r>
        <w:t>assessment amendments</w:t>
      </w:r>
      <w:r>
        <w:tab/>
        <w:t>Sch. 1 cl. 8(1)</w:t>
      </w:r>
    </w:p>
    <w:p>
      <w:pPr>
        <w:pStyle w:val="DefinedTerms"/>
      </w:pPr>
      <w:r>
        <w:t>assessment year</w:t>
      </w:r>
      <w:r>
        <w:tab/>
        <w:t>Gl.</w:t>
      </w:r>
    </w:p>
    <w:p>
      <w:pPr>
        <w:pStyle w:val="DefinedTerms"/>
      </w:pPr>
      <w:r>
        <w:t>associated person</w:t>
      </w:r>
      <w:r>
        <w:tab/>
        <w:t>35A(1)</w:t>
      </w:r>
    </w:p>
    <w:p>
      <w:pPr>
        <w:pStyle w:val="DefinedTerms"/>
      </w:pPr>
      <w:r>
        <w:t>Australian jurisdiction</w:t>
      </w:r>
      <w:r>
        <w:tab/>
        <w:t>Gl.</w:t>
      </w:r>
    </w:p>
    <w:p>
      <w:pPr>
        <w:pStyle w:val="DefinedTerms"/>
      </w:pPr>
      <w:r>
        <w:t>Australian superannuation fund</w:t>
      </w:r>
      <w:r>
        <w:tab/>
        <w:t>Gl.</w:t>
      </w:r>
    </w:p>
    <w:p>
      <w:pPr>
        <w:pStyle w:val="DefinedTerms"/>
      </w:pPr>
      <w:r>
        <w:t>business</w:t>
      </w:r>
      <w:r>
        <w:tab/>
        <w:t>Gl.</w:t>
      </w:r>
    </w:p>
    <w:p>
      <w:pPr>
        <w:pStyle w:val="DefinedTerms"/>
      </w:pPr>
      <w:r>
        <w:t>calculation provision</w:t>
      </w:r>
      <w:r>
        <w:tab/>
        <w:t>22A(5)</w:t>
      </w:r>
    </w:p>
    <w:p>
      <w:pPr>
        <w:pStyle w:val="DefinedTerms"/>
      </w:pPr>
      <w:r>
        <w:t>charitable body or organisation</w:t>
      </w:r>
      <w:r>
        <w:tab/>
        <w:t>Gl.</w:t>
      </w:r>
    </w:p>
    <w:p>
      <w:pPr>
        <w:pStyle w:val="DefinedTerms"/>
      </w:pPr>
      <w:r>
        <w:t>commencement day</w:t>
      </w:r>
      <w:r>
        <w:tab/>
        <w:t>Sch. 1 cl. 10</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decision)</w:t>
      </w:r>
      <w:r>
        <w:tab/>
        <w:t>42B(1)</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35B(1)</w:t>
      </w:r>
    </w:p>
    <w:p>
      <w:pPr>
        <w:pStyle w:val="DefinedTerms"/>
      </w:pPr>
      <w:r>
        <w:t>directly controlled corporation</w:t>
      </w:r>
      <w:r>
        <w:tab/>
        <w:t>35C(1)</w:t>
      </w:r>
    </w:p>
    <w:p>
      <w:pPr>
        <w:pStyle w:val="DefinedTerms"/>
      </w:pPr>
      <w:r>
        <w:t>director</w:t>
      </w:r>
      <w:r>
        <w:tab/>
        <w:t>Gl.</w:t>
      </w:r>
    </w:p>
    <w:p>
      <w:pPr>
        <w:pStyle w:val="DefinedTerms"/>
      </w:pPr>
      <w:r>
        <w:t>Disability Services Commission</w:t>
      </w:r>
      <w:r>
        <w:tab/>
        <w:t>41C(1)</w:t>
      </w:r>
    </w:p>
    <w:p>
      <w:pPr>
        <w:pStyle w:val="DefinedTerms"/>
      </w:pPr>
      <w:r>
        <w:t>disability wages subsidy</w:t>
      </w:r>
      <w:r>
        <w:tab/>
        <w:t>41C(1)</w:t>
      </w:r>
    </w:p>
    <w:p>
      <w:pPr>
        <w:pStyle w:val="DefinedTerms"/>
      </w:pPr>
      <w:r>
        <w:t>DSC disability support</w:t>
      </w:r>
      <w:r>
        <w:tab/>
        <w:t>41C(1)</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35A(1)</w:t>
      </w:r>
    </w:p>
    <w:p>
      <w:pPr>
        <w:pStyle w:val="DefinedTerms"/>
      </w:pPr>
      <w:r>
        <w:t>exempt</w:t>
      </w:r>
      <w:r>
        <w:tab/>
        <w:t>Gl.</w:t>
      </w:r>
    </w:p>
    <w:p>
      <w:pPr>
        <w:pStyle w:val="DefinedTerms"/>
      </w:pPr>
      <w:r>
        <w:t>exemption</w:t>
      </w:r>
      <w:r>
        <w:tab/>
        <w:t>Sch. 1 cl. 10</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first part of the tax period</w:t>
      </w:r>
      <w:r>
        <w:tab/>
        <w:t>22A(4)</w:t>
      </w:r>
    </w:p>
    <w:p>
      <w:pPr>
        <w:pStyle w:val="DefinedTerms"/>
      </w:pPr>
      <w:r>
        <w:t>first period</w:t>
      </w:r>
      <w:r>
        <w:tab/>
        <w:t>22A(2)</w:t>
      </w:r>
    </w:p>
    <w:p>
      <w:pPr>
        <w:pStyle w:val="DefinedTerms"/>
      </w:pPr>
      <w:r>
        <w:t>fringe benefit</w:t>
      </w:r>
      <w:r>
        <w:tab/>
        <w:t>Gl.</w:t>
      </w:r>
    </w:p>
    <w:p>
      <w:pPr>
        <w:pStyle w:val="DefinedTerms"/>
      </w:pPr>
      <w:r>
        <w:t>group</w:t>
      </w:r>
      <w:r>
        <w:tab/>
        <w:t>Gl.</w:t>
      </w:r>
    </w:p>
    <w:p>
      <w:pPr>
        <w:pStyle w:val="DefinedTerms"/>
      </w:pPr>
      <w:r>
        <w:t>GST</w:t>
      </w:r>
      <w:r>
        <w:tab/>
        <w:t>Gl.</w:t>
      </w:r>
    </w:p>
    <w:p>
      <w:pPr>
        <w:pStyle w:val="DefinedTerms"/>
      </w:pPr>
      <w:r>
        <w:t>indirect interest</w:t>
      </w:r>
      <w:r>
        <w:tab/>
        <w:t>35C(1)</w:t>
      </w:r>
    </w:p>
    <w:p>
      <w:pPr>
        <w:pStyle w:val="DefinedTerms"/>
      </w:pPr>
      <w:r>
        <w:t>indirectly controlled corporation</w:t>
      </w:r>
      <w:r>
        <w:tab/>
        <w:t>35C(3)</w:t>
      </w:r>
    </w:p>
    <w:p>
      <w:pPr>
        <w:pStyle w:val="DefinedTerms"/>
      </w:pPr>
      <w:r>
        <w:t>individual superannuation guarantee shortfall</w:t>
      </w:r>
      <w:r>
        <w:tab/>
        <w:t>Gl.</w:t>
      </w:r>
    </w:p>
    <w:p>
      <w:pPr>
        <w:pStyle w:val="DefinedTerms"/>
      </w:pPr>
      <w:r>
        <w:t>industrial association</w:t>
      </w:r>
      <w:r>
        <w:tab/>
        <w:t>Gl.</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employee</w:t>
      </w:r>
      <w:r>
        <w:tab/>
        <w:t>41C(1), 41C(4)</w:t>
      </w:r>
    </w:p>
    <w:p>
      <w:pPr>
        <w:pStyle w:val="DefinedTerms"/>
      </w:pPr>
      <w:r>
        <w:t>new provisions</w:t>
      </w:r>
      <w:r>
        <w:tab/>
        <w:t>Sch. 1 cl. 10</w:t>
      </w:r>
    </w:p>
    <w:p>
      <w:pPr>
        <w:pStyle w:val="DefinedTerms"/>
      </w:pPr>
      <w:r>
        <w:t>new rate</w:t>
      </w:r>
      <w:r>
        <w:tab/>
        <w:t>22A(2)</w:t>
      </w:r>
    </w:p>
    <w:p>
      <w:pPr>
        <w:pStyle w:val="DefinedTerms"/>
      </w:pPr>
      <w:r>
        <w:t>new section 9DA</w:t>
      </w:r>
      <w:r>
        <w:tab/>
        <w:t>Sch. 1 cl. 8(1)</w:t>
      </w:r>
    </w:p>
    <w:p>
      <w:pPr>
        <w:pStyle w:val="DefinedTerms"/>
      </w:pPr>
      <w:r>
        <w:t>nominated deduction</w:t>
      </w:r>
      <w:r>
        <w:tab/>
        <w:t>Gl.</w:t>
      </w:r>
    </w:p>
    <w:p>
      <w:pPr>
        <w:pStyle w:val="DefinedTerms"/>
      </w:pPr>
      <w:r>
        <w:t>non</w:t>
      </w:r>
      <w:r>
        <w:noBreakHyphen/>
        <w:t>group employer</w:t>
      </w:r>
      <w:r>
        <w:tab/>
        <w:t>Gl.</w:t>
      </w:r>
    </w:p>
    <w:p>
      <w:pPr>
        <w:pStyle w:val="DefinedTerms"/>
      </w:pPr>
      <w:r>
        <w:t>non</w:t>
      </w:r>
      <w:r>
        <w:noBreakHyphen/>
        <w:t>profit organisation</w:t>
      </w:r>
      <w:r>
        <w:tab/>
        <w:t>Gl.</w:t>
      </w:r>
    </w:p>
    <w:p>
      <w:pPr>
        <w:pStyle w:val="DefinedTerms"/>
      </w:pPr>
      <w:r>
        <w:t>notional contribution</w:t>
      </w:r>
      <w:r>
        <w:tab/>
        <w:t>9CA</w:t>
      </w:r>
    </w:p>
    <w:p>
      <w:pPr>
        <w:pStyle w:val="DefinedTerms"/>
      </w:pPr>
      <w:r>
        <w:t>old rate</w:t>
      </w:r>
      <w:r>
        <w:tab/>
        <w:t>22A(2)</w:t>
      </w:r>
    </w:p>
    <w:p>
      <w:pPr>
        <w:pStyle w:val="DefinedTerms"/>
      </w:pPr>
      <w:r>
        <w:t>old section 9DA</w:t>
      </w:r>
      <w:r>
        <w:tab/>
        <w:t>Sch. 1 cl. 8(1)</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 period factor</w:t>
      </w:r>
      <w:r>
        <w:tab/>
        <w:t>22A(6)</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political party</w:t>
      </w:r>
      <w:r>
        <w:tab/>
        <w:t>Gl.</w:t>
      </w:r>
    </w:p>
    <w:p>
      <w:pPr>
        <w:pStyle w:val="DefinedTerms"/>
      </w:pPr>
      <w:r>
        <w:t>preliminary notice about an exemption under section 41</w:t>
      </w:r>
      <w:r>
        <w:tab/>
        <w:t>Sch. 1 cl. 11(1)</w:t>
      </w:r>
    </w:p>
    <w:p>
      <w:pPr>
        <w:pStyle w:val="DefinedTerms"/>
      </w:pPr>
      <w:r>
        <w:t>previously exempt charitable body or organisation</w:t>
      </w:r>
      <w:r>
        <w:tab/>
        <w:t>Sch. 1 cl. 10</w:t>
      </w:r>
    </w:p>
    <w:p>
      <w:pPr>
        <w:pStyle w:val="DefinedTerms"/>
      </w:pPr>
      <w:r>
        <w:t>private company</w:t>
      </w:r>
      <w:r>
        <w:tab/>
        <w:t>35A(1)</w:t>
      </w:r>
    </w:p>
    <w:p>
      <w:pPr>
        <w:pStyle w:val="DefinedTerms"/>
      </w:pPr>
      <w:r>
        <w:t>professional association</w:t>
      </w:r>
      <w:r>
        <w:tab/>
        <w:t>Gl.</w:t>
      </w:r>
    </w:p>
    <w:p>
      <w:pPr>
        <w:pStyle w:val="DefinedTerms"/>
      </w:pPr>
      <w:r>
        <w:t>progressive return period</w:t>
      </w:r>
      <w:r>
        <w:tab/>
        <w:t>Gl.</w:t>
      </w:r>
    </w:p>
    <w:p>
      <w:pPr>
        <w:pStyle w:val="DefinedTerms"/>
      </w:pPr>
      <w:r>
        <w:t>promote trade, industry or commerce</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related body corporate</w:t>
      </w:r>
      <w:r>
        <w:tab/>
        <w:t>Gl.</w:t>
      </w:r>
    </w:p>
    <w:p>
      <w:pPr>
        <w:pStyle w:val="DefinedTerms"/>
      </w:pPr>
      <w:r>
        <w:t>related person</w:t>
      </w:r>
      <w:r>
        <w:tab/>
        <w:t>35A(1)</w:t>
      </w:r>
    </w:p>
    <w:p>
      <w:pPr>
        <w:pStyle w:val="DefinedTerms"/>
      </w:pPr>
      <w:r>
        <w:t>relevant body</w:t>
      </w:r>
      <w:r>
        <w:tab/>
        <w:t>Sch. 1 cl. 13(1), Gl.</w:t>
      </w:r>
    </w:p>
    <w:p>
      <w:pPr>
        <w:pStyle w:val="DefinedTerms"/>
      </w:pPr>
      <w:r>
        <w:t>relevant day</w:t>
      </w:r>
      <w:r>
        <w:tab/>
        <w:t>9DA(4), Sch. 1 cl. 8(1)</w:t>
      </w:r>
    </w:p>
    <w:p>
      <w:pPr>
        <w:pStyle w:val="DefinedTerms"/>
      </w:pPr>
      <w:r>
        <w:t>relevant part period</w:t>
      </w:r>
      <w:r>
        <w:tab/>
        <w:t>22A(5)</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second part of the tax period</w:t>
      </w:r>
      <w:r>
        <w:tab/>
        <w:t>22A(4)</w:t>
      </w:r>
    </w:p>
    <w:p>
      <w:pPr>
        <w:pStyle w:val="DefinedTerms"/>
      </w:pPr>
      <w:r>
        <w:t>second period</w:t>
      </w:r>
      <w:r>
        <w:tab/>
        <w:t>22A(2)</w:t>
      </w:r>
    </w:p>
    <w:p>
      <w:pPr>
        <w:pStyle w:val="DefinedTerms"/>
      </w:pPr>
      <w:r>
        <w:t>share</w:t>
      </w:r>
      <w:r>
        <w:tab/>
        <w:t>Gl.</w:t>
      </w:r>
    </w:p>
    <w:p>
      <w:pPr>
        <w:pStyle w:val="DefinedTerms"/>
      </w:pPr>
      <w:r>
        <w:t>smaller group</w:t>
      </w:r>
      <w:r>
        <w:tab/>
        <w:t>Gl.</w:t>
      </w:r>
    </w:p>
    <w:p>
      <w:pPr>
        <w:pStyle w:val="DefinedTerms"/>
      </w:pPr>
      <w:r>
        <w:t>specified day</w:t>
      </w:r>
      <w:r>
        <w:tab/>
        <w:t>Sch. 1 cl. 11(1)</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tax period</w:t>
      </w:r>
      <w:r>
        <w:tab/>
        <w:t>22A(4)</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value</w:t>
      </w:r>
      <w:r>
        <w:tab/>
        <w:t>Gl.</w:t>
      </w:r>
    </w:p>
    <w:p>
      <w:pPr>
        <w:pStyle w:val="DefinedTerms"/>
      </w:pPr>
      <w:r>
        <w:t>vesting day</w:t>
      </w:r>
      <w:r>
        <w:tab/>
        <w:t>9DB(2), 9DB(3)</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9DA(1), 9DG(1), Gl.</w:t>
      </w:r>
    </w:p>
    <w:p/>
    <w:p>
      <w:pPr>
        <w:sectPr>
          <w:headerReference w:type="even" r:id="rId49"/>
          <w:headerReference w:type="default" r:id="rId50"/>
          <w:pgSz w:w="11907" w:h="16840" w:code="9"/>
          <w:pgMar w:top="2381" w:right="2409" w:bottom="3543" w:left="2409" w:header="720" w:footer="3380" w:gutter="0"/>
          <w:cols w:space="720"/>
          <w:noEndnote/>
          <w:docGrid w:linePitch="326"/>
        </w:sectPr>
      </w:pPr>
    </w:p>
    <w:p/>
    <w:sectPr>
      <w:headerReference w:type="even" r:id="rId51"/>
      <w:headerReference w:type="default" r:id="rId52"/>
      <w:footerReference w:type="even" r:id="rId53"/>
      <w:footerReference w:type="default" r:id="rId54"/>
      <w:headerReference w:type="first" r:id="rId55"/>
      <w:footerReference w:type="first" r:id="rId56"/>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Liability and assessment</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2A</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Wages</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9AA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Wages</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2A</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9BA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99" w:name="Schedule"/>
    <w:bookmarkEnd w:id="3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7" w:name="Coversheet"/>
    <w:bookmarkEnd w:id="4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 w:numId="13">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0152603"/>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2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6.wmf"/><Relationship Id="rId39" Type="http://schemas.openxmlformats.org/officeDocument/2006/relationships/header" Target="header8.xml"/><Relationship Id="rId21" Type="http://schemas.openxmlformats.org/officeDocument/2006/relationships/image" Target="media/image2.wmf"/><Relationship Id="rId34" Type="http://schemas.openxmlformats.org/officeDocument/2006/relationships/image" Target="media/image10.wmf"/><Relationship Id="rId42" Type="http://schemas.openxmlformats.org/officeDocument/2006/relationships/header" Target="header11.xml"/><Relationship Id="rId47" Type="http://schemas.openxmlformats.org/officeDocument/2006/relationships/header" Target="header15.xml"/><Relationship Id="rId50" Type="http://schemas.openxmlformats.org/officeDocument/2006/relationships/header" Target="header18.xml"/><Relationship Id="rId55"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oleObject" Target="embeddings/oleObject5.bin"/><Relationship Id="rId38" Type="http://schemas.openxmlformats.org/officeDocument/2006/relationships/header" Target="header7.xml"/><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3.bin"/><Relationship Id="rId41" Type="http://schemas.openxmlformats.org/officeDocument/2006/relationships/header" Target="header10.xml"/><Relationship Id="rId54"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9.wmf"/><Relationship Id="rId37" Type="http://schemas.openxmlformats.org/officeDocument/2006/relationships/oleObject" Target="embeddings/oleObject7.bin"/><Relationship Id="rId40" Type="http://schemas.openxmlformats.org/officeDocument/2006/relationships/header" Target="header9.xml"/><Relationship Id="rId45" Type="http://schemas.openxmlformats.org/officeDocument/2006/relationships/header" Target="header13.xml"/><Relationship Id="rId53" Type="http://schemas.openxmlformats.org/officeDocument/2006/relationships/footer" Target="footer7.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7.wmf"/><Relationship Id="rId36" Type="http://schemas.openxmlformats.org/officeDocument/2006/relationships/image" Target="media/image11.wmf"/><Relationship Id="rId49" Type="http://schemas.openxmlformats.org/officeDocument/2006/relationships/header" Target="header17.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4.bin"/><Relationship Id="rId44" Type="http://schemas.openxmlformats.org/officeDocument/2006/relationships/header" Target="header12.xml"/><Relationship Id="rId52"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2.bin"/><Relationship Id="rId30" Type="http://schemas.openxmlformats.org/officeDocument/2006/relationships/image" Target="media/image8.wmf"/><Relationship Id="rId35" Type="http://schemas.openxmlformats.org/officeDocument/2006/relationships/oleObject" Target="embeddings/oleObject6.bin"/><Relationship Id="rId43" Type="http://schemas.openxmlformats.org/officeDocument/2006/relationships/image" Target="media/image12.png"/><Relationship Id="rId48" Type="http://schemas.openxmlformats.org/officeDocument/2006/relationships/header" Target="header16.xml"/><Relationship Id="rId56" Type="http://schemas.openxmlformats.org/officeDocument/2006/relationships/footer" Target="footer9.xml"/><Relationship Id="rId8" Type="http://schemas.openxmlformats.org/officeDocument/2006/relationships/image" Target="media/image1.png"/><Relationship Id="rId51" Type="http://schemas.openxmlformats.org/officeDocument/2006/relationships/header" Target="header19.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26787</Words>
  <Characters>131199</Characters>
  <Application>Microsoft Office Word</Application>
  <DocSecurity>0</DocSecurity>
  <Lines>3452</Lines>
  <Paragraphs>1926</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156060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2002 - 03-c0-01</dc:title>
  <dc:subject/>
  <dc:creator/>
  <cp:keywords/>
  <dc:description/>
  <cp:lastModifiedBy>svcMRProcess</cp:lastModifiedBy>
  <cp:revision>4</cp:revision>
  <cp:lastPrinted>2014-02-05T23:55:00Z</cp:lastPrinted>
  <dcterms:created xsi:type="dcterms:W3CDTF">2020-02-18T18:13:00Z</dcterms:created>
  <dcterms:modified xsi:type="dcterms:W3CDTF">2020-02-18T18:13:00Z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20150310</vt:lpwstr>
  </property>
  <property fmtid="{D5CDD505-2E9C-101B-9397-08002B2CF9AE}" pid="4" name="DocumentType">
    <vt:lpwstr>Act</vt:lpwstr>
  </property>
  <property fmtid="{D5CDD505-2E9C-101B-9397-08002B2CF9AE}" pid="5" name="OwlsUID">
    <vt:i4>6335</vt:i4>
  </property>
  <property fmtid="{D5CDD505-2E9C-101B-9397-08002B2CF9AE}" pid="6" name="ReprintNo">
    <vt:lpwstr>3</vt:lpwstr>
  </property>
  <property fmtid="{D5CDD505-2E9C-101B-9397-08002B2CF9AE}" pid="7" name="ReprintedAsAt">
    <vt:filetime>2014-01-16T16:00:00Z</vt:filetime>
  </property>
  <property fmtid="{D5CDD505-2E9C-101B-9397-08002B2CF9AE}" pid="8" name="AsAtDate">
    <vt:lpwstr>10 Mar 2015</vt:lpwstr>
  </property>
  <property fmtid="{D5CDD505-2E9C-101B-9397-08002B2CF9AE}" pid="9" name="Suffix">
    <vt:lpwstr>03-c0-01</vt:lpwstr>
  </property>
</Properties>
</file>