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Restraining Orders Act 1997</w:t>
      </w:r>
      <w:r>
        <w:rPr>
          <w:sz w:val="48"/>
        </w:rPr>
        <w:fldChar w:fldCharType="end"/>
      </w:r>
    </w:p>
    <w:p>
      <w:pPr>
        <w:pStyle w:val="ReprintNo"/>
        <w:outlineLvl w:val="9"/>
      </w:pPr>
      <w:r>
        <w:t>Reprint 4:  The Act as at 13 March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8.5pt" o:ole="" fillcolor="window">
            <v:imagedata r:id="rId9" o:title=""/>
          </v:shape>
          <o:OLEObject Type="Embed" ProgID="Word.Picture.8" ShapeID="_x0000_i1025" DrawAspect="Content" ObjectID="_1649277882" r:id="rId10"/>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5"/>
        </w:numPr>
        <w:tabs>
          <w:tab w:val="clear" w:pos="360"/>
          <w:tab w:val="num" w:pos="1209"/>
        </w:tabs>
        <w:ind w:left="1200"/>
        <w:rPr>
          <w:sz w:val="20"/>
        </w:rPr>
      </w:pPr>
      <w:r>
        <w:rPr>
          <w:sz w:val="20"/>
        </w:rPr>
        <w:t>removed (because it was repealed or deleted from the law); or</w:t>
      </w:r>
    </w:p>
    <w:p>
      <w:pPr>
        <w:numPr>
          <w:ilvl w:val="0"/>
          <w:numId w:val="15"/>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March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_Toc416185079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_Toc416185080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_Toc416185081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family and domestic relationship</w:t>
      </w:r>
      <w:r>
        <w:tab/>
      </w:r>
      <w:r>
        <w:fldChar w:fldCharType="begin"/>
      </w:r>
      <w:r>
        <w:instrText xml:space="preserve"> PAGEREF _Toc416185082 \h </w:instrText>
      </w:r>
      <w:r>
        <w:fldChar w:fldCharType="separate"/>
      </w:r>
      <w:r>
        <w:t>6</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_Toc416185083 \h </w:instrText>
      </w:r>
      <w:r>
        <w:fldChar w:fldCharType="separate"/>
      </w:r>
      <w:r>
        <w:t>7</w:t>
      </w:r>
      <w:r>
        <w:fldChar w:fldCharType="end"/>
      </w:r>
    </w:p>
    <w:p>
      <w:pPr>
        <w:pStyle w:val="TOC8"/>
        <w:rPr>
          <w:rFonts w:asciiTheme="minorHAnsi" w:eastAsiaTheme="minorEastAsia" w:hAnsiTheme="minorHAnsi" w:cstheme="minorBidi"/>
          <w:szCs w:val="22"/>
        </w:rPr>
      </w:pPr>
      <w:r>
        <w:t>6.</w:t>
      </w:r>
      <w:r>
        <w:tab/>
        <w:t>Terms used: act of family and domestic violence and act of personal violence</w:t>
      </w:r>
      <w:r>
        <w:tab/>
      </w:r>
      <w:r>
        <w:fldChar w:fldCharType="begin"/>
      </w:r>
      <w:r>
        <w:instrText xml:space="preserve"> PAGEREF _Toc416185084 \h </w:instrText>
      </w:r>
      <w:r>
        <w:fldChar w:fldCharType="separate"/>
      </w:r>
      <w:r>
        <w:t>8</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_Toc416185085 \h </w:instrText>
      </w:r>
      <w:r>
        <w:fldChar w:fldCharType="separate"/>
      </w:r>
      <w:r>
        <w:t>10</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_Toc416185086 \h </w:instrText>
      </w:r>
      <w:r>
        <w:fldChar w:fldCharType="separate"/>
      </w:r>
      <w:r>
        <w:t>10</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_Toc416185087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_Toc416185089 \h </w:instrText>
      </w:r>
      <w:r>
        <w:fldChar w:fldCharType="separate"/>
      </w:r>
      <w:r>
        <w:t>11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Fixing a hearing</w:t>
      </w:r>
      <w:r>
        <w:tab/>
      </w:r>
      <w:r>
        <w:fldChar w:fldCharType="begin"/>
      </w:r>
      <w:r>
        <w:instrText xml:space="preserve"> PAGEREF _Toc416185090 \h </w:instrText>
      </w:r>
      <w:r>
        <w:fldChar w:fldCharType="separate"/>
      </w:r>
      <w:r>
        <w:t>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_Toc416185091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rPr>
      </w:pPr>
      <w:r>
        <w:t>Part 2 — Violence restraining order</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Violence restraining order</w:t>
      </w:r>
    </w:p>
    <w:p>
      <w:pPr>
        <w:pStyle w:val="TOC8"/>
        <w:rPr>
          <w:rFonts w:asciiTheme="minorHAnsi" w:eastAsiaTheme="minorEastAsia" w:hAnsiTheme="minorHAnsi" w:cstheme="minorBidi"/>
          <w:szCs w:val="22"/>
        </w:rPr>
      </w:pPr>
      <w:r>
        <w:t>11.</w:t>
      </w:r>
      <w:r>
        <w:tab/>
        <w:t>Violence restraining order to specify names of person bound, and person protected, by order</w:t>
      </w:r>
      <w:r>
        <w:tab/>
      </w:r>
      <w:r>
        <w:fldChar w:fldCharType="begin"/>
      </w:r>
      <w:r>
        <w:instrText xml:space="preserve"> PAGEREF _Toc416185094 \h </w:instrText>
      </w:r>
      <w:r>
        <w:fldChar w:fldCharType="separate"/>
      </w:r>
      <w:r>
        <w:t>15</w:t>
      </w:r>
      <w:r>
        <w:fldChar w:fldCharType="end"/>
      </w:r>
    </w:p>
    <w:p>
      <w:pPr>
        <w:pStyle w:val="TOC8"/>
        <w:rPr>
          <w:rFonts w:asciiTheme="minorHAnsi" w:eastAsiaTheme="minorEastAsia" w:hAnsiTheme="minorHAnsi" w:cstheme="minorBidi"/>
          <w:szCs w:val="22"/>
        </w:rPr>
      </w:pPr>
      <w:r>
        <w:t>11A.</w:t>
      </w:r>
      <w:r>
        <w:tab/>
        <w:t>When violence restraining orders may be made</w:t>
      </w:r>
      <w:r>
        <w:tab/>
      </w:r>
      <w:r>
        <w:fldChar w:fldCharType="begin"/>
      </w:r>
      <w:r>
        <w:instrText xml:space="preserve"> PAGEREF _Toc416185095 \h </w:instrText>
      </w:r>
      <w:r>
        <w:fldChar w:fldCharType="separate"/>
      </w:r>
      <w:r>
        <w:t>15</w:t>
      </w:r>
      <w:r>
        <w:fldChar w:fldCharType="end"/>
      </w:r>
    </w:p>
    <w:p>
      <w:pPr>
        <w:pStyle w:val="TOC8"/>
        <w:rPr>
          <w:rFonts w:asciiTheme="minorHAnsi" w:eastAsiaTheme="minorEastAsia" w:hAnsiTheme="minorHAnsi" w:cstheme="minorBidi"/>
          <w:szCs w:val="22"/>
        </w:rPr>
      </w:pPr>
      <w:r>
        <w:t>11B.</w:t>
      </w:r>
      <w:r>
        <w:tab/>
        <w:t>Violence restraining order may be made for child in circumstances of family and domestic violence</w:t>
      </w:r>
      <w:r>
        <w:tab/>
      </w:r>
      <w:r>
        <w:fldChar w:fldCharType="begin"/>
      </w:r>
      <w:r>
        <w:instrText xml:space="preserve"> PAGEREF _Toc416185096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w:t>
      </w:r>
      <w:r>
        <w:tab/>
      </w:r>
      <w:r>
        <w:fldChar w:fldCharType="begin"/>
      </w:r>
      <w:r>
        <w:instrText xml:space="preserve"> PAGEREF _Toc416185097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_Toc416185098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_Toc416185099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Duration of violence restraining order</w:t>
      </w:r>
      <w:r>
        <w:tab/>
      </w:r>
      <w:r>
        <w:fldChar w:fldCharType="begin"/>
      </w:r>
      <w:r>
        <w:instrText xml:space="preserve"> PAGEREF _Toc416185100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_Toc416185102 \h </w:instrText>
      </w:r>
      <w:r>
        <w:fldChar w:fldCharType="separate"/>
      </w:r>
      <w:r>
        <w:t>22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_Toc416185103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_Toc416185104 \h </w:instrText>
      </w:r>
      <w:r>
        <w:fldChar w:fldCharType="separate"/>
      </w:r>
      <w:r>
        <w:t>23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_Toc416185105 \h </w:instrText>
      </w:r>
      <w:r>
        <w:fldChar w:fldCharType="separate"/>
      </w:r>
      <w:r>
        <w:t>23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_Toc416185106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_Toc416185107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_Toc416185108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25.</w:t>
      </w:r>
      <w:r>
        <w:tab/>
        <w:t>Application</w:t>
      </w:r>
      <w:r>
        <w:tab/>
      </w:r>
      <w:r>
        <w:fldChar w:fldCharType="begin"/>
      </w:r>
      <w:r>
        <w:instrText xml:space="preserve"> PAGEREF _Toc416185110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_Toc416185111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_Toc416185112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_Toc416185113 \h </w:instrText>
      </w:r>
      <w:r>
        <w:fldChar w:fldCharType="separate"/>
      </w:r>
      <w:r>
        <w:t>28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_Toc416185114 \h </w:instrText>
      </w:r>
      <w:r>
        <w:fldChar w:fldCharType="separate"/>
      </w:r>
      <w:r>
        <w:t>28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_Toc416185115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3A — Police officers may make police orders where family and domestic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_Toc416185117 \h </w:instrText>
      </w:r>
      <w:r>
        <w:fldChar w:fldCharType="separate"/>
      </w:r>
      <w:r>
        <w:t>29</w:t>
      </w:r>
      <w:r>
        <w:fldChar w:fldCharType="end"/>
      </w:r>
    </w:p>
    <w:p>
      <w:pPr>
        <w:pStyle w:val="TOC8"/>
        <w:rPr>
          <w:rFonts w:asciiTheme="minorHAnsi" w:eastAsiaTheme="minorEastAsia" w:hAnsiTheme="minorHAnsi" w:cstheme="minorBidi"/>
          <w:szCs w:val="22"/>
        </w:rPr>
      </w:pPr>
      <w:r>
        <w:t>30B.</w:t>
      </w:r>
      <w:r>
        <w:tab/>
        <w:t>Matters to be considered by police officer</w:t>
      </w:r>
      <w:r>
        <w:tab/>
      </w:r>
      <w:r>
        <w:fldChar w:fldCharType="begin"/>
      </w:r>
      <w:r>
        <w:instrText xml:space="preserve"> PAGEREF _Toc416185118 \h </w:instrText>
      </w:r>
      <w:r>
        <w:fldChar w:fldCharType="separate"/>
      </w:r>
      <w:r>
        <w:t>30</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_Toc416185119 \h </w:instrText>
      </w:r>
      <w:r>
        <w:fldChar w:fldCharType="separate"/>
      </w:r>
      <w:r>
        <w:t>31</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_Toc416185120 \h </w:instrText>
      </w:r>
      <w:r>
        <w:fldChar w:fldCharType="separate"/>
      </w:r>
      <w:r>
        <w:t>32</w:t>
      </w:r>
      <w:r>
        <w:fldChar w:fldCharType="end"/>
      </w:r>
    </w:p>
    <w:p>
      <w:pPr>
        <w:pStyle w:val="TOC8"/>
        <w:rPr>
          <w:rFonts w:asciiTheme="minorHAnsi" w:eastAsiaTheme="minorEastAsia" w:hAnsiTheme="minorHAnsi" w:cstheme="minorBidi"/>
          <w:szCs w:val="22"/>
        </w:rPr>
      </w:pPr>
      <w:r>
        <w:t>30E.</w:t>
      </w:r>
      <w:r>
        <w:tab/>
        <w:t>Police order to be prepared, served and explained</w:t>
      </w:r>
      <w:r>
        <w:tab/>
      </w:r>
      <w:r>
        <w:fldChar w:fldCharType="begin"/>
      </w:r>
      <w:r>
        <w:instrText xml:space="preserve"> PAGEREF _Toc416185121 \h </w:instrText>
      </w:r>
      <w:r>
        <w:fldChar w:fldCharType="separate"/>
      </w:r>
      <w:r>
        <w:t>32</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_Toc416185122 \h </w:instrText>
      </w:r>
      <w:r>
        <w:fldChar w:fldCharType="separate"/>
      </w:r>
      <w:r>
        <w:t>33</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_Toc416185123 \h </w:instrText>
      </w:r>
      <w:r>
        <w:fldChar w:fldCharType="separate"/>
      </w:r>
      <w:r>
        <w:t>34</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_Toc416185124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_Toc416185126 \h </w:instrText>
      </w:r>
      <w:r>
        <w:fldChar w:fldCharType="separate"/>
      </w:r>
      <w:r>
        <w:t>34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_Toc416185127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_Toc416185128 \h </w:instrText>
      </w:r>
      <w:r>
        <w:fldChar w:fldCharType="separate"/>
      </w:r>
      <w:r>
        <w:t>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_Toc416185129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_Toc416185131 \h </w:instrText>
      </w:r>
      <w:r>
        <w:fldChar w:fldCharType="separate"/>
      </w:r>
      <w:r>
        <w:t>39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w:t>
      </w:r>
      <w:r>
        <w:tab/>
      </w:r>
      <w:r>
        <w:fldChar w:fldCharType="begin"/>
      </w:r>
      <w:r>
        <w:instrText xml:space="preserve"> PAGEREF _Toc416185132 \h </w:instrText>
      </w:r>
      <w:r>
        <w:fldChar w:fldCharType="separate"/>
      </w:r>
      <w:r>
        <w:t>39</w:t>
      </w:r>
      <w:r>
        <w:fldChar w:fldCharType="end"/>
      </w:r>
    </w:p>
    <w:p>
      <w:pPr>
        <w:pStyle w:val="TOC8"/>
        <w:rPr>
          <w:rFonts w:asciiTheme="minorHAnsi" w:eastAsiaTheme="minorEastAsia" w:hAnsiTheme="minorHAnsi" w:cstheme="minorBidi"/>
          <w:szCs w:val="22"/>
        </w:rPr>
      </w:pPr>
      <w:r>
        <w:t>35A.</w:t>
      </w:r>
      <w:r>
        <w:tab/>
        <w:t>Misconduct restraining orders not for persons in family and domestic relationship</w:t>
      </w:r>
      <w:r>
        <w:tab/>
      </w:r>
      <w:r>
        <w:fldChar w:fldCharType="begin"/>
      </w:r>
      <w:r>
        <w:instrText xml:space="preserve"> PAGEREF _Toc416185133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_Toc416185134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misconduct restraining order</w:t>
      </w:r>
      <w:r>
        <w:tab/>
      </w:r>
      <w:r>
        <w:fldChar w:fldCharType="begin"/>
      </w:r>
      <w:r>
        <w:instrText xml:space="preserve"> PAGEREF _Toc416185135 \h </w:instrText>
      </w:r>
      <w:r>
        <w:fldChar w:fldCharType="separate"/>
      </w:r>
      <w:r>
        <w:t>43</w:t>
      </w:r>
      <w:r>
        <w:fldChar w:fldCharType="end"/>
      </w:r>
    </w:p>
    <w:p>
      <w:pPr>
        <w:pStyle w:val="TOC8"/>
        <w:rPr>
          <w:rFonts w:asciiTheme="minorHAnsi" w:eastAsiaTheme="minorEastAsia" w:hAnsiTheme="minorHAnsi" w:cstheme="minorBidi"/>
          <w:szCs w:val="22"/>
        </w:rPr>
      </w:pPr>
      <w:r>
        <w:t>38.</w:t>
      </w:r>
      <w:r>
        <w:tab/>
        <w:t>Application</w:t>
      </w:r>
      <w:r>
        <w:tab/>
      </w:r>
      <w:r>
        <w:fldChar w:fldCharType="begin"/>
      </w:r>
      <w:r>
        <w:instrText xml:space="preserve"> PAGEREF _Toc416185136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_Toc416185137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rPr>
      </w:pPr>
      <w:r>
        <w:t>Part 4 — Hearings and evidence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_Toc416185140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_Toc416185141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_Toc416185143 \h </w:instrText>
      </w:r>
      <w:r>
        <w:fldChar w:fldCharType="separate"/>
      </w:r>
      <w:r>
        <w:t>46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_Toc416185144 \h </w:instrText>
      </w:r>
      <w:r>
        <w:fldChar w:fldCharType="separate"/>
      </w:r>
      <w:r>
        <w:t>47</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_Toc416185145 \h </w:instrText>
      </w:r>
      <w:r>
        <w:fldChar w:fldCharType="separate"/>
      </w:r>
      <w:r>
        <w:t>48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_Toc416185146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Evidence</w:t>
      </w:r>
    </w:p>
    <w:p>
      <w:pPr>
        <w:pStyle w:val="TOC8"/>
        <w:rPr>
          <w:rFonts w:asciiTheme="minorHAnsi" w:eastAsiaTheme="minorEastAsia" w:hAnsiTheme="minorHAnsi" w:cstheme="minorBidi"/>
          <w:szCs w:val="22"/>
        </w:rPr>
      </w:pPr>
      <w:r>
        <w:t>44A.</w:t>
      </w:r>
      <w:r>
        <w:tab/>
        <w:t>Rules of evidence not to apply at ex parte hearing</w:t>
      </w:r>
      <w:r>
        <w:tab/>
      </w:r>
      <w:r>
        <w:fldChar w:fldCharType="begin"/>
      </w:r>
      <w:r>
        <w:instrText xml:space="preserve"> PAGEREF _Toc416185148 \h </w:instrText>
      </w:r>
      <w:r>
        <w:fldChar w:fldCharType="separate"/>
      </w:r>
      <w:r>
        <w:t>50</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_Toc416185149 \h </w:instrText>
      </w:r>
      <w:r>
        <w:fldChar w:fldCharType="separate"/>
      </w:r>
      <w:r>
        <w:t>51</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_Toc416185150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_Toc416185152 \h </w:instrText>
      </w:r>
      <w:r>
        <w:fldChar w:fldCharType="separate"/>
      </w:r>
      <w:r>
        <w:t>53</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_Toc416185153 \h </w:instrText>
      </w:r>
      <w:r>
        <w:fldChar w:fldCharType="separate"/>
      </w:r>
      <w:r>
        <w:t>54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_Toc416185154 \h </w:instrText>
      </w:r>
      <w:r>
        <w:fldChar w:fldCharType="separate"/>
      </w:r>
      <w:r>
        <w:t>54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_Toc416185155 \h </w:instrText>
      </w:r>
      <w:r>
        <w:fldChar w:fldCharType="separate"/>
      </w:r>
      <w:r>
        <w:t>55</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_Toc416185156 \h </w:instrText>
      </w:r>
      <w:r>
        <w:fldChar w:fldCharType="separate"/>
      </w:r>
      <w:r>
        <w:t>56</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_Toc416185157 \h </w:instrText>
      </w:r>
      <w:r>
        <w:fldChar w:fldCharType="separate"/>
      </w:r>
      <w:r>
        <w:t>58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_Toc416185158 \h </w:instrText>
      </w:r>
      <w:r>
        <w:fldChar w:fldCharType="separate"/>
      </w:r>
      <w:r>
        <w:t>58</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_Toc416185159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6 — General</w:t>
      </w:r>
    </w:p>
    <w:p>
      <w:pPr>
        <w:pStyle w:val="TOC4"/>
        <w:tabs>
          <w:tab w:val="right" w:leader="dot" w:pos="7086"/>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_Toc416185162 \h </w:instrText>
      </w:r>
      <w:r>
        <w:fldChar w:fldCharType="separate"/>
      </w:r>
      <w:r>
        <w:t>61</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_Toc416185163 \h </w:instrText>
      </w:r>
      <w:r>
        <w:fldChar w:fldCharType="separate"/>
      </w:r>
      <w:r>
        <w:t>61</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_Toc416185164 \h </w:instrText>
      </w:r>
      <w:r>
        <w:fldChar w:fldCharType="separate"/>
      </w:r>
      <w:r>
        <w:t>61</w:t>
      </w:r>
      <w:r>
        <w:fldChar w:fldCharType="end"/>
      </w:r>
    </w:p>
    <w:p>
      <w:pPr>
        <w:pStyle w:val="TOC8"/>
        <w:rPr>
          <w:rFonts w:asciiTheme="minorHAnsi" w:eastAsiaTheme="minorEastAsia" w:hAnsiTheme="minorHAnsi" w:cstheme="minorBidi"/>
          <w:szCs w:val="22"/>
        </w:rPr>
      </w:pPr>
      <w:r>
        <w:t>50C.</w:t>
      </w:r>
      <w:r>
        <w:tab/>
        <w:t>CEO (child welfare) to be notified before certain orders are made</w:t>
      </w:r>
      <w:r>
        <w:tab/>
      </w:r>
      <w:r>
        <w:fldChar w:fldCharType="begin"/>
      </w:r>
      <w:r>
        <w:instrText xml:space="preserve"> PAGEREF _Toc416185165 \h </w:instrText>
      </w:r>
      <w:r>
        <w:fldChar w:fldCharType="separate"/>
      </w:r>
      <w:r>
        <w:t>62</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_Toc416185166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_Toc416185167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_Toc416185168 \h </w:instrText>
      </w:r>
      <w:r>
        <w:fldChar w:fldCharType="separate"/>
      </w:r>
      <w:r>
        <w:t>63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Telephone order made against child</w:t>
      </w:r>
      <w:r>
        <w:tab/>
      </w:r>
      <w:r>
        <w:fldChar w:fldCharType="begin"/>
      </w:r>
      <w:r>
        <w:instrText xml:space="preserve"> PAGEREF _Toc416185169 \h </w:instrText>
      </w:r>
      <w:r>
        <w:fldChar w:fldCharType="separate"/>
      </w:r>
      <w:r>
        <w:t>64</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_Toc416185170 \h </w:instrText>
      </w:r>
      <w:r>
        <w:fldChar w:fldCharType="separate"/>
      </w:r>
      <w:r>
        <w:t>65</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_Toc416185171 \h </w:instrText>
      </w:r>
      <w:r>
        <w:fldChar w:fldCharType="separate"/>
      </w:r>
      <w:r>
        <w:t>65</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_Toc416185172 \h </w:instrText>
      </w:r>
      <w:r>
        <w:fldChar w:fldCharType="separate"/>
      </w:r>
      <w:r>
        <w:t>66</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_Toc416185173 \h </w:instrText>
      </w:r>
      <w:r>
        <w:fldChar w:fldCharType="separate"/>
      </w:r>
      <w:r>
        <w:t>66</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_Toc416185174 \h </w:instrText>
      </w:r>
      <w:r>
        <w:fldChar w:fldCharType="separate"/>
      </w:r>
      <w:r>
        <w:t>66</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_Toc416185175 \h </w:instrText>
      </w:r>
      <w:r>
        <w:fldChar w:fldCharType="separate"/>
      </w:r>
      <w:r>
        <w:t>67</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_Toc416185176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_Toc416185178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_Toc416185179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_Toc416185180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_Toc416185181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_Toc416185182 \h </w:instrText>
      </w:r>
      <w:r>
        <w:fldChar w:fldCharType="separate"/>
      </w:r>
      <w:r>
        <w:t>70</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_Toc416185183 \h </w:instrText>
      </w:r>
      <w:r>
        <w:fldChar w:fldCharType="separate"/>
      </w:r>
      <w:r>
        <w:t>71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Deliberate avoidance of service</w:t>
      </w:r>
      <w:r>
        <w:tab/>
      </w:r>
      <w:r>
        <w:fldChar w:fldCharType="begin"/>
      </w:r>
      <w:r>
        <w:instrText xml:space="preserve"> PAGEREF _Toc416185184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_Toc416185186 \h </w:instrText>
      </w:r>
      <w:r>
        <w:fldChar w:fldCharType="separate"/>
      </w:r>
      <w:r>
        <w:t>71</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_Toc416185187 \h </w:instrText>
      </w:r>
      <w:r>
        <w:fldChar w:fldCharType="separate"/>
      </w:r>
      <w:r>
        <w:t>72</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_Toc416185188 \h </w:instrText>
      </w:r>
      <w:r>
        <w:fldChar w:fldCharType="separate"/>
      </w:r>
      <w:r>
        <w:t>74</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_Toc416185189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and domestic violence</w:t>
      </w:r>
      <w:r>
        <w:tab/>
      </w:r>
      <w:r>
        <w:fldChar w:fldCharType="begin"/>
      </w:r>
      <w:r>
        <w:instrText xml:space="preserve"> PAGEREF _Toc416185191 \h </w:instrText>
      </w:r>
      <w:r>
        <w:fldChar w:fldCharType="separate"/>
      </w:r>
      <w:r>
        <w:t>75</w:t>
      </w:r>
      <w:r>
        <w:fldChar w:fldCharType="end"/>
      </w:r>
    </w:p>
    <w:p>
      <w:pPr>
        <w:pStyle w:val="TOC8"/>
        <w:rPr>
          <w:rFonts w:asciiTheme="minorHAnsi" w:eastAsiaTheme="minorEastAsia" w:hAnsiTheme="minorHAnsi" w:cstheme="minorBidi"/>
          <w:szCs w:val="22"/>
        </w:rPr>
      </w:pPr>
      <w:r>
        <w:t>62B.</w:t>
      </w:r>
      <w:r>
        <w:tab/>
        <w:t>Entry and search of premises if family and domestic violence suspected</w:t>
      </w:r>
      <w:r>
        <w:tab/>
      </w:r>
      <w:r>
        <w:fldChar w:fldCharType="begin"/>
      </w:r>
      <w:r>
        <w:instrText xml:space="preserve"> PAGEREF _Toc416185192 \h </w:instrText>
      </w:r>
      <w:r>
        <w:fldChar w:fldCharType="separate"/>
      </w:r>
      <w:r>
        <w:t>76</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and domestic violence</w:t>
      </w:r>
      <w:r>
        <w:tab/>
      </w:r>
      <w:r>
        <w:fldChar w:fldCharType="begin"/>
      </w:r>
      <w:r>
        <w:instrText xml:space="preserve"> PAGEREF _Toc416185193 \h </w:instrText>
      </w:r>
      <w:r>
        <w:fldChar w:fldCharType="separate"/>
      </w:r>
      <w:r>
        <w:t>78</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_Toc416185194 \h </w:instrText>
      </w:r>
      <w:r>
        <w:fldChar w:fldCharType="separate"/>
      </w:r>
      <w:r>
        <w:t>78</w:t>
      </w:r>
      <w:r>
        <w:fldChar w:fldCharType="end"/>
      </w:r>
    </w:p>
    <w:p>
      <w:pPr>
        <w:pStyle w:val="TOC8"/>
        <w:rPr>
          <w:rFonts w:asciiTheme="minorHAnsi" w:eastAsiaTheme="minorEastAsia" w:hAnsiTheme="minorHAnsi" w:cstheme="minorBidi"/>
          <w:szCs w:val="22"/>
        </w:rPr>
      </w:pPr>
      <w:r>
        <w:t>62E.</w:t>
      </w:r>
      <w:r>
        <w:tab/>
        <w:t>Seizure of firearms</w:t>
      </w:r>
      <w:r>
        <w:tab/>
      </w:r>
      <w:r>
        <w:fldChar w:fldCharType="begin"/>
      </w:r>
      <w:r>
        <w:instrText xml:space="preserve"> PAGEREF _Toc416185195 \h </w:instrText>
      </w:r>
      <w:r>
        <w:fldChar w:fldCharType="separate"/>
      </w:r>
      <w:r>
        <w:t>79</w:t>
      </w:r>
      <w:r>
        <w:fldChar w:fldCharType="end"/>
      </w:r>
    </w:p>
    <w:p>
      <w:pPr>
        <w:pStyle w:val="TOC8"/>
        <w:rPr>
          <w:rFonts w:asciiTheme="minorHAnsi" w:eastAsiaTheme="minorEastAsia" w:hAnsiTheme="minorHAnsi" w:cstheme="minorBidi"/>
          <w:szCs w:val="22"/>
        </w:rPr>
      </w:pPr>
      <w:r>
        <w:t>62F.</w:t>
      </w:r>
      <w:r>
        <w:tab/>
        <w:t>Detention of respondent during telephone hearing or while police order is being made</w:t>
      </w:r>
      <w:r>
        <w:tab/>
      </w:r>
      <w:r>
        <w:fldChar w:fldCharType="begin"/>
      </w:r>
      <w:r>
        <w:instrText xml:space="preserve"> PAGEREF _Toc416185196 \h </w:instrText>
      </w:r>
      <w:r>
        <w:fldChar w:fldCharType="separate"/>
      </w:r>
      <w:r>
        <w:t>80</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_Toc416185197 \h </w:instrText>
      </w:r>
      <w:r>
        <w:fldChar w:fldCharType="separate"/>
      </w:r>
      <w:r>
        <w:t>81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_Toc416185199 \h </w:instrText>
      </w:r>
      <w:r>
        <w:fldChar w:fldCharType="separate"/>
      </w:r>
      <w:r>
        <w:t>81</w:t>
      </w:r>
      <w:r>
        <w:fldChar w:fldCharType="end"/>
      </w:r>
    </w:p>
    <w:p>
      <w:pPr>
        <w:pStyle w:val="TOC8"/>
        <w:rPr>
          <w:rFonts w:asciiTheme="minorHAnsi" w:eastAsiaTheme="minorEastAsia" w:hAnsiTheme="minorHAnsi" w:cstheme="minorBidi"/>
          <w:szCs w:val="22"/>
        </w:rPr>
      </w:pPr>
      <w:r>
        <w:t>63A.</w:t>
      </w:r>
      <w:r>
        <w:tab/>
        <w:t>Restraining order to be made if certain violent personal offences committed</w:t>
      </w:r>
      <w:r>
        <w:tab/>
      </w:r>
      <w:r>
        <w:fldChar w:fldCharType="begin"/>
      </w:r>
      <w:r>
        <w:instrText xml:space="preserve"> PAGEREF _Toc416185200 \h </w:instrText>
      </w:r>
      <w:r>
        <w:fldChar w:fldCharType="separate"/>
      </w:r>
      <w:r>
        <w:t>84</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_Toc416185201 \h </w:instrText>
      </w:r>
      <w:r>
        <w:fldChar w:fldCharType="separate"/>
      </w:r>
      <w:r>
        <w:t>85</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_Toc416185202 \h </w:instrText>
      </w:r>
      <w:r>
        <w:fldChar w:fldCharType="separate"/>
      </w:r>
      <w:r>
        <w:t>85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_Toc416185203 \h </w:instrText>
      </w:r>
      <w:r>
        <w:fldChar w:fldCharType="separate"/>
      </w:r>
      <w:r>
        <w:t>86</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_Toc416185204 \h </w:instrText>
      </w:r>
      <w:r>
        <w:fldChar w:fldCharType="separate"/>
      </w:r>
      <w:r>
        <w:t>87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Notification of family orders</w:t>
      </w:r>
      <w:r>
        <w:tab/>
      </w:r>
      <w:r>
        <w:fldChar w:fldCharType="begin"/>
      </w:r>
      <w:r>
        <w:instrText xml:space="preserve"> PAGEREF _Toc416185205 \h </w:instrText>
      </w:r>
      <w:r>
        <w:fldChar w:fldCharType="separate"/>
      </w:r>
      <w:r>
        <w:t>87</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_Toc416185206 \h </w:instrText>
      </w:r>
      <w:r>
        <w:fldChar w:fldCharType="separate"/>
      </w:r>
      <w:r>
        <w:t>88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_Toc416185207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_Toc416185208 \h </w:instrText>
      </w:r>
      <w:r>
        <w:fldChar w:fldCharType="separate"/>
      </w:r>
      <w:r>
        <w:t>89</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_Toc416185209 \h </w:instrText>
      </w:r>
      <w:r>
        <w:fldChar w:fldCharType="separate"/>
      </w:r>
      <w:r>
        <w:t>90</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_Toc416185210 \h </w:instrText>
      </w:r>
      <w:r>
        <w:fldChar w:fldCharType="separate"/>
      </w:r>
      <w:r>
        <w:t>91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_Toc416185211 \h </w:instrText>
      </w:r>
      <w:r>
        <w:fldChar w:fldCharType="separate"/>
      </w:r>
      <w:r>
        <w:t>92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_Toc416185212 \h </w:instrText>
      </w:r>
      <w:r>
        <w:fldChar w:fldCharType="separate"/>
      </w:r>
      <w:r>
        <w:t>95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_Toc416185213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_Toc416185215 \h </w:instrText>
      </w:r>
      <w:r>
        <w:fldChar w:fldCharType="separate"/>
      </w:r>
      <w:r>
        <w:t>97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_Toc416185216 \h </w:instrText>
      </w:r>
      <w:r>
        <w:fldChar w:fldCharType="separate"/>
      </w:r>
      <w:r>
        <w:t>97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_Toc416185217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_Toc416185218 \h </w:instrText>
      </w:r>
      <w:r>
        <w:fldChar w:fldCharType="separate"/>
      </w:r>
      <w:r>
        <w:t>99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Variation or cancellation in another State or Territory</w:t>
      </w:r>
      <w:r>
        <w:tab/>
      </w:r>
      <w:r>
        <w:fldChar w:fldCharType="begin"/>
      </w:r>
      <w:r>
        <w:instrText xml:space="preserve"> PAGEREF _Toc416185219 \h </w:instrText>
      </w:r>
      <w:r>
        <w:fldChar w:fldCharType="separate"/>
      </w:r>
      <w:r>
        <w:t>99</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_Toc416185220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_Toc416185222 \h </w:instrText>
      </w:r>
      <w:r>
        <w:fldChar w:fldCharType="separate"/>
      </w:r>
      <w:r>
        <w:t>102</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_Toc416185223 \h </w:instrText>
      </w:r>
      <w:r>
        <w:fldChar w:fldCharType="separate"/>
      </w:r>
      <w:r>
        <w:t>102</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_Toc416185224 \h </w:instrText>
      </w:r>
      <w:r>
        <w:fldChar w:fldCharType="separate"/>
      </w:r>
      <w:r>
        <w:t>103</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_Toc416185225 \h </w:instrText>
      </w:r>
      <w:r>
        <w:fldChar w:fldCharType="separate"/>
      </w:r>
      <w:r>
        <w:t>103</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_Toc416185226 \h </w:instrText>
      </w:r>
      <w:r>
        <w:fldChar w:fldCharType="separate"/>
      </w:r>
      <w:r>
        <w:t>104</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_Toc416185227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_Toc416185229 \h </w:instrText>
      </w:r>
      <w:r>
        <w:fldChar w:fldCharType="separate"/>
      </w:r>
      <w:r>
        <w:t>106</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_Toc416185230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w:t>
            </w:r>
            <w:r>
              <w:rPr>
                <w:b/>
                <w:snapToGrid w:val="0"/>
                <w:sz w:val="22"/>
              </w:rPr>
              <w:t xml:space="preserve"> March 2015</w:t>
            </w:r>
          </w:p>
        </w:tc>
      </w:tr>
    </w:tbl>
    <w:p>
      <w:pPr>
        <w:pStyle w:val="WA"/>
        <w:spacing w:before="120"/>
      </w:pPr>
      <w:r>
        <w:t>Western Australia</w:t>
      </w:r>
    </w:p>
    <w:p>
      <w:pPr>
        <w:pStyle w:val="NameofActReg"/>
        <w:spacing w:before="1400" w:after="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1" w:name="_Toc413398179"/>
      <w:bookmarkStart w:id="2" w:name="_Toc416185078"/>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416185079"/>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4" w:name="_Toc416185080"/>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5" w:name="_Toc416185081"/>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act of abuse</w:t>
      </w:r>
      <w:r>
        <w:t xml:space="preserve"> means an act of family and domestic violence or an act of personal violence;</w:t>
      </w:r>
    </w:p>
    <w:p>
      <w:pPr>
        <w:pStyle w:val="Defstart"/>
      </w:pPr>
      <w:r>
        <w:rPr>
          <w:b/>
        </w:rPr>
        <w:tab/>
      </w:r>
      <w:r>
        <w:rPr>
          <w:rStyle w:val="CharDefText"/>
        </w:rPr>
        <w:t>act of family and domestic violence</w:t>
      </w:r>
      <w:r>
        <w:t xml:space="preserve"> has the meaning given by section 6;</w:t>
      </w:r>
    </w:p>
    <w:p>
      <w:pPr>
        <w:pStyle w:val="Defstart"/>
      </w:pPr>
      <w:r>
        <w:rPr>
          <w:b/>
        </w:rPr>
        <w:tab/>
      </w:r>
      <w:r>
        <w:rPr>
          <w:rStyle w:val="CharDefText"/>
        </w:rPr>
        <w:t>act of personal violence</w:t>
      </w:r>
      <w:r>
        <w:t xml:space="preserve"> has the meaning given by section 6;</w:t>
      </w:r>
    </w:p>
    <w:p>
      <w:pPr>
        <w:pStyle w:val="Defstart"/>
      </w:pPr>
      <w:r>
        <w:rPr>
          <w:b/>
        </w:rPr>
        <w:tab/>
      </w:r>
      <w:r>
        <w:rPr>
          <w:rStyle w:val="CharDefText"/>
        </w:rPr>
        <w:t>application</w:t>
      </w:r>
      <w:r>
        <w:t xml:space="preserve"> means an application made under this Act;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rPr>
          <w:b/>
        </w:rPr>
        <w:tab/>
      </w:r>
      <w:r>
        <w:rPr>
          <w:rStyle w:val="CharDefText"/>
        </w:rPr>
        <w:t>exposed</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r>
      <w:r>
        <w:rPr>
          <w:rStyle w:val="CharDefText"/>
        </w:rPr>
        <w:t>family and domestic relationship</w:t>
      </w:r>
      <w:r>
        <w:t xml:space="preserve"> has the meaning given by section 4;</w:t>
      </w:r>
    </w:p>
    <w:p>
      <w:pPr>
        <w:pStyle w:val="Defstart"/>
      </w:pPr>
      <w:r>
        <w:rPr>
          <w:b/>
        </w:rPr>
        <w:tab/>
      </w:r>
      <w:r>
        <w:rPr>
          <w:rStyle w:val="CharDefText"/>
        </w:rPr>
        <w:t>family order</w:t>
      </w:r>
      <w:r>
        <w:t xml:space="preserve"> has the meaning given by section 5;</w:t>
      </w:r>
    </w:p>
    <w:p>
      <w:pPr>
        <w:pStyle w:val="Defstart"/>
      </w:pPr>
      <w:r>
        <w:rPr>
          <w:b/>
        </w:rPr>
        <w:tab/>
      </w:r>
      <w:r>
        <w:rPr>
          <w:rStyle w:val="CharDefText"/>
        </w:rPr>
        <w:t>final order</w:t>
      </w:r>
      <w:r>
        <w:t xml:space="preserve"> means a restraining order — </w:t>
      </w:r>
    </w:p>
    <w:p>
      <w:pPr>
        <w:pStyle w:val="Defpara"/>
      </w:pPr>
      <w:r>
        <w:tab/>
        <w:t>(a)</w:t>
      </w:r>
      <w:r>
        <w:tab/>
        <w:t>made at a final order hearing; or</w:t>
      </w:r>
    </w:p>
    <w:p>
      <w:pPr>
        <w:pStyle w:val="Defpara"/>
      </w:pPr>
      <w:r>
        <w:tab/>
        <w:t>(b)</w:t>
      </w:r>
      <w:r>
        <w:tab/>
        <w:t>that becomes a final order under section 32; or</w:t>
      </w:r>
    </w:p>
    <w:p>
      <w:pPr>
        <w:pStyle w:val="Defpara"/>
      </w:pPr>
      <w:r>
        <w:tab/>
        <w:t>(ba)</w:t>
      </w:r>
      <w:r>
        <w:tab/>
        <w:t>made under section 40(3); or</w:t>
      </w:r>
    </w:p>
    <w:p>
      <w:pPr>
        <w:pStyle w:val="Defpara"/>
      </w:pPr>
      <w:r>
        <w:tab/>
        <w:t>(bb)</w:t>
      </w:r>
      <w:r>
        <w:tab/>
        <w:t>made under section 41(1) at a mention hearing with the consent of the respondent; or</w:t>
      </w:r>
    </w:p>
    <w:p>
      <w:pPr>
        <w:pStyle w:val="Defpara"/>
      </w:pPr>
      <w:r>
        <w:tab/>
        <w:t>(c)</w:t>
      </w:r>
      <w:r>
        <w:tab/>
        <w:t>made under section 49(1)(b) to vary a final order, being a replacement or additional final order made under that section; or</w:t>
      </w:r>
    </w:p>
    <w:p>
      <w:pPr>
        <w:pStyle w:val="Defpara"/>
      </w:pPr>
      <w:r>
        <w:tab/>
        <w:t>(d)</w:t>
      </w:r>
      <w:r>
        <w:tab/>
        <w:t>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rPr>
          <w:b/>
        </w:rPr>
        <w:tab/>
      </w:r>
      <w:r>
        <w:rPr>
          <w:rStyle w:val="CharDefText"/>
        </w:rPr>
        <w:t>firearm</w:t>
      </w:r>
      <w:r>
        <w:t xml:space="preserve"> has the same meaning as it has in the </w:t>
      </w:r>
      <w:r>
        <w:rPr>
          <w:i/>
        </w:rPr>
        <w:t>Firearms Act 1973</w:t>
      </w:r>
      <w:r>
        <w:t xml:space="preserve">; </w:t>
      </w:r>
    </w:p>
    <w:p>
      <w:pPr>
        <w:pStyle w:val="Defstart"/>
      </w:pPr>
      <w:r>
        <w:rPr>
          <w:b/>
        </w:rPr>
        <w:tab/>
      </w:r>
      <w:r>
        <w:rPr>
          <w:rStyle w:val="CharDefText"/>
        </w:rPr>
        <w:t>firearms licence</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r>
      <w:r>
        <w:rPr>
          <w:rStyle w:val="CharDefText"/>
        </w:rPr>
        <w:t>fix a hearing</w:t>
      </w:r>
      <w:r>
        <w:t xml:space="preserve"> has the meaning given by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pPr>
      <w:r>
        <w:tab/>
      </w:r>
      <w:r>
        <w:rPr>
          <w:rStyle w:val="CharDefText"/>
        </w:rPr>
        <w:t>person seeking to be protected</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by section 10;</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 violence restraining order or misconduct restraining order;</w:t>
      </w:r>
    </w:p>
    <w:p>
      <w:pPr>
        <w:pStyle w:val="Defstart"/>
      </w:pPr>
      <w:r>
        <w:rPr>
          <w:b/>
        </w:rPr>
        <w:tab/>
      </w:r>
      <w:r>
        <w:rPr>
          <w:rStyle w:val="CharDefText"/>
        </w:rPr>
        <w:t>satisfied</w:t>
      </w:r>
      <w:r>
        <w:t xml:space="preserve"> means satisfied on the balance of probabilities;</w:t>
      </w:r>
    </w:p>
    <w:p>
      <w:pPr>
        <w:pStyle w:val="Defstart"/>
      </w:pPr>
      <w:r>
        <w:rPr>
          <w:b/>
        </w:rPr>
        <w:tab/>
      </w:r>
      <w:r>
        <w:rPr>
          <w:rStyle w:val="CharDefText"/>
        </w:rPr>
        <w:t>specified</w:t>
      </w:r>
      <w:r>
        <w:t xml:space="preserve"> in relation to a restraining order, means specified in the order;</w:t>
      </w:r>
    </w:p>
    <w:p>
      <w:pPr>
        <w:pStyle w:val="Defstart"/>
      </w:pPr>
      <w:r>
        <w:rPr>
          <w:b/>
        </w:rPr>
        <w:tab/>
      </w:r>
      <w:r>
        <w:rPr>
          <w:rStyle w:val="CharDefText"/>
        </w:rPr>
        <w:t>telephone application</w:t>
      </w:r>
      <w:r>
        <w:t xml:space="preserve"> means an application under Division 2 of Part 2 for a violence restraining order;</w:t>
      </w:r>
    </w:p>
    <w:p>
      <w:pPr>
        <w:pStyle w:val="Defstart"/>
      </w:pPr>
      <w:r>
        <w:rPr>
          <w:b/>
        </w:rPr>
        <w:tab/>
      </w:r>
      <w:r>
        <w:rPr>
          <w:rStyle w:val="CharDefText"/>
        </w:rPr>
        <w:t>telephone order</w:t>
      </w:r>
      <w:r>
        <w:t xml:space="preserve"> means a violence restraining order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Sch. 2 cl. 23(2)</w:t>
      </w:r>
      <w:r>
        <w:t>; No. 38 of 2004 s. 5, 18(2), 25(2) and (3) and 57(2)</w:t>
      </w:r>
      <w:r>
        <w:noBreakHyphen/>
        <w:t>(4); No. 59 of 2004 s. 124; No. 5 of 2008 s. 90.]</w:t>
      </w:r>
    </w:p>
    <w:p>
      <w:pPr>
        <w:pStyle w:val="Heading5"/>
      </w:pPr>
      <w:bookmarkStart w:id="6" w:name="_Toc416185082"/>
      <w:r>
        <w:rPr>
          <w:rStyle w:val="CharSectno"/>
        </w:rPr>
        <w:t>4</w:t>
      </w:r>
      <w:r>
        <w:t>.</w:t>
      </w:r>
      <w:r>
        <w:tab/>
        <w:t>Term used: family and domestic relationship</w:t>
      </w:r>
      <w:bookmarkEnd w:id="6"/>
    </w:p>
    <w:p>
      <w:pPr>
        <w:pStyle w:val="Subsection"/>
      </w:pPr>
      <w:r>
        <w:tab/>
        <w:t>(1)</w:t>
      </w:r>
      <w:r>
        <w:tab/>
        <w:t xml:space="preserve">In this Act — </w:t>
      </w:r>
    </w:p>
    <w:p>
      <w:pPr>
        <w:pStyle w:val="Defstart"/>
      </w:pPr>
      <w:r>
        <w:rPr>
          <w:b/>
        </w:rPr>
        <w:tab/>
      </w:r>
      <w:r>
        <w:rPr>
          <w:rStyle w:val="CharDefText"/>
        </w:rPr>
        <w:t>family and domestic relationship</w:t>
      </w:r>
      <w:r>
        <w:t xml:space="preserve"> means a relationship between 2 persons —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ind w:left="890" w:hanging="890"/>
      </w:pPr>
      <w:r>
        <w:tab/>
        <w:t>[Section 4 inserted by No. 38 of 2004 s. 6.]</w:t>
      </w:r>
    </w:p>
    <w:p>
      <w:pPr>
        <w:pStyle w:val="Heading5"/>
      </w:pPr>
      <w:bookmarkStart w:id="7" w:name="_Toc416185083"/>
      <w:r>
        <w:rPr>
          <w:rStyle w:val="CharSectno"/>
        </w:rPr>
        <w:t>5</w:t>
      </w:r>
      <w:r>
        <w:t>.</w:t>
      </w:r>
      <w:r>
        <w:tab/>
        <w:t>Term used: family order</w:t>
      </w:r>
      <w:bookmarkEnd w:id="7"/>
    </w:p>
    <w:p>
      <w:pPr>
        <w:pStyle w:val="Subsection"/>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8" w:name="_Toc416185084"/>
      <w:r>
        <w:rPr>
          <w:rStyle w:val="CharSectno"/>
        </w:rPr>
        <w:t>6</w:t>
      </w:r>
      <w:r>
        <w:t>.</w:t>
      </w:r>
      <w:r>
        <w:tab/>
        <w:t>Terms used: act of family and domestic violence and act of personal violence</w:t>
      </w:r>
      <w:bookmarkEnd w:id="8"/>
    </w:p>
    <w:p>
      <w:pPr>
        <w:pStyle w:val="Subsection"/>
      </w:pPr>
      <w:r>
        <w:tab/>
        <w:t>(1)</w:t>
      </w:r>
      <w:r>
        <w:tab/>
        <w:t xml:space="preserve">In this Act — </w:t>
      </w:r>
    </w:p>
    <w:p>
      <w:pPr>
        <w:pStyle w:val="Defstart"/>
      </w:pPr>
      <w:r>
        <w:rPr>
          <w:b/>
        </w:rPr>
        <w:tab/>
      </w:r>
      <w:r>
        <w:rPr>
          <w:rStyle w:val="CharDefText"/>
        </w:rPr>
        <w:t>act of family and domestic violence</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r>
      <w:r>
        <w:rPr>
          <w:rStyle w:val="CharDefText"/>
        </w:rPr>
        <w:t>act of personal violence</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pursuing the person or a third person, or 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r>
      <w:r>
        <w:rPr>
          <w:rStyle w:val="CharDefText"/>
        </w:rPr>
        <w:t>assaulting</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r>
      <w:r>
        <w:rPr>
          <w:rStyle w:val="CharDefText"/>
        </w:rPr>
        <w:t>intimidate</w:t>
      </w:r>
      <w:r>
        <w:t xml:space="preserve"> has the same meaning as in section 338D of </w:t>
      </w:r>
      <w:r>
        <w:rPr>
          <w:i/>
        </w:rPr>
        <w:t>The Criminal Code</w:t>
      </w:r>
      <w:r>
        <w:t>;</w:t>
      </w:r>
    </w:p>
    <w:p>
      <w:pPr>
        <w:pStyle w:val="Defstart"/>
      </w:pPr>
      <w:r>
        <w:rPr>
          <w:b/>
        </w:rPr>
        <w:tab/>
      </w:r>
      <w:r>
        <w:rPr>
          <w:rStyle w:val="CharDefText"/>
        </w:rPr>
        <w:t>kidnapping or depriving the person of his or her liberty</w:t>
      </w:r>
      <w:r>
        <w:t xml:space="preserve"> includes behaving in a manner described in section 332 of </w:t>
      </w:r>
      <w:r>
        <w:rPr>
          <w:i/>
        </w:rPr>
        <w:t>The Criminal Code</w:t>
      </w:r>
      <w:r>
        <w:t>;</w:t>
      </w:r>
    </w:p>
    <w:p>
      <w:pPr>
        <w:pStyle w:val="Defstart"/>
      </w:pPr>
      <w:r>
        <w:rPr>
          <w:b/>
        </w:rPr>
        <w:tab/>
      </w:r>
      <w:r>
        <w:rPr>
          <w:rStyle w:val="CharDefText"/>
        </w:rPr>
        <w:t>pursue</w:t>
      </w:r>
      <w:r>
        <w:t xml:space="preserve"> has the same meaning as in section 338D of </w:t>
      </w:r>
      <w:r>
        <w:rPr>
          <w:i/>
        </w:rPr>
        <w:t>The Criminal Code</w:t>
      </w:r>
      <w:r>
        <w:t>.</w:t>
      </w:r>
    </w:p>
    <w:p>
      <w:pPr>
        <w:pStyle w:val="Footnotesection"/>
      </w:pPr>
      <w:r>
        <w:tab/>
        <w:t>[Section 6 inserted by No. 38 of 2004 s. 7; amended by No. 5 of 2008 s. 91.]</w:t>
      </w:r>
    </w:p>
    <w:p>
      <w:pPr>
        <w:pStyle w:val="Heading5"/>
      </w:pPr>
      <w:bookmarkStart w:id="9" w:name="_Toc416185085"/>
      <w:r>
        <w:rPr>
          <w:rStyle w:val="CharSectno"/>
        </w:rPr>
        <w:t>7</w:t>
      </w:r>
      <w:r>
        <w:t>.</w:t>
      </w:r>
      <w:r>
        <w:tab/>
        <w:t>Persons protected, and bound, by order to be natural persons</w:t>
      </w:r>
      <w:bookmarkEnd w:id="9"/>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10" w:name="_Toc416185086"/>
      <w:r>
        <w:rPr>
          <w:rStyle w:val="CharSectno"/>
        </w:rPr>
        <w:t>7A</w:t>
      </w:r>
      <w:r>
        <w:t>.</w:t>
      </w:r>
      <w:r>
        <w:tab/>
        <w:t>Orders under this Act imposing restraints</w:t>
      </w:r>
      <w:bookmarkEnd w:id="10"/>
    </w:p>
    <w:p>
      <w:pPr>
        <w:pStyle w:val="Subsection"/>
      </w:pPr>
      <w:r>
        <w:tab/>
      </w:r>
      <w:r>
        <w:tab/>
        <w:t xml:space="preserve">An order imposing restraints may be made under this Act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xml:space="preserve"> hearing an application under section 25, 38 or 45; or</w:t>
      </w:r>
    </w:p>
    <w:p>
      <w:pPr>
        <w:pStyle w:val="Indenta"/>
      </w:pPr>
      <w:r>
        <w:tab/>
        <w:t>(b)</w:t>
      </w:r>
      <w:r>
        <w:tab/>
        <w:t>the Children’s Court hearing an application under section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5"/>
      </w:pPr>
      <w:bookmarkStart w:id="11" w:name="_Toc416185087"/>
      <w:r>
        <w:rPr>
          <w:rStyle w:val="CharSectno"/>
        </w:rPr>
        <w:t>8A</w:t>
      </w:r>
      <w:r>
        <w:t>.</w:t>
      </w:r>
      <w:r>
        <w:tab/>
      </w:r>
      <w:r>
        <w:rPr>
          <w:i/>
        </w:rPr>
        <w:t>Courts and Tribunals (Electronic Processes Facilitation) Act 2013</w:t>
      </w:r>
      <w:r>
        <w:t xml:space="preserve"> Part 2 applies</w:t>
      </w:r>
      <w:bookmarkEnd w:id="1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109.]</w:t>
      </w:r>
    </w:p>
    <w:p>
      <w:pPr>
        <w:pStyle w:val="Heading2"/>
      </w:pPr>
      <w:bookmarkStart w:id="12" w:name="_Toc413398189"/>
      <w:bookmarkStart w:id="13" w:name="_Toc416185088"/>
      <w:r>
        <w:rPr>
          <w:rStyle w:val="CharPartNo"/>
        </w:rPr>
        <w:t>Part 1A</w:t>
      </w:r>
      <w:r>
        <w:rPr>
          <w:b w:val="0"/>
        </w:rPr>
        <w:t> </w:t>
      </w:r>
      <w:r>
        <w:t>—</w:t>
      </w:r>
      <w:r>
        <w:rPr>
          <w:b w:val="0"/>
        </w:rPr>
        <w:t> </w:t>
      </w:r>
      <w:r>
        <w:rPr>
          <w:rStyle w:val="CharPartText"/>
        </w:rPr>
        <w:t>Restraining orders generally</w:t>
      </w:r>
      <w:bookmarkEnd w:id="12"/>
      <w:bookmarkEnd w:id="13"/>
    </w:p>
    <w:p>
      <w:pPr>
        <w:pStyle w:val="Footnoteheading"/>
        <w:tabs>
          <w:tab w:val="left" w:pos="851"/>
        </w:tabs>
      </w:pPr>
      <w:r>
        <w:tab/>
        <w:t>[Heading inserted by No. 38 of 2004 s. 9.]</w:t>
      </w:r>
    </w:p>
    <w:p>
      <w:pPr>
        <w:pStyle w:val="Heading5"/>
      </w:pPr>
      <w:bookmarkStart w:id="14" w:name="_Toc416185089"/>
      <w:r>
        <w:rPr>
          <w:rStyle w:val="CharSectno"/>
        </w:rPr>
        <w:t>8</w:t>
      </w:r>
      <w:r>
        <w:t>.</w:t>
      </w:r>
      <w:r>
        <w:tab/>
        <w:t>Explanation about orders to be given</w:t>
      </w:r>
      <w:bookmarkEnd w:id="14"/>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15" w:name="_Toc416185090"/>
      <w:r>
        <w:rPr>
          <w:rStyle w:val="CharSectno"/>
        </w:rPr>
        <w:t>9</w:t>
      </w:r>
      <w:r>
        <w:rPr>
          <w:snapToGrid w:val="0"/>
        </w:rPr>
        <w:t>.</w:t>
      </w:r>
      <w:r>
        <w:rPr>
          <w:snapToGrid w:val="0"/>
        </w:rPr>
        <w:tab/>
        <w:t>Fixing a hearing</w:t>
      </w:r>
      <w:bookmarkEnd w:id="15"/>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prepare a summons in the prescribed form; and</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spacing w:before="60"/>
        <w:rPr>
          <w:snapToGrid w:val="0"/>
        </w:rPr>
      </w:pPr>
      <w:r>
        <w:rPr>
          <w:snapToGrid w:val="0"/>
        </w:rPr>
        <w:tab/>
        <w:t>(a)</w:t>
      </w:r>
      <w:r>
        <w:rPr>
          <w:snapToGrid w:val="0"/>
        </w:rPr>
        <w:tab/>
        <w:t>fix a day, time and place for the hearing; and</w:t>
      </w:r>
    </w:p>
    <w:p>
      <w:pPr>
        <w:pStyle w:val="Indenta"/>
        <w:spacing w:before="60"/>
        <w:rPr>
          <w:snapToGrid w:val="0"/>
        </w:rPr>
      </w:pPr>
      <w:r>
        <w:rPr>
          <w:snapToGrid w:val="0"/>
        </w:rPr>
        <w:tab/>
        <w:t>(b)</w:t>
      </w:r>
      <w:r>
        <w:rPr>
          <w:snapToGrid w:val="0"/>
        </w:rPr>
        <w:tab/>
        <w:t>notify the party who is to be present of the hearing.</w:t>
      </w:r>
    </w:p>
    <w:p>
      <w:pPr>
        <w:pStyle w:val="Footnotesection"/>
        <w:spacing w:before="80"/>
      </w:pPr>
      <w:r>
        <w:tab/>
        <w:t xml:space="preserve">[Section 9 amended by No. 59 of 2004 s. 123.] </w:t>
      </w:r>
    </w:p>
    <w:p>
      <w:pPr>
        <w:pStyle w:val="Heading5"/>
        <w:spacing w:before="200"/>
        <w:rPr>
          <w:snapToGrid w:val="0"/>
        </w:rPr>
      </w:pPr>
      <w:bookmarkStart w:id="16" w:name="_Toc416185091"/>
      <w:r>
        <w:rPr>
          <w:rStyle w:val="CharSectno"/>
        </w:rPr>
        <w:t>10</w:t>
      </w:r>
      <w:r>
        <w:rPr>
          <w:snapToGrid w:val="0"/>
        </w:rPr>
        <w:t>.</w:t>
      </w:r>
      <w:r>
        <w:rPr>
          <w:snapToGrid w:val="0"/>
        </w:rPr>
        <w:tab/>
        <w:t>Preparation and service of orders</w:t>
      </w:r>
      <w:bookmarkEnd w:id="16"/>
      <w:r>
        <w:rPr>
          <w:snapToGrid w:val="0"/>
        </w:rPr>
        <w:t xml:space="preserve"> </w:t>
      </w:r>
    </w:p>
    <w:p>
      <w:pPr>
        <w:pStyle w:val="Subsection"/>
        <w:spacing w:before="130"/>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spacing w:before="60"/>
        <w:rPr>
          <w:snapToGrid w:val="0"/>
        </w:rPr>
      </w:pPr>
      <w:r>
        <w:rPr>
          <w:snapToGrid w:val="0"/>
        </w:rPr>
        <w:tab/>
        <w:t>(a)</w:t>
      </w:r>
      <w:r>
        <w:rPr>
          <w:snapToGrid w:val="0"/>
        </w:rPr>
        <w:tab/>
        <w:t>the respondent’s copy and the respondent’s endorsement copy (if one is required to be served) of the order to be served on the person who is bound by the order; and</w:t>
      </w:r>
    </w:p>
    <w:p>
      <w:pPr>
        <w:pStyle w:val="Indenta"/>
        <w:spacing w:before="60"/>
      </w:pPr>
      <w:r>
        <w:rPr>
          <w:snapToGrid w:val="0"/>
        </w:rPr>
        <w:tab/>
        <w:t>(b)</w:t>
      </w:r>
      <w:r>
        <w:rPr>
          <w:snapToGrid w:val="0"/>
        </w:rPr>
        <w:tab/>
        <w:t>the applicant’s copy of the order to be</w:t>
      </w:r>
      <w:r>
        <w:t xml:space="preserve"> delivered to — </w:t>
      </w:r>
    </w:p>
    <w:p>
      <w:pPr>
        <w:pStyle w:val="Indenti"/>
        <w:spacing w:before="60"/>
      </w:pPr>
      <w:r>
        <w:tab/>
        <w:t>(i)</w:t>
      </w:r>
      <w:r>
        <w:tab/>
        <w:t xml:space="preserve">the person seeking to be protected by the order; or </w:t>
      </w:r>
    </w:p>
    <w:p>
      <w:pPr>
        <w:pStyle w:val="Indenti"/>
        <w:spacing w:before="60"/>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police copy of the order to be delivered to the Commissioner of Police; and</w:t>
      </w:r>
    </w:p>
    <w:p>
      <w:pPr>
        <w:pStyle w:val="Indenta"/>
        <w:spacing w:before="60"/>
        <w:rPr>
          <w:snapToGrid w:val="0"/>
        </w:rPr>
      </w:pPr>
      <w:r>
        <w:rPr>
          <w:snapToGrid w:val="0"/>
        </w:rPr>
        <w:tab/>
        <w:t>(d)</w:t>
      </w:r>
      <w:r>
        <w:rPr>
          <w:snapToGrid w:val="0"/>
        </w:rPr>
        <w:tab/>
        <w:t xml:space="preserve">the court copy of the order to be placed on the court’s records. </w:t>
      </w:r>
    </w:p>
    <w:p>
      <w:pPr>
        <w:pStyle w:val="Subsection"/>
        <w:spacing w:before="130"/>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 xml:space="preserve">the court copy of the order to be delivered to the </w:t>
      </w:r>
      <w:smartTag w:uri="urn:schemas-microsoft-com:office:smarttags" w:element="Street">
        <w:smartTag w:uri="urn:schemas-microsoft-com:office:smarttags" w:element="address">
          <w:r>
            <w:t>Magistrates Court</w:t>
          </w:r>
        </w:smartTag>
      </w:smartTag>
      <w:r>
        <w:t xml:space="preserve"> at the place where the authorised magistrate who made the order sits.</w:t>
      </w:r>
    </w:p>
    <w:p>
      <w:pPr>
        <w:pStyle w:val="Subsection"/>
      </w:pPr>
      <w:r>
        <w:tab/>
        <w:t>(3)</w:t>
      </w:r>
      <w:r>
        <w:tab/>
        <w:t xml:space="preserve">The registrar of the </w:t>
      </w:r>
      <w:smartTag w:uri="urn:schemas-microsoft-com:office:smarttags" w:element="Street">
        <w:smartTag w:uri="urn:schemas-microsoft-com:office:smarttags" w:element="address">
          <w:r>
            <w:t>Magistrates Court</w:t>
          </w:r>
        </w:smartTag>
      </w:smartTag>
      <w:r>
        <w:t xml:space="preserve">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 xml:space="preserve">otherwise, to the </w:t>
      </w:r>
      <w:smartTag w:uri="urn:schemas-microsoft-com:office:smarttags" w:element="Street">
        <w:smartTag w:uri="urn:schemas-microsoft-com:office:smarttags" w:element="address">
          <w:r>
            <w:t>Magistrates Court</w:t>
          </w:r>
        </w:smartTag>
      </w:smartTag>
      <w:r>
        <w: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by No. 38 of 2004 s. 10, 18(3) and 38(4); No. 59 of 2004 s. 123 and 124; No. 5 of 2008 s. 92.]</w:t>
      </w:r>
    </w:p>
    <w:p>
      <w:pPr>
        <w:pStyle w:val="Heading2"/>
      </w:pPr>
      <w:bookmarkStart w:id="17" w:name="_Toc413398193"/>
      <w:bookmarkStart w:id="18" w:name="_Toc416185092"/>
      <w:r>
        <w:rPr>
          <w:rStyle w:val="CharPartNo"/>
        </w:rPr>
        <w:t>Part 2</w:t>
      </w:r>
      <w:r>
        <w:t> — </w:t>
      </w:r>
      <w:r>
        <w:rPr>
          <w:rStyle w:val="CharPartText"/>
        </w:rPr>
        <w:t>Violence restraining order</w:t>
      </w:r>
      <w:bookmarkEnd w:id="17"/>
      <w:bookmarkEnd w:id="18"/>
      <w:r>
        <w:rPr>
          <w:rStyle w:val="CharPartText"/>
        </w:rPr>
        <w:t xml:space="preserve"> </w:t>
      </w:r>
    </w:p>
    <w:p>
      <w:pPr>
        <w:pStyle w:val="Heading3"/>
        <w:rPr>
          <w:snapToGrid w:val="0"/>
        </w:rPr>
      </w:pPr>
      <w:bookmarkStart w:id="19" w:name="_Toc413398194"/>
      <w:bookmarkStart w:id="20" w:name="_Toc416185093"/>
      <w:r>
        <w:rPr>
          <w:rStyle w:val="CharDivNo"/>
        </w:rPr>
        <w:t>Division 1</w:t>
      </w:r>
      <w:r>
        <w:rPr>
          <w:snapToGrid w:val="0"/>
        </w:rPr>
        <w:t> — </w:t>
      </w:r>
      <w:r>
        <w:rPr>
          <w:rStyle w:val="CharDivText"/>
        </w:rPr>
        <w:t>Violence restraining order</w:t>
      </w:r>
      <w:bookmarkEnd w:id="19"/>
      <w:bookmarkEnd w:id="20"/>
      <w:r>
        <w:rPr>
          <w:rStyle w:val="CharDivText"/>
        </w:rPr>
        <w:t xml:space="preserve"> </w:t>
      </w:r>
    </w:p>
    <w:p>
      <w:pPr>
        <w:pStyle w:val="Heading5"/>
      </w:pPr>
      <w:bookmarkStart w:id="21" w:name="_Toc416185094"/>
      <w:r>
        <w:rPr>
          <w:rStyle w:val="CharSectno"/>
        </w:rPr>
        <w:t>11</w:t>
      </w:r>
      <w:r>
        <w:t>.</w:t>
      </w:r>
      <w:r>
        <w:tab/>
        <w:t>Violence restraining order to specify names of person bound, and person protected, by order</w:t>
      </w:r>
      <w:bookmarkEnd w:id="21"/>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22" w:name="_Toc416185095"/>
      <w:r>
        <w:rPr>
          <w:rStyle w:val="CharSectno"/>
        </w:rPr>
        <w:t>11A</w:t>
      </w:r>
      <w:r>
        <w:t>.</w:t>
      </w:r>
      <w:r>
        <w:tab/>
        <w:t>When violence restraining orders may be made</w:t>
      </w:r>
      <w:bookmarkEnd w:id="22"/>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23" w:name="_Toc416185096"/>
      <w:r>
        <w:rPr>
          <w:rStyle w:val="CharSectno"/>
        </w:rPr>
        <w:t>11B</w:t>
      </w:r>
      <w:r>
        <w:t>.</w:t>
      </w:r>
      <w:r>
        <w:tab/>
        <w:t>Violence restraining order may be made for child in circumstances of family and domestic violence</w:t>
      </w:r>
      <w:bookmarkEnd w:id="23"/>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24" w:name="_Toc416185097"/>
      <w:r>
        <w:rPr>
          <w:rStyle w:val="CharSectno"/>
        </w:rPr>
        <w:t>12</w:t>
      </w:r>
      <w:r>
        <w:rPr>
          <w:snapToGrid w:val="0"/>
        </w:rPr>
        <w:t>.</w:t>
      </w:r>
      <w:r>
        <w:rPr>
          <w:snapToGrid w:val="0"/>
        </w:rPr>
        <w:tab/>
        <w:t>Matters to be considered by court</w:t>
      </w:r>
      <w:bookmarkEnd w:id="24"/>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spacing w:before="70"/>
        <w:rPr>
          <w:snapToGrid w:val="0"/>
        </w:rPr>
      </w:pPr>
      <w:r>
        <w:rPr>
          <w:snapToGrid w:val="0"/>
        </w:rPr>
        <w:tab/>
        <w:t>(a)</w:t>
      </w:r>
      <w:r>
        <w:rPr>
          <w:snapToGrid w:val="0"/>
        </w:rPr>
        <w:tab/>
        <w:t>the need to ensure that the</w:t>
      </w:r>
      <w:r>
        <w:t xml:space="preserve"> person seeking to be protected is protected from acts of abuse</w:t>
      </w:r>
      <w:r>
        <w:rPr>
          <w:snapToGrid w:val="0"/>
        </w:rPr>
        <w:t>; and</w:t>
      </w:r>
    </w:p>
    <w:p>
      <w:pPr>
        <w:pStyle w:val="Indenta"/>
        <w:spacing w:before="70"/>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 and</w:t>
      </w:r>
    </w:p>
    <w:p>
      <w:pPr>
        <w:pStyle w:val="Indenta"/>
        <w:spacing w:before="70"/>
      </w:pPr>
      <w:r>
        <w:tab/>
        <w:t>(ba)</w:t>
      </w:r>
      <w:r>
        <w:tab/>
        <w:t>the need to ensure that children are not exposed to acts of family and domestic violence; and</w:t>
      </w:r>
    </w:p>
    <w:p>
      <w:pPr>
        <w:pStyle w:val="Indenta"/>
        <w:spacing w:before="70"/>
        <w:rPr>
          <w:snapToGrid w:val="0"/>
        </w:rPr>
      </w:pPr>
      <w:r>
        <w:rPr>
          <w:snapToGrid w:val="0"/>
        </w:rPr>
        <w:tab/>
        <w:t>(c)</w:t>
      </w:r>
      <w:r>
        <w:rPr>
          <w:snapToGrid w:val="0"/>
        </w:rPr>
        <w:tab/>
        <w:t>the wellbeing of children who are likely to be affected by the respondent’s behaviour or the operation of the proposed order; and</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 and</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 and</w:t>
      </w:r>
    </w:p>
    <w:p>
      <w:pPr>
        <w:pStyle w:val="Indenta"/>
        <w:spacing w:before="70"/>
        <w:rPr>
          <w:snapToGrid w:val="0"/>
        </w:rPr>
      </w:pPr>
      <w:r>
        <w:rPr>
          <w:snapToGrid w:val="0"/>
        </w:rPr>
        <w:tab/>
        <w:t>(e)</w:t>
      </w:r>
      <w:r>
        <w:rPr>
          <w:snapToGrid w:val="0"/>
        </w:rPr>
        <w:tab/>
        <w:t>hardship that may be caused to the respondent if the order is made; and</w:t>
      </w:r>
    </w:p>
    <w:p>
      <w:pPr>
        <w:pStyle w:val="Indenta"/>
        <w:rPr>
          <w:snapToGrid w:val="0"/>
        </w:rPr>
      </w:pPr>
      <w:r>
        <w:rPr>
          <w:snapToGrid w:val="0"/>
        </w:rPr>
        <w:tab/>
        <w:t>(f)</w:t>
      </w:r>
      <w:r>
        <w:rPr>
          <w:snapToGrid w:val="0"/>
        </w:rPr>
        <w:tab/>
        <w:t>any family orders; and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(h)</w:t>
      </w:r>
      <w:r>
        <w:rPr>
          <w:snapToGrid w:val="0"/>
        </w:rPr>
        <w:tab/>
        <w:t>any criminal record of the respondent; and</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The information is to be provided in the form of a certificate signed by a police officer of or above the rank of inspector.</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inspector.</w:t>
      </w:r>
    </w:p>
    <w:p>
      <w:pPr>
        <w:pStyle w:val="Footnotesection"/>
        <w:ind w:left="890" w:hanging="890"/>
      </w:pPr>
      <w:r>
        <w:tab/>
        <w:t>[Section 12 amended by No. 38 of 2004 s. 12, 54, 55, 56 and 57(5); No. 32 of 2011 s. 4.]</w:t>
      </w:r>
    </w:p>
    <w:p>
      <w:pPr>
        <w:pStyle w:val="Heading5"/>
        <w:rPr>
          <w:snapToGrid w:val="0"/>
        </w:rPr>
      </w:pPr>
      <w:bookmarkStart w:id="25" w:name="_Toc416185098"/>
      <w:r>
        <w:rPr>
          <w:rStyle w:val="CharSectno"/>
        </w:rPr>
        <w:t>13</w:t>
      </w:r>
      <w:r>
        <w:rPr>
          <w:snapToGrid w:val="0"/>
        </w:rPr>
        <w:t>.</w:t>
      </w:r>
      <w:r>
        <w:rPr>
          <w:snapToGrid w:val="0"/>
        </w:rPr>
        <w:tab/>
        <w:t>Restraints on respondent</w:t>
      </w:r>
      <w:bookmarkEnd w:id="25"/>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 or</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violence restraining order may inform the respondent that certain behaviour and activities are unlawful.</w:t>
      </w:r>
    </w:p>
    <w:p>
      <w:pPr>
        <w:pStyle w:val="Footnotesection"/>
        <w:ind w:left="890" w:hanging="890"/>
      </w:pPr>
      <w:r>
        <w:tab/>
        <w:t>[Section 13 amended by No. 38 of 2004 s. 13, 54 and 56; No. 32 of 2011 s. 5.]</w:t>
      </w:r>
    </w:p>
    <w:p>
      <w:pPr>
        <w:pStyle w:val="Heading5"/>
        <w:rPr>
          <w:snapToGrid w:val="0"/>
        </w:rPr>
      </w:pPr>
      <w:bookmarkStart w:id="26" w:name="_Toc416185099"/>
      <w:r>
        <w:rPr>
          <w:rStyle w:val="CharSectno"/>
        </w:rPr>
        <w:t>14</w:t>
      </w:r>
      <w:r>
        <w:rPr>
          <w:snapToGrid w:val="0"/>
        </w:rPr>
        <w:t>.</w:t>
      </w:r>
      <w:r>
        <w:rPr>
          <w:snapToGrid w:val="0"/>
        </w:rPr>
        <w:tab/>
        <w:t>Firearms order</w:t>
      </w:r>
      <w:bookmarkEnd w:id="26"/>
      <w:r>
        <w:rPr>
          <w:snapToGrid w:val="0"/>
        </w:rPr>
        <w:t xml:space="preserve"> </w:t>
      </w:r>
    </w:p>
    <w:p>
      <w:pPr>
        <w:pStyle w:val="Subsection"/>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rPr>
          <w:snapToGrid w:val="0"/>
        </w:rPr>
      </w:pPr>
      <w:r>
        <w:rPr>
          <w:snapToGrid w:val="0"/>
        </w:rPr>
        <w:tab/>
        <w:t>(3)</w:t>
      </w:r>
      <w:r>
        <w:rPr>
          <w:snapToGrid w:val="0"/>
        </w:rPr>
        <w:tab/>
        <w:t>A firearm or firearms licence given up under subsection (2) is to be dealt with in the prescribed manner.</w:t>
      </w:r>
    </w:p>
    <w:p>
      <w:pPr>
        <w:pStyle w:val="Subsection"/>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12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spacing w:before="120"/>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spacing w:before="80"/>
        <w:ind w:left="890" w:hanging="890"/>
      </w:pPr>
      <w:r>
        <w:tab/>
        <w:t>[Section 14 amended by No. 38 of 2004 s. 55.]</w:t>
      </w:r>
    </w:p>
    <w:p>
      <w:pPr>
        <w:pStyle w:val="Ednotesection"/>
        <w:spacing w:before="200"/>
      </w:pPr>
      <w:r>
        <w:t>[</w:t>
      </w:r>
      <w:r>
        <w:rPr>
          <w:b/>
        </w:rPr>
        <w:t>15.</w:t>
      </w:r>
      <w:r>
        <w:tab/>
        <w:t>Deleted by No. 38 of 2004 s. 43(2).]</w:t>
      </w:r>
    </w:p>
    <w:p>
      <w:pPr>
        <w:pStyle w:val="Heading5"/>
        <w:spacing w:before="200"/>
        <w:rPr>
          <w:snapToGrid w:val="0"/>
        </w:rPr>
      </w:pPr>
      <w:bookmarkStart w:id="27" w:name="_Toc416185100"/>
      <w:r>
        <w:rPr>
          <w:rStyle w:val="CharSectno"/>
        </w:rPr>
        <w:t>16</w:t>
      </w:r>
      <w:r>
        <w:rPr>
          <w:snapToGrid w:val="0"/>
        </w:rPr>
        <w:t>.</w:t>
      </w:r>
      <w:r>
        <w:rPr>
          <w:snapToGrid w:val="0"/>
        </w:rPr>
        <w:tab/>
        <w:t>Duration of violence restraining order</w:t>
      </w:r>
      <w:bookmarkEnd w:id="27"/>
      <w:r>
        <w:rPr>
          <w:snapToGrid w:val="0"/>
        </w:rPr>
        <w:t xml:space="preserve"> </w:t>
      </w:r>
    </w:p>
    <w:p>
      <w:pPr>
        <w:pStyle w:val="Subsection"/>
        <w:spacing w:before="120"/>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 and</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keepNext/>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spacing w:before="60"/>
        <w:rPr>
          <w:snapToGrid w:val="0"/>
        </w:rPr>
      </w:pPr>
      <w:r>
        <w:rPr>
          <w:snapToGrid w:val="0"/>
        </w:rPr>
        <w:tab/>
        <w:t>(i)</w:t>
      </w:r>
      <w:r>
        <w:rPr>
          <w:snapToGrid w:val="0"/>
        </w:rPr>
        <w:tab/>
        <w:t>the period specified in it; or</w:t>
      </w:r>
    </w:p>
    <w:p>
      <w:pPr>
        <w:pStyle w:val="Indenti"/>
        <w:spacing w:before="60"/>
        <w:rPr>
          <w:snapToGrid w:val="0"/>
        </w:rPr>
      </w:pPr>
      <w:r>
        <w:rPr>
          <w:snapToGrid w:val="0"/>
        </w:rPr>
        <w:tab/>
        <w:t>(ii)</w:t>
      </w:r>
      <w:r>
        <w:rPr>
          <w:snapToGrid w:val="0"/>
        </w:rPr>
        <w:tab/>
        <w:t>if no period is specified, 2 years,</w:t>
      </w:r>
    </w:p>
    <w:p>
      <w:pPr>
        <w:pStyle w:val="Indenta"/>
        <w:spacing w:before="60"/>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 No. 32 of 2011 s. 6.]</w:t>
      </w:r>
    </w:p>
    <w:p>
      <w:pPr>
        <w:pStyle w:val="Heading3"/>
        <w:rPr>
          <w:snapToGrid w:val="0"/>
        </w:rPr>
      </w:pPr>
      <w:bookmarkStart w:id="28" w:name="_Toc413398202"/>
      <w:bookmarkStart w:id="29" w:name="_Toc416185101"/>
      <w:r>
        <w:rPr>
          <w:rStyle w:val="CharDivNo"/>
        </w:rPr>
        <w:t>Division 2</w:t>
      </w:r>
      <w:r>
        <w:rPr>
          <w:snapToGrid w:val="0"/>
        </w:rPr>
        <w:t> — </w:t>
      </w:r>
      <w:r>
        <w:rPr>
          <w:rStyle w:val="CharDivText"/>
        </w:rPr>
        <w:t>Telephone applications</w:t>
      </w:r>
      <w:bookmarkEnd w:id="28"/>
      <w:bookmarkEnd w:id="29"/>
      <w:r>
        <w:rPr>
          <w:rStyle w:val="CharDivText"/>
        </w:rPr>
        <w:t xml:space="preserve"> </w:t>
      </w:r>
    </w:p>
    <w:p>
      <w:pPr>
        <w:pStyle w:val="Heading5"/>
        <w:rPr>
          <w:snapToGrid w:val="0"/>
        </w:rPr>
      </w:pPr>
      <w:bookmarkStart w:id="30" w:name="_Toc416185102"/>
      <w:r>
        <w:rPr>
          <w:rStyle w:val="CharSectno"/>
        </w:rPr>
        <w:t>17</w:t>
      </w:r>
      <w:r>
        <w:rPr>
          <w:snapToGrid w:val="0"/>
        </w:rPr>
        <w:t>.</w:t>
      </w:r>
      <w:r>
        <w:rPr>
          <w:snapToGrid w:val="0"/>
        </w:rPr>
        <w:tab/>
        <w:t>Authorised magistrates</w:t>
      </w:r>
      <w:bookmarkEnd w:id="30"/>
      <w:r>
        <w:rPr>
          <w:snapToGrid w:val="0"/>
        </w:rPr>
        <w:t xml:space="preserve"> </w:t>
      </w:r>
    </w:p>
    <w:p>
      <w:pPr>
        <w:pStyle w:val="Subsection"/>
        <w:rPr>
          <w:snapToGrid w:val="0"/>
        </w:rPr>
      </w:pPr>
      <w:r>
        <w:rPr>
          <w:snapToGrid w:val="0"/>
        </w:rPr>
        <w:tab/>
        <w:t>(1)</w:t>
      </w:r>
      <w:r>
        <w:rPr>
          <w:snapToGrid w:val="0"/>
        </w:rPr>
        <w:tab/>
        <w:t xml:space="preserve">The </w:t>
      </w:r>
      <w:r>
        <w:t xml:space="preserve">Chief Magistrate of the </w:t>
      </w:r>
      <w:smartTag w:uri="urn:schemas-microsoft-com:office:smarttags" w:element="Street">
        <w:smartTag w:uri="urn:schemas-microsoft-com:office:smarttags" w:element="address">
          <w:r>
            <w:t>Magistrates Court</w:t>
          </w:r>
        </w:smartTag>
      </w:smartTag>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deleted]</w:t>
      </w:r>
    </w:p>
    <w:p>
      <w:pPr>
        <w:pStyle w:val="Footnotesection"/>
        <w:ind w:left="890" w:hanging="890"/>
      </w:pPr>
      <w:r>
        <w:tab/>
        <w:t>[Section 17 amended by No. 59 of 2004 s. 124.]</w:t>
      </w:r>
    </w:p>
    <w:p>
      <w:pPr>
        <w:pStyle w:val="Heading5"/>
      </w:pPr>
      <w:bookmarkStart w:id="31" w:name="_Toc416185103"/>
      <w:r>
        <w:rPr>
          <w:rStyle w:val="CharSectno"/>
        </w:rPr>
        <w:t>18</w:t>
      </w:r>
      <w:r>
        <w:t>.</w:t>
      </w:r>
      <w:r>
        <w:tab/>
        <w:t>Who can apply</w:t>
      </w:r>
      <w:bookmarkEnd w:id="31"/>
    </w:p>
    <w:p>
      <w:pPr>
        <w:pStyle w:val="Subsection"/>
      </w:pPr>
      <w:r>
        <w:tab/>
        <w:t>(1)</w:t>
      </w:r>
      <w:r>
        <w:tab/>
        <w:t>An application for a violence restraining order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32" w:name="_Toc416185104"/>
      <w:r>
        <w:rPr>
          <w:rStyle w:val="CharSectno"/>
        </w:rPr>
        <w:t>19</w:t>
      </w:r>
      <w:r>
        <w:rPr>
          <w:snapToGrid w:val="0"/>
        </w:rPr>
        <w:t>.</w:t>
      </w:r>
      <w:r>
        <w:rPr>
          <w:snapToGrid w:val="0"/>
        </w:rPr>
        <w:tab/>
        <w:t>How to make telephone application</w:t>
      </w:r>
      <w:bookmarkEnd w:id="32"/>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is to be made to an authorised magistrate;</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33" w:name="_Toc416185105"/>
      <w:r>
        <w:rPr>
          <w:rStyle w:val="CharSectno"/>
        </w:rPr>
        <w:t>20</w:t>
      </w:r>
      <w:r>
        <w:rPr>
          <w:snapToGrid w:val="0"/>
        </w:rPr>
        <w:t>.</w:t>
      </w:r>
      <w:r>
        <w:rPr>
          <w:snapToGrid w:val="0"/>
        </w:rPr>
        <w:tab/>
        <w:t>When telephone application may be heard</w:t>
      </w:r>
      <w:bookmarkEnd w:id="33"/>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r>
        <w:tab/>
        <w:t>[Section 20 amended by No. 38 of 2004 s. 18(5).]</w:t>
      </w:r>
    </w:p>
    <w:p>
      <w:pPr>
        <w:pStyle w:val="Heading5"/>
        <w:rPr>
          <w:snapToGrid w:val="0"/>
        </w:rPr>
      </w:pPr>
      <w:bookmarkStart w:id="34" w:name="_Toc416185106"/>
      <w:r>
        <w:rPr>
          <w:rStyle w:val="CharSectno"/>
        </w:rPr>
        <w:t>21</w:t>
      </w:r>
      <w:r>
        <w:rPr>
          <w:snapToGrid w:val="0"/>
        </w:rPr>
        <w:t>.</w:t>
      </w:r>
      <w:r>
        <w:rPr>
          <w:snapToGrid w:val="0"/>
        </w:rPr>
        <w:tab/>
        <w:t>How hearing to be conducted</w:t>
      </w:r>
      <w:bookmarkEnd w:id="3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by No. 38 of 2004 s. 18(6).]</w:t>
      </w:r>
    </w:p>
    <w:p>
      <w:pPr>
        <w:pStyle w:val="Ednotesection"/>
      </w:pPr>
      <w:r>
        <w:t>[</w:t>
      </w:r>
      <w:r>
        <w:rPr>
          <w:b/>
        </w:rPr>
        <w:t>22.</w:t>
      </w:r>
      <w:r>
        <w:tab/>
        <w:t>Deleted by No. 38 of 2004 s. 43(3).]</w:t>
      </w:r>
    </w:p>
    <w:p>
      <w:pPr>
        <w:pStyle w:val="Heading5"/>
        <w:keepNext w:val="0"/>
        <w:keepLines w:val="0"/>
        <w:rPr>
          <w:snapToGrid w:val="0"/>
        </w:rPr>
      </w:pPr>
      <w:bookmarkStart w:id="35" w:name="_Toc416185107"/>
      <w:r>
        <w:rPr>
          <w:rStyle w:val="CharSectno"/>
        </w:rPr>
        <w:t>23</w:t>
      </w:r>
      <w:r>
        <w:rPr>
          <w:snapToGrid w:val="0"/>
        </w:rPr>
        <w:t>.</w:t>
      </w:r>
      <w:r>
        <w:rPr>
          <w:snapToGrid w:val="0"/>
        </w:rPr>
        <w:tab/>
        <w:t>Orders at telephone hearing</w:t>
      </w:r>
      <w:bookmarkEnd w:id="35"/>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by No. 59 of 2004 s. 123.] </w:t>
      </w:r>
    </w:p>
    <w:p>
      <w:pPr>
        <w:pStyle w:val="Heading5"/>
        <w:rPr>
          <w:snapToGrid w:val="0"/>
        </w:rPr>
      </w:pPr>
      <w:bookmarkStart w:id="36" w:name="_Toc416185108"/>
      <w:r>
        <w:rPr>
          <w:rStyle w:val="CharSectno"/>
        </w:rPr>
        <w:t>24</w:t>
      </w:r>
      <w:r>
        <w:rPr>
          <w:snapToGrid w:val="0"/>
        </w:rPr>
        <w:t>.</w:t>
      </w:r>
      <w:r>
        <w:rPr>
          <w:snapToGrid w:val="0"/>
        </w:rPr>
        <w:tab/>
        <w:t>Telephone order to be prepared and served</w:t>
      </w:r>
      <w:bookmarkEnd w:id="36"/>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by No. 59 of 2004 s. 123.] </w:t>
      </w:r>
    </w:p>
    <w:p>
      <w:pPr>
        <w:pStyle w:val="Heading3"/>
      </w:pPr>
      <w:bookmarkStart w:id="37" w:name="_Toc413398210"/>
      <w:bookmarkStart w:id="38" w:name="_Toc416185109"/>
      <w:r>
        <w:rPr>
          <w:rStyle w:val="CharDivNo"/>
        </w:rPr>
        <w:t>Division 3</w:t>
      </w:r>
      <w:r>
        <w:rPr>
          <w:snapToGrid w:val="0"/>
        </w:rPr>
        <w:t> — </w:t>
      </w:r>
      <w:r>
        <w:rPr>
          <w:rStyle w:val="CharDivText"/>
        </w:rPr>
        <w:t>Applications in person to a court</w:t>
      </w:r>
      <w:bookmarkEnd w:id="37"/>
      <w:bookmarkEnd w:id="38"/>
    </w:p>
    <w:p>
      <w:pPr>
        <w:pStyle w:val="Footnoteheading"/>
        <w:tabs>
          <w:tab w:val="left" w:pos="851"/>
        </w:tabs>
      </w:pPr>
      <w:r>
        <w:tab/>
        <w:t>[Heading amended by No. 38 of 2004 s. 18(7).]</w:t>
      </w:r>
    </w:p>
    <w:p>
      <w:pPr>
        <w:pStyle w:val="Heading5"/>
      </w:pPr>
      <w:bookmarkStart w:id="39" w:name="_Toc416185110"/>
      <w:r>
        <w:rPr>
          <w:rStyle w:val="CharSectno"/>
        </w:rPr>
        <w:t>25</w:t>
      </w:r>
      <w:r>
        <w:t>.</w:t>
      </w:r>
      <w:r>
        <w:tab/>
        <w:t>Application</w:t>
      </w:r>
      <w:bookmarkEnd w:id="39"/>
      <w:r>
        <w:t xml:space="preserve"> </w:t>
      </w:r>
    </w:p>
    <w:p>
      <w:pPr>
        <w:pStyle w:val="Subsection"/>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pPr>
      <w:r>
        <w:tab/>
        <w:t>(c)</w:t>
      </w:r>
      <w:r>
        <w:tab/>
        <w:t>otherwise, the Magistrates Court.</w:t>
      </w:r>
    </w:p>
    <w:p>
      <w:pPr>
        <w:pStyle w:val="Footnotesection"/>
        <w:ind w:left="890" w:hanging="890"/>
      </w:pPr>
      <w:r>
        <w:tab/>
        <w:t>[Section 25 inserted by No. 22 of 2000 s. 7; amended by No. 38 of 2004 s. 55; No. 59 of 2004 s. 124; No. 32 of 2011 s. 7; No. 14 of 2013 s. 4.]</w:t>
      </w:r>
    </w:p>
    <w:p>
      <w:pPr>
        <w:pStyle w:val="Heading5"/>
        <w:rPr>
          <w:snapToGrid w:val="0"/>
        </w:rPr>
      </w:pPr>
      <w:bookmarkStart w:id="40" w:name="_Toc416185111"/>
      <w:r>
        <w:rPr>
          <w:rStyle w:val="CharSectno"/>
        </w:rPr>
        <w:t>26</w:t>
      </w:r>
      <w:r>
        <w:rPr>
          <w:snapToGrid w:val="0"/>
        </w:rPr>
        <w:t>.</w:t>
      </w:r>
      <w:r>
        <w:rPr>
          <w:snapToGrid w:val="0"/>
        </w:rPr>
        <w:tab/>
        <w:t>Applicant to choose whether to have hearing in absence of respondent</w:t>
      </w:r>
      <w:bookmarkEnd w:id="40"/>
      <w:r>
        <w:rPr>
          <w:snapToGrid w:val="0"/>
        </w:rPr>
        <w:t xml:space="preserve"> </w:t>
      </w:r>
    </w:p>
    <w:p>
      <w:pPr>
        <w:pStyle w:val="Subsection"/>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41" w:name="_Toc416185112"/>
      <w:r>
        <w:rPr>
          <w:rStyle w:val="CharSectno"/>
        </w:rPr>
        <w:t>27</w:t>
      </w:r>
      <w:r>
        <w:rPr>
          <w:snapToGrid w:val="0"/>
        </w:rPr>
        <w:t>.</w:t>
      </w:r>
      <w:r>
        <w:rPr>
          <w:snapToGrid w:val="0"/>
        </w:rPr>
        <w:tab/>
        <w:t>Attendance at hearing in absence of respondent</w:t>
      </w:r>
      <w:bookmarkEnd w:id="41"/>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Subsection"/>
        <w:keepNext/>
      </w:pPr>
      <w:r>
        <w:tab/>
        <w:t>(4a)</w:t>
      </w:r>
      <w:r>
        <w:tab/>
        <w:t>Despite subsection (4) —</w:t>
      </w:r>
    </w:p>
    <w:p>
      <w:pPr>
        <w:pStyle w:val="Indenta"/>
      </w:pPr>
      <w:r>
        <w:tab/>
        <w:t>(a)</w:t>
      </w:r>
      <w:r>
        <w:tab/>
        <w:t>the person seeking to be protected is entitled to have one or more persons near him or her to provide support; and</w:t>
      </w:r>
    </w:p>
    <w:p>
      <w:pPr>
        <w:pStyle w:val="Indenta"/>
      </w:pPr>
      <w:r>
        <w:tab/>
        <w:t>(b)</w:t>
      </w:r>
      <w:r>
        <w:tab/>
        <w:t>the court may permit any person who is not a party to the proceedings to be in the court.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 No. 5 of 2008 s. 93.]</w:t>
      </w:r>
    </w:p>
    <w:p>
      <w:pPr>
        <w:pStyle w:val="Heading5"/>
        <w:rPr>
          <w:snapToGrid w:val="0"/>
        </w:rPr>
      </w:pPr>
      <w:bookmarkStart w:id="42" w:name="_Toc416185113"/>
      <w:r>
        <w:rPr>
          <w:rStyle w:val="CharSectno"/>
        </w:rPr>
        <w:t>28</w:t>
      </w:r>
      <w:r>
        <w:rPr>
          <w:snapToGrid w:val="0"/>
        </w:rPr>
        <w:t>.</w:t>
      </w:r>
      <w:r>
        <w:rPr>
          <w:snapToGrid w:val="0"/>
        </w:rPr>
        <w:tab/>
        <w:t>Affidavit evidence</w:t>
      </w:r>
      <w:bookmarkEnd w:id="42"/>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by No. 38 of 2004 s. 16.]</w:t>
      </w:r>
    </w:p>
    <w:p>
      <w:pPr>
        <w:pStyle w:val="Heading5"/>
        <w:rPr>
          <w:snapToGrid w:val="0"/>
        </w:rPr>
      </w:pPr>
      <w:bookmarkStart w:id="43" w:name="_Toc416185114"/>
      <w:r>
        <w:rPr>
          <w:rStyle w:val="CharSectno"/>
        </w:rPr>
        <w:t>29</w:t>
      </w:r>
      <w:r>
        <w:rPr>
          <w:snapToGrid w:val="0"/>
        </w:rPr>
        <w:t>.</w:t>
      </w:r>
      <w:r>
        <w:rPr>
          <w:snapToGrid w:val="0"/>
        </w:rPr>
        <w:tab/>
        <w:t>Order at hearing in absence of respondent</w:t>
      </w:r>
      <w:bookmarkEnd w:id="43"/>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 or</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r>
        <w:tab/>
        <w:t>[Section 29 amended by No. 38 of 2004 s. 17; No. 59 of 2004 s. 123.]</w:t>
      </w:r>
    </w:p>
    <w:p>
      <w:pPr>
        <w:pStyle w:val="Heading5"/>
        <w:spacing w:before="180"/>
        <w:rPr>
          <w:snapToGrid w:val="0"/>
        </w:rPr>
      </w:pPr>
      <w:bookmarkStart w:id="44" w:name="_Toc416185115"/>
      <w:r>
        <w:rPr>
          <w:rStyle w:val="CharSectno"/>
        </w:rPr>
        <w:t>30</w:t>
      </w:r>
      <w:r>
        <w:rPr>
          <w:snapToGrid w:val="0"/>
        </w:rPr>
        <w:t>.</w:t>
      </w:r>
      <w:r>
        <w:rPr>
          <w:snapToGrid w:val="0"/>
        </w:rPr>
        <w:tab/>
        <w:t>Order to be prepared and served</w:t>
      </w:r>
      <w:bookmarkEnd w:id="44"/>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45" w:name="_Toc413398217"/>
      <w:bookmarkStart w:id="46" w:name="_Toc416185116"/>
      <w:r>
        <w:rPr>
          <w:rStyle w:val="CharDivNo"/>
        </w:rPr>
        <w:t>Division 3A</w:t>
      </w:r>
      <w:r>
        <w:t> — </w:t>
      </w:r>
      <w:r>
        <w:rPr>
          <w:rStyle w:val="CharDivText"/>
        </w:rPr>
        <w:t>Police officers may make police orders where family and domestic violence</w:t>
      </w:r>
      <w:bookmarkEnd w:id="45"/>
      <w:bookmarkEnd w:id="46"/>
    </w:p>
    <w:p>
      <w:pPr>
        <w:pStyle w:val="Footnoteheading"/>
        <w:tabs>
          <w:tab w:val="left" w:pos="851"/>
        </w:tabs>
      </w:pPr>
      <w:r>
        <w:tab/>
        <w:t>[Heading inserted by No. 38 of 2004 s. 18(1).]</w:t>
      </w:r>
    </w:p>
    <w:p>
      <w:pPr>
        <w:pStyle w:val="Heading5"/>
        <w:spacing w:before="180"/>
      </w:pPr>
      <w:bookmarkStart w:id="47" w:name="_Toc416185117"/>
      <w:r>
        <w:rPr>
          <w:rStyle w:val="CharSectno"/>
        </w:rPr>
        <w:t>30A</w:t>
      </w:r>
      <w:r>
        <w:t>.</w:t>
      </w:r>
      <w:r>
        <w:tab/>
        <w:t>When police order may be made</w:t>
      </w:r>
      <w:bookmarkEnd w:id="47"/>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keepLines/>
      </w:pPr>
      <w:r>
        <w:tab/>
        <w:t>(b)</w:t>
      </w:r>
      <w:r>
        <w:tab/>
        <w:t xml:space="preserve">if the officer reasonably fears, or reasonably believes that another person reasonably fears, that — </w:t>
      </w:r>
    </w:p>
    <w:p>
      <w:pPr>
        <w:pStyle w:val="Indenti"/>
        <w:keepLines/>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48" w:name="_Toc416185118"/>
      <w:r>
        <w:rPr>
          <w:rStyle w:val="CharSectno"/>
        </w:rPr>
        <w:t>30B</w:t>
      </w:r>
      <w:r>
        <w:t>.</w:t>
      </w:r>
      <w:r>
        <w:tab/>
        <w:t>Matters to be considered by police officer</w:t>
      </w:r>
      <w:bookmarkEnd w:id="48"/>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 and</w:t>
      </w:r>
    </w:p>
    <w:p>
      <w:pPr>
        <w:pStyle w:val="Indenta"/>
      </w:pPr>
      <w:r>
        <w:tab/>
        <w:t>(b)</w:t>
      </w:r>
      <w:r>
        <w:tab/>
        <w:t>the need to prevent behaviour that could reasonably be expected to cause fear that a person will have committed against him or her an act of family and domestic violence; and</w:t>
      </w:r>
    </w:p>
    <w:p>
      <w:pPr>
        <w:pStyle w:val="Indenta"/>
      </w:pPr>
      <w:r>
        <w:tab/>
        <w:t>(c)</w:t>
      </w:r>
      <w:r>
        <w:tab/>
        <w:t>the need to ensure that children are not exposed to acts of family and domestic violence; and</w:t>
      </w:r>
    </w:p>
    <w:p>
      <w:pPr>
        <w:pStyle w:val="Indenta"/>
      </w:pPr>
      <w:r>
        <w:tab/>
        <w:t>(d)</w:t>
      </w:r>
      <w:r>
        <w:tab/>
        <w:t xml:space="preserve">the </w:t>
      </w:r>
      <w:r>
        <w:rPr>
          <w:snapToGrid w:val="0"/>
        </w:rPr>
        <w:t xml:space="preserve">wellbeing </w:t>
      </w:r>
      <w:r>
        <w:t>of children likely to be affected by the behaviour of the persons involved or the operation of a proposed order; and</w:t>
      </w:r>
    </w:p>
    <w:p>
      <w:pPr>
        <w:pStyle w:val="Indenta"/>
      </w:pPr>
      <w:r>
        <w:tab/>
        <w:t>(e)</w:t>
      </w:r>
      <w:r>
        <w:tab/>
        <w:t>the accommodation needs of the persons involved; and</w:t>
      </w:r>
    </w:p>
    <w:p>
      <w:pPr>
        <w:pStyle w:val="Indenta"/>
      </w:pPr>
      <w:r>
        <w:tab/>
        <w:t>(f)</w:t>
      </w:r>
      <w:r>
        <w:tab/>
        <w:t>hardship that may be caused if the order is made; and</w:t>
      </w:r>
    </w:p>
    <w:p>
      <w:pPr>
        <w:pStyle w:val="Indenta"/>
      </w:pPr>
      <w:r>
        <w:tab/>
        <w:t>(g)</w:t>
      </w:r>
      <w:r>
        <w:tab/>
        <w:t>any similar behaviour by any person involved, whether in relation to the same person or otherwise; and</w:t>
      </w:r>
    </w:p>
    <w:p>
      <w:pPr>
        <w:pStyle w:val="Indenta"/>
        <w:keepNext/>
      </w:pPr>
      <w:r>
        <w:tab/>
        <w:t>(h)</w:t>
      </w:r>
      <w:r>
        <w:tab/>
        <w:t>any other matter the police officer considers relevant.</w:t>
      </w:r>
    </w:p>
    <w:p>
      <w:pPr>
        <w:pStyle w:val="Footnotesection"/>
        <w:ind w:left="890" w:hanging="890"/>
      </w:pPr>
      <w:r>
        <w:tab/>
        <w:t>[Section 30B inserted by No. 38 of 2004 s. 18(1); amended by No. 38 of 2004 s. 57(5).]</w:t>
      </w:r>
    </w:p>
    <w:p>
      <w:pPr>
        <w:pStyle w:val="Heading5"/>
      </w:pPr>
      <w:bookmarkStart w:id="49" w:name="_Toc416185119"/>
      <w:r>
        <w:rPr>
          <w:rStyle w:val="CharSectno"/>
        </w:rPr>
        <w:t>30C</w:t>
      </w:r>
      <w:r>
        <w:t>.</w:t>
      </w:r>
      <w:r>
        <w:tab/>
        <w:t>Restraints that may be imposed</w:t>
      </w:r>
      <w:bookmarkEnd w:id="49"/>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absolutely or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pPr>
      <w:bookmarkStart w:id="50" w:name="_Toc416185120"/>
      <w:r>
        <w:rPr>
          <w:rStyle w:val="CharSectno"/>
        </w:rPr>
        <w:t>30D</w:t>
      </w:r>
      <w:r>
        <w:t>.</w:t>
      </w:r>
      <w:r>
        <w:tab/>
        <w:t>Police orders against children</w:t>
      </w:r>
      <w:bookmarkEnd w:id="50"/>
    </w:p>
    <w:p>
      <w:pPr>
        <w:pStyle w:val="Subsection"/>
      </w:pPr>
      <w:r>
        <w:tab/>
        <w:t>(1)</w:t>
      </w:r>
      <w:r>
        <w:tab/>
        <w:t>A police order cannot impose restraints on a child unless the child is in a family and domestic relationship with the person for whose benefit the order is made.</w:t>
      </w:r>
    </w:p>
    <w:p>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by No. 32 of 2011 s. 8.]</w:t>
      </w:r>
    </w:p>
    <w:p>
      <w:pPr>
        <w:pStyle w:val="Heading5"/>
      </w:pPr>
      <w:bookmarkStart w:id="51" w:name="_Toc416185121"/>
      <w:r>
        <w:rPr>
          <w:rStyle w:val="CharSectno"/>
        </w:rPr>
        <w:t>30E</w:t>
      </w:r>
      <w:r>
        <w:t>.</w:t>
      </w:r>
      <w:r>
        <w:tab/>
        <w:t>Police order to be prepared, served and explained</w:t>
      </w:r>
      <w:bookmarkEnd w:id="51"/>
    </w:p>
    <w:p>
      <w:pPr>
        <w:pStyle w:val="Subsection"/>
      </w:pPr>
      <w:r>
        <w:tab/>
        <w:t>(1)</w:t>
      </w:r>
      <w:r>
        <w:tab/>
        <w:t>A police officer who makes an order under this Division is to prepare and serve the order.</w:t>
      </w:r>
    </w:p>
    <w:p>
      <w:pPr>
        <w:pStyle w:val="Subsection"/>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ind w:left="890" w:hanging="890"/>
      </w:pPr>
      <w:r>
        <w:tab/>
        <w:t>[Section 30E inserted by No. 38 of 2004 s. 18(1); amended by No. 5 of 2008 s. 94.]</w:t>
      </w:r>
    </w:p>
    <w:p>
      <w:pPr>
        <w:pStyle w:val="Heading5"/>
      </w:pPr>
      <w:bookmarkStart w:id="52" w:name="_Toc416185122"/>
      <w:r>
        <w:rPr>
          <w:rStyle w:val="CharSectno"/>
        </w:rPr>
        <w:t>30F</w:t>
      </w:r>
      <w:r>
        <w:t>.</w:t>
      </w:r>
      <w:r>
        <w:tab/>
        <w:t>Duration of police orders</w:t>
      </w:r>
      <w:bookmarkEnd w:id="52"/>
    </w:p>
    <w:p>
      <w:pPr>
        <w:pStyle w:val="Subsection"/>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by No. 32 of 2011 s. 9.]</w:t>
      </w:r>
    </w:p>
    <w:p>
      <w:pPr>
        <w:pStyle w:val="Ednotesection"/>
      </w:pPr>
      <w:r>
        <w:t>[</w:t>
      </w:r>
      <w:r>
        <w:rPr>
          <w:b/>
        </w:rPr>
        <w:t>30G.</w:t>
      </w:r>
      <w:r>
        <w:tab/>
        <w:t>Deleted by No. 32 of 2011 s. 10.]</w:t>
      </w:r>
    </w:p>
    <w:p>
      <w:pPr>
        <w:pStyle w:val="Heading5"/>
      </w:pPr>
      <w:bookmarkStart w:id="53" w:name="_Toc416185123"/>
      <w:r>
        <w:rPr>
          <w:rStyle w:val="CharSectno"/>
        </w:rPr>
        <w:t>30H</w:t>
      </w:r>
      <w:r>
        <w:t>.</w:t>
      </w:r>
      <w:r>
        <w:tab/>
        <w:t>Order not to be renewed by police officer</w:t>
      </w:r>
      <w:bookmarkEnd w:id="53"/>
    </w:p>
    <w:p>
      <w:pPr>
        <w:pStyle w:val="Subsection"/>
      </w:pPr>
      <w:r>
        <w:tab/>
      </w:r>
      <w:r>
        <w:tab/>
        <w:t>The duration of a police order cannot be extended or renewed and another police order cannot be made in relation to the same facts.</w:t>
      </w:r>
    </w:p>
    <w:p>
      <w:pPr>
        <w:pStyle w:val="Footnotesection"/>
        <w:spacing w:before="100"/>
      </w:pPr>
      <w:r>
        <w:tab/>
        <w:t>[Section 30H inserted by No. 38 of 2004 s. 18(1).]</w:t>
      </w:r>
    </w:p>
    <w:p>
      <w:pPr>
        <w:pStyle w:val="Heading5"/>
      </w:pPr>
      <w:bookmarkStart w:id="54" w:name="_Toc416185124"/>
      <w:r>
        <w:rPr>
          <w:rStyle w:val="CharSectno"/>
        </w:rPr>
        <w:t>30I</w:t>
      </w:r>
      <w:r>
        <w:t>.</w:t>
      </w:r>
      <w:r>
        <w:tab/>
        <w:t>Review of Division</w:t>
      </w:r>
      <w:bookmarkEnd w:id="5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by No. 38 of 2004 s. 18(1).]</w:t>
      </w:r>
    </w:p>
    <w:p>
      <w:pPr>
        <w:pStyle w:val="Heading3"/>
        <w:rPr>
          <w:snapToGrid w:val="0"/>
        </w:rPr>
      </w:pPr>
      <w:bookmarkStart w:id="55" w:name="_Toc413398226"/>
      <w:bookmarkStart w:id="56" w:name="_Toc416185125"/>
      <w:r>
        <w:rPr>
          <w:rStyle w:val="CharDivNo"/>
        </w:rPr>
        <w:t>Division 4</w:t>
      </w:r>
      <w:r>
        <w:rPr>
          <w:snapToGrid w:val="0"/>
        </w:rPr>
        <w:t> — </w:t>
      </w:r>
      <w:r>
        <w:rPr>
          <w:rStyle w:val="CharDivText"/>
        </w:rPr>
        <w:t>Procedure when interim order made</w:t>
      </w:r>
      <w:bookmarkEnd w:id="55"/>
      <w:bookmarkEnd w:id="56"/>
      <w:r>
        <w:rPr>
          <w:rStyle w:val="CharDivText"/>
        </w:rPr>
        <w:t xml:space="preserve"> </w:t>
      </w:r>
    </w:p>
    <w:p>
      <w:pPr>
        <w:pStyle w:val="Heading5"/>
      </w:pPr>
      <w:bookmarkStart w:id="57" w:name="_Toc416185126"/>
      <w:r>
        <w:rPr>
          <w:rStyle w:val="CharSectno"/>
        </w:rPr>
        <w:t>31A</w:t>
      </w:r>
      <w:r>
        <w:t>.</w:t>
      </w:r>
      <w:r>
        <w:tab/>
        <w:t>Term used: respondent</w:t>
      </w:r>
      <w:bookmarkEnd w:id="57"/>
    </w:p>
    <w:p>
      <w:pPr>
        <w:pStyle w:val="Subsection"/>
      </w:pPr>
      <w:r>
        <w:tab/>
      </w:r>
      <w:r>
        <w:tab/>
        <w:t>In this Division —</w:t>
      </w:r>
    </w:p>
    <w:p>
      <w:pPr>
        <w:pStyle w:val="Defstart"/>
      </w:pPr>
      <w:r>
        <w:tab/>
      </w:r>
      <w:r>
        <w:rPr>
          <w:rStyle w:val="CharDefText"/>
        </w:rPr>
        <w:t>respondent</w:t>
      </w:r>
      <w:r>
        <w:t>, in respect of an interim order or final order, means the person bound by the order.</w:t>
      </w:r>
    </w:p>
    <w:p>
      <w:pPr>
        <w:pStyle w:val="Footnotesection"/>
        <w:spacing w:before="100"/>
      </w:pPr>
      <w:r>
        <w:tab/>
        <w:t>[Section 31A inserted by No. 32 of 2011 s. 11.]</w:t>
      </w:r>
    </w:p>
    <w:p>
      <w:pPr>
        <w:pStyle w:val="Heading5"/>
        <w:rPr>
          <w:snapToGrid w:val="0"/>
        </w:rPr>
      </w:pPr>
      <w:bookmarkStart w:id="58" w:name="_Toc416185127"/>
      <w:r>
        <w:rPr>
          <w:rStyle w:val="CharSectno"/>
        </w:rPr>
        <w:t>31</w:t>
      </w:r>
      <w:r>
        <w:rPr>
          <w:snapToGrid w:val="0"/>
        </w:rPr>
        <w:t>.</w:t>
      </w:r>
      <w:r>
        <w:rPr>
          <w:snapToGrid w:val="0"/>
        </w:rPr>
        <w:tab/>
        <w:t>21 days for respondent to object</w:t>
      </w:r>
      <w:bookmarkEnd w:id="58"/>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59" w:name="_Toc416185128"/>
      <w:r>
        <w:rPr>
          <w:rStyle w:val="CharSectno"/>
        </w:rPr>
        <w:t>32</w:t>
      </w:r>
      <w:r>
        <w:rPr>
          <w:snapToGrid w:val="0"/>
        </w:rPr>
        <w:t>.</w:t>
      </w:r>
      <w:r>
        <w:rPr>
          <w:snapToGrid w:val="0"/>
        </w:rPr>
        <w:tab/>
        <w:t>Respondent does not object to final order being made</w:t>
      </w:r>
      <w:bookmarkEnd w:id="59"/>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pPr>
      <w:r>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pPr>
      <w:r>
        <w:tab/>
        <w:t>(ii)</w:t>
      </w:r>
      <w:r>
        <w:tab/>
        <w:t>indicated on it that the respondent objected to the interim order becoming final.</w:t>
      </w:r>
    </w:p>
    <w:p>
      <w:pPr>
        <w:pStyle w:val="Footnotesection"/>
      </w:pPr>
      <w:r>
        <w:tab/>
        <w:t xml:space="preserve">[Section 32 amended by No. 59 of 2004 s. 123; No. 32 of 2011 s. 12.] </w:t>
      </w:r>
    </w:p>
    <w:p>
      <w:pPr>
        <w:pStyle w:val="Heading5"/>
        <w:rPr>
          <w:snapToGrid w:val="0"/>
        </w:rPr>
      </w:pPr>
      <w:bookmarkStart w:id="60" w:name="_Toc416185129"/>
      <w:r>
        <w:rPr>
          <w:rStyle w:val="CharSectno"/>
        </w:rPr>
        <w:t>33</w:t>
      </w:r>
      <w:r>
        <w:rPr>
          <w:snapToGrid w:val="0"/>
        </w:rPr>
        <w:t>.</w:t>
      </w:r>
      <w:r>
        <w:rPr>
          <w:snapToGrid w:val="0"/>
        </w:rPr>
        <w:tab/>
        <w:t>Respondent objects to final order being made</w:t>
      </w:r>
      <w:bookmarkEnd w:id="6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61" w:name="_Toc413398231"/>
      <w:bookmarkStart w:id="62" w:name="_Toc416185130"/>
      <w:r>
        <w:rPr>
          <w:rStyle w:val="CharPartNo"/>
        </w:rPr>
        <w:t>Part 3</w:t>
      </w:r>
      <w:r>
        <w:rPr>
          <w:rStyle w:val="CharDivNo"/>
        </w:rPr>
        <w:t> </w:t>
      </w:r>
      <w:r>
        <w:t>—</w:t>
      </w:r>
      <w:r>
        <w:rPr>
          <w:rStyle w:val="CharDivText"/>
        </w:rPr>
        <w:t> </w:t>
      </w:r>
      <w:r>
        <w:rPr>
          <w:rStyle w:val="CharPartText"/>
        </w:rPr>
        <w:t>Misconduct restraining order</w:t>
      </w:r>
      <w:bookmarkEnd w:id="61"/>
      <w:bookmarkEnd w:id="62"/>
      <w:r>
        <w:rPr>
          <w:rStyle w:val="CharPartText"/>
        </w:rPr>
        <w:t xml:space="preserve"> </w:t>
      </w:r>
    </w:p>
    <w:p>
      <w:pPr>
        <w:pStyle w:val="Heading5"/>
        <w:rPr>
          <w:snapToGrid w:val="0"/>
        </w:rPr>
      </w:pPr>
      <w:bookmarkStart w:id="63" w:name="_Toc416185131"/>
      <w:r>
        <w:rPr>
          <w:rStyle w:val="CharSectno"/>
        </w:rPr>
        <w:t>34</w:t>
      </w:r>
      <w:r>
        <w:rPr>
          <w:snapToGrid w:val="0"/>
        </w:rPr>
        <w:t>.</w:t>
      </w:r>
      <w:r>
        <w:rPr>
          <w:snapToGrid w:val="0"/>
        </w:rPr>
        <w:tab/>
        <w:t>Grounds for misconduct restraining order</w:t>
      </w:r>
      <w:bookmarkEnd w:id="63"/>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r>
        <w:tab/>
        <w:t>[Section 34 amended by No. 38 of 2004 s. 54 and 56.]</w:t>
      </w:r>
    </w:p>
    <w:p>
      <w:pPr>
        <w:pStyle w:val="Heading5"/>
        <w:rPr>
          <w:snapToGrid w:val="0"/>
        </w:rPr>
      </w:pPr>
      <w:bookmarkStart w:id="64" w:name="_Toc416185132"/>
      <w:r>
        <w:rPr>
          <w:rStyle w:val="CharSectno"/>
        </w:rPr>
        <w:t>35</w:t>
      </w:r>
      <w:r>
        <w:rPr>
          <w:snapToGrid w:val="0"/>
        </w:rPr>
        <w:t>.</w:t>
      </w:r>
      <w:r>
        <w:rPr>
          <w:snapToGrid w:val="0"/>
        </w:rPr>
        <w:tab/>
        <w:t>Matters to be considered by court</w:t>
      </w:r>
      <w:bookmarkEnd w:id="64"/>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any criminal record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any criminal record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ind w:left="890" w:hanging="890"/>
      </w:pPr>
      <w:r>
        <w:tab/>
        <w:t>[Section 35 amended by No. 38 of 2004 s. 19, 54, 55, 56 and 57(5).]</w:t>
      </w:r>
    </w:p>
    <w:p>
      <w:pPr>
        <w:pStyle w:val="Heading5"/>
      </w:pPr>
      <w:bookmarkStart w:id="65" w:name="_Toc416185133"/>
      <w:r>
        <w:rPr>
          <w:rStyle w:val="CharSectno"/>
        </w:rPr>
        <w:t>35A</w:t>
      </w:r>
      <w:r>
        <w:t>.</w:t>
      </w:r>
      <w:r>
        <w:tab/>
        <w:t>Misconduct restraining orders not for persons in family and domestic relationship</w:t>
      </w:r>
      <w:bookmarkEnd w:id="65"/>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66" w:name="_Toc416185134"/>
      <w:r>
        <w:rPr>
          <w:rStyle w:val="CharSectno"/>
        </w:rPr>
        <w:t>36</w:t>
      </w:r>
      <w:r>
        <w:rPr>
          <w:snapToGrid w:val="0"/>
        </w:rPr>
        <w:t>.</w:t>
      </w:r>
      <w:r>
        <w:rPr>
          <w:snapToGrid w:val="0"/>
        </w:rPr>
        <w:tab/>
        <w:t>Restraints on respondent</w:t>
      </w:r>
      <w:bookmarkEnd w:id="66"/>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ind w:left="890" w:hanging="890"/>
      </w:pPr>
      <w:r>
        <w:tab/>
        <w:t>[Section 36 amended by No. 38 of 2004 s. 21, 43(4), 54 and 56.]</w:t>
      </w:r>
    </w:p>
    <w:p>
      <w:pPr>
        <w:pStyle w:val="Heading5"/>
        <w:rPr>
          <w:snapToGrid w:val="0"/>
        </w:rPr>
      </w:pPr>
      <w:bookmarkStart w:id="67" w:name="_Toc416185135"/>
      <w:r>
        <w:rPr>
          <w:rStyle w:val="CharSectno"/>
        </w:rPr>
        <w:t>37</w:t>
      </w:r>
      <w:r>
        <w:rPr>
          <w:snapToGrid w:val="0"/>
        </w:rPr>
        <w:t>.</w:t>
      </w:r>
      <w:r>
        <w:rPr>
          <w:snapToGrid w:val="0"/>
        </w:rPr>
        <w:tab/>
        <w:t>Duration of misconduct restraining order</w:t>
      </w:r>
      <w:bookmarkEnd w:id="67"/>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68" w:name="_Toc416185136"/>
      <w:r>
        <w:rPr>
          <w:rStyle w:val="CharSectno"/>
        </w:rPr>
        <w:t>38</w:t>
      </w:r>
      <w:r>
        <w:t>.</w:t>
      </w:r>
      <w:r>
        <w:tab/>
        <w:t>Application</w:t>
      </w:r>
      <w:bookmarkEnd w:id="68"/>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 xml:space="preserve">otherwise, the </w:t>
      </w:r>
      <w:smartTag w:uri="urn:schemas-microsoft-com:office:smarttags" w:element="Street">
        <w:smartTag w:uri="urn:schemas-microsoft-com:office:smarttags" w:element="address">
          <w:r>
            <w:t>Magistrates Court</w:t>
          </w:r>
        </w:smartTag>
      </w:smartTag>
      <w:r>
        <w:t>.</w:t>
      </w:r>
    </w:p>
    <w:p>
      <w:pPr>
        <w:pStyle w:val="Footnotesection"/>
      </w:pPr>
      <w:r>
        <w:tab/>
        <w:t>[Section 38 inserted by No. 22 of 2000 s. 8; amended by No. 38 of 2004 s. 55; No. 59 of 2004 s. 124.]</w:t>
      </w:r>
    </w:p>
    <w:p>
      <w:pPr>
        <w:pStyle w:val="Heading5"/>
        <w:rPr>
          <w:snapToGrid w:val="0"/>
        </w:rPr>
      </w:pPr>
      <w:bookmarkStart w:id="69" w:name="_Toc416185137"/>
      <w:r>
        <w:rPr>
          <w:rStyle w:val="CharSectno"/>
        </w:rPr>
        <w:t>39</w:t>
      </w:r>
      <w:r>
        <w:rPr>
          <w:snapToGrid w:val="0"/>
        </w:rPr>
        <w:t>.</w:t>
      </w:r>
      <w:r>
        <w:rPr>
          <w:snapToGrid w:val="0"/>
        </w:rPr>
        <w:tab/>
      </w:r>
      <w:r>
        <w:t xml:space="preserve">Registrar </w:t>
      </w:r>
      <w:r>
        <w:rPr>
          <w:snapToGrid w:val="0"/>
        </w:rPr>
        <w:t>to fix hearing and issue summons</w:t>
      </w:r>
      <w:bookmarkEnd w:id="69"/>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70" w:name="_Toc413398239"/>
      <w:bookmarkStart w:id="71" w:name="_Toc416185138"/>
      <w:r>
        <w:rPr>
          <w:rStyle w:val="CharPartNo"/>
        </w:rPr>
        <w:t>Part 4</w:t>
      </w:r>
      <w:r>
        <w:t> — </w:t>
      </w:r>
      <w:r>
        <w:rPr>
          <w:rStyle w:val="CharPartText"/>
        </w:rPr>
        <w:t>Hearings and evidence</w:t>
      </w:r>
      <w:bookmarkEnd w:id="70"/>
      <w:bookmarkEnd w:id="71"/>
    </w:p>
    <w:p>
      <w:pPr>
        <w:pStyle w:val="Footnoteheading"/>
        <w:tabs>
          <w:tab w:val="left" w:pos="851"/>
        </w:tabs>
      </w:pPr>
      <w:r>
        <w:tab/>
        <w:t>[Heading amended by No. 38 of 2004 s. 22.]</w:t>
      </w:r>
    </w:p>
    <w:p>
      <w:pPr>
        <w:pStyle w:val="Heading3"/>
        <w:rPr>
          <w:snapToGrid w:val="0"/>
        </w:rPr>
      </w:pPr>
      <w:bookmarkStart w:id="72" w:name="_Toc413398240"/>
      <w:bookmarkStart w:id="73" w:name="_Toc416185139"/>
      <w:r>
        <w:rPr>
          <w:rStyle w:val="CharDivNo"/>
        </w:rPr>
        <w:t>Division 1</w:t>
      </w:r>
      <w:r>
        <w:rPr>
          <w:snapToGrid w:val="0"/>
        </w:rPr>
        <w:t> — </w:t>
      </w:r>
      <w:r>
        <w:rPr>
          <w:rStyle w:val="CharDivText"/>
        </w:rPr>
        <w:t>Mention hearings</w:t>
      </w:r>
      <w:bookmarkEnd w:id="72"/>
      <w:bookmarkEnd w:id="73"/>
      <w:r>
        <w:rPr>
          <w:rStyle w:val="CharDivText"/>
        </w:rPr>
        <w:t xml:space="preserve"> </w:t>
      </w:r>
    </w:p>
    <w:p>
      <w:pPr>
        <w:pStyle w:val="Heading5"/>
        <w:spacing w:before="200"/>
        <w:rPr>
          <w:snapToGrid w:val="0"/>
        </w:rPr>
      </w:pPr>
      <w:bookmarkStart w:id="74" w:name="_Toc416185140"/>
      <w:r>
        <w:rPr>
          <w:rStyle w:val="CharSectno"/>
        </w:rPr>
        <w:t>40</w:t>
      </w:r>
      <w:r>
        <w:rPr>
          <w:snapToGrid w:val="0"/>
        </w:rPr>
        <w:t>.</w:t>
      </w:r>
      <w:r>
        <w:rPr>
          <w:snapToGrid w:val="0"/>
        </w:rPr>
        <w:tab/>
        <w:t>Attendance at hearing</w:t>
      </w:r>
      <w:bookmarkEnd w:id="74"/>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rPr>
          <w:snapToGrid w:val="0"/>
        </w:rPr>
      </w:pPr>
      <w:bookmarkStart w:id="75" w:name="_Toc416185141"/>
      <w:r>
        <w:rPr>
          <w:rStyle w:val="CharSectno"/>
        </w:rPr>
        <w:t>41</w:t>
      </w:r>
      <w:r>
        <w:rPr>
          <w:snapToGrid w:val="0"/>
        </w:rPr>
        <w:t>.</w:t>
      </w:r>
      <w:r>
        <w:rPr>
          <w:snapToGrid w:val="0"/>
        </w:rPr>
        <w:tab/>
        <w:t>Consent order or final order hearing to be fixed</w:t>
      </w:r>
      <w:bookmarkEnd w:id="75"/>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76" w:name="_Toc413398243"/>
      <w:bookmarkStart w:id="77" w:name="_Toc416185142"/>
      <w:r>
        <w:rPr>
          <w:rStyle w:val="CharDivNo"/>
        </w:rPr>
        <w:t>Division 2</w:t>
      </w:r>
      <w:r>
        <w:rPr>
          <w:snapToGrid w:val="0"/>
        </w:rPr>
        <w:t> — </w:t>
      </w:r>
      <w:r>
        <w:rPr>
          <w:rStyle w:val="CharDivText"/>
        </w:rPr>
        <w:t>Final order hearings</w:t>
      </w:r>
      <w:bookmarkEnd w:id="76"/>
      <w:bookmarkEnd w:id="77"/>
      <w:r>
        <w:rPr>
          <w:rStyle w:val="CharDivText"/>
        </w:rPr>
        <w:t xml:space="preserve"> </w:t>
      </w:r>
    </w:p>
    <w:p>
      <w:pPr>
        <w:pStyle w:val="Heading5"/>
        <w:rPr>
          <w:snapToGrid w:val="0"/>
        </w:rPr>
      </w:pPr>
      <w:bookmarkStart w:id="78" w:name="_Toc416185143"/>
      <w:r>
        <w:rPr>
          <w:rStyle w:val="CharSectno"/>
        </w:rPr>
        <w:t>42</w:t>
      </w:r>
      <w:r>
        <w:rPr>
          <w:snapToGrid w:val="0"/>
        </w:rPr>
        <w:t>.</w:t>
      </w:r>
      <w:r>
        <w:rPr>
          <w:snapToGrid w:val="0"/>
        </w:rPr>
        <w:tab/>
        <w:t>Attendance at final order hearing</w:t>
      </w:r>
      <w:bookmarkEnd w:id="78"/>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by No. 22 of 2000 s. 9; No. 38 of 2004 s. 23 and 25(4); No. 5 of 2008 s. 95.]</w:t>
      </w:r>
    </w:p>
    <w:p>
      <w:pPr>
        <w:pStyle w:val="Heading5"/>
        <w:rPr>
          <w:snapToGrid w:val="0"/>
        </w:rPr>
      </w:pPr>
      <w:bookmarkStart w:id="79" w:name="_Toc416185144"/>
      <w:r>
        <w:rPr>
          <w:rStyle w:val="CharSectno"/>
        </w:rPr>
        <w:t>43</w:t>
      </w:r>
      <w:r>
        <w:rPr>
          <w:snapToGrid w:val="0"/>
        </w:rPr>
        <w:t>.</w:t>
      </w:r>
      <w:r>
        <w:rPr>
          <w:snapToGrid w:val="0"/>
        </w:rPr>
        <w:tab/>
        <w:t>Making final order</w:t>
      </w:r>
      <w:bookmarkEnd w:id="79"/>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tab/>
        <w:t>(1a)</w:t>
      </w:r>
      <w:r>
        <w:tab/>
        <w:t>Without limiting subsection (1), at a final order hearing, a court —</w:t>
      </w:r>
    </w:p>
    <w:p>
      <w:pPr>
        <w:pStyle w:val="Indenta"/>
      </w:pPr>
      <w:r>
        <w:tab/>
        <w:t>(a)</w:t>
      </w:r>
      <w:r>
        <w:tab/>
        <w:t>may, subject to Part 2, make a final violence restraining order even if the application was for a misconduct restraining order;</w:t>
      </w:r>
    </w:p>
    <w:p>
      <w:pPr>
        <w:pStyle w:val="Indenta"/>
      </w:pPr>
      <w:r>
        <w:tab/>
        <w:t>(b)</w:t>
      </w:r>
      <w:r>
        <w:tab/>
        <w:t xml:space="preserve">may, subject to Part 3, make a final misconduct restraining order — </w:t>
      </w:r>
    </w:p>
    <w:p>
      <w:pPr>
        <w:pStyle w:val="Indenti"/>
      </w:pPr>
      <w:r>
        <w:tab/>
        <w:t>(i)</w:t>
      </w:r>
      <w:r>
        <w:tab/>
        <w:t>even if the application was for a violence restraining order; and</w:t>
      </w:r>
    </w:p>
    <w:p>
      <w:pPr>
        <w:pStyle w:val="Indenti"/>
      </w:pPr>
      <w:r>
        <w:tab/>
        <w:t>(ii)</w:t>
      </w:r>
      <w:r>
        <w:tab/>
        <w:t>even if an interim order is in force.</w:t>
      </w:r>
    </w:p>
    <w:p>
      <w:pPr>
        <w:pStyle w:val="Subsection"/>
      </w:pPr>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 No. 5 of 2008 s. 96.]</w:t>
      </w:r>
    </w:p>
    <w:p>
      <w:pPr>
        <w:pStyle w:val="Heading5"/>
      </w:pPr>
      <w:bookmarkStart w:id="80" w:name="_Toc416185145"/>
      <w:r>
        <w:rPr>
          <w:rStyle w:val="CharSectno"/>
        </w:rPr>
        <w:t>43A</w:t>
      </w:r>
      <w:r>
        <w:t>.</w:t>
      </w:r>
      <w:r>
        <w:tab/>
        <w:t>Decision under s. 42 in default of appearance may be set aside</w:t>
      </w:r>
      <w:bookmarkEnd w:id="80"/>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81" w:name="_Toc416185146"/>
      <w:r>
        <w:rPr>
          <w:rStyle w:val="CharSectno"/>
        </w:rPr>
        <w:t>44</w:t>
      </w:r>
      <w:r>
        <w:rPr>
          <w:snapToGrid w:val="0"/>
        </w:rPr>
        <w:t>.</w:t>
      </w:r>
      <w:r>
        <w:rPr>
          <w:snapToGrid w:val="0"/>
        </w:rPr>
        <w:tab/>
        <w:t>Order to be prepared and served</w:t>
      </w:r>
      <w:bookmarkEnd w:id="81"/>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keepLines/>
      </w:pPr>
      <w:bookmarkStart w:id="82" w:name="_Toc413398248"/>
      <w:bookmarkStart w:id="83" w:name="_Toc416185147"/>
      <w:r>
        <w:rPr>
          <w:rStyle w:val="CharDivNo"/>
        </w:rPr>
        <w:t>Division 3</w:t>
      </w:r>
      <w:r>
        <w:t> — </w:t>
      </w:r>
      <w:r>
        <w:rPr>
          <w:rStyle w:val="CharDivText"/>
        </w:rPr>
        <w:t>Evidence</w:t>
      </w:r>
      <w:bookmarkEnd w:id="82"/>
      <w:bookmarkEnd w:id="83"/>
    </w:p>
    <w:p>
      <w:pPr>
        <w:pStyle w:val="Footnoteheading"/>
        <w:keepNext/>
        <w:keepLines/>
        <w:tabs>
          <w:tab w:val="left" w:pos="851"/>
        </w:tabs>
      </w:pPr>
      <w:r>
        <w:tab/>
        <w:t>[Heading inserted by No. 38 of 2004 s. 26.]</w:t>
      </w:r>
    </w:p>
    <w:p>
      <w:pPr>
        <w:pStyle w:val="Heading5"/>
      </w:pPr>
      <w:bookmarkStart w:id="84" w:name="_Toc416185148"/>
      <w:r>
        <w:rPr>
          <w:rStyle w:val="CharSectno"/>
        </w:rPr>
        <w:t>44A</w:t>
      </w:r>
      <w:r>
        <w:t>.</w:t>
      </w:r>
      <w:r>
        <w:tab/>
        <w:t>Rules of evidence not to apply at ex parte hearing</w:t>
      </w:r>
      <w:bookmarkEnd w:id="84"/>
    </w:p>
    <w:p>
      <w:pPr>
        <w:pStyle w:val="Subsection"/>
      </w:pPr>
      <w:r>
        <w:tab/>
        <w:t>(1)</w:t>
      </w:r>
      <w:r>
        <w:tab/>
        <w:t xml:space="preserve">At a hearing fixed under section 26(2)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85" w:name="_Toc416185149"/>
      <w:r>
        <w:rPr>
          <w:rStyle w:val="CharSectno"/>
        </w:rPr>
        <w:t>44B</w:t>
      </w:r>
      <w:r>
        <w:t>.</w:t>
      </w:r>
      <w:r>
        <w:tab/>
        <w:t>Access to affidavit evidence</w:t>
      </w:r>
      <w:bookmarkEnd w:id="85"/>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86" w:name="_Toc416185150"/>
      <w:r>
        <w:rPr>
          <w:rStyle w:val="CharSectno"/>
        </w:rPr>
        <w:t>44C</w:t>
      </w:r>
      <w:r>
        <w:t>.</w:t>
      </w:r>
      <w:r>
        <w:tab/>
        <w:t>Cross</w:t>
      </w:r>
      <w:r>
        <w:noBreakHyphen/>
        <w:t>examination of certain persons</w:t>
      </w:r>
      <w:bookmarkEnd w:id="86"/>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87" w:name="_Toc413398252"/>
      <w:bookmarkStart w:id="88" w:name="_Toc416185151"/>
      <w:r>
        <w:rPr>
          <w:rStyle w:val="CharPartNo"/>
        </w:rPr>
        <w:t>Part 5</w:t>
      </w:r>
      <w:r>
        <w:rPr>
          <w:rStyle w:val="CharDivNo"/>
        </w:rPr>
        <w:t> </w:t>
      </w:r>
      <w:r>
        <w:t>—</w:t>
      </w:r>
      <w:r>
        <w:rPr>
          <w:rStyle w:val="CharDivText"/>
        </w:rPr>
        <w:t> </w:t>
      </w:r>
      <w:r>
        <w:rPr>
          <w:rStyle w:val="CharPartText"/>
        </w:rPr>
        <w:t>Variation or cancellation</w:t>
      </w:r>
      <w:bookmarkEnd w:id="87"/>
      <w:bookmarkEnd w:id="88"/>
    </w:p>
    <w:p>
      <w:pPr>
        <w:pStyle w:val="Heading5"/>
      </w:pPr>
      <w:bookmarkStart w:id="89" w:name="_Toc416185152"/>
      <w:r>
        <w:rPr>
          <w:rStyle w:val="CharSectno"/>
        </w:rPr>
        <w:t>45</w:t>
      </w:r>
      <w:r>
        <w:t>.</w:t>
      </w:r>
      <w:r>
        <w:tab/>
        <w:t>Application</w:t>
      </w:r>
      <w:bookmarkEnd w:id="89"/>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spacing w:before="200"/>
      </w:pPr>
      <w:r>
        <w:tab/>
        <w:t>(4)</w:t>
      </w:r>
      <w:r>
        <w:tab/>
        <w:t>An application to vary or cancel a restraining order is to be made in the prescribed form to the court that made the order.</w:t>
      </w:r>
    </w:p>
    <w:p>
      <w:pPr>
        <w:pStyle w:val="Subsection"/>
        <w:spacing w:before="200"/>
      </w:pPr>
      <w:r>
        <w:tab/>
        <w:t>(5)</w:t>
      </w:r>
      <w:r>
        <w:tab/>
        <w:t>The form prescribed under subsection (4)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Footnotesection"/>
      </w:pPr>
      <w:r>
        <w:tab/>
        <w:t>[Section 45 inserted by No. 22 of 2000 s. 10(1); amended by No. 38 of 2004 s. 27; No. 32 of 2011 s. 13.]</w:t>
      </w:r>
    </w:p>
    <w:p>
      <w:pPr>
        <w:pStyle w:val="Heading5"/>
        <w:spacing w:before="240"/>
      </w:pPr>
      <w:bookmarkStart w:id="90" w:name="_Toc416185153"/>
      <w:r>
        <w:rPr>
          <w:rStyle w:val="CharSectno"/>
        </w:rPr>
        <w:t>45A</w:t>
      </w:r>
      <w:r>
        <w:t>.</w:t>
      </w:r>
      <w:r>
        <w:tab/>
        <w:t>Application by CEO (child welfare)</w:t>
      </w:r>
      <w:bookmarkEnd w:id="90"/>
    </w:p>
    <w:p>
      <w:pPr>
        <w:pStyle w:val="Subsection"/>
        <w:spacing w:before="18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spacing w:before="240"/>
        <w:rPr>
          <w:snapToGrid w:val="0"/>
        </w:rPr>
      </w:pPr>
      <w:bookmarkStart w:id="91" w:name="_Toc416185154"/>
      <w:r>
        <w:rPr>
          <w:rStyle w:val="CharSectno"/>
        </w:rPr>
        <w:t>46</w:t>
      </w:r>
      <w:r>
        <w:rPr>
          <w:snapToGrid w:val="0"/>
        </w:rPr>
        <w:t>.</w:t>
      </w:r>
      <w:r>
        <w:rPr>
          <w:snapToGrid w:val="0"/>
        </w:rPr>
        <w:tab/>
        <w:t>Leave hearing</w:t>
      </w:r>
      <w:bookmarkEnd w:id="91"/>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92" w:name="_Toc416185155"/>
      <w:r>
        <w:rPr>
          <w:rStyle w:val="CharSectno"/>
        </w:rPr>
        <w:t>47</w:t>
      </w:r>
      <w:r>
        <w:rPr>
          <w:snapToGrid w:val="0"/>
        </w:rPr>
        <w:t>.</w:t>
      </w:r>
      <w:r>
        <w:rPr>
          <w:snapToGrid w:val="0"/>
        </w:rPr>
        <w:tab/>
      </w:r>
      <w:r>
        <w:t xml:space="preserve">Registrar </w:t>
      </w:r>
      <w:r>
        <w:rPr>
          <w:snapToGrid w:val="0"/>
        </w:rPr>
        <w:t>to issue summons</w:t>
      </w:r>
      <w:bookmarkEnd w:id="92"/>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by No. 22 of 2000 s. 10(3) and 11; No. 38 of 2004 s. 30; No. 59 of 2004 s. 123.]</w:t>
      </w:r>
    </w:p>
    <w:p>
      <w:pPr>
        <w:pStyle w:val="Heading5"/>
        <w:rPr>
          <w:snapToGrid w:val="0"/>
        </w:rPr>
      </w:pPr>
      <w:bookmarkStart w:id="93" w:name="_Toc416185156"/>
      <w:r>
        <w:rPr>
          <w:rStyle w:val="CharSectno"/>
        </w:rPr>
        <w:t>48</w:t>
      </w:r>
      <w:r>
        <w:rPr>
          <w:snapToGrid w:val="0"/>
        </w:rPr>
        <w:t>.</w:t>
      </w:r>
      <w:r>
        <w:rPr>
          <w:snapToGrid w:val="0"/>
        </w:rPr>
        <w:tab/>
        <w:t>Attendance at hearing</w:t>
      </w:r>
      <w:bookmarkEnd w:id="93"/>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by No. 22 of 2000 s. 10(4); No. 38 of 2004 s. 31; No. 5 of 2008 s. 97.]</w:t>
      </w:r>
    </w:p>
    <w:p>
      <w:pPr>
        <w:pStyle w:val="Heading5"/>
        <w:spacing w:before="260"/>
      </w:pPr>
      <w:bookmarkStart w:id="94" w:name="_Toc416185157"/>
      <w:r>
        <w:rPr>
          <w:rStyle w:val="CharSectno"/>
        </w:rPr>
        <w:t>48A</w:t>
      </w:r>
      <w:r>
        <w:t>.</w:t>
      </w:r>
      <w:r>
        <w:tab/>
        <w:t>Ex parte application to cancel order by person protected by order</w:t>
      </w:r>
      <w:bookmarkEnd w:id="94"/>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rPr>
          <w:snapToGrid w:val="0"/>
        </w:rPr>
      </w:pPr>
      <w:bookmarkStart w:id="95" w:name="_Toc416185158"/>
      <w:r>
        <w:rPr>
          <w:rStyle w:val="CharSectno"/>
        </w:rPr>
        <w:t>49</w:t>
      </w:r>
      <w:r>
        <w:rPr>
          <w:snapToGrid w:val="0"/>
        </w:rPr>
        <w:t>.</w:t>
      </w:r>
      <w:r>
        <w:rPr>
          <w:snapToGrid w:val="0"/>
        </w:rPr>
        <w:tab/>
        <w:t>Variation or cancellation</w:t>
      </w:r>
      <w:bookmarkEnd w:id="95"/>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 or</w:t>
      </w:r>
    </w:p>
    <w:p>
      <w:pPr>
        <w:pStyle w:val="Indenti"/>
      </w:pPr>
      <w:r>
        <w:tab/>
        <w:t>(ii)</w:t>
      </w:r>
      <w:r>
        <w:tab/>
        <w:t>make an additional interim order or final order, to be read with the original order, that states the variations;</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by No. 38 of 2004 s. 33; No. 59 of 2004 s. 123; No. 5 of 2008 s. 98.]</w:t>
      </w:r>
    </w:p>
    <w:p>
      <w:pPr>
        <w:pStyle w:val="Heading5"/>
      </w:pPr>
      <w:bookmarkStart w:id="96" w:name="_Toc416185159"/>
      <w:r>
        <w:rPr>
          <w:rStyle w:val="CharSectno"/>
        </w:rPr>
        <w:t>49A</w:t>
      </w:r>
      <w:r>
        <w:t>.</w:t>
      </w:r>
      <w:r>
        <w:tab/>
        <w:t>Correcting minor errors in restraining orders</w:t>
      </w:r>
      <w:bookmarkEnd w:id="96"/>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97" w:name="_Toc413398261"/>
      <w:bookmarkStart w:id="98" w:name="_Toc416185160"/>
      <w:r>
        <w:rPr>
          <w:rStyle w:val="CharPartNo"/>
        </w:rPr>
        <w:t>Part 6</w:t>
      </w:r>
      <w:r>
        <w:t> — </w:t>
      </w:r>
      <w:r>
        <w:rPr>
          <w:rStyle w:val="CharPartText"/>
        </w:rPr>
        <w:t>General</w:t>
      </w:r>
      <w:bookmarkEnd w:id="97"/>
      <w:bookmarkEnd w:id="98"/>
      <w:r>
        <w:rPr>
          <w:rStyle w:val="CharPartText"/>
        </w:rPr>
        <w:t xml:space="preserve"> </w:t>
      </w:r>
    </w:p>
    <w:p>
      <w:pPr>
        <w:pStyle w:val="Heading3"/>
      </w:pPr>
      <w:bookmarkStart w:id="99" w:name="_Toc413398262"/>
      <w:bookmarkStart w:id="100" w:name="_Toc416185161"/>
      <w:r>
        <w:rPr>
          <w:rStyle w:val="CharDivNo"/>
        </w:rPr>
        <w:t>Division 1</w:t>
      </w:r>
      <w:r>
        <w:t> — </w:t>
      </w:r>
      <w:r>
        <w:rPr>
          <w:rStyle w:val="CharDivText"/>
        </w:rPr>
        <w:t>Children</w:t>
      </w:r>
      <w:bookmarkEnd w:id="99"/>
      <w:bookmarkEnd w:id="100"/>
    </w:p>
    <w:p>
      <w:pPr>
        <w:pStyle w:val="Footnoteheading"/>
        <w:tabs>
          <w:tab w:val="left" w:pos="851"/>
        </w:tabs>
        <w:spacing w:before="100"/>
      </w:pPr>
      <w:r>
        <w:tab/>
        <w:t>[Heading inserted by No. 38 of 2004 s. 35.]</w:t>
      </w:r>
    </w:p>
    <w:p>
      <w:pPr>
        <w:pStyle w:val="Heading5"/>
        <w:rPr>
          <w:snapToGrid w:val="0"/>
        </w:rPr>
      </w:pPr>
      <w:bookmarkStart w:id="101" w:name="_Toc416185162"/>
      <w:r>
        <w:rPr>
          <w:rStyle w:val="CharSectno"/>
        </w:rPr>
        <w:t>50</w:t>
      </w:r>
      <w:r>
        <w:rPr>
          <w:snapToGrid w:val="0"/>
        </w:rPr>
        <w:t>.</w:t>
      </w:r>
      <w:r>
        <w:rPr>
          <w:snapToGrid w:val="0"/>
        </w:rPr>
        <w:tab/>
        <w:t>No restraining orders against children under 10</w:t>
      </w:r>
      <w:bookmarkEnd w:id="10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02" w:name="_Toc416185163"/>
      <w:r>
        <w:rPr>
          <w:rStyle w:val="CharSectno"/>
        </w:rPr>
        <w:t>50A</w:t>
      </w:r>
      <w:r>
        <w:t>.</w:t>
      </w:r>
      <w:r>
        <w:tab/>
        <w:t>Restraining order against child not to exceed 6 months</w:t>
      </w:r>
      <w:bookmarkEnd w:id="10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103" w:name="_Toc416185164"/>
      <w:r>
        <w:rPr>
          <w:rStyle w:val="CharSectno"/>
        </w:rPr>
        <w:t>50B</w:t>
      </w:r>
      <w:r>
        <w:t>.</w:t>
      </w:r>
      <w:r>
        <w:tab/>
        <w:t>Child welfare laws not affected</w:t>
      </w:r>
      <w:bookmarkEnd w:id="10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by No. 38 of 2004 s. 36.]</w:t>
      </w:r>
    </w:p>
    <w:p>
      <w:pPr>
        <w:pStyle w:val="Heading5"/>
      </w:pPr>
      <w:bookmarkStart w:id="104" w:name="_Toc416185165"/>
      <w:r>
        <w:rPr>
          <w:rStyle w:val="CharSectno"/>
        </w:rPr>
        <w:t>50C</w:t>
      </w:r>
      <w:r>
        <w:t>.</w:t>
      </w:r>
      <w:r>
        <w:tab/>
        <w:t>CEO (child welfare) to be notified before certain orders are made</w:t>
      </w:r>
      <w:bookmarkEnd w:id="104"/>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by No. 38 of 2004 s. 36; amended by No. 59 of 2004 s. 123.]</w:t>
      </w:r>
    </w:p>
    <w:p>
      <w:pPr>
        <w:pStyle w:val="Heading5"/>
      </w:pPr>
      <w:bookmarkStart w:id="105" w:name="_Toc416185166"/>
      <w:r>
        <w:rPr>
          <w:rStyle w:val="CharSectno"/>
        </w:rPr>
        <w:t>50D</w:t>
      </w:r>
      <w:r>
        <w:t>.</w:t>
      </w:r>
      <w:r>
        <w:tab/>
        <w:t>Intervention by CEO (child welfare)</w:t>
      </w:r>
      <w:bookmarkEnd w:id="10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 No. 20 of 2013 s. 113.]</w:t>
      </w:r>
    </w:p>
    <w:p>
      <w:pPr>
        <w:pStyle w:val="Heading5"/>
        <w:rPr>
          <w:snapToGrid w:val="0"/>
        </w:rPr>
      </w:pPr>
      <w:bookmarkStart w:id="106" w:name="_Toc416185167"/>
      <w:r>
        <w:rPr>
          <w:rStyle w:val="CharSectno"/>
        </w:rPr>
        <w:t>51</w:t>
      </w:r>
      <w:r>
        <w:rPr>
          <w:snapToGrid w:val="0"/>
        </w:rPr>
        <w:t>.</w:t>
      </w:r>
      <w:r>
        <w:rPr>
          <w:snapToGrid w:val="0"/>
        </w:rPr>
        <w:tab/>
        <w:t>Responsible adult to attend</w:t>
      </w:r>
      <w:bookmarkEnd w:id="10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07" w:name="_Toc416185168"/>
      <w:r>
        <w:rPr>
          <w:rStyle w:val="CharSectno"/>
        </w:rPr>
        <w:t>52</w:t>
      </w:r>
      <w:r>
        <w:rPr>
          <w:snapToGrid w:val="0"/>
        </w:rPr>
        <w:t>.</w:t>
      </w:r>
      <w:r>
        <w:rPr>
          <w:snapToGrid w:val="0"/>
        </w:rPr>
        <w:tab/>
        <w:t>Transfer between courts</w:t>
      </w:r>
      <w:bookmarkEnd w:id="10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 xml:space="preserve">the </w:t>
      </w:r>
      <w:smartTag w:uri="urn:schemas-microsoft-com:office:smarttags" w:element="Street">
        <w:smartTag w:uri="urn:schemas-microsoft-com:office:smarttags" w:element="address">
          <w:r>
            <w:t>Magistrates Court</w:t>
          </w:r>
        </w:smartTag>
      </w:smartTag>
      <w:r>
        <w:rPr>
          <w:snapToGrid w:val="0"/>
        </w:rPr>
        <w:t>; and</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 xml:space="preserve">the </w:t>
      </w:r>
      <w:smartTag w:uri="urn:schemas-microsoft-com:office:smarttags" w:element="Street">
        <w:smartTag w:uri="urn:schemas-microsoft-com:office:smarttags" w:element="address">
          <w:r>
            <w:t>Magistrates Court</w:t>
          </w:r>
        </w:smartTag>
      </w:smartTag>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108" w:name="_Toc416185169"/>
      <w:r>
        <w:rPr>
          <w:rStyle w:val="CharSectno"/>
        </w:rPr>
        <w:t>53</w:t>
      </w:r>
      <w:r>
        <w:rPr>
          <w:snapToGrid w:val="0"/>
        </w:rPr>
        <w:t>.</w:t>
      </w:r>
      <w:r>
        <w:rPr>
          <w:snapToGrid w:val="0"/>
        </w:rPr>
        <w:tab/>
        <w:t>Telephone order made against child</w:t>
      </w:r>
      <w:bookmarkEnd w:id="10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09" w:name="_Toc416185170"/>
      <w:r>
        <w:rPr>
          <w:rStyle w:val="CharSectno"/>
        </w:rPr>
        <w:t>53A</w:t>
      </w:r>
      <w:r>
        <w:t>.</w:t>
      </w:r>
      <w:r>
        <w:tab/>
        <w:t>Children not to give oral evidence without leave of court, other than in Children’s Court</w:t>
      </w:r>
      <w:bookmarkEnd w:id="10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110" w:name="_Toc416185171"/>
      <w:r>
        <w:rPr>
          <w:rStyle w:val="CharSectno"/>
        </w:rPr>
        <w:t>53B</w:t>
      </w:r>
      <w:r>
        <w:t>.</w:t>
      </w:r>
      <w:r>
        <w:tab/>
        <w:t>Evidence of children</w:t>
      </w:r>
      <w:bookmarkEnd w:id="11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by No. 38 of 2004 s. 37.]</w:t>
      </w:r>
    </w:p>
    <w:p>
      <w:pPr>
        <w:pStyle w:val="Heading5"/>
        <w:keepLines w:val="0"/>
      </w:pPr>
      <w:bookmarkStart w:id="111" w:name="_Toc416185172"/>
      <w:r>
        <w:rPr>
          <w:rStyle w:val="CharSectno"/>
        </w:rPr>
        <w:t>53C</w:t>
      </w:r>
      <w:r>
        <w:t>.</w:t>
      </w:r>
      <w:r>
        <w:tab/>
        <w:t>Child who gives evidence entitled to support</w:t>
      </w:r>
      <w:bookmarkEnd w:id="11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112" w:name="_Toc416185173"/>
      <w:r>
        <w:rPr>
          <w:rStyle w:val="CharSectno"/>
        </w:rPr>
        <w:t>53D</w:t>
      </w:r>
      <w:r>
        <w:t>.</w:t>
      </w:r>
      <w:r>
        <w:tab/>
        <w:t>Cross</w:t>
      </w:r>
      <w:r>
        <w:noBreakHyphen/>
        <w:t>examination of child by unrepresented person</w:t>
      </w:r>
      <w:bookmarkEnd w:id="11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113" w:name="_Toc416185174"/>
      <w:r>
        <w:rPr>
          <w:rStyle w:val="CharSectno"/>
        </w:rPr>
        <w:t>53E</w:t>
      </w:r>
      <w:r>
        <w:t>.</w:t>
      </w:r>
      <w:r>
        <w:tab/>
        <w:t>Admissibility of evidence of representations made by children</w:t>
      </w:r>
      <w:bookmarkEnd w:id="11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tab/>
        <w:t>(4)</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by No. 38 of 2004 s. 37; amended by No. 5 of 2008 s. 99.]</w:t>
      </w:r>
    </w:p>
    <w:p>
      <w:pPr>
        <w:pStyle w:val="Heading5"/>
      </w:pPr>
      <w:bookmarkStart w:id="114" w:name="_Toc416185175"/>
      <w:r>
        <w:rPr>
          <w:rStyle w:val="CharSectno"/>
        </w:rPr>
        <w:t>53F</w:t>
      </w:r>
      <w:r>
        <w:t>.</w:t>
      </w:r>
      <w:r>
        <w:tab/>
        <w:t>Summonsing of children</w:t>
      </w:r>
      <w:bookmarkEnd w:id="11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5"/>
      </w:pPr>
      <w:bookmarkStart w:id="115" w:name="_Toc416185176"/>
      <w:r>
        <w:rPr>
          <w:rStyle w:val="CharSectno"/>
        </w:rPr>
        <w:t>53G</w:t>
      </w:r>
      <w:r>
        <w:t>.</w:t>
      </w:r>
      <w:r>
        <w:tab/>
        <w:t>Arrangements for care and wellbeing of children bound by restraining orders</w:t>
      </w:r>
      <w:bookmarkEnd w:id="115"/>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by No. 32 of 2011 s. 14.]</w:t>
      </w:r>
    </w:p>
    <w:p>
      <w:pPr>
        <w:pStyle w:val="Heading3"/>
        <w:spacing w:before="800"/>
        <w:rPr>
          <w:snapToGrid w:val="0"/>
        </w:rPr>
      </w:pPr>
      <w:bookmarkStart w:id="116" w:name="_Toc413398278"/>
      <w:bookmarkStart w:id="117" w:name="_Toc416185177"/>
      <w:r>
        <w:rPr>
          <w:rStyle w:val="CharDivNo"/>
        </w:rPr>
        <w:t>Division 2</w:t>
      </w:r>
      <w:r>
        <w:rPr>
          <w:snapToGrid w:val="0"/>
        </w:rPr>
        <w:t> — </w:t>
      </w:r>
      <w:r>
        <w:rPr>
          <w:rStyle w:val="CharDivText"/>
        </w:rPr>
        <w:t>Service</w:t>
      </w:r>
      <w:bookmarkEnd w:id="116"/>
      <w:bookmarkEnd w:id="117"/>
      <w:r>
        <w:rPr>
          <w:rStyle w:val="CharDivText"/>
        </w:rPr>
        <w:t xml:space="preserve"> </w:t>
      </w:r>
    </w:p>
    <w:p>
      <w:pPr>
        <w:pStyle w:val="Heading5"/>
        <w:rPr>
          <w:snapToGrid w:val="0"/>
        </w:rPr>
      </w:pPr>
      <w:bookmarkStart w:id="118" w:name="_Toc416185178"/>
      <w:r>
        <w:rPr>
          <w:rStyle w:val="CharSectno"/>
        </w:rPr>
        <w:t>54</w:t>
      </w:r>
      <w:r>
        <w:rPr>
          <w:snapToGrid w:val="0"/>
        </w:rPr>
        <w:t>.</w:t>
      </w:r>
      <w:r>
        <w:rPr>
          <w:snapToGrid w:val="0"/>
        </w:rPr>
        <w:tab/>
        <w:t>Service of summons</w:t>
      </w:r>
      <w:bookmarkEnd w:id="11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119" w:name="_Toc416185179"/>
      <w:r>
        <w:rPr>
          <w:rStyle w:val="CharSectno"/>
        </w:rPr>
        <w:t>55</w:t>
      </w:r>
      <w:r>
        <w:rPr>
          <w:snapToGrid w:val="0"/>
        </w:rPr>
        <w:t>.</w:t>
      </w:r>
      <w:r>
        <w:rPr>
          <w:snapToGrid w:val="0"/>
        </w:rPr>
        <w:tab/>
        <w:t>Service of restraining order</w:t>
      </w:r>
      <w:bookmarkEnd w:id="119"/>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120" w:name="_Toc416185180"/>
      <w:r>
        <w:rPr>
          <w:rStyle w:val="CharSectno"/>
        </w:rPr>
        <w:t>56</w:t>
      </w:r>
      <w:r>
        <w:rPr>
          <w:snapToGrid w:val="0"/>
        </w:rPr>
        <w:t>.</w:t>
      </w:r>
      <w:r>
        <w:rPr>
          <w:snapToGrid w:val="0"/>
        </w:rPr>
        <w:tab/>
        <w:t>Delivery or notification</w:t>
      </w:r>
      <w:bookmarkEnd w:id="120"/>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121" w:name="_Toc416185181"/>
      <w:r>
        <w:rPr>
          <w:rStyle w:val="CharSectno"/>
        </w:rPr>
        <w:t>57</w:t>
      </w:r>
      <w:r>
        <w:rPr>
          <w:snapToGrid w:val="0"/>
        </w:rPr>
        <w:t>.</w:t>
      </w:r>
      <w:r>
        <w:rPr>
          <w:snapToGrid w:val="0"/>
        </w:rPr>
        <w:tab/>
        <w:t>Copy of document sufficient for service</w:t>
      </w:r>
      <w:bookmarkEnd w:id="121"/>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122" w:name="_Toc416185182"/>
      <w:r>
        <w:rPr>
          <w:rStyle w:val="CharSectno"/>
        </w:rPr>
        <w:t>58</w:t>
      </w:r>
      <w:r>
        <w:rPr>
          <w:snapToGrid w:val="0"/>
        </w:rPr>
        <w:t>.</w:t>
      </w:r>
      <w:r>
        <w:rPr>
          <w:snapToGrid w:val="0"/>
        </w:rPr>
        <w:tab/>
        <w:t>Proof of service</w:t>
      </w:r>
      <w:bookmarkEnd w:id="122"/>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pPr>
      <w:bookmarkStart w:id="123" w:name="_Toc416185183"/>
      <w:r>
        <w:rPr>
          <w:rStyle w:val="CharSectno"/>
        </w:rPr>
        <w:t>59</w:t>
      </w:r>
      <w:r>
        <w:t>.</w:t>
      </w:r>
      <w:r>
        <w:tab/>
        <w:t>Service of restraining order, certain people to be notified of</w:t>
      </w:r>
      <w:bookmarkEnd w:id="123"/>
    </w:p>
    <w:p>
      <w:pPr>
        <w:pStyle w:val="Subsection"/>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pPr>
      <w:r>
        <w:tab/>
        <w:t>(2)</w:t>
      </w:r>
      <w:r>
        <w:tab/>
        <w:t>As soon as practicable after the registrar receives the proof of service copy of a restraining order, the registrar is to notify the applicant that the order has been served.</w:t>
      </w:r>
    </w:p>
    <w:p>
      <w:pPr>
        <w:pStyle w:val="Footnotesection"/>
      </w:pPr>
      <w:r>
        <w:tab/>
        <w:t>[Section 59 inserted by No. 5 of 2008 s. 100.]</w:t>
      </w:r>
    </w:p>
    <w:p>
      <w:pPr>
        <w:pStyle w:val="Heading5"/>
        <w:rPr>
          <w:snapToGrid w:val="0"/>
        </w:rPr>
      </w:pPr>
      <w:bookmarkStart w:id="124" w:name="_Toc416185184"/>
      <w:r>
        <w:rPr>
          <w:rStyle w:val="CharSectno"/>
        </w:rPr>
        <w:t>60</w:t>
      </w:r>
      <w:r>
        <w:rPr>
          <w:snapToGrid w:val="0"/>
        </w:rPr>
        <w:t>.</w:t>
      </w:r>
      <w:r>
        <w:rPr>
          <w:snapToGrid w:val="0"/>
        </w:rPr>
        <w:tab/>
        <w:t>Deliberate avoidance of service</w:t>
      </w:r>
      <w:bookmarkEnd w:id="124"/>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125" w:name="_Toc413398286"/>
      <w:bookmarkStart w:id="126" w:name="_Toc416185185"/>
      <w:r>
        <w:rPr>
          <w:rStyle w:val="CharDivNo"/>
        </w:rPr>
        <w:t>Division 3</w:t>
      </w:r>
      <w:r>
        <w:rPr>
          <w:snapToGrid w:val="0"/>
        </w:rPr>
        <w:t> — </w:t>
      </w:r>
      <w:r>
        <w:rPr>
          <w:rStyle w:val="CharDivText"/>
        </w:rPr>
        <w:t>Breach of restraining order or police order</w:t>
      </w:r>
      <w:bookmarkEnd w:id="125"/>
      <w:bookmarkEnd w:id="126"/>
      <w:r>
        <w:rPr>
          <w:rStyle w:val="CharDivText"/>
        </w:rPr>
        <w:t xml:space="preserve"> </w:t>
      </w:r>
    </w:p>
    <w:p>
      <w:pPr>
        <w:pStyle w:val="Footnoteheading"/>
        <w:tabs>
          <w:tab w:val="left" w:pos="851"/>
        </w:tabs>
      </w:pPr>
      <w:r>
        <w:tab/>
        <w:t>[Heading amended by No. 38 of 2004 s. 40.]</w:t>
      </w:r>
    </w:p>
    <w:p>
      <w:pPr>
        <w:pStyle w:val="Heading5"/>
        <w:rPr>
          <w:snapToGrid w:val="0"/>
        </w:rPr>
      </w:pPr>
      <w:bookmarkStart w:id="127" w:name="_Toc416185186"/>
      <w:r>
        <w:rPr>
          <w:rStyle w:val="CharSectno"/>
        </w:rPr>
        <w:t>61</w:t>
      </w:r>
      <w:r>
        <w:rPr>
          <w:snapToGrid w:val="0"/>
        </w:rPr>
        <w:t>.</w:t>
      </w:r>
      <w:r>
        <w:rPr>
          <w:snapToGrid w:val="0"/>
        </w:rPr>
        <w:tab/>
        <w:t>Breach of restraining order</w:t>
      </w:r>
      <w:bookmarkEnd w:id="127"/>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spacing w:before="140"/>
      </w:pPr>
      <w:r>
        <w:tab/>
        <w:t>(2a)</w:t>
      </w:r>
      <w:r>
        <w:tab/>
        <w:t>A person who is bound by a police order and who breaches that order commits an offence.</w:t>
      </w:r>
    </w:p>
    <w:p>
      <w:pPr>
        <w:pStyle w:val="Penstart"/>
      </w:pPr>
      <w:r>
        <w:tab/>
        <w:t>Penalty: $6 000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 xml:space="preserve">otherwise, in the </w:t>
      </w:r>
      <w:smartTag w:uri="urn:schemas-microsoft-com:office:smarttags" w:element="Street">
        <w:smartTag w:uri="urn:schemas-microsoft-com:office:smarttags" w:element="address">
          <w:r>
            <w:t>Magistrates Court</w:t>
          </w:r>
        </w:smartTag>
      </w:smartTag>
      <w:r>
        <w:t>.</w:t>
      </w:r>
    </w:p>
    <w:p>
      <w:pPr>
        <w:pStyle w:val="Subsection"/>
        <w:spacing w:before="140"/>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128" w:name="_Toc416185187"/>
      <w:r>
        <w:rPr>
          <w:rStyle w:val="CharSectno"/>
        </w:rPr>
        <w:t>61A</w:t>
      </w:r>
      <w:r>
        <w:t>.</w:t>
      </w:r>
      <w:r>
        <w:tab/>
        <w:t>Penalty for repeated breach of restraining order</w:t>
      </w:r>
      <w:bookmarkEnd w:id="128"/>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Subsection"/>
        <w:spacing w:before="140"/>
      </w:pPr>
      <w:r>
        <w:tab/>
        <w:t>(2)</w:t>
      </w:r>
      <w:r>
        <w:tab/>
        <w:t>This section applies if a person —</w:t>
      </w:r>
    </w:p>
    <w:p>
      <w:pPr>
        <w:pStyle w:val="Indenta"/>
        <w:spacing w:before="60"/>
      </w:pPr>
      <w:r>
        <w:tab/>
        <w:t>(a)</w:t>
      </w:r>
      <w:r>
        <w:tab/>
        <w:t xml:space="preserve">is convicted of an offence under section 61(1) or (2a) (the </w:t>
      </w:r>
      <w:r>
        <w:rPr>
          <w:rStyle w:val="CharDefText"/>
        </w:rPr>
        <w:t>relevant offence</w:t>
      </w:r>
      <w:r>
        <w:t>); and</w:t>
      </w:r>
    </w:p>
    <w:p>
      <w:pPr>
        <w:pStyle w:val="Indenta"/>
      </w:pPr>
      <w:r>
        <w:tab/>
        <w:t>(b)</w:t>
      </w:r>
      <w:r>
        <w:tab/>
        <w:t>has committed, and been convicted of, at least 2 offences under section 61(1) or (2a) within the period of 2 years before the person’s conviction of the relevant offence.</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relevant offence that is or includes imprisonment.</w:t>
      </w:r>
    </w:p>
    <w:p>
      <w:pPr>
        <w:pStyle w:val="Subsection"/>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by No. 32 of 2011 s. 15; amended by No. 20 of 2013 s. 118.]</w:t>
      </w:r>
    </w:p>
    <w:p>
      <w:pPr>
        <w:pStyle w:val="Heading5"/>
      </w:pPr>
      <w:bookmarkStart w:id="129" w:name="_Toc416185188"/>
      <w:r>
        <w:rPr>
          <w:rStyle w:val="CharSectno"/>
        </w:rPr>
        <w:t>61B</w:t>
      </w:r>
      <w:r>
        <w:t>.</w:t>
      </w:r>
      <w:r>
        <w:tab/>
        <w:t>Protected person aiding breach of restraining order or police order</w:t>
      </w:r>
      <w:bookmarkEnd w:id="129"/>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by No. 32 of 2011 s. 15.]</w:t>
      </w:r>
    </w:p>
    <w:p>
      <w:pPr>
        <w:pStyle w:val="Heading5"/>
      </w:pPr>
      <w:bookmarkStart w:id="130" w:name="_Toc416185189"/>
      <w:r>
        <w:rPr>
          <w:rStyle w:val="CharSectno"/>
        </w:rPr>
        <w:t>62</w:t>
      </w:r>
      <w:r>
        <w:t>.</w:t>
      </w:r>
      <w:r>
        <w:tab/>
        <w:t>Defence</w:t>
      </w:r>
      <w:bookmarkEnd w:id="130"/>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Cs/>
        </w:rPr>
        <w:t>.</w:t>
      </w:r>
    </w:p>
    <w:p>
      <w:pPr>
        <w:pStyle w:val="Footnotesection"/>
      </w:pPr>
      <w:r>
        <w:tab/>
        <w:t>[Section 62 inserted by No. 38 of 2004 s. 42; amended by No. 35 of 2006 s. 208; No. 21 of 2008 s. 699.]</w:t>
      </w:r>
    </w:p>
    <w:p>
      <w:pPr>
        <w:pStyle w:val="Heading3"/>
      </w:pPr>
      <w:bookmarkStart w:id="131" w:name="_Toc413398291"/>
      <w:bookmarkStart w:id="132" w:name="_Toc416185190"/>
      <w:r>
        <w:rPr>
          <w:rStyle w:val="CharDivNo"/>
        </w:rPr>
        <w:t>Division 3A</w:t>
      </w:r>
      <w:r>
        <w:t> — </w:t>
      </w:r>
      <w:r>
        <w:rPr>
          <w:rStyle w:val="CharDivText"/>
        </w:rPr>
        <w:t>Police functions</w:t>
      </w:r>
      <w:bookmarkEnd w:id="131"/>
      <w:bookmarkEnd w:id="132"/>
    </w:p>
    <w:p>
      <w:pPr>
        <w:pStyle w:val="Footnoteheading"/>
        <w:tabs>
          <w:tab w:val="left" w:pos="851"/>
        </w:tabs>
      </w:pPr>
      <w:r>
        <w:tab/>
        <w:t>[Heading inserted by No. 38 of 2004 s. 43(1).]</w:t>
      </w:r>
    </w:p>
    <w:p>
      <w:pPr>
        <w:pStyle w:val="Heading5"/>
      </w:pPr>
      <w:bookmarkStart w:id="133" w:name="_Toc416185191"/>
      <w:r>
        <w:rPr>
          <w:rStyle w:val="CharSectno"/>
        </w:rPr>
        <w:t>62A</w:t>
      </w:r>
      <w:r>
        <w:t>.</w:t>
      </w:r>
      <w:r>
        <w:tab/>
        <w:t>Investigation of suspected family and domestic violence</w:t>
      </w:r>
      <w:bookmarkEnd w:id="133"/>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134" w:name="_Toc416185192"/>
      <w:r>
        <w:rPr>
          <w:rStyle w:val="CharSectno"/>
        </w:rPr>
        <w:t>62B</w:t>
      </w:r>
      <w:r>
        <w:t>.</w:t>
      </w:r>
      <w:r>
        <w:tab/>
        <w:t>Entry and search of premises if family and domestic violence suspected</w:t>
      </w:r>
      <w:bookmarkEnd w:id="134"/>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enter those premises and may remain in those premises for as long as the officer considers necessary — </w:t>
      </w:r>
    </w:p>
    <w:p>
      <w:pPr>
        <w:pStyle w:val="Indenta"/>
      </w:pPr>
      <w:r>
        <w:tab/>
        <w:t>(a)</w:t>
      </w:r>
      <w:r>
        <w:tab/>
        <w:t>to investigate whether or not an act of family and domestic violence has been committed; and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by No. 38 of 2004 s. 43(1); amended by No. 5 of 2008 s. 101.]</w:t>
      </w:r>
    </w:p>
    <w:p>
      <w:pPr>
        <w:pStyle w:val="Heading5"/>
      </w:pPr>
      <w:bookmarkStart w:id="135" w:name="_Toc416185193"/>
      <w:r>
        <w:rPr>
          <w:rStyle w:val="CharSectno"/>
        </w:rPr>
        <w:t>62C</w:t>
      </w:r>
      <w:r>
        <w:t>.</w:t>
      </w:r>
      <w:r>
        <w:tab/>
        <w:t>Action to be taken by police officer after investigating suspected family and domestic violence</w:t>
      </w:r>
      <w:bookmarkEnd w:id="135"/>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or 25(1)(b); or</w:t>
      </w:r>
    </w:p>
    <w:p>
      <w:pPr>
        <w:pStyle w:val="Indenta"/>
        <w:spacing w:before="60"/>
      </w:pPr>
      <w:r>
        <w:tab/>
        <w:t>(b)</w:t>
      </w:r>
      <w:r>
        <w:tab/>
        <w:t>a police order; or</w:t>
      </w:r>
    </w:p>
    <w:p>
      <w:pPr>
        <w:pStyle w:val="Indenta"/>
        <w:spacing w:before="60"/>
      </w:pPr>
      <w:r>
        <w:tab/>
        <w:t>(c)</w:t>
      </w:r>
      <w:r>
        <w:tab/>
        <w:t>a written record of the reasons why he or she did not take either of the actions set out in paragraph (a) or (b).</w:t>
      </w:r>
    </w:p>
    <w:p>
      <w:pPr>
        <w:pStyle w:val="Footnotesection"/>
        <w:spacing w:before="80"/>
      </w:pPr>
      <w:r>
        <w:tab/>
        <w:t>[Section 62C inserted by No. 38 of 2004 s. 43(1).]</w:t>
      </w:r>
    </w:p>
    <w:p>
      <w:pPr>
        <w:pStyle w:val="Heading5"/>
      </w:pPr>
      <w:bookmarkStart w:id="136" w:name="_Toc416185194"/>
      <w:r>
        <w:rPr>
          <w:rStyle w:val="CharSectno"/>
        </w:rPr>
        <w:t>62D</w:t>
      </w:r>
      <w:r>
        <w:t>.</w:t>
      </w:r>
      <w:r>
        <w:tab/>
        <w:t>Approval of senior officer</w:t>
      </w:r>
      <w:bookmarkEnd w:id="136"/>
    </w:p>
    <w:p>
      <w:pPr>
        <w:pStyle w:val="Subsection"/>
        <w:spacing w:before="120"/>
      </w:pPr>
      <w:r>
        <w:tab/>
        <w:t>(1)</w:t>
      </w:r>
      <w:r>
        <w:tab/>
        <w:t>An application for the approval of a senior officer referred to in section 62B(1)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spacing w:before="60"/>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137" w:name="_Toc416185195"/>
      <w:r>
        <w:rPr>
          <w:rStyle w:val="CharSectno"/>
        </w:rPr>
        <w:t>62E</w:t>
      </w:r>
      <w:r>
        <w:t>.</w:t>
      </w:r>
      <w:r>
        <w:tab/>
        <w:t>Seizure of firearms</w:t>
      </w:r>
      <w:bookmarkEnd w:id="137"/>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keepNext/>
      </w:pPr>
      <w:r>
        <w:tab/>
        <w:t>(b)</w:t>
      </w:r>
      <w:r>
        <w:tab/>
        <w:t>a firearms licence held by the person,</w:t>
      </w:r>
    </w:p>
    <w:p>
      <w:pPr>
        <w:pStyle w:val="Subsection"/>
      </w:pPr>
      <w:r>
        <w:tab/>
      </w:r>
      <w:r>
        <w:tab/>
        <w:t>is reasonably suspected to be, and search for and seize the firearm or firearms licence.</w:t>
      </w:r>
    </w:p>
    <w:p>
      <w:pPr>
        <w:pStyle w:val="Subsection"/>
      </w:pPr>
      <w:r>
        <w:tab/>
        <w:t>(1a)</w:t>
      </w:r>
      <w:r>
        <w:tab/>
        <w:t>In order to exercise a power under subsection (1), a police officer may use any force against any person or thing that it is reasonably necessary to use in the circumstances.</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 amended by No. 5 of 2008 s. 102.]</w:t>
      </w:r>
    </w:p>
    <w:p>
      <w:pPr>
        <w:pStyle w:val="Footnotesection"/>
      </w:pPr>
      <w:r>
        <w:tab/>
        <w:t>[Section 62E. Modifications to be applied in order to give effect to Cross-border Justice Act 2008: section altered 1 Nov 2009. See endnote 1M.]</w:t>
      </w:r>
    </w:p>
    <w:p>
      <w:pPr>
        <w:pStyle w:val="Heading5"/>
      </w:pPr>
      <w:bookmarkStart w:id="138" w:name="_Toc416185196"/>
      <w:r>
        <w:rPr>
          <w:rStyle w:val="CharSectno"/>
        </w:rPr>
        <w:t>62F</w:t>
      </w:r>
      <w:r>
        <w:t>.</w:t>
      </w:r>
      <w:r>
        <w:tab/>
        <w:t>Detention of respondent during telephone hearing or while police order is being made</w:t>
      </w:r>
      <w:bookmarkEnd w:id="138"/>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Subsection"/>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require the person to remain in a place designated by the officer while the officer gets the order; and</w:t>
      </w:r>
    </w:p>
    <w:p>
      <w:pPr>
        <w:pStyle w:val="Indenta"/>
      </w:pPr>
      <w:r>
        <w:tab/>
        <w:t>(b)</w:t>
      </w:r>
      <w:r>
        <w:tab/>
        <w:t>if the person does not, or the officer reasonably believes the person will not, remain in the place, arrest and detain the person in custody for up to 2 hours.</w:t>
      </w:r>
    </w:p>
    <w:p>
      <w:pPr>
        <w:pStyle w:val="Footnotesection"/>
      </w:pPr>
      <w:r>
        <w:tab/>
        <w:t>[Section 62F inserted by No. 38 of 2004 s. 43(1); amended by No. 5 of 2008 s. 103.]</w:t>
      </w:r>
    </w:p>
    <w:p>
      <w:pPr>
        <w:pStyle w:val="Footnotesection"/>
      </w:pPr>
      <w:r>
        <w:tab/>
        <w:t>[Section 62F. Modifications to be applied in order to give effect to Cross-border Justice Act 2008: section altered 1 Nov 2009. See endnote 1M.]</w:t>
      </w:r>
    </w:p>
    <w:p>
      <w:pPr>
        <w:pStyle w:val="Heading5"/>
      </w:pPr>
      <w:bookmarkStart w:id="139" w:name="_Toc416185197"/>
      <w:r>
        <w:rPr>
          <w:rStyle w:val="CharSectno"/>
        </w:rPr>
        <w:t>62G</w:t>
      </w:r>
      <w:r>
        <w:t>.</w:t>
      </w:r>
      <w:r>
        <w:tab/>
        <w:t>Police officer may conduct hearing for applicant</w:t>
      </w:r>
      <w:bookmarkEnd w:id="139"/>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140" w:name="_Toc413398299"/>
      <w:bookmarkStart w:id="141" w:name="_Toc416185198"/>
      <w:r>
        <w:rPr>
          <w:rStyle w:val="CharDivNo"/>
        </w:rPr>
        <w:t>Division 4</w:t>
      </w:r>
      <w:r>
        <w:rPr>
          <w:snapToGrid w:val="0"/>
        </w:rPr>
        <w:t> — </w:t>
      </w:r>
      <w:r>
        <w:rPr>
          <w:rStyle w:val="CharDivText"/>
        </w:rPr>
        <w:t>General</w:t>
      </w:r>
      <w:bookmarkEnd w:id="140"/>
      <w:bookmarkEnd w:id="141"/>
      <w:r>
        <w:rPr>
          <w:rStyle w:val="CharDivText"/>
        </w:rPr>
        <w:t xml:space="preserve"> </w:t>
      </w:r>
    </w:p>
    <w:p>
      <w:pPr>
        <w:pStyle w:val="Heading5"/>
        <w:rPr>
          <w:snapToGrid w:val="0"/>
        </w:rPr>
      </w:pPr>
      <w:bookmarkStart w:id="142" w:name="_Toc416185199"/>
      <w:r>
        <w:rPr>
          <w:rStyle w:val="CharSectno"/>
        </w:rPr>
        <w:t>63</w:t>
      </w:r>
      <w:r>
        <w:rPr>
          <w:snapToGrid w:val="0"/>
        </w:rPr>
        <w:t>.</w:t>
      </w:r>
      <w:r>
        <w:rPr>
          <w:snapToGrid w:val="0"/>
        </w:rPr>
        <w:tab/>
        <w:t>Making restraining orders during other proceedings</w:t>
      </w:r>
      <w:bookmarkEnd w:id="142"/>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spacing w:before="70"/>
      </w:pPr>
      <w:r>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and</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pPr>
      <w:r>
        <w:tab/>
        <w:t>(4a)</w:t>
      </w:r>
      <w:r>
        <w:tab/>
        <w:t>Subject to subsection (4b) a restraining order made under this section is a final order.</w:t>
      </w:r>
    </w:p>
    <w:p>
      <w:pPr>
        <w:pStyle w:val="Subsection"/>
      </w:pPr>
      <w:r>
        <w:tab/>
        <w:t>(4b)</w:t>
      </w:r>
      <w:r>
        <w:tab/>
        <w:t>If a court referred to in subsection (2) is considering making a restraining order and the person who would be bound by the order objects to it being made, the court may make an interim order.</w:t>
      </w:r>
    </w:p>
    <w:p>
      <w:pPr>
        <w:pStyle w:val="Subsection"/>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by No. 22 of 2000 s. 13; </w:t>
      </w:r>
      <w:r>
        <w:rPr>
          <w:spacing w:val="-6"/>
        </w:rPr>
        <w:t>No. 34 of 2004 Sch. 2 cl. 23(3)</w:t>
      </w:r>
      <w:r>
        <w:t>; No. 38 of 2004 s. 44 and 55; No. 59 of 2004 s. 123 and 124; No. 5 of 2008 s. 104.]</w:t>
      </w:r>
    </w:p>
    <w:p>
      <w:pPr>
        <w:pStyle w:val="Heading5"/>
      </w:pPr>
      <w:bookmarkStart w:id="143" w:name="_Toc416185200"/>
      <w:r>
        <w:rPr>
          <w:rStyle w:val="CharSectno"/>
        </w:rPr>
        <w:t>63A</w:t>
      </w:r>
      <w:r>
        <w:t>.</w:t>
      </w:r>
      <w:r>
        <w:tab/>
        <w:t>Restraining order to be made if certain violent personal offences committed</w:t>
      </w:r>
      <w:bookmarkEnd w:id="143"/>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r>
      <w:r>
        <w:rPr>
          <w:rStyle w:val="CharDefText"/>
        </w:rPr>
        <w:t>violent personal offence</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pPr>
      <w:bookmarkStart w:id="144" w:name="_Toc416185201"/>
      <w:r>
        <w:rPr>
          <w:rStyle w:val="CharSectno"/>
        </w:rPr>
        <w:t>63B</w:t>
      </w:r>
      <w:r>
        <w:t>.</w:t>
      </w:r>
      <w:r>
        <w:tab/>
        <w:t>Circumstances to be taken into account when sentencing for certain offences</w:t>
      </w:r>
      <w:bookmarkEnd w:id="144"/>
    </w:p>
    <w:p>
      <w:pPr>
        <w:pStyle w:val="Subsection"/>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 or</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r>
      <w:r>
        <w:rPr>
          <w:rStyle w:val="CharDefText"/>
        </w:rPr>
        <w:t>violent personal offence</w:t>
      </w:r>
      <w:r>
        <w:t xml:space="preserve"> means — </w:t>
      </w:r>
    </w:p>
    <w:p>
      <w:pPr>
        <w:pStyle w:val="Defpara"/>
      </w:pPr>
      <w:r>
        <w:tab/>
        <w:t>(a)</w:t>
      </w:r>
      <w:r>
        <w:tab/>
        <w:t>an offence mentioned in section 277; or</w:t>
      </w:r>
    </w:p>
    <w:p>
      <w:pPr>
        <w:pStyle w:val="Defpara"/>
      </w:pPr>
      <w:r>
        <w:tab/>
        <w:t>(b)</w:t>
      </w:r>
      <w:r>
        <w:tab/>
        <w:t>an offence against section 283, 332, 333, 338A, 338B, 338C or 338E,</w:t>
      </w:r>
    </w:p>
    <w:p>
      <w:pPr>
        <w:pStyle w:val="Defstart"/>
      </w:pPr>
      <w:r>
        <w:tab/>
        <w:t xml:space="preserve">of </w:t>
      </w:r>
      <w:r>
        <w:rPr>
          <w:i/>
        </w:rPr>
        <w:t>The Criminal Code</w:t>
      </w:r>
      <w:r>
        <w:t>.</w:t>
      </w:r>
    </w:p>
    <w:p>
      <w:pPr>
        <w:pStyle w:val="Footnotesection"/>
      </w:pPr>
      <w:r>
        <w:tab/>
        <w:t>[Section 63B inserted by No. 38 of 2004 s. 45; amended by No. 29 of 2008 s. 37.]</w:t>
      </w:r>
    </w:p>
    <w:p>
      <w:pPr>
        <w:pStyle w:val="Heading5"/>
      </w:pPr>
      <w:bookmarkStart w:id="145" w:name="_Toc416185202"/>
      <w:r>
        <w:rPr>
          <w:rStyle w:val="CharSectno"/>
        </w:rPr>
        <w:t>63C</w:t>
      </w:r>
      <w:r>
        <w:t>.</w:t>
      </w:r>
      <w:r>
        <w:tab/>
        <w:t>Criminal and civil liability not affected by restraining orders</w:t>
      </w:r>
      <w:bookmarkEnd w:id="145"/>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146" w:name="_Toc416185203"/>
      <w:r>
        <w:rPr>
          <w:rStyle w:val="CharSectno"/>
        </w:rPr>
        <w:t>64</w:t>
      </w:r>
      <w:r>
        <w:rPr>
          <w:snapToGrid w:val="0"/>
        </w:rPr>
        <w:t>.</w:t>
      </w:r>
      <w:r>
        <w:rPr>
          <w:snapToGrid w:val="0"/>
        </w:rPr>
        <w:tab/>
        <w:t>Appeals</w:t>
      </w:r>
      <w:bookmarkEnd w:id="146"/>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by No. 22 of 2000 s. 14; No. 45 of 2004 s. 37; No. 59 of 2004 s. 124; No. 14 of 2013 s. 5.]</w:t>
      </w:r>
    </w:p>
    <w:p>
      <w:pPr>
        <w:pStyle w:val="Heading5"/>
        <w:rPr>
          <w:snapToGrid w:val="0"/>
        </w:rPr>
      </w:pPr>
      <w:bookmarkStart w:id="147" w:name="_Toc416185204"/>
      <w:r>
        <w:rPr>
          <w:rStyle w:val="CharSectno"/>
        </w:rPr>
        <w:t>65</w:t>
      </w:r>
      <w:r>
        <w:rPr>
          <w:snapToGrid w:val="0"/>
        </w:rPr>
        <w:t>.</w:t>
      </w:r>
      <w:r>
        <w:rPr>
          <w:snapToGrid w:val="0"/>
        </w:rPr>
        <w:tab/>
        <w:t>Orders not to conflict with certain family orders</w:t>
      </w:r>
      <w:bookmarkEnd w:id="147"/>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148" w:name="_Toc416185205"/>
      <w:r>
        <w:rPr>
          <w:rStyle w:val="CharSectno"/>
        </w:rPr>
        <w:t>66</w:t>
      </w:r>
      <w:r>
        <w:rPr>
          <w:snapToGrid w:val="0"/>
        </w:rPr>
        <w:t>.</w:t>
      </w:r>
      <w:r>
        <w:rPr>
          <w:snapToGrid w:val="0"/>
        </w:rPr>
        <w:tab/>
        <w:t>Notification of family orders</w:t>
      </w:r>
      <w:bookmarkEnd w:id="148"/>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pPr>
      <w:r>
        <w:rPr>
          <w:b/>
        </w:rPr>
        <w:tab/>
      </w:r>
      <w:r>
        <w:rPr>
          <w:rStyle w:val="CharDefText"/>
        </w:rPr>
        <w:t>inform the court</w:t>
      </w:r>
      <w:r>
        <w:t xml:space="preserve"> means — </w:t>
      </w:r>
    </w:p>
    <w:p>
      <w:pPr>
        <w:pStyle w:val="Defpara"/>
        <w:spacing w:before="60"/>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 and</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spacing w:before="180"/>
      </w:pPr>
      <w:bookmarkStart w:id="149" w:name="_Toc416185206"/>
      <w:r>
        <w:rPr>
          <w:rStyle w:val="CharSectno"/>
        </w:rPr>
        <w:t>67</w:t>
      </w:r>
      <w:r>
        <w:t>.</w:t>
      </w:r>
      <w:r>
        <w:tab/>
        <w:t>Adjournments</w:t>
      </w:r>
      <w:bookmarkEnd w:id="149"/>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by No. 38 of 2004 s. 46; amended by No. 59 of 2004 s. 123; No. 20 of 2013 s. 120.]</w:t>
      </w:r>
    </w:p>
    <w:p>
      <w:pPr>
        <w:pStyle w:val="Heading5"/>
        <w:rPr>
          <w:snapToGrid w:val="0"/>
        </w:rPr>
      </w:pPr>
      <w:bookmarkStart w:id="150" w:name="_Toc416185207"/>
      <w:r>
        <w:rPr>
          <w:rStyle w:val="CharSectno"/>
        </w:rPr>
        <w:t>68</w:t>
      </w:r>
      <w:r>
        <w:rPr>
          <w:snapToGrid w:val="0"/>
        </w:rPr>
        <w:t>.</w:t>
      </w:r>
      <w:r>
        <w:rPr>
          <w:snapToGrid w:val="0"/>
        </w:rPr>
        <w:tab/>
        <w:t>Orders may be extended to apply to other people</w:t>
      </w:r>
      <w:bookmarkEnd w:id="150"/>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151" w:name="_Toc416185208"/>
      <w:r>
        <w:rPr>
          <w:rStyle w:val="CharSectno"/>
        </w:rPr>
        <w:t>69</w:t>
      </w:r>
      <w:r>
        <w:rPr>
          <w:snapToGrid w:val="0"/>
        </w:rPr>
        <w:t>.</w:t>
      </w:r>
      <w:r>
        <w:rPr>
          <w:snapToGrid w:val="0"/>
        </w:rPr>
        <w:tab/>
        <w:t>Costs</w:t>
      </w:r>
      <w:bookmarkEnd w:id="151"/>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pPr>
      <w:bookmarkStart w:id="152" w:name="_Toc416185209"/>
      <w:r>
        <w:rPr>
          <w:rStyle w:val="CharSectno"/>
        </w:rPr>
        <w:t>70</w:t>
      </w:r>
      <w:r>
        <w:t>.</w:t>
      </w:r>
      <w:r>
        <w:tab/>
        <w:t>Information on identity of certain person restricted</w:t>
      </w:r>
      <w:bookmarkEnd w:id="152"/>
    </w:p>
    <w:p>
      <w:pPr>
        <w:pStyle w:val="Subsection"/>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Next/>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keepNext/>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by No. 38 of 2004 s. 48; amended by No. 5 of 2008 s. 105.]</w:t>
      </w:r>
    </w:p>
    <w:p>
      <w:pPr>
        <w:pStyle w:val="Heading5"/>
        <w:spacing w:before="260"/>
      </w:pPr>
      <w:bookmarkStart w:id="153" w:name="_Toc416185210"/>
      <w:r>
        <w:rPr>
          <w:rStyle w:val="CharSectno"/>
        </w:rPr>
        <w:t>70A</w:t>
      </w:r>
      <w:r>
        <w:t>.</w:t>
      </w:r>
      <w:r>
        <w:tab/>
        <w:t>Exchange of information</w:t>
      </w:r>
      <w:bookmarkEnd w:id="153"/>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about a person protected by a violence restraining order, or a child affected by such an order.</w:t>
      </w:r>
    </w:p>
    <w:p>
      <w:pPr>
        <w:pStyle w:val="Subsection"/>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 amended by No. 65 of 2006 s. 68.]</w:t>
      </w:r>
    </w:p>
    <w:p>
      <w:pPr>
        <w:pStyle w:val="Heading5"/>
        <w:rPr>
          <w:snapToGrid w:val="0"/>
        </w:rPr>
      </w:pPr>
      <w:bookmarkStart w:id="154" w:name="_Toc416185211"/>
      <w:r>
        <w:rPr>
          <w:rStyle w:val="CharSectno"/>
        </w:rPr>
        <w:t>71</w:t>
      </w:r>
      <w:r>
        <w:rPr>
          <w:snapToGrid w:val="0"/>
        </w:rPr>
        <w:t>.</w:t>
      </w:r>
      <w:r>
        <w:rPr>
          <w:snapToGrid w:val="0"/>
        </w:rPr>
        <w:tab/>
        <w:t>Notification when firearms order made</w:t>
      </w:r>
      <w:bookmarkEnd w:id="15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firearms order</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ind w:left="1843" w:hanging="1843"/>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155" w:name="_Toc416185212"/>
      <w:r>
        <w:rPr>
          <w:rStyle w:val="CharSectno"/>
        </w:rPr>
        <w:t>72</w:t>
      </w:r>
      <w:r>
        <w:rPr>
          <w:snapToGrid w:val="0"/>
        </w:rPr>
        <w:t>.</w:t>
      </w:r>
      <w:r>
        <w:rPr>
          <w:snapToGrid w:val="0"/>
        </w:rPr>
        <w:tab/>
        <w:t>Practice and procedure generally</w:t>
      </w:r>
      <w:bookmarkEnd w:id="155"/>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 xml:space="preserve">the </w:t>
      </w:r>
      <w:smartTag w:uri="urn:schemas-microsoft-com:office:smarttags" w:element="Street">
        <w:smartTag w:uri="urn:schemas-microsoft-com:office:smarttags" w:element="address">
          <w:r>
            <w:t>Magistrates Court</w:t>
          </w:r>
        </w:smartTag>
      </w:smartTag>
      <w:r>
        <w:t>, the practices and procedures applying in that court under the</w:t>
      </w:r>
      <w:r>
        <w:rPr>
          <w:i/>
        </w:rPr>
        <w:t xml:space="preserve"> </w:t>
      </w:r>
      <w:smartTag w:uri="urn:schemas-microsoft-com:office:smarttags" w:element="Street">
        <w:smartTag w:uri="urn:schemas-microsoft-com:office:smarttags" w:element="address">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deleted]</w:t>
      </w:r>
    </w:p>
    <w:p>
      <w:pPr>
        <w:pStyle w:val="Footnotesection"/>
      </w:pPr>
      <w:r>
        <w:tab/>
        <w:t xml:space="preserve">[Section 72 amended by No. 59 of 2004 s. 124.] </w:t>
      </w:r>
    </w:p>
    <w:p>
      <w:pPr>
        <w:pStyle w:val="Ednotesection"/>
      </w:pPr>
      <w:r>
        <w:t>[</w:t>
      </w:r>
      <w:r>
        <w:rPr>
          <w:b/>
          <w:bCs/>
        </w:rPr>
        <w:t>73A.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spacing w:before="260"/>
        <w:rPr>
          <w:snapToGrid w:val="0"/>
        </w:rPr>
      </w:pPr>
      <w:bookmarkStart w:id="156" w:name="_Toc416185213"/>
      <w:r>
        <w:rPr>
          <w:rStyle w:val="CharSectno"/>
        </w:rPr>
        <w:t>73</w:t>
      </w:r>
      <w:r>
        <w:rPr>
          <w:snapToGrid w:val="0"/>
        </w:rPr>
        <w:t>.</w:t>
      </w:r>
      <w:r>
        <w:rPr>
          <w:snapToGrid w:val="0"/>
        </w:rPr>
        <w:tab/>
        <w:t>Regulation making power</w:t>
      </w:r>
      <w:bookmarkEnd w:id="156"/>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 and</w:t>
      </w:r>
    </w:p>
    <w:p>
      <w:pPr>
        <w:pStyle w:val="Indenta"/>
        <w:rPr>
          <w:snapToGrid w:val="0"/>
        </w:rPr>
      </w:pPr>
      <w:r>
        <w:rPr>
          <w:snapToGrid w:val="0"/>
        </w:rPr>
        <w:tab/>
        <w:t>(d)</w:t>
      </w:r>
      <w:r>
        <w:rPr>
          <w:snapToGrid w:val="0"/>
        </w:rPr>
        <w:tab/>
        <w:t>forms to be used; and</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157" w:name="_Toc413398315"/>
      <w:bookmarkStart w:id="158" w:name="_Toc416185214"/>
      <w:r>
        <w:rPr>
          <w:rStyle w:val="CharPartNo"/>
        </w:rPr>
        <w:t>Part 7</w:t>
      </w:r>
      <w:r>
        <w:rPr>
          <w:rStyle w:val="CharDivNo"/>
        </w:rPr>
        <w:t> </w:t>
      </w:r>
      <w:r>
        <w:t>—</w:t>
      </w:r>
      <w:r>
        <w:rPr>
          <w:rStyle w:val="CharDivText"/>
        </w:rPr>
        <w:t> </w:t>
      </w:r>
      <w:r>
        <w:rPr>
          <w:rStyle w:val="CharPartText"/>
        </w:rPr>
        <w:t>Interstate restraining orders</w:t>
      </w:r>
      <w:bookmarkEnd w:id="157"/>
      <w:bookmarkEnd w:id="158"/>
      <w:r>
        <w:rPr>
          <w:rStyle w:val="CharPartText"/>
        </w:rPr>
        <w:t xml:space="preserve"> </w:t>
      </w:r>
    </w:p>
    <w:p>
      <w:pPr>
        <w:pStyle w:val="Heading5"/>
        <w:rPr>
          <w:snapToGrid w:val="0"/>
        </w:rPr>
      </w:pPr>
      <w:bookmarkStart w:id="159" w:name="_Toc416185215"/>
      <w:r>
        <w:rPr>
          <w:rStyle w:val="CharSectno"/>
        </w:rPr>
        <w:t>74</w:t>
      </w:r>
      <w:r>
        <w:rPr>
          <w:snapToGrid w:val="0"/>
        </w:rPr>
        <w:t>.</w:t>
      </w:r>
      <w:r>
        <w:rPr>
          <w:snapToGrid w:val="0"/>
        </w:rPr>
        <w:tab/>
        <w:t>Terms used</w:t>
      </w:r>
      <w:bookmarkEnd w:id="15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by No. 38 of 2004 s. 50; No. 59 of 2004 s. 124.]</w:t>
      </w:r>
    </w:p>
    <w:p>
      <w:pPr>
        <w:pStyle w:val="Heading5"/>
        <w:rPr>
          <w:snapToGrid w:val="0"/>
        </w:rPr>
      </w:pPr>
      <w:bookmarkStart w:id="160" w:name="_Toc416185216"/>
      <w:r>
        <w:rPr>
          <w:rStyle w:val="CharSectno"/>
        </w:rPr>
        <w:t>75</w:t>
      </w:r>
      <w:r>
        <w:rPr>
          <w:snapToGrid w:val="0"/>
        </w:rPr>
        <w:t>.</w:t>
      </w:r>
      <w:r>
        <w:rPr>
          <w:snapToGrid w:val="0"/>
        </w:rPr>
        <w:tab/>
        <w:t>Application for registration of interstate order</w:t>
      </w:r>
      <w:bookmarkEnd w:id="160"/>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tab/>
        <w:t>(2)</w:t>
      </w:r>
      <w:r>
        <w:rPr>
          <w:snapToGrid w:val="0"/>
        </w:rPr>
        <w:tab/>
        <w:t xml:space="preserve">An application for registration is to be made in the prescribed manner to </w:t>
      </w:r>
      <w:r>
        <w:t xml:space="preserve">a registrar of the </w:t>
      </w:r>
      <w:smartTag w:uri="urn:schemas-microsoft-com:office:smarttags" w:element="Street">
        <w:smartTag w:uri="urn:schemas-microsoft-com:office:smarttags" w:element="address">
          <w:r>
            <w:t>Magistrates Court</w:t>
          </w:r>
        </w:smartTag>
      </w:smartTag>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by No. 22 of 2000 s. 15; No. 38 of 2004 s. 51; No. 59 of 2004 s. 124.]</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161" w:name="_Toc416185217"/>
      <w:r>
        <w:rPr>
          <w:rStyle w:val="CharSectno"/>
        </w:rPr>
        <w:t>76</w:t>
      </w:r>
      <w:r>
        <w:rPr>
          <w:snapToGrid w:val="0"/>
        </w:rPr>
        <w:t>.</w:t>
      </w:r>
      <w:r>
        <w:rPr>
          <w:snapToGrid w:val="0"/>
        </w:rPr>
        <w:tab/>
        <w:t>Registration</w:t>
      </w:r>
      <w:bookmarkEnd w:id="161"/>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162" w:name="_Toc416185218"/>
      <w:r>
        <w:rPr>
          <w:rStyle w:val="CharSectno"/>
        </w:rPr>
        <w:t>77</w:t>
      </w:r>
      <w:r>
        <w:rPr>
          <w:snapToGrid w:val="0"/>
        </w:rPr>
        <w:t>.</w:t>
      </w:r>
      <w:r>
        <w:rPr>
          <w:snapToGrid w:val="0"/>
        </w:rPr>
        <w:tab/>
        <w:t>Effect of registration</w:t>
      </w:r>
      <w:bookmarkEnd w:id="162"/>
      <w:r>
        <w:rPr>
          <w:snapToGrid w:val="0"/>
        </w:rPr>
        <w:t xml:space="preserve"> </w:t>
      </w:r>
    </w:p>
    <w:p>
      <w:pPr>
        <w:pStyle w:val="Subsection"/>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rPr>
          <w:snapToGrid w:val="0"/>
        </w:rPr>
      </w:pPr>
      <w:bookmarkStart w:id="163" w:name="_Toc416185219"/>
      <w:r>
        <w:rPr>
          <w:rStyle w:val="CharSectno"/>
        </w:rPr>
        <w:t>78</w:t>
      </w:r>
      <w:r>
        <w:rPr>
          <w:snapToGrid w:val="0"/>
        </w:rPr>
        <w:t>.</w:t>
      </w:r>
      <w:r>
        <w:rPr>
          <w:snapToGrid w:val="0"/>
        </w:rPr>
        <w:tab/>
        <w:t>Variation or cancellation in another State or Territory</w:t>
      </w:r>
      <w:bookmarkEnd w:id="16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Footnotesection"/>
      </w:pPr>
      <w:r>
        <w:tab/>
        <w:t>[Section 78. Modifications to be applied in order to give effect to Cross-border Justice Act 2008: section altered 1 Nov 2009. See endnote 1M.]</w:t>
      </w:r>
    </w:p>
    <w:p>
      <w:pPr>
        <w:pStyle w:val="Heading5"/>
      </w:pPr>
      <w:bookmarkStart w:id="164" w:name="_Toc416185220"/>
      <w:r>
        <w:rPr>
          <w:rStyle w:val="CharSectno"/>
        </w:rPr>
        <w:t>79</w:t>
      </w:r>
      <w:r>
        <w:t>.</w:t>
      </w:r>
      <w:r>
        <w:tab/>
        <w:t>Variation or cancellation in this State</w:t>
      </w:r>
      <w:bookmarkEnd w:id="164"/>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65" w:name="_Toc413398322"/>
      <w:bookmarkStart w:id="166" w:name="_Toc416185221"/>
      <w:r>
        <w:rPr>
          <w:rStyle w:val="CharPartNo"/>
        </w:rPr>
        <w:t>Part 7A</w:t>
      </w:r>
      <w:r>
        <w:rPr>
          <w:rStyle w:val="CharDivNo"/>
        </w:rPr>
        <w:t xml:space="preserve"> </w:t>
      </w:r>
      <w:r>
        <w:t>—</w:t>
      </w:r>
      <w:r>
        <w:rPr>
          <w:rStyle w:val="CharDivText"/>
        </w:rPr>
        <w:t xml:space="preserve"> </w:t>
      </w:r>
      <w:r>
        <w:rPr>
          <w:rStyle w:val="CharPartText"/>
        </w:rPr>
        <w:t>Foreign restraining orders</w:t>
      </w:r>
      <w:bookmarkEnd w:id="165"/>
      <w:bookmarkEnd w:id="166"/>
    </w:p>
    <w:p>
      <w:pPr>
        <w:pStyle w:val="Footnoteheading"/>
      </w:pPr>
      <w:r>
        <w:tab/>
        <w:t>[Heading inserted by No. 11 of 1999 s. 7.]</w:t>
      </w:r>
    </w:p>
    <w:p>
      <w:pPr>
        <w:pStyle w:val="Heading5"/>
      </w:pPr>
      <w:bookmarkStart w:id="167" w:name="_Toc416185222"/>
      <w:r>
        <w:rPr>
          <w:rStyle w:val="CharSectno"/>
        </w:rPr>
        <w:t>79A</w:t>
      </w:r>
      <w:r>
        <w:t>.</w:t>
      </w:r>
      <w:r>
        <w:tab/>
        <w:t>Recognition of foreign restraining orders</w:t>
      </w:r>
      <w:bookmarkEnd w:id="167"/>
    </w:p>
    <w:p>
      <w:pPr>
        <w:pStyle w:val="Subsection"/>
      </w:pPr>
      <w:r>
        <w:tab/>
      </w:r>
      <w:r>
        <w:tab/>
        <w:t xml:space="preserve">A foreign restraining order that is in force under a corresponding law of </w:t>
      </w:r>
      <w:smartTag w:uri="urn:schemas-microsoft-com:office:smarttags" w:element="place">
        <w:smartTag w:uri="urn:schemas-microsoft-com:office:smarttags" w:element="country-region">
          <w:r>
            <w:t>New Zealand</w:t>
          </w:r>
        </w:smartTag>
      </w:smartTag>
      <w:r>
        <w:t xml:space="preserve"> or a prescribed country may be registered and enforced under this Part.</w:t>
      </w:r>
    </w:p>
    <w:p>
      <w:pPr>
        <w:pStyle w:val="Footnotesection"/>
      </w:pPr>
      <w:r>
        <w:tab/>
        <w:t>[Section 79A inserted by No. 11 of 1999 s. 7.]</w:t>
      </w:r>
    </w:p>
    <w:p>
      <w:pPr>
        <w:pStyle w:val="Heading5"/>
      </w:pPr>
      <w:bookmarkStart w:id="168" w:name="_Toc416185223"/>
      <w:r>
        <w:rPr>
          <w:rStyle w:val="CharSectno"/>
        </w:rPr>
        <w:t>79B</w:t>
      </w:r>
      <w:r>
        <w:t>.</w:t>
      </w:r>
      <w:r>
        <w:tab/>
        <w:t>Applying for registration of foreign restraining orders</w:t>
      </w:r>
      <w:bookmarkEnd w:id="168"/>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 xml:space="preserve">The application is to be made to the </w:t>
      </w:r>
      <w:smartTag w:uri="urn:schemas-microsoft-com:office:smarttags" w:element="Street">
        <w:smartTag w:uri="urn:schemas-microsoft-com:office:smarttags" w:element="address">
          <w:r>
            <w:t>Magistrates Court</w:t>
          </w:r>
        </w:smartTag>
      </w:smartTag>
      <w:r>
        <w:t xml:space="preserve">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169" w:name="_Toc416185224"/>
      <w:r>
        <w:rPr>
          <w:rStyle w:val="CharSectno"/>
        </w:rPr>
        <w:t>79C</w:t>
      </w:r>
      <w:r>
        <w:t>.</w:t>
      </w:r>
      <w:r>
        <w:tab/>
        <w:t>Registration of foreign restraining orders</w:t>
      </w:r>
      <w:bookmarkEnd w:id="169"/>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170" w:name="_Toc416185225"/>
      <w:r>
        <w:rPr>
          <w:rStyle w:val="CharSectno"/>
        </w:rPr>
        <w:t>79D</w:t>
      </w:r>
      <w:r>
        <w:t>.</w:t>
      </w:r>
      <w:r>
        <w:tab/>
        <w:t>Effect of registration</w:t>
      </w:r>
      <w:bookmarkEnd w:id="170"/>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171" w:name="_Toc416185226"/>
      <w:r>
        <w:rPr>
          <w:rStyle w:val="CharSectno"/>
        </w:rPr>
        <w:t>79E</w:t>
      </w:r>
      <w:r>
        <w:t>.</w:t>
      </w:r>
      <w:r>
        <w:tab/>
        <w:t>Variation or cancellation in foreign country</w:t>
      </w:r>
      <w:bookmarkEnd w:id="171"/>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172" w:name="_Toc416185227"/>
      <w:r>
        <w:rPr>
          <w:rStyle w:val="CharSectno"/>
        </w:rPr>
        <w:t>79F</w:t>
      </w:r>
      <w:r>
        <w:t>.</w:t>
      </w:r>
      <w:r>
        <w:tab/>
        <w:t>Variation or cancellation in this State</w:t>
      </w:r>
      <w:bookmarkEnd w:id="172"/>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w:t>
      </w:r>
      <w:r>
        <w:noBreakHyphen/>
        <w:t>84) deleted by No. 38 of 2004 s. 53.]</w:t>
      </w:r>
    </w:p>
    <w:p>
      <w:pPr>
        <w:pStyle w:val="Ednotepart"/>
      </w:pPr>
      <w:r>
        <w:t>[Part 9 (s. 85</w:t>
      </w:r>
      <w:r>
        <w:noBreakHyphen/>
        <w:t>90) omitted under Reprints Act 1984 s. 7(4)(e) </w:t>
      </w:r>
      <w:r>
        <w:rPr>
          <w:i w:val="0"/>
          <w:vertAlign w:val="superscript"/>
        </w:rPr>
        <w:t>2</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nHeading2"/>
        <w:outlineLvl w:val="0"/>
      </w:pPr>
      <w:bookmarkStart w:id="173" w:name="_Toc413398329"/>
      <w:bookmarkStart w:id="174" w:name="_Toc416185228"/>
      <w:r>
        <w:t>Notes</w:t>
      </w:r>
      <w:bookmarkEnd w:id="173"/>
      <w:bookmarkEnd w:id="174"/>
    </w:p>
    <w:p>
      <w:pPr>
        <w:pStyle w:val="nSubsection"/>
        <w:rPr>
          <w:snapToGrid w:val="0"/>
        </w:rPr>
      </w:pPr>
      <w:r>
        <w:rPr>
          <w:snapToGrid w:val="0"/>
          <w:vertAlign w:val="superscript"/>
        </w:rPr>
        <w:t>1</w:t>
      </w:r>
      <w:r>
        <w:rPr>
          <w:snapToGrid w:val="0"/>
        </w:rPr>
        <w:tab/>
        <w:t xml:space="preserve">This reprint is a compilation as at 13 March 2015 of the </w:t>
      </w:r>
      <w:r>
        <w:rPr>
          <w:i/>
          <w:noProof/>
          <w:snapToGrid w:val="0"/>
        </w:rPr>
        <w:t>Restraining Orders Act 1997</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rPr>
          <w:snapToGrid w:val="0"/>
        </w:rPr>
      </w:pPr>
      <w:bookmarkStart w:id="175" w:name="_Toc416185229"/>
      <w:r>
        <w:rPr>
          <w:snapToGrid w:val="0"/>
        </w:rPr>
        <w:t>Compilation table</w:t>
      </w:r>
      <w:bookmarkEnd w:id="175"/>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Pr>
          <w:p>
            <w:pPr>
              <w:pStyle w:val="nTable"/>
              <w:spacing w:before="60" w:after="60"/>
              <w:ind w:right="113"/>
              <w:rPr>
                <w:sz w:val="19"/>
              </w:rPr>
            </w:pPr>
            <w:r>
              <w:rPr>
                <w:i/>
                <w:sz w:val="19"/>
              </w:rPr>
              <w:t>Restraining Orders Act 1997</w:t>
            </w:r>
          </w:p>
        </w:tc>
        <w:tc>
          <w:tcPr>
            <w:tcW w:w="1134" w:type="dxa"/>
          </w:tcPr>
          <w:p>
            <w:pPr>
              <w:pStyle w:val="nTable"/>
              <w:spacing w:before="60" w:after="60"/>
              <w:rPr>
                <w:sz w:val="19"/>
              </w:rPr>
            </w:pPr>
            <w:r>
              <w:rPr>
                <w:sz w:val="19"/>
              </w:rPr>
              <w:t>19 of 1997</w:t>
            </w:r>
          </w:p>
        </w:tc>
        <w:tc>
          <w:tcPr>
            <w:tcW w:w="1134" w:type="dxa"/>
          </w:tcPr>
          <w:p>
            <w:pPr>
              <w:pStyle w:val="nTable"/>
              <w:spacing w:before="60" w:after="60"/>
              <w:rPr>
                <w:sz w:val="19"/>
              </w:rPr>
            </w:pPr>
            <w:r>
              <w:rPr>
                <w:sz w:val="19"/>
              </w:rPr>
              <w:t>28 Aug 1997</w:t>
            </w:r>
          </w:p>
        </w:tc>
        <w:tc>
          <w:tcPr>
            <w:tcW w:w="2551" w:type="dxa"/>
          </w:tcPr>
          <w:p>
            <w:pPr>
              <w:pStyle w:val="nTable"/>
              <w:spacing w:before="60" w:after="60"/>
              <w:rPr>
                <w:sz w:val="19"/>
              </w:rPr>
            </w:pPr>
            <w:r>
              <w:rPr>
                <w:color w:val="000000"/>
                <w:sz w:val="19"/>
              </w:rPr>
              <w:t>s. 1 and 2: 28 Aug 1997;</w:t>
            </w:r>
            <w:r>
              <w:rPr>
                <w:color w:val="000000"/>
                <w:sz w:val="19"/>
              </w:rPr>
              <w:br/>
              <w:t xml:space="preserve">Act other than s. 1 and 2: </w:t>
            </w: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before="60" w:after="60"/>
              <w:ind w:right="113"/>
              <w:rPr>
                <w:sz w:val="19"/>
              </w:rPr>
            </w:pPr>
            <w:r>
              <w:rPr>
                <w:i/>
                <w:sz w:val="19"/>
              </w:rPr>
              <w:t>Family Court (Orders of Registrars) Act 1997</w:t>
            </w:r>
            <w:r>
              <w:rPr>
                <w:sz w:val="19"/>
              </w:rPr>
              <w:t xml:space="preserve"> s. 12</w:t>
            </w:r>
          </w:p>
        </w:tc>
        <w:tc>
          <w:tcPr>
            <w:tcW w:w="1134" w:type="dxa"/>
          </w:tcPr>
          <w:p>
            <w:pPr>
              <w:pStyle w:val="nTable"/>
              <w:spacing w:before="60" w:after="60"/>
              <w:rPr>
                <w:sz w:val="19"/>
              </w:rPr>
            </w:pPr>
            <w:r>
              <w:rPr>
                <w:sz w:val="19"/>
              </w:rPr>
              <w:t>21 of 1997</w:t>
            </w:r>
          </w:p>
        </w:tc>
        <w:tc>
          <w:tcPr>
            <w:tcW w:w="1134" w:type="dxa"/>
          </w:tcPr>
          <w:p>
            <w:pPr>
              <w:pStyle w:val="nTable"/>
              <w:spacing w:before="60" w:after="60"/>
              <w:rPr>
                <w:sz w:val="19"/>
              </w:rPr>
            </w:pPr>
            <w:r>
              <w:rPr>
                <w:sz w:val="19"/>
              </w:rPr>
              <w:t>7 Sep 1997</w:t>
            </w:r>
          </w:p>
        </w:tc>
        <w:tc>
          <w:tcPr>
            <w:tcW w:w="2551" w:type="dxa"/>
          </w:tcPr>
          <w:p>
            <w:pPr>
              <w:pStyle w:val="nTable"/>
              <w:spacing w:before="60" w:after="6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before="60" w:after="60"/>
              <w:ind w:right="113"/>
              <w:rPr>
                <w:sz w:val="19"/>
              </w:rPr>
            </w:pPr>
            <w:r>
              <w:rPr>
                <w:i/>
                <w:sz w:val="19"/>
              </w:rPr>
              <w:t>Acts Amendment and Repeal (Family Court) Act 1997</w:t>
            </w:r>
            <w:r>
              <w:rPr>
                <w:sz w:val="19"/>
              </w:rPr>
              <w:t xml:space="preserve"> s. 36</w:t>
            </w:r>
          </w:p>
        </w:tc>
        <w:tc>
          <w:tcPr>
            <w:tcW w:w="1134" w:type="dxa"/>
          </w:tcPr>
          <w:p>
            <w:pPr>
              <w:pStyle w:val="nTable"/>
              <w:spacing w:before="60" w:after="60"/>
              <w:rPr>
                <w:sz w:val="19"/>
              </w:rPr>
            </w:pPr>
            <w:r>
              <w:rPr>
                <w:sz w:val="19"/>
              </w:rPr>
              <w:t>41 of 1997</w:t>
            </w:r>
          </w:p>
        </w:tc>
        <w:tc>
          <w:tcPr>
            <w:tcW w:w="1134" w:type="dxa"/>
          </w:tcPr>
          <w:p>
            <w:pPr>
              <w:pStyle w:val="nTable"/>
              <w:spacing w:before="60" w:after="60"/>
              <w:rPr>
                <w:sz w:val="19"/>
              </w:rPr>
            </w:pPr>
            <w:r>
              <w:rPr>
                <w:sz w:val="19"/>
              </w:rPr>
              <w:t>9 Dec 1997</w:t>
            </w:r>
          </w:p>
        </w:tc>
        <w:tc>
          <w:tcPr>
            <w:tcW w:w="2551" w:type="dxa"/>
          </w:tcPr>
          <w:p>
            <w:pPr>
              <w:pStyle w:val="nTable"/>
              <w:spacing w:before="60" w:after="6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before="60" w:after="60"/>
              <w:ind w:right="113"/>
              <w:rPr>
                <w:sz w:val="19"/>
              </w:rPr>
            </w:pPr>
            <w:r>
              <w:rPr>
                <w:i/>
                <w:sz w:val="19"/>
              </w:rPr>
              <w:t>Statutes (Repeals and Minor Amendments) Act (No. 2) 1998</w:t>
            </w:r>
            <w:r>
              <w:rPr>
                <w:sz w:val="19"/>
              </w:rPr>
              <w:t xml:space="preserve"> s. 62</w:t>
            </w:r>
          </w:p>
        </w:tc>
        <w:tc>
          <w:tcPr>
            <w:tcW w:w="1134" w:type="dxa"/>
          </w:tcPr>
          <w:p>
            <w:pPr>
              <w:pStyle w:val="nTable"/>
              <w:spacing w:before="60" w:after="60"/>
              <w:rPr>
                <w:sz w:val="19"/>
              </w:rPr>
            </w:pPr>
            <w:r>
              <w:rPr>
                <w:sz w:val="19"/>
              </w:rPr>
              <w:t>10 of 1998</w:t>
            </w:r>
          </w:p>
        </w:tc>
        <w:tc>
          <w:tcPr>
            <w:tcW w:w="1134" w:type="dxa"/>
          </w:tcPr>
          <w:p>
            <w:pPr>
              <w:pStyle w:val="nTable"/>
              <w:spacing w:before="60" w:after="60"/>
              <w:rPr>
                <w:sz w:val="19"/>
              </w:rPr>
            </w:pPr>
            <w:r>
              <w:rPr>
                <w:sz w:val="19"/>
              </w:rPr>
              <w:t>30 Apr 1998</w:t>
            </w:r>
          </w:p>
        </w:tc>
        <w:tc>
          <w:tcPr>
            <w:tcW w:w="2551" w:type="dxa"/>
          </w:tcPr>
          <w:p>
            <w:pPr>
              <w:pStyle w:val="nTable"/>
              <w:spacing w:before="60" w:after="60"/>
              <w:rPr>
                <w:sz w:val="19"/>
              </w:rPr>
            </w:pPr>
            <w:r>
              <w:rPr>
                <w:sz w:val="19"/>
              </w:rPr>
              <w:t>30 Apr 1998 (see s. 2(1))</w:t>
            </w:r>
          </w:p>
        </w:tc>
      </w:tr>
      <w:tr>
        <w:trPr>
          <w:cantSplit/>
        </w:trPr>
        <w:tc>
          <w:tcPr>
            <w:tcW w:w="2268" w:type="dxa"/>
          </w:tcPr>
          <w:p>
            <w:pPr>
              <w:pStyle w:val="nTable"/>
              <w:spacing w:before="60" w:after="60"/>
              <w:ind w:right="113"/>
              <w:rPr>
                <w:i/>
                <w:sz w:val="19"/>
              </w:rPr>
            </w:pPr>
            <w:r>
              <w:rPr>
                <w:i/>
                <w:sz w:val="19"/>
              </w:rPr>
              <w:t>Restraining Orders Amendment Act 1999</w:t>
            </w:r>
          </w:p>
        </w:tc>
        <w:tc>
          <w:tcPr>
            <w:tcW w:w="1134" w:type="dxa"/>
          </w:tcPr>
          <w:p>
            <w:pPr>
              <w:pStyle w:val="nTable"/>
              <w:spacing w:before="60" w:after="60"/>
              <w:rPr>
                <w:sz w:val="19"/>
              </w:rPr>
            </w:pPr>
            <w:r>
              <w:rPr>
                <w:sz w:val="19"/>
              </w:rPr>
              <w:t>11 of 1999</w:t>
            </w:r>
          </w:p>
        </w:tc>
        <w:tc>
          <w:tcPr>
            <w:tcW w:w="1134" w:type="dxa"/>
          </w:tcPr>
          <w:p>
            <w:pPr>
              <w:pStyle w:val="nTable"/>
              <w:spacing w:before="60" w:after="60"/>
              <w:rPr>
                <w:sz w:val="19"/>
              </w:rPr>
            </w:pPr>
            <w:r>
              <w:rPr>
                <w:sz w:val="19"/>
              </w:rPr>
              <w:t>13 May 1999</w:t>
            </w:r>
          </w:p>
        </w:tc>
        <w:tc>
          <w:tcPr>
            <w:tcW w:w="2551" w:type="dxa"/>
          </w:tcPr>
          <w:p>
            <w:pPr>
              <w:pStyle w:val="nTable"/>
              <w:spacing w:before="60" w:after="60"/>
              <w:rPr>
                <w:sz w:val="19"/>
              </w:rPr>
            </w:pPr>
            <w:r>
              <w:rPr>
                <w:sz w:val="19"/>
              </w:rPr>
              <w:t>13 May 1999 (see s. 2)</w:t>
            </w:r>
          </w:p>
        </w:tc>
      </w:tr>
      <w:tr>
        <w:trPr>
          <w:cantSplit/>
        </w:trPr>
        <w:tc>
          <w:tcPr>
            <w:tcW w:w="2268" w:type="dxa"/>
          </w:tcPr>
          <w:p>
            <w:pPr>
              <w:pStyle w:val="nTable"/>
              <w:spacing w:before="60" w:after="60"/>
              <w:ind w:right="113"/>
              <w:rPr>
                <w:i/>
                <w:sz w:val="19"/>
              </w:rPr>
            </w:pPr>
            <w:r>
              <w:rPr>
                <w:i/>
                <w:sz w:val="19"/>
              </w:rPr>
              <w:t>Restraining Orders Amendment Act 2000</w:t>
            </w:r>
          </w:p>
        </w:tc>
        <w:tc>
          <w:tcPr>
            <w:tcW w:w="1134" w:type="dxa"/>
          </w:tcPr>
          <w:p>
            <w:pPr>
              <w:pStyle w:val="nTable"/>
              <w:spacing w:before="60" w:after="60"/>
              <w:rPr>
                <w:sz w:val="19"/>
              </w:rPr>
            </w:pPr>
            <w:r>
              <w:rPr>
                <w:sz w:val="19"/>
              </w:rPr>
              <w:t>22 of 2000</w:t>
            </w:r>
          </w:p>
        </w:tc>
        <w:tc>
          <w:tcPr>
            <w:tcW w:w="1134" w:type="dxa"/>
          </w:tcPr>
          <w:p>
            <w:pPr>
              <w:pStyle w:val="nTable"/>
              <w:spacing w:before="60" w:after="60"/>
              <w:rPr>
                <w:sz w:val="19"/>
              </w:rPr>
            </w:pPr>
            <w:r>
              <w:rPr>
                <w:sz w:val="19"/>
              </w:rPr>
              <w:t>30 Jun 2000</w:t>
            </w:r>
          </w:p>
        </w:tc>
        <w:tc>
          <w:tcPr>
            <w:tcW w:w="2551" w:type="dxa"/>
          </w:tcPr>
          <w:p>
            <w:pPr>
              <w:pStyle w:val="nTable"/>
              <w:spacing w:before="60" w:after="60"/>
              <w:rPr>
                <w:sz w:val="19"/>
              </w:rPr>
            </w:pPr>
            <w:r>
              <w:rPr>
                <w:sz w:val="19"/>
              </w:rPr>
              <w:t>30 Jun 2000 (see s. 2)</w:t>
            </w:r>
          </w:p>
        </w:tc>
      </w:tr>
      <w:tr>
        <w:trPr>
          <w:cantSplit/>
        </w:trPr>
        <w:tc>
          <w:tcPr>
            <w:tcW w:w="7087" w:type="dxa"/>
            <w:gridSpan w:val="4"/>
          </w:tcPr>
          <w:p>
            <w:pPr>
              <w:pStyle w:val="nTable"/>
              <w:spacing w:before="60" w:after="6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before="60" w:after="60"/>
              <w:ind w:right="113"/>
              <w:rPr>
                <w:i/>
                <w:sz w:val="19"/>
              </w:rPr>
            </w:pPr>
            <w:r>
              <w:rPr>
                <w:i/>
                <w:sz w:val="19"/>
              </w:rPr>
              <w:t>Sentencing Legislation Amendment and Repeal Act 2003</w:t>
            </w:r>
            <w:r>
              <w:rPr>
                <w:sz w:val="19"/>
              </w:rPr>
              <w:t xml:space="preserve"> s. 90</w:t>
            </w:r>
          </w:p>
        </w:tc>
        <w:tc>
          <w:tcPr>
            <w:tcW w:w="1134" w:type="dxa"/>
          </w:tcPr>
          <w:p>
            <w:pPr>
              <w:pStyle w:val="nTable"/>
              <w:spacing w:before="60" w:after="60"/>
              <w:rPr>
                <w:sz w:val="19"/>
              </w:rPr>
            </w:pPr>
            <w:r>
              <w:rPr>
                <w:sz w:val="19"/>
              </w:rPr>
              <w:t>50 of 2003</w:t>
            </w:r>
          </w:p>
        </w:tc>
        <w:tc>
          <w:tcPr>
            <w:tcW w:w="1134" w:type="dxa"/>
          </w:tcPr>
          <w:p>
            <w:pPr>
              <w:pStyle w:val="nTable"/>
              <w:spacing w:before="60" w:after="60"/>
              <w:rPr>
                <w:sz w:val="19"/>
              </w:rPr>
            </w:pPr>
            <w:r>
              <w:rPr>
                <w:sz w:val="19"/>
              </w:rPr>
              <w:t>9 Jul 2003</w:t>
            </w:r>
          </w:p>
        </w:tc>
        <w:tc>
          <w:tcPr>
            <w:tcW w:w="2551" w:type="dxa"/>
          </w:tcPr>
          <w:p>
            <w:pPr>
              <w:pStyle w:val="nTable"/>
              <w:spacing w:before="60" w:after="60"/>
              <w:rPr>
                <w:sz w:val="19"/>
              </w:rPr>
            </w:pPr>
            <w:r>
              <w:rPr>
                <w:sz w:val="19"/>
              </w:rPr>
              <w:t>15 May 2004 (see s. 2 and</w:t>
            </w:r>
            <w:r>
              <w:rPr>
                <w:i/>
                <w:sz w:val="19"/>
              </w:rPr>
              <w:t xml:space="preserve"> Gazette </w:t>
            </w:r>
            <w:r>
              <w:rPr>
                <w:sz w:val="19"/>
              </w:rPr>
              <w:t>14 May 2004 p. 1445)</w:t>
            </w:r>
          </w:p>
        </w:tc>
      </w:tr>
      <w:tr>
        <w:trPr>
          <w:cantSplit/>
        </w:trPr>
        <w:tc>
          <w:tcPr>
            <w:tcW w:w="2268" w:type="dxa"/>
          </w:tcPr>
          <w:p>
            <w:pPr>
              <w:pStyle w:val="nTable"/>
              <w:spacing w:before="60" w:after="60"/>
              <w:rPr>
                <w:snapToGrid w:val="0"/>
                <w:sz w:val="19"/>
              </w:rPr>
            </w:pPr>
            <w:r>
              <w:rPr>
                <w:i/>
                <w:snapToGrid w:val="0"/>
                <w:sz w:val="19"/>
              </w:rPr>
              <w:t>Children and Community Services Act 2004</w:t>
            </w:r>
            <w:r>
              <w:rPr>
                <w:snapToGrid w:val="0"/>
                <w:sz w:val="19"/>
              </w:rPr>
              <w:t xml:space="preserve"> Sch. 2 cl. 23</w:t>
            </w:r>
          </w:p>
        </w:tc>
        <w:tc>
          <w:tcPr>
            <w:tcW w:w="1134" w:type="dxa"/>
          </w:tcPr>
          <w:p>
            <w:pPr>
              <w:pStyle w:val="nTable"/>
              <w:spacing w:before="60" w:after="60"/>
              <w:rPr>
                <w:snapToGrid w:val="0"/>
                <w:sz w:val="19"/>
              </w:rPr>
            </w:pPr>
            <w:r>
              <w:rPr>
                <w:snapToGrid w:val="0"/>
                <w:sz w:val="19"/>
              </w:rPr>
              <w:t>34 of 2004</w:t>
            </w:r>
          </w:p>
        </w:tc>
        <w:tc>
          <w:tcPr>
            <w:tcW w:w="1134" w:type="dxa"/>
          </w:tcPr>
          <w:p>
            <w:pPr>
              <w:pStyle w:val="nTable"/>
              <w:spacing w:before="60" w:after="60"/>
              <w:rPr>
                <w:snapToGrid w:val="0"/>
                <w:sz w:val="19"/>
              </w:rPr>
            </w:pPr>
            <w:r>
              <w:rPr>
                <w:sz w:val="19"/>
              </w:rPr>
              <w:t>20 Oct 2004</w:t>
            </w:r>
          </w:p>
        </w:tc>
        <w:tc>
          <w:tcPr>
            <w:tcW w:w="2551" w:type="dxa"/>
          </w:tcPr>
          <w:p>
            <w:pPr>
              <w:pStyle w:val="nTable"/>
              <w:spacing w:before="60" w:after="6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60" w:after="6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before="60" w:after="60"/>
              <w:rPr>
                <w:sz w:val="19"/>
              </w:rPr>
            </w:pPr>
            <w:r>
              <w:rPr>
                <w:sz w:val="19"/>
              </w:rPr>
              <w:t>38 of 2004</w:t>
            </w:r>
          </w:p>
        </w:tc>
        <w:tc>
          <w:tcPr>
            <w:tcW w:w="1134" w:type="dxa"/>
          </w:tcPr>
          <w:p>
            <w:pPr>
              <w:pStyle w:val="nTable"/>
              <w:spacing w:before="60" w:after="60"/>
              <w:rPr>
                <w:sz w:val="19"/>
              </w:rPr>
            </w:pPr>
            <w:r>
              <w:rPr>
                <w:sz w:val="19"/>
              </w:rPr>
              <w:t>9 Nov 2004</w:t>
            </w:r>
          </w:p>
        </w:tc>
        <w:tc>
          <w:tcPr>
            <w:tcW w:w="2551" w:type="dxa"/>
          </w:tcPr>
          <w:p>
            <w:pPr>
              <w:pStyle w:val="nTable"/>
              <w:spacing w:before="60" w:after="6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before="60" w:after="60"/>
              <w:ind w:right="113"/>
              <w:rPr>
                <w:i/>
                <w:sz w:val="19"/>
              </w:rPr>
            </w:pPr>
            <w:r>
              <w:rPr>
                <w:i/>
                <w:snapToGrid w:val="0"/>
                <w:sz w:val="19"/>
              </w:rPr>
              <w:t xml:space="preserve">Acts Amendment (Court of Appeal) Act 2004 </w:t>
            </w:r>
            <w:r>
              <w:rPr>
                <w:snapToGrid w:val="0"/>
                <w:sz w:val="19"/>
              </w:rPr>
              <w:t>s. 37</w:t>
            </w:r>
          </w:p>
        </w:tc>
        <w:tc>
          <w:tcPr>
            <w:tcW w:w="1134" w:type="dxa"/>
          </w:tcPr>
          <w:p>
            <w:pPr>
              <w:pStyle w:val="nTable"/>
              <w:spacing w:before="60" w:after="60"/>
              <w:rPr>
                <w:sz w:val="19"/>
              </w:rPr>
            </w:pPr>
            <w:r>
              <w:rPr>
                <w:snapToGrid w:val="0"/>
                <w:sz w:val="19"/>
              </w:rPr>
              <w:t>45 of 2004</w:t>
            </w:r>
          </w:p>
        </w:tc>
        <w:tc>
          <w:tcPr>
            <w:tcW w:w="1134" w:type="dxa"/>
          </w:tcPr>
          <w:p>
            <w:pPr>
              <w:pStyle w:val="nTable"/>
              <w:spacing w:before="60" w:after="60"/>
              <w:rPr>
                <w:sz w:val="19"/>
              </w:rPr>
            </w:pPr>
            <w:r>
              <w:rPr>
                <w:sz w:val="19"/>
              </w:rPr>
              <w:t>9 Nov 2004</w:t>
            </w:r>
          </w:p>
        </w:tc>
        <w:tc>
          <w:tcPr>
            <w:tcW w:w="2551" w:type="dxa"/>
          </w:tcPr>
          <w:p>
            <w:pPr>
              <w:pStyle w:val="nTable"/>
              <w:spacing w:before="60" w:after="6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60" w:after="60"/>
              <w:ind w:right="113"/>
              <w:rPr>
                <w:i/>
                <w:snapToGrid w:val="0"/>
                <w:sz w:val="19"/>
                <w:vertAlign w:val="superscript"/>
              </w:rPr>
            </w:pPr>
            <w:r>
              <w:rPr>
                <w:i/>
                <w:snapToGrid w:val="0"/>
                <w:sz w:val="19"/>
              </w:rPr>
              <w:t xml:space="preserve">Courts Legislation Amendment and Repeal Act 2004 </w:t>
            </w:r>
            <w:r>
              <w:rPr>
                <w:snapToGrid w:val="0"/>
                <w:sz w:val="19"/>
              </w:rPr>
              <w:t>Pt. 17 </w:t>
            </w:r>
            <w:r>
              <w:rPr>
                <w:snapToGrid w:val="0"/>
                <w:sz w:val="19"/>
                <w:vertAlign w:val="superscript"/>
              </w:rPr>
              <w:t>3</w:t>
            </w:r>
          </w:p>
        </w:tc>
        <w:tc>
          <w:tcPr>
            <w:tcW w:w="1134" w:type="dxa"/>
          </w:tcPr>
          <w:p>
            <w:pPr>
              <w:pStyle w:val="nTable"/>
              <w:spacing w:before="60" w:after="60"/>
              <w:rPr>
                <w:snapToGrid w:val="0"/>
                <w:sz w:val="19"/>
              </w:rPr>
            </w:pPr>
            <w:r>
              <w:rPr>
                <w:snapToGrid w:val="0"/>
                <w:sz w:val="19"/>
              </w:rPr>
              <w:t>59 of 2004 (as amended by No. 2 of 2008 s. 77(3) and (4))</w:t>
            </w:r>
          </w:p>
        </w:tc>
        <w:tc>
          <w:tcPr>
            <w:tcW w:w="1134" w:type="dxa"/>
          </w:tcPr>
          <w:p>
            <w:pPr>
              <w:pStyle w:val="nTable"/>
              <w:spacing w:before="60" w:after="60"/>
              <w:rPr>
                <w:sz w:val="19"/>
              </w:rPr>
            </w:pPr>
            <w:r>
              <w:rPr>
                <w:snapToGrid w:val="0"/>
                <w:sz w:val="19"/>
              </w:rPr>
              <w:t>23 Nov 2004</w:t>
            </w:r>
          </w:p>
        </w:tc>
        <w:tc>
          <w:tcPr>
            <w:tcW w:w="2551" w:type="dxa"/>
          </w:tcPr>
          <w:p>
            <w:pPr>
              <w:pStyle w:val="nTable"/>
              <w:spacing w:before="60" w:after="60"/>
              <w:rPr>
                <w:snapToGrid w:val="0"/>
                <w:sz w:val="19"/>
              </w:rPr>
            </w:pPr>
            <w:r>
              <w:rPr>
                <w:color w:val="000000"/>
                <w:sz w:val="19"/>
              </w:rPr>
              <w:t>Pt. 17 (other than the amendments in s. 123 to s. 67(2) and in s. 124 to s. 4(a) </w:t>
            </w:r>
            <w:r>
              <w:rPr>
                <w:color w:val="000000"/>
                <w:sz w:val="19"/>
                <w:vertAlign w:val="superscript"/>
              </w:rPr>
              <w:t>2</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before="60" w:after="6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Pr>
          <w:p>
            <w:pPr>
              <w:pStyle w:val="nTable"/>
              <w:spacing w:before="60" w:after="60"/>
              <w:ind w:right="113"/>
              <w:rPr>
                <w:snapToGrid w:val="0"/>
                <w:sz w:val="19"/>
              </w:rPr>
            </w:pPr>
            <w:r>
              <w:rPr>
                <w:i/>
                <w:snapToGrid w:val="0"/>
                <w:sz w:val="19"/>
              </w:rPr>
              <w:t>Family Legislation Amendment Act 2006</w:t>
            </w:r>
            <w:r>
              <w:rPr>
                <w:snapToGrid w:val="0"/>
                <w:sz w:val="19"/>
              </w:rPr>
              <w:t xml:space="preserve"> Pt. 6 Div. 3</w:t>
            </w:r>
          </w:p>
        </w:tc>
        <w:tc>
          <w:tcPr>
            <w:tcW w:w="1134" w:type="dxa"/>
          </w:tcPr>
          <w:p>
            <w:pPr>
              <w:pStyle w:val="nTable"/>
              <w:spacing w:before="60" w:after="60"/>
              <w:rPr>
                <w:snapToGrid w:val="0"/>
                <w:sz w:val="19"/>
              </w:rPr>
            </w:pPr>
            <w:r>
              <w:rPr>
                <w:snapToGrid w:val="0"/>
                <w:sz w:val="19"/>
              </w:rPr>
              <w:t>35 of 2006</w:t>
            </w:r>
          </w:p>
        </w:tc>
        <w:tc>
          <w:tcPr>
            <w:tcW w:w="1134" w:type="dxa"/>
          </w:tcPr>
          <w:p>
            <w:pPr>
              <w:pStyle w:val="nTable"/>
              <w:spacing w:before="60" w:after="60"/>
              <w:rPr>
                <w:sz w:val="19"/>
              </w:rPr>
            </w:pPr>
            <w:r>
              <w:rPr>
                <w:snapToGrid w:val="0"/>
                <w:sz w:val="19"/>
              </w:rPr>
              <w:t>4 Jul 2006</w:t>
            </w:r>
          </w:p>
        </w:tc>
        <w:tc>
          <w:tcPr>
            <w:tcW w:w="2551" w:type="dxa"/>
          </w:tcPr>
          <w:p>
            <w:pPr>
              <w:pStyle w:val="nTable"/>
              <w:spacing w:before="60" w:after="60"/>
              <w:rPr>
                <w:snapToGrid w:val="0"/>
                <w:sz w:val="19"/>
              </w:rPr>
            </w:pPr>
            <w:r>
              <w:rPr>
                <w:color w:val="000000"/>
                <w:sz w:val="19"/>
              </w:rPr>
              <w:t xml:space="preserve">15 Jul 2006 (see s. 2 and </w:t>
            </w:r>
            <w:r>
              <w:rPr>
                <w:i/>
                <w:color w:val="000000"/>
                <w:sz w:val="19"/>
              </w:rPr>
              <w:t>Gazette</w:t>
            </w:r>
            <w:r>
              <w:rPr>
                <w:color w:val="000000"/>
                <w:sz w:val="19"/>
              </w:rPr>
              <w:t xml:space="preserve"> 14 Jul 2006 p. 2559)</w:t>
            </w:r>
          </w:p>
        </w:tc>
      </w:tr>
      <w:tr>
        <w:trPr>
          <w:cantSplit/>
        </w:trPr>
        <w:tc>
          <w:tcPr>
            <w:tcW w:w="2268" w:type="dxa"/>
          </w:tcPr>
          <w:p>
            <w:pPr>
              <w:pStyle w:val="nTable"/>
              <w:spacing w:before="60" w:after="60"/>
              <w:ind w:right="113"/>
              <w:rPr>
                <w:i/>
                <w:snapToGrid w:val="0"/>
                <w:sz w:val="19"/>
              </w:rPr>
            </w:pPr>
            <w:r>
              <w:rPr>
                <w:i/>
                <w:snapToGrid w:val="0"/>
                <w:sz w:val="19"/>
              </w:rPr>
              <w:t>Prisons and Sentencing Legislation Amendment Act 2006</w:t>
            </w:r>
            <w:r>
              <w:rPr>
                <w:snapToGrid w:val="0"/>
                <w:sz w:val="19"/>
              </w:rPr>
              <w:t> Pt. 10</w:t>
            </w:r>
          </w:p>
        </w:tc>
        <w:tc>
          <w:tcPr>
            <w:tcW w:w="1134" w:type="dxa"/>
          </w:tcPr>
          <w:p>
            <w:pPr>
              <w:pStyle w:val="nTable"/>
              <w:spacing w:before="60" w:after="60"/>
              <w:rPr>
                <w:snapToGrid w:val="0"/>
                <w:sz w:val="19"/>
              </w:rPr>
            </w:pPr>
            <w:r>
              <w:rPr>
                <w:snapToGrid w:val="0"/>
                <w:sz w:val="19"/>
              </w:rPr>
              <w:t>65 of 2006</w:t>
            </w:r>
          </w:p>
        </w:tc>
        <w:tc>
          <w:tcPr>
            <w:tcW w:w="1134" w:type="dxa"/>
          </w:tcPr>
          <w:p>
            <w:pPr>
              <w:pStyle w:val="nTable"/>
              <w:spacing w:before="60" w:after="60"/>
              <w:rPr>
                <w:snapToGrid w:val="0"/>
                <w:sz w:val="19"/>
              </w:rPr>
            </w:pPr>
            <w:r>
              <w:rPr>
                <w:snapToGrid w:val="0"/>
                <w:sz w:val="19"/>
              </w:rPr>
              <w:t>8 Dec 2006</w:t>
            </w:r>
          </w:p>
        </w:tc>
        <w:tc>
          <w:tcPr>
            <w:tcW w:w="2551" w:type="dxa"/>
          </w:tcPr>
          <w:p>
            <w:pPr>
              <w:pStyle w:val="nTable"/>
              <w:spacing w:before="60" w:after="60"/>
              <w:rPr>
                <w:color w:val="00000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rPr>
          <w:cantSplit/>
        </w:trPr>
        <w:tc>
          <w:tcPr>
            <w:tcW w:w="2268" w:type="dxa"/>
          </w:tcPr>
          <w:p>
            <w:pPr>
              <w:pStyle w:val="nTable"/>
              <w:spacing w:before="60" w:after="60"/>
              <w:ind w:right="113"/>
              <w:rPr>
                <w:i/>
                <w:snapToGrid w:val="0"/>
                <w:sz w:val="19"/>
              </w:rPr>
            </w:pPr>
            <w:r>
              <w:rPr>
                <w:i/>
                <w:snapToGrid w:val="0"/>
                <w:sz w:val="19"/>
              </w:rPr>
              <w:t>Acts Amendment (Justice) Act 2008</w:t>
            </w:r>
            <w:r>
              <w:rPr>
                <w:iCs/>
                <w:snapToGrid w:val="0"/>
                <w:sz w:val="19"/>
              </w:rPr>
              <w:t xml:space="preserve"> Pt. 19 </w:t>
            </w:r>
          </w:p>
        </w:tc>
        <w:tc>
          <w:tcPr>
            <w:tcW w:w="1134" w:type="dxa"/>
          </w:tcPr>
          <w:p>
            <w:pPr>
              <w:pStyle w:val="nTable"/>
              <w:spacing w:before="60" w:after="60"/>
              <w:rPr>
                <w:sz w:val="19"/>
              </w:rPr>
            </w:pPr>
            <w:r>
              <w:rPr>
                <w:sz w:val="19"/>
              </w:rPr>
              <w:t>5 of 2008</w:t>
            </w:r>
          </w:p>
        </w:tc>
        <w:tc>
          <w:tcPr>
            <w:tcW w:w="1134" w:type="dxa"/>
          </w:tcPr>
          <w:p>
            <w:pPr>
              <w:pStyle w:val="nTable"/>
              <w:spacing w:before="60" w:after="60"/>
              <w:rPr>
                <w:sz w:val="19"/>
              </w:rPr>
            </w:pPr>
            <w:r>
              <w:rPr>
                <w:sz w:val="19"/>
              </w:rPr>
              <w:t>31 Mar 2008</w:t>
            </w:r>
          </w:p>
        </w:tc>
        <w:tc>
          <w:tcPr>
            <w:tcW w:w="2551" w:type="dxa"/>
          </w:tcPr>
          <w:p>
            <w:pPr>
              <w:pStyle w:val="nTable"/>
              <w:spacing w:before="60" w:after="60"/>
              <w:rPr>
                <w:snapToGrid w:val="0"/>
                <w:sz w:val="19"/>
              </w:rPr>
            </w:pPr>
            <w:r>
              <w:rPr>
                <w:snapToGrid w:val="0"/>
                <w:sz w:val="19"/>
              </w:rPr>
              <w:t xml:space="preserve">31 Oct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before="60" w:after="60"/>
              <w:ind w:right="113"/>
              <w:rPr>
                <w:i/>
                <w:snapToGrid w:val="0"/>
                <w:sz w:val="19"/>
              </w:rPr>
            </w:pPr>
            <w:r>
              <w:rPr>
                <w:i/>
                <w:iCs/>
                <w:snapToGrid w:val="0"/>
                <w:sz w:val="19"/>
              </w:rPr>
              <w:t>Legal Profession Act 2008</w:t>
            </w:r>
            <w:r>
              <w:rPr>
                <w:snapToGrid w:val="0"/>
                <w:sz w:val="19"/>
              </w:rPr>
              <w:t xml:space="preserve"> s. 699</w:t>
            </w:r>
          </w:p>
        </w:tc>
        <w:tc>
          <w:tcPr>
            <w:tcW w:w="1134" w:type="dxa"/>
          </w:tcPr>
          <w:p>
            <w:pPr>
              <w:pStyle w:val="nTable"/>
              <w:spacing w:before="60" w:after="60"/>
              <w:rPr>
                <w:sz w:val="19"/>
              </w:rPr>
            </w:pPr>
            <w:r>
              <w:rPr>
                <w:sz w:val="19"/>
              </w:rPr>
              <w:t>21 of 2008</w:t>
            </w:r>
          </w:p>
        </w:tc>
        <w:tc>
          <w:tcPr>
            <w:tcW w:w="1134" w:type="dxa"/>
          </w:tcPr>
          <w:p>
            <w:pPr>
              <w:pStyle w:val="nTable"/>
              <w:spacing w:before="60" w:after="60"/>
              <w:rPr>
                <w:sz w:val="19"/>
              </w:rPr>
            </w:pPr>
            <w:r>
              <w:rPr>
                <w:sz w:val="19"/>
              </w:rPr>
              <w:t>27 May 2008</w:t>
            </w:r>
          </w:p>
        </w:tc>
        <w:tc>
          <w:tcPr>
            <w:tcW w:w="2551" w:type="dxa"/>
          </w:tcPr>
          <w:p>
            <w:pPr>
              <w:pStyle w:val="nTable"/>
              <w:spacing w:before="60" w:after="6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before="60" w:after="60"/>
              <w:ind w:right="113"/>
              <w:rPr>
                <w:i/>
                <w:snapToGrid w:val="0"/>
                <w:sz w:val="19"/>
              </w:rPr>
            </w:pPr>
            <w:r>
              <w:rPr>
                <w:i/>
                <w:snapToGrid w:val="0"/>
                <w:sz w:val="19"/>
              </w:rPr>
              <w:t>Criminal Law Amendment (Homicide) Act 2008</w:t>
            </w:r>
            <w:r>
              <w:rPr>
                <w:iCs/>
                <w:snapToGrid w:val="0"/>
                <w:sz w:val="19"/>
              </w:rPr>
              <w:t xml:space="preserve"> s. 37</w:t>
            </w:r>
          </w:p>
        </w:tc>
        <w:tc>
          <w:tcPr>
            <w:tcW w:w="1134" w:type="dxa"/>
          </w:tcPr>
          <w:p>
            <w:pPr>
              <w:pStyle w:val="nTable"/>
              <w:spacing w:before="60" w:after="60"/>
              <w:rPr>
                <w:snapToGrid w:val="0"/>
                <w:sz w:val="19"/>
              </w:rPr>
            </w:pPr>
            <w:r>
              <w:rPr>
                <w:sz w:val="19"/>
              </w:rPr>
              <w:t>29 of 2008</w:t>
            </w:r>
          </w:p>
        </w:tc>
        <w:tc>
          <w:tcPr>
            <w:tcW w:w="1134" w:type="dxa"/>
          </w:tcPr>
          <w:p>
            <w:pPr>
              <w:pStyle w:val="nTable"/>
              <w:spacing w:before="60" w:after="60"/>
              <w:rPr>
                <w:snapToGrid w:val="0"/>
                <w:sz w:val="19"/>
              </w:rPr>
            </w:pPr>
            <w:r>
              <w:rPr>
                <w:sz w:val="19"/>
              </w:rPr>
              <w:t>27 Jun 2008</w:t>
            </w:r>
          </w:p>
        </w:tc>
        <w:tc>
          <w:tcPr>
            <w:tcW w:w="2551" w:type="dxa"/>
          </w:tcPr>
          <w:p>
            <w:pPr>
              <w:pStyle w:val="nTable"/>
              <w:spacing w:before="60" w:after="60"/>
              <w:rPr>
                <w:snapToGrid w:val="0"/>
                <w:spacing w:val="-2"/>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7" w:type="dxa"/>
            <w:gridSpan w:val="4"/>
          </w:tcPr>
          <w:p>
            <w:pPr>
              <w:pStyle w:val="nTable"/>
              <w:spacing w:before="60" w:after="60"/>
              <w:rPr>
                <w:snapToGrid w:val="0"/>
                <w:sz w:val="19"/>
              </w:rPr>
            </w:pPr>
            <w:r>
              <w:rPr>
                <w:b/>
                <w:sz w:val="19"/>
              </w:rPr>
              <w:t xml:space="preserve">Reprint 3:  The </w:t>
            </w:r>
            <w:r>
              <w:rPr>
                <w:b/>
                <w:i/>
                <w:sz w:val="19"/>
              </w:rPr>
              <w:t>Restraining Orders Act 1997</w:t>
            </w:r>
            <w:r>
              <w:rPr>
                <w:b/>
                <w:sz w:val="19"/>
              </w:rPr>
              <w:t xml:space="preserve"> as at 9 Jan 2009</w:t>
            </w:r>
            <w:r>
              <w:rPr>
                <w:sz w:val="19"/>
              </w:rPr>
              <w:t xml:space="preserve"> (includes amendments listed above except those in the </w:t>
            </w:r>
            <w:r>
              <w:rPr>
                <w:i/>
                <w:iCs/>
                <w:snapToGrid w:val="0"/>
                <w:sz w:val="19"/>
              </w:rPr>
              <w:t>Legal Profession Act 2008</w:t>
            </w:r>
            <w:r>
              <w:rPr>
                <w:sz w:val="19"/>
              </w:rPr>
              <w:t>)</w:t>
            </w:r>
          </w:p>
        </w:tc>
      </w:tr>
      <w:tr>
        <w:trPr>
          <w:cantSplit/>
        </w:trPr>
        <w:tc>
          <w:tcPr>
            <w:tcW w:w="2268" w:type="dxa"/>
          </w:tcPr>
          <w:p>
            <w:pPr>
              <w:pStyle w:val="nTable"/>
              <w:spacing w:before="60" w:after="60"/>
              <w:ind w:right="113"/>
              <w:rPr>
                <w:sz w:val="19"/>
              </w:rPr>
            </w:pPr>
            <w:r>
              <w:rPr>
                <w:i/>
                <w:snapToGrid w:val="0"/>
                <w:sz w:val="19"/>
              </w:rPr>
              <w:t>Restraining Orders Amendment Act 2011</w:t>
            </w:r>
            <w:r>
              <w:rPr>
                <w:sz w:val="19"/>
              </w:rPr>
              <w:t xml:space="preserve"> Pt. 2</w:t>
            </w:r>
          </w:p>
        </w:tc>
        <w:tc>
          <w:tcPr>
            <w:tcW w:w="1134" w:type="dxa"/>
          </w:tcPr>
          <w:p>
            <w:pPr>
              <w:pStyle w:val="nTable"/>
              <w:spacing w:before="60" w:after="60"/>
              <w:rPr>
                <w:snapToGrid w:val="0"/>
                <w:sz w:val="19"/>
              </w:rPr>
            </w:pPr>
            <w:r>
              <w:rPr>
                <w:sz w:val="19"/>
              </w:rPr>
              <w:t>32 of 2011</w:t>
            </w:r>
          </w:p>
        </w:tc>
        <w:tc>
          <w:tcPr>
            <w:tcW w:w="1134" w:type="dxa"/>
          </w:tcPr>
          <w:p>
            <w:pPr>
              <w:pStyle w:val="nTable"/>
              <w:spacing w:before="60" w:after="60"/>
              <w:rPr>
                <w:snapToGrid w:val="0"/>
                <w:sz w:val="19"/>
              </w:rPr>
            </w:pPr>
            <w:r>
              <w:rPr>
                <w:sz w:val="19"/>
              </w:rPr>
              <w:t>12 Sep 2011</w:t>
            </w:r>
          </w:p>
        </w:tc>
        <w:tc>
          <w:tcPr>
            <w:tcW w:w="2551" w:type="dxa"/>
          </w:tcPr>
          <w:p>
            <w:pPr>
              <w:pStyle w:val="nTable"/>
              <w:spacing w:before="60" w:after="60"/>
              <w:rPr>
                <w:snapToGrid w:val="0"/>
                <w:spacing w:val="-2"/>
                <w:sz w:val="19"/>
              </w:rPr>
            </w:pPr>
            <w:r>
              <w:rPr>
                <w:snapToGrid w:val="0"/>
                <w:sz w:val="19"/>
              </w:rPr>
              <w:t xml:space="preserve">5 May 2012 (see s. 2(b) and </w:t>
            </w:r>
            <w:r>
              <w:rPr>
                <w:i/>
                <w:snapToGrid w:val="0"/>
                <w:sz w:val="19"/>
              </w:rPr>
              <w:t>Gazette</w:t>
            </w:r>
            <w:r>
              <w:rPr>
                <w:snapToGrid w:val="0"/>
                <w:sz w:val="19"/>
              </w:rPr>
              <w:t xml:space="preserve"> 4 May 2012 p. 1847)</w:t>
            </w:r>
          </w:p>
        </w:tc>
      </w:tr>
      <w:tr>
        <w:trPr>
          <w:cantSplit/>
        </w:trPr>
        <w:tc>
          <w:tcPr>
            <w:tcW w:w="2268" w:type="dxa"/>
          </w:tcPr>
          <w:p>
            <w:pPr>
              <w:pStyle w:val="nTable"/>
              <w:spacing w:before="60" w:after="60"/>
              <w:ind w:right="113"/>
              <w:rPr>
                <w:snapToGrid w:val="0"/>
                <w:sz w:val="19"/>
              </w:rPr>
            </w:pPr>
            <w:r>
              <w:rPr>
                <w:i/>
                <w:snapToGrid w:val="0"/>
                <w:sz w:val="19"/>
              </w:rPr>
              <w:t>Restraining Orders Amendment Act 2013</w:t>
            </w:r>
            <w:r>
              <w:rPr>
                <w:snapToGrid w:val="0"/>
                <w:sz w:val="19"/>
              </w:rPr>
              <w:t xml:space="preserve"> Pt. 2</w:t>
            </w:r>
          </w:p>
        </w:tc>
        <w:tc>
          <w:tcPr>
            <w:tcW w:w="1134" w:type="dxa"/>
          </w:tcPr>
          <w:p>
            <w:pPr>
              <w:pStyle w:val="nTable"/>
              <w:spacing w:before="60" w:after="60"/>
              <w:rPr>
                <w:sz w:val="19"/>
              </w:rPr>
            </w:pPr>
            <w:r>
              <w:rPr>
                <w:sz w:val="19"/>
              </w:rPr>
              <w:t>14 of 2013</w:t>
            </w:r>
          </w:p>
        </w:tc>
        <w:tc>
          <w:tcPr>
            <w:tcW w:w="1134" w:type="dxa"/>
          </w:tcPr>
          <w:p>
            <w:pPr>
              <w:pStyle w:val="nTable"/>
              <w:spacing w:before="60" w:after="60"/>
              <w:rPr>
                <w:sz w:val="19"/>
              </w:rPr>
            </w:pPr>
            <w:r>
              <w:rPr>
                <w:sz w:val="19"/>
              </w:rPr>
              <w:t>4 Oct 2013</w:t>
            </w:r>
          </w:p>
        </w:tc>
        <w:tc>
          <w:tcPr>
            <w:tcW w:w="2551" w:type="dxa"/>
          </w:tcPr>
          <w:p>
            <w:pPr>
              <w:pStyle w:val="nTable"/>
              <w:spacing w:before="60" w:after="60"/>
              <w:rPr>
                <w:snapToGrid w:val="0"/>
                <w:sz w:val="19"/>
              </w:rPr>
            </w:pPr>
            <w:r>
              <w:rPr>
                <w:snapToGrid w:val="0"/>
                <w:sz w:val="19"/>
              </w:rPr>
              <w:t>4 Oct 2013 (see s. 2)</w:t>
            </w:r>
          </w:p>
        </w:tc>
      </w:tr>
      <w:tr>
        <w:trPr>
          <w:cantSplit/>
        </w:trPr>
        <w:tc>
          <w:tcPr>
            <w:tcW w:w="2268" w:type="dxa"/>
            <w:shd w:val="clear" w:color="auto" w:fill="auto"/>
          </w:tcPr>
          <w:p>
            <w:pPr>
              <w:pStyle w:val="nTable"/>
              <w:spacing w:before="60" w:after="60"/>
              <w:ind w:right="113"/>
              <w:rPr>
                <w:i/>
                <w:snapToGrid w:val="0"/>
                <w:sz w:val="19"/>
              </w:rPr>
            </w:pPr>
            <w:r>
              <w:rPr>
                <w:i/>
                <w:sz w:val="19"/>
              </w:rPr>
              <w:t>Courts and Tribunals (Electronic Processes Facilitation) Act 2013</w:t>
            </w:r>
            <w:r>
              <w:rPr>
                <w:sz w:val="19"/>
              </w:rPr>
              <w:t xml:space="preserve"> Pt. 3 Div. 17 (other than s. 108, 110</w:t>
            </w:r>
            <w:r>
              <w:rPr>
                <w:sz w:val="19"/>
              </w:rPr>
              <w:noBreakHyphen/>
              <w:t>112, 114</w:t>
            </w:r>
            <w:r>
              <w:rPr>
                <w:sz w:val="19"/>
              </w:rPr>
              <w:noBreakHyphen/>
              <w:t>117, 119 and 121)</w:t>
            </w:r>
          </w:p>
        </w:tc>
        <w:tc>
          <w:tcPr>
            <w:tcW w:w="1134" w:type="dxa"/>
            <w:shd w:val="clear" w:color="auto" w:fill="auto"/>
          </w:tcPr>
          <w:p>
            <w:pPr>
              <w:pStyle w:val="nTable"/>
              <w:spacing w:before="60" w:after="60"/>
              <w:rPr>
                <w:sz w:val="19"/>
              </w:rPr>
            </w:pPr>
            <w:r>
              <w:rPr>
                <w:sz w:val="19"/>
              </w:rPr>
              <w:t>20 of 2013</w:t>
            </w:r>
          </w:p>
        </w:tc>
        <w:tc>
          <w:tcPr>
            <w:tcW w:w="1134" w:type="dxa"/>
            <w:shd w:val="clear" w:color="auto" w:fill="auto"/>
          </w:tcPr>
          <w:p>
            <w:pPr>
              <w:pStyle w:val="nTable"/>
              <w:spacing w:before="60" w:after="60"/>
              <w:rPr>
                <w:sz w:val="19"/>
              </w:rPr>
            </w:pPr>
            <w:r>
              <w:rPr>
                <w:sz w:val="19"/>
              </w:rPr>
              <w:t>4 Nov 2013</w:t>
            </w:r>
          </w:p>
        </w:tc>
        <w:tc>
          <w:tcPr>
            <w:tcW w:w="2551" w:type="dxa"/>
            <w:shd w:val="clear" w:color="auto" w:fill="auto"/>
          </w:tcPr>
          <w:p>
            <w:pPr>
              <w:pStyle w:val="nTable"/>
              <w:spacing w:before="60" w:after="6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7087" w:type="dxa"/>
            <w:gridSpan w:val="4"/>
            <w:tcBorders>
              <w:bottom w:val="single" w:sz="8" w:space="0" w:color="auto"/>
            </w:tcBorders>
            <w:shd w:val="clear" w:color="auto" w:fill="auto"/>
          </w:tcPr>
          <w:p>
            <w:pPr>
              <w:pStyle w:val="nTable"/>
              <w:spacing w:before="60" w:after="60"/>
              <w:rPr>
                <w:snapToGrid w:val="0"/>
                <w:sz w:val="19"/>
                <w:szCs w:val="19"/>
              </w:rPr>
            </w:pPr>
            <w:r>
              <w:rPr>
                <w:b/>
                <w:sz w:val="19"/>
              </w:rPr>
              <w:t xml:space="preserve">Reprint 4:  The </w:t>
            </w:r>
            <w:r>
              <w:rPr>
                <w:b/>
                <w:i/>
                <w:sz w:val="19"/>
              </w:rPr>
              <w:t>Restraining Orders Act 1997</w:t>
            </w:r>
            <w:r>
              <w:rPr>
                <w:b/>
                <w:sz w:val="19"/>
              </w:rPr>
              <w:t xml:space="preserve"> as at 13 Mar 2015</w:t>
            </w:r>
            <w:r>
              <w:rPr>
                <w:sz w:val="19"/>
              </w:rPr>
              <w:t xml:space="preserve"> (includes amendments listed above)</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176" w:name="_Toc416185230"/>
      <w:r>
        <w:rPr>
          <w:snapToGrid w:val="0"/>
        </w:rPr>
        <w:t>Provisions that have not come into operation</w:t>
      </w:r>
      <w:bookmarkEnd w:id="176"/>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sz w:val="19"/>
              </w:rPr>
            </w:pPr>
            <w:r>
              <w:rPr>
                <w:b/>
                <w:snapToGrid w:val="0"/>
                <w:sz w:val="19"/>
              </w:rPr>
              <w:t>Commencement</w:t>
            </w:r>
          </w:p>
        </w:tc>
      </w:tr>
      <w:tr>
        <w:tc>
          <w:tcPr>
            <w:tcW w:w="2268" w:type="dxa"/>
            <w:tcBorders>
              <w:top w:val="single" w:sz="8" w:space="0" w:color="auto"/>
              <w:bottom w:val="single" w:sz="8" w:space="0" w:color="auto"/>
            </w:tcBorders>
            <w:shd w:val="clear" w:color="auto" w:fill="auto"/>
          </w:tcPr>
          <w:p>
            <w:pPr>
              <w:pStyle w:val="nTable"/>
              <w:spacing w:after="40"/>
              <w:rPr>
                <w:sz w:val="19"/>
              </w:rPr>
            </w:pPr>
            <w:r>
              <w:rPr>
                <w:i/>
                <w:sz w:val="19"/>
              </w:rPr>
              <w:t>Courts and Tribunals (Electronic Processes Facilitation) Act 2013</w:t>
            </w:r>
            <w:r>
              <w:rPr>
                <w:sz w:val="19"/>
              </w:rPr>
              <w:t xml:space="preserve"> s. 108, 110</w:t>
            </w:r>
            <w:r>
              <w:rPr>
                <w:sz w:val="19"/>
              </w:rPr>
              <w:noBreakHyphen/>
              <w:t>112, 114</w:t>
            </w:r>
            <w:r>
              <w:rPr>
                <w:sz w:val="19"/>
              </w:rPr>
              <w:noBreakHyphen/>
              <w:t>117, 119 and 121</w:t>
            </w:r>
            <w:r>
              <w:rPr>
                <w:sz w:val="19"/>
                <w:vertAlign w:val="superscript"/>
              </w:rPr>
              <w:t> 4</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20 of 2013</w:t>
            </w:r>
          </w:p>
        </w:tc>
        <w:tc>
          <w:tcPr>
            <w:tcW w:w="1134" w:type="dxa"/>
            <w:tcBorders>
              <w:top w:val="single" w:sz="8" w:space="0" w:color="auto"/>
              <w:bottom w:val="single" w:sz="8" w:space="0" w:color="auto"/>
            </w:tcBorders>
            <w:shd w:val="clear" w:color="auto" w:fill="auto"/>
          </w:tcPr>
          <w:p>
            <w:pPr>
              <w:pStyle w:val="nTable"/>
              <w:spacing w:after="40"/>
              <w:rPr>
                <w:sz w:val="19"/>
              </w:rPr>
            </w:pPr>
            <w:r>
              <w:rPr>
                <w:sz w:val="19"/>
              </w:rPr>
              <w:t>4 Nov 2013</w:t>
            </w:r>
          </w:p>
        </w:tc>
        <w:tc>
          <w:tcPr>
            <w:tcW w:w="2551" w:type="dxa"/>
            <w:tcBorders>
              <w:top w:val="single" w:sz="8" w:space="0" w:color="auto"/>
              <w:bottom w:val="single" w:sz="8"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spacing w:before="120"/>
        <w:rPr>
          <w:snapToGrid w:val="0"/>
        </w:rPr>
      </w:pPr>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spacing w:before="120"/>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Pr>
        <w:pStyle w:val="nSubsection"/>
        <w:spacing w:before="120"/>
      </w:pPr>
      <w:r>
        <w:rPr>
          <w:snapToGrid w:val="0"/>
          <w:vertAlign w:val="superscript"/>
        </w:rPr>
        <w:t>4</w:t>
      </w:r>
      <w:r>
        <w:rPr>
          <w:snapToGrid w:val="0"/>
        </w:rPr>
        <w:tab/>
        <w:t xml:space="preserve">On </w:t>
      </w:r>
      <w:r>
        <w:t>the</w:t>
      </w:r>
      <w:r>
        <w:rPr>
          <w:snapToGrid w:val="0"/>
        </w:rPr>
        <w:t xml:space="preserve"> date as at which this reprint was prepared, the </w:t>
      </w:r>
      <w:r>
        <w:rPr>
          <w:i/>
          <w:snapToGrid w:val="0"/>
        </w:rPr>
        <w:t>Courts and Tribunals (Electronic Processes Facilitation) Act 2013</w:t>
      </w:r>
      <w:r>
        <w:rPr>
          <w:snapToGrid w:val="0"/>
        </w:rPr>
        <w:t xml:space="preserve"> </w:t>
      </w:r>
      <w:r>
        <w:rPr>
          <w:sz w:val="19"/>
        </w:rPr>
        <w:t>s. 108, 110</w:t>
      </w:r>
      <w:r>
        <w:rPr>
          <w:sz w:val="19"/>
        </w:rPr>
        <w:noBreakHyphen/>
        <w:t>112, 114</w:t>
      </w:r>
      <w:r>
        <w:rPr>
          <w:sz w:val="19"/>
        </w:rPr>
        <w:noBreakHyphen/>
        <w:t xml:space="preserve">117, 119 and 121 </w:t>
      </w:r>
      <w:r>
        <w:rPr>
          <w:snapToGrid w:val="0"/>
        </w:rPr>
        <w:t>had not come into operation.  They read as follows:</w:t>
      </w:r>
    </w:p>
    <w:p>
      <w:pPr>
        <w:pStyle w:val="BlankClose"/>
        <w:suppressLineNumbers/>
      </w:pPr>
    </w:p>
    <w:p>
      <w:pPr>
        <w:pStyle w:val="nzHeading5"/>
      </w:pPr>
      <w:r>
        <w:rPr>
          <w:rStyle w:val="CharSectno"/>
        </w:rPr>
        <w:t>108</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remote communication</w:t>
      </w:r>
      <w:r>
        <w:t xml:space="preserve"> means any way of communicating at a distance, including by telephone, fax, radio, video conference or email;</w:t>
      </w:r>
    </w:p>
    <w:p>
      <w:pPr>
        <w:pStyle w:val="BlankClose"/>
      </w:pPr>
    </w:p>
    <w:p>
      <w:pPr>
        <w:pStyle w:val="nzHeading5"/>
      </w:pPr>
      <w:r>
        <w:rPr>
          <w:rStyle w:val="CharSectno"/>
        </w:rPr>
        <w:t>110</w:t>
      </w:r>
      <w:r>
        <w:t>.</w:t>
      </w:r>
      <w:r>
        <w:tab/>
        <w:t>Section 19 amended</w:t>
      </w:r>
    </w:p>
    <w:p>
      <w:pPr>
        <w:pStyle w:val="nzSubsection"/>
        <w:keepNext/>
      </w:pPr>
      <w:r>
        <w:tab/>
        <w:t>(1)</w:t>
      </w:r>
      <w:r>
        <w:tab/>
        <w:t>Delete section 19(b) and insert:</w:t>
      </w:r>
    </w:p>
    <w:p>
      <w:pPr>
        <w:pStyle w:val="BlankOpen"/>
      </w:pPr>
    </w:p>
    <w:p>
      <w:pPr>
        <w:pStyle w:val="nzIndenta"/>
      </w:pPr>
      <w:r>
        <w:tab/>
        <w:t>(b)</w:t>
      </w:r>
      <w:r>
        <w:tab/>
        <w:t>may be made by remote communication; and</w:t>
      </w:r>
    </w:p>
    <w:p>
      <w:pPr>
        <w:pStyle w:val="BlankClose"/>
      </w:pPr>
    </w:p>
    <w:p>
      <w:pPr>
        <w:pStyle w:val="nzSubsection"/>
      </w:pPr>
      <w:r>
        <w:tab/>
        <w:t>(2)</w:t>
      </w:r>
      <w:r>
        <w:tab/>
        <w:t>After section 19(a) insert:</w:t>
      </w:r>
    </w:p>
    <w:p>
      <w:pPr>
        <w:pStyle w:val="BlankOpen"/>
      </w:pPr>
    </w:p>
    <w:p>
      <w:pPr>
        <w:pStyle w:val="nzSubsection"/>
      </w:pPr>
      <w:r>
        <w:tab/>
      </w:r>
      <w:r>
        <w:tab/>
        <w:t>and</w:t>
      </w:r>
    </w:p>
    <w:p>
      <w:pPr>
        <w:pStyle w:val="BlankClose"/>
      </w:pPr>
    </w:p>
    <w:p>
      <w:pPr>
        <w:pStyle w:val="nzHeading5"/>
      </w:pPr>
      <w:r>
        <w:rPr>
          <w:rStyle w:val="CharSectno"/>
        </w:rPr>
        <w:t>111</w:t>
      </w:r>
      <w:r>
        <w:t>.</w:t>
      </w:r>
      <w:r>
        <w:tab/>
        <w:t>Section 21 amended</w:t>
      </w:r>
    </w:p>
    <w:p>
      <w:pPr>
        <w:pStyle w:val="nzSubsection"/>
      </w:pPr>
      <w:r>
        <w:tab/>
      </w:r>
      <w:r>
        <w:tab/>
        <w:t>Delete section 21(1) and insert:</w:t>
      </w:r>
    </w:p>
    <w:p>
      <w:pPr>
        <w:pStyle w:val="BlankOpen"/>
      </w:pPr>
    </w:p>
    <w:p>
      <w:pPr>
        <w:pStyle w:val="nzSubsection"/>
        <w:tabs>
          <w:tab w:val="clear" w:pos="1162"/>
          <w:tab w:val="clear" w:pos="1446"/>
          <w:tab w:val="right" w:pos="1701"/>
          <w:tab w:val="left" w:pos="1985"/>
        </w:tabs>
        <w:ind w:left="1985"/>
      </w:pPr>
      <w:r>
        <w:tab/>
        <w:t>(1)</w:t>
      </w:r>
      <w:r>
        <w:tab/>
        <w:t>The hearing of a telephone application may be conducted by remote communication in whatever manner the authorised magistrate considers appropriate.</w:t>
      </w:r>
    </w:p>
    <w:p>
      <w:pPr>
        <w:pStyle w:val="BlankClose"/>
        <w:keepNext/>
      </w:pPr>
    </w:p>
    <w:p>
      <w:pPr>
        <w:pStyle w:val="nzHeading5"/>
      </w:pPr>
      <w:r>
        <w:rPr>
          <w:rStyle w:val="CharSectno"/>
        </w:rPr>
        <w:t>112</w:t>
      </w:r>
      <w:r>
        <w:t>.</w:t>
      </w:r>
      <w:r>
        <w:tab/>
        <w:t>Section 28 amended</w:t>
      </w:r>
    </w:p>
    <w:p>
      <w:pPr>
        <w:pStyle w:val="nzSubsection"/>
      </w:pPr>
      <w:r>
        <w:tab/>
      </w:r>
      <w:r>
        <w:tab/>
        <w:t>Delete section 28(2).</w:t>
      </w:r>
    </w:p>
    <w:p>
      <w:pPr>
        <w:pStyle w:val="nzHeading5"/>
      </w:pPr>
      <w:r>
        <w:rPr>
          <w:rStyle w:val="CharSectno"/>
        </w:rPr>
        <w:t>114</w:t>
      </w:r>
      <w:r>
        <w:t>.</w:t>
      </w:r>
      <w:r>
        <w:tab/>
        <w:t>Section 54 amended</w:t>
      </w:r>
    </w:p>
    <w:p>
      <w:pPr>
        <w:pStyle w:val="nzSubsection"/>
      </w:pPr>
      <w:r>
        <w:tab/>
      </w:r>
      <w:r>
        <w:tab/>
        <w:t>After section 54(1)(a) insert:</w:t>
      </w:r>
    </w:p>
    <w:p>
      <w:pPr>
        <w:pStyle w:val="BlankOpen"/>
      </w:pPr>
    </w:p>
    <w:p>
      <w:pPr>
        <w:pStyle w:val="nzIndenta"/>
      </w:pPr>
      <w:r>
        <w:tab/>
        <w:t>(ba)</w:t>
      </w:r>
      <w:r>
        <w:tab/>
        <w:t>electronically, in accordance with the regulations, at least 7 days before the hearing date, if the person to whom it is directed consents to service in that manner; or</w:t>
      </w:r>
    </w:p>
    <w:p>
      <w:pPr>
        <w:pStyle w:val="BlankClose"/>
      </w:pPr>
    </w:p>
    <w:p>
      <w:pPr>
        <w:pStyle w:val="nzHeading5"/>
      </w:pPr>
      <w:r>
        <w:rPr>
          <w:rStyle w:val="CharSectno"/>
        </w:rPr>
        <w:t>115</w:t>
      </w:r>
      <w:r>
        <w:t>.</w:t>
      </w:r>
      <w:r>
        <w:tab/>
        <w:t>Section 55 amended</w:t>
      </w:r>
    </w:p>
    <w:p>
      <w:pPr>
        <w:pStyle w:val="nzSubsection"/>
      </w:pPr>
      <w:r>
        <w:tab/>
        <w:t>(1)</w:t>
      </w:r>
      <w:r>
        <w:tab/>
        <w:t>In section 55(1)(a) after “oral” insert:</w:t>
      </w:r>
    </w:p>
    <w:p>
      <w:pPr>
        <w:pStyle w:val="BlankOpen"/>
      </w:pPr>
    </w:p>
    <w:p>
      <w:pPr>
        <w:pStyle w:val="nzSubsection"/>
      </w:pPr>
      <w:r>
        <w:tab/>
      </w:r>
      <w:r>
        <w:tab/>
        <w:t>or electronic</w:t>
      </w:r>
    </w:p>
    <w:p>
      <w:pPr>
        <w:pStyle w:val="BlankClose"/>
      </w:pPr>
    </w:p>
    <w:p>
      <w:pPr>
        <w:pStyle w:val="nzSubsection"/>
      </w:pPr>
      <w:r>
        <w:tab/>
        <w:t>(2)</w:t>
      </w:r>
      <w:r>
        <w:tab/>
        <w:t>Delete section 55(2) and insert:</w:t>
      </w:r>
    </w:p>
    <w:p>
      <w:pPr>
        <w:pStyle w:val="BlankOpen"/>
      </w:pPr>
    </w:p>
    <w:p>
      <w:pPr>
        <w:pStyle w:val="nzSubsection"/>
        <w:tabs>
          <w:tab w:val="clear" w:pos="1162"/>
          <w:tab w:val="clear" w:pos="1446"/>
          <w:tab w:val="right" w:pos="1701"/>
          <w:tab w:val="left" w:pos="1985"/>
        </w:tabs>
        <w:ind w:left="1985"/>
      </w:pPr>
      <w:r>
        <w:tab/>
        <w:t>(2)</w:t>
      </w:r>
      <w:r>
        <w:tab/>
        <w:t xml:space="preserve">If the registrar is satisfied that reasonable efforts have been made to serve a restraining order personally, the registrar may authorise — </w:t>
      </w:r>
    </w:p>
    <w:p>
      <w:pPr>
        <w:pStyle w:val="nzIndenta"/>
        <w:tabs>
          <w:tab w:val="clear" w:pos="1899"/>
          <w:tab w:val="clear" w:pos="2183"/>
          <w:tab w:val="right" w:pos="2268"/>
          <w:tab w:val="left" w:pos="2552"/>
        </w:tabs>
        <w:ind w:left="2552"/>
      </w:pPr>
      <w:r>
        <w:tab/>
        <w:t>(a)</w:t>
      </w:r>
      <w:r>
        <w:tab/>
        <w:t>oral service of the order; or</w:t>
      </w:r>
    </w:p>
    <w:p>
      <w:pPr>
        <w:pStyle w:val="nzIndenta"/>
        <w:tabs>
          <w:tab w:val="clear" w:pos="1899"/>
          <w:tab w:val="clear" w:pos="2183"/>
          <w:tab w:val="right" w:pos="2268"/>
          <w:tab w:val="left" w:pos="2552"/>
        </w:tabs>
        <w:ind w:left="2552"/>
      </w:pPr>
      <w:r>
        <w:tab/>
        <w:t>(b)</w:t>
      </w:r>
      <w:r>
        <w:tab/>
        <w:t>electronic service of the order in accordance with the regulations.</w:t>
      </w:r>
    </w:p>
    <w:p>
      <w:pPr>
        <w:pStyle w:val="BlankClose"/>
      </w:pPr>
    </w:p>
    <w:p>
      <w:pPr>
        <w:pStyle w:val="nzSubsection"/>
      </w:pPr>
      <w:r>
        <w:tab/>
        <w:t>(3)</w:t>
      </w:r>
      <w:r>
        <w:tab/>
        <w:t>In section 55(3) delete “subsection (4) —” and insert:</w:t>
      </w:r>
    </w:p>
    <w:p>
      <w:pPr>
        <w:pStyle w:val="BlankOpen"/>
      </w:pPr>
    </w:p>
    <w:p>
      <w:pPr>
        <w:pStyle w:val="nzSubsection"/>
      </w:pPr>
      <w:r>
        <w:tab/>
      </w:r>
      <w:r>
        <w:tab/>
        <w:t xml:space="preserve">subsection (4) or electronically in accordance with the regulations — </w:t>
      </w:r>
    </w:p>
    <w:p>
      <w:pPr>
        <w:pStyle w:val="BlankClose"/>
      </w:pPr>
    </w:p>
    <w:p>
      <w:pPr>
        <w:pStyle w:val="nzHeading5"/>
      </w:pPr>
      <w:r>
        <w:rPr>
          <w:rStyle w:val="CharSectno"/>
        </w:rPr>
        <w:t>116</w:t>
      </w:r>
      <w:r>
        <w:t>.</w:t>
      </w:r>
      <w:r>
        <w:tab/>
        <w:t>Section 56 amended</w:t>
      </w:r>
    </w:p>
    <w:p>
      <w:pPr>
        <w:pStyle w:val="nzSubsection"/>
      </w:pPr>
      <w:r>
        <w:tab/>
        <w:t>(1)</w:t>
      </w:r>
      <w:r>
        <w:tab/>
        <w:t>After section 56(1)(a) insert:</w:t>
      </w:r>
    </w:p>
    <w:p>
      <w:pPr>
        <w:pStyle w:val="BlankOpen"/>
      </w:pPr>
    </w:p>
    <w:p>
      <w:pPr>
        <w:pStyle w:val="nzIndenta"/>
      </w:pPr>
      <w:r>
        <w:tab/>
        <w:t>(ba)</w:t>
      </w:r>
      <w:r>
        <w:tab/>
        <w:t>electronically in accordance with the regulations, if the person consents to notification in that manner; or</w:t>
      </w:r>
    </w:p>
    <w:p>
      <w:pPr>
        <w:pStyle w:val="BlankClose"/>
      </w:pPr>
    </w:p>
    <w:p>
      <w:pPr>
        <w:pStyle w:val="nzSubsection"/>
      </w:pPr>
      <w:r>
        <w:tab/>
        <w:t>(2)</w:t>
      </w:r>
      <w:r>
        <w:tab/>
        <w:t>In section 56(2)(a) delete “personally,” and insert:</w:t>
      </w:r>
    </w:p>
    <w:p>
      <w:pPr>
        <w:pStyle w:val="BlankOpen"/>
      </w:pPr>
    </w:p>
    <w:p>
      <w:pPr>
        <w:pStyle w:val="nzSubsection"/>
      </w:pPr>
      <w:r>
        <w:tab/>
      </w:r>
      <w:r>
        <w:tab/>
        <w:t>personally or electronically,</w:t>
      </w:r>
    </w:p>
    <w:p>
      <w:pPr>
        <w:pStyle w:val="BlankClose"/>
      </w:pPr>
    </w:p>
    <w:p>
      <w:pPr>
        <w:pStyle w:val="nzSubsection"/>
      </w:pPr>
      <w:r>
        <w:tab/>
        <w:t>(3)</w:t>
      </w:r>
      <w:r>
        <w:tab/>
        <w:t>After section 56(3)(a) insert:</w:t>
      </w:r>
    </w:p>
    <w:p>
      <w:pPr>
        <w:pStyle w:val="BlankOpen"/>
      </w:pPr>
    </w:p>
    <w:p>
      <w:pPr>
        <w:pStyle w:val="nzIndenta"/>
      </w:pPr>
      <w:r>
        <w:tab/>
        <w:t>(ba)</w:t>
      </w:r>
      <w:r>
        <w:tab/>
        <w:t>given to the person electronically in accordance with the regulations, if the person consents to delivery in that manner; or</w:t>
      </w:r>
    </w:p>
    <w:p>
      <w:pPr>
        <w:pStyle w:val="BlankClose"/>
      </w:pPr>
    </w:p>
    <w:p>
      <w:pPr>
        <w:pStyle w:val="nzHeading5"/>
      </w:pPr>
      <w:r>
        <w:rPr>
          <w:rStyle w:val="CharSectno"/>
        </w:rPr>
        <w:t>117</w:t>
      </w:r>
      <w:r>
        <w:t>.</w:t>
      </w:r>
      <w:r>
        <w:tab/>
        <w:t>Section 58 amended</w:t>
      </w:r>
    </w:p>
    <w:p>
      <w:pPr>
        <w:pStyle w:val="nzSubsection"/>
      </w:pPr>
      <w:r>
        <w:tab/>
        <w:t>(1)</w:t>
      </w:r>
      <w:r>
        <w:tab/>
        <w:t>After section 58(1)(a) insert:</w:t>
      </w:r>
    </w:p>
    <w:p>
      <w:pPr>
        <w:pStyle w:val="BlankOpen"/>
      </w:pPr>
    </w:p>
    <w:p>
      <w:pPr>
        <w:pStyle w:val="nzIndenta"/>
      </w:pPr>
      <w:r>
        <w:tab/>
        <w:t>(ba)</w:t>
      </w:r>
      <w:r>
        <w:tab/>
        <w:t>electronically served on a person the requisite copy or copies of a summons or restraining order in accordance with this Division; or</w:t>
      </w:r>
    </w:p>
    <w:p>
      <w:pPr>
        <w:pStyle w:val="BlankClose"/>
      </w:pPr>
    </w:p>
    <w:p>
      <w:pPr>
        <w:pStyle w:val="nzSubsection"/>
      </w:pPr>
      <w:r>
        <w:tab/>
        <w:t>(2)</w:t>
      </w:r>
      <w:r>
        <w:tab/>
        <w:t>In section 58(2)(a) after “personally” insert:</w:t>
      </w:r>
    </w:p>
    <w:p>
      <w:pPr>
        <w:pStyle w:val="BlankOpen"/>
      </w:pPr>
    </w:p>
    <w:p>
      <w:pPr>
        <w:pStyle w:val="nzSubsection"/>
      </w:pPr>
      <w:r>
        <w:tab/>
      </w:r>
      <w:r>
        <w:tab/>
        <w:t>or electronically</w:t>
      </w:r>
    </w:p>
    <w:p>
      <w:pPr>
        <w:pStyle w:val="BlankClose"/>
      </w:pPr>
    </w:p>
    <w:p>
      <w:pPr>
        <w:pStyle w:val="nzSubsection"/>
        <w:keepNext/>
      </w:pPr>
      <w:r>
        <w:tab/>
        <w:t>(3)</w:t>
      </w:r>
      <w:r>
        <w:tab/>
        <w:t>After section 58(1)(a) insert:</w:t>
      </w:r>
    </w:p>
    <w:p>
      <w:pPr>
        <w:pStyle w:val="BlankOpen"/>
      </w:pPr>
    </w:p>
    <w:p>
      <w:pPr>
        <w:pStyle w:val="nzSubsection"/>
      </w:pPr>
      <w:r>
        <w:tab/>
      </w:r>
      <w:r>
        <w:tab/>
        <w:t>or</w:t>
      </w:r>
    </w:p>
    <w:p>
      <w:pPr>
        <w:pStyle w:val="BlankClose"/>
      </w:pPr>
    </w:p>
    <w:p>
      <w:pPr>
        <w:pStyle w:val="nzHeading5"/>
      </w:pPr>
      <w:r>
        <w:rPr>
          <w:rStyle w:val="CharSectno"/>
        </w:rPr>
        <w:t>119</w:t>
      </w:r>
      <w:r>
        <w:t>.</w:t>
      </w:r>
      <w:r>
        <w:tab/>
        <w:t>Section 62D amended</w:t>
      </w:r>
    </w:p>
    <w:p>
      <w:pPr>
        <w:pStyle w:val="nzSubsection"/>
      </w:pPr>
      <w:r>
        <w:tab/>
      </w:r>
      <w:r>
        <w:tab/>
        <w:t xml:space="preserve">In section 62D(8) delete the definition of </w:t>
      </w:r>
      <w:r>
        <w:rPr>
          <w:b/>
          <w:i/>
        </w:rPr>
        <w:t>remote communication</w:t>
      </w:r>
      <w:r>
        <w:t>.</w:t>
      </w:r>
    </w:p>
    <w:p>
      <w:pPr>
        <w:pStyle w:val="nzHeading5"/>
      </w:pPr>
      <w:r>
        <w:rPr>
          <w:rStyle w:val="CharSectno"/>
        </w:rPr>
        <w:t>121</w:t>
      </w:r>
      <w:r>
        <w:t>.</w:t>
      </w:r>
      <w:r>
        <w:tab/>
        <w:t>Section 71 amended</w:t>
      </w:r>
    </w:p>
    <w:p>
      <w:pPr>
        <w:pStyle w:val="nzSubsection"/>
      </w:pPr>
      <w:r>
        <w:tab/>
      </w:r>
      <w:r>
        <w:tab/>
        <w:t>Delete section 71(5)(a) and insert:</w:t>
      </w:r>
    </w:p>
    <w:p>
      <w:pPr>
        <w:pStyle w:val="BlankOpen"/>
      </w:pPr>
    </w:p>
    <w:p>
      <w:pPr>
        <w:pStyle w:val="nzIndenta"/>
      </w:pPr>
      <w:r>
        <w:tab/>
        <w:t>(a)</w:t>
      </w:r>
      <w:r>
        <w:tab/>
        <w:t xml:space="preserve">has been served on the restrained person by post or electronically; and </w:t>
      </w:r>
    </w:p>
    <w:p>
      <w:pPr>
        <w:pStyle w:val="BlankClose"/>
      </w:pPr>
    </w:p>
    <w:p>
      <w:pPr>
        <w:pStyle w:val="BlankClose"/>
      </w:pP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77" w:name="_Toc413398332"/>
      <w:bookmarkStart w:id="178" w:name="_Toc416185231"/>
      <w:r>
        <w:rPr>
          <w:sz w:val="28"/>
        </w:rPr>
        <w:t>Defined terms</w:t>
      </w:r>
      <w:bookmarkEnd w:id="177"/>
      <w:bookmarkEnd w:id="1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9" w:name="DefinedTerms"/>
      <w:bookmarkEnd w:id="179"/>
      <w:r>
        <w:t>act of abuse</w:t>
      </w:r>
      <w:r>
        <w:tab/>
        <w:t>3</w:t>
      </w:r>
    </w:p>
    <w:p>
      <w:pPr>
        <w:pStyle w:val="DefinedTerms"/>
      </w:pPr>
      <w:r>
        <w:t>act of family and domestic violence</w:t>
      </w:r>
      <w:r>
        <w:tab/>
        <w:t>3, 6(1)</w:t>
      </w:r>
    </w:p>
    <w:p>
      <w:pPr>
        <w:pStyle w:val="DefinedTerms"/>
      </w:pPr>
      <w:r>
        <w:t>act of personal violence</w:t>
      </w:r>
      <w:r>
        <w:tab/>
        <w:t>3, 6(2)</w:t>
      </w:r>
    </w:p>
    <w:p>
      <w:pPr>
        <w:pStyle w:val="DefinedTerms"/>
      </w:pPr>
      <w:r>
        <w:t>aid</w:t>
      </w:r>
      <w:r>
        <w:tab/>
        <w:t>61B(1)</w:t>
      </w:r>
    </w:p>
    <w:p>
      <w:pPr>
        <w:pStyle w:val="DefinedTerms"/>
      </w:pPr>
      <w:r>
        <w:t>application</w:t>
      </w:r>
      <w:r>
        <w:tab/>
        <w:t>3</w:t>
      </w:r>
    </w:p>
    <w:p>
      <w:pPr>
        <w:pStyle w:val="DefinedTerms"/>
      </w:pPr>
      <w:r>
        <w:t>assaulting</w:t>
      </w:r>
      <w:r>
        <w:tab/>
        <w:t>6(4)</w:t>
      </w:r>
    </w:p>
    <w:p>
      <w:pPr>
        <w:pStyle w:val="DefinedTerms"/>
      </w:pPr>
      <w:r>
        <w:t>authorised magistrate</w:t>
      </w:r>
      <w:r>
        <w:tab/>
        <w:t>3</w:t>
      </w:r>
    </w:p>
    <w:p>
      <w:pPr>
        <w:pStyle w:val="DefinedTerms"/>
      </w:pPr>
      <w:r>
        <w:t>authorised person</w:t>
      </w:r>
      <w:r>
        <w:tab/>
        <w:t>3</w:t>
      </w:r>
    </w:p>
    <w:p>
      <w:pPr>
        <w:pStyle w:val="DefinedTerms"/>
      </w:pPr>
      <w:r>
        <w:t>bound person</w:t>
      </w:r>
      <w:r>
        <w:tab/>
        <w:t>61B(1)</w:t>
      </w:r>
    </w:p>
    <w:p>
      <w:pPr>
        <w:pStyle w:val="DefinedTerms"/>
      </w:pPr>
      <w:r>
        <w:t>CEO (child welfare)</w:t>
      </w:r>
      <w:r>
        <w:tab/>
        <w:t>3</w:t>
      </w:r>
    </w:p>
    <w:p>
      <w:pPr>
        <w:pStyle w:val="DefinedTerms"/>
      </w:pPr>
      <w:r>
        <w:t>child</w:t>
      </w:r>
      <w:r>
        <w:tab/>
        <w:t>3</w:t>
      </w:r>
    </w:p>
    <w:p>
      <w:pPr>
        <w:pStyle w:val="DefinedTerms"/>
      </w:pPr>
      <w:r>
        <w:t>child welfare law</w:t>
      </w:r>
      <w:r>
        <w:tab/>
        <w:t>50B(4)</w:t>
      </w:r>
    </w:p>
    <w:p>
      <w:pPr>
        <w:pStyle w:val="DefinedTerms"/>
      </w:pPr>
      <w:r>
        <w:t>child welfare officer</w:t>
      </w:r>
      <w:r>
        <w:tab/>
        <w:t>3</w:t>
      </w:r>
    </w:p>
    <w:p>
      <w:pPr>
        <w:pStyle w:val="DefinedTerms"/>
      </w:pPr>
      <w:r>
        <w:t>co</w:t>
      </w:r>
      <w:r>
        <w:noBreakHyphen/>
        <w:t>licensee</w:t>
      </w:r>
      <w:r>
        <w:tab/>
        <w:t>71(2)(a)(iii)</w:t>
      </w:r>
    </w:p>
    <w:p>
      <w:pPr>
        <w:pStyle w:val="DefinedTerms"/>
      </w:pPr>
      <w:r>
        <w:t>Commissioner of Police</w:t>
      </w:r>
      <w:r>
        <w:tab/>
        <w:t>3</w:t>
      </w:r>
    </w:p>
    <w:p>
      <w:pPr>
        <w:pStyle w:val="DefinedTerms"/>
      </w:pPr>
      <w:r>
        <w:t>conviction</w:t>
      </w:r>
      <w:r>
        <w:tab/>
        <w:t>61A(1)</w:t>
      </w:r>
    </w:p>
    <w:p>
      <w:pPr>
        <w:pStyle w:val="DefinedTerms"/>
      </w:pPr>
      <w:r>
        <w:t>corresponding law</w:t>
      </w:r>
      <w:r>
        <w:tab/>
        <w:t>3</w:t>
      </w:r>
    </w:p>
    <w:p>
      <w:pPr>
        <w:pStyle w:val="DefinedTerms"/>
      </w:pPr>
      <w:r>
        <w:t>court</w:t>
      </w:r>
      <w:r>
        <w:tab/>
        <w:t>3</w:t>
      </w:r>
    </w:p>
    <w:p>
      <w:pPr>
        <w:pStyle w:val="DefinedTerms"/>
      </w:pPr>
      <w:r>
        <w:t>earlier order</w:t>
      </w:r>
      <w:r>
        <w:tab/>
        <w:t>32(5)</w:t>
      </w:r>
    </w:p>
    <w:p>
      <w:pPr>
        <w:pStyle w:val="DefinedTerms"/>
      </w:pPr>
      <w:r>
        <w:t>exposed</w:t>
      </w:r>
      <w:r>
        <w:tab/>
        <w:t>3</w:t>
      </w:r>
    </w:p>
    <w:p>
      <w:pPr>
        <w:pStyle w:val="DefinedTerms"/>
      </w:pPr>
      <w:r>
        <w:t>family and domestic relationship</w:t>
      </w:r>
      <w:r>
        <w:tab/>
        <w:t>3, 4(1)</w:t>
      </w:r>
    </w:p>
    <w:p>
      <w:pPr>
        <w:pStyle w:val="DefinedTerms"/>
      </w:pPr>
      <w:r>
        <w:t>family order</w:t>
      </w:r>
      <w:r>
        <w:tab/>
        <w:t>3, 5(1)</w:t>
      </w:r>
    </w:p>
    <w:p>
      <w:pPr>
        <w:pStyle w:val="DefinedTerms"/>
      </w:pPr>
      <w:r>
        <w:t>final order</w:t>
      </w:r>
      <w:r>
        <w:tab/>
        <w:t>3</w:t>
      </w:r>
    </w:p>
    <w:p>
      <w:pPr>
        <w:pStyle w:val="DefinedTerms"/>
      </w:pPr>
      <w:r>
        <w:t>final order hearing</w:t>
      </w:r>
      <w:r>
        <w:tab/>
        <w:t>3</w:t>
      </w:r>
    </w:p>
    <w:p>
      <w:pPr>
        <w:pStyle w:val="DefinedTerms"/>
      </w:pPr>
      <w:r>
        <w:t>firearm</w:t>
      </w:r>
      <w:r>
        <w:tab/>
        <w:t>3</w:t>
      </w:r>
    </w:p>
    <w:p>
      <w:pPr>
        <w:pStyle w:val="DefinedTerms"/>
      </w:pPr>
      <w:r>
        <w:t>firearms licence</w:t>
      </w:r>
      <w:r>
        <w:tab/>
        <w:t>3</w:t>
      </w:r>
    </w:p>
    <w:p>
      <w:pPr>
        <w:pStyle w:val="DefinedTerms"/>
      </w:pPr>
      <w:r>
        <w:t>firearms order</w:t>
      </w:r>
      <w:r>
        <w:tab/>
        <w:t>71(1)</w:t>
      </w:r>
    </w:p>
    <w:p>
      <w:pPr>
        <w:pStyle w:val="DefinedTerms"/>
      </w:pPr>
      <w:r>
        <w:t>fix a hearing</w:t>
      </w:r>
      <w:r>
        <w:tab/>
        <w:t>3</w:t>
      </w:r>
    </w:p>
    <w:p>
      <w:pPr>
        <w:pStyle w:val="DefinedTerms"/>
      </w:pPr>
      <w:r>
        <w:t>foreign restraining order</w:t>
      </w:r>
      <w:r>
        <w:tab/>
        <w:t>3</w:t>
      </w:r>
    </w:p>
    <w:p>
      <w:pPr>
        <w:pStyle w:val="DefinedTerms"/>
      </w:pPr>
      <w:r>
        <w:t>imagined personal relationship</w:t>
      </w:r>
      <w:r>
        <w:tab/>
        <w:t>3</w:t>
      </w:r>
    </w:p>
    <w:p>
      <w:pPr>
        <w:pStyle w:val="DefinedTerms"/>
      </w:pPr>
      <w:r>
        <w:t>inform the court</w:t>
      </w:r>
      <w:r>
        <w:tab/>
        <w:t>66(1)</w:t>
      </w:r>
    </w:p>
    <w:p>
      <w:pPr>
        <w:pStyle w:val="DefinedTerms"/>
      </w:pPr>
      <w:r>
        <w:t>interested party</w:t>
      </w:r>
      <w:r>
        <w:tab/>
        <w:t>70A(1)</w:t>
      </w:r>
    </w:p>
    <w:p>
      <w:pPr>
        <w:pStyle w:val="DefinedTerms"/>
      </w:pPr>
      <w:r>
        <w:t>interim order</w:t>
      </w:r>
      <w:r>
        <w:tab/>
        <w:t>3</w:t>
      </w:r>
    </w:p>
    <w:p>
      <w:pPr>
        <w:pStyle w:val="DefinedTerms"/>
      </w:pPr>
      <w:r>
        <w:t>interstate order</w:t>
      </w:r>
      <w:r>
        <w:tab/>
        <w:t>74</w:t>
      </w:r>
    </w:p>
    <w:p>
      <w:pPr>
        <w:pStyle w:val="DefinedTerms"/>
      </w:pPr>
      <w:r>
        <w:t>intimidate</w:t>
      </w:r>
      <w:r>
        <w:tab/>
        <w:t>6(4)</w:t>
      </w:r>
    </w:p>
    <w:p>
      <w:pPr>
        <w:pStyle w:val="DefinedTerms"/>
      </w:pPr>
      <w:r>
        <w:t>kidnapping or depriving the person of his or her liberty</w:t>
      </w:r>
      <w:r>
        <w:tab/>
        <w:t>6(4)</w:t>
      </w:r>
    </w:p>
    <w:p>
      <w:pPr>
        <w:pStyle w:val="DefinedTerms"/>
      </w:pPr>
      <w:r>
        <w:t>legal practitioner</w:t>
      </w:r>
      <w:r>
        <w:tab/>
        <w:t>62(2)</w:t>
      </w:r>
    </w:p>
    <w:p>
      <w:pPr>
        <w:pStyle w:val="DefinedTerms"/>
      </w:pPr>
      <w:r>
        <w:t>mention hearing</w:t>
      </w:r>
      <w:r>
        <w:tab/>
        <w:t>3</w:t>
      </w:r>
    </w:p>
    <w:p>
      <w:pPr>
        <w:pStyle w:val="DefinedTerms"/>
      </w:pPr>
      <w:r>
        <w:t>misconduct restraining order</w:t>
      </w:r>
      <w:r>
        <w:tab/>
        <w:t>3</w:t>
      </w:r>
    </w:p>
    <w:p>
      <w:pPr>
        <w:pStyle w:val="DefinedTerms"/>
      </w:pPr>
      <w:r>
        <w:t>order</w:t>
      </w:r>
      <w:r>
        <w:tab/>
        <w:t>61B(1)</w:t>
      </w:r>
    </w:p>
    <w:p>
      <w:pPr>
        <w:pStyle w:val="DefinedTerms"/>
      </w:pPr>
      <w:r>
        <w:t>other personal relationship</w:t>
      </w:r>
      <w:r>
        <w:tab/>
        <w:t>4(2)</w:t>
      </w:r>
    </w:p>
    <w:p>
      <w:pPr>
        <w:pStyle w:val="DefinedTerms"/>
      </w:pPr>
      <w:r>
        <w:t>person protected</w:t>
      </w:r>
      <w:r>
        <w:tab/>
        <w:t>3</w:t>
      </w:r>
    </w:p>
    <w:p>
      <w:pPr>
        <w:pStyle w:val="DefinedTerms"/>
      </w:pPr>
      <w:r>
        <w:t>person seeking to be protected</w:t>
      </w:r>
      <w:r>
        <w:tab/>
        <w:t>3</w:t>
      </w:r>
    </w:p>
    <w:p>
      <w:pPr>
        <w:pStyle w:val="DefinedTerms"/>
      </w:pPr>
      <w:r>
        <w:t>person who is bound</w:t>
      </w:r>
      <w:r>
        <w:tab/>
        <w:t>3</w:t>
      </w:r>
    </w:p>
    <w:p>
      <w:pPr>
        <w:pStyle w:val="DefinedTerms"/>
      </w:pPr>
      <w:r>
        <w:t>police order</w:t>
      </w:r>
      <w:r>
        <w:tab/>
        <w:t>3</w:t>
      </w:r>
    </w:p>
    <w:p>
      <w:pPr>
        <w:pStyle w:val="DefinedTerms"/>
      </w:pPr>
      <w:r>
        <w:t>prepare and serve</w:t>
      </w:r>
      <w:r>
        <w:tab/>
        <w:t>3</w:t>
      </w:r>
    </w:p>
    <w:p>
      <w:pPr>
        <w:pStyle w:val="DefinedTerms"/>
      </w:pPr>
      <w:r>
        <w:t>prescribed information</w:t>
      </w:r>
      <w:r>
        <w:tab/>
        <w:t>70A(1)</w:t>
      </w:r>
    </w:p>
    <w:p>
      <w:pPr>
        <w:pStyle w:val="DefinedTerms"/>
      </w:pPr>
      <w:r>
        <w:t>proceedings under this Act</w:t>
      </w:r>
      <w:r>
        <w:tab/>
        <w:t>3</w:t>
      </w:r>
    </w:p>
    <w:p>
      <w:pPr>
        <w:pStyle w:val="DefinedTerms"/>
      </w:pPr>
      <w:r>
        <w:t>property</w:t>
      </w:r>
      <w:r>
        <w:tab/>
        <w:t>3</w:t>
      </w:r>
    </w:p>
    <w:p>
      <w:pPr>
        <w:pStyle w:val="DefinedTerms"/>
      </w:pPr>
      <w:r>
        <w:t>protected person</w:t>
      </w:r>
      <w:r>
        <w:tab/>
        <w:t>61B(1)</w:t>
      </w:r>
    </w:p>
    <w:p>
      <w:pPr>
        <w:pStyle w:val="DefinedTerms"/>
      </w:pPr>
      <w:r>
        <w:t>pursue</w:t>
      </w:r>
      <w:r>
        <w:tab/>
        <w:t>6(4)</w:t>
      </w:r>
    </w:p>
    <w:p>
      <w:pPr>
        <w:pStyle w:val="DefinedTerms"/>
      </w:pPr>
      <w:r>
        <w:t>registered</w:t>
      </w:r>
      <w:r>
        <w:tab/>
        <w:t>3</w:t>
      </w:r>
    </w:p>
    <w:p>
      <w:pPr>
        <w:pStyle w:val="DefinedTerms"/>
      </w:pPr>
      <w:r>
        <w:t>registered order</w:t>
      </w:r>
      <w:r>
        <w:tab/>
        <w:t>74</w:t>
      </w:r>
    </w:p>
    <w:p>
      <w:pPr>
        <w:pStyle w:val="DefinedTerms"/>
      </w:pPr>
      <w:r>
        <w:t>registrar</w:t>
      </w:r>
      <w:r>
        <w:tab/>
        <w:t>3, 74</w:t>
      </w:r>
    </w:p>
    <w:p>
      <w:pPr>
        <w:pStyle w:val="DefinedTerms"/>
      </w:pPr>
      <w:r>
        <w:t>related</w:t>
      </w:r>
      <w:r>
        <w:tab/>
        <w:t>4(2)</w:t>
      </w:r>
    </w:p>
    <w:p>
      <w:pPr>
        <w:pStyle w:val="DefinedTerms"/>
      </w:pPr>
      <w:r>
        <w:t>relevant offence</w:t>
      </w:r>
      <w:r>
        <w:tab/>
        <w:t>61A(2)(a)</w:t>
      </w:r>
    </w:p>
    <w:p>
      <w:pPr>
        <w:pStyle w:val="DefinedTerms"/>
      </w:pPr>
      <w:r>
        <w:t>remote communication</w:t>
      </w:r>
      <w:r>
        <w:tab/>
        <w:t>62D(8)</w:t>
      </w:r>
    </w:p>
    <w:p>
      <w:pPr>
        <w:pStyle w:val="DefinedTerms"/>
      </w:pPr>
      <w:r>
        <w:t>representation</w:t>
      </w:r>
      <w:r>
        <w:tab/>
        <w:t>44A(3), 53E(4)</w:t>
      </w:r>
    </w:p>
    <w:p>
      <w:pPr>
        <w:pStyle w:val="DefinedTerms"/>
      </w:pPr>
      <w:r>
        <w:t>respondent</w:t>
      </w:r>
      <w:r>
        <w:tab/>
        <w:t>3, 31A, 43A(1)</w:t>
      </w:r>
    </w:p>
    <w:p>
      <w:pPr>
        <w:pStyle w:val="DefinedTerms"/>
      </w:pPr>
      <w:r>
        <w:t>responsible person</w:t>
      </w:r>
      <w:r>
        <w:tab/>
        <w:t>71(1)</w:t>
      </w:r>
    </w:p>
    <w:p>
      <w:pPr>
        <w:pStyle w:val="DefinedTerms"/>
      </w:pPr>
      <w:r>
        <w:t>restrained person</w:t>
      </w:r>
      <w:r>
        <w:tab/>
        <w:t>71(1)</w:t>
      </w:r>
    </w:p>
    <w:p>
      <w:pPr>
        <w:pStyle w:val="DefinedTerms"/>
      </w:pPr>
      <w:r>
        <w:t>restraining order</w:t>
      </w:r>
      <w:r>
        <w:tab/>
        <w:t>3</w:t>
      </w:r>
    </w:p>
    <w:p>
      <w:pPr>
        <w:pStyle w:val="DefinedTerms"/>
      </w:pPr>
      <w:r>
        <w:t>satisfied</w:t>
      </w:r>
      <w:r>
        <w:tab/>
        <w:t>3</w:t>
      </w:r>
    </w:p>
    <w:p>
      <w:pPr>
        <w:pStyle w:val="DefinedTerms"/>
      </w:pPr>
      <w:r>
        <w:t>senior officer</w:t>
      </w:r>
      <w:r>
        <w:tab/>
        <w:t>62D(8)</w:t>
      </w:r>
    </w:p>
    <w:p>
      <w:pPr>
        <w:pStyle w:val="DefinedTerms"/>
      </w:pPr>
      <w:r>
        <w:t>specified</w:t>
      </w:r>
      <w:r>
        <w:tab/>
        <w:t>3</w:t>
      </w:r>
    </w:p>
    <w:p>
      <w:pPr>
        <w:pStyle w:val="DefinedTerms"/>
      </w:pPr>
      <w:r>
        <w:t>telephone application</w:t>
      </w:r>
      <w:r>
        <w:tab/>
        <w:t>3</w:t>
      </w:r>
    </w:p>
    <w:p>
      <w:pPr>
        <w:pStyle w:val="DefinedTerms"/>
      </w:pPr>
      <w:r>
        <w:t>telephone order</w:t>
      </w:r>
      <w:r>
        <w:tab/>
        <w:t>3</w:t>
      </w:r>
    </w:p>
    <w:p>
      <w:pPr>
        <w:pStyle w:val="DefinedTerms"/>
      </w:pPr>
      <w:r>
        <w:t>under this Act</w:t>
      </w:r>
      <w:r>
        <w:tab/>
        <w:t>70(4)</w:t>
      </w:r>
    </w:p>
    <w:p>
      <w:pPr>
        <w:pStyle w:val="DefinedTerms"/>
      </w:pPr>
      <w:r>
        <w:t>video link</w:t>
      </w:r>
      <w:r>
        <w:tab/>
        <w:t>53B(4)</w:t>
      </w:r>
    </w:p>
    <w:p>
      <w:pPr>
        <w:pStyle w:val="DefinedTerms"/>
      </w:pPr>
      <w:r>
        <w:t>violence restraining order</w:t>
      </w:r>
      <w:r>
        <w:tab/>
        <w:t>3</w:t>
      </w:r>
    </w:p>
    <w:p>
      <w:pPr>
        <w:pStyle w:val="DefinedTerms"/>
      </w:pPr>
      <w:r>
        <w:t>violent personal offence</w:t>
      </w:r>
      <w:r>
        <w:tab/>
        <w:t>63A(5), 63B(3)</w:t>
      </w:r>
    </w:p>
    <w:p>
      <w:pPr>
        <w:pStyle w:val="DefinedTerms"/>
      </w:pPr>
      <w:r>
        <w:t>wellbeing</w:t>
      </w:r>
      <w:r>
        <w:tab/>
        <w:t>3</w:t>
      </w:r>
    </w:p>
    <w:p>
      <w:pPr>
        <w:pStyle w:val="DefinedTerms"/>
      </w:pPr>
      <w:r>
        <w:t>written reasons</w:t>
      </w:r>
      <w:r>
        <w:tab/>
        <w:t>61A(8), 67(3A)</w:t>
      </w:r>
    </w:p>
    <w:p/>
    <w:p/>
    <w:p>
      <w:pPr>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vi</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110</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112</w:t>
    </w:r>
    <w:r>
      <w:rPr>
        <w:rStyle w:val="CharPageNo"/>
      </w:rPr>
      <w:fldChar w:fldCharType="end"/>
    </w:r>
    <w:r>
      <w:rPr>
        <w:rStyle w:val="CharPageNo"/>
      </w:rPr>
      <w:tab/>
    </w:r>
    <w:r>
      <w:t xml:space="preserve">Reprint </w:t>
    </w:r>
    <w:fldSimple w:instr=" DOCPROPERTY &quot;ReprintNo&quot; ">
      <w:r>
        <w:t>4</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4</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113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3FE3299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2"/>
  </w:num>
  <w:num w:numId="1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6094026"/>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2.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oter" Target="footer11.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footer" Target="footer10.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30298</Words>
  <Characters>138767</Characters>
  <Application>Microsoft Office Word</Application>
  <DocSecurity>0</DocSecurity>
  <Lines>3854</Lines>
  <Paragraphs>2348</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166717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1997 - 04-00-00</dc:title>
  <dc:subject/>
  <dc:creator/>
  <cp:keywords/>
  <dc:description/>
  <cp:lastModifiedBy>svcMRProcess</cp:lastModifiedBy>
  <cp:revision>4</cp:revision>
  <cp:lastPrinted>2015-04-07T01:14:00Z</cp:lastPrinted>
  <dcterms:created xsi:type="dcterms:W3CDTF">2020-04-24T15:58:00Z</dcterms:created>
  <dcterms:modified xsi:type="dcterms:W3CDTF">2020-04-24T15:58:00Z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AsAtDate">
    <vt:lpwstr>13 Mar 2015</vt:lpwstr>
  </property>
  <property fmtid="{D5CDD505-2E9C-101B-9397-08002B2CF9AE}" pid="6" name="Suffix">
    <vt:lpwstr>04-00-00</vt:lpwstr>
  </property>
  <property fmtid="{D5CDD505-2E9C-101B-9397-08002B2CF9AE}" pid="7" name="ReprintedAsAt">
    <vt:filetime>2015-03-12T16:00:00Z</vt:filetime>
  </property>
  <property fmtid="{D5CDD505-2E9C-101B-9397-08002B2CF9AE}" pid="8" name="ReprintNo">
    <vt:lpwstr>4</vt:lpwstr>
  </property>
  <property fmtid="{D5CDD505-2E9C-101B-9397-08002B2CF9AE}" pid="9" name="CommencementDate">
    <vt:lpwstr>20150313</vt:lpwstr>
  </property>
</Properties>
</file>