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20.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bookmarkStart w:id="0" w:name="_GoBack"/>
      <w:bookmarkEnd w:id="0"/>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11" name="Picture 11"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PrincipalActRegPage1"/>
      </w:pPr>
      <w:r>
        <w:fldChar w:fldCharType="begin"/>
      </w:r>
      <w:r>
        <w:instrText xml:space="preserve"> STYLEREF "PrincipalAct_Reg</w:instrText>
      </w:r>
      <w:r>
        <w:fldChar w:fldCharType="separate"/>
      </w:r>
      <w:r>
        <w:rPr>
          <w:noProof/>
        </w:rPr>
        <w:t>Children and Community Services Act 2004</w:t>
      </w:r>
      <w:r>
        <w:fldChar w:fldCharType="end"/>
      </w:r>
    </w:p>
    <w:p>
      <w:pPr>
        <w:pStyle w:val="NameofActRegPage1"/>
        <w:spacing w:before="1800" w:after="4200"/>
        <w:outlineLvl w:val="0"/>
      </w:pPr>
      <w:r>
        <w:fldChar w:fldCharType="begin"/>
      </w:r>
      <w:r>
        <w:instrText xml:space="preserve"> STYLEREF "Name Of Act/Reg"</w:instrText>
      </w:r>
      <w:r>
        <w:fldChar w:fldCharType="separate"/>
      </w:r>
      <w:r>
        <w:rPr>
          <w:noProof/>
        </w:rPr>
        <w:t>Children and Community Services Regulations 2006</w:t>
      </w:r>
      <w:r>
        <w:fldChar w:fldCharType="end"/>
      </w:r>
    </w:p>
    <w:p>
      <w:pPr>
        <w:jc w:val="center"/>
        <w:sectPr>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2" w:gutter="0"/>
          <w:pgNumType w:fmt="lowerRoman" w:start="1"/>
          <w:cols w:space="720"/>
          <w:noEndnote/>
          <w:titlePg/>
          <w:docGrid w:linePitch="326"/>
        </w:sectPr>
      </w:pPr>
    </w:p>
    <w:p>
      <w:pPr>
        <w:pStyle w:val="WA"/>
        <w:outlineLvl w:val="0"/>
      </w:pPr>
      <w:r>
        <w:lastRenderedPageBreak/>
        <w:t>Western Australia</w:t>
      </w:r>
    </w:p>
    <w:p>
      <w:pPr>
        <w:pStyle w:val="NameofActRegPage1"/>
      </w:pPr>
      <w:r>
        <w:fldChar w:fldCharType="begin"/>
      </w:r>
      <w:r>
        <w:instrText xml:space="preserve"> STYLEREF "Name Of Act/Reg"</w:instrText>
      </w:r>
      <w:r>
        <w:fldChar w:fldCharType="separate"/>
      </w:r>
      <w:r>
        <w:rPr>
          <w:noProof/>
        </w:rPr>
        <w:t>Children and Community Services Regulations 2006</w:t>
      </w:r>
      <w:r>
        <w:fldChar w:fldCharType="end"/>
      </w:r>
    </w:p>
    <w:p>
      <w:pPr>
        <w:pStyle w:val="Arrangement"/>
      </w:pPr>
      <w:r>
        <w:t>Contents</w:t>
      </w:r>
    </w:p>
    <w:p>
      <w:pPr>
        <w:pStyle w:val="TOC2"/>
        <w:tabs>
          <w:tab w:val="right" w:leader="dot" w:pos="7077"/>
        </w:tabs>
        <w:rPr>
          <w:rFonts w:asciiTheme="minorHAnsi" w:eastAsiaTheme="minorEastAsia" w:hAnsiTheme="minorHAnsi" w:cstheme="minorBidi"/>
          <w:b w:val="0"/>
          <w:sz w:val="22"/>
          <w:szCs w:val="22"/>
        </w:rPr>
      </w:pPr>
      <w:r>
        <w:fldChar w:fldCharType="begin"/>
      </w:r>
      <w:r>
        <w:instrText xml:space="preserve"> TOC \t "Heading 2,2,yScheduleHeading,2,yHeading 2,2,zHeading 2,3,zyScheduleHeading,3,zyHeading 2,3,Heading 3,4,yHeading 3,4,zHeading 3,5,zyHeading 3,5,Heading 4,6,yHeading 4,6,zHeading 4,7,zyHeading 4,7,Heading 5,8,yHeading 5,8,zHeading 5,9,zyHeading 5,9" \t "nHeading 2,2,nHeading 3,8" \n "2-7" \w \* MERGEFORMAT </w:instrText>
      </w:r>
      <w:r>
        <w:fldChar w:fldCharType="separate"/>
      </w:r>
      <w:r>
        <w:t>Part 1 — Preliminary</w:t>
      </w:r>
    </w:p>
    <w:p>
      <w:pPr>
        <w:pStyle w:val="TOC8"/>
        <w:rPr>
          <w:rFonts w:asciiTheme="minorHAnsi" w:eastAsiaTheme="minorEastAsia" w:hAnsiTheme="minorHAnsi" w:cstheme="minorBidi"/>
          <w:szCs w:val="22"/>
        </w:rPr>
      </w:pPr>
      <w:r>
        <w:t>1.</w:t>
      </w:r>
      <w:r>
        <w:tab/>
        <w:t>Citation</w:t>
      </w:r>
      <w:r>
        <w:tab/>
      </w:r>
      <w:r>
        <w:fldChar w:fldCharType="begin"/>
      </w:r>
      <w:r>
        <w:instrText xml:space="preserve"> PAGEREF _Toc416355161 \h </w:instrText>
      </w:r>
      <w:r>
        <w:fldChar w:fldCharType="separate"/>
      </w:r>
      <w:r>
        <w:t>1</w:t>
      </w:r>
      <w:r>
        <w:fldChar w:fldCharType="end"/>
      </w:r>
    </w:p>
    <w:p>
      <w:pPr>
        <w:pStyle w:val="TOC8"/>
        <w:rPr>
          <w:rFonts w:asciiTheme="minorHAnsi" w:eastAsiaTheme="minorEastAsia" w:hAnsiTheme="minorHAnsi" w:cstheme="minorBidi"/>
          <w:szCs w:val="22"/>
        </w:rPr>
      </w:pPr>
      <w:r>
        <w:t>2</w:t>
      </w:r>
      <w:r>
        <w:rPr>
          <w:spacing w:val="-2"/>
        </w:rPr>
        <w:t>.</w:t>
      </w:r>
      <w:r>
        <w:rPr>
          <w:spacing w:val="-2"/>
        </w:rPr>
        <w:tab/>
        <w:t>Commencement</w:t>
      </w:r>
      <w:r>
        <w:tab/>
      </w:r>
      <w:r>
        <w:fldChar w:fldCharType="begin"/>
      </w:r>
      <w:r>
        <w:instrText xml:space="preserve"> PAGEREF _Toc416355162 \h </w:instrText>
      </w:r>
      <w:r>
        <w:fldChar w:fldCharType="separate"/>
      </w:r>
      <w:r>
        <w:t>1</w:t>
      </w:r>
      <w:r>
        <w:fldChar w:fldCharType="end"/>
      </w:r>
    </w:p>
    <w:p>
      <w:pPr>
        <w:pStyle w:val="TOC8"/>
        <w:rPr>
          <w:rFonts w:asciiTheme="minorHAnsi" w:eastAsiaTheme="minorEastAsia" w:hAnsiTheme="minorHAnsi" w:cstheme="minorBidi"/>
          <w:szCs w:val="22"/>
        </w:rPr>
      </w:pPr>
      <w:r>
        <w:t>3.</w:t>
      </w:r>
      <w:r>
        <w:tab/>
        <w:t>Terms used</w:t>
      </w:r>
      <w:r>
        <w:tab/>
      </w:r>
      <w:r>
        <w:fldChar w:fldCharType="begin"/>
      </w:r>
      <w:r>
        <w:instrText xml:space="preserve"> PAGEREF _Toc416355163 \h </w:instrText>
      </w:r>
      <w:r>
        <w:fldChar w:fldCharType="separate"/>
      </w:r>
      <w:r>
        <w:t>1</w:t>
      </w:r>
      <w:r>
        <w:fldChar w:fldCharType="end"/>
      </w:r>
    </w:p>
    <w:p>
      <w:pPr>
        <w:pStyle w:val="TOC2"/>
        <w:tabs>
          <w:tab w:val="right" w:leader="dot" w:pos="7077"/>
        </w:tabs>
        <w:rPr>
          <w:rFonts w:asciiTheme="minorHAnsi" w:eastAsiaTheme="minorEastAsia" w:hAnsiTheme="minorHAnsi" w:cstheme="minorBidi"/>
          <w:b w:val="0"/>
          <w:sz w:val="22"/>
          <w:szCs w:val="22"/>
        </w:rPr>
      </w:pPr>
      <w:r>
        <w:t>Part 2 — Children in the CEO’s care</w:t>
      </w:r>
    </w:p>
    <w:p>
      <w:pPr>
        <w:pStyle w:val="TOC8"/>
        <w:rPr>
          <w:rFonts w:asciiTheme="minorHAnsi" w:eastAsiaTheme="minorEastAsia" w:hAnsiTheme="minorHAnsi" w:cstheme="minorBidi"/>
          <w:szCs w:val="22"/>
        </w:rPr>
      </w:pPr>
      <w:r>
        <w:t>4.</w:t>
      </w:r>
      <w:r>
        <w:tab/>
        <w:t>Approval of carers (Act s. 79(2)(a)(i))</w:t>
      </w:r>
      <w:r>
        <w:tab/>
      </w:r>
      <w:r>
        <w:fldChar w:fldCharType="begin"/>
      </w:r>
      <w:r>
        <w:instrText xml:space="preserve"> PAGEREF _Toc416355165 \h </w:instrText>
      </w:r>
      <w:r>
        <w:fldChar w:fldCharType="separate"/>
      </w:r>
      <w:r>
        <w:t>2</w:t>
      </w:r>
      <w:r>
        <w:fldChar w:fldCharType="end"/>
      </w:r>
    </w:p>
    <w:p>
      <w:pPr>
        <w:pStyle w:val="TOC8"/>
        <w:rPr>
          <w:rFonts w:asciiTheme="minorHAnsi" w:eastAsiaTheme="minorEastAsia" w:hAnsiTheme="minorHAnsi" w:cstheme="minorBidi"/>
          <w:szCs w:val="22"/>
        </w:rPr>
      </w:pPr>
      <w:r>
        <w:t>5.</w:t>
      </w:r>
      <w:r>
        <w:tab/>
        <w:t>Records, prescribed information for (Act s. 128)</w:t>
      </w:r>
      <w:r>
        <w:tab/>
      </w:r>
      <w:r>
        <w:fldChar w:fldCharType="begin"/>
      </w:r>
      <w:r>
        <w:instrText xml:space="preserve"> PAGEREF _Toc416355166 \h </w:instrText>
      </w:r>
      <w:r>
        <w:fldChar w:fldCharType="separate"/>
      </w:r>
      <w:r>
        <w:t>3</w:t>
      </w:r>
      <w:r>
        <w:fldChar w:fldCharType="end"/>
      </w:r>
    </w:p>
    <w:p>
      <w:pPr>
        <w:pStyle w:val="TOC2"/>
        <w:tabs>
          <w:tab w:val="right" w:leader="dot" w:pos="7077"/>
        </w:tabs>
        <w:rPr>
          <w:rFonts w:asciiTheme="minorHAnsi" w:eastAsiaTheme="minorEastAsia" w:hAnsiTheme="minorHAnsi" w:cstheme="minorBidi"/>
          <w:b w:val="0"/>
          <w:sz w:val="22"/>
          <w:szCs w:val="22"/>
        </w:rPr>
      </w:pPr>
      <w:r>
        <w:t>Part 3 — Restraint, search and seizure</w:t>
      </w:r>
    </w:p>
    <w:p>
      <w:pPr>
        <w:pStyle w:val="TOC8"/>
        <w:rPr>
          <w:rFonts w:asciiTheme="minorHAnsi" w:eastAsiaTheme="minorEastAsia" w:hAnsiTheme="minorHAnsi" w:cstheme="minorBidi"/>
          <w:szCs w:val="22"/>
        </w:rPr>
      </w:pPr>
      <w:r>
        <w:t>6.</w:t>
      </w:r>
      <w:r>
        <w:tab/>
        <w:t>Prescribed amount (Act s. 112 “disposable article”)</w:t>
      </w:r>
      <w:r>
        <w:tab/>
      </w:r>
      <w:r>
        <w:fldChar w:fldCharType="begin"/>
      </w:r>
      <w:r>
        <w:instrText xml:space="preserve"> PAGEREF _Toc416355168 \h </w:instrText>
      </w:r>
      <w:r>
        <w:fldChar w:fldCharType="separate"/>
      </w:r>
      <w:r>
        <w:t>5</w:t>
      </w:r>
      <w:r>
        <w:fldChar w:fldCharType="end"/>
      </w:r>
    </w:p>
    <w:p>
      <w:pPr>
        <w:pStyle w:val="TOC8"/>
        <w:rPr>
          <w:rFonts w:asciiTheme="minorHAnsi" w:eastAsiaTheme="minorEastAsia" w:hAnsiTheme="minorHAnsi" w:cstheme="minorBidi"/>
          <w:szCs w:val="22"/>
        </w:rPr>
      </w:pPr>
      <w:r>
        <w:t>7.</w:t>
      </w:r>
      <w:r>
        <w:tab/>
        <w:t>Restraint of child under Act s. 114, officer’s duties after</w:t>
      </w:r>
      <w:r>
        <w:tab/>
      </w:r>
      <w:r>
        <w:fldChar w:fldCharType="begin"/>
      </w:r>
      <w:r>
        <w:instrText xml:space="preserve"> PAGEREF _Toc416355169 \h </w:instrText>
      </w:r>
      <w:r>
        <w:fldChar w:fldCharType="separate"/>
      </w:r>
      <w:r>
        <w:t>5</w:t>
      </w:r>
      <w:r>
        <w:fldChar w:fldCharType="end"/>
      </w:r>
    </w:p>
    <w:p>
      <w:pPr>
        <w:pStyle w:val="TOC8"/>
        <w:rPr>
          <w:rFonts w:asciiTheme="minorHAnsi" w:eastAsiaTheme="minorEastAsia" w:hAnsiTheme="minorHAnsi" w:cstheme="minorBidi"/>
          <w:szCs w:val="22"/>
        </w:rPr>
      </w:pPr>
      <w:r>
        <w:t>8.</w:t>
      </w:r>
      <w:r>
        <w:tab/>
        <w:t>Articles seized under Act s. 116, dealing with</w:t>
      </w:r>
      <w:r>
        <w:tab/>
      </w:r>
      <w:r>
        <w:fldChar w:fldCharType="begin"/>
      </w:r>
      <w:r>
        <w:instrText xml:space="preserve"> PAGEREF _Toc416355170 \h </w:instrText>
      </w:r>
      <w:r>
        <w:fldChar w:fldCharType="separate"/>
      </w:r>
      <w:r>
        <w:t>5</w:t>
      </w:r>
      <w:r>
        <w:fldChar w:fldCharType="end"/>
      </w:r>
    </w:p>
    <w:p>
      <w:pPr>
        <w:pStyle w:val="TOC2"/>
        <w:tabs>
          <w:tab w:val="right" w:leader="dot" w:pos="7077"/>
        </w:tabs>
        <w:rPr>
          <w:rFonts w:asciiTheme="minorHAnsi" w:eastAsiaTheme="minorEastAsia" w:hAnsiTheme="minorHAnsi" w:cstheme="minorBidi"/>
          <w:b w:val="0"/>
          <w:sz w:val="22"/>
          <w:szCs w:val="22"/>
        </w:rPr>
      </w:pPr>
      <w:r>
        <w:t>Part 4AA</w:t>
      </w:r>
      <w:r>
        <w:rPr>
          <w:b w:val="0"/>
        </w:rPr>
        <w:t> </w:t>
      </w:r>
      <w:r>
        <w:t>—</w:t>
      </w:r>
      <w:r>
        <w:rPr>
          <w:b w:val="0"/>
        </w:rPr>
        <w:t> </w:t>
      </w:r>
      <w:r>
        <w:t>Warrants</w:t>
      </w:r>
    </w:p>
    <w:p>
      <w:pPr>
        <w:pStyle w:val="TOC8"/>
        <w:rPr>
          <w:rFonts w:asciiTheme="minorHAnsi" w:eastAsiaTheme="minorEastAsia" w:hAnsiTheme="minorHAnsi" w:cstheme="minorBidi"/>
          <w:szCs w:val="22"/>
        </w:rPr>
      </w:pPr>
      <w:r>
        <w:t>9AA.</w:t>
      </w:r>
      <w:r>
        <w:tab/>
        <w:t>Form of warrant (access) (Act s. 121(1))</w:t>
      </w:r>
      <w:r>
        <w:tab/>
      </w:r>
      <w:r>
        <w:fldChar w:fldCharType="begin"/>
      </w:r>
      <w:r>
        <w:instrText xml:space="preserve"> PAGEREF _Toc416355172 \h </w:instrText>
      </w:r>
      <w:r>
        <w:fldChar w:fldCharType="separate"/>
      </w:r>
      <w:r>
        <w:t>6</w:t>
      </w:r>
      <w:r>
        <w:fldChar w:fldCharType="end"/>
      </w:r>
    </w:p>
    <w:p>
      <w:pPr>
        <w:pStyle w:val="TOC8"/>
        <w:rPr>
          <w:rFonts w:asciiTheme="minorHAnsi" w:eastAsiaTheme="minorEastAsia" w:hAnsiTheme="minorHAnsi" w:cstheme="minorBidi"/>
          <w:szCs w:val="22"/>
        </w:rPr>
      </w:pPr>
      <w:r>
        <w:t>9AB.</w:t>
      </w:r>
      <w:r>
        <w:tab/>
        <w:t>Form of warrant (apprehension) (Act s. 122(1))</w:t>
      </w:r>
      <w:r>
        <w:tab/>
      </w:r>
      <w:r>
        <w:fldChar w:fldCharType="begin"/>
      </w:r>
      <w:r>
        <w:instrText xml:space="preserve"> PAGEREF _Toc416355173 \h </w:instrText>
      </w:r>
      <w:r>
        <w:fldChar w:fldCharType="separate"/>
      </w:r>
      <w:r>
        <w:t>6</w:t>
      </w:r>
      <w:r>
        <w:fldChar w:fldCharType="end"/>
      </w:r>
    </w:p>
    <w:p>
      <w:pPr>
        <w:pStyle w:val="TOC8"/>
        <w:rPr>
          <w:rFonts w:asciiTheme="minorHAnsi" w:eastAsiaTheme="minorEastAsia" w:hAnsiTheme="minorHAnsi" w:cstheme="minorBidi"/>
          <w:szCs w:val="22"/>
        </w:rPr>
      </w:pPr>
      <w:r>
        <w:t>9AC.</w:t>
      </w:r>
      <w:r>
        <w:tab/>
        <w:t>Form of warrant (provisional protection and care) (Act s. 123(1))</w:t>
      </w:r>
      <w:r>
        <w:tab/>
      </w:r>
      <w:r>
        <w:fldChar w:fldCharType="begin"/>
      </w:r>
      <w:r>
        <w:instrText xml:space="preserve"> PAGEREF _Toc416355174 \h </w:instrText>
      </w:r>
      <w:r>
        <w:fldChar w:fldCharType="separate"/>
      </w:r>
      <w:r>
        <w:t>6</w:t>
      </w:r>
      <w:r>
        <w:fldChar w:fldCharType="end"/>
      </w:r>
    </w:p>
    <w:p>
      <w:pPr>
        <w:pStyle w:val="TOC2"/>
        <w:tabs>
          <w:tab w:val="right" w:leader="dot" w:pos="7077"/>
        </w:tabs>
        <w:rPr>
          <w:rFonts w:asciiTheme="minorHAnsi" w:eastAsiaTheme="minorEastAsia" w:hAnsiTheme="minorHAnsi" w:cstheme="minorBidi"/>
          <w:b w:val="0"/>
          <w:sz w:val="22"/>
          <w:szCs w:val="22"/>
        </w:rPr>
      </w:pPr>
      <w:r>
        <w:t>Part 4 — Pre</w:t>
      </w:r>
      <w:r>
        <w:noBreakHyphen/>
        <w:t>hearing conferences</w:t>
      </w:r>
    </w:p>
    <w:p>
      <w:pPr>
        <w:pStyle w:val="TOC8"/>
        <w:rPr>
          <w:rFonts w:asciiTheme="minorHAnsi" w:eastAsiaTheme="minorEastAsia" w:hAnsiTheme="minorHAnsi" w:cstheme="minorBidi"/>
          <w:szCs w:val="22"/>
        </w:rPr>
      </w:pPr>
      <w:r>
        <w:t>9.</w:t>
      </w:r>
      <w:r>
        <w:tab/>
        <w:t>Terms used</w:t>
      </w:r>
      <w:r>
        <w:tab/>
      </w:r>
      <w:r>
        <w:fldChar w:fldCharType="begin"/>
      </w:r>
      <w:r>
        <w:instrText xml:space="preserve"> PAGEREF _Toc416355176 \h </w:instrText>
      </w:r>
      <w:r>
        <w:fldChar w:fldCharType="separate"/>
      </w:r>
      <w:r>
        <w:t>7</w:t>
      </w:r>
      <w:r>
        <w:fldChar w:fldCharType="end"/>
      </w:r>
    </w:p>
    <w:p>
      <w:pPr>
        <w:pStyle w:val="TOC8"/>
        <w:rPr>
          <w:rFonts w:asciiTheme="minorHAnsi" w:eastAsiaTheme="minorEastAsia" w:hAnsiTheme="minorHAnsi" w:cstheme="minorBidi"/>
          <w:szCs w:val="22"/>
        </w:rPr>
      </w:pPr>
      <w:r>
        <w:t>10.</w:t>
      </w:r>
      <w:r>
        <w:tab/>
        <w:t>Convenors, appointment of (Act s. 136)</w:t>
      </w:r>
      <w:r>
        <w:tab/>
      </w:r>
      <w:r>
        <w:fldChar w:fldCharType="begin"/>
      </w:r>
      <w:r>
        <w:instrText xml:space="preserve"> PAGEREF _Toc416355177 \h </w:instrText>
      </w:r>
      <w:r>
        <w:fldChar w:fldCharType="separate"/>
      </w:r>
      <w:r>
        <w:t>7</w:t>
      </w:r>
      <w:r>
        <w:fldChar w:fldCharType="end"/>
      </w:r>
    </w:p>
    <w:p>
      <w:pPr>
        <w:pStyle w:val="TOC8"/>
        <w:rPr>
          <w:rFonts w:asciiTheme="minorHAnsi" w:eastAsiaTheme="minorEastAsia" w:hAnsiTheme="minorHAnsi" w:cstheme="minorBidi"/>
          <w:szCs w:val="22"/>
        </w:rPr>
      </w:pPr>
      <w:r>
        <w:t>11.</w:t>
      </w:r>
      <w:r>
        <w:tab/>
        <w:t>Terms and conditions of convenors’ appointments</w:t>
      </w:r>
      <w:r>
        <w:tab/>
      </w:r>
      <w:r>
        <w:fldChar w:fldCharType="begin"/>
      </w:r>
      <w:r>
        <w:instrText xml:space="preserve"> PAGEREF _Toc416355178 \h </w:instrText>
      </w:r>
      <w:r>
        <w:fldChar w:fldCharType="separate"/>
      </w:r>
      <w:r>
        <w:t>7</w:t>
      </w:r>
      <w:r>
        <w:fldChar w:fldCharType="end"/>
      </w:r>
    </w:p>
    <w:p>
      <w:pPr>
        <w:pStyle w:val="TOC8"/>
        <w:rPr>
          <w:rFonts w:asciiTheme="minorHAnsi" w:eastAsiaTheme="minorEastAsia" w:hAnsiTheme="minorHAnsi" w:cstheme="minorBidi"/>
          <w:szCs w:val="22"/>
        </w:rPr>
      </w:pPr>
      <w:r>
        <w:t>12.</w:t>
      </w:r>
      <w:r>
        <w:tab/>
        <w:t>Resignation by convenor</w:t>
      </w:r>
      <w:r>
        <w:tab/>
      </w:r>
      <w:r>
        <w:fldChar w:fldCharType="begin"/>
      </w:r>
      <w:r>
        <w:instrText xml:space="preserve"> PAGEREF _Toc416355179 \h </w:instrText>
      </w:r>
      <w:r>
        <w:fldChar w:fldCharType="separate"/>
      </w:r>
      <w:r>
        <w:t>7</w:t>
      </w:r>
      <w:r>
        <w:fldChar w:fldCharType="end"/>
      </w:r>
    </w:p>
    <w:p>
      <w:pPr>
        <w:pStyle w:val="TOC8"/>
        <w:rPr>
          <w:rFonts w:asciiTheme="minorHAnsi" w:eastAsiaTheme="minorEastAsia" w:hAnsiTheme="minorHAnsi" w:cstheme="minorBidi"/>
          <w:szCs w:val="22"/>
        </w:rPr>
      </w:pPr>
      <w:r>
        <w:t>13.</w:t>
      </w:r>
      <w:r>
        <w:tab/>
        <w:t>Removing convenor from office</w:t>
      </w:r>
      <w:r>
        <w:tab/>
      </w:r>
      <w:r>
        <w:fldChar w:fldCharType="begin"/>
      </w:r>
      <w:r>
        <w:instrText xml:space="preserve"> PAGEREF _Toc416355180 \h </w:instrText>
      </w:r>
      <w:r>
        <w:fldChar w:fldCharType="separate"/>
      </w:r>
      <w:r>
        <w:t>8</w:t>
      </w:r>
      <w:r>
        <w:fldChar w:fldCharType="end"/>
      </w:r>
    </w:p>
    <w:p>
      <w:pPr>
        <w:pStyle w:val="TOC8"/>
        <w:rPr>
          <w:rFonts w:asciiTheme="minorHAnsi" w:eastAsiaTheme="minorEastAsia" w:hAnsiTheme="minorHAnsi" w:cstheme="minorBidi"/>
          <w:szCs w:val="22"/>
        </w:rPr>
      </w:pPr>
      <w:r>
        <w:t>14.</w:t>
      </w:r>
      <w:r>
        <w:tab/>
        <w:t>People who may attend pre</w:t>
      </w:r>
      <w:r>
        <w:noBreakHyphen/>
        <w:t>hearing conference</w:t>
      </w:r>
      <w:r>
        <w:tab/>
      </w:r>
      <w:r>
        <w:fldChar w:fldCharType="begin"/>
      </w:r>
      <w:r>
        <w:instrText xml:space="preserve"> PAGEREF _Toc416355181 \h </w:instrText>
      </w:r>
      <w:r>
        <w:fldChar w:fldCharType="separate"/>
      </w:r>
      <w:r>
        <w:t>8</w:t>
      </w:r>
      <w:r>
        <w:fldChar w:fldCharType="end"/>
      </w:r>
    </w:p>
    <w:p>
      <w:pPr>
        <w:pStyle w:val="TOC8"/>
        <w:rPr>
          <w:rFonts w:asciiTheme="minorHAnsi" w:eastAsiaTheme="minorEastAsia" w:hAnsiTheme="minorHAnsi" w:cstheme="minorBidi"/>
          <w:szCs w:val="22"/>
        </w:rPr>
      </w:pPr>
      <w:r>
        <w:t>15.</w:t>
      </w:r>
      <w:r>
        <w:tab/>
        <w:t>Participation using video link, audio link etc.</w:t>
      </w:r>
      <w:r>
        <w:tab/>
      </w:r>
      <w:r>
        <w:fldChar w:fldCharType="begin"/>
      </w:r>
      <w:r>
        <w:instrText xml:space="preserve"> PAGEREF _Toc416355182 \h </w:instrText>
      </w:r>
      <w:r>
        <w:fldChar w:fldCharType="separate"/>
      </w:r>
      <w:r>
        <w:t>8</w:t>
      </w:r>
      <w:r>
        <w:fldChar w:fldCharType="end"/>
      </w:r>
    </w:p>
    <w:p>
      <w:pPr>
        <w:pStyle w:val="TOC2"/>
        <w:tabs>
          <w:tab w:val="right" w:leader="dot" w:pos="7077"/>
        </w:tabs>
        <w:rPr>
          <w:rFonts w:asciiTheme="minorHAnsi" w:eastAsiaTheme="minorEastAsia" w:hAnsiTheme="minorHAnsi" w:cstheme="minorBidi"/>
          <w:b w:val="0"/>
          <w:sz w:val="22"/>
          <w:szCs w:val="22"/>
        </w:rPr>
      </w:pPr>
      <w:r>
        <w:t>Part 5A</w:t>
      </w:r>
      <w:r>
        <w:rPr>
          <w:b w:val="0"/>
        </w:rPr>
        <w:t> </w:t>
      </w:r>
      <w:r>
        <w:t>—</w:t>
      </w:r>
      <w:r>
        <w:rPr>
          <w:b w:val="0"/>
        </w:rPr>
        <w:t> </w:t>
      </w:r>
      <w:r>
        <w:t>Parentage testing procedures and reports</w:t>
      </w:r>
    </w:p>
    <w:p>
      <w:pPr>
        <w:pStyle w:val="TOC4"/>
        <w:tabs>
          <w:tab w:val="right" w:leader="dot" w:pos="7077"/>
        </w:tabs>
        <w:rPr>
          <w:rFonts w:asciiTheme="minorHAnsi" w:eastAsiaTheme="minorEastAsia" w:hAnsiTheme="minorHAnsi" w:cstheme="minorBidi"/>
          <w:b w:val="0"/>
          <w:szCs w:val="22"/>
        </w:rPr>
      </w:pPr>
      <w:r>
        <w:t>Division 1 — General</w:t>
      </w:r>
    </w:p>
    <w:p>
      <w:pPr>
        <w:pStyle w:val="TOC8"/>
        <w:rPr>
          <w:rFonts w:asciiTheme="minorHAnsi" w:eastAsiaTheme="minorEastAsia" w:hAnsiTheme="minorHAnsi" w:cstheme="minorBidi"/>
          <w:szCs w:val="22"/>
        </w:rPr>
      </w:pPr>
      <w:r>
        <w:t>16A.</w:t>
      </w:r>
      <w:r>
        <w:tab/>
        <w:t>Terms used</w:t>
      </w:r>
      <w:r>
        <w:tab/>
      </w:r>
      <w:r>
        <w:fldChar w:fldCharType="begin"/>
      </w:r>
      <w:r>
        <w:instrText xml:space="preserve"> PAGEREF _Toc416355185 \h </w:instrText>
      </w:r>
      <w:r>
        <w:fldChar w:fldCharType="separate"/>
      </w:r>
      <w:r>
        <w:t>9</w:t>
      </w:r>
      <w:r>
        <w:fldChar w:fldCharType="end"/>
      </w:r>
    </w:p>
    <w:p>
      <w:pPr>
        <w:pStyle w:val="TOC8"/>
        <w:rPr>
          <w:rFonts w:asciiTheme="minorHAnsi" w:eastAsiaTheme="minorEastAsia" w:hAnsiTheme="minorHAnsi" w:cstheme="minorBidi"/>
          <w:szCs w:val="22"/>
        </w:rPr>
      </w:pPr>
      <w:r>
        <w:t>16B.</w:t>
      </w:r>
      <w:r>
        <w:tab/>
        <w:t>Parentage testing procedures (Act s. 136A)</w:t>
      </w:r>
      <w:r>
        <w:tab/>
      </w:r>
      <w:r>
        <w:fldChar w:fldCharType="begin"/>
      </w:r>
      <w:r>
        <w:instrText xml:space="preserve"> PAGEREF _Toc416355186 \h </w:instrText>
      </w:r>
      <w:r>
        <w:fldChar w:fldCharType="separate"/>
      </w:r>
      <w:r>
        <w:t>10</w:t>
      </w:r>
      <w:r>
        <w:fldChar w:fldCharType="end"/>
      </w:r>
    </w:p>
    <w:p>
      <w:pPr>
        <w:pStyle w:val="TOC8"/>
        <w:rPr>
          <w:rFonts w:asciiTheme="minorHAnsi" w:eastAsiaTheme="minorEastAsia" w:hAnsiTheme="minorHAnsi" w:cstheme="minorBidi"/>
          <w:szCs w:val="22"/>
        </w:rPr>
      </w:pPr>
      <w:r>
        <w:t>16C.</w:t>
      </w:r>
      <w:r>
        <w:tab/>
        <w:t>Compliance with regulations</w:t>
      </w:r>
      <w:r>
        <w:tab/>
      </w:r>
      <w:r>
        <w:fldChar w:fldCharType="begin"/>
      </w:r>
      <w:r>
        <w:instrText xml:space="preserve"> PAGEREF _Toc416355187 \h </w:instrText>
      </w:r>
      <w:r>
        <w:fldChar w:fldCharType="separate"/>
      </w:r>
      <w:r>
        <w:t>10</w:t>
      </w:r>
      <w:r>
        <w:fldChar w:fldCharType="end"/>
      </w:r>
    </w:p>
    <w:p>
      <w:pPr>
        <w:pStyle w:val="TOC4"/>
        <w:tabs>
          <w:tab w:val="right" w:leader="dot" w:pos="7077"/>
        </w:tabs>
        <w:rPr>
          <w:rFonts w:asciiTheme="minorHAnsi" w:eastAsiaTheme="minorEastAsia" w:hAnsiTheme="minorHAnsi" w:cstheme="minorBidi"/>
          <w:b w:val="0"/>
          <w:szCs w:val="22"/>
        </w:rPr>
      </w:pPr>
      <w:r>
        <w:t>Division 2 — Collection, storage and testing of samples</w:t>
      </w:r>
    </w:p>
    <w:p>
      <w:pPr>
        <w:pStyle w:val="TOC8"/>
        <w:rPr>
          <w:rFonts w:asciiTheme="minorHAnsi" w:eastAsiaTheme="minorEastAsia" w:hAnsiTheme="minorHAnsi" w:cstheme="minorBidi"/>
          <w:szCs w:val="22"/>
        </w:rPr>
      </w:pPr>
      <w:r>
        <w:t>16D.</w:t>
      </w:r>
      <w:r>
        <w:tab/>
        <w:t>Bodily samples, who may take</w:t>
      </w:r>
      <w:r>
        <w:tab/>
      </w:r>
      <w:r>
        <w:fldChar w:fldCharType="begin"/>
      </w:r>
      <w:r>
        <w:instrText xml:space="preserve"> PAGEREF _Toc416355189 \h </w:instrText>
      </w:r>
      <w:r>
        <w:fldChar w:fldCharType="separate"/>
      </w:r>
      <w:r>
        <w:t>11</w:t>
      </w:r>
      <w:r>
        <w:fldChar w:fldCharType="end"/>
      </w:r>
    </w:p>
    <w:p>
      <w:pPr>
        <w:pStyle w:val="TOC8"/>
        <w:rPr>
          <w:rFonts w:asciiTheme="minorHAnsi" w:eastAsiaTheme="minorEastAsia" w:hAnsiTheme="minorHAnsi" w:cstheme="minorBidi"/>
          <w:szCs w:val="22"/>
        </w:rPr>
      </w:pPr>
      <w:r>
        <w:t>16E.</w:t>
      </w:r>
      <w:r>
        <w:tab/>
        <w:t>Information about donor to be given before bodily sample taken</w:t>
      </w:r>
      <w:r>
        <w:tab/>
      </w:r>
      <w:r>
        <w:fldChar w:fldCharType="begin"/>
      </w:r>
      <w:r>
        <w:instrText xml:space="preserve"> PAGEREF _Toc416355190 \h </w:instrText>
      </w:r>
      <w:r>
        <w:fldChar w:fldCharType="separate"/>
      </w:r>
      <w:r>
        <w:t>11</w:t>
      </w:r>
      <w:r>
        <w:fldChar w:fldCharType="end"/>
      </w:r>
    </w:p>
    <w:p>
      <w:pPr>
        <w:pStyle w:val="TOC8"/>
        <w:rPr>
          <w:rFonts w:asciiTheme="minorHAnsi" w:eastAsiaTheme="minorEastAsia" w:hAnsiTheme="minorHAnsi" w:cstheme="minorBidi"/>
          <w:szCs w:val="22"/>
        </w:rPr>
      </w:pPr>
      <w:r>
        <w:t>16F.</w:t>
      </w:r>
      <w:r>
        <w:tab/>
        <w:t>Blood samples, taking of</w:t>
      </w:r>
      <w:r>
        <w:tab/>
      </w:r>
      <w:r>
        <w:fldChar w:fldCharType="begin"/>
      </w:r>
      <w:r>
        <w:instrText xml:space="preserve"> PAGEREF _Toc416355191 \h </w:instrText>
      </w:r>
      <w:r>
        <w:fldChar w:fldCharType="separate"/>
      </w:r>
      <w:r>
        <w:t>12</w:t>
      </w:r>
      <w:r>
        <w:fldChar w:fldCharType="end"/>
      </w:r>
    </w:p>
    <w:p>
      <w:pPr>
        <w:pStyle w:val="TOC8"/>
        <w:rPr>
          <w:rFonts w:asciiTheme="minorHAnsi" w:eastAsiaTheme="minorEastAsia" w:hAnsiTheme="minorHAnsi" w:cstheme="minorBidi"/>
          <w:szCs w:val="22"/>
        </w:rPr>
      </w:pPr>
      <w:r>
        <w:t>16G.</w:t>
      </w:r>
      <w:r>
        <w:tab/>
        <w:t>Bodily samples for DNA typing, taking of</w:t>
      </w:r>
      <w:r>
        <w:tab/>
      </w:r>
      <w:r>
        <w:fldChar w:fldCharType="begin"/>
      </w:r>
      <w:r>
        <w:instrText xml:space="preserve"> PAGEREF _Toc416355192 \h </w:instrText>
      </w:r>
      <w:r>
        <w:fldChar w:fldCharType="separate"/>
      </w:r>
      <w:r>
        <w:t>12</w:t>
      </w:r>
      <w:r>
        <w:fldChar w:fldCharType="end"/>
      </w:r>
    </w:p>
    <w:p>
      <w:pPr>
        <w:pStyle w:val="TOC8"/>
        <w:rPr>
          <w:rFonts w:asciiTheme="minorHAnsi" w:eastAsiaTheme="minorEastAsia" w:hAnsiTheme="minorHAnsi" w:cstheme="minorBidi"/>
          <w:szCs w:val="22"/>
        </w:rPr>
      </w:pPr>
      <w:r>
        <w:t>16H.</w:t>
      </w:r>
      <w:r>
        <w:tab/>
        <w:t>Bodily samples, procedure for dealing with immediately after taking</w:t>
      </w:r>
      <w:r>
        <w:tab/>
      </w:r>
      <w:r>
        <w:fldChar w:fldCharType="begin"/>
      </w:r>
      <w:r>
        <w:instrText xml:space="preserve"> PAGEREF _Toc416355193 \h </w:instrText>
      </w:r>
      <w:r>
        <w:fldChar w:fldCharType="separate"/>
      </w:r>
      <w:r>
        <w:t>13</w:t>
      </w:r>
      <w:r>
        <w:fldChar w:fldCharType="end"/>
      </w:r>
    </w:p>
    <w:p>
      <w:pPr>
        <w:pStyle w:val="TOC8"/>
        <w:rPr>
          <w:rFonts w:asciiTheme="minorHAnsi" w:eastAsiaTheme="minorEastAsia" w:hAnsiTheme="minorHAnsi" w:cstheme="minorBidi"/>
          <w:szCs w:val="22"/>
        </w:rPr>
      </w:pPr>
      <w:r>
        <w:t>16I.</w:t>
      </w:r>
      <w:r>
        <w:tab/>
        <w:t>Sampler’s  duties after taking bodily sample</w:t>
      </w:r>
      <w:r>
        <w:tab/>
      </w:r>
      <w:r>
        <w:fldChar w:fldCharType="begin"/>
      </w:r>
      <w:r>
        <w:instrText xml:space="preserve"> PAGEREF _Toc416355194 \h </w:instrText>
      </w:r>
      <w:r>
        <w:fldChar w:fldCharType="separate"/>
      </w:r>
      <w:r>
        <w:t>14</w:t>
      </w:r>
      <w:r>
        <w:fldChar w:fldCharType="end"/>
      </w:r>
    </w:p>
    <w:p>
      <w:pPr>
        <w:pStyle w:val="TOC8"/>
        <w:rPr>
          <w:rFonts w:asciiTheme="minorHAnsi" w:eastAsiaTheme="minorEastAsia" w:hAnsiTheme="minorHAnsi" w:cstheme="minorBidi"/>
          <w:szCs w:val="22"/>
        </w:rPr>
      </w:pPr>
      <w:r>
        <w:t>16J.</w:t>
      </w:r>
      <w:r>
        <w:tab/>
        <w:t>Packing, storing and transporting bodily samples for testing</w:t>
      </w:r>
      <w:r>
        <w:tab/>
      </w:r>
      <w:r>
        <w:fldChar w:fldCharType="begin"/>
      </w:r>
      <w:r>
        <w:instrText xml:space="preserve"> PAGEREF _Toc416355195 \h </w:instrText>
      </w:r>
      <w:r>
        <w:fldChar w:fldCharType="separate"/>
      </w:r>
      <w:r>
        <w:t>15</w:t>
      </w:r>
      <w:r>
        <w:fldChar w:fldCharType="end"/>
      </w:r>
    </w:p>
    <w:p>
      <w:pPr>
        <w:pStyle w:val="TOC8"/>
        <w:rPr>
          <w:rFonts w:asciiTheme="minorHAnsi" w:eastAsiaTheme="minorEastAsia" w:hAnsiTheme="minorHAnsi" w:cstheme="minorBidi"/>
          <w:szCs w:val="22"/>
        </w:rPr>
      </w:pPr>
      <w:r>
        <w:t>16K.</w:t>
      </w:r>
      <w:r>
        <w:tab/>
        <w:t>Time for testing bodily samples</w:t>
      </w:r>
      <w:r>
        <w:tab/>
      </w:r>
      <w:r>
        <w:fldChar w:fldCharType="begin"/>
      </w:r>
      <w:r>
        <w:instrText xml:space="preserve"> PAGEREF _Toc416355196 \h </w:instrText>
      </w:r>
      <w:r>
        <w:fldChar w:fldCharType="separate"/>
      </w:r>
      <w:r>
        <w:t>15</w:t>
      </w:r>
      <w:r>
        <w:fldChar w:fldCharType="end"/>
      </w:r>
    </w:p>
    <w:p>
      <w:pPr>
        <w:pStyle w:val="TOC4"/>
        <w:tabs>
          <w:tab w:val="right" w:leader="dot" w:pos="7077"/>
        </w:tabs>
        <w:rPr>
          <w:rFonts w:asciiTheme="minorHAnsi" w:eastAsiaTheme="minorEastAsia" w:hAnsiTheme="minorHAnsi" w:cstheme="minorBidi"/>
          <w:b w:val="0"/>
          <w:szCs w:val="22"/>
        </w:rPr>
      </w:pPr>
      <w:r>
        <w:t>Division 3 — Reports</w:t>
      </w:r>
    </w:p>
    <w:p>
      <w:pPr>
        <w:pStyle w:val="TOC8"/>
        <w:rPr>
          <w:rFonts w:asciiTheme="minorHAnsi" w:eastAsiaTheme="minorEastAsia" w:hAnsiTheme="minorHAnsi" w:cstheme="minorBidi"/>
          <w:szCs w:val="22"/>
        </w:rPr>
      </w:pPr>
      <w:r>
        <w:t>16L.</w:t>
      </w:r>
      <w:r>
        <w:tab/>
        <w:t>Reports of testing (Act s. 136H(b))</w:t>
      </w:r>
      <w:r>
        <w:tab/>
      </w:r>
      <w:r>
        <w:fldChar w:fldCharType="begin"/>
      </w:r>
      <w:r>
        <w:instrText xml:space="preserve"> PAGEREF _Toc416355198 \h </w:instrText>
      </w:r>
      <w:r>
        <w:fldChar w:fldCharType="separate"/>
      </w:r>
      <w:r>
        <w:t>16</w:t>
      </w:r>
      <w:r>
        <w:fldChar w:fldCharType="end"/>
      </w:r>
    </w:p>
    <w:p>
      <w:pPr>
        <w:pStyle w:val="TOC2"/>
        <w:tabs>
          <w:tab w:val="right" w:leader="dot" w:pos="7077"/>
        </w:tabs>
        <w:rPr>
          <w:rFonts w:asciiTheme="minorHAnsi" w:eastAsiaTheme="minorEastAsia" w:hAnsiTheme="minorHAnsi" w:cstheme="minorBidi"/>
          <w:b w:val="0"/>
          <w:sz w:val="22"/>
          <w:szCs w:val="22"/>
        </w:rPr>
      </w:pPr>
      <w:r>
        <w:t>Part 5 — Reports about child</w:t>
      </w:r>
    </w:p>
    <w:p>
      <w:pPr>
        <w:pStyle w:val="TOC8"/>
        <w:rPr>
          <w:rFonts w:asciiTheme="minorHAnsi" w:eastAsiaTheme="minorEastAsia" w:hAnsiTheme="minorHAnsi" w:cstheme="minorBidi"/>
          <w:szCs w:val="22"/>
        </w:rPr>
      </w:pPr>
      <w:r>
        <w:t>16.</w:t>
      </w:r>
      <w:r>
        <w:tab/>
        <w:t>Terms used</w:t>
      </w:r>
      <w:r>
        <w:tab/>
      </w:r>
      <w:r>
        <w:fldChar w:fldCharType="begin"/>
      </w:r>
      <w:r>
        <w:instrText xml:space="preserve"> PAGEREF _Toc416355200 \h </w:instrText>
      </w:r>
      <w:r>
        <w:fldChar w:fldCharType="separate"/>
      </w:r>
      <w:r>
        <w:t>17</w:t>
      </w:r>
      <w:r>
        <w:fldChar w:fldCharType="end"/>
      </w:r>
    </w:p>
    <w:p>
      <w:pPr>
        <w:pStyle w:val="TOC8"/>
        <w:rPr>
          <w:rFonts w:asciiTheme="minorHAnsi" w:eastAsiaTheme="minorEastAsia" w:hAnsiTheme="minorHAnsi" w:cstheme="minorBidi"/>
          <w:szCs w:val="22"/>
        </w:rPr>
      </w:pPr>
      <w:r>
        <w:t>17.</w:t>
      </w:r>
      <w:r>
        <w:tab/>
        <w:t>Appointing people to provide reports (Act s. 139)</w:t>
      </w:r>
      <w:r>
        <w:tab/>
      </w:r>
      <w:r>
        <w:fldChar w:fldCharType="begin"/>
      </w:r>
      <w:r>
        <w:instrText xml:space="preserve"> PAGEREF _Toc416355201 \h </w:instrText>
      </w:r>
      <w:r>
        <w:fldChar w:fldCharType="separate"/>
      </w:r>
      <w:r>
        <w:t>17</w:t>
      </w:r>
      <w:r>
        <w:fldChar w:fldCharType="end"/>
      </w:r>
    </w:p>
    <w:p>
      <w:pPr>
        <w:pStyle w:val="TOC8"/>
        <w:rPr>
          <w:rFonts w:asciiTheme="minorHAnsi" w:eastAsiaTheme="minorEastAsia" w:hAnsiTheme="minorHAnsi" w:cstheme="minorBidi"/>
          <w:szCs w:val="22"/>
        </w:rPr>
      </w:pPr>
      <w:r>
        <w:t>18.</w:t>
      </w:r>
      <w:r>
        <w:tab/>
        <w:t>President to establish panel</w:t>
      </w:r>
      <w:r>
        <w:tab/>
      </w:r>
      <w:r>
        <w:fldChar w:fldCharType="begin"/>
      </w:r>
      <w:r>
        <w:instrText xml:space="preserve"> PAGEREF _Toc416355202 \h </w:instrText>
      </w:r>
      <w:r>
        <w:fldChar w:fldCharType="separate"/>
      </w:r>
      <w:r>
        <w:t>17</w:t>
      </w:r>
      <w:r>
        <w:fldChar w:fldCharType="end"/>
      </w:r>
    </w:p>
    <w:p>
      <w:pPr>
        <w:pStyle w:val="TOC8"/>
        <w:rPr>
          <w:rFonts w:asciiTheme="minorHAnsi" w:eastAsiaTheme="minorEastAsia" w:hAnsiTheme="minorHAnsi" w:cstheme="minorBidi"/>
          <w:szCs w:val="22"/>
        </w:rPr>
      </w:pPr>
      <w:r>
        <w:t>19.</w:t>
      </w:r>
      <w:r>
        <w:tab/>
        <w:t>Terms and conditions of appointment under Act s. 139</w:t>
      </w:r>
      <w:r>
        <w:tab/>
      </w:r>
      <w:r>
        <w:fldChar w:fldCharType="begin"/>
      </w:r>
      <w:r>
        <w:instrText xml:space="preserve"> PAGEREF _Toc416355203 \h </w:instrText>
      </w:r>
      <w:r>
        <w:fldChar w:fldCharType="separate"/>
      </w:r>
      <w:r>
        <w:t>17</w:t>
      </w:r>
      <w:r>
        <w:fldChar w:fldCharType="end"/>
      </w:r>
    </w:p>
    <w:p>
      <w:pPr>
        <w:pStyle w:val="TOC8"/>
        <w:rPr>
          <w:rFonts w:asciiTheme="minorHAnsi" w:eastAsiaTheme="minorEastAsia" w:hAnsiTheme="minorHAnsi" w:cstheme="minorBidi"/>
          <w:szCs w:val="22"/>
        </w:rPr>
      </w:pPr>
      <w:r>
        <w:t>20.</w:t>
      </w:r>
      <w:r>
        <w:tab/>
        <w:t>Costs of report</w:t>
      </w:r>
      <w:r>
        <w:tab/>
      </w:r>
      <w:r>
        <w:fldChar w:fldCharType="begin"/>
      </w:r>
      <w:r>
        <w:instrText xml:space="preserve"> PAGEREF _Toc416355204 \h </w:instrText>
      </w:r>
      <w:r>
        <w:fldChar w:fldCharType="separate"/>
      </w:r>
      <w:r>
        <w:t>18</w:t>
      </w:r>
      <w:r>
        <w:fldChar w:fldCharType="end"/>
      </w:r>
    </w:p>
    <w:p>
      <w:pPr>
        <w:pStyle w:val="TOC2"/>
        <w:tabs>
          <w:tab w:val="right" w:leader="dot" w:pos="7077"/>
        </w:tabs>
        <w:rPr>
          <w:rFonts w:asciiTheme="minorHAnsi" w:eastAsiaTheme="minorEastAsia" w:hAnsiTheme="minorHAnsi" w:cstheme="minorBidi"/>
          <w:b w:val="0"/>
          <w:sz w:val="22"/>
          <w:szCs w:val="22"/>
        </w:rPr>
      </w:pPr>
      <w:r>
        <w:t>Part 6 — Miscellaneous</w:t>
      </w:r>
    </w:p>
    <w:p>
      <w:pPr>
        <w:pStyle w:val="TOC8"/>
        <w:rPr>
          <w:rFonts w:asciiTheme="minorHAnsi" w:eastAsiaTheme="minorEastAsia" w:hAnsiTheme="minorHAnsi" w:cstheme="minorBidi"/>
          <w:szCs w:val="22"/>
        </w:rPr>
      </w:pPr>
      <w:r>
        <w:t>20A.</w:t>
      </w:r>
      <w:r>
        <w:tab/>
        <w:t>Prescribed authorities (Act s. 24A(1))</w:t>
      </w:r>
      <w:r>
        <w:tab/>
      </w:r>
      <w:r>
        <w:fldChar w:fldCharType="begin"/>
      </w:r>
      <w:r>
        <w:instrText xml:space="preserve"> PAGEREF _Toc416355206 \h </w:instrText>
      </w:r>
      <w:r>
        <w:fldChar w:fldCharType="separate"/>
      </w:r>
      <w:r>
        <w:t>19</w:t>
      </w:r>
      <w:r>
        <w:fldChar w:fldCharType="end"/>
      </w:r>
    </w:p>
    <w:p>
      <w:pPr>
        <w:pStyle w:val="TOC8"/>
        <w:rPr>
          <w:rFonts w:asciiTheme="minorHAnsi" w:eastAsiaTheme="minorEastAsia" w:hAnsiTheme="minorHAnsi" w:cstheme="minorBidi"/>
          <w:szCs w:val="22"/>
        </w:rPr>
      </w:pPr>
      <w:r>
        <w:t>21.</w:t>
      </w:r>
      <w:r>
        <w:tab/>
        <w:t>Special guardians, payments to (Act s. 65)</w:t>
      </w:r>
      <w:r>
        <w:tab/>
      </w:r>
      <w:r>
        <w:fldChar w:fldCharType="begin"/>
      </w:r>
      <w:r>
        <w:instrText xml:space="preserve"> PAGEREF _Toc416355207 \h </w:instrText>
      </w:r>
      <w:r>
        <w:fldChar w:fldCharType="separate"/>
      </w:r>
      <w:r>
        <w:t>20</w:t>
      </w:r>
      <w:r>
        <w:fldChar w:fldCharType="end"/>
      </w:r>
    </w:p>
    <w:p>
      <w:pPr>
        <w:pStyle w:val="TOC8"/>
        <w:rPr>
          <w:rFonts w:asciiTheme="minorHAnsi" w:eastAsiaTheme="minorEastAsia" w:hAnsiTheme="minorHAnsi" w:cstheme="minorBidi"/>
          <w:szCs w:val="22"/>
        </w:rPr>
      </w:pPr>
      <w:r>
        <w:t>21A.</w:t>
      </w:r>
      <w:r>
        <w:tab/>
        <w:t>Work prescribed (Act s. 191(4))</w:t>
      </w:r>
      <w:r>
        <w:tab/>
      </w:r>
      <w:r>
        <w:fldChar w:fldCharType="begin"/>
      </w:r>
      <w:r>
        <w:instrText xml:space="preserve"> PAGEREF _Toc416355208 \h </w:instrText>
      </w:r>
      <w:r>
        <w:fldChar w:fldCharType="separate"/>
      </w:r>
      <w:r>
        <w:t>21</w:t>
      </w:r>
      <w:r>
        <w:fldChar w:fldCharType="end"/>
      </w:r>
    </w:p>
    <w:p>
      <w:pPr>
        <w:pStyle w:val="TOC2"/>
        <w:tabs>
          <w:tab w:val="right" w:leader="dot" w:pos="7077"/>
        </w:tabs>
        <w:rPr>
          <w:rFonts w:asciiTheme="minorHAnsi" w:eastAsiaTheme="minorEastAsia" w:hAnsiTheme="minorHAnsi" w:cstheme="minorBidi"/>
          <w:b w:val="0"/>
          <w:sz w:val="22"/>
          <w:szCs w:val="22"/>
        </w:rPr>
      </w:pPr>
      <w:r>
        <w:t>Part 7 — Transitional arrangements</w:t>
      </w:r>
    </w:p>
    <w:p>
      <w:pPr>
        <w:pStyle w:val="TOC8"/>
        <w:rPr>
          <w:rFonts w:asciiTheme="minorHAnsi" w:eastAsiaTheme="minorEastAsia" w:hAnsiTheme="minorHAnsi" w:cstheme="minorBidi"/>
          <w:szCs w:val="22"/>
        </w:rPr>
      </w:pPr>
      <w:r>
        <w:t>24.</w:t>
      </w:r>
      <w:r>
        <w:tab/>
        <w:t>Term used: commencement day</w:t>
      </w:r>
      <w:r>
        <w:tab/>
      </w:r>
      <w:r>
        <w:fldChar w:fldCharType="begin"/>
      </w:r>
      <w:r>
        <w:instrText xml:space="preserve"> PAGEREF _Toc416355210 \h </w:instrText>
      </w:r>
      <w:r>
        <w:fldChar w:fldCharType="separate"/>
      </w:r>
      <w:r>
        <w:t>22</w:t>
      </w:r>
      <w:r>
        <w:fldChar w:fldCharType="end"/>
      </w:r>
    </w:p>
    <w:p>
      <w:pPr>
        <w:pStyle w:val="TOC8"/>
        <w:rPr>
          <w:rFonts w:asciiTheme="minorHAnsi" w:eastAsiaTheme="minorEastAsia" w:hAnsiTheme="minorHAnsi" w:cstheme="minorBidi"/>
          <w:szCs w:val="22"/>
        </w:rPr>
      </w:pPr>
      <w:r>
        <w:t>29.</w:t>
      </w:r>
      <w:r>
        <w:tab/>
        <w:t>Certain children in care as at 1 Mar 2006</w:t>
      </w:r>
      <w:r>
        <w:tab/>
      </w:r>
      <w:r>
        <w:fldChar w:fldCharType="begin"/>
      </w:r>
      <w:r>
        <w:instrText xml:space="preserve"> PAGEREF _Toc416355211 \h </w:instrText>
      </w:r>
      <w:r>
        <w:fldChar w:fldCharType="separate"/>
      </w:r>
      <w:r>
        <w:t>22</w:t>
      </w:r>
      <w:r>
        <w:fldChar w:fldCharType="end"/>
      </w:r>
    </w:p>
    <w:p>
      <w:pPr>
        <w:pStyle w:val="TOC2"/>
        <w:tabs>
          <w:tab w:val="right" w:leader="dot" w:pos="7077"/>
        </w:tabs>
        <w:rPr>
          <w:rFonts w:asciiTheme="minorHAnsi" w:eastAsiaTheme="minorEastAsia" w:hAnsiTheme="minorHAnsi" w:cstheme="minorBidi"/>
          <w:b w:val="0"/>
          <w:sz w:val="22"/>
          <w:szCs w:val="22"/>
        </w:rPr>
      </w:pPr>
      <w:r>
        <w:t>Schedule 1 — Forms</w:t>
      </w:r>
    </w:p>
    <w:p>
      <w:pPr>
        <w:pStyle w:val="TOC8"/>
        <w:rPr>
          <w:rFonts w:asciiTheme="minorHAnsi" w:eastAsiaTheme="minorEastAsia" w:hAnsiTheme="minorHAnsi" w:cstheme="minorBidi"/>
          <w:szCs w:val="22"/>
        </w:rPr>
      </w:pPr>
      <w:r>
        <w:t>1.</w:t>
      </w:r>
      <w:r>
        <w:tab/>
        <w:t>Warrant (access)</w:t>
      </w:r>
      <w:r>
        <w:tab/>
      </w:r>
      <w:r>
        <w:fldChar w:fldCharType="begin"/>
      </w:r>
      <w:r>
        <w:instrText xml:space="preserve"> PAGEREF _Toc416355213 \h </w:instrText>
      </w:r>
      <w:r>
        <w:fldChar w:fldCharType="separate"/>
      </w:r>
      <w:r>
        <w:t>23</w:t>
      </w:r>
      <w:r>
        <w:fldChar w:fldCharType="end"/>
      </w:r>
    </w:p>
    <w:p>
      <w:pPr>
        <w:pStyle w:val="TOC8"/>
        <w:rPr>
          <w:rFonts w:asciiTheme="minorHAnsi" w:eastAsiaTheme="minorEastAsia" w:hAnsiTheme="minorHAnsi" w:cstheme="minorBidi"/>
          <w:szCs w:val="22"/>
        </w:rPr>
      </w:pPr>
      <w:r>
        <w:t>2.</w:t>
      </w:r>
      <w:r>
        <w:tab/>
        <w:t>Warrant (apprehension)</w:t>
      </w:r>
      <w:r>
        <w:tab/>
      </w:r>
      <w:r>
        <w:fldChar w:fldCharType="begin"/>
      </w:r>
      <w:r>
        <w:instrText xml:space="preserve"> PAGEREF _Toc416355214 \h </w:instrText>
      </w:r>
      <w:r>
        <w:fldChar w:fldCharType="separate"/>
      </w:r>
      <w:r>
        <w:t>25</w:t>
      </w:r>
      <w:r>
        <w:fldChar w:fldCharType="end"/>
      </w:r>
    </w:p>
    <w:p>
      <w:pPr>
        <w:pStyle w:val="TOC8"/>
        <w:rPr>
          <w:rFonts w:asciiTheme="minorHAnsi" w:eastAsiaTheme="minorEastAsia" w:hAnsiTheme="minorHAnsi" w:cstheme="minorBidi"/>
          <w:szCs w:val="22"/>
        </w:rPr>
      </w:pPr>
      <w:r>
        <w:t>3.</w:t>
      </w:r>
      <w:r>
        <w:tab/>
        <w:t>Warrant (provisional protection and care)</w:t>
      </w:r>
      <w:r>
        <w:tab/>
      </w:r>
      <w:r>
        <w:fldChar w:fldCharType="begin"/>
      </w:r>
      <w:r>
        <w:instrText xml:space="preserve"> PAGEREF _Toc416355215 \h </w:instrText>
      </w:r>
      <w:r>
        <w:fldChar w:fldCharType="separate"/>
      </w:r>
      <w:r>
        <w:t>27</w:t>
      </w:r>
      <w:r>
        <w:fldChar w:fldCharType="end"/>
      </w:r>
    </w:p>
    <w:p>
      <w:pPr>
        <w:pStyle w:val="TOC8"/>
        <w:rPr>
          <w:rFonts w:asciiTheme="minorHAnsi" w:eastAsiaTheme="minorEastAsia" w:hAnsiTheme="minorHAnsi" w:cstheme="minorBidi"/>
          <w:szCs w:val="22"/>
        </w:rPr>
      </w:pPr>
      <w:r>
        <w:t>4.</w:t>
      </w:r>
      <w:r>
        <w:tab/>
        <w:t>Parentage testing procedure</w:t>
      </w:r>
      <w:r>
        <w:tab/>
      </w:r>
      <w:r>
        <w:fldChar w:fldCharType="begin"/>
      </w:r>
      <w:r>
        <w:instrText xml:space="preserve"> PAGEREF _Toc416355216 \h </w:instrText>
      </w:r>
      <w:r>
        <w:fldChar w:fldCharType="separate"/>
      </w:r>
      <w:r>
        <w:t>29</w:t>
      </w:r>
      <w:r>
        <w:fldChar w:fldCharType="end"/>
      </w:r>
    </w:p>
    <w:p>
      <w:pPr>
        <w:pStyle w:val="TOC8"/>
        <w:rPr>
          <w:rFonts w:asciiTheme="minorHAnsi" w:eastAsiaTheme="minorEastAsia" w:hAnsiTheme="minorHAnsi" w:cstheme="minorBidi"/>
          <w:szCs w:val="22"/>
        </w:rPr>
      </w:pPr>
      <w:r>
        <w:t>5.</w:t>
      </w:r>
      <w:r>
        <w:tab/>
        <w:t>Parentage testing procedure</w:t>
      </w:r>
      <w:r>
        <w:tab/>
      </w:r>
      <w:r>
        <w:fldChar w:fldCharType="begin"/>
      </w:r>
      <w:r>
        <w:instrText xml:space="preserve"> PAGEREF _Toc416355217 \h </w:instrText>
      </w:r>
      <w:r>
        <w:fldChar w:fldCharType="separate"/>
      </w:r>
      <w:r>
        <w:t>32</w:t>
      </w:r>
      <w:r>
        <w:fldChar w:fldCharType="end"/>
      </w:r>
    </w:p>
    <w:p>
      <w:pPr>
        <w:pStyle w:val="TOC8"/>
        <w:rPr>
          <w:rFonts w:asciiTheme="minorHAnsi" w:eastAsiaTheme="minorEastAsia" w:hAnsiTheme="minorHAnsi" w:cstheme="minorBidi"/>
          <w:szCs w:val="22"/>
        </w:rPr>
      </w:pPr>
      <w:r>
        <w:t>6.</w:t>
      </w:r>
      <w:r>
        <w:tab/>
        <w:t>Parentage testing procedure report</w:t>
      </w:r>
      <w:r>
        <w:tab/>
      </w:r>
      <w:r>
        <w:fldChar w:fldCharType="begin"/>
      </w:r>
      <w:r>
        <w:instrText xml:space="preserve"> PAGEREF _Toc416355218 \h </w:instrText>
      </w:r>
      <w:r>
        <w:fldChar w:fldCharType="separate"/>
      </w:r>
      <w:r>
        <w:t>33</w:t>
      </w:r>
      <w:r>
        <w:fldChar w:fldCharType="end"/>
      </w:r>
    </w:p>
    <w:p>
      <w:pPr>
        <w:pStyle w:val="TOC2"/>
        <w:tabs>
          <w:tab w:val="right" w:leader="dot" w:pos="7077"/>
        </w:tabs>
        <w:rPr>
          <w:rFonts w:asciiTheme="minorHAnsi" w:eastAsiaTheme="minorEastAsia" w:hAnsiTheme="minorHAnsi" w:cstheme="minorBidi"/>
          <w:b w:val="0"/>
          <w:sz w:val="22"/>
          <w:szCs w:val="22"/>
        </w:rPr>
      </w:pPr>
      <w:r>
        <w:t>Notes</w:t>
      </w:r>
    </w:p>
    <w:p>
      <w:pPr>
        <w:pStyle w:val="TOC8"/>
        <w:rPr>
          <w:rFonts w:asciiTheme="minorHAnsi" w:eastAsiaTheme="minorEastAsia" w:hAnsiTheme="minorHAnsi" w:cstheme="minorBidi"/>
          <w:szCs w:val="22"/>
        </w:rPr>
      </w:pPr>
      <w:r>
        <w:tab/>
        <w:t>Compilation table</w:t>
      </w:r>
      <w:r>
        <w:tab/>
      </w:r>
      <w:r>
        <w:fldChar w:fldCharType="begin"/>
      </w:r>
      <w:r>
        <w:instrText xml:space="preserve"> PAGEREF _Toc416355220 \h </w:instrText>
      </w:r>
      <w:r>
        <w:fldChar w:fldCharType="separate"/>
      </w:r>
      <w:r>
        <w:t>37</w:t>
      </w:r>
      <w:r>
        <w:fldChar w:fldCharType="end"/>
      </w:r>
    </w:p>
    <w:p>
      <w:pPr>
        <w:pStyle w:val="TOC8"/>
        <w:rPr>
          <w:rFonts w:asciiTheme="minorHAnsi" w:eastAsiaTheme="minorEastAsia" w:hAnsiTheme="minorHAnsi" w:cstheme="minorBidi"/>
          <w:szCs w:val="22"/>
        </w:rPr>
      </w:pPr>
      <w:r>
        <w:tab/>
        <w:t>Provisions that have not come into operation</w:t>
      </w:r>
      <w:r>
        <w:tab/>
      </w:r>
      <w:r>
        <w:fldChar w:fldCharType="begin"/>
      </w:r>
      <w:r>
        <w:instrText xml:space="preserve"> PAGEREF _Toc416355221 \h </w:instrText>
      </w:r>
      <w:r>
        <w:fldChar w:fldCharType="separate"/>
      </w:r>
      <w:r>
        <w:t>38</w:t>
      </w:r>
      <w:r>
        <w:fldChar w:fldCharType="end"/>
      </w:r>
    </w:p>
    <w:p>
      <w:pPr>
        <w:pStyle w:val="TOC2"/>
        <w:tabs>
          <w:tab w:val="right" w:leader="dot" w:pos="7077"/>
        </w:tabs>
        <w:rPr>
          <w:rFonts w:asciiTheme="minorHAnsi" w:eastAsiaTheme="minorEastAsia" w:hAnsiTheme="minorHAnsi" w:cstheme="minorBidi"/>
          <w:b w:val="0"/>
          <w:sz w:val="22"/>
          <w:szCs w:val="22"/>
        </w:rPr>
      </w:pPr>
      <w:r>
        <w:t>Defined terms</w:t>
      </w:r>
    </w:p>
    <w:p>
      <w:pPr>
        <w:pStyle w:val="NoteHeading"/>
      </w:pPr>
      <w:r>
        <w:fldChar w:fldCharType="end"/>
      </w: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Pr>
        <w:pStyle w:val="NoteHeading"/>
        <w:sectPr>
          <w:headerReference w:type="even" r:id="rId15"/>
          <w:headerReference w:type="default" r:id="rId16"/>
          <w:footerReference w:type="even" r:id="rId17"/>
          <w:footerReference w:type="default" r:id="rId18"/>
          <w:headerReference w:type="first" r:id="rId19"/>
          <w:footerReference w:type="first" r:id="rId20"/>
          <w:type w:val="oddPage"/>
          <w:pgSz w:w="11907" w:h="16840" w:code="9"/>
          <w:pgMar w:top="2381" w:right="2410" w:bottom="3544" w:left="2410" w:header="720" w:footer="3544" w:gutter="0"/>
          <w:pgNumType w:fmt="lowerRoman" w:start="1"/>
          <w:cols w:space="720"/>
          <w:noEndnote/>
          <w:titlePg/>
        </w:sectPr>
      </w:pPr>
    </w:p>
    <w:p>
      <w:pPr>
        <w:pStyle w:val="WA"/>
        <w:spacing w:before="120"/>
      </w:pPr>
      <w:r>
        <w:t>Western Australia</w:t>
      </w:r>
    </w:p>
    <w:p>
      <w:pPr>
        <w:pStyle w:val="PrincipalActReg"/>
      </w:pPr>
      <w:r>
        <w:t>Children and Community Services Act 2004</w:t>
      </w:r>
    </w:p>
    <w:p>
      <w:pPr>
        <w:pStyle w:val="NameofActReg"/>
      </w:pPr>
      <w:r>
        <w:t>Children and Community Services Regulations 2006</w:t>
      </w:r>
    </w:p>
    <w:p>
      <w:pPr>
        <w:pStyle w:val="Heading2"/>
        <w:pageBreakBefore w:val="0"/>
        <w:spacing w:before="480"/>
      </w:pPr>
      <w:bookmarkStart w:id="3" w:name="_Toc378075896"/>
      <w:bookmarkStart w:id="4" w:name="_Toc391629093"/>
      <w:bookmarkStart w:id="5" w:name="_Toc415581810"/>
      <w:bookmarkStart w:id="6" w:name="_Toc415581881"/>
      <w:bookmarkStart w:id="7" w:name="_Toc415581943"/>
      <w:bookmarkStart w:id="8" w:name="_Toc415663449"/>
      <w:bookmarkStart w:id="9" w:name="_Toc416355097"/>
      <w:bookmarkStart w:id="10" w:name="_Toc416355160"/>
      <w:r>
        <w:rPr>
          <w:rStyle w:val="CharPartNo"/>
        </w:rPr>
        <w:t>Part 1</w:t>
      </w:r>
      <w:r>
        <w:rPr>
          <w:rStyle w:val="CharDivNo"/>
        </w:rPr>
        <w:t> </w:t>
      </w:r>
      <w:r>
        <w:t>—</w:t>
      </w:r>
      <w:r>
        <w:rPr>
          <w:rStyle w:val="CharDivText"/>
        </w:rPr>
        <w:t> </w:t>
      </w:r>
      <w:r>
        <w:rPr>
          <w:rStyle w:val="CharPartText"/>
        </w:rPr>
        <w:t>Preliminary</w:t>
      </w:r>
      <w:bookmarkEnd w:id="3"/>
      <w:bookmarkEnd w:id="4"/>
      <w:bookmarkEnd w:id="5"/>
      <w:bookmarkEnd w:id="6"/>
      <w:bookmarkEnd w:id="7"/>
      <w:bookmarkEnd w:id="8"/>
      <w:bookmarkEnd w:id="9"/>
      <w:bookmarkEnd w:id="10"/>
    </w:p>
    <w:p>
      <w:pPr>
        <w:pStyle w:val="Heading5"/>
      </w:pPr>
      <w:bookmarkStart w:id="11" w:name="_Toc391629094"/>
      <w:bookmarkStart w:id="12" w:name="_Toc416355161"/>
      <w:r>
        <w:rPr>
          <w:rStyle w:val="CharSectno"/>
        </w:rPr>
        <w:t>1</w:t>
      </w:r>
      <w:r>
        <w:t>.</w:t>
      </w:r>
      <w:r>
        <w:tab/>
        <w:t>Citation</w:t>
      </w:r>
      <w:bookmarkEnd w:id="11"/>
      <w:bookmarkEnd w:id="12"/>
    </w:p>
    <w:p>
      <w:pPr>
        <w:pStyle w:val="Subsection"/>
        <w:rPr>
          <w:i/>
        </w:rPr>
      </w:pPr>
      <w:r>
        <w:tab/>
      </w:r>
      <w:r>
        <w:tab/>
      </w:r>
      <w:r>
        <w:rPr>
          <w:spacing w:val="-2"/>
        </w:rPr>
        <w:t>These</w:t>
      </w:r>
      <w:r>
        <w:t xml:space="preserve"> </w:t>
      </w:r>
      <w:r>
        <w:rPr>
          <w:spacing w:val="-2"/>
        </w:rPr>
        <w:t>regulations</w:t>
      </w:r>
      <w:r>
        <w:t xml:space="preserve"> are the </w:t>
      </w:r>
      <w:r>
        <w:rPr>
          <w:i/>
        </w:rPr>
        <w:t>Children and Community Services Regulations 2006</w:t>
      </w:r>
      <w:r>
        <w:rPr>
          <w:iCs/>
          <w:vertAlign w:val="superscript"/>
        </w:rPr>
        <w:t> 1</w:t>
      </w:r>
      <w:r>
        <w:t>.</w:t>
      </w:r>
    </w:p>
    <w:p>
      <w:pPr>
        <w:pStyle w:val="Heading5"/>
        <w:rPr>
          <w:spacing w:val="-2"/>
        </w:rPr>
      </w:pPr>
      <w:bookmarkStart w:id="13" w:name="_Toc391629095"/>
      <w:bookmarkStart w:id="14" w:name="_Toc416355162"/>
      <w:r>
        <w:rPr>
          <w:rStyle w:val="CharSectno"/>
        </w:rPr>
        <w:t>2</w:t>
      </w:r>
      <w:r>
        <w:rPr>
          <w:spacing w:val="-2"/>
        </w:rPr>
        <w:t>.</w:t>
      </w:r>
      <w:r>
        <w:rPr>
          <w:spacing w:val="-2"/>
        </w:rPr>
        <w:tab/>
        <w:t>Commencement</w:t>
      </w:r>
      <w:bookmarkEnd w:id="13"/>
      <w:bookmarkEnd w:id="14"/>
    </w:p>
    <w:p>
      <w:pPr>
        <w:pStyle w:val="Subsection"/>
        <w:rPr>
          <w:rFonts w:ascii="Times" w:hAnsi="Times"/>
        </w:rPr>
      </w:pPr>
      <w:r>
        <w:rPr>
          <w:spacing w:val="-2"/>
        </w:rPr>
        <w:tab/>
      </w:r>
      <w:r>
        <w:rPr>
          <w:spacing w:val="-2"/>
        </w:rPr>
        <w:tab/>
        <w:t>These regulations come into operation on the day on which section 250 comes into operation</w:t>
      </w:r>
      <w:r>
        <w:rPr>
          <w:iCs/>
          <w:vertAlign w:val="superscript"/>
        </w:rPr>
        <w:t> 1</w:t>
      </w:r>
      <w:r>
        <w:rPr>
          <w:rFonts w:ascii="Times" w:hAnsi="Times"/>
        </w:rPr>
        <w:t>.</w:t>
      </w:r>
    </w:p>
    <w:p>
      <w:pPr>
        <w:pStyle w:val="Heading5"/>
      </w:pPr>
      <w:bookmarkStart w:id="15" w:name="_Toc391629096"/>
      <w:bookmarkStart w:id="16" w:name="_Toc416355163"/>
      <w:r>
        <w:rPr>
          <w:rStyle w:val="CharSectno"/>
        </w:rPr>
        <w:t>3</w:t>
      </w:r>
      <w:r>
        <w:t>.</w:t>
      </w:r>
      <w:r>
        <w:tab/>
        <w:t>Terms used</w:t>
      </w:r>
      <w:bookmarkEnd w:id="15"/>
      <w:bookmarkEnd w:id="16"/>
    </w:p>
    <w:p>
      <w:pPr>
        <w:pStyle w:val="Subsection"/>
      </w:pPr>
      <w:r>
        <w:tab/>
      </w:r>
      <w:r>
        <w:tab/>
        <w:t xml:space="preserve">In these regulations, unless the contrary intention appears — </w:t>
      </w:r>
    </w:p>
    <w:p>
      <w:pPr>
        <w:pStyle w:val="Defstart"/>
      </w:pPr>
      <w:r>
        <w:rPr>
          <w:b/>
        </w:rPr>
        <w:tab/>
      </w:r>
      <w:r>
        <w:rPr>
          <w:rStyle w:val="CharDefText"/>
        </w:rPr>
        <w:t>President</w:t>
      </w:r>
      <w:r>
        <w:t xml:space="preserve"> means the President of the Children’s Court;</w:t>
      </w:r>
    </w:p>
    <w:p>
      <w:pPr>
        <w:pStyle w:val="Defstart"/>
      </w:pPr>
      <w:r>
        <w:rPr>
          <w:b/>
        </w:rPr>
        <w:tab/>
      </w:r>
      <w:r>
        <w:rPr>
          <w:rStyle w:val="CharDefText"/>
        </w:rPr>
        <w:t>section</w:t>
      </w:r>
      <w:r>
        <w:t xml:space="preserve"> means a section of the Act.</w:t>
      </w:r>
    </w:p>
    <w:p>
      <w:pPr>
        <w:pStyle w:val="Heading2"/>
      </w:pPr>
      <w:bookmarkStart w:id="17" w:name="_Toc378075900"/>
      <w:bookmarkStart w:id="18" w:name="_Toc391629097"/>
      <w:bookmarkStart w:id="19" w:name="_Toc415581814"/>
      <w:bookmarkStart w:id="20" w:name="_Toc415581885"/>
      <w:bookmarkStart w:id="21" w:name="_Toc415581947"/>
      <w:bookmarkStart w:id="22" w:name="_Toc415663453"/>
      <w:bookmarkStart w:id="23" w:name="_Toc416355101"/>
      <w:bookmarkStart w:id="24" w:name="_Toc416355164"/>
      <w:r>
        <w:rPr>
          <w:rStyle w:val="CharPartNo"/>
        </w:rPr>
        <w:t>Part 2</w:t>
      </w:r>
      <w:r>
        <w:rPr>
          <w:rStyle w:val="CharDivNo"/>
        </w:rPr>
        <w:t> </w:t>
      </w:r>
      <w:r>
        <w:t>—</w:t>
      </w:r>
      <w:r>
        <w:rPr>
          <w:rStyle w:val="CharDivText"/>
        </w:rPr>
        <w:t> </w:t>
      </w:r>
      <w:r>
        <w:rPr>
          <w:rStyle w:val="CharPartText"/>
        </w:rPr>
        <w:t>Children in the CEO’s care</w:t>
      </w:r>
      <w:bookmarkEnd w:id="17"/>
      <w:bookmarkEnd w:id="18"/>
      <w:bookmarkEnd w:id="19"/>
      <w:bookmarkEnd w:id="20"/>
      <w:bookmarkEnd w:id="21"/>
      <w:bookmarkEnd w:id="22"/>
      <w:bookmarkEnd w:id="23"/>
      <w:bookmarkEnd w:id="24"/>
    </w:p>
    <w:p>
      <w:pPr>
        <w:pStyle w:val="Heading5"/>
      </w:pPr>
      <w:bookmarkStart w:id="25" w:name="_Toc391629098"/>
      <w:bookmarkStart w:id="26" w:name="_Toc416355165"/>
      <w:r>
        <w:rPr>
          <w:rStyle w:val="CharSectno"/>
        </w:rPr>
        <w:t>4</w:t>
      </w:r>
      <w:r>
        <w:t>.</w:t>
      </w:r>
      <w:r>
        <w:tab/>
        <w:t>Approval of carers (Act s. 79(2)(a)(i))</w:t>
      </w:r>
      <w:bookmarkEnd w:id="25"/>
      <w:bookmarkEnd w:id="26"/>
    </w:p>
    <w:p>
      <w:pPr>
        <w:pStyle w:val="Subsection"/>
      </w:pPr>
      <w:r>
        <w:tab/>
        <w:t>(1)</w:t>
      </w:r>
      <w:r>
        <w:tab/>
        <w:t xml:space="preserve">The CEO may approve an individual for the purposes of section 79(2)(a)(i) if — </w:t>
      </w:r>
    </w:p>
    <w:p>
      <w:pPr>
        <w:pStyle w:val="Indenta"/>
      </w:pPr>
      <w:r>
        <w:tab/>
        <w:t>(a)</w:t>
      </w:r>
      <w:r>
        <w:tab/>
        <w:t xml:space="preserve">the CEO is satisfied that the individual — </w:t>
      </w:r>
    </w:p>
    <w:p>
      <w:pPr>
        <w:pStyle w:val="Indenti"/>
      </w:pPr>
      <w:r>
        <w:tab/>
        <w:t>(i)</w:t>
      </w:r>
      <w:r>
        <w:tab/>
        <w:t>is able to provide care for a child in a way that promotes the wellbeing of the child, promotes the child’s family and interpersonal relationships, and protects the child from harm; and</w:t>
      </w:r>
    </w:p>
    <w:p>
      <w:pPr>
        <w:pStyle w:val="Indenti"/>
      </w:pPr>
      <w:r>
        <w:tab/>
        <w:t>(ii)</w:t>
      </w:r>
      <w:r>
        <w:tab/>
        <w:t>is able to provide a safe living environment for a child; and</w:t>
      </w:r>
    </w:p>
    <w:p>
      <w:pPr>
        <w:pStyle w:val="Indenti"/>
      </w:pPr>
      <w:r>
        <w:tab/>
        <w:t>(iii)</w:t>
      </w:r>
      <w:r>
        <w:tab/>
        <w:t>is able to work cooperatively with officers, a child’s family and other people when providing care for a child; and</w:t>
      </w:r>
    </w:p>
    <w:p>
      <w:pPr>
        <w:pStyle w:val="Indenti"/>
      </w:pPr>
      <w:r>
        <w:tab/>
        <w:t>(iv)</w:t>
      </w:r>
      <w:r>
        <w:tab/>
        <w:t>is able to take responsibility for the development of his or her competency and skills as a carer; and</w:t>
      </w:r>
    </w:p>
    <w:p>
      <w:pPr>
        <w:pStyle w:val="Indenti"/>
      </w:pPr>
      <w:r>
        <w:tab/>
        <w:t>(v)</w:t>
      </w:r>
      <w:r>
        <w:tab/>
        <w:t>is a person of good character and repute;</w:t>
      </w:r>
    </w:p>
    <w:p>
      <w:pPr>
        <w:pStyle w:val="Indenta"/>
      </w:pPr>
      <w:r>
        <w:tab/>
      </w:r>
      <w:r>
        <w:tab/>
        <w:t>and</w:t>
      </w:r>
    </w:p>
    <w:p>
      <w:pPr>
        <w:pStyle w:val="Indenta"/>
      </w:pPr>
      <w:r>
        <w:tab/>
        <w:t>(b)</w:t>
      </w:r>
      <w:r>
        <w:tab/>
        <w:t xml:space="preserve">a negative notice or an interim negative notice has not been issued to the individual under the </w:t>
      </w:r>
      <w:r>
        <w:rPr>
          <w:i/>
          <w:iCs/>
        </w:rPr>
        <w:t>Working with Children (Criminal Record Checking) Act 2004</w:t>
      </w:r>
      <w:r>
        <w:t>.</w:t>
      </w:r>
    </w:p>
    <w:p>
      <w:pPr>
        <w:pStyle w:val="Subsection"/>
      </w:pPr>
      <w:r>
        <w:tab/>
        <w:t>(2)</w:t>
      </w:r>
      <w:r>
        <w:tab/>
        <w:t xml:space="preserve">The CEO may, subject to subregulation (3), revoke an approval under subregulation (1) if — </w:t>
      </w:r>
    </w:p>
    <w:p>
      <w:pPr>
        <w:pStyle w:val="Indenta"/>
      </w:pPr>
      <w:r>
        <w:tab/>
        <w:t>(a)</w:t>
      </w:r>
      <w:r>
        <w:tab/>
        <w:t>the CEO can no longer be satisfied as to a matter referred to in subregulation (1)(a) in relation to the individual; or</w:t>
      </w:r>
    </w:p>
    <w:p>
      <w:pPr>
        <w:pStyle w:val="Indenta"/>
      </w:pPr>
      <w:r>
        <w:tab/>
        <w:t>(b)</w:t>
      </w:r>
      <w:r>
        <w:tab/>
        <w:t xml:space="preserve">a negative notice or an interim negative notice has been issued to the individual under the </w:t>
      </w:r>
      <w:r>
        <w:rPr>
          <w:i/>
          <w:iCs/>
        </w:rPr>
        <w:t>Working with Children (Criminal Record Checking) Act 2004</w:t>
      </w:r>
      <w:r>
        <w:t>; or</w:t>
      </w:r>
    </w:p>
    <w:p>
      <w:pPr>
        <w:pStyle w:val="Indenta"/>
      </w:pPr>
      <w:r>
        <w:tab/>
        <w:t>(c)</w:t>
      </w:r>
      <w:r>
        <w:tab/>
        <w:t>there are reasonable grounds for believing that the approval was obtained improperly.</w:t>
      </w:r>
    </w:p>
    <w:p>
      <w:pPr>
        <w:pStyle w:val="Subsection"/>
      </w:pPr>
      <w:r>
        <w:tab/>
        <w:t>(3)</w:t>
      </w:r>
      <w:r>
        <w:tab/>
        <w:t xml:space="preserve">Before revoking an approval the CEO must — </w:t>
      </w:r>
    </w:p>
    <w:p>
      <w:pPr>
        <w:pStyle w:val="Indenta"/>
        <w:spacing w:before="78"/>
      </w:pPr>
      <w:r>
        <w:tab/>
        <w:t>(a)</w:t>
      </w:r>
      <w:r>
        <w:tab/>
        <w:t xml:space="preserve">give a written notice to the individual — </w:t>
      </w:r>
    </w:p>
    <w:p>
      <w:pPr>
        <w:pStyle w:val="Indenti"/>
        <w:spacing w:before="78"/>
      </w:pPr>
      <w:r>
        <w:tab/>
        <w:t>(i)</w:t>
      </w:r>
      <w:r>
        <w:tab/>
        <w:t>stating the reasons for the proposed revocation; and</w:t>
      </w:r>
    </w:p>
    <w:p>
      <w:pPr>
        <w:pStyle w:val="Indenti"/>
        <w:spacing w:before="78"/>
      </w:pPr>
      <w:r>
        <w:tab/>
        <w:t>(ii)</w:t>
      </w:r>
      <w:r>
        <w:tab/>
        <w:t>informing the individual that the individual is entitled to make representations to the CEO in respect of the proposed revocation within 28 days after receipt of the notice;</w:t>
      </w:r>
    </w:p>
    <w:p>
      <w:pPr>
        <w:pStyle w:val="Indenta"/>
        <w:spacing w:before="78"/>
      </w:pPr>
      <w:r>
        <w:tab/>
      </w:r>
      <w:r>
        <w:tab/>
        <w:t>and</w:t>
      </w:r>
    </w:p>
    <w:p>
      <w:pPr>
        <w:pStyle w:val="Indenta"/>
        <w:spacing w:before="78"/>
      </w:pPr>
      <w:r>
        <w:tab/>
        <w:t>(b)</w:t>
      </w:r>
      <w:r>
        <w:tab/>
        <w:t>have regard to any representations made within the period referred to in paragraph (a)(ii).</w:t>
      </w:r>
    </w:p>
    <w:p>
      <w:pPr>
        <w:pStyle w:val="Heading5"/>
      </w:pPr>
      <w:bookmarkStart w:id="27" w:name="_Toc391629099"/>
      <w:bookmarkStart w:id="28" w:name="_Toc416355166"/>
      <w:r>
        <w:rPr>
          <w:rStyle w:val="CharSectno"/>
        </w:rPr>
        <w:t>5</w:t>
      </w:r>
      <w:r>
        <w:t>.</w:t>
      </w:r>
      <w:r>
        <w:tab/>
        <w:t>Records, prescribed information for (Act s. 128)</w:t>
      </w:r>
      <w:bookmarkEnd w:id="27"/>
      <w:bookmarkEnd w:id="28"/>
    </w:p>
    <w:p>
      <w:pPr>
        <w:pStyle w:val="Subsection"/>
      </w:pPr>
      <w:r>
        <w:tab/>
        <w:t>(1)</w:t>
      </w:r>
      <w:r>
        <w:tab/>
        <w:t xml:space="preserve">The following information is prescribed for the purposes of section 128 — </w:t>
      </w:r>
    </w:p>
    <w:p>
      <w:pPr>
        <w:pStyle w:val="Indenta"/>
        <w:spacing w:before="76"/>
      </w:pPr>
      <w:r>
        <w:tab/>
        <w:t>(a)</w:t>
      </w:r>
      <w:r>
        <w:tab/>
        <w:t>the child’s name;</w:t>
      </w:r>
    </w:p>
    <w:p>
      <w:pPr>
        <w:pStyle w:val="Indenta"/>
        <w:spacing w:before="76"/>
      </w:pPr>
      <w:r>
        <w:tab/>
        <w:t>(b)</w:t>
      </w:r>
      <w:r>
        <w:tab/>
        <w:t>the child’s date of birth and place of birth to the extent that such information is available;</w:t>
      </w:r>
    </w:p>
    <w:p>
      <w:pPr>
        <w:pStyle w:val="Indenta"/>
        <w:spacing w:before="76"/>
      </w:pPr>
      <w:r>
        <w:tab/>
        <w:t>(c)</w:t>
      </w:r>
      <w:r>
        <w:tab/>
        <w:t>a copy of the child’s care plan or provisional care plan and any modifications to it;</w:t>
      </w:r>
    </w:p>
    <w:p>
      <w:pPr>
        <w:pStyle w:val="Indenta"/>
        <w:spacing w:before="76"/>
      </w:pPr>
      <w:r>
        <w:tab/>
        <w:t>(d)</w:t>
      </w:r>
      <w:r>
        <w:tab/>
        <w:t xml:space="preserve">information about the child’s health, including a copy of any medical records and immunisation records — </w:t>
      </w:r>
    </w:p>
    <w:p>
      <w:pPr>
        <w:pStyle w:val="Indenti"/>
        <w:spacing w:before="76"/>
      </w:pPr>
      <w:r>
        <w:tab/>
        <w:t>(i)</w:t>
      </w:r>
      <w:r>
        <w:tab/>
        <w:t>relating to the period in which the child is in the CEO’s care; or</w:t>
      </w:r>
    </w:p>
    <w:p>
      <w:pPr>
        <w:pStyle w:val="Indenti"/>
        <w:spacing w:before="76"/>
      </w:pPr>
      <w:r>
        <w:tab/>
        <w:t>(ii)</w:t>
      </w:r>
      <w:r>
        <w:tab/>
        <w:t>otherwise provided to the CEO;</w:t>
      </w:r>
    </w:p>
    <w:p>
      <w:pPr>
        <w:pStyle w:val="Indenta"/>
        <w:spacing w:before="76"/>
      </w:pPr>
      <w:r>
        <w:tab/>
        <w:t>(e)</w:t>
      </w:r>
      <w:r>
        <w:tab/>
        <w:t xml:space="preserve">information about the child’s education, including a copy of any school reports — </w:t>
      </w:r>
    </w:p>
    <w:p>
      <w:pPr>
        <w:pStyle w:val="Indenti"/>
        <w:spacing w:before="76"/>
      </w:pPr>
      <w:r>
        <w:tab/>
        <w:t>(i)</w:t>
      </w:r>
      <w:r>
        <w:tab/>
        <w:t>relating to the period in which the child is in the CEO’s care; or</w:t>
      </w:r>
    </w:p>
    <w:p>
      <w:pPr>
        <w:pStyle w:val="Indenti"/>
        <w:spacing w:before="76"/>
      </w:pPr>
      <w:r>
        <w:tab/>
        <w:t>(ii)</w:t>
      </w:r>
      <w:r>
        <w:tab/>
        <w:t>otherwise provided to the CEO;</w:t>
      </w:r>
    </w:p>
    <w:p>
      <w:pPr>
        <w:pStyle w:val="Indenta"/>
        <w:spacing w:before="76"/>
      </w:pPr>
      <w:r>
        <w:tab/>
        <w:t>(f)</w:t>
      </w:r>
      <w:r>
        <w:tab/>
        <w:t>information about the child’s cultural, ethnic, religious and family background to the extent that such information is available;</w:t>
      </w:r>
    </w:p>
    <w:p>
      <w:pPr>
        <w:pStyle w:val="Indenta"/>
      </w:pPr>
      <w:r>
        <w:tab/>
        <w:t>(g)</w:t>
      </w:r>
      <w:r>
        <w:tab/>
        <w:t>any other information considered by the CEO to be relevant to the child.</w:t>
      </w:r>
    </w:p>
    <w:p>
      <w:pPr>
        <w:pStyle w:val="Subsection"/>
      </w:pPr>
      <w:r>
        <w:tab/>
        <w:t>(2)</w:t>
      </w:r>
      <w:r>
        <w:tab/>
        <w:t xml:space="preserve">In subregulation (1)(c) — </w:t>
      </w:r>
    </w:p>
    <w:p>
      <w:pPr>
        <w:pStyle w:val="Defstart"/>
      </w:pPr>
      <w:r>
        <w:rPr>
          <w:b/>
        </w:rPr>
        <w:tab/>
      </w:r>
      <w:r>
        <w:rPr>
          <w:rStyle w:val="CharDefText"/>
        </w:rPr>
        <w:t>care plan</w:t>
      </w:r>
      <w:r>
        <w:t xml:space="preserve"> has the meaning given to that term in section 89(1);</w:t>
      </w:r>
    </w:p>
    <w:p>
      <w:pPr>
        <w:pStyle w:val="Defstart"/>
      </w:pPr>
      <w:r>
        <w:rPr>
          <w:b/>
        </w:rPr>
        <w:tab/>
      </w:r>
      <w:r>
        <w:rPr>
          <w:rStyle w:val="CharDefText"/>
        </w:rPr>
        <w:t>provisional care plan</w:t>
      </w:r>
      <w:r>
        <w:t xml:space="preserve"> has the meaning given to that term in section 39(1).</w:t>
      </w:r>
    </w:p>
    <w:p>
      <w:pPr>
        <w:pStyle w:val="Heading2"/>
      </w:pPr>
      <w:bookmarkStart w:id="29" w:name="_Toc378075903"/>
      <w:bookmarkStart w:id="30" w:name="_Toc391629100"/>
      <w:bookmarkStart w:id="31" w:name="_Toc415581817"/>
      <w:bookmarkStart w:id="32" w:name="_Toc415581888"/>
      <w:bookmarkStart w:id="33" w:name="_Toc415581950"/>
      <w:bookmarkStart w:id="34" w:name="_Toc415663456"/>
      <w:bookmarkStart w:id="35" w:name="_Toc416355104"/>
      <w:bookmarkStart w:id="36" w:name="_Toc416355167"/>
      <w:r>
        <w:rPr>
          <w:rStyle w:val="CharPartNo"/>
        </w:rPr>
        <w:t>Part 3</w:t>
      </w:r>
      <w:r>
        <w:rPr>
          <w:rStyle w:val="CharDivNo"/>
        </w:rPr>
        <w:t> </w:t>
      </w:r>
      <w:r>
        <w:t>—</w:t>
      </w:r>
      <w:r>
        <w:rPr>
          <w:rStyle w:val="CharDivText"/>
        </w:rPr>
        <w:t> </w:t>
      </w:r>
      <w:r>
        <w:rPr>
          <w:rStyle w:val="CharPartText"/>
        </w:rPr>
        <w:t>Restraint, search and seizure</w:t>
      </w:r>
      <w:bookmarkEnd w:id="29"/>
      <w:bookmarkEnd w:id="30"/>
      <w:bookmarkEnd w:id="31"/>
      <w:bookmarkEnd w:id="32"/>
      <w:bookmarkEnd w:id="33"/>
      <w:bookmarkEnd w:id="34"/>
      <w:bookmarkEnd w:id="35"/>
      <w:bookmarkEnd w:id="36"/>
    </w:p>
    <w:p>
      <w:pPr>
        <w:pStyle w:val="Heading5"/>
      </w:pPr>
      <w:bookmarkStart w:id="37" w:name="_Toc391629101"/>
      <w:bookmarkStart w:id="38" w:name="_Toc416355168"/>
      <w:r>
        <w:rPr>
          <w:rStyle w:val="CharSectno"/>
        </w:rPr>
        <w:t>6</w:t>
      </w:r>
      <w:r>
        <w:t>.</w:t>
      </w:r>
      <w:r>
        <w:tab/>
        <w:t>Prescribed amount (Act s. 112 “disposable article”)</w:t>
      </w:r>
      <w:bookmarkEnd w:id="37"/>
      <w:bookmarkEnd w:id="38"/>
    </w:p>
    <w:p>
      <w:pPr>
        <w:pStyle w:val="Subsection"/>
      </w:pPr>
      <w:r>
        <w:tab/>
      </w:r>
      <w:r>
        <w:tab/>
        <w:t xml:space="preserve">For the purposes of paragraph (c) of the definition of </w:t>
      </w:r>
      <w:r>
        <w:rPr>
          <w:b/>
          <w:i/>
        </w:rPr>
        <w:t>disposable article</w:t>
      </w:r>
      <w:r>
        <w:t xml:space="preserve"> in section 112 the amount of $30 is prescribed.</w:t>
      </w:r>
    </w:p>
    <w:p>
      <w:pPr>
        <w:pStyle w:val="Heading5"/>
      </w:pPr>
      <w:bookmarkStart w:id="39" w:name="_Toc391629102"/>
      <w:bookmarkStart w:id="40" w:name="_Toc416355169"/>
      <w:r>
        <w:rPr>
          <w:rStyle w:val="CharSectno"/>
        </w:rPr>
        <w:t>7</w:t>
      </w:r>
      <w:r>
        <w:t>.</w:t>
      </w:r>
      <w:r>
        <w:tab/>
        <w:t>Restraint of child under Act s. 114, officer’s duties after</w:t>
      </w:r>
      <w:bookmarkEnd w:id="39"/>
      <w:bookmarkEnd w:id="40"/>
    </w:p>
    <w:p>
      <w:pPr>
        <w:pStyle w:val="Subsection"/>
      </w:pPr>
      <w:r>
        <w:tab/>
      </w:r>
      <w:r>
        <w:tab/>
        <w:t xml:space="preserve">An authorised officer who restrains a child in the exercise of the power conferred by section 114 (the </w:t>
      </w:r>
      <w:r>
        <w:rPr>
          <w:rStyle w:val="CharDefText"/>
        </w:rPr>
        <w:t>incident</w:t>
      </w:r>
      <w:r>
        <w:t xml:space="preserve">) must — </w:t>
      </w:r>
    </w:p>
    <w:p>
      <w:pPr>
        <w:pStyle w:val="Indenta"/>
      </w:pPr>
      <w:r>
        <w:tab/>
        <w:t>(a)</w:t>
      </w:r>
      <w:r>
        <w:tab/>
        <w:t>record the date and time of the incident; and</w:t>
      </w:r>
    </w:p>
    <w:p>
      <w:pPr>
        <w:pStyle w:val="Indenta"/>
      </w:pPr>
      <w:r>
        <w:tab/>
        <w:t>(b)</w:t>
      </w:r>
      <w:r>
        <w:tab/>
        <w:t>give the CEO a written report on the incident as soon as practicable after it occurs.</w:t>
      </w:r>
    </w:p>
    <w:p>
      <w:pPr>
        <w:pStyle w:val="Heading5"/>
      </w:pPr>
      <w:bookmarkStart w:id="41" w:name="_Toc391629103"/>
      <w:bookmarkStart w:id="42" w:name="_Toc416355170"/>
      <w:r>
        <w:rPr>
          <w:rStyle w:val="CharSectno"/>
        </w:rPr>
        <w:t>8</w:t>
      </w:r>
      <w:r>
        <w:t>.</w:t>
      </w:r>
      <w:r>
        <w:tab/>
        <w:t>Articles seized under Act s. 116, dealing with</w:t>
      </w:r>
      <w:bookmarkEnd w:id="41"/>
      <w:bookmarkEnd w:id="42"/>
    </w:p>
    <w:p>
      <w:pPr>
        <w:pStyle w:val="Subsection"/>
      </w:pPr>
      <w:r>
        <w:tab/>
        <w:t>(1)</w:t>
      </w:r>
      <w:r>
        <w:tab/>
        <w:t xml:space="preserve">In this regulation — </w:t>
      </w:r>
    </w:p>
    <w:p>
      <w:pPr>
        <w:pStyle w:val="Defstart"/>
      </w:pPr>
      <w:r>
        <w:rPr>
          <w:b/>
        </w:rPr>
        <w:tab/>
      </w:r>
      <w:r>
        <w:rPr>
          <w:rStyle w:val="CharDefText"/>
        </w:rPr>
        <w:t>seized article</w:t>
      </w:r>
      <w:r>
        <w:t xml:space="preserve"> means a thing or substance seized under section 116.</w:t>
      </w:r>
    </w:p>
    <w:p>
      <w:pPr>
        <w:pStyle w:val="Subsection"/>
      </w:pPr>
      <w:r>
        <w:tab/>
        <w:t>(2)</w:t>
      </w:r>
      <w:r>
        <w:tab/>
        <w:t>This regulation applies if it is not reasonably practicable for an officer to return a seized article to a child.</w:t>
      </w:r>
    </w:p>
    <w:p>
      <w:pPr>
        <w:pStyle w:val="Subsection"/>
      </w:pPr>
      <w:r>
        <w:tab/>
        <w:t>(3)</w:t>
      </w:r>
      <w:r>
        <w:tab/>
        <w:t>The CEO may direct that the seized article be sold or destroyed or disposed of in some other way.</w:t>
      </w:r>
    </w:p>
    <w:p>
      <w:pPr>
        <w:pStyle w:val="Subsection"/>
      </w:pPr>
      <w:r>
        <w:tab/>
        <w:t>(4)</w:t>
      </w:r>
      <w:r>
        <w:tab/>
        <w:t>If the CEO issues a direction under subregulation (3), the officer must arrange for the sale, destruction or disposal of the seized article in accordance with the direction.</w:t>
      </w:r>
    </w:p>
    <w:p>
      <w:pPr>
        <w:pStyle w:val="Subsection"/>
      </w:pPr>
      <w:r>
        <w:tab/>
        <w:t>(5)</w:t>
      </w:r>
      <w:r>
        <w:tab/>
        <w:t>If the seized article is sold, the proceeds of the sale, after the deduction of the reasonable costs of the sale, must be credited to the Consolidated Account</w:t>
      </w:r>
      <w:r>
        <w:rPr>
          <w:iCs/>
          <w:vertAlign w:val="superscript"/>
        </w:rPr>
        <w:t> 2</w:t>
      </w:r>
      <w:r>
        <w:t>.</w:t>
      </w:r>
    </w:p>
    <w:p>
      <w:pPr>
        <w:pStyle w:val="Heading2"/>
      </w:pPr>
      <w:bookmarkStart w:id="43" w:name="_Toc378075907"/>
      <w:bookmarkStart w:id="44" w:name="_Toc391629104"/>
      <w:bookmarkStart w:id="45" w:name="_Toc415581821"/>
      <w:bookmarkStart w:id="46" w:name="_Toc415581892"/>
      <w:bookmarkStart w:id="47" w:name="_Toc415581954"/>
      <w:bookmarkStart w:id="48" w:name="_Toc415663460"/>
      <w:bookmarkStart w:id="49" w:name="_Toc416355108"/>
      <w:bookmarkStart w:id="50" w:name="_Toc416355171"/>
      <w:r>
        <w:rPr>
          <w:rStyle w:val="CharPartNo"/>
        </w:rPr>
        <w:t>Part 4AA</w:t>
      </w:r>
      <w:r>
        <w:rPr>
          <w:b w:val="0"/>
        </w:rPr>
        <w:t> </w:t>
      </w:r>
      <w:r>
        <w:t>—</w:t>
      </w:r>
      <w:r>
        <w:rPr>
          <w:b w:val="0"/>
        </w:rPr>
        <w:t> </w:t>
      </w:r>
      <w:r>
        <w:rPr>
          <w:rStyle w:val="CharPartText"/>
        </w:rPr>
        <w:t>Warrants</w:t>
      </w:r>
      <w:bookmarkEnd w:id="43"/>
      <w:bookmarkEnd w:id="44"/>
      <w:bookmarkEnd w:id="45"/>
      <w:bookmarkEnd w:id="46"/>
      <w:bookmarkEnd w:id="47"/>
      <w:bookmarkEnd w:id="48"/>
      <w:bookmarkEnd w:id="49"/>
      <w:bookmarkEnd w:id="50"/>
    </w:p>
    <w:p>
      <w:pPr>
        <w:pStyle w:val="Footnoteheading"/>
      </w:pPr>
      <w:r>
        <w:tab/>
        <w:t>Heading inserted in Gazette 19 Jun 2009 p. 2226.]</w:t>
      </w:r>
    </w:p>
    <w:p>
      <w:pPr>
        <w:pStyle w:val="Heading5"/>
      </w:pPr>
      <w:bookmarkStart w:id="51" w:name="_Toc391629105"/>
      <w:bookmarkStart w:id="52" w:name="_Toc416355172"/>
      <w:r>
        <w:rPr>
          <w:rStyle w:val="CharSectno"/>
        </w:rPr>
        <w:t>9AA</w:t>
      </w:r>
      <w:r>
        <w:t>.</w:t>
      </w:r>
      <w:r>
        <w:tab/>
        <w:t>Form of warrant (access) (Act s. 121(1))</w:t>
      </w:r>
      <w:bookmarkEnd w:id="51"/>
      <w:bookmarkEnd w:id="52"/>
    </w:p>
    <w:p>
      <w:pPr>
        <w:pStyle w:val="Subsection"/>
      </w:pPr>
      <w:r>
        <w:tab/>
      </w:r>
      <w:r>
        <w:tab/>
        <w:t>A warrant (access) as defined in section 121(1) is to be in the form of Schedule 1 Form 1.</w:t>
      </w:r>
    </w:p>
    <w:p>
      <w:pPr>
        <w:pStyle w:val="Footnotesection"/>
      </w:pPr>
      <w:r>
        <w:tab/>
        <w:t>[Regulation 9AA inserted in Gazette 19 Jun 2009 p. 2226.]</w:t>
      </w:r>
    </w:p>
    <w:p>
      <w:pPr>
        <w:pStyle w:val="Heading5"/>
      </w:pPr>
      <w:bookmarkStart w:id="53" w:name="_Toc391629106"/>
      <w:bookmarkStart w:id="54" w:name="_Toc416355173"/>
      <w:r>
        <w:rPr>
          <w:rStyle w:val="CharSectno"/>
        </w:rPr>
        <w:t>9AB</w:t>
      </w:r>
      <w:r>
        <w:t>.</w:t>
      </w:r>
      <w:r>
        <w:tab/>
        <w:t>Form of warrant (apprehension) (Act s. 122(1))</w:t>
      </w:r>
      <w:bookmarkEnd w:id="53"/>
      <w:bookmarkEnd w:id="54"/>
    </w:p>
    <w:p>
      <w:pPr>
        <w:pStyle w:val="Subsection"/>
      </w:pPr>
      <w:r>
        <w:tab/>
      </w:r>
      <w:r>
        <w:tab/>
        <w:t>A warrant (apprehension) as defined in section 122(1) is to be in the form of Schedule 1 Form 2.</w:t>
      </w:r>
    </w:p>
    <w:p>
      <w:pPr>
        <w:pStyle w:val="Footnotesection"/>
      </w:pPr>
      <w:r>
        <w:tab/>
        <w:t>[Regulation 9AB inserted in Gazette 19 Jun 2009 p. 2226.]</w:t>
      </w:r>
    </w:p>
    <w:p>
      <w:pPr>
        <w:pStyle w:val="Heading5"/>
      </w:pPr>
      <w:bookmarkStart w:id="55" w:name="_Toc391629107"/>
      <w:bookmarkStart w:id="56" w:name="_Toc416355174"/>
      <w:r>
        <w:rPr>
          <w:rStyle w:val="CharSectno"/>
        </w:rPr>
        <w:t>9AC</w:t>
      </w:r>
      <w:r>
        <w:t>.</w:t>
      </w:r>
      <w:r>
        <w:tab/>
        <w:t>Form of warrant (provisional protection and care) (Act s. 123(1))</w:t>
      </w:r>
      <w:bookmarkEnd w:id="55"/>
      <w:bookmarkEnd w:id="56"/>
    </w:p>
    <w:p>
      <w:pPr>
        <w:pStyle w:val="Subsection"/>
      </w:pPr>
      <w:r>
        <w:tab/>
      </w:r>
      <w:r>
        <w:tab/>
        <w:t>A warrant (provisional protection and care) as defined in section 123(1) is to be in the form of Schedule 1 Form 3.</w:t>
      </w:r>
    </w:p>
    <w:p>
      <w:pPr>
        <w:pStyle w:val="Footnotesection"/>
      </w:pPr>
      <w:r>
        <w:tab/>
        <w:t>[Regulation 9AC inserted in Gazette 19 Jun 2009 p. 2226.]</w:t>
      </w:r>
    </w:p>
    <w:p>
      <w:pPr>
        <w:pStyle w:val="Ednotepart"/>
      </w:pPr>
      <w:r>
        <w:t>[Part 4A (r. 9A) deleted in Gazette 18 Jan 2011 p. 145.]</w:t>
      </w:r>
    </w:p>
    <w:p>
      <w:pPr>
        <w:pStyle w:val="Heading2"/>
      </w:pPr>
      <w:bookmarkStart w:id="57" w:name="_Toc378075911"/>
      <w:bookmarkStart w:id="58" w:name="_Toc391629108"/>
      <w:bookmarkStart w:id="59" w:name="_Toc415581825"/>
      <w:bookmarkStart w:id="60" w:name="_Toc415581896"/>
      <w:bookmarkStart w:id="61" w:name="_Toc415581958"/>
      <w:bookmarkStart w:id="62" w:name="_Toc415663464"/>
      <w:bookmarkStart w:id="63" w:name="_Toc416355112"/>
      <w:bookmarkStart w:id="64" w:name="_Toc416355175"/>
      <w:r>
        <w:rPr>
          <w:rStyle w:val="CharPartNo"/>
        </w:rPr>
        <w:t>Part 4</w:t>
      </w:r>
      <w:r>
        <w:rPr>
          <w:rStyle w:val="CharDivNo"/>
        </w:rPr>
        <w:t> </w:t>
      </w:r>
      <w:r>
        <w:t>—</w:t>
      </w:r>
      <w:r>
        <w:rPr>
          <w:rStyle w:val="CharDivText"/>
        </w:rPr>
        <w:t> </w:t>
      </w:r>
      <w:r>
        <w:rPr>
          <w:rStyle w:val="CharPartText"/>
        </w:rPr>
        <w:t>Pre</w:t>
      </w:r>
      <w:r>
        <w:rPr>
          <w:rStyle w:val="CharPartText"/>
        </w:rPr>
        <w:noBreakHyphen/>
        <w:t>hearing conferences</w:t>
      </w:r>
      <w:bookmarkEnd w:id="57"/>
      <w:bookmarkEnd w:id="58"/>
      <w:bookmarkEnd w:id="59"/>
      <w:bookmarkEnd w:id="60"/>
      <w:bookmarkEnd w:id="61"/>
      <w:bookmarkEnd w:id="62"/>
      <w:bookmarkEnd w:id="63"/>
      <w:bookmarkEnd w:id="64"/>
    </w:p>
    <w:p>
      <w:pPr>
        <w:pStyle w:val="Heading5"/>
      </w:pPr>
      <w:bookmarkStart w:id="65" w:name="_Toc391629109"/>
      <w:bookmarkStart w:id="66" w:name="_Toc416355176"/>
      <w:r>
        <w:rPr>
          <w:rStyle w:val="CharSectno"/>
        </w:rPr>
        <w:t>9</w:t>
      </w:r>
      <w:r>
        <w:t>.</w:t>
      </w:r>
      <w:r>
        <w:tab/>
        <w:t>Terms used</w:t>
      </w:r>
      <w:bookmarkEnd w:id="65"/>
      <w:bookmarkEnd w:id="66"/>
    </w:p>
    <w:p>
      <w:pPr>
        <w:pStyle w:val="Subsection"/>
      </w:pPr>
      <w:r>
        <w:tab/>
      </w:r>
      <w:r>
        <w:tab/>
        <w:t xml:space="preserve">In this Part — </w:t>
      </w:r>
    </w:p>
    <w:p>
      <w:pPr>
        <w:pStyle w:val="Defstart"/>
      </w:pPr>
      <w:r>
        <w:rPr>
          <w:b/>
        </w:rPr>
        <w:tab/>
      </w:r>
      <w:r>
        <w:rPr>
          <w:rStyle w:val="CharDefText"/>
        </w:rPr>
        <w:t>audio link</w:t>
      </w:r>
      <w:r>
        <w:t xml:space="preserve"> means facilities, including telephones, that enable, at the same time, the convenor and other people present at a pre</w:t>
      </w:r>
      <w:r>
        <w:noBreakHyphen/>
        <w:t>hearing conference to hear a person at another place and vice versa;</w:t>
      </w:r>
    </w:p>
    <w:p>
      <w:pPr>
        <w:pStyle w:val="Defstart"/>
      </w:pPr>
      <w:r>
        <w:rPr>
          <w:b/>
        </w:rPr>
        <w:tab/>
      </w:r>
      <w:r>
        <w:rPr>
          <w:rStyle w:val="CharDefText"/>
        </w:rPr>
        <w:t>video link</w:t>
      </w:r>
      <w:r>
        <w:t xml:space="preserve"> means facilities that enable, at the same time, the convenor and other people present at a pre</w:t>
      </w:r>
      <w:r>
        <w:noBreakHyphen/>
        <w:t>hearing conference to see and hear a person at another place and vice versa.</w:t>
      </w:r>
    </w:p>
    <w:p>
      <w:pPr>
        <w:pStyle w:val="Heading5"/>
      </w:pPr>
      <w:bookmarkStart w:id="67" w:name="_Toc391629110"/>
      <w:bookmarkStart w:id="68" w:name="_Toc416355177"/>
      <w:r>
        <w:rPr>
          <w:rStyle w:val="CharSectno"/>
        </w:rPr>
        <w:t>10</w:t>
      </w:r>
      <w:r>
        <w:t>.</w:t>
      </w:r>
      <w:r>
        <w:tab/>
        <w:t>Convenors, appointment of (Act s. 136)</w:t>
      </w:r>
      <w:bookmarkEnd w:id="67"/>
      <w:bookmarkEnd w:id="68"/>
    </w:p>
    <w:p>
      <w:pPr>
        <w:pStyle w:val="Subsection"/>
      </w:pPr>
      <w:r>
        <w:tab/>
      </w:r>
      <w:r>
        <w:tab/>
        <w:t xml:space="preserve">For the purposes of section 136 the President may appoint as a convenor — </w:t>
      </w:r>
    </w:p>
    <w:p>
      <w:pPr>
        <w:pStyle w:val="Indenta"/>
      </w:pPr>
      <w:r>
        <w:tab/>
        <w:t>(a)</w:t>
      </w:r>
      <w:r>
        <w:tab/>
        <w:t>a person by virtue of the office or position held by the person in the Court; or</w:t>
      </w:r>
    </w:p>
    <w:p>
      <w:pPr>
        <w:pStyle w:val="Indenta"/>
      </w:pPr>
      <w:r>
        <w:tab/>
        <w:t>(b)</w:t>
      </w:r>
      <w:r>
        <w:tab/>
        <w:t>a person who, in the opinion of the President, has appropriate qualifications and experience.</w:t>
      </w:r>
    </w:p>
    <w:p>
      <w:pPr>
        <w:pStyle w:val="Heading5"/>
      </w:pPr>
      <w:bookmarkStart w:id="69" w:name="_Toc391629111"/>
      <w:bookmarkStart w:id="70" w:name="_Toc416355178"/>
      <w:r>
        <w:rPr>
          <w:rStyle w:val="CharSectno"/>
        </w:rPr>
        <w:t>11</w:t>
      </w:r>
      <w:r>
        <w:t>.</w:t>
      </w:r>
      <w:r>
        <w:tab/>
        <w:t>Terms and conditions of convenors’ appointments</w:t>
      </w:r>
      <w:bookmarkEnd w:id="69"/>
      <w:bookmarkEnd w:id="70"/>
    </w:p>
    <w:p>
      <w:pPr>
        <w:pStyle w:val="Subsection"/>
      </w:pPr>
      <w:r>
        <w:tab/>
        <w:t>(1)</w:t>
      </w:r>
      <w:r>
        <w:tab/>
        <w:t>A convenor appointed under regulation 10(b) holds office for the period, not exceeding 3 years, specified in his or her instrument of appointment and is eligible for reappointment.</w:t>
      </w:r>
    </w:p>
    <w:p>
      <w:pPr>
        <w:pStyle w:val="Subsection"/>
      </w:pPr>
      <w:r>
        <w:tab/>
        <w:t>(2)</w:t>
      </w:r>
      <w:r>
        <w:tab/>
        <w:t>The remuneration, allowances, and other terms and conditions of appointment, of a convenor appointed under regulation 10(b) are as described in his or her instrument of appointment.</w:t>
      </w:r>
    </w:p>
    <w:p>
      <w:pPr>
        <w:pStyle w:val="Heading5"/>
      </w:pPr>
      <w:bookmarkStart w:id="71" w:name="_Toc391629112"/>
      <w:bookmarkStart w:id="72" w:name="_Toc416355179"/>
      <w:r>
        <w:rPr>
          <w:rStyle w:val="CharSectno"/>
        </w:rPr>
        <w:t>12</w:t>
      </w:r>
      <w:r>
        <w:t>.</w:t>
      </w:r>
      <w:r>
        <w:tab/>
        <w:t>Resignation by convenor</w:t>
      </w:r>
      <w:bookmarkEnd w:id="71"/>
      <w:bookmarkEnd w:id="72"/>
    </w:p>
    <w:p>
      <w:pPr>
        <w:pStyle w:val="Subsection"/>
      </w:pPr>
      <w:r>
        <w:tab/>
      </w:r>
      <w:r>
        <w:tab/>
        <w:t>A convenor appointed under regulation 10(b) may resign from office by giving the President a signed letter of resignation.</w:t>
      </w:r>
    </w:p>
    <w:p>
      <w:pPr>
        <w:pStyle w:val="Heading5"/>
      </w:pPr>
      <w:bookmarkStart w:id="73" w:name="_Toc391629113"/>
      <w:bookmarkStart w:id="74" w:name="_Toc416355180"/>
      <w:r>
        <w:rPr>
          <w:rStyle w:val="CharSectno"/>
        </w:rPr>
        <w:t>13</w:t>
      </w:r>
      <w:r>
        <w:t>.</w:t>
      </w:r>
      <w:r>
        <w:tab/>
        <w:t>Removing convenor from office</w:t>
      </w:r>
      <w:bookmarkEnd w:id="73"/>
      <w:bookmarkEnd w:id="74"/>
    </w:p>
    <w:p>
      <w:pPr>
        <w:pStyle w:val="Subsection"/>
      </w:pPr>
      <w:r>
        <w:tab/>
      </w:r>
      <w:r>
        <w:tab/>
        <w:t>The President may remove a convenor appointed under regulation 10(b) from office at any time.</w:t>
      </w:r>
    </w:p>
    <w:p>
      <w:pPr>
        <w:pStyle w:val="Heading5"/>
      </w:pPr>
      <w:bookmarkStart w:id="75" w:name="_Toc391629114"/>
      <w:bookmarkStart w:id="76" w:name="_Toc416355181"/>
      <w:r>
        <w:rPr>
          <w:rStyle w:val="CharSectno"/>
        </w:rPr>
        <w:t>14</w:t>
      </w:r>
      <w:r>
        <w:t>.</w:t>
      </w:r>
      <w:r>
        <w:tab/>
        <w:t>People who may attend pre</w:t>
      </w:r>
      <w:r>
        <w:noBreakHyphen/>
        <w:t>hearing conference</w:t>
      </w:r>
      <w:bookmarkEnd w:id="75"/>
      <w:bookmarkEnd w:id="76"/>
    </w:p>
    <w:p>
      <w:pPr>
        <w:pStyle w:val="Subsection"/>
      </w:pPr>
      <w:r>
        <w:tab/>
        <w:t>(1)</w:t>
      </w:r>
      <w:r>
        <w:tab/>
        <w:t>The following people may attend a pre</w:t>
      </w:r>
      <w:r>
        <w:noBreakHyphen/>
        <w:t xml:space="preserve">hearing conference — </w:t>
      </w:r>
    </w:p>
    <w:p>
      <w:pPr>
        <w:pStyle w:val="Indenta"/>
      </w:pPr>
      <w:r>
        <w:tab/>
        <w:t>(a)</w:t>
      </w:r>
      <w:r>
        <w:tab/>
        <w:t>the child unless the convenor of the conference otherwise directs;</w:t>
      </w:r>
    </w:p>
    <w:p>
      <w:pPr>
        <w:pStyle w:val="Indenta"/>
      </w:pPr>
      <w:r>
        <w:tab/>
        <w:t>(b)</w:t>
      </w:r>
      <w:r>
        <w:tab/>
        <w:t>any other party to the protection proceedings;</w:t>
      </w:r>
    </w:p>
    <w:p>
      <w:pPr>
        <w:pStyle w:val="Indenta"/>
      </w:pPr>
      <w:r>
        <w:tab/>
        <w:t>(c)</w:t>
      </w:r>
      <w:r>
        <w:tab/>
        <w:t>a legal representative of a party to the protection proceedings;</w:t>
      </w:r>
    </w:p>
    <w:p>
      <w:pPr>
        <w:pStyle w:val="Indenta"/>
      </w:pPr>
      <w:r>
        <w:tab/>
        <w:t>(d)</w:t>
      </w:r>
      <w:r>
        <w:tab/>
        <w:t>a person allowed to attend under subregulation (2).</w:t>
      </w:r>
    </w:p>
    <w:p>
      <w:pPr>
        <w:pStyle w:val="Subsection"/>
      </w:pPr>
      <w:r>
        <w:tab/>
        <w:t>(2)</w:t>
      </w:r>
      <w:r>
        <w:tab/>
        <w:t>The convenor of a pre</w:t>
      </w:r>
      <w:r>
        <w:noBreakHyphen/>
        <w:t>hearing conference may allow a person to attend the conference if the convenor considers that the person is significant in the child’s life.</w:t>
      </w:r>
    </w:p>
    <w:p>
      <w:pPr>
        <w:pStyle w:val="Heading5"/>
      </w:pPr>
      <w:bookmarkStart w:id="77" w:name="_Toc391629115"/>
      <w:bookmarkStart w:id="78" w:name="_Toc416355182"/>
      <w:r>
        <w:rPr>
          <w:rStyle w:val="CharSectno"/>
        </w:rPr>
        <w:t>15</w:t>
      </w:r>
      <w:r>
        <w:t>.</w:t>
      </w:r>
      <w:r>
        <w:tab/>
        <w:t>Participation using video link, audio link etc.</w:t>
      </w:r>
      <w:bookmarkEnd w:id="77"/>
      <w:bookmarkEnd w:id="78"/>
    </w:p>
    <w:p>
      <w:pPr>
        <w:pStyle w:val="Subsection"/>
      </w:pPr>
      <w:r>
        <w:tab/>
      </w:r>
      <w:r>
        <w:tab/>
        <w:t>The convenor of a pre</w:t>
      </w:r>
      <w:r>
        <w:noBreakHyphen/>
        <w:t>hearing conference must, if directed by the Court to do so, and may, in any other case, allow a person who is unable to attend the pre</w:t>
      </w:r>
      <w:r>
        <w:noBreakHyphen/>
        <w:t>hearing conference in person to participate in the conference by means of video link, audio link or other electronic means.</w:t>
      </w:r>
    </w:p>
    <w:p>
      <w:pPr>
        <w:pStyle w:val="Heading2"/>
      </w:pPr>
      <w:bookmarkStart w:id="79" w:name="_Toc378075919"/>
      <w:bookmarkStart w:id="80" w:name="_Toc391629116"/>
      <w:bookmarkStart w:id="81" w:name="_Toc415581833"/>
      <w:bookmarkStart w:id="82" w:name="_Toc415581904"/>
      <w:bookmarkStart w:id="83" w:name="_Toc415581966"/>
      <w:bookmarkStart w:id="84" w:name="_Toc415663472"/>
      <w:bookmarkStart w:id="85" w:name="_Toc416355120"/>
      <w:bookmarkStart w:id="86" w:name="_Toc416355183"/>
      <w:r>
        <w:rPr>
          <w:rStyle w:val="CharPartNo"/>
        </w:rPr>
        <w:t>Part 5A</w:t>
      </w:r>
      <w:r>
        <w:rPr>
          <w:b w:val="0"/>
        </w:rPr>
        <w:t> </w:t>
      </w:r>
      <w:r>
        <w:t>—</w:t>
      </w:r>
      <w:r>
        <w:rPr>
          <w:b w:val="0"/>
        </w:rPr>
        <w:t> </w:t>
      </w:r>
      <w:r>
        <w:rPr>
          <w:rStyle w:val="CharPartText"/>
        </w:rPr>
        <w:t>Parentage testing procedures and reports</w:t>
      </w:r>
      <w:bookmarkEnd w:id="79"/>
      <w:bookmarkEnd w:id="80"/>
      <w:bookmarkEnd w:id="81"/>
      <w:bookmarkEnd w:id="82"/>
      <w:bookmarkEnd w:id="83"/>
      <w:bookmarkEnd w:id="84"/>
      <w:bookmarkEnd w:id="85"/>
      <w:bookmarkEnd w:id="86"/>
    </w:p>
    <w:p>
      <w:pPr>
        <w:pStyle w:val="Footnoteheading"/>
      </w:pPr>
      <w:r>
        <w:tab/>
        <w:t>[Heading inserted in Gazette 28 Jan 2011 p. 243.]</w:t>
      </w:r>
    </w:p>
    <w:p>
      <w:pPr>
        <w:pStyle w:val="Heading3"/>
      </w:pPr>
      <w:bookmarkStart w:id="87" w:name="_Toc378075920"/>
      <w:bookmarkStart w:id="88" w:name="_Toc391629117"/>
      <w:bookmarkStart w:id="89" w:name="_Toc415581834"/>
      <w:bookmarkStart w:id="90" w:name="_Toc415581905"/>
      <w:bookmarkStart w:id="91" w:name="_Toc415581967"/>
      <w:bookmarkStart w:id="92" w:name="_Toc415663473"/>
      <w:bookmarkStart w:id="93" w:name="_Toc416355121"/>
      <w:bookmarkStart w:id="94" w:name="_Toc416355184"/>
      <w:r>
        <w:rPr>
          <w:rStyle w:val="CharDivNo"/>
        </w:rPr>
        <w:t>Division 1</w:t>
      </w:r>
      <w:r>
        <w:t> — </w:t>
      </w:r>
      <w:r>
        <w:rPr>
          <w:rStyle w:val="CharDivText"/>
        </w:rPr>
        <w:t>General</w:t>
      </w:r>
      <w:bookmarkEnd w:id="87"/>
      <w:bookmarkEnd w:id="88"/>
      <w:bookmarkEnd w:id="89"/>
      <w:bookmarkEnd w:id="90"/>
      <w:bookmarkEnd w:id="91"/>
      <w:bookmarkEnd w:id="92"/>
      <w:bookmarkEnd w:id="93"/>
      <w:bookmarkEnd w:id="94"/>
    </w:p>
    <w:p>
      <w:pPr>
        <w:pStyle w:val="Footnoteheading"/>
      </w:pPr>
      <w:r>
        <w:tab/>
        <w:t>[Heading inserted in Gazette 28 Jan 2011 p. 243.]</w:t>
      </w:r>
    </w:p>
    <w:p>
      <w:pPr>
        <w:pStyle w:val="Heading5"/>
      </w:pPr>
      <w:bookmarkStart w:id="95" w:name="_Toc391629118"/>
      <w:bookmarkStart w:id="96" w:name="_Toc416355185"/>
      <w:r>
        <w:rPr>
          <w:rStyle w:val="CharSectno"/>
        </w:rPr>
        <w:t>16A</w:t>
      </w:r>
      <w:r>
        <w:t>.</w:t>
      </w:r>
      <w:r>
        <w:tab/>
        <w:t>Terms used</w:t>
      </w:r>
      <w:bookmarkEnd w:id="95"/>
      <w:bookmarkEnd w:id="96"/>
    </w:p>
    <w:p>
      <w:pPr>
        <w:pStyle w:val="Subsection"/>
      </w:pPr>
      <w:r>
        <w:tab/>
      </w:r>
      <w:r>
        <w:tab/>
        <w:t xml:space="preserve">In this Part — </w:t>
      </w:r>
    </w:p>
    <w:p>
      <w:pPr>
        <w:pStyle w:val="Defstart"/>
      </w:pPr>
      <w:r>
        <w:tab/>
      </w:r>
      <w:r>
        <w:rPr>
          <w:rStyle w:val="CharDefText"/>
        </w:rPr>
        <w:t>bodily sample</w:t>
      </w:r>
      <w:r>
        <w:t xml:space="preserve"> is not limited to a sample of blood;</w:t>
      </w:r>
    </w:p>
    <w:p>
      <w:pPr>
        <w:pStyle w:val="Defstart"/>
      </w:pPr>
      <w:r>
        <w:tab/>
      </w:r>
      <w:r>
        <w:rPr>
          <w:rStyle w:val="CharDefText"/>
        </w:rPr>
        <w:t>donor</w:t>
      </w:r>
      <w:r>
        <w:t xml:space="preserve"> means a person required to provide a bodily sample for the purposes of a parentage testing procedure;</w:t>
      </w:r>
    </w:p>
    <w:p>
      <w:pPr>
        <w:pStyle w:val="Defstart"/>
        <w:rPr>
          <w:iCs/>
        </w:rPr>
      </w:pPr>
      <w:r>
        <w:tab/>
      </w:r>
      <w:r>
        <w:rPr>
          <w:rStyle w:val="CharDefText"/>
        </w:rPr>
        <w:t>guardian</w:t>
      </w:r>
      <w:r>
        <w:t xml:space="preserve">, in relation to a represented person, means a person appointed as a guardian of the person under the </w:t>
      </w:r>
      <w:r>
        <w:rPr>
          <w:i/>
        </w:rPr>
        <w:t xml:space="preserve">Guardianship and Administration Act 1990 </w:t>
      </w:r>
      <w:r>
        <w:rPr>
          <w:iCs/>
        </w:rPr>
        <w:t>section 43;</w:t>
      </w:r>
    </w:p>
    <w:p>
      <w:pPr>
        <w:pStyle w:val="Defstart"/>
      </w:pPr>
      <w:r>
        <w:tab/>
      </w:r>
      <w:r>
        <w:rPr>
          <w:rStyle w:val="CharDefText"/>
        </w:rPr>
        <w:t>HLA</w:t>
      </w:r>
      <w:r>
        <w:t xml:space="preserve"> means human leucocyte antigen;</w:t>
      </w:r>
    </w:p>
    <w:p>
      <w:pPr>
        <w:pStyle w:val="Defstart"/>
      </w:pPr>
      <w:r>
        <w:tab/>
      </w:r>
      <w:r>
        <w:rPr>
          <w:rStyle w:val="CharDefText"/>
        </w:rPr>
        <w:t>medical practitioner</w:t>
      </w:r>
      <w:r>
        <w:t xml:space="preserve"> means a person registered under the </w:t>
      </w:r>
      <w:r>
        <w:rPr>
          <w:i/>
          <w:iCs/>
        </w:rPr>
        <w:t>Health Practitioner Regulation National Law (</w:t>
      </w:r>
      <w:smartTag w:uri="urn:schemas-microsoft-com:office:smarttags" w:element="place">
        <w:smartTag w:uri="urn:schemas-microsoft-com:office:smarttags" w:element="State">
          <w:r>
            <w:rPr>
              <w:i/>
              <w:iCs/>
            </w:rPr>
            <w:t>Western Australia</w:t>
          </w:r>
        </w:smartTag>
      </w:smartTag>
      <w:r>
        <w:rPr>
          <w:i/>
          <w:iCs/>
        </w:rPr>
        <w:t>)</w:t>
      </w:r>
      <w:r>
        <w:t xml:space="preserve"> in the medical profession;</w:t>
      </w:r>
    </w:p>
    <w:p>
      <w:pPr>
        <w:pStyle w:val="Defstart"/>
      </w:pPr>
      <w:r>
        <w:tab/>
      </w:r>
      <w:r>
        <w:rPr>
          <w:rStyle w:val="CharDefText"/>
        </w:rPr>
        <w:t>NATA</w:t>
      </w:r>
      <w:r>
        <w:t xml:space="preserve"> means the National Association of Testing Authorities, </w:t>
      </w:r>
      <w:smartTag w:uri="urn:schemas-microsoft-com:office:smarttags" w:element="place">
        <w:smartTag w:uri="urn:schemas-microsoft-com:office:smarttags" w:element="country-region">
          <w:r>
            <w:t>Australia</w:t>
          </w:r>
        </w:smartTag>
      </w:smartTag>
      <w:r>
        <w:t>;</w:t>
      </w:r>
    </w:p>
    <w:p>
      <w:pPr>
        <w:pStyle w:val="Defstart"/>
      </w:pPr>
      <w:r>
        <w:tab/>
      </w:r>
      <w:r>
        <w:rPr>
          <w:rStyle w:val="CharDefText"/>
        </w:rPr>
        <w:t>nominated reporter</w:t>
      </w:r>
      <w:r>
        <w:t xml:space="preserve"> means the person nominated by a laboratory to prepare a report relating to the information obtained as a result of carrying out a parentage testing procedure at that laboratory;</w:t>
      </w:r>
    </w:p>
    <w:p>
      <w:pPr>
        <w:pStyle w:val="Defstart"/>
      </w:pPr>
      <w:r>
        <w:tab/>
      </w:r>
      <w:r>
        <w:rPr>
          <w:rStyle w:val="CharDefText"/>
        </w:rPr>
        <w:t>report</w:t>
      </w:r>
      <w:r>
        <w:t xml:space="preserve"> means a report in accordance with regulation 16L;</w:t>
      </w:r>
    </w:p>
    <w:p>
      <w:pPr>
        <w:pStyle w:val="Defstart"/>
      </w:pPr>
      <w:r>
        <w:tab/>
      </w:r>
      <w:r>
        <w:rPr>
          <w:rStyle w:val="CharDefText"/>
        </w:rPr>
        <w:t>represented person</w:t>
      </w:r>
      <w:r>
        <w:t xml:space="preserve"> means a person in respect of whom a guardianship order made under the </w:t>
      </w:r>
      <w:r>
        <w:rPr>
          <w:i/>
        </w:rPr>
        <w:t>Guardianship and Administration Act 1990</w:t>
      </w:r>
      <w:r>
        <w:t xml:space="preserve"> is in force;</w:t>
      </w:r>
    </w:p>
    <w:p>
      <w:pPr>
        <w:pStyle w:val="Defstart"/>
      </w:pPr>
      <w:r>
        <w:tab/>
      </w:r>
      <w:r>
        <w:rPr>
          <w:rStyle w:val="CharDefText"/>
        </w:rPr>
        <w:t>responsible person</w:t>
      </w:r>
      <w:r>
        <w:t xml:space="preserve">, for a child, means — </w:t>
      </w:r>
    </w:p>
    <w:p>
      <w:pPr>
        <w:pStyle w:val="Defpara"/>
      </w:pPr>
      <w:r>
        <w:tab/>
        <w:t>(a)</w:t>
      </w:r>
      <w:r>
        <w:tab/>
        <w:t>if the child is in provisional protection and care, or is the subject of a protection order (time limited) or protection order (until 18), the CEO or a person nominated by the CEO;</w:t>
      </w:r>
    </w:p>
    <w:p>
      <w:pPr>
        <w:pStyle w:val="Defpara"/>
      </w:pPr>
      <w:r>
        <w:tab/>
        <w:t>(b)</w:t>
      </w:r>
      <w:r>
        <w:tab/>
        <w:t xml:space="preserve">otherwise — </w:t>
      </w:r>
    </w:p>
    <w:p>
      <w:pPr>
        <w:pStyle w:val="Defsubpara"/>
      </w:pPr>
      <w:r>
        <w:tab/>
        <w:t>(i)</w:t>
      </w:r>
      <w:r>
        <w:tab/>
        <w:t>a person responsible for the long term care, welfare and development of the child; or</w:t>
      </w:r>
    </w:p>
    <w:p>
      <w:pPr>
        <w:pStyle w:val="Defsubpara"/>
      </w:pPr>
      <w:r>
        <w:tab/>
        <w:t>(ii)</w:t>
      </w:r>
      <w:r>
        <w:tab/>
        <w:t>a person nominated by the Court for the purposes of this Part;</w:t>
      </w:r>
    </w:p>
    <w:p>
      <w:pPr>
        <w:pStyle w:val="Defstart"/>
      </w:pPr>
      <w:r>
        <w:tab/>
      </w:r>
      <w:r>
        <w:rPr>
          <w:rStyle w:val="CharDefText"/>
        </w:rPr>
        <w:t>sample</w:t>
      </w:r>
      <w:r>
        <w:t xml:space="preserve"> means a sample taken from a donor for the purposes of a parentage testing procedure;</w:t>
      </w:r>
    </w:p>
    <w:p>
      <w:pPr>
        <w:pStyle w:val="Defstart"/>
      </w:pPr>
      <w:r>
        <w:tab/>
      </w:r>
      <w:r>
        <w:rPr>
          <w:rStyle w:val="CharDefText"/>
        </w:rPr>
        <w:t>sampler</w:t>
      </w:r>
      <w:r>
        <w:t xml:space="preserve"> means a person who takes a bodily sample from a donor for the purposes of a parentage testing procedure;</w:t>
      </w:r>
    </w:p>
    <w:p>
      <w:pPr>
        <w:pStyle w:val="Defstart"/>
      </w:pPr>
      <w:r>
        <w:tab/>
      </w:r>
      <w:r>
        <w:rPr>
          <w:rStyle w:val="CharDefText"/>
        </w:rPr>
        <w:t>testing</w:t>
      </w:r>
      <w:r>
        <w:t xml:space="preserve"> means the implementation, or any part of the implementation, of a parentage testing procedure.</w:t>
      </w:r>
    </w:p>
    <w:p>
      <w:pPr>
        <w:pStyle w:val="Footnotesection"/>
      </w:pPr>
      <w:r>
        <w:tab/>
        <w:t>[Regulation 16A inserted in Gazette 28 Jan 2011 p. 243-4.]</w:t>
      </w:r>
    </w:p>
    <w:p>
      <w:pPr>
        <w:pStyle w:val="Heading5"/>
      </w:pPr>
      <w:bookmarkStart w:id="97" w:name="_Toc391629119"/>
      <w:bookmarkStart w:id="98" w:name="_Toc416355186"/>
      <w:r>
        <w:rPr>
          <w:rStyle w:val="CharSectno"/>
        </w:rPr>
        <w:t>16B</w:t>
      </w:r>
      <w:r>
        <w:t>.</w:t>
      </w:r>
      <w:r>
        <w:tab/>
        <w:t>Parentage testing procedures (Act s. 136A)</w:t>
      </w:r>
      <w:bookmarkEnd w:id="97"/>
      <w:bookmarkEnd w:id="98"/>
    </w:p>
    <w:p>
      <w:pPr>
        <w:pStyle w:val="Subsection"/>
      </w:pPr>
      <w:r>
        <w:tab/>
      </w:r>
      <w:r>
        <w:tab/>
        <w:t xml:space="preserve">For the purposes of the definition of </w:t>
      </w:r>
      <w:r>
        <w:rPr>
          <w:b/>
          <w:bCs/>
          <w:i/>
          <w:iCs/>
        </w:rPr>
        <w:t>parentage testing procedure</w:t>
      </w:r>
      <w:r>
        <w:t xml:space="preserve"> in section 136A, the following medical procedures are prescribed — </w:t>
      </w:r>
    </w:p>
    <w:p>
      <w:pPr>
        <w:pStyle w:val="Indenta"/>
      </w:pPr>
      <w:r>
        <w:tab/>
        <w:t>(a)</w:t>
      </w:r>
      <w:r>
        <w:tab/>
        <w:t>red cell antigen blood grouping;</w:t>
      </w:r>
    </w:p>
    <w:p>
      <w:pPr>
        <w:pStyle w:val="Indenta"/>
      </w:pPr>
      <w:r>
        <w:tab/>
        <w:t>(b)</w:t>
      </w:r>
      <w:r>
        <w:tab/>
        <w:t>red cell enzyme blood grouping;</w:t>
      </w:r>
    </w:p>
    <w:p>
      <w:pPr>
        <w:pStyle w:val="Indenta"/>
      </w:pPr>
      <w:r>
        <w:tab/>
        <w:t>(c)</w:t>
      </w:r>
      <w:r>
        <w:tab/>
        <w:t>HLA tissue typing;</w:t>
      </w:r>
    </w:p>
    <w:p>
      <w:pPr>
        <w:pStyle w:val="Indenta"/>
      </w:pPr>
      <w:r>
        <w:tab/>
        <w:t>(d)</w:t>
      </w:r>
      <w:r>
        <w:tab/>
        <w:t>testing for serum markers;</w:t>
      </w:r>
    </w:p>
    <w:p>
      <w:pPr>
        <w:pStyle w:val="Indenta"/>
      </w:pPr>
      <w:r>
        <w:tab/>
        <w:t>(e)</w:t>
      </w:r>
      <w:r>
        <w:tab/>
        <w:t>DNA typing.</w:t>
      </w:r>
    </w:p>
    <w:p>
      <w:pPr>
        <w:pStyle w:val="Footnotesection"/>
      </w:pPr>
      <w:r>
        <w:tab/>
        <w:t>[Regulation 16B inserted in Gazette 28 Jan 2011 p. 244.]</w:t>
      </w:r>
    </w:p>
    <w:p>
      <w:pPr>
        <w:pStyle w:val="Heading5"/>
      </w:pPr>
      <w:bookmarkStart w:id="99" w:name="_Toc391629120"/>
      <w:bookmarkStart w:id="100" w:name="_Toc416355187"/>
      <w:r>
        <w:rPr>
          <w:rStyle w:val="CharSectno"/>
        </w:rPr>
        <w:t>16C</w:t>
      </w:r>
      <w:r>
        <w:t>.</w:t>
      </w:r>
      <w:r>
        <w:tab/>
        <w:t>Compliance with regulations</w:t>
      </w:r>
      <w:bookmarkEnd w:id="99"/>
      <w:bookmarkEnd w:id="100"/>
    </w:p>
    <w:p>
      <w:pPr>
        <w:pStyle w:val="Subsection"/>
      </w:pPr>
      <w:r>
        <w:tab/>
      </w:r>
      <w:r>
        <w:tab/>
        <w:t xml:space="preserve">A parentage testing procedure is taken to be carried out in accordance with these regulations if — </w:t>
      </w:r>
    </w:p>
    <w:p>
      <w:pPr>
        <w:pStyle w:val="Indenta"/>
      </w:pPr>
      <w:r>
        <w:tab/>
        <w:t>(a)</w:t>
      </w:r>
      <w:r>
        <w:tab/>
        <w:t xml:space="preserve">it is carried out — </w:t>
      </w:r>
    </w:p>
    <w:p>
      <w:pPr>
        <w:pStyle w:val="Indenti"/>
      </w:pPr>
      <w:r>
        <w:tab/>
        <w:t>(i)</w:t>
      </w:r>
      <w:r>
        <w:tab/>
        <w:t>in compliance with Division 2; and</w:t>
      </w:r>
    </w:p>
    <w:p>
      <w:pPr>
        <w:pStyle w:val="Indenti"/>
      </w:pPr>
      <w:r>
        <w:tab/>
        <w:t>(ii)</w:t>
      </w:r>
      <w:r>
        <w:tab/>
        <w:t>at a laboratory that is accredited by NATA for the purpose of carrying out parentage testing procedures; and</w:t>
      </w:r>
    </w:p>
    <w:p>
      <w:pPr>
        <w:pStyle w:val="Indenti"/>
      </w:pPr>
      <w:r>
        <w:tab/>
        <w:t>(iii)</w:t>
      </w:r>
      <w:r>
        <w:tab/>
        <w:t>in accordance with standards of practice that entitle the laboratory to be so accredited;</w:t>
      </w:r>
    </w:p>
    <w:p>
      <w:pPr>
        <w:pStyle w:val="Indenta"/>
      </w:pPr>
      <w:r>
        <w:tab/>
      </w:r>
      <w:r>
        <w:tab/>
        <w:t>and</w:t>
      </w:r>
    </w:p>
    <w:p>
      <w:pPr>
        <w:pStyle w:val="Indenta"/>
      </w:pPr>
      <w:r>
        <w:tab/>
        <w:t>(b)</w:t>
      </w:r>
      <w:r>
        <w:tab/>
        <w:t>a report for the procedure is prepared.</w:t>
      </w:r>
    </w:p>
    <w:p>
      <w:pPr>
        <w:pStyle w:val="Footnotesection"/>
      </w:pPr>
      <w:r>
        <w:tab/>
        <w:t>[Regulation 16C inserted in Gazette 28 Jan 2011 p. 245.]</w:t>
      </w:r>
    </w:p>
    <w:p>
      <w:pPr>
        <w:pStyle w:val="Heading3"/>
      </w:pPr>
      <w:bookmarkStart w:id="101" w:name="_Toc378075924"/>
      <w:bookmarkStart w:id="102" w:name="_Toc391629121"/>
      <w:bookmarkStart w:id="103" w:name="_Toc415581838"/>
      <w:bookmarkStart w:id="104" w:name="_Toc415581909"/>
      <w:bookmarkStart w:id="105" w:name="_Toc415581971"/>
      <w:bookmarkStart w:id="106" w:name="_Toc415663477"/>
      <w:bookmarkStart w:id="107" w:name="_Toc416355125"/>
      <w:bookmarkStart w:id="108" w:name="_Toc416355188"/>
      <w:r>
        <w:rPr>
          <w:rStyle w:val="CharDivNo"/>
        </w:rPr>
        <w:t>Division 2</w:t>
      </w:r>
      <w:r>
        <w:t> — </w:t>
      </w:r>
      <w:r>
        <w:rPr>
          <w:rStyle w:val="CharDivText"/>
        </w:rPr>
        <w:t>Collection, storage and testing of samples</w:t>
      </w:r>
      <w:bookmarkEnd w:id="101"/>
      <w:bookmarkEnd w:id="102"/>
      <w:bookmarkEnd w:id="103"/>
      <w:bookmarkEnd w:id="104"/>
      <w:bookmarkEnd w:id="105"/>
      <w:bookmarkEnd w:id="106"/>
      <w:bookmarkEnd w:id="107"/>
      <w:bookmarkEnd w:id="108"/>
    </w:p>
    <w:p>
      <w:pPr>
        <w:pStyle w:val="Footnoteheading"/>
      </w:pPr>
      <w:r>
        <w:tab/>
        <w:t>[Heading inserted in Gazette 28 Jan 2011 p. 245.]</w:t>
      </w:r>
    </w:p>
    <w:p>
      <w:pPr>
        <w:pStyle w:val="Heading5"/>
      </w:pPr>
      <w:bookmarkStart w:id="109" w:name="_Toc391629122"/>
      <w:bookmarkStart w:id="110" w:name="_Toc416355189"/>
      <w:r>
        <w:rPr>
          <w:rStyle w:val="CharSectno"/>
        </w:rPr>
        <w:t>16D</w:t>
      </w:r>
      <w:r>
        <w:t>.</w:t>
      </w:r>
      <w:r>
        <w:tab/>
        <w:t>Bodily samples, who may take</w:t>
      </w:r>
      <w:bookmarkEnd w:id="109"/>
      <w:bookmarkEnd w:id="110"/>
    </w:p>
    <w:p>
      <w:pPr>
        <w:pStyle w:val="Subsection"/>
      </w:pPr>
      <w:r>
        <w:tab/>
      </w:r>
      <w:r>
        <w:tab/>
        <w:t xml:space="preserve">A person must not take a bodily sample from a donor for the purposes of a parentage testing procedure unless — </w:t>
      </w:r>
    </w:p>
    <w:p>
      <w:pPr>
        <w:pStyle w:val="Indenta"/>
      </w:pPr>
      <w:r>
        <w:tab/>
        <w:t>(a)</w:t>
      </w:r>
      <w:r>
        <w:tab/>
        <w:t>the person is a medical practitioner; or</w:t>
      </w:r>
    </w:p>
    <w:p>
      <w:pPr>
        <w:pStyle w:val="Indenta"/>
      </w:pPr>
      <w:r>
        <w:tab/>
        <w:t>(b)</w:t>
      </w:r>
      <w:r>
        <w:tab/>
        <w:t>the person is employed by a hospital, a pathology practice, a parentage testing practice or a medical practitioner for the purpose of taking a bodily sample from a donor.</w:t>
      </w:r>
    </w:p>
    <w:p>
      <w:pPr>
        <w:pStyle w:val="Footnotesection"/>
      </w:pPr>
      <w:r>
        <w:tab/>
        <w:t>[Regulation 16D inserted in Gazette 28 Jan 2011 p. 245.]</w:t>
      </w:r>
    </w:p>
    <w:p>
      <w:pPr>
        <w:pStyle w:val="Heading5"/>
      </w:pPr>
      <w:bookmarkStart w:id="111" w:name="_Toc391629123"/>
      <w:bookmarkStart w:id="112" w:name="_Toc416355190"/>
      <w:r>
        <w:rPr>
          <w:rStyle w:val="CharSectno"/>
        </w:rPr>
        <w:t>16E</w:t>
      </w:r>
      <w:r>
        <w:t>.</w:t>
      </w:r>
      <w:r>
        <w:tab/>
        <w:t>Information about donor to be given before bodily sample taken</w:t>
      </w:r>
      <w:bookmarkEnd w:id="111"/>
      <w:bookmarkEnd w:id="112"/>
    </w:p>
    <w:p>
      <w:pPr>
        <w:pStyle w:val="Subsection"/>
      </w:pPr>
      <w:r>
        <w:tab/>
        <w:t>(1)</w:t>
      </w:r>
      <w:r>
        <w:tab/>
        <w:t xml:space="preserve">A sampler must not take a bodily sample from a donor unless the donor or, if subregulation (3) applies, a person who, under subregulation (3) can complete an affidavit, has — </w:t>
      </w:r>
    </w:p>
    <w:p>
      <w:pPr>
        <w:pStyle w:val="Indenta"/>
      </w:pPr>
      <w:r>
        <w:tab/>
        <w:t>(a)</w:t>
      </w:r>
      <w:r>
        <w:tab/>
        <w:t>immediately before the sampler takes the bodily sample, completed an affidavit in the form of Schedule 1 Form 4, to which is attached a recent photograph of the donor named in the affidavit; and</w:t>
      </w:r>
    </w:p>
    <w:p>
      <w:pPr>
        <w:pStyle w:val="Indenta"/>
        <w:keepNext/>
      </w:pPr>
      <w:r>
        <w:tab/>
        <w:t>(b)</w:t>
      </w:r>
      <w:r>
        <w:tab/>
        <w:t xml:space="preserve">either — </w:t>
      </w:r>
    </w:p>
    <w:p>
      <w:pPr>
        <w:pStyle w:val="Indenti"/>
      </w:pPr>
      <w:r>
        <w:tab/>
        <w:t>(i)</w:t>
      </w:r>
      <w:r>
        <w:tab/>
        <w:t>provided to the sampler a recent photograph of the donor, measuring approximately 45 mm by 35 mm, that shows a full face view of the donor’s head and the donor’s shoulders against a plain background; or</w:t>
      </w:r>
    </w:p>
    <w:p>
      <w:pPr>
        <w:pStyle w:val="Indenti"/>
      </w:pPr>
      <w:r>
        <w:tab/>
        <w:t>(ii)</w:t>
      </w:r>
      <w:r>
        <w:tab/>
        <w:t>made a written arrangement with the sampler for a photograph of that kind to be taken.</w:t>
      </w:r>
    </w:p>
    <w:p>
      <w:pPr>
        <w:pStyle w:val="Subsection"/>
      </w:pPr>
      <w:r>
        <w:tab/>
        <w:t>(2)</w:t>
      </w:r>
      <w:r>
        <w:tab/>
        <w:t>The photograph required by subregulation (1)(b) is in addition to the photograph that is required to be attached to Form 4.</w:t>
      </w:r>
    </w:p>
    <w:p>
      <w:pPr>
        <w:pStyle w:val="Subsection"/>
      </w:pPr>
      <w:r>
        <w:tab/>
        <w:t>(3)</w:t>
      </w:r>
      <w:r>
        <w:tab/>
        <w:t xml:space="preserve">If the donor is a child or a represented person the affidavit referred to in subregulation (1)(a) may be completed only by — </w:t>
      </w:r>
    </w:p>
    <w:p>
      <w:pPr>
        <w:pStyle w:val="Indenta"/>
      </w:pPr>
      <w:r>
        <w:tab/>
        <w:t>(a)</w:t>
      </w:r>
      <w:r>
        <w:tab/>
        <w:t>in the case of a child, a person who is a responsible person for the child; or</w:t>
      </w:r>
    </w:p>
    <w:p>
      <w:pPr>
        <w:pStyle w:val="Indenta"/>
      </w:pPr>
      <w:r>
        <w:tab/>
        <w:t>(b)</w:t>
      </w:r>
      <w:r>
        <w:tab/>
        <w:t>in the case of a represented person, a person who is a guardian of the represented person.</w:t>
      </w:r>
    </w:p>
    <w:p>
      <w:pPr>
        <w:pStyle w:val="Footnotesection"/>
      </w:pPr>
      <w:r>
        <w:tab/>
        <w:t>[Regulation 16E inserted in Gazette 28 Jan 2011 p. 245-6.]</w:t>
      </w:r>
    </w:p>
    <w:p>
      <w:pPr>
        <w:pStyle w:val="Heading5"/>
      </w:pPr>
      <w:bookmarkStart w:id="113" w:name="_Toc391629124"/>
      <w:bookmarkStart w:id="114" w:name="_Toc416355191"/>
      <w:r>
        <w:rPr>
          <w:rStyle w:val="CharSectno"/>
        </w:rPr>
        <w:t>16F</w:t>
      </w:r>
      <w:r>
        <w:t>.</w:t>
      </w:r>
      <w:r>
        <w:tab/>
        <w:t>Blood samples, taking of</w:t>
      </w:r>
      <w:bookmarkEnd w:id="113"/>
      <w:bookmarkEnd w:id="114"/>
    </w:p>
    <w:p>
      <w:pPr>
        <w:pStyle w:val="Subsection"/>
      </w:pPr>
      <w:r>
        <w:tab/>
        <w:t>(1)</w:t>
      </w:r>
      <w:r>
        <w:tab/>
        <w:t xml:space="preserve">A sampler may take a sample of blood from a donor only with a needle or syringe that — </w:t>
      </w:r>
    </w:p>
    <w:p>
      <w:pPr>
        <w:pStyle w:val="Indenta"/>
      </w:pPr>
      <w:r>
        <w:tab/>
        <w:t>(a)</w:t>
      </w:r>
      <w:r>
        <w:tab/>
        <w:t>has not been used for any purpose; and</w:t>
      </w:r>
    </w:p>
    <w:p>
      <w:pPr>
        <w:pStyle w:val="Indenta"/>
      </w:pPr>
      <w:r>
        <w:tab/>
        <w:t>(b)</w:t>
      </w:r>
      <w:r>
        <w:tab/>
        <w:t>has been sterilised; and</w:t>
      </w:r>
    </w:p>
    <w:p>
      <w:pPr>
        <w:pStyle w:val="Indenta"/>
      </w:pPr>
      <w:r>
        <w:tab/>
        <w:t>(c)</w:t>
      </w:r>
      <w:r>
        <w:tab/>
        <w:t>is disposable.</w:t>
      </w:r>
    </w:p>
    <w:p>
      <w:pPr>
        <w:pStyle w:val="Subsection"/>
      </w:pPr>
      <w:r>
        <w:tab/>
        <w:t>(2)</w:t>
      </w:r>
      <w:r>
        <w:tab/>
        <w:t>Before taking a sample of blood from a donor, the sampler must ensure that the area of the donor’s skin into which the needle is to be inserted to withdraw the blood has been cleaned with an antiseptic.</w:t>
      </w:r>
    </w:p>
    <w:p>
      <w:pPr>
        <w:pStyle w:val="Footnotesection"/>
      </w:pPr>
      <w:r>
        <w:tab/>
        <w:t>[Regulation 16F inserted in Gazette 28 Jan 2011 p. 246.]</w:t>
      </w:r>
    </w:p>
    <w:p>
      <w:pPr>
        <w:pStyle w:val="Heading5"/>
      </w:pPr>
      <w:bookmarkStart w:id="115" w:name="_Toc391629125"/>
      <w:bookmarkStart w:id="116" w:name="_Toc416355192"/>
      <w:r>
        <w:rPr>
          <w:rStyle w:val="CharSectno"/>
        </w:rPr>
        <w:t>16G</w:t>
      </w:r>
      <w:r>
        <w:t>.</w:t>
      </w:r>
      <w:r>
        <w:tab/>
        <w:t>Bodily samples for DNA typing, taking of</w:t>
      </w:r>
      <w:bookmarkEnd w:id="115"/>
      <w:bookmarkEnd w:id="116"/>
    </w:p>
    <w:p>
      <w:pPr>
        <w:pStyle w:val="Subsection"/>
      </w:pPr>
      <w:r>
        <w:tab/>
        <w:t>(1)</w:t>
      </w:r>
      <w:r>
        <w:tab/>
        <w:t>This regulation applies to the taking of a bodily sample other than a sample of blood from a donor for the purposes of a parentage testing procedure that is DNA typing.</w:t>
      </w:r>
    </w:p>
    <w:p>
      <w:pPr>
        <w:pStyle w:val="Subsection"/>
      </w:pPr>
      <w:r>
        <w:tab/>
        <w:t>(2)</w:t>
      </w:r>
      <w:r>
        <w:tab/>
        <w:t xml:space="preserve">A sampler must not take a bodily sample from a donor with a swab unless the swab — </w:t>
      </w:r>
    </w:p>
    <w:p>
      <w:pPr>
        <w:pStyle w:val="Indenta"/>
      </w:pPr>
      <w:r>
        <w:tab/>
        <w:t>(a)</w:t>
      </w:r>
      <w:r>
        <w:tab/>
        <w:t>has not been used for any purpose; and</w:t>
      </w:r>
    </w:p>
    <w:p>
      <w:pPr>
        <w:pStyle w:val="Indenta"/>
      </w:pPr>
      <w:r>
        <w:tab/>
        <w:t>(b)</w:t>
      </w:r>
      <w:r>
        <w:tab/>
        <w:t>has been sterilised.</w:t>
      </w:r>
    </w:p>
    <w:p>
      <w:pPr>
        <w:pStyle w:val="Subsection"/>
      </w:pPr>
      <w:r>
        <w:tab/>
        <w:t>(3)</w:t>
      </w:r>
      <w:r>
        <w:tab/>
        <w:t>If the bodily sample to be taken from a donor is a skin scraping or a hair root, the implement used by the sampler to take the sample must have been sterilised before use.</w:t>
      </w:r>
    </w:p>
    <w:p>
      <w:pPr>
        <w:pStyle w:val="Footnotesection"/>
      </w:pPr>
      <w:r>
        <w:tab/>
        <w:t>[Regulation 16G inserted in Gazette 28 Jan 2011 p. 246.]</w:t>
      </w:r>
    </w:p>
    <w:p>
      <w:pPr>
        <w:pStyle w:val="Heading5"/>
      </w:pPr>
      <w:bookmarkStart w:id="117" w:name="_Toc391629126"/>
      <w:bookmarkStart w:id="118" w:name="_Toc416355193"/>
      <w:r>
        <w:rPr>
          <w:rStyle w:val="CharSectno"/>
        </w:rPr>
        <w:t>16H</w:t>
      </w:r>
      <w:r>
        <w:t>.</w:t>
      </w:r>
      <w:r>
        <w:tab/>
        <w:t>Bodily samples, procedure for dealing with immediately after taking</w:t>
      </w:r>
      <w:bookmarkEnd w:id="117"/>
      <w:bookmarkEnd w:id="118"/>
    </w:p>
    <w:p>
      <w:pPr>
        <w:pStyle w:val="Subsection"/>
      </w:pPr>
      <w:r>
        <w:tab/>
        <w:t>(1)</w:t>
      </w:r>
      <w:r>
        <w:tab/>
        <w:t xml:space="preserve">If a bodily sample is taken from a donor the sampler must ensure that — </w:t>
      </w:r>
    </w:p>
    <w:p>
      <w:pPr>
        <w:pStyle w:val="Indenta"/>
      </w:pPr>
      <w:r>
        <w:tab/>
        <w:t>(a)</w:t>
      </w:r>
      <w:r>
        <w:tab/>
        <w:t xml:space="preserve">the sample is placed in a container — </w:t>
      </w:r>
    </w:p>
    <w:p>
      <w:pPr>
        <w:pStyle w:val="Indenti"/>
      </w:pPr>
      <w:r>
        <w:tab/>
        <w:t>(i)</w:t>
      </w:r>
      <w:r>
        <w:tab/>
        <w:t>immediately after it is taken; and</w:t>
      </w:r>
    </w:p>
    <w:p>
      <w:pPr>
        <w:pStyle w:val="Indenti"/>
      </w:pPr>
      <w:r>
        <w:tab/>
        <w:t>(ii)</w:t>
      </w:r>
      <w:r>
        <w:tab/>
        <w:t>in the presence of the donor;</w:t>
      </w:r>
    </w:p>
    <w:p>
      <w:pPr>
        <w:pStyle w:val="Indenta"/>
      </w:pPr>
      <w:r>
        <w:tab/>
      </w:r>
      <w:r>
        <w:tab/>
        <w:t>and</w:t>
      </w:r>
    </w:p>
    <w:p>
      <w:pPr>
        <w:pStyle w:val="Indenta"/>
      </w:pPr>
      <w:r>
        <w:tab/>
        <w:t>(b)</w:t>
      </w:r>
      <w:r>
        <w:tab/>
        <w:t>the container has not previously been used for any purpose; and</w:t>
      </w:r>
    </w:p>
    <w:p>
      <w:pPr>
        <w:pStyle w:val="Indenta"/>
      </w:pPr>
      <w:r>
        <w:tab/>
        <w:t>(c)</w:t>
      </w:r>
      <w:r>
        <w:tab/>
        <w:t>the container is sealed in a way that, if it were opened after being sealed, that fact would be evident on inspection of the container; and</w:t>
      </w:r>
    </w:p>
    <w:p>
      <w:pPr>
        <w:pStyle w:val="Indenta"/>
      </w:pPr>
      <w:r>
        <w:tab/>
        <w:t>(d)</w:t>
      </w:r>
      <w:r>
        <w:tab/>
        <w:t xml:space="preserve">the container is labelled in a way that — </w:t>
      </w:r>
    </w:p>
    <w:p>
      <w:pPr>
        <w:pStyle w:val="Indenti"/>
      </w:pPr>
      <w:r>
        <w:tab/>
        <w:t>(i)</w:t>
      </w:r>
      <w:r>
        <w:tab/>
        <w:t>if the label, or any part of the label, were removed; or</w:t>
      </w:r>
    </w:p>
    <w:p>
      <w:pPr>
        <w:pStyle w:val="Indenti"/>
        <w:keepNext/>
      </w:pPr>
      <w:r>
        <w:tab/>
        <w:t>(ii)</w:t>
      </w:r>
      <w:r>
        <w:tab/>
        <w:t>if writing on the label were impaired by alteration or erasure,</w:t>
      </w:r>
    </w:p>
    <w:p>
      <w:pPr>
        <w:pStyle w:val="Indenta"/>
      </w:pPr>
      <w:r>
        <w:tab/>
      </w:r>
      <w:r>
        <w:tab/>
        <w:t>the removal of the label, or the impairment, would be evident on inspection of the container; and</w:t>
      </w:r>
    </w:p>
    <w:p>
      <w:pPr>
        <w:pStyle w:val="Indenta"/>
      </w:pPr>
      <w:r>
        <w:tab/>
        <w:t>(e)</w:t>
      </w:r>
      <w:r>
        <w:tab/>
        <w:t xml:space="preserve">the particulars on the label are inscribed in ink and include — </w:t>
      </w:r>
    </w:p>
    <w:p>
      <w:pPr>
        <w:pStyle w:val="Indenti"/>
      </w:pPr>
      <w:r>
        <w:tab/>
        <w:t>(i)</w:t>
      </w:r>
      <w:r>
        <w:tab/>
        <w:t>the full name of the donor; and</w:t>
      </w:r>
    </w:p>
    <w:p>
      <w:pPr>
        <w:pStyle w:val="Indenti"/>
      </w:pPr>
      <w:r>
        <w:tab/>
        <w:t>(ii)</w:t>
      </w:r>
      <w:r>
        <w:tab/>
        <w:t>the date of birth and the sex of the donor; and</w:t>
      </w:r>
    </w:p>
    <w:p>
      <w:pPr>
        <w:pStyle w:val="Indenti"/>
      </w:pPr>
      <w:r>
        <w:tab/>
        <w:t>(iii)</w:t>
      </w:r>
      <w:r>
        <w:tab/>
        <w:t>the date and time at which the sample was taken;</w:t>
      </w:r>
    </w:p>
    <w:p>
      <w:pPr>
        <w:pStyle w:val="Indenta"/>
      </w:pPr>
      <w:r>
        <w:tab/>
      </w:r>
      <w:r>
        <w:tab/>
        <w:t>and</w:t>
      </w:r>
    </w:p>
    <w:p>
      <w:pPr>
        <w:pStyle w:val="Indenta"/>
      </w:pPr>
      <w:r>
        <w:tab/>
        <w:t>(f)</w:t>
      </w:r>
      <w:r>
        <w:tab/>
        <w:t>when paragraph (e) is complied with, the sampler and the donor sign the label, in ink.</w:t>
      </w:r>
    </w:p>
    <w:p>
      <w:pPr>
        <w:pStyle w:val="Subsection"/>
      </w:pPr>
      <w:r>
        <w:tab/>
        <w:t>(2)</w:t>
      </w:r>
      <w:r>
        <w:tab/>
        <w:t xml:space="preserve">If the donor is a child — </w:t>
      </w:r>
    </w:p>
    <w:p>
      <w:pPr>
        <w:pStyle w:val="Indenta"/>
      </w:pPr>
      <w:r>
        <w:tab/>
        <w:t>(a)</w:t>
      </w:r>
      <w:r>
        <w:tab/>
        <w:t>the procedure specified in subregulation (1)(a) must be completed in the presence of a person who is a responsible person for the child; and</w:t>
      </w:r>
    </w:p>
    <w:p>
      <w:pPr>
        <w:pStyle w:val="Indenta"/>
      </w:pPr>
      <w:r>
        <w:tab/>
        <w:t>(b)</w:t>
      </w:r>
      <w:r>
        <w:tab/>
        <w:t>the procedure specified in subregulation (1)(f) is taken to be satisfied only if a person who is a responsible person for the child signs the label.</w:t>
      </w:r>
    </w:p>
    <w:p>
      <w:pPr>
        <w:pStyle w:val="Subsection"/>
      </w:pPr>
      <w:r>
        <w:tab/>
        <w:t>(3)</w:t>
      </w:r>
      <w:r>
        <w:tab/>
        <w:t xml:space="preserve">If the donor is a represented person — </w:t>
      </w:r>
    </w:p>
    <w:p>
      <w:pPr>
        <w:pStyle w:val="Indenta"/>
      </w:pPr>
      <w:r>
        <w:tab/>
        <w:t>(a)</w:t>
      </w:r>
      <w:r>
        <w:tab/>
        <w:t>the procedure specified in subregulation (1)(a) must be completed in the presence of a person who is a guardian of the represented person; and</w:t>
      </w:r>
    </w:p>
    <w:p>
      <w:pPr>
        <w:pStyle w:val="Indenta"/>
      </w:pPr>
      <w:r>
        <w:tab/>
        <w:t>(b)</w:t>
      </w:r>
      <w:r>
        <w:tab/>
        <w:t>the procedure specified in subregulation (1)(f) is taken to be complied with only if the label is signed by a person who is a guardian of the represented person.</w:t>
      </w:r>
    </w:p>
    <w:p>
      <w:pPr>
        <w:pStyle w:val="Footnotesection"/>
      </w:pPr>
      <w:r>
        <w:tab/>
        <w:t>[Regulation 16H inserted in Gazette 28 Jan 2011 p. 246-7.]</w:t>
      </w:r>
    </w:p>
    <w:p>
      <w:pPr>
        <w:pStyle w:val="Heading5"/>
      </w:pPr>
      <w:bookmarkStart w:id="119" w:name="_Toc391629127"/>
      <w:bookmarkStart w:id="120" w:name="_Toc416355194"/>
      <w:r>
        <w:rPr>
          <w:rStyle w:val="CharSectno"/>
        </w:rPr>
        <w:t>16I</w:t>
      </w:r>
      <w:r>
        <w:t>.</w:t>
      </w:r>
      <w:r>
        <w:tab/>
        <w:t>Sampler’s  duties after taking bodily sample</w:t>
      </w:r>
      <w:bookmarkEnd w:id="119"/>
      <w:bookmarkEnd w:id="120"/>
    </w:p>
    <w:p>
      <w:pPr>
        <w:pStyle w:val="Subsection"/>
      </w:pPr>
      <w:r>
        <w:tab/>
      </w:r>
      <w:r>
        <w:tab/>
        <w:t xml:space="preserve">After taking a bodily sample from a donor, the sampler must — </w:t>
      </w:r>
    </w:p>
    <w:p>
      <w:pPr>
        <w:pStyle w:val="Indenta"/>
      </w:pPr>
      <w:r>
        <w:tab/>
        <w:t>(a)</w:t>
      </w:r>
      <w:r>
        <w:tab/>
        <w:t>complete a statement in the form of Schedule 1 Form 5; and</w:t>
      </w:r>
    </w:p>
    <w:p>
      <w:pPr>
        <w:pStyle w:val="Indenta"/>
      </w:pPr>
      <w:r>
        <w:tab/>
        <w:t>(b)</w:t>
      </w:r>
      <w:r>
        <w:tab/>
        <w:t>affix the photograph of the donor referred to in regulation 16E(1)(b) to the statement; and</w:t>
      </w:r>
    </w:p>
    <w:p>
      <w:pPr>
        <w:pStyle w:val="Indenta"/>
      </w:pPr>
      <w:r>
        <w:tab/>
        <w:t>(c)</w:t>
      </w:r>
      <w:r>
        <w:tab/>
        <w:t>sign his or her name partly on the photograph and partly on the statement in a way that, if the photograph were later removed from the statement, the removal would be evident from inspection of the statement.</w:t>
      </w:r>
    </w:p>
    <w:p>
      <w:pPr>
        <w:pStyle w:val="Footnotesection"/>
      </w:pPr>
      <w:r>
        <w:tab/>
        <w:t>[Regulation 16I inserted in Gazette 28 Jan 2011 p. 247-8.]</w:t>
      </w:r>
    </w:p>
    <w:p>
      <w:pPr>
        <w:pStyle w:val="Heading5"/>
      </w:pPr>
      <w:bookmarkStart w:id="121" w:name="_Toc391629128"/>
      <w:bookmarkStart w:id="122" w:name="_Toc416355195"/>
      <w:r>
        <w:rPr>
          <w:rStyle w:val="CharSectno"/>
        </w:rPr>
        <w:t>16J</w:t>
      </w:r>
      <w:r>
        <w:t>.</w:t>
      </w:r>
      <w:r>
        <w:tab/>
        <w:t>Packing, storing and transporting bodily samples for testing</w:t>
      </w:r>
      <w:bookmarkEnd w:id="121"/>
      <w:bookmarkEnd w:id="122"/>
    </w:p>
    <w:p>
      <w:pPr>
        <w:pStyle w:val="Subsection"/>
      </w:pPr>
      <w:r>
        <w:tab/>
        <w:t>(1)</w:t>
      </w:r>
      <w:r>
        <w:tab/>
        <w:t xml:space="preserve">A bodily sample must be packed, stored and transported to a laboratory for testing in a manner that — </w:t>
      </w:r>
    </w:p>
    <w:p>
      <w:pPr>
        <w:pStyle w:val="Indenta"/>
      </w:pPr>
      <w:r>
        <w:tab/>
        <w:t>(a)</w:t>
      </w:r>
      <w:r>
        <w:tab/>
        <w:t>will preserve the integrity of the sample; and</w:t>
      </w:r>
    </w:p>
    <w:p>
      <w:pPr>
        <w:pStyle w:val="Indenta"/>
      </w:pPr>
      <w:r>
        <w:tab/>
        <w:t>(b)</w:t>
      </w:r>
      <w:r>
        <w:tab/>
        <w:t>ensures that the testing of the sample will produce the same results as would have been obtained if the sample had been tested immediately after collection.</w:t>
      </w:r>
    </w:p>
    <w:p>
      <w:pPr>
        <w:pStyle w:val="Subsection"/>
      </w:pPr>
      <w:r>
        <w:tab/>
        <w:t>(2)</w:t>
      </w:r>
      <w:r>
        <w:tab/>
        <w:t xml:space="preserve">The sampler must ensure that the following documents are sent to the laboratory with the sample — </w:t>
      </w:r>
    </w:p>
    <w:p>
      <w:pPr>
        <w:pStyle w:val="Indenta"/>
      </w:pPr>
      <w:r>
        <w:tab/>
        <w:t>(a)</w:t>
      </w:r>
      <w:r>
        <w:tab/>
        <w:t>the affidavit completed under regulation 16E(1)(a);</w:t>
      </w:r>
    </w:p>
    <w:p>
      <w:pPr>
        <w:pStyle w:val="Indenta"/>
      </w:pPr>
      <w:r>
        <w:tab/>
        <w:t>(b)</w:t>
      </w:r>
      <w:r>
        <w:tab/>
        <w:t>the statement completed under regulation 16I.</w:t>
      </w:r>
    </w:p>
    <w:p>
      <w:pPr>
        <w:pStyle w:val="Footnotesection"/>
      </w:pPr>
      <w:r>
        <w:tab/>
        <w:t>[Regulation 16J inserted in Gazette 28 Jan 2011 p. 248.]</w:t>
      </w:r>
    </w:p>
    <w:p>
      <w:pPr>
        <w:pStyle w:val="Heading5"/>
      </w:pPr>
      <w:bookmarkStart w:id="123" w:name="_Toc391629129"/>
      <w:bookmarkStart w:id="124" w:name="_Toc416355196"/>
      <w:r>
        <w:rPr>
          <w:rStyle w:val="CharSectno"/>
        </w:rPr>
        <w:t>16K</w:t>
      </w:r>
      <w:r>
        <w:t>.</w:t>
      </w:r>
      <w:r>
        <w:tab/>
        <w:t>Time for testing bodily samples</w:t>
      </w:r>
      <w:bookmarkEnd w:id="123"/>
      <w:bookmarkEnd w:id="124"/>
    </w:p>
    <w:p>
      <w:pPr>
        <w:pStyle w:val="Subsection"/>
      </w:pPr>
      <w:r>
        <w:tab/>
        <w:t>(1)</w:t>
      </w:r>
      <w:r>
        <w:tab/>
        <w:t xml:space="preserve">A laboratory to which a bodily sample has been sent for testing must ensure that the testing is completed — </w:t>
      </w:r>
    </w:p>
    <w:p>
      <w:pPr>
        <w:pStyle w:val="Indenta"/>
      </w:pPr>
      <w:r>
        <w:tab/>
        <w:t>(a)</w:t>
      </w:r>
      <w:r>
        <w:tab/>
        <w:t>if the proposed procedure is red cell antigen blood grouping, red cell enzyme blood grouping or testing for serum markers, within 6 days after the sample is taken; or</w:t>
      </w:r>
    </w:p>
    <w:p>
      <w:pPr>
        <w:pStyle w:val="Indenta"/>
      </w:pPr>
      <w:r>
        <w:tab/>
        <w:t>(b)</w:t>
      </w:r>
      <w:r>
        <w:tab/>
        <w:t>if the proposed procedure is HLA tissue typing, within 3 days after the sample is taken; or</w:t>
      </w:r>
    </w:p>
    <w:p>
      <w:pPr>
        <w:pStyle w:val="Indenta"/>
      </w:pPr>
      <w:r>
        <w:tab/>
        <w:t>(c)</w:t>
      </w:r>
      <w:r>
        <w:tab/>
        <w:t>if the proposed procedure is DNA typing, within a reasonable time after the sample is taken.</w:t>
      </w:r>
    </w:p>
    <w:p>
      <w:pPr>
        <w:pStyle w:val="Subsection"/>
      </w:pPr>
      <w:r>
        <w:tab/>
        <w:t>(2)</w:t>
      </w:r>
      <w:r>
        <w:tab/>
        <w:t>If the proposed procedure is red cell enzyme blood grouping or testing for serum markers, subregulation (1)(a) is complied with if a dried sample of the bodily sample to be tested is prepared within 6 days after the sample is taken from the donor.</w:t>
      </w:r>
    </w:p>
    <w:p>
      <w:pPr>
        <w:pStyle w:val="Footnotesection"/>
      </w:pPr>
      <w:r>
        <w:tab/>
        <w:t>[Regulation 16K inserted in Gazette 28 Jan 2011 p. 248.]</w:t>
      </w:r>
    </w:p>
    <w:p>
      <w:pPr>
        <w:pStyle w:val="Heading3"/>
      </w:pPr>
      <w:bookmarkStart w:id="125" w:name="_Toc378075933"/>
      <w:bookmarkStart w:id="126" w:name="_Toc391629130"/>
      <w:bookmarkStart w:id="127" w:name="_Toc415581847"/>
      <w:bookmarkStart w:id="128" w:name="_Toc415581918"/>
      <w:bookmarkStart w:id="129" w:name="_Toc415581980"/>
      <w:bookmarkStart w:id="130" w:name="_Toc415663486"/>
      <w:bookmarkStart w:id="131" w:name="_Toc416355134"/>
      <w:bookmarkStart w:id="132" w:name="_Toc416355197"/>
      <w:r>
        <w:rPr>
          <w:rStyle w:val="CharDivNo"/>
        </w:rPr>
        <w:t>Division 3</w:t>
      </w:r>
      <w:r>
        <w:t> — </w:t>
      </w:r>
      <w:r>
        <w:rPr>
          <w:rStyle w:val="CharDivText"/>
        </w:rPr>
        <w:t>Reports</w:t>
      </w:r>
      <w:bookmarkEnd w:id="125"/>
      <w:bookmarkEnd w:id="126"/>
      <w:bookmarkEnd w:id="127"/>
      <w:bookmarkEnd w:id="128"/>
      <w:bookmarkEnd w:id="129"/>
      <w:bookmarkEnd w:id="130"/>
      <w:bookmarkEnd w:id="131"/>
      <w:bookmarkEnd w:id="132"/>
    </w:p>
    <w:p>
      <w:pPr>
        <w:pStyle w:val="Footnoteheading"/>
        <w:keepNext/>
      </w:pPr>
      <w:r>
        <w:tab/>
        <w:t>[Heading inserted in Gazette 28 Jan 2011 p. 248.]</w:t>
      </w:r>
    </w:p>
    <w:p>
      <w:pPr>
        <w:pStyle w:val="Heading5"/>
      </w:pPr>
      <w:bookmarkStart w:id="133" w:name="_Toc391629131"/>
      <w:bookmarkStart w:id="134" w:name="_Toc416355198"/>
      <w:r>
        <w:rPr>
          <w:rStyle w:val="CharSectno"/>
        </w:rPr>
        <w:t>16L</w:t>
      </w:r>
      <w:r>
        <w:t>.</w:t>
      </w:r>
      <w:r>
        <w:tab/>
        <w:t>Reports of testing (Act s. 136H(b))</w:t>
      </w:r>
      <w:bookmarkEnd w:id="133"/>
      <w:bookmarkEnd w:id="134"/>
    </w:p>
    <w:p>
      <w:pPr>
        <w:pStyle w:val="Subsection"/>
      </w:pPr>
      <w:r>
        <w:tab/>
        <w:t>(1)</w:t>
      </w:r>
      <w:r>
        <w:tab/>
        <w:t>For the purposes of section 136H(b) a report must be prepared, in accordance with this regulation, relating to the information obtained as a result of carrying out a parentage testing procedure.</w:t>
      </w:r>
    </w:p>
    <w:p>
      <w:pPr>
        <w:pStyle w:val="Subsection"/>
      </w:pPr>
      <w:r>
        <w:tab/>
        <w:t>(2)</w:t>
      </w:r>
      <w:r>
        <w:tab/>
        <w:t>The report must be in the form of Schedule 1 Form 6.</w:t>
      </w:r>
    </w:p>
    <w:p>
      <w:pPr>
        <w:pStyle w:val="Subsection"/>
      </w:pPr>
      <w:r>
        <w:tab/>
        <w:t>(3)</w:t>
      </w:r>
      <w:r>
        <w:tab/>
        <w:t>Part I of the report must be completed by the nominated reporter identified in the report.</w:t>
      </w:r>
    </w:p>
    <w:p>
      <w:pPr>
        <w:pStyle w:val="Subsection"/>
      </w:pPr>
      <w:r>
        <w:tab/>
        <w:t>(4)</w:t>
      </w:r>
      <w:r>
        <w:tab/>
        <w:t xml:space="preserve">Part II of the report must be completed by — </w:t>
      </w:r>
    </w:p>
    <w:p>
      <w:pPr>
        <w:pStyle w:val="Indenta"/>
      </w:pPr>
      <w:r>
        <w:tab/>
        <w:t>(a)</w:t>
      </w:r>
      <w:r>
        <w:tab/>
        <w:t>the person who carried out the parentage testing procedure; or</w:t>
      </w:r>
    </w:p>
    <w:p>
      <w:pPr>
        <w:pStyle w:val="Indenta"/>
      </w:pPr>
      <w:r>
        <w:tab/>
        <w:t>(b)</w:t>
      </w:r>
      <w:r>
        <w:tab/>
        <w:t>the person under whose supervision the parentage testing procedure was carried out.</w:t>
      </w:r>
    </w:p>
    <w:p>
      <w:pPr>
        <w:pStyle w:val="Subsection"/>
      </w:pPr>
      <w:r>
        <w:tab/>
        <w:t>(5)</w:t>
      </w:r>
      <w:r>
        <w:tab/>
        <w:t>A report completed otherwise than in accordance with this regulation is taken to be of no effect.</w:t>
      </w:r>
    </w:p>
    <w:p>
      <w:pPr>
        <w:pStyle w:val="Footnotesection"/>
      </w:pPr>
      <w:r>
        <w:tab/>
        <w:t>[Regulation 16L inserted in Gazette 28 Jan 2011 p. 248-9.]</w:t>
      </w:r>
    </w:p>
    <w:p>
      <w:pPr>
        <w:pStyle w:val="Heading2"/>
      </w:pPr>
      <w:bookmarkStart w:id="135" w:name="_Toc378075935"/>
      <w:bookmarkStart w:id="136" w:name="_Toc391629132"/>
      <w:bookmarkStart w:id="137" w:name="_Toc415581849"/>
      <w:bookmarkStart w:id="138" w:name="_Toc415581920"/>
      <w:bookmarkStart w:id="139" w:name="_Toc415581982"/>
      <w:bookmarkStart w:id="140" w:name="_Toc415663488"/>
      <w:bookmarkStart w:id="141" w:name="_Toc416355136"/>
      <w:bookmarkStart w:id="142" w:name="_Toc416355199"/>
      <w:r>
        <w:rPr>
          <w:rStyle w:val="CharPartNo"/>
        </w:rPr>
        <w:t>Part 5</w:t>
      </w:r>
      <w:r>
        <w:rPr>
          <w:rStyle w:val="CharDivNo"/>
        </w:rPr>
        <w:t> </w:t>
      </w:r>
      <w:r>
        <w:t>—</w:t>
      </w:r>
      <w:r>
        <w:rPr>
          <w:rStyle w:val="CharDivText"/>
        </w:rPr>
        <w:t> </w:t>
      </w:r>
      <w:r>
        <w:rPr>
          <w:rStyle w:val="CharPartText"/>
        </w:rPr>
        <w:t>Reports about child</w:t>
      </w:r>
      <w:bookmarkEnd w:id="135"/>
      <w:bookmarkEnd w:id="136"/>
      <w:bookmarkEnd w:id="137"/>
      <w:bookmarkEnd w:id="138"/>
      <w:bookmarkEnd w:id="139"/>
      <w:bookmarkEnd w:id="140"/>
      <w:bookmarkEnd w:id="141"/>
      <w:bookmarkEnd w:id="142"/>
    </w:p>
    <w:p>
      <w:pPr>
        <w:pStyle w:val="Heading5"/>
      </w:pPr>
      <w:bookmarkStart w:id="143" w:name="_Toc391629133"/>
      <w:bookmarkStart w:id="144" w:name="_Toc416355200"/>
      <w:r>
        <w:rPr>
          <w:rStyle w:val="CharSectno"/>
        </w:rPr>
        <w:t>16</w:t>
      </w:r>
      <w:r>
        <w:t>.</w:t>
      </w:r>
      <w:r>
        <w:tab/>
        <w:t>Terms used</w:t>
      </w:r>
      <w:bookmarkEnd w:id="143"/>
      <w:bookmarkEnd w:id="144"/>
    </w:p>
    <w:p>
      <w:pPr>
        <w:pStyle w:val="Subsection"/>
      </w:pPr>
      <w:r>
        <w:tab/>
      </w:r>
      <w:r>
        <w:tab/>
        <w:t xml:space="preserve">In this Part — </w:t>
      </w:r>
    </w:p>
    <w:p>
      <w:pPr>
        <w:pStyle w:val="Defstart"/>
      </w:pPr>
      <w:r>
        <w:rPr>
          <w:b/>
        </w:rPr>
        <w:tab/>
      </w:r>
      <w:r>
        <w:rPr>
          <w:rStyle w:val="CharDefText"/>
        </w:rPr>
        <w:t>panel</w:t>
      </w:r>
      <w:r>
        <w:t xml:space="preserve"> means the panel of names referred to in regulation 18(1);</w:t>
      </w:r>
    </w:p>
    <w:p>
      <w:pPr>
        <w:pStyle w:val="Defstart"/>
      </w:pPr>
      <w:r>
        <w:rPr>
          <w:b/>
        </w:rPr>
        <w:tab/>
      </w:r>
      <w:r>
        <w:rPr>
          <w:rStyle w:val="CharDefText"/>
        </w:rPr>
        <w:t>report</w:t>
      </w:r>
      <w:r>
        <w:t xml:space="preserve"> has the meaning given to that term in section 138.</w:t>
      </w:r>
    </w:p>
    <w:p>
      <w:pPr>
        <w:pStyle w:val="Heading5"/>
      </w:pPr>
      <w:bookmarkStart w:id="145" w:name="_Toc391629134"/>
      <w:bookmarkStart w:id="146" w:name="_Toc416355201"/>
      <w:r>
        <w:rPr>
          <w:rStyle w:val="CharSectno"/>
        </w:rPr>
        <w:t>17</w:t>
      </w:r>
      <w:r>
        <w:t>.</w:t>
      </w:r>
      <w:r>
        <w:tab/>
        <w:t>Appointing people to provide reports (Act s. 139)</w:t>
      </w:r>
      <w:bookmarkEnd w:id="145"/>
      <w:bookmarkEnd w:id="146"/>
    </w:p>
    <w:p>
      <w:pPr>
        <w:pStyle w:val="Subsection"/>
      </w:pPr>
      <w:r>
        <w:tab/>
        <w:t>(1)</w:t>
      </w:r>
      <w:r>
        <w:tab/>
        <w:t>Unless subregulation (2) applies, a person referred to in section 139(1) is to be appointed from the panel.</w:t>
      </w:r>
    </w:p>
    <w:p>
      <w:pPr>
        <w:pStyle w:val="Subsection"/>
      </w:pPr>
      <w:r>
        <w:tab/>
        <w:t>(2)</w:t>
      </w:r>
      <w:r>
        <w:tab/>
        <w:t>If the Court considers that a report is required from a person with particular qualifications or experience and such a person is not on the panel, the Court may appoint for the purposes of section 139 a person who, in the opinion of the Court, has the necessary qualifications or experience.</w:t>
      </w:r>
    </w:p>
    <w:p>
      <w:pPr>
        <w:pStyle w:val="Heading5"/>
      </w:pPr>
      <w:bookmarkStart w:id="147" w:name="_Toc391629135"/>
      <w:bookmarkStart w:id="148" w:name="_Toc416355202"/>
      <w:r>
        <w:rPr>
          <w:rStyle w:val="CharSectno"/>
        </w:rPr>
        <w:t>18</w:t>
      </w:r>
      <w:r>
        <w:t>.</w:t>
      </w:r>
      <w:r>
        <w:tab/>
        <w:t>President to establish panel</w:t>
      </w:r>
      <w:bookmarkEnd w:id="147"/>
      <w:bookmarkEnd w:id="148"/>
    </w:p>
    <w:p>
      <w:pPr>
        <w:pStyle w:val="Subsection"/>
      </w:pPr>
      <w:r>
        <w:tab/>
        <w:t>(1)</w:t>
      </w:r>
      <w:r>
        <w:tab/>
        <w:t xml:space="preserve">The President must establish and maintain a panel of names of people who — </w:t>
      </w:r>
    </w:p>
    <w:p>
      <w:pPr>
        <w:pStyle w:val="Indenta"/>
      </w:pPr>
      <w:r>
        <w:tab/>
        <w:t>(a)</w:t>
      </w:r>
      <w:r>
        <w:tab/>
        <w:t>in the opinion of the President have appropriate qualifications and experience in one or more of the fields of medicine, psychology, psychiatry and social work; and</w:t>
      </w:r>
    </w:p>
    <w:p>
      <w:pPr>
        <w:pStyle w:val="Indenta"/>
      </w:pPr>
      <w:r>
        <w:tab/>
        <w:t>(b)</w:t>
      </w:r>
      <w:r>
        <w:tab/>
        <w:t>are willing to be appointed for the purposes of section 139.</w:t>
      </w:r>
    </w:p>
    <w:p>
      <w:pPr>
        <w:pStyle w:val="Subsection"/>
      </w:pPr>
      <w:r>
        <w:tab/>
        <w:t>(2)</w:t>
      </w:r>
      <w:r>
        <w:tab/>
        <w:t>The President may remove the name of a person from the panel at any time.</w:t>
      </w:r>
    </w:p>
    <w:p>
      <w:pPr>
        <w:pStyle w:val="Heading5"/>
      </w:pPr>
      <w:bookmarkStart w:id="149" w:name="_Toc391629136"/>
      <w:bookmarkStart w:id="150" w:name="_Toc416355203"/>
      <w:r>
        <w:rPr>
          <w:rStyle w:val="CharSectno"/>
        </w:rPr>
        <w:t>19</w:t>
      </w:r>
      <w:r>
        <w:t>.</w:t>
      </w:r>
      <w:r>
        <w:tab/>
        <w:t>Terms and conditions of appointment under Act s. 139</w:t>
      </w:r>
      <w:bookmarkEnd w:id="149"/>
      <w:bookmarkEnd w:id="150"/>
    </w:p>
    <w:p>
      <w:pPr>
        <w:pStyle w:val="Subsection"/>
      </w:pPr>
      <w:r>
        <w:tab/>
      </w:r>
      <w:r>
        <w:tab/>
        <w:t>The remuneration, allowances, and other terms and conditions of appointment, of a person appointed for the purposes of section 139 are as described in his or her instrument of appointment.</w:t>
      </w:r>
    </w:p>
    <w:p>
      <w:pPr>
        <w:pStyle w:val="Heading5"/>
      </w:pPr>
      <w:bookmarkStart w:id="151" w:name="_Toc391629137"/>
      <w:bookmarkStart w:id="152" w:name="_Toc416355204"/>
      <w:r>
        <w:rPr>
          <w:rStyle w:val="CharSectno"/>
        </w:rPr>
        <w:t>20</w:t>
      </w:r>
      <w:r>
        <w:t>.</w:t>
      </w:r>
      <w:r>
        <w:tab/>
        <w:t>Costs of report</w:t>
      </w:r>
      <w:bookmarkEnd w:id="151"/>
      <w:bookmarkEnd w:id="152"/>
    </w:p>
    <w:p>
      <w:pPr>
        <w:pStyle w:val="Subsection"/>
      </w:pPr>
      <w:r>
        <w:tab/>
        <w:t>(1)</w:t>
      </w:r>
      <w:r>
        <w:tab/>
        <w:t>A party to protection proceedings is to pay the costs of a report given in those proceedings if the Court so orders.</w:t>
      </w:r>
    </w:p>
    <w:p>
      <w:pPr>
        <w:pStyle w:val="Subsection"/>
      </w:pPr>
      <w:r>
        <w:tab/>
        <w:t>(2)</w:t>
      </w:r>
      <w:r>
        <w:tab/>
        <w:t>The Court must not make an order under subregulation (1) unless it is satisfied that there are exceptional reasons for doing so.</w:t>
      </w:r>
    </w:p>
    <w:p>
      <w:pPr>
        <w:pStyle w:val="Heading2"/>
      </w:pPr>
      <w:bookmarkStart w:id="153" w:name="_Toc378075941"/>
      <w:bookmarkStart w:id="154" w:name="_Toc391629138"/>
      <w:bookmarkStart w:id="155" w:name="_Toc415581855"/>
      <w:bookmarkStart w:id="156" w:name="_Toc415581926"/>
      <w:bookmarkStart w:id="157" w:name="_Toc415581988"/>
      <w:bookmarkStart w:id="158" w:name="_Toc415663494"/>
      <w:bookmarkStart w:id="159" w:name="_Toc416355142"/>
      <w:bookmarkStart w:id="160" w:name="_Toc416355205"/>
      <w:r>
        <w:rPr>
          <w:rStyle w:val="CharPartNo"/>
        </w:rPr>
        <w:t>Part 6</w:t>
      </w:r>
      <w:r>
        <w:rPr>
          <w:rStyle w:val="CharDivNo"/>
        </w:rPr>
        <w:t> </w:t>
      </w:r>
      <w:r>
        <w:t>—</w:t>
      </w:r>
      <w:r>
        <w:rPr>
          <w:rStyle w:val="CharDivText"/>
        </w:rPr>
        <w:t> </w:t>
      </w:r>
      <w:r>
        <w:rPr>
          <w:rStyle w:val="CharPartText"/>
        </w:rPr>
        <w:t>Miscellaneous</w:t>
      </w:r>
      <w:bookmarkEnd w:id="153"/>
      <w:bookmarkEnd w:id="154"/>
      <w:bookmarkEnd w:id="155"/>
      <w:bookmarkEnd w:id="156"/>
      <w:bookmarkEnd w:id="157"/>
      <w:bookmarkEnd w:id="158"/>
      <w:bookmarkEnd w:id="159"/>
      <w:bookmarkEnd w:id="160"/>
    </w:p>
    <w:p>
      <w:pPr>
        <w:pStyle w:val="Heading5"/>
      </w:pPr>
      <w:bookmarkStart w:id="161" w:name="_Toc391629139"/>
      <w:bookmarkStart w:id="162" w:name="_Toc416355206"/>
      <w:r>
        <w:rPr>
          <w:rStyle w:val="CharSectno"/>
        </w:rPr>
        <w:t>20A</w:t>
      </w:r>
      <w:r>
        <w:t>.</w:t>
      </w:r>
      <w:r>
        <w:tab/>
        <w:t>Prescribed authorities (Act s. 24A(1))</w:t>
      </w:r>
      <w:bookmarkEnd w:id="161"/>
      <w:bookmarkEnd w:id="162"/>
    </w:p>
    <w:p>
      <w:pPr>
        <w:pStyle w:val="Subsection"/>
      </w:pPr>
      <w:r>
        <w:tab/>
      </w:r>
      <w:r>
        <w:tab/>
        <w:t xml:space="preserve">The following agencies are prescribed for the purposes of the definition of </w:t>
      </w:r>
      <w:r>
        <w:rPr>
          <w:b/>
          <w:bCs/>
          <w:i/>
          <w:iCs/>
        </w:rPr>
        <w:t>prescribed authority</w:t>
      </w:r>
      <w:r>
        <w:t xml:space="preserve"> in section 24A(1) — </w:t>
      </w:r>
    </w:p>
    <w:p>
      <w:pPr>
        <w:pStyle w:val="Indenta"/>
      </w:pPr>
      <w:r>
        <w:tab/>
        <w:t>(a)</w:t>
      </w:r>
      <w:r>
        <w:tab/>
        <w:t xml:space="preserve">the department of the Public Service principally assisting in the administration of the </w:t>
      </w:r>
      <w:r>
        <w:rPr>
          <w:i/>
        </w:rPr>
        <w:t>Aboriginal Heritage Act 1972</w:t>
      </w:r>
      <w:r>
        <w:t>;</w:t>
      </w:r>
    </w:p>
    <w:p>
      <w:pPr>
        <w:pStyle w:val="Indenta"/>
      </w:pPr>
      <w:r>
        <w:tab/>
        <w:t>(b)</w:t>
      </w:r>
      <w:r>
        <w:tab/>
        <w:t xml:space="preserve">the department of the Public Service principally assisting in the administration of the </w:t>
      </w:r>
      <w:r>
        <w:rPr>
          <w:i/>
        </w:rPr>
        <w:t>Births, Deaths and Marriages Registration Act 1998</w:t>
      </w:r>
      <w:r>
        <w:t>;</w:t>
      </w:r>
    </w:p>
    <w:p>
      <w:pPr>
        <w:pStyle w:val="Indenta"/>
      </w:pPr>
      <w:r>
        <w:tab/>
        <w:t>(c)</w:t>
      </w:r>
      <w:r>
        <w:tab/>
        <w:t xml:space="preserve">the department of the Public Service principally assisting in the administration of the </w:t>
      </w:r>
      <w:r>
        <w:rPr>
          <w:i/>
        </w:rPr>
        <w:t>Child Care Services Act 2007</w:t>
      </w:r>
      <w:r>
        <w:t>;</w:t>
      </w:r>
    </w:p>
    <w:p>
      <w:pPr>
        <w:pStyle w:val="Indenta"/>
        <w:rPr>
          <w:iCs/>
        </w:rPr>
      </w:pPr>
      <w:r>
        <w:tab/>
        <w:t>(d)</w:t>
      </w:r>
      <w:r>
        <w:tab/>
        <w:t xml:space="preserve">the department of the Public Service principally assisting in the administration of the </w:t>
      </w:r>
      <w:r>
        <w:rPr>
          <w:i/>
        </w:rPr>
        <w:t>Health Legislation Administration Act 1984</w:t>
      </w:r>
      <w:r>
        <w:rPr>
          <w:iCs/>
        </w:rPr>
        <w:t>;</w:t>
      </w:r>
    </w:p>
    <w:p>
      <w:pPr>
        <w:pStyle w:val="Indenta"/>
      </w:pPr>
      <w:r>
        <w:tab/>
        <w:t>(e)</w:t>
      </w:r>
      <w:r>
        <w:tab/>
        <w:t xml:space="preserve">the department of the Public Service principally assisting in the administration of the </w:t>
      </w:r>
      <w:r>
        <w:rPr>
          <w:i/>
        </w:rPr>
        <w:t>Higher Education Act 2004</w:t>
      </w:r>
      <w:r>
        <w:t>;</w:t>
      </w:r>
    </w:p>
    <w:p>
      <w:pPr>
        <w:pStyle w:val="Indenta"/>
      </w:pPr>
      <w:r>
        <w:tab/>
        <w:t>(f)</w:t>
      </w:r>
      <w:r>
        <w:tab/>
        <w:t xml:space="preserve">the department of the Public Service principally assisting in the administration of the </w:t>
      </w:r>
      <w:r>
        <w:rPr>
          <w:i/>
        </w:rPr>
        <w:t>Housing Act 1980</w:t>
      </w:r>
      <w:r>
        <w:t>;</w:t>
      </w:r>
    </w:p>
    <w:p>
      <w:pPr>
        <w:pStyle w:val="Indenta"/>
      </w:pPr>
      <w:r>
        <w:tab/>
        <w:t>(g)</w:t>
      </w:r>
      <w:r>
        <w:tab/>
        <w:t xml:space="preserve">the department of the Public Service principally assisting in the administration of the </w:t>
      </w:r>
      <w:r>
        <w:rPr>
          <w:i/>
        </w:rPr>
        <w:t>Prisons Act 1981</w:t>
      </w:r>
      <w:r>
        <w:t>;</w:t>
      </w:r>
    </w:p>
    <w:p>
      <w:pPr>
        <w:pStyle w:val="Indenta"/>
      </w:pPr>
      <w:r>
        <w:tab/>
        <w:t>(h)</w:t>
      </w:r>
      <w:r>
        <w:tab/>
        <w:t xml:space="preserve">the department of the Public Service principally assisting in the administration of the </w:t>
      </w:r>
      <w:r>
        <w:rPr>
          <w:i/>
        </w:rPr>
        <w:t>School Education Act </w:t>
      </w:r>
      <w:r>
        <w:rPr>
          <w:i/>
          <w:iCs/>
        </w:rPr>
        <w:t>1999</w:t>
      </w:r>
      <w:r>
        <w:t>;</w:t>
      </w:r>
    </w:p>
    <w:p>
      <w:pPr>
        <w:pStyle w:val="Indenta"/>
      </w:pPr>
      <w:r>
        <w:tab/>
        <w:t>(i)</w:t>
      </w:r>
      <w:r>
        <w:tab/>
        <w:t>the department of the Public Service designated as the Mental Health Commission;</w:t>
      </w:r>
    </w:p>
    <w:p>
      <w:pPr>
        <w:pStyle w:val="Indenta"/>
      </w:pPr>
      <w:r>
        <w:tab/>
        <w:t>(j)</w:t>
      </w:r>
      <w:r>
        <w:tab/>
        <w:t>the department of the Public Service designated as the Police Service;</w:t>
      </w:r>
    </w:p>
    <w:p>
      <w:pPr>
        <w:pStyle w:val="Indenta"/>
      </w:pPr>
      <w:r>
        <w:tab/>
        <w:t>(k)</w:t>
      </w:r>
      <w:r>
        <w:tab/>
        <w:t xml:space="preserve">the Disability Services Commission referred to in the </w:t>
      </w:r>
      <w:r>
        <w:rPr>
          <w:i/>
        </w:rPr>
        <w:t>Disability Services Act 1993</w:t>
      </w:r>
      <w:r>
        <w:t xml:space="preserve"> section 6;</w:t>
      </w:r>
    </w:p>
    <w:p>
      <w:pPr>
        <w:pStyle w:val="Indenta"/>
      </w:pPr>
      <w:r>
        <w:tab/>
        <w:t>(la)</w:t>
      </w:r>
      <w:r>
        <w:tab/>
        <w:t xml:space="preserve">the Police Force of </w:t>
      </w:r>
      <w:smartTag w:uri="urn:schemas-microsoft-com:office:smarttags" w:element="place">
        <w:smartTag w:uri="urn:schemas-microsoft-com:office:smarttags" w:element="State">
          <w:r>
            <w:t>Western Australia</w:t>
          </w:r>
        </w:smartTag>
      </w:smartTag>
      <w:r>
        <w:t>;</w:t>
      </w:r>
    </w:p>
    <w:p>
      <w:pPr>
        <w:pStyle w:val="Indenta"/>
      </w:pPr>
      <w:r>
        <w:tab/>
        <w:t>(l)</w:t>
      </w:r>
      <w:r>
        <w:tab/>
        <w:t xml:space="preserve">the Western Australian Alcohol and Drug Authority established under the </w:t>
      </w:r>
      <w:r>
        <w:rPr>
          <w:i/>
        </w:rPr>
        <w:t>Alcohol and Drug Authority Act 1974</w:t>
      </w:r>
      <w:r>
        <w:t xml:space="preserve"> section 5(1);</w:t>
      </w:r>
    </w:p>
    <w:p>
      <w:pPr>
        <w:pStyle w:val="Indenta"/>
      </w:pPr>
      <w:r>
        <w:tab/>
        <w:t>(m)</w:t>
      </w:r>
      <w:r>
        <w:tab/>
        <w:t xml:space="preserve">each board within the meaning of that term in the </w:t>
      </w:r>
      <w:r>
        <w:rPr>
          <w:i/>
        </w:rPr>
        <w:t>Hospitals and Health Services Act 1927</w:t>
      </w:r>
      <w:r>
        <w:t xml:space="preserve"> section 2(1);</w:t>
      </w:r>
    </w:p>
    <w:p>
      <w:pPr>
        <w:pStyle w:val="Indenta"/>
      </w:pPr>
      <w:r>
        <w:tab/>
        <w:t>(n)</w:t>
      </w:r>
      <w:r>
        <w:tab/>
        <w:t xml:space="preserve">the Teacher Registration Board of Western Australia established by the </w:t>
      </w:r>
      <w:r>
        <w:rPr>
          <w:i/>
        </w:rPr>
        <w:t>Teacher Registration Act 2012</w:t>
      </w:r>
      <w:r>
        <w:t xml:space="preserve"> section 86;</w:t>
      </w:r>
    </w:p>
    <w:p>
      <w:pPr>
        <w:pStyle w:val="Indenta"/>
      </w:pPr>
      <w:r>
        <w:tab/>
        <w:t>(o)</w:t>
      </w:r>
      <w:r>
        <w:tab/>
        <w:t xml:space="preserve">the Training Accreditation Council established by the </w:t>
      </w:r>
      <w:r>
        <w:rPr>
          <w:i/>
        </w:rPr>
        <w:t>Vocational Education and Training Act 1996</w:t>
      </w:r>
      <w:r>
        <w:t xml:space="preserve"> section 25;</w:t>
      </w:r>
    </w:p>
    <w:p>
      <w:pPr>
        <w:pStyle w:val="Indenta"/>
      </w:pPr>
      <w:r>
        <w:tab/>
        <w:t>(p)</w:t>
      </w:r>
      <w:r>
        <w:tab/>
        <w:t xml:space="preserve">each college established under the </w:t>
      </w:r>
      <w:r>
        <w:rPr>
          <w:i/>
        </w:rPr>
        <w:t>Vocational Education and Training Act 1996</w:t>
      </w:r>
      <w:r>
        <w:t xml:space="preserve"> section 35.</w:t>
      </w:r>
    </w:p>
    <w:p>
      <w:pPr>
        <w:pStyle w:val="Footnotesection"/>
      </w:pPr>
      <w:r>
        <w:tab/>
        <w:t>[Regulation 20A inserted in Gazette 28 Jan 2011 p. 249-50; amended in Gazette 27 Jan 2012 p. 567; 27 Jun 2014 p. 2311.]</w:t>
      </w:r>
    </w:p>
    <w:p>
      <w:pPr>
        <w:pStyle w:val="Heading5"/>
      </w:pPr>
      <w:bookmarkStart w:id="163" w:name="_Toc391629140"/>
      <w:bookmarkStart w:id="164" w:name="_Toc416355207"/>
      <w:r>
        <w:rPr>
          <w:rStyle w:val="CharSectno"/>
        </w:rPr>
        <w:t>21</w:t>
      </w:r>
      <w:r>
        <w:t>.</w:t>
      </w:r>
      <w:r>
        <w:tab/>
        <w:t>Special guardians, payments to (Act s. 65)</w:t>
      </w:r>
      <w:bookmarkEnd w:id="163"/>
      <w:bookmarkEnd w:id="164"/>
    </w:p>
    <w:p>
      <w:pPr>
        <w:pStyle w:val="Subsection"/>
      </w:pPr>
      <w:r>
        <w:tab/>
        <w:t>(1)</w:t>
      </w:r>
      <w:r>
        <w:tab/>
        <w:t>For the purposes of section 65 the scale of amounts set out in the Table is prescribed.</w:t>
      </w:r>
    </w:p>
    <w:p>
      <w:pPr>
        <w:pStyle w:val="THeadingNAm"/>
      </w:pPr>
      <w:r>
        <w:t>Table</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4394"/>
        <w:gridCol w:w="1559"/>
      </w:tblGrid>
      <w:tr>
        <w:trPr>
          <w:tblHeader/>
        </w:trPr>
        <w:tc>
          <w:tcPr>
            <w:tcW w:w="4394" w:type="dxa"/>
          </w:tcPr>
          <w:p>
            <w:pPr>
              <w:pStyle w:val="TableNAm"/>
              <w:jc w:val="center"/>
              <w:rPr>
                <w:b/>
              </w:rPr>
            </w:pPr>
            <w:r>
              <w:rPr>
                <w:b/>
              </w:rPr>
              <w:t>Class of children</w:t>
            </w:r>
          </w:p>
        </w:tc>
        <w:tc>
          <w:tcPr>
            <w:tcW w:w="1559" w:type="dxa"/>
          </w:tcPr>
          <w:p>
            <w:pPr>
              <w:pStyle w:val="TableNAm"/>
              <w:jc w:val="center"/>
              <w:rPr>
                <w:b/>
              </w:rPr>
            </w:pPr>
            <w:r>
              <w:rPr>
                <w:b/>
              </w:rPr>
              <w:t>Amount ($)</w:t>
            </w:r>
          </w:p>
        </w:tc>
      </w:tr>
      <w:tr>
        <w:tc>
          <w:tcPr>
            <w:tcW w:w="4394" w:type="dxa"/>
          </w:tcPr>
          <w:p>
            <w:pPr>
              <w:pStyle w:val="TableNAm"/>
            </w:pPr>
            <w:r>
              <w:t>Children who are under 7 years of age</w:t>
            </w:r>
          </w:p>
        </w:tc>
        <w:tc>
          <w:tcPr>
            <w:tcW w:w="1559" w:type="dxa"/>
          </w:tcPr>
          <w:p>
            <w:pPr>
              <w:pStyle w:val="TableNAm"/>
            </w:pPr>
            <w:r>
              <w:t>382.78</w:t>
            </w:r>
          </w:p>
        </w:tc>
      </w:tr>
      <w:tr>
        <w:tc>
          <w:tcPr>
            <w:tcW w:w="4394" w:type="dxa"/>
          </w:tcPr>
          <w:p>
            <w:pPr>
              <w:pStyle w:val="TableNAm"/>
            </w:pPr>
            <w:r>
              <w:t>Children who have reached 7 years of age but are under 13 years of age</w:t>
            </w:r>
          </w:p>
        </w:tc>
        <w:tc>
          <w:tcPr>
            <w:tcW w:w="1559" w:type="dxa"/>
          </w:tcPr>
          <w:p>
            <w:pPr>
              <w:pStyle w:val="TableNAm"/>
            </w:pPr>
            <w:r>
              <w:br/>
              <w:t>452.20</w:t>
            </w:r>
          </w:p>
        </w:tc>
      </w:tr>
      <w:tr>
        <w:tc>
          <w:tcPr>
            <w:tcW w:w="4394" w:type="dxa"/>
          </w:tcPr>
          <w:p>
            <w:pPr>
              <w:pStyle w:val="TableNAm"/>
            </w:pPr>
            <w:r>
              <w:t>Children who have reached 13 years of age</w:t>
            </w:r>
          </w:p>
        </w:tc>
        <w:tc>
          <w:tcPr>
            <w:tcW w:w="1559" w:type="dxa"/>
          </w:tcPr>
          <w:p>
            <w:pPr>
              <w:pStyle w:val="TableNAm"/>
            </w:pPr>
            <w:r>
              <w:br/>
              <w:t>546.68</w:t>
            </w:r>
          </w:p>
        </w:tc>
      </w:tr>
    </w:tbl>
    <w:p>
      <w:pPr>
        <w:pStyle w:val="Subsection"/>
        <w:keepNext/>
      </w:pPr>
      <w:r>
        <w:tab/>
        <w:t>(2)</w:t>
      </w:r>
      <w:r>
        <w:tab/>
        <w:t>Payments of amounts prescribed under subregulation (1) are to be made at fortnightly intervals.</w:t>
      </w:r>
    </w:p>
    <w:p>
      <w:pPr>
        <w:pStyle w:val="Footnotesection"/>
      </w:pPr>
      <w:r>
        <w:tab/>
        <w:t>[Regulation 21 amended in Gazette 7 Aug 2007 p. 4029; 18 Jan 2011 p. 146; 21 Sep 2012 p. 4422; 27 Jun 2014 p. 2311.]</w:t>
      </w:r>
    </w:p>
    <w:p>
      <w:pPr>
        <w:pStyle w:val="Heading5"/>
      </w:pPr>
      <w:bookmarkStart w:id="165" w:name="_Toc391629141"/>
      <w:bookmarkStart w:id="166" w:name="_Toc416355208"/>
      <w:r>
        <w:rPr>
          <w:rStyle w:val="CharSectno"/>
        </w:rPr>
        <w:t>21A</w:t>
      </w:r>
      <w:r>
        <w:t>.</w:t>
      </w:r>
      <w:r>
        <w:tab/>
        <w:t>Work prescribed (Act s. 191(4))</w:t>
      </w:r>
      <w:bookmarkEnd w:id="165"/>
      <w:bookmarkEnd w:id="166"/>
    </w:p>
    <w:p>
      <w:pPr>
        <w:pStyle w:val="Subsection"/>
      </w:pPr>
      <w:r>
        <w:tab/>
      </w:r>
      <w:r>
        <w:tab/>
        <w:t>Work that involves the collection of shopping trolleys at or in the vicinity of a shop or other retail outlet is prescribed for the purposes of section 191(4).</w:t>
      </w:r>
    </w:p>
    <w:p>
      <w:pPr>
        <w:pStyle w:val="Footnotesection"/>
      </w:pPr>
      <w:r>
        <w:tab/>
        <w:t>[Regulation 21A inserted in Gazette 18 Aug 2006 p. 3367.]</w:t>
      </w:r>
    </w:p>
    <w:p>
      <w:pPr>
        <w:pStyle w:val="Ednotesection"/>
        <w:tabs>
          <w:tab w:val="clear" w:pos="893"/>
          <w:tab w:val="left" w:pos="1080"/>
        </w:tabs>
        <w:ind w:left="960" w:hanging="960"/>
      </w:pPr>
      <w:r>
        <w:t>[</w:t>
      </w:r>
      <w:r>
        <w:rPr>
          <w:b/>
          <w:bCs/>
        </w:rPr>
        <w:t>22</w:t>
      </w:r>
      <w:r>
        <w:rPr>
          <w:b/>
          <w:bCs/>
        </w:rPr>
        <w:noBreakHyphen/>
        <w:t>23A.</w:t>
      </w:r>
      <w:r>
        <w:rPr>
          <w:b/>
          <w:bCs/>
        </w:rPr>
        <w:tab/>
      </w:r>
      <w:r>
        <w:t>Deleted in Gazette 7 Aug 2007 p. 4030.]</w:t>
      </w:r>
    </w:p>
    <w:p>
      <w:pPr>
        <w:pStyle w:val="Heading2"/>
      </w:pPr>
      <w:bookmarkStart w:id="167" w:name="_Toc378075945"/>
      <w:bookmarkStart w:id="168" w:name="_Toc391629142"/>
      <w:bookmarkStart w:id="169" w:name="_Toc415581859"/>
      <w:bookmarkStart w:id="170" w:name="_Toc415581930"/>
      <w:bookmarkStart w:id="171" w:name="_Toc415581992"/>
      <w:bookmarkStart w:id="172" w:name="_Toc415663498"/>
      <w:bookmarkStart w:id="173" w:name="_Toc416355146"/>
      <w:bookmarkStart w:id="174" w:name="_Toc416355209"/>
      <w:r>
        <w:rPr>
          <w:rStyle w:val="CharPartNo"/>
        </w:rPr>
        <w:t>Part 7</w:t>
      </w:r>
      <w:r>
        <w:rPr>
          <w:rStyle w:val="CharDivNo"/>
        </w:rPr>
        <w:t> </w:t>
      </w:r>
      <w:r>
        <w:t>—</w:t>
      </w:r>
      <w:r>
        <w:rPr>
          <w:rStyle w:val="CharDivText"/>
        </w:rPr>
        <w:t> </w:t>
      </w:r>
      <w:r>
        <w:rPr>
          <w:rStyle w:val="CharPartText"/>
        </w:rPr>
        <w:t>Transitional arrangements</w:t>
      </w:r>
      <w:bookmarkEnd w:id="167"/>
      <w:bookmarkEnd w:id="168"/>
      <w:bookmarkEnd w:id="169"/>
      <w:bookmarkEnd w:id="170"/>
      <w:bookmarkEnd w:id="171"/>
      <w:bookmarkEnd w:id="172"/>
      <w:bookmarkEnd w:id="173"/>
      <w:bookmarkEnd w:id="174"/>
    </w:p>
    <w:p>
      <w:pPr>
        <w:pStyle w:val="Heading5"/>
      </w:pPr>
      <w:bookmarkStart w:id="175" w:name="_Toc391629143"/>
      <w:bookmarkStart w:id="176" w:name="_Toc416355210"/>
      <w:r>
        <w:rPr>
          <w:rStyle w:val="CharSectno"/>
        </w:rPr>
        <w:t>24</w:t>
      </w:r>
      <w:r>
        <w:t>.</w:t>
      </w:r>
      <w:r>
        <w:tab/>
        <w:t>Term used: commencement day</w:t>
      </w:r>
      <w:bookmarkEnd w:id="175"/>
      <w:bookmarkEnd w:id="176"/>
    </w:p>
    <w:p>
      <w:pPr>
        <w:pStyle w:val="Subsection"/>
      </w:pPr>
      <w:r>
        <w:tab/>
      </w:r>
      <w:r>
        <w:tab/>
        <w:t xml:space="preserve">In this Part — </w:t>
      </w:r>
    </w:p>
    <w:p>
      <w:pPr>
        <w:pStyle w:val="Defstart"/>
      </w:pPr>
      <w:r>
        <w:rPr>
          <w:b/>
        </w:rPr>
        <w:tab/>
      </w:r>
      <w:r>
        <w:rPr>
          <w:rStyle w:val="CharDefText"/>
        </w:rPr>
        <w:t>commencement day</w:t>
      </w:r>
      <w:r>
        <w:t xml:space="preserve"> means the day on which these regulations come into operation.</w:t>
      </w:r>
    </w:p>
    <w:p>
      <w:pPr>
        <w:pStyle w:val="Footnotesection"/>
      </w:pPr>
      <w:r>
        <w:tab/>
        <w:t>[Regulation 24 amended in Gazette 7 Aug 2007 p. 4030.]</w:t>
      </w:r>
    </w:p>
    <w:p>
      <w:pPr>
        <w:pStyle w:val="Ednotesection"/>
      </w:pPr>
      <w:r>
        <w:t>[</w:t>
      </w:r>
      <w:r>
        <w:rPr>
          <w:b/>
          <w:bCs/>
        </w:rPr>
        <w:t>25</w:t>
      </w:r>
      <w:r>
        <w:rPr>
          <w:b/>
          <w:bCs/>
        </w:rPr>
        <w:noBreakHyphen/>
        <w:t>28.</w:t>
      </w:r>
      <w:r>
        <w:rPr>
          <w:b/>
          <w:bCs/>
        </w:rPr>
        <w:tab/>
      </w:r>
      <w:r>
        <w:t>Deleted in Gazette 7 Aug 2007 p. 4030.]</w:t>
      </w:r>
    </w:p>
    <w:p>
      <w:pPr>
        <w:pStyle w:val="Heading5"/>
      </w:pPr>
      <w:bookmarkStart w:id="177" w:name="_Toc391629144"/>
      <w:bookmarkStart w:id="178" w:name="_Toc416355211"/>
      <w:r>
        <w:rPr>
          <w:rStyle w:val="CharSectno"/>
        </w:rPr>
        <w:t>29</w:t>
      </w:r>
      <w:r>
        <w:t>.</w:t>
      </w:r>
      <w:r>
        <w:tab/>
        <w:t>Certain children in care as at 1 Mar 2006</w:t>
      </w:r>
      <w:bookmarkEnd w:id="177"/>
      <w:bookmarkEnd w:id="178"/>
    </w:p>
    <w:p>
      <w:pPr>
        <w:pStyle w:val="Subsection"/>
      </w:pPr>
      <w:r>
        <w:tab/>
        <w:t>(1)</w:t>
      </w:r>
      <w:r>
        <w:tab/>
        <w:t xml:space="preserve">This regulation applies to a child if immediately before commencement day the child — </w:t>
      </w:r>
    </w:p>
    <w:p>
      <w:pPr>
        <w:pStyle w:val="Indenta"/>
      </w:pPr>
      <w:r>
        <w:tab/>
        <w:t>(a)</w:t>
      </w:r>
      <w:r>
        <w:tab/>
        <w:t xml:space="preserve">was being cared for by a person pursuant to an arrangement made — </w:t>
      </w:r>
    </w:p>
    <w:p>
      <w:pPr>
        <w:pStyle w:val="Indenti"/>
      </w:pPr>
      <w:r>
        <w:tab/>
        <w:t>(i)</w:t>
      </w:r>
      <w:r>
        <w:tab/>
        <w:t>by the Director</w:t>
      </w:r>
      <w:r>
        <w:noBreakHyphen/>
        <w:t xml:space="preserve">General as defined in the </w:t>
      </w:r>
      <w:r>
        <w:rPr>
          <w:i/>
          <w:iCs/>
        </w:rPr>
        <w:t>Child Welfare Act 1947</w:t>
      </w:r>
      <w:r>
        <w:rPr>
          <w:iCs/>
          <w:vertAlign w:val="superscript"/>
        </w:rPr>
        <w:t> 3</w:t>
      </w:r>
      <w:r>
        <w:rPr>
          <w:i/>
          <w:iCs/>
        </w:rPr>
        <w:t xml:space="preserve"> </w:t>
      </w:r>
      <w:r>
        <w:t>section 4(1); and</w:t>
      </w:r>
    </w:p>
    <w:p>
      <w:pPr>
        <w:pStyle w:val="Indenti"/>
      </w:pPr>
      <w:r>
        <w:tab/>
        <w:t>(ii)</w:t>
      </w:r>
      <w:r>
        <w:tab/>
        <w:t>with the consent of a parent of the child;</w:t>
      </w:r>
    </w:p>
    <w:p>
      <w:pPr>
        <w:pStyle w:val="Indenta"/>
      </w:pPr>
      <w:r>
        <w:tab/>
      </w:r>
      <w:r>
        <w:tab/>
        <w:t>and</w:t>
      </w:r>
    </w:p>
    <w:p>
      <w:pPr>
        <w:pStyle w:val="Indenta"/>
      </w:pPr>
      <w:r>
        <w:tab/>
        <w:t>(b)</w:t>
      </w:r>
      <w:r>
        <w:tab/>
        <w:t xml:space="preserve">was not the subject of an order or proceedings under the </w:t>
      </w:r>
      <w:r>
        <w:rPr>
          <w:i/>
          <w:iCs/>
        </w:rPr>
        <w:t>Child Welfare Act 1947</w:t>
      </w:r>
      <w:r>
        <w:rPr>
          <w:iCs/>
          <w:vertAlign w:val="superscript"/>
        </w:rPr>
        <w:t> 3</w:t>
      </w:r>
      <w:r>
        <w:t>.</w:t>
      </w:r>
    </w:p>
    <w:p>
      <w:pPr>
        <w:pStyle w:val="Subsection"/>
      </w:pPr>
      <w:r>
        <w:tab/>
        <w:t>(2)</w:t>
      </w:r>
      <w:r>
        <w:tab/>
        <w:t>A child to whom this regulation applies is to be taken to be a child —</w:t>
      </w:r>
    </w:p>
    <w:p>
      <w:pPr>
        <w:pStyle w:val="Indenta"/>
      </w:pPr>
      <w:r>
        <w:tab/>
        <w:t>(a)</w:t>
      </w:r>
      <w:r>
        <w:tab/>
        <w:t>who is in the CEO’s care for the purposes of the Act Part 4; and</w:t>
      </w:r>
    </w:p>
    <w:p>
      <w:pPr>
        <w:pStyle w:val="Indenta"/>
      </w:pPr>
      <w:r>
        <w:tab/>
        <w:t>(b)</w:t>
      </w:r>
      <w:r>
        <w:tab/>
        <w:t>to whom care is provided under a placement arrangement as defined in section 3.</w:t>
      </w:r>
    </w:p>
    <w:p>
      <w:pPr>
        <w:pStyle w:val="Indenta"/>
        <w:sectPr>
          <w:headerReference w:type="even" r:id="rId21"/>
          <w:headerReference w:type="default" r:id="rId22"/>
          <w:headerReference w:type="first" r:id="rId23"/>
          <w:endnotePr>
            <w:numFmt w:val="decimal"/>
          </w:endnotePr>
          <w:pgSz w:w="11907" w:h="16840" w:code="9"/>
          <w:pgMar w:top="2376" w:right="2405" w:bottom="3542" w:left="2405" w:header="706" w:footer="3380" w:gutter="0"/>
          <w:pgNumType w:start="1"/>
          <w:cols w:space="720"/>
          <w:noEndnote/>
          <w:titlePg/>
          <w:docGrid w:linePitch="326"/>
        </w:sectPr>
      </w:pPr>
    </w:p>
    <w:p>
      <w:pPr>
        <w:pStyle w:val="yScheduleHeading"/>
      </w:pPr>
      <w:bookmarkStart w:id="179" w:name="_Toc378075948"/>
      <w:bookmarkStart w:id="180" w:name="_Toc391629145"/>
      <w:bookmarkStart w:id="181" w:name="_Toc415581862"/>
      <w:bookmarkStart w:id="182" w:name="_Toc415581933"/>
      <w:bookmarkStart w:id="183" w:name="_Toc415581995"/>
      <w:bookmarkStart w:id="184" w:name="_Toc415663501"/>
      <w:bookmarkStart w:id="185" w:name="_Toc416355149"/>
      <w:bookmarkStart w:id="186" w:name="_Toc416355212"/>
      <w:r>
        <w:rPr>
          <w:rStyle w:val="CharSchNo"/>
        </w:rPr>
        <w:t>Schedule 1</w:t>
      </w:r>
      <w:r>
        <w:rPr>
          <w:rStyle w:val="CharSDivNo"/>
        </w:rPr>
        <w:t> </w:t>
      </w:r>
      <w:r>
        <w:t>—</w:t>
      </w:r>
      <w:r>
        <w:rPr>
          <w:rStyle w:val="CharSDivText"/>
        </w:rPr>
        <w:t> </w:t>
      </w:r>
      <w:r>
        <w:rPr>
          <w:rStyle w:val="CharSchText"/>
        </w:rPr>
        <w:t>Forms</w:t>
      </w:r>
      <w:bookmarkEnd w:id="179"/>
      <w:bookmarkEnd w:id="180"/>
      <w:bookmarkEnd w:id="181"/>
      <w:bookmarkEnd w:id="182"/>
      <w:bookmarkEnd w:id="183"/>
      <w:bookmarkEnd w:id="184"/>
      <w:bookmarkEnd w:id="185"/>
      <w:bookmarkEnd w:id="186"/>
    </w:p>
    <w:p>
      <w:pPr>
        <w:pStyle w:val="yShoulderClause"/>
      </w:pPr>
      <w:r>
        <w:t>[r. 9AA, 9AB, 9AC, 16E, 16I and 16L]</w:t>
      </w:r>
    </w:p>
    <w:p>
      <w:pPr>
        <w:pStyle w:val="yFootnoteheading"/>
      </w:pPr>
      <w:r>
        <w:tab/>
        <w:t>[Heading inserted in Gazette 28 Jan 2011 p. 250.]</w:t>
      </w:r>
    </w:p>
    <w:p>
      <w:pPr>
        <w:pStyle w:val="yHeading5"/>
        <w:spacing w:after="80"/>
      </w:pPr>
      <w:bookmarkStart w:id="187" w:name="_Toc391629146"/>
      <w:bookmarkStart w:id="188" w:name="_Toc416355213"/>
      <w:r>
        <w:rPr>
          <w:rStyle w:val="CharSClsNo"/>
        </w:rPr>
        <w:t>1</w:t>
      </w:r>
      <w:r>
        <w:t>.</w:t>
      </w:r>
      <w:r>
        <w:tab/>
        <w:t>Warrant (access)</w:t>
      </w:r>
      <w:bookmarkEnd w:id="187"/>
      <w:bookmarkEnd w:id="188"/>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5" w:type="dxa"/>
          <w:bottom w:w="57" w:type="dxa"/>
          <w:right w:w="85" w:type="dxa"/>
        </w:tblCellMar>
        <w:tblLook w:val="0000" w:firstRow="0" w:lastRow="0" w:firstColumn="0" w:lastColumn="0" w:noHBand="0" w:noVBand="0"/>
      </w:tblPr>
      <w:tblGrid>
        <w:gridCol w:w="1200"/>
        <w:gridCol w:w="1080"/>
        <w:gridCol w:w="1080"/>
        <w:gridCol w:w="184"/>
        <w:gridCol w:w="416"/>
        <w:gridCol w:w="718"/>
        <w:gridCol w:w="142"/>
        <w:gridCol w:w="220"/>
        <w:gridCol w:w="480"/>
        <w:gridCol w:w="9"/>
        <w:gridCol w:w="231"/>
        <w:gridCol w:w="273"/>
        <w:gridCol w:w="1061"/>
      </w:tblGrid>
      <w:tr>
        <w:tc>
          <w:tcPr>
            <w:tcW w:w="3544" w:type="dxa"/>
            <w:gridSpan w:val="4"/>
          </w:tcPr>
          <w:p>
            <w:pPr>
              <w:pStyle w:val="yTableNAm"/>
              <w:spacing w:before="60"/>
              <w:rPr>
                <w:sz w:val="20"/>
              </w:rPr>
            </w:pPr>
            <w:r>
              <w:rPr>
                <w:sz w:val="20"/>
              </w:rPr>
              <w:t>In the Children’s Court at</w:t>
            </w:r>
          </w:p>
          <w:p>
            <w:pPr>
              <w:pStyle w:val="yTableNAm"/>
              <w:spacing w:before="60"/>
              <w:rPr>
                <w:sz w:val="20"/>
              </w:rPr>
            </w:pPr>
          </w:p>
          <w:p>
            <w:pPr>
              <w:pStyle w:val="yTableNAm"/>
              <w:spacing w:before="60"/>
              <w:rPr>
                <w:sz w:val="20"/>
              </w:rPr>
            </w:pPr>
            <w:r>
              <w:rPr>
                <w:sz w:val="20"/>
              </w:rPr>
              <w:t>File No.</w:t>
            </w:r>
          </w:p>
        </w:tc>
        <w:tc>
          <w:tcPr>
            <w:tcW w:w="3550" w:type="dxa"/>
            <w:gridSpan w:val="9"/>
          </w:tcPr>
          <w:p>
            <w:pPr>
              <w:pStyle w:val="yTableNAm"/>
              <w:spacing w:before="60"/>
              <w:rPr>
                <w:b/>
                <w:bCs/>
                <w:sz w:val="20"/>
              </w:rPr>
            </w:pPr>
            <w:r>
              <w:rPr>
                <w:b/>
                <w:bCs/>
                <w:sz w:val="20"/>
              </w:rPr>
              <w:t>Warrant (access)</w:t>
            </w:r>
          </w:p>
        </w:tc>
      </w:tr>
      <w:tr>
        <w:tc>
          <w:tcPr>
            <w:tcW w:w="1200" w:type="dxa"/>
          </w:tcPr>
          <w:p>
            <w:pPr>
              <w:pStyle w:val="yTableNAm"/>
              <w:spacing w:before="60"/>
              <w:rPr>
                <w:b/>
                <w:bCs/>
                <w:sz w:val="20"/>
              </w:rPr>
            </w:pPr>
            <w:r>
              <w:rPr>
                <w:b/>
                <w:bCs/>
                <w:sz w:val="20"/>
              </w:rPr>
              <w:t>To</w:t>
            </w:r>
          </w:p>
        </w:tc>
        <w:tc>
          <w:tcPr>
            <w:tcW w:w="5894" w:type="dxa"/>
            <w:gridSpan w:val="12"/>
          </w:tcPr>
          <w:p>
            <w:pPr>
              <w:pStyle w:val="yTableNAm"/>
              <w:spacing w:before="60"/>
              <w:rPr>
                <w:b/>
                <w:bCs/>
                <w:sz w:val="20"/>
              </w:rPr>
            </w:pPr>
            <w:r>
              <w:rPr>
                <w:b/>
                <w:bCs/>
                <w:sz w:val="20"/>
              </w:rPr>
              <w:t>All authorised officers.</w:t>
            </w:r>
          </w:p>
        </w:tc>
      </w:tr>
      <w:tr>
        <w:trPr>
          <w:cantSplit/>
          <w:trHeight w:val="146"/>
        </w:trPr>
        <w:tc>
          <w:tcPr>
            <w:tcW w:w="1200" w:type="dxa"/>
            <w:vMerge w:val="restart"/>
          </w:tcPr>
          <w:p>
            <w:pPr>
              <w:pStyle w:val="yTableNAm"/>
              <w:spacing w:before="60"/>
              <w:rPr>
                <w:sz w:val="20"/>
              </w:rPr>
            </w:pPr>
            <w:r>
              <w:rPr>
                <w:sz w:val="20"/>
              </w:rPr>
              <w:t>Details of child</w:t>
            </w:r>
          </w:p>
        </w:tc>
        <w:tc>
          <w:tcPr>
            <w:tcW w:w="1080" w:type="dxa"/>
          </w:tcPr>
          <w:p>
            <w:pPr>
              <w:pStyle w:val="yTableNAm"/>
              <w:spacing w:before="60"/>
              <w:rPr>
                <w:sz w:val="20"/>
              </w:rPr>
            </w:pPr>
            <w:r>
              <w:rPr>
                <w:sz w:val="20"/>
              </w:rPr>
              <w:t>Surname</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Date of birth</w:t>
            </w:r>
          </w:p>
        </w:tc>
        <w:tc>
          <w:tcPr>
            <w:tcW w:w="1061"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Given names</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Gender</w:t>
            </w:r>
          </w:p>
        </w:tc>
        <w:tc>
          <w:tcPr>
            <w:tcW w:w="1061"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111"/>
        </w:trPr>
        <w:tc>
          <w:tcPr>
            <w:tcW w:w="1200" w:type="dxa"/>
            <w:vMerge w:val="restart"/>
          </w:tcPr>
          <w:p>
            <w:pPr>
              <w:pStyle w:val="yTableNAm"/>
              <w:spacing w:before="60"/>
              <w:rPr>
                <w:sz w:val="20"/>
              </w:rPr>
            </w:pPr>
            <w:r>
              <w:rPr>
                <w:sz w:val="20"/>
              </w:rPr>
              <w:t>Details of applicant</w:t>
            </w:r>
          </w:p>
        </w:tc>
        <w:tc>
          <w:tcPr>
            <w:tcW w:w="1080" w:type="dxa"/>
          </w:tcPr>
          <w:p>
            <w:pPr>
              <w:pStyle w:val="yTableNAm"/>
              <w:spacing w:before="60"/>
              <w:rPr>
                <w:sz w:val="20"/>
              </w:rPr>
            </w:pPr>
            <w:r>
              <w:rPr>
                <w:sz w:val="20"/>
              </w:rPr>
              <w:t>Name</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Division</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Telephone</w:t>
            </w:r>
          </w:p>
        </w:tc>
        <w:tc>
          <w:tcPr>
            <w:tcW w:w="1080" w:type="dxa"/>
          </w:tcPr>
          <w:p>
            <w:pPr>
              <w:pStyle w:val="yTableNAm"/>
              <w:spacing w:before="60"/>
              <w:rPr>
                <w:sz w:val="20"/>
              </w:rPr>
            </w:pPr>
          </w:p>
        </w:tc>
        <w:tc>
          <w:tcPr>
            <w:tcW w:w="600" w:type="dxa"/>
            <w:gridSpan w:val="2"/>
          </w:tcPr>
          <w:p>
            <w:pPr>
              <w:pStyle w:val="yTableNAm"/>
              <w:spacing w:before="60"/>
              <w:rPr>
                <w:sz w:val="20"/>
              </w:rPr>
            </w:pPr>
            <w:r>
              <w:rPr>
                <w:sz w:val="20"/>
              </w:rPr>
              <w:t>Fax</w:t>
            </w:r>
          </w:p>
        </w:tc>
        <w:tc>
          <w:tcPr>
            <w:tcW w:w="1080" w:type="dxa"/>
            <w:gridSpan w:val="3"/>
          </w:tcPr>
          <w:p>
            <w:pPr>
              <w:pStyle w:val="yTableNAm"/>
              <w:spacing w:before="60"/>
              <w:rPr>
                <w:sz w:val="20"/>
              </w:rPr>
            </w:pPr>
          </w:p>
        </w:tc>
        <w:tc>
          <w:tcPr>
            <w:tcW w:w="720" w:type="dxa"/>
            <w:gridSpan w:val="3"/>
          </w:tcPr>
          <w:p>
            <w:pPr>
              <w:pStyle w:val="yTableNAm"/>
              <w:spacing w:before="60"/>
              <w:rPr>
                <w:sz w:val="20"/>
              </w:rPr>
            </w:pPr>
            <w:r>
              <w:rPr>
                <w:sz w:val="20"/>
              </w:rPr>
              <w:t>Email</w:t>
            </w:r>
          </w:p>
        </w:tc>
        <w:tc>
          <w:tcPr>
            <w:tcW w:w="1334" w:type="dxa"/>
            <w:gridSpan w:val="2"/>
          </w:tcPr>
          <w:p>
            <w:pPr>
              <w:pStyle w:val="yTableNAm"/>
              <w:spacing w:before="60"/>
              <w:rPr>
                <w:sz w:val="20"/>
              </w:rPr>
            </w:pPr>
          </w:p>
        </w:tc>
      </w:tr>
      <w:tr>
        <w:tc>
          <w:tcPr>
            <w:tcW w:w="1200" w:type="dxa"/>
          </w:tcPr>
          <w:p>
            <w:pPr>
              <w:pStyle w:val="yTableNAm"/>
              <w:spacing w:before="60"/>
              <w:rPr>
                <w:sz w:val="20"/>
              </w:rPr>
            </w:pPr>
            <w:r>
              <w:rPr>
                <w:sz w:val="20"/>
              </w:rPr>
              <w:t>Section</w:t>
            </w:r>
          </w:p>
        </w:tc>
        <w:tc>
          <w:tcPr>
            <w:tcW w:w="5894" w:type="dxa"/>
            <w:gridSpan w:val="12"/>
          </w:tcPr>
          <w:p>
            <w:pPr>
              <w:pStyle w:val="yTableNAm"/>
              <w:spacing w:before="60"/>
              <w:rPr>
                <w:sz w:val="20"/>
              </w:rPr>
            </w:pPr>
            <w:r>
              <w:rPr>
                <w:sz w:val="20"/>
              </w:rPr>
              <w:t xml:space="preserve">This warrant is issued under section </w:t>
            </w:r>
            <w:r>
              <w:rPr>
                <w:sz w:val="20"/>
              </w:rPr>
              <w:sym w:font="Monotype Sorts" w:char="F070"/>
            </w:r>
            <w:r>
              <w:rPr>
                <w:sz w:val="20"/>
              </w:rPr>
              <w:t xml:space="preserve"> 34(3) </w:t>
            </w:r>
            <w:r>
              <w:rPr>
                <w:sz w:val="20"/>
              </w:rPr>
              <w:sym w:font="Monotype Sorts" w:char="F070"/>
            </w:r>
            <w:r>
              <w:rPr>
                <w:sz w:val="20"/>
              </w:rPr>
              <w:t xml:space="preserve"> 52(4) </w:t>
            </w:r>
            <w:r>
              <w:rPr>
                <w:sz w:val="20"/>
              </w:rPr>
              <w:sym w:font="Monotype Sorts" w:char="F070"/>
            </w:r>
            <w:r>
              <w:rPr>
                <w:sz w:val="20"/>
              </w:rPr>
              <w:t xml:space="preserve"> 135(5)</w:t>
            </w:r>
          </w:p>
        </w:tc>
      </w:tr>
      <w:tr>
        <w:tc>
          <w:tcPr>
            <w:tcW w:w="1200" w:type="dxa"/>
          </w:tcPr>
          <w:p>
            <w:pPr>
              <w:pStyle w:val="yTableNAm"/>
              <w:spacing w:before="60"/>
              <w:rPr>
                <w:b/>
                <w:bCs/>
                <w:sz w:val="20"/>
              </w:rPr>
            </w:pPr>
            <w:r>
              <w:rPr>
                <w:b/>
                <w:bCs/>
                <w:sz w:val="20"/>
              </w:rPr>
              <w:t>Authority and directions</w:t>
            </w:r>
          </w:p>
        </w:tc>
        <w:tc>
          <w:tcPr>
            <w:tcW w:w="5894" w:type="dxa"/>
            <w:gridSpan w:val="12"/>
          </w:tcPr>
          <w:p>
            <w:pPr>
              <w:pStyle w:val="yTableNAm"/>
              <w:spacing w:before="60"/>
              <w:rPr>
                <w:b/>
                <w:bCs/>
                <w:sz w:val="20"/>
              </w:rPr>
            </w:pPr>
            <w:r>
              <w:rPr>
                <w:b/>
                <w:bCs/>
                <w:sz w:val="20"/>
              </w:rPr>
              <w:t xml:space="preserve">This warrant authorises you — </w:t>
            </w:r>
          </w:p>
          <w:p>
            <w:pPr>
              <w:pStyle w:val="yTableNAm"/>
              <w:tabs>
                <w:tab w:val="clear" w:pos="567"/>
                <w:tab w:val="left" w:pos="500"/>
              </w:tabs>
              <w:spacing w:before="60"/>
              <w:ind w:left="500" w:hanging="500"/>
              <w:rPr>
                <w:b/>
                <w:bCs/>
                <w:sz w:val="20"/>
              </w:rPr>
            </w:pPr>
            <w:r>
              <w:rPr>
                <w:b/>
                <w:bCs/>
                <w:sz w:val="20"/>
              </w:rPr>
              <w:t>(a)</w:t>
            </w:r>
            <w:r>
              <w:rPr>
                <w:b/>
                <w:bCs/>
                <w:sz w:val="20"/>
              </w:rPr>
              <w:tab/>
              <w:t>to enter, at any time, any place where you reasonably believe the child to be; and</w:t>
            </w:r>
          </w:p>
          <w:p>
            <w:pPr>
              <w:pStyle w:val="yTableNAm"/>
              <w:tabs>
                <w:tab w:val="clear" w:pos="567"/>
                <w:tab w:val="left" w:pos="500"/>
              </w:tabs>
              <w:spacing w:before="60"/>
              <w:ind w:left="500" w:hanging="500"/>
              <w:rPr>
                <w:b/>
                <w:bCs/>
                <w:sz w:val="20"/>
              </w:rPr>
            </w:pPr>
            <w:r>
              <w:rPr>
                <w:b/>
                <w:bCs/>
                <w:sz w:val="20"/>
              </w:rPr>
              <w:t>(b)</w:t>
            </w:r>
            <w:r>
              <w:rPr>
                <w:b/>
                <w:bCs/>
                <w:sz w:val="20"/>
              </w:rPr>
              <w:tab/>
              <w:t>to search the place for the purpose of finding the child; and</w:t>
            </w:r>
          </w:p>
          <w:p>
            <w:pPr>
              <w:pStyle w:val="yTableNAm"/>
              <w:tabs>
                <w:tab w:val="clear" w:pos="567"/>
                <w:tab w:val="left" w:pos="500"/>
              </w:tabs>
              <w:spacing w:before="60"/>
              <w:ind w:left="500" w:hanging="500"/>
              <w:rPr>
                <w:b/>
                <w:bCs/>
                <w:sz w:val="20"/>
              </w:rPr>
            </w:pPr>
            <w:r>
              <w:rPr>
                <w:b/>
                <w:bCs/>
                <w:sz w:val="20"/>
              </w:rPr>
              <w:t>(c)</w:t>
            </w:r>
            <w:r>
              <w:rPr>
                <w:b/>
                <w:bCs/>
                <w:sz w:val="20"/>
              </w:rPr>
              <w:tab/>
              <w:t>to remain at the place for as long as you consider reasonably necessary to find the child; and</w:t>
            </w:r>
          </w:p>
          <w:p>
            <w:pPr>
              <w:pStyle w:val="yTableNAm"/>
              <w:tabs>
                <w:tab w:val="clear" w:pos="567"/>
                <w:tab w:val="left" w:pos="500"/>
              </w:tabs>
              <w:spacing w:before="60"/>
              <w:ind w:left="500" w:hanging="500"/>
              <w:rPr>
                <w:b/>
                <w:bCs/>
                <w:sz w:val="20"/>
              </w:rPr>
            </w:pPr>
            <w:r>
              <w:rPr>
                <w:b/>
                <w:bCs/>
                <w:sz w:val="20"/>
              </w:rPr>
              <w:t>(d)</w:t>
            </w:r>
            <w:r>
              <w:rPr>
                <w:b/>
                <w:bCs/>
                <w:sz w:val="20"/>
              </w:rPr>
              <w:tab/>
              <w:t>if the child is found, to remain at the place and have access to the child for as long as the officer considers reasonably necessary.</w:t>
            </w:r>
          </w:p>
          <w:p>
            <w:pPr>
              <w:pStyle w:val="yTableNAm"/>
              <w:spacing w:before="60"/>
              <w:rPr>
                <w:b/>
                <w:bCs/>
                <w:sz w:val="20"/>
              </w:rPr>
            </w:pPr>
            <w:r>
              <w:rPr>
                <w:b/>
                <w:bCs/>
                <w:sz w:val="20"/>
              </w:rPr>
              <w:t xml:space="preserve">This warrant must be executed in accordance with the </w:t>
            </w:r>
            <w:r>
              <w:rPr>
                <w:b/>
                <w:bCs/>
                <w:i/>
                <w:iCs/>
                <w:sz w:val="20"/>
              </w:rPr>
              <w:t>Children and Community Services Act 2004</w:t>
            </w:r>
            <w:r>
              <w:rPr>
                <w:b/>
                <w:bCs/>
                <w:sz w:val="20"/>
              </w:rPr>
              <w:t xml:space="preserve"> section 124.</w:t>
            </w:r>
          </w:p>
        </w:tc>
      </w:tr>
      <w:tr>
        <w:trPr>
          <w:cantSplit/>
          <w:trHeight w:val="282"/>
        </w:trPr>
        <w:tc>
          <w:tcPr>
            <w:tcW w:w="1200" w:type="dxa"/>
            <w:vMerge w:val="restart"/>
          </w:tcPr>
          <w:p>
            <w:pPr>
              <w:pStyle w:val="yTableNAm"/>
              <w:spacing w:before="60"/>
              <w:rPr>
                <w:sz w:val="20"/>
              </w:rPr>
            </w:pPr>
            <w:r>
              <w:rPr>
                <w:sz w:val="20"/>
              </w:rPr>
              <w:t>Issuing details</w:t>
            </w:r>
          </w:p>
        </w:tc>
        <w:tc>
          <w:tcPr>
            <w:tcW w:w="1080" w:type="dxa"/>
            <w:tcBorders>
              <w:bottom w:val="single" w:sz="4" w:space="0" w:color="auto"/>
            </w:tcBorders>
          </w:tcPr>
          <w:p>
            <w:pPr>
              <w:pStyle w:val="yTableNAm"/>
              <w:spacing w:before="60"/>
              <w:rPr>
                <w:sz w:val="20"/>
              </w:rPr>
            </w:pPr>
            <w:r>
              <w:rPr>
                <w:sz w:val="20"/>
              </w:rPr>
              <w:t>Name of magistrate</w:t>
            </w:r>
          </w:p>
        </w:tc>
        <w:tc>
          <w:tcPr>
            <w:tcW w:w="4814" w:type="dxa"/>
            <w:gridSpan w:val="11"/>
            <w:tcBorders>
              <w:bottom w:val="single" w:sz="4" w:space="0" w:color="auto"/>
            </w:tcBorders>
          </w:tcPr>
          <w:p>
            <w:pPr>
              <w:pStyle w:val="yTableNAm"/>
              <w:spacing w:before="60"/>
              <w:rPr>
                <w:sz w:val="20"/>
              </w:rPr>
            </w:pPr>
          </w:p>
        </w:tc>
      </w:tr>
      <w:tr>
        <w:trPr>
          <w:cantSplit/>
          <w:trHeight w:val="282"/>
        </w:trPr>
        <w:tc>
          <w:tcPr>
            <w:tcW w:w="1200" w:type="dxa"/>
            <w:vMerge/>
            <w:tcBorders>
              <w:bottom w:val="single" w:sz="4" w:space="0" w:color="auto"/>
            </w:tcBorders>
          </w:tcPr>
          <w:p>
            <w:pPr>
              <w:pStyle w:val="yTableNAm"/>
              <w:spacing w:before="60"/>
              <w:rPr>
                <w:sz w:val="20"/>
              </w:rPr>
            </w:pPr>
          </w:p>
        </w:tc>
        <w:tc>
          <w:tcPr>
            <w:tcW w:w="1080" w:type="dxa"/>
            <w:tcBorders>
              <w:bottom w:val="single" w:sz="4" w:space="0" w:color="auto"/>
            </w:tcBorders>
          </w:tcPr>
          <w:p>
            <w:pPr>
              <w:pStyle w:val="yTableNAm"/>
              <w:spacing w:before="60"/>
              <w:rPr>
                <w:sz w:val="20"/>
              </w:rPr>
            </w:pPr>
            <w:r>
              <w:rPr>
                <w:sz w:val="20"/>
              </w:rPr>
              <w:t>Date</w:t>
            </w:r>
          </w:p>
        </w:tc>
        <w:tc>
          <w:tcPr>
            <w:tcW w:w="2540" w:type="dxa"/>
            <w:gridSpan w:val="5"/>
            <w:tcBorders>
              <w:bottom w:val="single" w:sz="4" w:space="0" w:color="auto"/>
            </w:tcBorders>
          </w:tcPr>
          <w:p>
            <w:pPr>
              <w:pStyle w:val="yTableNAm"/>
              <w:spacing w:before="60"/>
              <w:rPr>
                <w:sz w:val="20"/>
              </w:rPr>
            </w:pPr>
          </w:p>
        </w:tc>
        <w:tc>
          <w:tcPr>
            <w:tcW w:w="709" w:type="dxa"/>
            <w:gridSpan w:val="3"/>
            <w:tcBorders>
              <w:bottom w:val="single" w:sz="4" w:space="0" w:color="auto"/>
            </w:tcBorders>
          </w:tcPr>
          <w:p>
            <w:pPr>
              <w:pStyle w:val="yTableNAm"/>
              <w:spacing w:before="60"/>
              <w:rPr>
                <w:sz w:val="20"/>
              </w:rPr>
            </w:pPr>
            <w:r>
              <w:rPr>
                <w:sz w:val="20"/>
              </w:rPr>
              <w:t>Time</w:t>
            </w:r>
          </w:p>
        </w:tc>
        <w:tc>
          <w:tcPr>
            <w:tcW w:w="1565" w:type="dxa"/>
            <w:gridSpan w:val="3"/>
            <w:tcBorders>
              <w:bottom w:val="single" w:sz="4" w:space="0" w:color="auto"/>
            </w:tcBorders>
          </w:tcPr>
          <w:p>
            <w:pPr>
              <w:pStyle w:val="yTableNAm"/>
              <w:spacing w:before="60"/>
              <w:rPr>
                <w:sz w:val="20"/>
              </w:rPr>
            </w:pPr>
          </w:p>
        </w:tc>
      </w:tr>
      <w:tr>
        <w:tc>
          <w:tcPr>
            <w:tcW w:w="1200" w:type="dxa"/>
          </w:tcPr>
          <w:p>
            <w:pPr>
              <w:pStyle w:val="yTableNAm"/>
              <w:keepNext/>
              <w:spacing w:before="60"/>
              <w:rPr>
                <w:sz w:val="20"/>
              </w:rPr>
            </w:pPr>
            <w:r>
              <w:rPr>
                <w:sz w:val="20"/>
              </w:rPr>
              <w:t>Magistrate’s signature</w:t>
            </w:r>
          </w:p>
        </w:tc>
        <w:tc>
          <w:tcPr>
            <w:tcW w:w="4329" w:type="dxa"/>
            <w:gridSpan w:val="9"/>
          </w:tcPr>
          <w:p>
            <w:pPr>
              <w:pStyle w:val="yTableNAm"/>
              <w:spacing w:before="60"/>
              <w:rPr>
                <w:sz w:val="20"/>
              </w:rPr>
            </w:pPr>
            <w:r>
              <w:rPr>
                <w:sz w:val="20"/>
              </w:rPr>
              <w:t>Issued by me on the above date and at the above time.</w:t>
            </w:r>
          </w:p>
          <w:p>
            <w:pPr>
              <w:pStyle w:val="yTableNAm"/>
              <w:spacing w:before="60"/>
              <w:rPr>
                <w:sz w:val="20"/>
              </w:rPr>
            </w:pPr>
          </w:p>
          <w:p>
            <w:pPr>
              <w:pStyle w:val="yTableNAm"/>
              <w:spacing w:before="60"/>
              <w:rPr>
                <w:sz w:val="20"/>
              </w:rPr>
            </w:pPr>
          </w:p>
        </w:tc>
        <w:tc>
          <w:tcPr>
            <w:tcW w:w="1565" w:type="dxa"/>
            <w:gridSpan w:val="3"/>
          </w:tcPr>
          <w:p>
            <w:pPr>
              <w:pStyle w:val="yTableNAm"/>
              <w:spacing w:before="60"/>
              <w:rPr>
                <w:sz w:val="20"/>
              </w:rPr>
            </w:pPr>
            <w:r>
              <w:rPr>
                <w:sz w:val="20"/>
              </w:rPr>
              <w:t>Court seal</w:t>
            </w:r>
          </w:p>
        </w:tc>
      </w:tr>
      <w:tr>
        <w:trPr>
          <w:cantSplit/>
          <w:trHeight w:val="90"/>
        </w:trPr>
        <w:tc>
          <w:tcPr>
            <w:tcW w:w="1200" w:type="dxa"/>
            <w:vMerge w:val="restart"/>
          </w:tcPr>
          <w:p>
            <w:pPr>
              <w:pStyle w:val="yTableNAm"/>
              <w:spacing w:before="60"/>
              <w:rPr>
                <w:sz w:val="20"/>
              </w:rPr>
            </w:pPr>
            <w:r>
              <w:rPr>
                <w:sz w:val="20"/>
              </w:rPr>
              <w:t>Execution details</w:t>
            </w:r>
          </w:p>
        </w:tc>
        <w:tc>
          <w:tcPr>
            <w:tcW w:w="1080" w:type="dxa"/>
          </w:tcPr>
          <w:p>
            <w:pPr>
              <w:pStyle w:val="yTableNAm"/>
              <w:spacing w:before="60"/>
              <w:rPr>
                <w:sz w:val="20"/>
              </w:rPr>
            </w:pPr>
            <w:r>
              <w:rPr>
                <w:sz w:val="20"/>
              </w:rPr>
              <w:t>Date</w:t>
            </w:r>
          </w:p>
        </w:tc>
        <w:tc>
          <w:tcPr>
            <w:tcW w:w="2540" w:type="dxa"/>
            <w:gridSpan w:val="5"/>
          </w:tcPr>
          <w:p>
            <w:pPr>
              <w:pStyle w:val="yTableNAm"/>
              <w:spacing w:before="60"/>
              <w:rPr>
                <w:sz w:val="20"/>
              </w:rPr>
            </w:pPr>
          </w:p>
        </w:tc>
        <w:tc>
          <w:tcPr>
            <w:tcW w:w="700" w:type="dxa"/>
            <w:gridSpan w:val="2"/>
          </w:tcPr>
          <w:p>
            <w:pPr>
              <w:pStyle w:val="yTableNAm"/>
              <w:spacing w:before="60"/>
              <w:rPr>
                <w:sz w:val="20"/>
              </w:rPr>
            </w:pPr>
            <w:r>
              <w:rPr>
                <w:sz w:val="20"/>
              </w:rPr>
              <w:t>Time</w:t>
            </w:r>
          </w:p>
        </w:tc>
        <w:tc>
          <w:tcPr>
            <w:tcW w:w="1574" w:type="dxa"/>
            <w:gridSpan w:val="4"/>
          </w:tcPr>
          <w:p>
            <w:pPr>
              <w:pStyle w:val="yTableNAm"/>
              <w:spacing w:before="60"/>
              <w:rPr>
                <w:sz w:val="20"/>
              </w:rPr>
            </w:pPr>
          </w:p>
        </w:tc>
      </w:tr>
      <w:tr>
        <w:trPr>
          <w:cantSplit/>
          <w:trHeight w:val="87"/>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87"/>
        </w:trPr>
        <w:tc>
          <w:tcPr>
            <w:tcW w:w="1200" w:type="dxa"/>
            <w:vMerge/>
          </w:tcPr>
          <w:p>
            <w:pPr>
              <w:pStyle w:val="yTableNAm"/>
              <w:spacing w:before="60"/>
              <w:rPr>
                <w:sz w:val="20"/>
              </w:rPr>
            </w:pPr>
          </w:p>
        </w:tc>
        <w:tc>
          <w:tcPr>
            <w:tcW w:w="5894" w:type="dxa"/>
            <w:gridSpan w:val="12"/>
          </w:tcPr>
          <w:p>
            <w:pPr>
              <w:pStyle w:val="yTableNAm"/>
              <w:spacing w:before="60"/>
              <w:rPr>
                <w:sz w:val="20"/>
              </w:rPr>
            </w:pPr>
            <w:r>
              <w:rPr>
                <w:sz w:val="20"/>
              </w:rPr>
              <w:sym w:font="Monotype Sorts" w:char="F070"/>
            </w:r>
            <w:r>
              <w:rPr>
                <w:sz w:val="20"/>
              </w:rPr>
              <w:tab/>
              <w:t>The warrant was executed.</w:t>
            </w:r>
          </w:p>
        </w:tc>
      </w:tr>
      <w:tr>
        <w:trPr>
          <w:cantSplit/>
          <w:trHeight w:val="87"/>
        </w:trPr>
        <w:tc>
          <w:tcPr>
            <w:tcW w:w="1200" w:type="dxa"/>
            <w:vMerge/>
          </w:tcPr>
          <w:p>
            <w:pPr>
              <w:pStyle w:val="yTableNAm"/>
              <w:spacing w:before="60"/>
              <w:rPr>
                <w:sz w:val="20"/>
              </w:rPr>
            </w:pPr>
          </w:p>
        </w:tc>
        <w:tc>
          <w:tcPr>
            <w:tcW w:w="5894" w:type="dxa"/>
            <w:gridSpan w:val="12"/>
          </w:tcPr>
          <w:p>
            <w:pPr>
              <w:pStyle w:val="yTableNAm"/>
              <w:spacing w:before="60"/>
              <w:ind w:left="567" w:hanging="567"/>
              <w:rPr>
                <w:sz w:val="20"/>
              </w:rPr>
            </w:pPr>
            <w:r>
              <w:rPr>
                <w:sz w:val="20"/>
              </w:rPr>
              <w:sym w:font="Monotype Sorts" w:char="F070"/>
            </w:r>
            <w:r>
              <w:rPr>
                <w:sz w:val="20"/>
              </w:rPr>
              <w:tab/>
              <w:t>The warrant could not be executed despite every reasonable effort.</w:t>
            </w:r>
          </w:p>
        </w:tc>
      </w:tr>
      <w:tr>
        <w:trPr>
          <w:cantSplit/>
          <w:trHeight w:val="87"/>
        </w:trPr>
        <w:tc>
          <w:tcPr>
            <w:tcW w:w="1200" w:type="dxa"/>
            <w:vMerge/>
          </w:tcPr>
          <w:p>
            <w:pPr>
              <w:pStyle w:val="yTableNAm"/>
              <w:spacing w:before="60"/>
              <w:rPr>
                <w:sz w:val="20"/>
              </w:rPr>
            </w:pPr>
          </w:p>
        </w:tc>
        <w:tc>
          <w:tcPr>
            <w:tcW w:w="5894" w:type="dxa"/>
            <w:gridSpan w:val="12"/>
          </w:tcPr>
          <w:p>
            <w:pPr>
              <w:pStyle w:val="yTableNAm"/>
              <w:spacing w:before="60"/>
              <w:ind w:left="567" w:hanging="567"/>
              <w:rPr>
                <w:sz w:val="20"/>
              </w:rPr>
            </w:pPr>
            <w:r>
              <w:rPr>
                <w:sz w:val="20"/>
              </w:rPr>
              <w:sym w:font="Monotype Sorts" w:char="F070"/>
            </w:r>
            <w:r>
              <w:rPr>
                <w:sz w:val="20"/>
              </w:rPr>
              <w:tab/>
              <w:t>The warrant was not executed after the determination that access was no longer necessary.</w:t>
            </w:r>
          </w:p>
        </w:tc>
      </w:tr>
      <w:tr>
        <w:trPr>
          <w:cantSplit/>
          <w:trHeight w:val="292"/>
        </w:trPr>
        <w:tc>
          <w:tcPr>
            <w:tcW w:w="1200" w:type="dxa"/>
            <w:vMerge w:val="restart"/>
          </w:tcPr>
          <w:p>
            <w:pPr>
              <w:pStyle w:val="yTableNAm"/>
              <w:spacing w:before="60"/>
              <w:rPr>
                <w:sz w:val="20"/>
              </w:rPr>
            </w:pPr>
            <w:r>
              <w:rPr>
                <w:sz w:val="20"/>
              </w:rPr>
              <w:t>Authorised officer in charge of execution</w:t>
            </w:r>
          </w:p>
        </w:tc>
        <w:tc>
          <w:tcPr>
            <w:tcW w:w="1080" w:type="dxa"/>
          </w:tcPr>
          <w:p>
            <w:pPr>
              <w:pStyle w:val="yTableNAm"/>
              <w:spacing w:before="60"/>
              <w:rPr>
                <w:sz w:val="20"/>
              </w:rPr>
            </w:pPr>
            <w:r>
              <w:rPr>
                <w:sz w:val="20"/>
              </w:rPr>
              <w:t>Name</w:t>
            </w:r>
          </w:p>
        </w:tc>
        <w:tc>
          <w:tcPr>
            <w:tcW w:w="4814"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Position</w:t>
            </w:r>
          </w:p>
        </w:tc>
        <w:tc>
          <w:tcPr>
            <w:tcW w:w="4814"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Signature</w:t>
            </w:r>
          </w:p>
        </w:tc>
        <w:tc>
          <w:tcPr>
            <w:tcW w:w="4814" w:type="dxa"/>
            <w:gridSpan w:val="11"/>
          </w:tcPr>
          <w:p>
            <w:pPr>
              <w:pStyle w:val="yTableNAm"/>
              <w:spacing w:before="60"/>
              <w:rPr>
                <w:sz w:val="20"/>
              </w:rPr>
            </w:pPr>
          </w:p>
          <w:p>
            <w:pPr>
              <w:pStyle w:val="yTableNAm"/>
              <w:spacing w:before="60"/>
              <w:rPr>
                <w:sz w:val="20"/>
              </w:rPr>
            </w:pPr>
          </w:p>
        </w:tc>
      </w:tr>
    </w:tbl>
    <w:p>
      <w:pPr>
        <w:pStyle w:val="yFootnotesection"/>
      </w:pPr>
      <w:r>
        <w:tab/>
        <w:t>[Form 1 inserted in Gazette 19 Jun 2009 p. 2226-7.]</w:t>
      </w:r>
    </w:p>
    <w:p>
      <w:pPr>
        <w:pStyle w:val="yHeading5"/>
        <w:pageBreakBefore/>
        <w:spacing w:after="80"/>
      </w:pPr>
      <w:bookmarkStart w:id="189" w:name="_Toc391629147"/>
      <w:bookmarkStart w:id="190" w:name="_Toc416355214"/>
      <w:r>
        <w:rPr>
          <w:rStyle w:val="CharSClsNo"/>
        </w:rPr>
        <w:t>2</w:t>
      </w:r>
      <w:r>
        <w:t>.</w:t>
      </w:r>
      <w:r>
        <w:tab/>
        <w:t>Warrant (apprehension)</w:t>
      </w:r>
      <w:bookmarkEnd w:id="189"/>
      <w:bookmarkEnd w:id="190"/>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5" w:type="dxa"/>
          <w:bottom w:w="57" w:type="dxa"/>
          <w:right w:w="85" w:type="dxa"/>
        </w:tblCellMar>
        <w:tblLook w:val="0000" w:firstRow="0" w:lastRow="0" w:firstColumn="0" w:lastColumn="0" w:noHBand="0" w:noVBand="0"/>
      </w:tblPr>
      <w:tblGrid>
        <w:gridCol w:w="1200"/>
        <w:gridCol w:w="1080"/>
        <w:gridCol w:w="1200"/>
        <w:gridCol w:w="64"/>
        <w:gridCol w:w="536"/>
        <w:gridCol w:w="598"/>
        <w:gridCol w:w="142"/>
        <w:gridCol w:w="340"/>
        <w:gridCol w:w="369"/>
        <w:gridCol w:w="240"/>
        <w:gridCol w:w="111"/>
        <w:gridCol w:w="153"/>
        <w:gridCol w:w="1061"/>
      </w:tblGrid>
      <w:tr>
        <w:tc>
          <w:tcPr>
            <w:tcW w:w="3544" w:type="dxa"/>
            <w:gridSpan w:val="4"/>
          </w:tcPr>
          <w:p>
            <w:pPr>
              <w:pStyle w:val="yTableNAm"/>
              <w:spacing w:before="60"/>
              <w:rPr>
                <w:sz w:val="20"/>
              </w:rPr>
            </w:pPr>
            <w:r>
              <w:rPr>
                <w:sz w:val="20"/>
              </w:rPr>
              <w:t>In the Children’s Court at</w:t>
            </w:r>
          </w:p>
          <w:p>
            <w:pPr>
              <w:pStyle w:val="yTableNAm"/>
              <w:spacing w:before="60"/>
              <w:rPr>
                <w:sz w:val="20"/>
              </w:rPr>
            </w:pPr>
          </w:p>
          <w:p>
            <w:pPr>
              <w:pStyle w:val="yTableNAm"/>
              <w:spacing w:before="60"/>
              <w:rPr>
                <w:sz w:val="20"/>
              </w:rPr>
            </w:pPr>
            <w:r>
              <w:rPr>
                <w:sz w:val="20"/>
              </w:rPr>
              <w:t>File No.</w:t>
            </w:r>
          </w:p>
        </w:tc>
        <w:tc>
          <w:tcPr>
            <w:tcW w:w="3550" w:type="dxa"/>
            <w:gridSpan w:val="9"/>
          </w:tcPr>
          <w:p>
            <w:pPr>
              <w:pStyle w:val="yTableNAm"/>
              <w:spacing w:before="60"/>
              <w:rPr>
                <w:b/>
                <w:bCs/>
                <w:sz w:val="20"/>
              </w:rPr>
            </w:pPr>
            <w:r>
              <w:rPr>
                <w:b/>
                <w:bCs/>
                <w:sz w:val="20"/>
              </w:rPr>
              <w:t>Warrant (apprehension)</w:t>
            </w:r>
          </w:p>
        </w:tc>
      </w:tr>
      <w:tr>
        <w:tc>
          <w:tcPr>
            <w:tcW w:w="1200" w:type="dxa"/>
          </w:tcPr>
          <w:p>
            <w:pPr>
              <w:pStyle w:val="yTableNAm"/>
              <w:spacing w:before="60"/>
              <w:rPr>
                <w:b/>
                <w:bCs/>
                <w:sz w:val="20"/>
              </w:rPr>
            </w:pPr>
            <w:r>
              <w:rPr>
                <w:b/>
                <w:bCs/>
                <w:sz w:val="20"/>
              </w:rPr>
              <w:t>To</w:t>
            </w:r>
          </w:p>
        </w:tc>
        <w:tc>
          <w:tcPr>
            <w:tcW w:w="5894" w:type="dxa"/>
            <w:gridSpan w:val="12"/>
          </w:tcPr>
          <w:p>
            <w:pPr>
              <w:pStyle w:val="yTableNAm"/>
              <w:spacing w:before="60"/>
              <w:rPr>
                <w:b/>
                <w:bCs/>
                <w:sz w:val="20"/>
              </w:rPr>
            </w:pPr>
            <w:r>
              <w:rPr>
                <w:b/>
                <w:bCs/>
                <w:sz w:val="20"/>
              </w:rPr>
              <w:t>All authorised officers.</w:t>
            </w:r>
          </w:p>
          <w:p>
            <w:pPr>
              <w:pStyle w:val="yTableNAm"/>
              <w:spacing w:before="60"/>
              <w:rPr>
                <w:b/>
                <w:bCs/>
                <w:sz w:val="20"/>
              </w:rPr>
            </w:pPr>
            <w:r>
              <w:rPr>
                <w:b/>
                <w:bCs/>
                <w:sz w:val="20"/>
              </w:rPr>
              <w:t>All police officers.</w:t>
            </w:r>
          </w:p>
        </w:tc>
      </w:tr>
      <w:tr>
        <w:trPr>
          <w:cantSplit/>
          <w:trHeight w:val="146"/>
        </w:trPr>
        <w:tc>
          <w:tcPr>
            <w:tcW w:w="1200" w:type="dxa"/>
            <w:vMerge w:val="restart"/>
          </w:tcPr>
          <w:p>
            <w:pPr>
              <w:pStyle w:val="yTableNAm"/>
              <w:spacing w:before="60"/>
              <w:rPr>
                <w:sz w:val="20"/>
              </w:rPr>
            </w:pPr>
            <w:r>
              <w:rPr>
                <w:sz w:val="20"/>
              </w:rPr>
              <w:t>Details of child</w:t>
            </w:r>
          </w:p>
        </w:tc>
        <w:tc>
          <w:tcPr>
            <w:tcW w:w="1080" w:type="dxa"/>
          </w:tcPr>
          <w:p>
            <w:pPr>
              <w:pStyle w:val="yTableNAm"/>
              <w:spacing w:before="60"/>
              <w:rPr>
                <w:sz w:val="20"/>
              </w:rPr>
            </w:pPr>
            <w:r>
              <w:rPr>
                <w:sz w:val="20"/>
              </w:rPr>
              <w:t>Surname</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Date of birth</w:t>
            </w:r>
          </w:p>
        </w:tc>
        <w:tc>
          <w:tcPr>
            <w:tcW w:w="1061"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Given names</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Gender</w:t>
            </w:r>
          </w:p>
        </w:tc>
        <w:tc>
          <w:tcPr>
            <w:tcW w:w="1061"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111"/>
        </w:trPr>
        <w:tc>
          <w:tcPr>
            <w:tcW w:w="1200" w:type="dxa"/>
            <w:vMerge w:val="restart"/>
          </w:tcPr>
          <w:p>
            <w:pPr>
              <w:pStyle w:val="yTableNAm"/>
              <w:spacing w:before="60"/>
              <w:rPr>
                <w:sz w:val="20"/>
              </w:rPr>
            </w:pPr>
            <w:r>
              <w:rPr>
                <w:sz w:val="20"/>
              </w:rPr>
              <w:t>Details of applicant</w:t>
            </w:r>
          </w:p>
        </w:tc>
        <w:tc>
          <w:tcPr>
            <w:tcW w:w="1080" w:type="dxa"/>
          </w:tcPr>
          <w:p>
            <w:pPr>
              <w:pStyle w:val="yTableNAm"/>
              <w:spacing w:before="60"/>
              <w:rPr>
                <w:sz w:val="20"/>
              </w:rPr>
            </w:pPr>
            <w:r>
              <w:rPr>
                <w:sz w:val="20"/>
              </w:rPr>
              <w:t>Name</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Division</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Telephone</w:t>
            </w:r>
          </w:p>
        </w:tc>
        <w:tc>
          <w:tcPr>
            <w:tcW w:w="1200" w:type="dxa"/>
          </w:tcPr>
          <w:p>
            <w:pPr>
              <w:pStyle w:val="yTableNAm"/>
              <w:spacing w:before="60"/>
              <w:rPr>
                <w:sz w:val="20"/>
              </w:rPr>
            </w:pPr>
          </w:p>
        </w:tc>
        <w:tc>
          <w:tcPr>
            <w:tcW w:w="600" w:type="dxa"/>
            <w:gridSpan w:val="2"/>
          </w:tcPr>
          <w:p>
            <w:pPr>
              <w:pStyle w:val="yTableNAm"/>
              <w:spacing w:before="60"/>
              <w:rPr>
                <w:sz w:val="20"/>
              </w:rPr>
            </w:pPr>
            <w:r>
              <w:rPr>
                <w:sz w:val="20"/>
              </w:rPr>
              <w:t>Fax</w:t>
            </w:r>
          </w:p>
        </w:tc>
        <w:tc>
          <w:tcPr>
            <w:tcW w:w="1080" w:type="dxa"/>
            <w:gridSpan w:val="3"/>
          </w:tcPr>
          <w:p>
            <w:pPr>
              <w:pStyle w:val="yTableNAm"/>
              <w:spacing w:before="60"/>
              <w:rPr>
                <w:sz w:val="20"/>
              </w:rPr>
            </w:pPr>
          </w:p>
        </w:tc>
        <w:tc>
          <w:tcPr>
            <w:tcW w:w="720" w:type="dxa"/>
            <w:gridSpan w:val="3"/>
          </w:tcPr>
          <w:p>
            <w:pPr>
              <w:pStyle w:val="yTableNAm"/>
              <w:spacing w:before="60"/>
              <w:rPr>
                <w:sz w:val="20"/>
              </w:rPr>
            </w:pPr>
            <w:r>
              <w:rPr>
                <w:sz w:val="20"/>
              </w:rPr>
              <w:t>Email</w:t>
            </w:r>
          </w:p>
        </w:tc>
        <w:tc>
          <w:tcPr>
            <w:tcW w:w="1214" w:type="dxa"/>
            <w:gridSpan w:val="2"/>
          </w:tcPr>
          <w:p>
            <w:pPr>
              <w:pStyle w:val="yTableNAm"/>
              <w:spacing w:before="60"/>
              <w:rPr>
                <w:sz w:val="20"/>
              </w:rPr>
            </w:pPr>
          </w:p>
        </w:tc>
      </w:tr>
      <w:tr>
        <w:tc>
          <w:tcPr>
            <w:tcW w:w="1200" w:type="dxa"/>
            <w:tcBorders>
              <w:bottom w:val="single" w:sz="4" w:space="0" w:color="auto"/>
            </w:tcBorders>
          </w:tcPr>
          <w:p>
            <w:pPr>
              <w:pStyle w:val="yTableNAm"/>
              <w:spacing w:before="60"/>
              <w:rPr>
                <w:sz w:val="20"/>
              </w:rPr>
            </w:pPr>
            <w:r>
              <w:rPr>
                <w:sz w:val="20"/>
              </w:rPr>
              <w:t>Section</w:t>
            </w:r>
          </w:p>
        </w:tc>
        <w:tc>
          <w:tcPr>
            <w:tcW w:w="5894" w:type="dxa"/>
            <w:gridSpan w:val="12"/>
            <w:tcBorders>
              <w:bottom w:val="single" w:sz="4" w:space="0" w:color="auto"/>
            </w:tcBorders>
          </w:tcPr>
          <w:p>
            <w:pPr>
              <w:pStyle w:val="yTableNAm"/>
              <w:spacing w:before="60"/>
              <w:rPr>
                <w:sz w:val="20"/>
              </w:rPr>
            </w:pPr>
            <w:r>
              <w:rPr>
                <w:sz w:val="20"/>
              </w:rPr>
              <w:t xml:space="preserve">This warrant is issued under section </w:t>
            </w:r>
            <w:r>
              <w:rPr>
                <w:sz w:val="20"/>
              </w:rPr>
              <w:sym w:font="Monotype Sorts" w:char="F070"/>
            </w:r>
            <w:r>
              <w:rPr>
                <w:sz w:val="20"/>
              </w:rPr>
              <w:t xml:space="preserve"> 85(3) </w:t>
            </w:r>
            <w:r>
              <w:rPr>
                <w:sz w:val="20"/>
              </w:rPr>
              <w:sym w:font="Monotype Sorts" w:char="F070"/>
            </w:r>
            <w:r>
              <w:rPr>
                <w:sz w:val="20"/>
              </w:rPr>
              <w:t xml:space="preserve"> 86(3)</w:t>
            </w:r>
          </w:p>
        </w:tc>
      </w:tr>
      <w:tr>
        <w:tc>
          <w:tcPr>
            <w:tcW w:w="1200" w:type="dxa"/>
          </w:tcPr>
          <w:p>
            <w:pPr>
              <w:pStyle w:val="yTableNAm"/>
              <w:spacing w:before="60"/>
              <w:rPr>
                <w:sz w:val="20"/>
              </w:rPr>
            </w:pPr>
            <w:r>
              <w:rPr>
                <w:b/>
                <w:bCs/>
                <w:sz w:val="20"/>
              </w:rPr>
              <w:t>Authority and directions</w:t>
            </w:r>
          </w:p>
        </w:tc>
        <w:tc>
          <w:tcPr>
            <w:tcW w:w="5894" w:type="dxa"/>
            <w:gridSpan w:val="12"/>
          </w:tcPr>
          <w:p>
            <w:pPr>
              <w:pStyle w:val="yTableNAm"/>
              <w:spacing w:before="60"/>
              <w:rPr>
                <w:b/>
                <w:bCs/>
                <w:sz w:val="20"/>
              </w:rPr>
            </w:pPr>
            <w:r>
              <w:rPr>
                <w:b/>
                <w:bCs/>
                <w:sz w:val="20"/>
              </w:rPr>
              <w:t xml:space="preserve">This warrant authorises you — </w:t>
            </w:r>
          </w:p>
          <w:p>
            <w:pPr>
              <w:pStyle w:val="yTableNAm"/>
              <w:tabs>
                <w:tab w:val="clear" w:pos="567"/>
                <w:tab w:val="left" w:pos="500"/>
              </w:tabs>
              <w:spacing w:before="60"/>
              <w:ind w:left="500" w:hanging="500"/>
              <w:rPr>
                <w:b/>
                <w:bCs/>
                <w:sz w:val="20"/>
              </w:rPr>
            </w:pPr>
            <w:r>
              <w:rPr>
                <w:b/>
                <w:bCs/>
                <w:sz w:val="20"/>
              </w:rPr>
              <w:t>(a)</w:t>
            </w:r>
            <w:r>
              <w:rPr>
                <w:b/>
                <w:bCs/>
                <w:sz w:val="20"/>
              </w:rPr>
              <w:tab/>
              <w:t>to enter, at any time, any place where you reasonably believe the child to be; and</w:t>
            </w:r>
          </w:p>
          <w:p>
            <w:pPr>
              <w:pStyle w:val="yTableNAm"/>
              <w:tabs>
                <w:tab w:val="clear" w:pos="567"/>
                <w:tab w:val="left" w:pos="500"/>
              </w:tabs>
              <w:spacing w:before="60"/>
              <w:ind w:left="500" w:hanging="500"/>
              <w:rPr>
                <w:b/>
                <w:bCs/>
                <w:sz w:val="20"/>
              </w:rPr>
            </w:pPr>
            <w:r>
              <w:rPr>
                <w:b/>
                <w:bCs/>
                <w:sz w:val="20"/>
              </w:rPr>
              <w:t>(b)</w:t>
            </w:r>
            <w:r>
              <w:rPr>
                <w:b/>
                <w:bCs/>
                <w:sz w:val="20"/>
              </w:rPr>
              <w:tab/>
              <w:t>to search the place for the purpose of finding the child; and</w:t>
            </w:r>
          </w:p>
          <w:p>
            <w:pPr>
              <w:pStyle w:val="yTableNAm"/>
              <w:tabs>
                <w:tab w:val="clear" w:pos="567"/>
                <w:tab w:val="left" w:pos="500"/>
              </w:tabs>
              <w:spacing w:before="60"/>
              <w:ind w:left="500" w:hanging="500"/>
              <w:rPr>
                <w:b/>
                <w:bCs/>
                <w:sz w:val="20"/>
              </w:rPr>
            </w:pPr>
            <w:r>
              <w:rPr>
                <w:b/>
                <w:bCs/>
                <w:sz w:val="20"/>
              </w:rPr>
              <w:t>(c)</w:t>
            </w:r>
            <w:r>
              <w:rPr>
                <w:b/>
                <w:bCs/>
                <w:sz w:val="20"/>
              </w:rPr>
              <w:tab/>
              <w:t>to remain at the place for as long as you consider reasonably necessary to find the child; and</w:t>
            </w:r>
          </w:p>
          <w:p>
            <w:pPr>
              <w:pStyle w:val="yTableNAm"/>
              <w:tabs>
                <w:tab w:val="clear" w:pos="567"/>
                <w:tab w:val="left" w:pos="500"/>
              </w:tabs>
              <w:spacing w:before="60"/>
              <w:ind w:left="500" w:hanging="500"/>
              <w:rPr>
                <w:b/>
                <w:bCs/>
                <w:sz w:val="20"/>
              </w:rPr>
            </w:pPr>
            <w:r>
              <w:rPr>
                <w:b/>
                <w:bCs/>
                <w:sz w:val="20"/>
              </w:rPr>
              <w:t>(d)</w:t>
            </w:r>
            <w:r>
              <w:rPr>
                <w:b/>
                <w:bCs/>
                <w:sz w:val="20"/>
              </w:rPr>
              <w:tab/>
              <w:t xml:space="preserve">if the child is found, to apprehend the child and — </w:t>
            </w:r>
          </w:p>
          <w:p>
            <w:pPr>
              <w:pStyle w:val="yTableNAm"/>
              <w:tabs>
                <w:tab w:val="clear" w:pos="567"/>
                <w:tab w:val="left" w:pos="500"/>
              </w:tabs>
              <w:spacing w:before="60"/>
              <w:ind w:left="980" w:hanging="980"/>
              <w:rPr>
                <w:sz w:val="20"/>
              </w:rPr>
            </w:pPr>
            <w:r>
              <w:rPr>
                <w:b/>
                <w:bCs/>
                <w:sz w:val="20"/>
              </w:rPr>
              <w:tab/>
              <w:t>(i)</w:t>
            </w:r>
            <w:r>
              <w:rPr>
                <w:b/>
                <w:bCs/>
                <w:sz w:val="20"/>
              </w:rPr>
              <w:tab/>
              <w:t xml:space="preserve">in the case of a warrant issued under the </w:t>
            </w:r>
            <w:r>
              <w:rPr>
                <w:b/>
                <w:bCs/>
                <w:i/>
                <w:iCs/>
                <w:sz w:val="20"/>
              </w:rPr>
              <w:t>Children and Community Services Act 2004</w:t>
            </w:r>
            <w:r>
              <w:rPr>
                <w:b/>
                <w:bCs/>
                <w:sz w:val="20"/>
              </w:rPr>
              <w:t xml:space="preserve"> section 85, to take the child to such place as the CEO directs; or</w:t>
            </w:r>
          </w:p>
          <w:p>
            <w:pPr>
              <w:pStyle w:val="yTableNAm"/>
              <w:tabs>
                <w:tab w:val="clear" w:pos="567"/>
                <w:tab w:val="left" w:pos="500"/>
              </w:tabs>
              <w:spacing w:before="60"/>
              <w:ind w:left="980" w:hanging="980"/>
              <w:rPr>
                <w:b/>
                <w:bCs/>
                <w:sz w:val="20"/>
              </w:rPr>
            </w:pPr>
            <w:r>
              <w:rPr>
                <w:b/>
                <w:bCs/>
                <w:sz w:val="20"/>
              </w:rPr>
              <w:tab/>
              <w:t>(ii)</w:t>
            </w:r>
            <w:r>
              <w:rPr>
                <w:b/>
                <w:bCs/>
                <w:sz w:val="20"/>
              </w:rPr>
              <w:tab/>
              <w:t>in the case of a warrant issued under section 86 of that Act, to take the child to the place referred to in section 86(1) or such other place as the CEO directs.</w:t>
            </w:r>
          </w:p>
          <w:p>
            <w:pPr>
              <w:pStyle w:val="yTableNAm"/>
              <w:spacing w:before="60"/>
              <w:rPr>
                <w:sz w:val="20"/>
              </w:rPr>
            </w:pPr>
            <w:r>
              <w:rPr>
                <w:b/>
                <w:bCs/>
                <w:sz w:val="20"/>
              </w:rPr>
              <w:t xml:space="preserve">This warrant must be executed in accordance with the </w:t>
            </w:r>
            <w:r>
              <w:rPr>
                <w:b/>
                <w:bCs/>
                <w:i/>
                <w:iCs/>
                <w:sz w:val="20"/>
              </w:rPr>
              <w:t>Children and Community Services Act 2004</w:t>
            </w:r>
            <w:r>
              <w:rPr>
                <w:b/>
                <w:bCs/>
                <w:sz w:val="20"/>
              </w:rPr>
              <w:t xml:space="preserve"> section 124.</w:t>
            </w:r>
          </w:p>
        </w:tc>
      </w:tr>
      <w:tr>
        <w:trPr>
          <w:cantSplit/>
          <w:trHeight w:val="282"/>
        </w:trPr>
        <w:tc>
          <w:tcPr>
            <w:tcW w:w="1200" w:type="dxa"/>
            <w:vMerge w:val="restart"/>
            <w:tcBorders>
              <w:top w:val="single" w:sz="4" w:space="0" w:color="auto"/>
            </w:tcBorders>
          </w:tcPr>
          <w:p>
            <w:pPr>
              <w:pStyle w:val="yTableNAm"/>
              <w:spacing w:before="60"/>
              <w:rPr>
                <w:sz w:val="20"/>
              </w:rPr>
            </w:pPr>
            <w:r>
              <w:rPr>
                <w:sz w:val="20"/>
              </w:rPr>
              <w:t>Issuing details</w:t>
            </w:r>
          </w:p>
        </w:tc>
        <w:tc>
          <w:tcPr>
            <w:tcW w:w="1080" w:type="dxa"/>
            <w:tcBorders>
              <w:top w:val="single" w:sz="4" w:space="0" w:color="auto"/>
              <w:bottom w:val="single" w:sz="4" w:space="0" w:color="auto"/>
            </w:tcBorders>
          </w:tcPr>
          <w:p>
            <w:pPr>
              <w:pStyle w:val="yTableNAm"/>
              <w:spacing w:before="60"/>
              <w:rPr>
                <w:sz w:val="20"/>
              </w:rPr>
            </w:pPr>
            <w:r>
              <w:rPr>
                <w:sz w:val="20"/>
              </w:rPr>
              <w:t>Name of magistrate</w:t>
            </w:r>
          </w:p>
        </w:tc>
        <w:tc>
          <w:tcPr>
            <w:tcW w:w="4814" w:type="dxa"/>
            <w:gridSpan w:val="11"/>
            <w:tcBorders>
              <w:top w:val="single" w:sz="4" w:space="0" w:color="auto"/>
              <w:bottom w:val="single" w:sz="4" w:space="0" w:color="auto"/>
            </w:tcBorders>
          </w:tcPr>
          <w:p>
            <w:pPr>
              <w:pStyle w:val="yTableNAm"/>
              <w:spacing w:before="60"/>
              <w:rPr>
                <w:sz w:val="20"/>
              </w:rPr>
            </w:pPr>
          </w:p>
        </w:tc>
      </w:tr>
      <w:tr>
        <w:trPr>
          <w:cantSplit/>
          <w:trHeight w:val="282"/>
        </w:trPr>
        <w:tc>
          <w:tcPr>
            <w:tcW w:w="1200" w:type="dxa"/>
            <w:vMerge/>
            <w:tcBorders>
              <w:bottom w:val="single" w:sz="4" w:space="0" w:color="auto"/>
            </w:tcBorders>
          </w:tcPr>
          <w:p>
            <w:pPr>
              <w:pStyle w:val="yTableNAm"/>
              <w:spacing w:before="60"/>
              <w:rPr>
                <w:sz w:val="20"/>
              </w:rPr>
            </w:pPr>
          </w:p>
        </w:tc>
        <w:tc>
          <w:tcPr>
            <w:tcW w:w="1080" w:type="dxa"/>
            <w:tcBorders>
              <w:bottom w:val="single" w:sz="4" w:space="0" w:color="auto"/>
            </w:tcBorders>
          </w:tcPr>
          <w:p>
            <w:pPr>
              <w:pStyle w:val="yTableNAm"/>
              <w:spacing w:before="60"/>
              <w:rPr>
                <w:sz w:val="20"/>
              </w:rPr>
            </w:pPr>
            <w:r>
              <w:rPr>
                <w:sz w:val="20"/>
              </w:rPr>
              <w:t>Date</w:t>
            </w:r>
          </w:p>
        </w:tc>
        <w:tc>
          <w:tcPr>
            <w:tcW w:w="2540" w:type="dxa"/>
            <w:gridSpan w:val="5"/>
            <w:tcBorders>
              <w:bottom w:val="single" w:sz="4" w:space="0" w:color="auto"/>
            </w:tcBorders>
          </w:tcPr>
          <w:p>
            <w:pPr>
              <w:pStyle w:val="yTableNAm"/>
              <w:spacing w:before="60"/>
              <w:rPr>
                <w:sz w:val="20"/>
              </w:rPr>
            </w:pPr>
          </w:p>
        </w:tc>
        <w:tc>
          <w:tcPr>
            <w:tcW w:w="709" w:type="dxa"/>
            <w:gridSpan w:val="2"/>
            <w:tcBorders>
              <w:bottom w:val="single" w:sz="4" w:space="0" w:color="auto"/>
            </w:tcBorders>
          </w:tcPr>
          <w:p>
            <w:pPr>
              <w:pStyle w:val="yTableNAm"/>
              <w:spacing w:before="60"/>
              <w:rPr>
                <w:sz w:val="20"/>
              </w:rPr>
            </w:pPr>
            <w:r>
              <w:rPr>
                <w:sz w:val="20"/>
              </w:rPr>
              <w:t>Time</w:t>
            </w:r>
          </w:p>
        </w:tc>
        <w:tc>
          <w:tcPr>
            <w:tcW w:w="1565" w:type="dxa"/>
            <w:gridSpan w:val="4"/>
            <w:tcBorders>
              <w:bottom w:val="single" w:sz="4" w:space="0" w:color="auto"/>
            </w:tcBorders>
          </w:tcPr>
          <w:p>
            <w:pPr>
              <w:pStyle w:val="yTableNAm"/>
              <w:spacing w:before="60"/>
              <w:rPr>
                <w:sz w:val="20"/>
              </w:rPr>
            </w:pPr>
          </w:p>
        </w:tc>
      </w:tr>
      <w:tr>
        <w:tc>
          <w:tcPr>
            <w:tcW w:w="1200" w:type="dxa"/>
          </w:tcPr>
          <w:p>
            <w:pPr>
              <w:pStyle w:val="yTableNAm"/>
              <w:spacing w:before="60"/>
              <w:rPr>
                <w:sz w:val="20"/>
              </w:rPr>
            </w:pPr>
            <w:r>
              <w:rPr>
                <w:sz w:val="20"/>
              </w:rPr>
              <w:t>Magistrate’s signature</w:t>
            </w:r>
          </w:p>
        </w:tc>
        <w:tc>
          <w:tcPr>
            <w:tcW w:w="4329" w:type="dxa"/>
            <w:gridSpan w:val="8"/>
          </w:tcPr>
          <w:p>
            <w:pPr>
              <w:pStyle w:val="yTableNAm"/>
              <w:spacing w:before="60"/>
              <w:rPr>
                <w:sz w:val="20"/>
              </w:rPr>
            </w:pPr>
            <w:r>
              <w:rPr>
                <w:sz w:val="20"/>
              </w:rPr>
              <w:t>Issued by me on the above date and at the above time.</w:t>
            </w:r>
          </w:p>
          <w:p>
            <w:pPr>
              <w:pStyle w:val="yTableNAm"/>
              <w:spacing w:before="60"/>
              <w:rPr>
                <w:sz w:val="20"/>
              </w:rPr>
            </w:pPr>
          </w:p>
          <w:p>
            <w:pPr>
              <w:pStyle w:val="yTableNAm"/>
              <w:spacing w:before="60"/>
              <w:rPr>
                <w:sz w:val="20"/>
              </w:rPr>
            </w:pPr>
          </w:p>
        </w:tc>
        <w:tc>
          <w:tcPr>
            <w:tcW w:w="1565" w:type="dxa"/>
            <w:gridSpan w:val="4"/>
          </w:tcPr>
          <w:p>
            <w:pPr>
              <w:pStyle w:val="yTableNAm"/>
              <w:spacing w:before="60"/>
              <w:rPr>
                <w:sz w:val="20"/>
              </w:rPr>
            </w:pPr>
            <w:r>
              <w:rPr>
                <w:sz w:val="20"/>
              </w:rPr>
              <w:t>Court seal</w:t>
            </w:r>
          </w:p>
        </w:tc>
      </w:tr>
      <w:tr>
        <w:trPr>
          <w:cantSplit/>
          <w:trHeight w:val="90"/>
        </w:trPr>
        <w:tc>
          <w:tcPr>
            <w:tcW w:w="1200" w:type="dxa"/>
            <w:vMerge w:val="restart"/>
          </w:tcPr>
          <w:p>
            <w:pPr>
              <w:pStyle w:val="yTableNAm"/>
              <w:spacing w:before="60"/>
              <w:rPr>
                <w:sz w:val="20"/>
              </w:rPr>
            </w:pPr>
            <w:r>
              <w:rPr>
                <w:sz w:val="20"/>
              </w:rPr>
              <w:t>Execution details</w:t>
            </w:r>
          </w:p>
        </w:tc>
        <w:tc>
          <w:tcPr>
            <w:tcW w:w="1080" w:type="dxa"/>
          </w:tcPr>
          <w:p>
            <w:pPr>
              <w:pStyle w:val="yTableNAm"/>
              <w:spacing w:before="60"/>
              <w:rPr>
                <w:sz w:val="20"/>
              </w:rPr>
            </w:pPr>
            <w:r>
              <w:rPr>
                <w:sz w:val="20"/>
              </w:rPr>
              <w:t>Date</w:t>
            </w:r>
          </w:p>
        </w:tc>
        <w:tc>
          <w:tcPr>
            <w:tcW w:w="2540" w:type="dxa"/>
            <w:gridSpan w:val="5"/>
          </w:tcPr>
          <w:p>
            <w:pPr>
              <w:pStyle w:val="yTableNAm"/>
              <w:spacing w:before="60"/>
              <w:rPr>
                <w:sz w:val="20"/>
              </w:rPr>
            </w:pPr>
          </w:p>
        </w:tc>
        <w:tc>
          <w:tcPr>
            <w:tcW w:w="949" w:type="dxa"/>
            <w:gridSpan w:val="3"/>
          </w:tcPr>
          <w:p>
            <w:pPr>
              <w:pStyle w:val="yTableNAm"/>
              <w:spacing w:before="60"/>
              <w:rPr>
                <w:sz w:val="20"/>
              </w:rPr>
            </w:pPr>
            <w:r>
              <w:rPr>
                <w:sz w:val="20"/>
              </w:rPr>
              <w:t>Time</w:t>
            </w:r>
          </w:p>
        </w:tc>
        <w:tc>
          <w:tcPr>
            <w:tcW w:w="1325" w:type="dxa"/>
            <w:gridSpan w:val="3"/>
          </w:tcPr>
          <w:p>
            <w:pPr>
              <w:pStyle w:val="yTableNAm"/>
              <w:spacing w:before="60"/>
              <w:rPr>
                <w:sz w:val="20"/>
              </w:rPr>
            </w:pPr>
          </w:p>
        </w:tc>
      </w:tr>
      <w:tr>
        <w:trPr>
          <w:cantSplit/>
          <w:trHeight w:val="87"/>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87"/>
        </w:trPr>
        <w:tc>
          <w:tcPr>
            <w:tcW w:w="1200" w:type="dxa"/>
            <w:vMerge/>
          </w:tcPr>
          <w:p>
            <w:pPr>
              <w:pStyle w:val="yTableNAm"/>
              <w:spacing w:before="60"/>
              <w:rPr>
                <w:sz w:val="20"/>
              </w:rPr>
            </w:pPr>
          </w:p>
        </w:tc>
        <w:tc>
          <w:tcPr>
            <w:tcW w:w="5894" w:type="dxa"/>
            <w:gridSpan w:val="12"/>
          </w:tcPr>
          <w:p>
            <w:pPr>
              <w:pStyle w:val="yTableNAm"/>
              <w:spacing w:before="60"/>
              <w:rPr>
                <w:sz w:val="20"/>
              </w:rPr>
            </w:pPr>
            <w:r>
              <w:rPr>
                <w:sz w:val="20"/>
              </w:rPr>
              <w:sym w:font="Monotype Sorts" w:char="F070"/>
            </w:r>
            <w:r>
              <w:rPr>
                <w:sz w:val="20"/>
              </w:rPr>
              <w:tab/>
              <w:t>The warrant was executed.</w:t>
            </w:r>
          </w:p>
        </w:tc>
      </w:tr>
      <w:tr>
        <w:trPr>
          <w:cantSplit/>
          <w:trHeight w:val="87"/>
        </w:trPr>
        <w:tc>
          <w:tcPr>
            <w:tcW w:w="1200" w:type="dxa"/>
            <w:vMerge/>
          </w:tcPr>
          <w:p>
            <w:pPr>
              <w:pStyle w:val="yTableNAm"/>
              <w:spacing w:before="60"/>
              <w:rPr>
                <w:sz w:val="20"/>
              </w:rPr>
            </w:pPr>
          </w:p>
        </w:tc>
        <w:tc>
          <w:tcPr>
            <w:tcW w:w="5894" w:type="dxa"/>
            <w:gridSpan w:val="12"/>
          </w:tcPr>
          <w:p>
            <w:pPr>
              <w:pStyle w:val="yTableNAm"/>
              <w:tabs>
                <w:tab w:val="clear" w:pos="567"/>
                <w:tab w:val="left" w:pos="500"/>
              </w:tabs>
              <w:spacing w:before="60"/>
              <w:ind w:left="500" w:hanging="500"/>
              <w:rPr>
                <w:sz w:val="20"/>
              </w:rPr>
            </w:pPr>
            <w:r>
              <w:rPr>
                <w:sz w:val="20"/>
              </w:rPr>
              <w:sym w:font="Monotype Sorts" w:char="F070"/>
            </w:r>
            <w:r>
              <w:rPr>
                <w:sz w:val="20"/>
              </w:rPr>
              <w:tab/>
              <w:t>The warrant could not be executed despite every reasonable effort.</w:t>
            </w:r>
          </w:p>
        </w:tc>
      </w:tr>
      <w:tr>
        <w:trPr>
          <w:cantSplit/>
          <w:trHeight w:val="87"/>
        </w:trPr>
        <w:tc>
          <w:tcPr>
            <w:tcW w:w="1200" w:type="dxa"/>
            <w:vMerge/>
          </w:tcPr>
          <w:p>
            <w:pPr>
              <w:pStyle w:val="yTableNAm"/>
              <w:spacing w:before="60"/>
              <w:rPr>
                <w:sz w:val="20"/>
              </w:rPr>
            </w:pPr>
          </w:p>
        </w:tc>
        <w:tc>
          <w:tcPr>
            <w:tcW w:w="5894" w:type="dxa"/>
            <w:gridSpan w:val="12"/>
          </w:tcPr>
          <w:p>
            <w:pPr>
              <w:pStyle w:val="yTableNAm"/>
              <w:tabs>
                <w:tab w:val="clear" w:pos="567"/>
                <w:tab w:val="left" w:pos="500"/>
              </w:tabs>
              <w:spacing w:before="60"/>
              <w:ind w:left="500" w:hanging="500"/>
              <w:rPr>
                <w:sz w:val="20"/>
              </w:rPr>
            </w:pPr>
            <w:r>
              <w:rPr>
                <w:sz w:val="20"/>
              </w:rPr>
              <w:sym w:font="Monotype Sorts" w:char="F070"/>
            </w:r>
            <w:r>
              <w:rPr>
                <w:sz w:val="20"/>
              </w:rPr>
              <w:tab/>
              <w:t>The warrant was not executed after the determination that apprehension of the child was no longer necessary.</w:t>
            </w:r>
          </w:p>
        </w:tc>
      </w:tr>
      <w:tr>
        <w:trPr>
          <w:cantSplit/>
          <w:trHeight w:val="292"/>
        </w:trPr>
        <w:tc>
          <w:tcPr>
            <w:tcW w:w="1200" w:type="dxa"/>
            <w:vMerge w:val="restart"/>
          </w:tcPr>
          <w:p>
            <w:pPr>
              <w:pStyle w:val="yTableNAm"/>
              <w:spacing w:before="60"/>
              <w:rPr>
                <w:sz w:val="20"/>
              </w:rPr>
            </w:pPr>
            <w:r>
              <w:rPr>
                <w:sz w:val="20"/>
              </w:rPr>
              <w:t>Authorised officer in charge of execution</w:t>
            </w:r>
          </w:p>
        </w:tc>
        <w:tc>
          <w:tcPr>
            <w:tcW w:w="1080" w:type="dxa"/>
          </w:tcPr>
          <w:p>
            <w:pPr>
              <w:pStyle w:val="yTableNAm"/>
              <w:spacing w:before="60"/>
              <w:rPr>
                <w:sz w:val="20"/>
              </w:rPr>
            </w:pPr>
            <w:r>
              <w:rPr>
                <w:sz w:val="20"/>
              </w:rPr>
              <w:t>Name</w:t>
            </w:r>
          </w:p>
        </w:tc>
        <w:tc>
          <w:tcPr>
            <w:tcW w:w="4814"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Position</w:t>
            </w:r>
          </w:p>
        </w:tc>
        <w:tc>
          <w:tcPr>
            <w:tcW w:w="4814"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Signature</w:t>
            </w:r>
          </w:p>
        </w:tc>
        <w:tc>
          <w:tcPr>
            <w:tcW w:w="4814" w:type="dxa"/>
            <w:gridSpan w:val="11"/>
          </w:tcPr>
          <w:p>
            <w:pPr>
              <w:pStyle w:val="yTableNAm"/>
              <w:spacing w:before="60"/>
              <w:rPr>
                <w:sz w:val="20"/>
              </w:rPr>
            </w:pPr>
          </w:p>
          <w:p>
            <w:pPr>
              <w:pStyle w:val="yTableNAm"/>
              <w:spacing w:before="60"/>
              <w:rPr>
                <w:sz w:val="20"/>
              </w:rPr>
            </w:pPr>
          </w:p>
        </w:tc>
      </w:tr>
    </w:tbl>
    <w:p>
      <w:pPr>
        <w:pStyle w:val="yFootnotesection"/>
      </w:pPr>
      <w:r>
        <w:tab/>
        <w:t>[Form 2 inserted in Gazette 19 Jun 2009 p. 2227-8.]</w:t>
      </w:r>
    </w:p>
    <w:p>
      <w:pPr>
        <w:pStyle w:val="yHeading5"/>
        <w:pageBreakBefore/>
        <w:spacing w:after="80"/>
      </w:pPr>
      <w:bookmarkStart w:id="191" w:name="_Toc391629148"/>
      <w:bookmarkStart w:id="192" w:name="_Toc416355215"/>
      <w:r>
        <w:rPr>
          <w:rStyle w:val="CharSClsNo"/>
        </w:rPr>
        <w:t>3</w:t>
      </w:r>
      <w:r>
        <w:t>.</w:t>
      </w:r>
      <w:r>
        <w:tab/>
        <w:t>Warrant (provisional protection and care)</w:t>
      </w:r>
      <w:bookmarkEnd w:id="191"/>
      <w:bookmarkEnd w:id="192"/>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5" w:type="dxa"/>
          <w:bottom w:w="57" w:type="dxa"/>
          <w:right w:w="85" w:type="dxa"/>
        </w:tblCellMar>
        <w:tblLook w:val="0000" w:firstRow="0" w:lastRow="0" w:firstColumn="0" w:lastColumn="0" w:noHBand="0" w:noVBand="0"/>
      </w:tblPr>
      <w:tblGrid>
        <w:gridCol w:w="1200"/>
        <w:gridCol w:w="1080"/>
        <w:gridCol w:w="840"/>
        <w:gridCol w:w="360"/>
        <w:gridCol w:w="600"/>
        <w:gridCol w:w="598"/>
        <w:gridCol w:w="143"/>
        <w:gridCol w:w="339"/>
        <w:gridCol w:w="370"/>
        <w:gridCol w:w="240"/>
        <w:gridCol w:w="110"/>
        <w:gridCol w:w="153"/>
        <w:gridCol w:w="1062"/>
      </w:tblGrid>
      <w:tr>
        <w:tc>
          <w:tcPr>
            <w:tcW w:w="3120" w:type="dxa"/>
            <w:gridSpan w:val="3"/>
          </w:tcPr>
          <w:p>
            <w:pPr>
              <w:pStyle w:val="yTableNAm"/>
              <w:spacing w:before="60"/>
              <w:rPr>
                <w:sz w:val="20"/>
              </w:rPr>
            </w:pPr>
            <w:r>
              <w:rPr>
                <w:sz w:val="20"/>
              </w:rPr>
              <w:t>In the Children’s Court at</w:t>
            </w:r>
          </w:p>
          <w:p>
            <w:pPr>
              <w:pStyle w:val="yTableNAm"/>
              <w:spacing w:before="60"/>
              <w:rPr>
                <w:sz w:val="20"/>
              </w:rPr>
            </w:pPr>
          </w:p>
          <w:p>
            <w:pPr>
              <w:pStyle w:val="yTableNAm"/>
              <w:spacing w:before="60"/>
              <w:rPr>
                <w:sz w:val="20"/>
              </w:rPr>
            </w:pPr>
            <w:r>
              <w:rPr>
                <w:sz w:val="20"/>
              </w:rPr>
              <w:t>File No.</w:t>
            </w:r>
          </w:p>
        </w:tc>
        <w:tc>
          <w:tcPr>
            <w:tcW w:w="3975" w:type="dxa"/>
            <w:gridSpan w:val="10"/>
          </w:tcPr>
          <w:p>
            <w:pPr>
              <w:pStyle w:val="yTableNAm"/>
              <w:spacing w:before="60"/>
              <w:rPr>
                <w:b/>
                <w:bCs/>
                <w:sz w:val="20"/>
              </w:rPr>
            </w:pPr>
            <w:r>
              <w:rPr>
                <w:b/>
                <w:bCs/>
                <w:sz w:val="20"/>
              </w:rPr>
              <w:t>Warrant (provisional protection and care)</w:t>
            </w:r>
          </w:p>
        </w:tc>
      </w:tr>
      <w:tr>
        <w:tc>
          <w:tcPr>
            <w:tcW w:w="1200" w:type="dxa"/>
          </w:tcPr>
          <w:p>
            <w:pPr>
              <w:pStyle w:val="yTableNAm"/>
              <w:spacing w:before="60"/>
              <w:rPr>
                <w:b/>
                <w:bCs/>
                <w:sz w:val="20"/>
              </w:rPr>
            </w:pPr>
            <w:r>
              <w:rPr>
                <w:b/>
                <w:bCs/>
                <w:sz w:val="20"/>
              </w:rPr>
              <w:t>To</w:t>
            </w:r>
          </w:p>
        </w:tc>
        <w:tc>
          <w:tcPr>
            <w:tcW w:w="5895" w:type="dxa"/>
            <w:gridSpan w:val="12"/>
          </w:tcPr>
          <w:p>
            <w:pPr>
              <w:pStyle w:val="yTableNAm"/>
              <w:spacing w:before="60"/>
              <w:rPr>
                <w:b/>
                <w:bCs/>
                <w:sz w:val="20"/>
              </w:rPr>
            </w:pPr>
            <w:r>
              <w:rPr>
                <w:b/>
                <w:bCs/>
                <w:sz w:val="20"/>
              </w:rPr>
              <w:t>All authorised officers.</w:t>
            </w:r>
          </w:p>
          <w:p>
            <w:pPr>
              <w:pStyle w:val="yTableNAm"/>
              <w:spacing w:before="60"/>
              <w:rPr>
                <w:b/>
                <w:bCs/>
                <w:sz w:val="20"/>
              </w:rPr>
            </w:pPr>
            <w:r>
              <w:rPr>
                <w:b/>
                <w:bCs/>
                <w:sz w:val="20"/>
              </w:rPr>
              <w:t>All police officers.</w:t>
            </w:r>
          </w:p>
        </w:tc>
      </w:tr>
      <w:tr>
        <w:trPr>
          <w:cantSplit/>
          <w:trHeight w:val="146"/>
        </w:trPr>
        <w:tc>
          <w:tcPr>
            <w:tcW w:w="1200" w:type="dxa"/>
            <w:vMerge w:val="restart"/>
          </w:tcPr>
          <w:p>
            <w:pPr>
              <w:pStyle w:val="yTableNAm"/>
              <w:spacing w:before="60"/>
              <w:rPr>
                <w:sz w:val="20"/>
              </w:rPr>
            </w:pPr>
            <w:r>
              <w:rPr>
                <w:sz w:val="20"/>
              </w:rPr>
              <w:t>Details of child</w:t>
            </w:r>
          </w:p>
        </w:tc>
        <w:tc>
          <w:tcPr>
            <w:tcW w:w="1080" w:type="dxa"/>
          </w:tcPr>
          <w:p>
            <w:pPr>
              <w:pStyle w:val="yTableNAm"/>
              <w:spacing w:before="60"/>
              <w:rPr>
                <w:sz w:val="20"/>
              </w:rPr>
            </w:pPr>
            <w:r>
              <w:rPr>
                <w:sz w:val="20"/>
              </w:rPr>
              <w:t>Surname</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Date of birth</w:t>
            </w:r>
          </w:p>
        </w:tc>
        <w:tc>
          <w:tcPr>
            <w:tcW w:w="1062"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Given names</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Gender</w:t>
            </w:r>
          </w:p>
        </w:tc>
        <w:tc>
          <w:tcPr>
            <w:tcW w:w="1062"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5" w:type="dxa"/>
            <w:gridSpan w:val="11"/>
          </w:tcPr>
          <w:p>
            <w:pPr>
              <w:pStyle w:val="yTableNAm"/>
              <w:spacing w:before="60"/>
              <w:rPr>
                <w:sz w:val="20"/>
              </w:rPr>
            </w:pPr>
          </w:p>
        </w:tc>
      </w:tr>
      <w:tr>
        <w:trPr>
          <w:cantSplit/>
          <w:trHeight w:val="111"/>
        </w:trPr>
        <w:tc>
          <w:tcPr>
            <w:tcW w:w="1200" w:type="dxa"/>
            <w:vMerge w:val="restart"/>
          </w:tcPr>
          <w:p>
            <w:pPr>
              <w:pStyle w:val="yTableNAm"/>
              <w:spacing w:before="60"/>
              <w:rPr>
                <w:sz w:val="20"/>
              </w:rPr>
            </w:pPr>
            <w:r>
              <w:rPr>
                <w:sz w:val="20"/>
              </w:rPr>
              <w:t>Details of applicant</w:t>
            </w:r>
          </w:p>
        </w:tc>
        <w:tc>
          <w:tcPr>
            <w:tcW w:w="1080" w:type="dxa"/>
          </w:tcPr>
          <w:p>
            <w:pPr>
              <w:pStyle w:val="yTableNAm"/>
              <w:spacing w:before="60"/>
              <w:rPr>
                <w:sz w:val="20"/>
              </w:rPr>
            </w:pPr>
            <w:r>
              <w:rPr>
                <w:sz w:val="20"/>
              </w:rPr>
              <w:t>Name</w:t>
            </w:r>
          </w:p>
        </w:tc>
        <w:tc>
          <w:tcPr>
            <w:tcW w:w="4815"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Division</w:t>
            </w:r>
          </w:p>
        </w:tc>
        <w:tc>
          <w:tcPr>
            <w:tcW w:w="4815"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5"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Telephone</w:t>
            </w:r>
          </w:p>
        </w:tc>
        <w:tc>
          <w:tcPr>
            <w:tcW w:w="1200" w:type="dxa"/>
            <w:gridSpan w:val="2"/>
          </w:tcPr>
          <w:p>
            <w:pPr>
              <w:pStyle w:val="yTableNAm"/>
              <w:spacing w:before="60"/>
              <w:rPr>
                <w:sz w:val="20"/>
              </w:rPr>
            </w:pPr>
          </w:p>
        </w:tc>
        <w:tc>
          <w:tcPr>
            <w:tcW w:w="600" w:type="dxa"/>
          </w:tcPr>
          <w:p>
            <w:pPr>
              <w:pStyle w:val="yTableNAm"/>
              <w:spacing w:before="60"/>
              <w:rPr>
                <w:sz w:val="20"/>
              </w:rPr>
            </w:pPr>
            <w:r>
              <w:rPr>
                <w:sz w:val="20"/>
              </w:rPr>
              <w:t>Fax</w:t>
            </w:r>
          </w:p>
        </w:tc>
        <w:tc>
          <w:tcPr>
            <w:tcW w:w="1080" w:type="dxa"/>
            <w:gridSpan w:val="3"/>
          </w:tcPr>
          <w:p>
            <w:pPr>
              <w:pStyle w:val="yTableNAm"/>
              <w:spacing w:before="60"/>
              <w:rPr>
                <w:sz w:val="20"/>
              </w:rPr>
            </w:pPr>
          </w:p>
        </w:tc>
        <w:tc>
          <w:tcPr>
            <w:tcW w:w="720" w:type="dxa"/>
            <w:gridSpan w:val="3"/>
          </w:tcPr>
          <w:p>
            <w:pPr>
              <w:pStyle w:val="yTableNAm"/>
              <w:spacing w:before="60"/>
              <w:rPr>
                <w:sz w:val="20"/>
              </w:rPr>
            </w:pPr>
            <w:r>
              <w:rPr>
                <w:sz w:val="20"/>
              </w:rPr>
              <w:t>Email</w:t>
            </w:r>
          </w:p>
        </w:tc>
        <w:tc>
          <w:tcPr>
            <w:tcW w:w="1215" w:type="dxa"/>
            <w:gridSpan w:val="2"/>
          </w:tcPr>
          <w:p>
            <w:pPr>
              <w:pStyle w:val="yTableNAm"/>
              <w:spacing w:before="60"/>
              <w:rPr>
                <w:sz w:val="20"/>
              </w:rPr>
            </w:pPr>
          </w:p>
        </w:tc>
      </w:tr>
      <w:tr>
        <w:tc>
          <w:tcPr>
            <w:tcW w:w="1200" w:type="dxa"/>
          </w:tcPr>
          <w:p>
            <w:pPr>
              <w:pStyle w:val="yTableNAm"/>
              <w:spacing w:before="60"/>
              <w:rPr>
                <w:sz w:val="20"/>
              </w:rPr>
            </w:pPr>
            <w:r>
              <w:rPr>
                <w:sz w:val="20"/>
              </w:rPr>
              <w:t>Section</w:t>
            </w:r>
          </w:p>
        </w:tc>
        <w:tc>
          <w:tcPr>
            <w:tcW w:w="5895" w:type="dxa"/>
            <w:gridSpan w:val="12"/>
          </w:tcPr>
          <w:p>
            <w:pPr>
              <w:pStyle w:val="yTableNAm"/>
              <w:spacing w:before="60"/>
              <w:rPr>
                <w:sz w:val="20"/>
              </w:rPr>
            </w:pPr>
            <w:r>
              <w:rPr>
                <w:sz w:val="20"/>
              </w:rPr>
              <w:t xml:space="preserve">This warrant is issued under section </w:t>
            </w:r>
            <w:r>
              <w:rPr>
                <w:sz w:val="20"/>
              </w:rPr>
              <w:sym w:font="Monotype Sorts" w:char="F070"/>
            </w:r>
            <w:r>
              <w:rPr>
                <w:sz w:val="20"/>
              </w:rPr>
              <w:t xml:space="preserve"> 35(3) </w:t>
            </w:r>
            <w:r>
              <w:rPr>
                <w:sz w:val="20"/>
              </w:rPr>
              <w:sym w:font="Monotype Sorts" w:char="F070"/>
            </w:r>
            <w:r>
              <w:rPr>
                <w:sz w:val="20"/>
              </w:rPr>
              <w:t xml:space="preserve"> 133(3)</w:t>
            </w:r>
          </w:p>
        </w:tc>
      </w:tr>
      <w:tr>
        <w:tc>
          <w:tcPr>
            <w:tcW w:w="1200" w:type="dxa"/>
          </w:tcPr>
          <w:p>
            <w:pPr>
              <w:pStyle w:val="yTableNAm"/>
              <w:spacing w:before="60"/>
              <w:rPr>
                <w:b/>
                <w:bCs/>
                <w:sz w:val="20"/>
              </w:rPr>
            </w:pPr>
            <w:r>
              <w:rPr>
                <w:b/>
                <w:bCs/>
                <w:sz w:val="20"/>
              </w:rPr>
              <w:t>Authority and directions</w:t>
            </w:r>
          </w:p>
        </w:tc>
        <w:tc>
          <w:tcPr>
            <w:tcW w:w="5895" w:type="dxa"/>
            <w:gridSpan w:val="12"/>
          </w:tcPr>
          <w:p>
            <w:pPr>
              <w:pStyle w:val="yTableNAm"/>
              <w:spacing w:before="60"/>
              <w:rPr>
                <w:b/>
                <w:bCs/>
                <w:sz w:val="20"/>
              </w:rPr>
            </w:pPr>
            <w:r>
              <w:rPr>
                <w:b/>
                <w:bCs/>
                <w:sz w:val="20"/>
              </w:rPr>
              <w:t xml:space="preserve">This warrant authorises you — </w:t>
            </w:r>
          </w:p>
          <w:p>
            <w:pPr>
              <w:pStyle w:val="yTableNAm"/>
              <w:tabs>
                <w:tab w:val="clear" w:pos="567"/>
                <w:tab w:val="left" w:pos="500"/>
              </w:tabs>
              <w:spacing w:before="60"/>
              <w:ind w:left="500" w:hanging="500"/>
              <w:rPr>
                <w:b/>
                <w:bCs/>
                <w:sz w:val="20"/>
              </w:rPr>
            </w:pPr>
            <w:r>
              <w:rPr>
                <w:b/>
                <w:bCs/>
                <w:sz w:val="20"/>
              </w:rPr>
              <w:t>(a)</w:t>
            </w:r>
            <w:r>
              <w:rPr>
                <w:b/>
                <w:bCs/>
                <w:sz w:val="20"/>
              </w:rPr>
              <w:tab/>
              <w:t>to enter, at any time, any place where you reasonably believe the child to be; and</w:t>
            </w:r>
          </w:p>
          <w:p>
            <w:pPr>
              <w:pStyle w:val="yTableNAm"/>
              <w:tabs>
                <w:tab w:val="clear" w:pos="567"/>
                <w:tab w:val="left" w:pos="500"/>
              </w:tabs>
              <w:spacing w:before="60"/>
              <w:ind w:left="500" w:hanging="500"/>
              <w:rPr>
                <w:b/>
                <w:bCs/>
                <w:sz w:val="20"/>
              </w:rPr>
            </w:pPr>
            <w:r>
              <w:rPr>
                <w:b/>
                <w:bCs/>
                <w:sz w:val="20"/>
              </w:rPr>
              <w:t>(b)</w:t>
            </w:r>
            <w:r>
              <w:rPr>
                <w:b/>
                <w:bCs/>
                <w:sz w:val="20"/>
              </w:rPr>
              <w:tab/>
              <w:t>to search the place for the purpose of finding the child; and</w:t>
            </w:r>
          </w:p>
          <w:p>
            <w:pPr>
              <w:pStyle w:val="yTableNAm"/>
              <w:tabs>
                <w:tab w:val="clear" w:pos="567"/>
                <w:tab w:val="left" w:pos="500"/>
              </w:tabs>
              <w:spacing w:before="60"/>
              <w:ind w:left="500" w:hanging="500"/>
              <w:rPr>
                <w:b/>
                <w:bCs/>
                <w:sz w:val="20"/>
              </w:rPr>
            </w:pPr>
            <w:r>
              <w:rPr>
                <w:b/>
                <w:bCs/>
                <w:sz w:val="20"/>
              </w:rPr>
              <w:t>(c)</w:t>
            </w:r>
            <w:r>
              <w:rPr>
                <w:b/>
                <w:bCs/>
                <w:sz w:val="20"/>
              </w:rPr>
              <w:tab/>
              <w:t>to remain at the place for as long as you consider reasonably necessary to find the child; and</w:t>
            </w:r>
          </w:p>
          <w:p>
            <w:pPr>
              <w:pStyle w:val="yTableNAm"/>
              <w:tabs>
                <w:tab w:val="clear" w:pos="567"/>
                <w:tab w:val="left" w:pos="500"/>
              </w:tabs>
              <w:spacing w:before="60"/>
              <w:ind w:left="500" w:hanging="500"/>
              <w:rPr>
                <w:b/>
                <w:bCs/>
                <w:sz w:val="20"/>
              </w:rPr>
            </w:pPr>
            <w:r>
              <w:rPr>
                <w:b/>
                <w:bCs/>
                <w:sz w:val="20"/>
              </w:rPr>
              <w:t>(d)</w:t>
            </w:r>
            <w:r>
              <w:rPr>
                <w:b/>
                <w:bCs/>
                <w:sz w:val="20"/>
              </w:rPr>
              <w:tab/>
              <w:t>if the child is found, to take the child into provisional protection and care and to such place as the CEO directs.</w:t>
            </w:r>
          </w:p>
          <w:p>
            <w:pPr>
              <w:pStyle w:val="yTableNAm"/>
              <w:spacing w:before="60"/>
              <w:rPr>
                <w:b/>
                <w:bCs/>
                <w:sz w:val="20"/>
              </w:rPr>
            </w:pPr>
            <w:r>
              <w:rPr>
                <w:b/>
                <w:bCs/>
                <w:sz w:val="20"/>
              </w:rPr>
              <w:t xml:space="preserve">This warrant must be executed in accordance with the </w:t>
            </w:r>
            <w:r>
              <w:rPr>
                <w:b/>
                <w:bCs/>
                <w:i/>
                <w:iCs/>
                <w:sz w:val="20"/>
              </w:rPr>
              <w:t>Children and Community Services Act 2004</w:t>
            </w:r>
            <w:r>
              <w:rPr>
                <w:b/>
                <w:bCs/>
                <w:sz w:val="20"/>
              </w:rPr>
              <w:t xml:space="preserve"> section 124.</w:t>
            </w:r>
          </w:p>
        </w:tc>
      </w:tr>
      <w:tr>
        <w:trPr>
          <w:cantSplit/>
          <w:trHeight w:val="282"/>
        </w:trPr>
        <w:tc>
          <w:tcPr>
            <w:tcW w:w="1200" w:type="dxa"/>
            <w:vMerge w:val="restart"/>
          </w:tcPr>
          <w:p>
            <w:pPr>
              <w:pStyle w:val="yTableNAm"/>
              <w:spacing w:before="60"/>
              <w:rPr>
                <w:sz w:val="20"/>
              </w:rPr>
            </w:pPr>
            <w:r>
              <w:rPr>
                <w:sz w:val="20"/>
              </w:rPr>
              <w:t>Issuing details</w:t>
            </w:r>
          </w:p>
        </w:tc>
        <w:tc>
          <w:tcPr>
            <w:tcW w:w="1080" w:type="dxa"/>
            <w:tcBorders>
              <w:bottom w:val="single" w:sz="4" w:space="0" w:color="auto"/>
            </w:tcBorders>
          </w:tcPr>
          <w:p>
            <w:pPr>
              <w:pStyle w:val="yTableNAm"/>
              <w:spacing w:before="60"/>
              <w:rPr>
                <w:sz w:val="20"/>
              </w:rPr>
            </w:pPr>
            <w:r>
              <w:rPr>
                <w:sz w:val="20"/>
              </w:rPr>
              <w:t>Name of magistrate</w:t>
            </w:r>
          </w:p>
        </w:tc>
        <w:tc>
          <w:tcPr>
            <w:tcW w:w="4815" w:type="dxa"/>
            <w:gridSpan w:val="11"/>
            <w:tcBorders>
              <w:bottom w:val="single" w:sz="4" w:space="0" w:color="auto"/>
            </w:tcBorders>
          </w:tcPr>
          <w:p>
            <w:pPr>
              <w:pStyle w:val="yTableNAm"/>
              <w:spacing w:before="60"/>
              <w:rPr>
                <w:sz w:val="20"/>
              </w:rPr>
            </w:pPr>
          </w:p>
        </w:tc>
      </w:tr>
      <w:tr>
        <w:trPr>
          <w:cantSplit/>
          <w:trHeight w:val="282"/>
        </w:trPr>
        <w:tc>
          <w:tcPr>
            <w:tcW w:w="1200" w:type="dxa"/>
            <w:vMerge/>
            <w:tcBorders>
              <w:bottom w:val="single" w:sz="4" w:space="0" w:color="auto"/>
            </w:tcBorders>
          </w:tcPr>
          <w:p>
            <w:pPr>
              <w:pStyle w:val="yTableNAm"/>
              <w:spacing w:before="60"/>
              <w:rPr>
                <w:sz w:val="20"/>
              </w:rPr>
            </w:pPr>
          </w:p>
        </w:tc>
        <w:tc>
          <w:tcPr>
            <w:tcW w:w="1080" w:type="dxa"/>
            <w:tcBorders>
              <w:bottom w:val="single" w:sz="4" w:space="0" w:color="auto"/>
            </w:tcBorders>
          </w:tcPr>
          <w:p>
            <w:pPr>
              <w:pStyle w:val="yTableNAm"/>
              <w:spacing w:before="60"/>
              <w:rPr>
                <w:sz w:val="20"/>
              </w:rPr>
            </w:pPr>
            <w:r>
              <w:rPr>
                <w:sz w:val="20"/>
              </w:rPr>
              <w:t>Date</w:t>
            </w:r>
          </w:p>
        </w:tc>
        <w:tc>
          <w:tcPr>
            <w:tcW w:w="2541" w:type="dxa"/>
            <w:gridSpan w:val="5"/>
            <w:tcBorders>
              <w:bottom w:val="single" w:sz="4" w:space="0" w:color="auto"/>
            </w:tcBorders>
          </w:tcPr>
          <w:p>
            <w:pPr>
              <w:pStyle w:val="yTableNAm"/>
              <w:spacing w:before="60"/>
              <w:rPr>
                <w:sz w:val="20"/>
              </w:rPr>
            </w:pPr>
          </w:p>
        </w:tc>
        <w:tc>
          <w:tcPr>
            <w:tcW w:w="709" w:type="dxa"/>
            <w:gridSpan w:val="2"/>
            <w:tcBorders>
              <w:bottom w:val="single" w:sz="4" w:space="0" w:color="auto"/>
            </w:tcBorders>
          </w:tcPr>
          <w:p>
            <w:pPr>
              <w:pStyle w:val="yTableNAm"/>
              <w:spacing w:before="60"/>
              <w:rPr>
                <w:sz w:val="20"/>
              </w:rPr>
            </w:pPr>
            <w:r>
              <w:rPr>
                <w:sz w:val="20"/>
              </w:rPr>
              <w:t>Time</w:t>
            </w:r>
          </w:p>
        </w:tc>
        <w:tc>
          <w:tcPr>
            <w:tcW w:w="1565" w:type="dxa"/>
            <w:gridSpan w:val="4"/>
            <w:tcBorders>
              <w:bottom w:val="single" w:sz="4" w:space="0" w:color="auto"/>
            </w:tcBorders>
          </w:tcPr>
          <w:p>
            <w:pPr>
              <w:pStyle w:val="yTableNAm"/>
              <w:spacing w:before="60"/>
              <w:rPr>
                <w:sz w:val="20"/>
              </w:rPr>
            </w:pPr>
          </w:p>
        </w:tc>
      </w:tr>
      <w:tr>
        <w:tc>
          <w:tcPr>
            <w:tcW w:w="1200" w:type="dxa"/>
          </w:tcPr>
          <w:p>
            <w:pPr>
              <w:pStyle w:val="yTableNAm"/>
              <w:spacing w:before="60"/>
              <w:rPr>
                <w:sz w:val="20"/>
              </w:rPr>
            </w:pPr>
            <w:r>
              <w:rPr>
                <w:sz w:val="20"/>
              </w:rPr>
              <w:t>Magistrate’s signature</w:t>
            </w:r>
          </w:p>
        </w:tc>
        <w:tc>
          <w:tcPr>
            <w:tcW w:w="4330" w:type="dxa"/>
            <w:gridSpan w:val="8"/>
          </w:tcPr>
          <w:p>
            <w:pPr>
              <w:pStyle w:val="yTableNAm"/>
              <w:spacing w:before="60"/>
              <w:rPr>
                <w:sz w:val="20"/>
              </w:rPr>
            </w:pPr>
            <w:r>
              <w:rPr>
                <w:sz w:val="20"/>
              </w:rPr>
              <w:t>Issued by me on the above date and at the above time.</w:t>
            </w:r>
          </w:p>
          <w:p>
            <w:pPr>
              <w:pStyle w:val="yTableNAm"/>
              <w:spacing w:before="60"/>
              <w:rPr>
                <w:sz w:val="20"/>
              </w:rPr>
            </w:pPr>
          </w:p>
          <w:p>
            <w:pPr>
              <w:pStyle w:val="yTableNAm"/>
              <w:spacing w:before="60"/>
              <w:rPr>
                <w:sz w:val="20"/>
              </w:rPr>
            </w:pPr>
          </w:p>
        </w:tc>
        <w:tc>
          <w:tcPr>
            <w:tcW w:w="1565" w:type="dxa"/>
            <w:gridSpan w:val="4"/>
          </w:tcPr>
          <w:p>
            <w:pPr>
              <w:pStyle w:val="yTableNAm"/>
              <w:spacing w:before="60"/>
              <w:rPr>
                <w:sz w:val="20"/>
              </w:rPr>
            </w:pPr>
            <w:r>
              <w:rPr>
                <w:sz w:val="20"/>
              </w:rPr>
              <w:t>Court seal</w:t>
            </w:r>
          </w:p>
        </w:tc>
      </w:tr>
      <w:tr>
        <w:trPr>
          <w:cantSplit/>
          <w:trHeight w:val="90"/>
        </w:trPr>
        <w:tc>
          <w:tcPr>
            <w:tcW w:w="1200" w:type="dxa"/>
            <w:vMerge w:val="restart"/>
          </w:tcPr>
          <w:p>
            <w:pPr>
              <w:pStyle w:val="yTableNAm"/>
              <w:keepNext/>
              <w:spacing w:before="60"/>
              <w:rPr>
                <w:sz w:val="20"/>
              </w:rPr>
            </w:pPr>
            <w:r>
              <w:rPr>
                <w:sz w:val="20"/>
              </w:rPr>
              <w:t>Execution details</w:t>
            </w:r>
          </w:p>
        </w:tc>
        <w:tc>
          <w:tcPr>
            <w:tcW w:w="1080" w:type="dxa"/>
          </w:tcPr>
          <w:p>
            <w:pPr>
              <w:pStyle w:val="yTableNAm"/>
              <w:keepNext/>
              <w:spacing w:before="60"/>
              <w:rPr>
                <w:sz w:val="20"/>
              </w:rPr>
            </w:pPr>
            <w:r>
              <w:rPr>
                <w:sz w:val="20"/>
              </w:rPr>
              <w:t>Date</w:t>
            </w:r>
          </w:p>
        </w:tc>
        <w:tc>
          <w:tcPr>
            <w:tcW w:w="2541" w:type="dxa"/>
            <w:gridSpan w:val="5"/>
          </w:tcPr>
          <w:p>
            <w:pPr>
              <w:pStyle w:val="yTableNAm"/>
              <w:keepNext/>
              <w:spacing w:before="60"/>
              <w:rPr>
                <w:sz w:val="20"/>
              </w:rPr>
            </w:pPr>
          </w:p>
        </w:tc>
        <w:tc>
          <w:tcPr>
            <w:tcW w:w="949" w:type="dxa"/>
            <w:gridSpan w:val="3"/>
          </w:tcPr>
          <w:p>
            <w:pPr>
              <w:pStyle w:val="yTableNAm"/>
              <w:keepNext/>
              <w:spacing w:before="60"/>
              <w:rPr>
                <w:sz w:val="20"/>
              </w:rPr>
            </w:pPr>
            <w:r>
              <w:rPr>
                <w:sz w:val="20"/>
              </w:rPr>
              <w:t>Time</w:t>
            </w:r>
          </w:p>
        </w:tc>
        <w:tc>
          <w:tcPr>
            <w:tcW w:w="1325" w:type="dxa"/>
            <w:gridSpan w:val="3"/>
          </w:tcPr>
          <w:p>
            <w:pPr>
              <w:pStyle w:val="yTableNAm"/>
              <w:keepNext/>
              <w:spacing w:before="60"/>
              <w:rPr>
                <w:sz w:val="20"/>
              </w:rPr>
            </w:pPr>
          </w:p>
        </w:tc>
      </w:tr>
      <w:tr>
        <w:trPr>
          <w:cantSplit/>
          <w:trHeight w:val="87"/>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5" w:type="dxa"/>
            <w:gridSpan w:val="11"/>
          </w:tcPr>
          <w:p>
            <w:pPr>
              <w:pStyle w:val="yTableNAm"/>
              <w:spacing w:before="60"/>
              <w:rPr>
                <w:sz w:val="20"/>
              </w:rPr>
            </w:pPr>
          </w:p>
        </w:tc>
      </w:tr>
      <w:tr>
        <w:trPr>
          <w:cantSplit/>
          <w:trHeight w:val="87"/>
        </w:trPr>
        <w:tc>
          <w:tcPr>
            <w:tcW w:w="1200" w:type="dxa"/>
            <w:vMerge/>
          </w:tcPr>
          <w:p>
            <w:pPr>
              <w:pStyle w:val="yTableNAm"/>
              <w:spacing w:before="60"/>
              <w:rPr>
                <w:sz w:val="20"/>
              </w:rPr>
            </w:pPr>
          </w:p>
        </w:tc>
        <w:tc>
          <w:tcPr>
            <w:tcW w:w="5895" w:type="dxa"/>
            <w:gridSpan w:val="12"/>
          </w:tcPr>
          <w:p>
            <w:pPr>
              <w:pStyle w:val="yTableNAm"/>
              <w:spacing w:before="60"/>
              <w:rPr>
                <w:sz w:val="20"/>
              </w:rPr>
            </w:pPr>
            <w:r>
              <w:rPr>
                <w:sz w:val="20"/>
              </w:rPr>
              <w:sym w:font="Monotype Sorts" w:char="F070"/>
            </w:r>
            <w:r>
              <w:rPr>
                <w:sz w:val="20"/>
              </w:rPr>
              <w:tab/>
              <w:t>The warrant was executed.</w:t>
            </w:r>
          </w:p>
        </w:tc>
      </w:tr>
      <w:tr>
        <w:trPr>
          <w:cantSplit/>
          <w:trHeight w:val="87"/>
        </w:trPr>
        <w:tc>
          <w:tcPr>
            <w:tcW w:w="1200" w:type="dxa"/>
            <w:vMerge/>
          </w:tcPr>
          <w:p>
            <w:pPr>
              <w:pStyle w:val="yTableNAm"/>
              <w:spacing w:before="60"/>
              <w:rPr>
                <w:sz w:val="20"/>
              </w:rPr>
            </w:pPr>
          </w:p>
        </w:tc>
        <w:tc>
          <w:tcPr>
            <w:tcW w:w="5895" w:type="dxa"/>
            <w:gridSpan w:val="12"/>
          </w:tcPr>
          <w:p>
            <w:pPr>
              <w:pStyle w:val="yTableNAm"/>
              <w:tabs>
                <w:tab w:val="clear" w:pos="567"/>
                <w:tab w:val="left" w:pos="500"/>
              </w:tabs>
              <w:spacing w:before="60"/>
              <w:ind w:left="500" w:hanging="500"/>
              <w:rPr>
                <w:sz w:val="20"/>
              </w:rPr>
            </w:pPr>
            <w:r>
              <w:rPr>
                <w:sz w:val="20"/>
              </w:rPr>
              <w:sym w:font="Monotype Sorts" w:char="F070"/>
            </w:r>
            <w:r>
              <w:rPr>
                <w:sz w:val="20"/>
              </w:rPr>
              <w:tab/>
              <w:t>The warrant could not be executed despite every reasonable effort.</w:t>
            </w:r>
          </w:p>
        </w:tc>
      </w:tr>
      <w:tr>
        <w:trPr>
          <w:cantSplit/>
          <w:trHeight w:val="87"/>
        </w:trPr>
        <w:tc>
          <w:tcPr>
            <w:tcW w:w="1200" w:type="dxa"/>
            <w:vMerge/>
          </w:tcPr>
          <w:p>
            <w:pPr>
              <w:pStyle w:val="yTableNAm"/>
              <w:spacing w:before="60"/>
              <w:rPr>
                <w:sz w:val="20"/>
              </w:rPr>
            </w:pPr>
          </w:p>
        </w:tc>
        <w:tc>
          <w:tcPr>
            <w:tcW w:w="5895" w:type="dxa"/>
            <w:gridSpan w:val="12"/>
          </w:tcPr>
          <w:p>
            <w:pPr>
              <w:pStyle w:val="yTableNAm"/>
              <w:tabs>
                <w:tab w:val="clear" w:pos="567"/>
                <w:tab w:val="left" w:pos="500"/>
              </w:tabs>
              <w:spacing w:before="60"/>
              <w:ind w:left="500" w:hanging="500"/>
              <w:rPr>
                <w:sz w:val="20"/>
              </w:rPr>
            </w:pPr>
            <w:r>
              <w:rPr>
                <w:sz w:val="20"/>
              </w:rPr>
              <w:sym w:font="Monotype Sorts" w:char="F070"/>
            </w:r>
            <w:r>
              <w:rPr>
                <w:sz w:val="20"/>
              </w:rPr>
              <w:tab/>
              <w:t>The warrant was not executed after the determination that taking the child into provisional protection care was no longer necessary.</w:t>
            </w:r>
          </w:p>
        </w:tc>
      </w:tr>
      <w:tr>
        <w:trPr>
          <w:cantSplit/>
          <w:trHeight w:val="292"/>
        </w:trPr>
        <w:tc>
          <w:tcPr>
            <w:tcW w:w="1200" w:type="dxa"/>
            <w:vMerge w:val="restart"/>
          </w:tcPr>
          <w:p>
            <w:pPr>
              <w:pStyle w:val="yTableNAm"/>
              <w:spacing w:before="60"/>
              <w:rPr>
                <w:sz w:val="20"/>
              </w:rPr>
            </w:pPr>
            <w:r>
              <w:rPr>
                <w:sz w:val="20"/>
              </w:rPr>
              <w:t>Authorised officer in charge of execution</w:t>
            </w:r>
          </w:p>
        </w:tc>
        <w:tc>
          <w:tcPr>
            <w:tcW w:w="1080" w:type="dxa"/>
          </w:tcPr>
          <w:p>
            <w:pPr>
              <w:pStyle w:val="yTableNAm"/>
              <w:spacing w:before="60"/>
              <w:rPr>
                <w:sz w:val="20"/>
              </w:rPr>
            </w:pPr>
            <w:r>
              <w:rPr>
                <w:sz w:val="20"/>
              </w:rPr>
              <w:t>Name</w:t>
            </w:r>
          </w:p>
        </w:tc>
        <w:tc>
          <w:tcPr>
            <w:tcW w:w="4815"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Position</w:t>
            </w:r>
          </w:p>
        </w:tc>
        <w:tc>
          <w:tcPr>
            <w:tcW w:w="4815"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Signature</w:t>
            </w:r>
          </w:p>
        </w:tc>
        <w:tc>
          <w:tcPr>
            <w:tcW w:w="4815" w:type="dxa"/>
            <w:gridSpan w:val="11"/>
          </w:tcPr>
          <w:p>
            <w:pPr>
              <w:pStyle w:val="yTableNAm"/>
              <w:spacing w:before="60"/>
              <w:rPr>
                <w:sz w:val="20"/>
              </w:rPr>
            </w:pPr>
          </w:p>
          <w:p>
            <w:pPr>
              <w:pStyle w:val="yTableNAm"/>
              <w:spacing w:before="60"/>
              <w:rPr>
                <w:sz w:val="20"/>
              </w:rPr>
            </w:pPr>
          </w:p>
        </w:tc>
      </w:tr>
    </w:tbl>
    <w:p>
      <w:pPr>
        <w:pStyle w:val="yFootnotesection"/>
      </w:pPr>
      <w:r>
        <w:tab/>
        <w:t>[Form 3 inserted in Gazette 19 Jun 2009 p. 2228-9.]</w:t>
      </w:r>
    </w:p>
    <w:p>
      <w:pPr>
        <w:pStyle w:val="yHeading5"/>
        <w:pageBreakBefore/>
      </w:pPr>
      <w:bookmarkStart w:id="193" w:name="_Toc391629149"/>
      <w:bookmarkStart w:id="194" w:name="_Toc416355216"/>
      <w:r>
        <w:rPr>
          <w:rStyle w:val="CharSClsNo"/>
        </w:rPr>
        <w:t>4</w:t>
      </w:r>
      <w:r>
        <w:t>.</w:t>
      </w:r>
      <w:r>
        <w:rPr>
          <w:b w:val="0"/>
        </w:rPr>
        <w:tab/>
      </w:r>
      <w:r>
        <w:t>Parentage testing procedure</w:t>
      </w:r>
      <w:bookmarkEnd w:id="193"/>
      <w:bookmarkEnd w:id="194"/>
    </w:p>
    <w:p>
      <w:pPr>
        <w:pStyle w:val="yMiscellaneousHeading"/>
        <w:ind w:left="840"/>
        <w:jc w:val="left"/>
        <w:rPr>
          <w:b/>
          <w:bCs/>
        </w:rPr>
      </w:pPr>
      <w:r>
        <w:rPr>
          <w:b/>
          <w:bCs/>
        </w:rPr>
        <w:t>AFFIDAVIT BY/IN RELATION TO DONOR</w:t>
      </w:r>
    </w:p>
    <w:p>
      <w:pPr>
        <w:pStyle w:val="yMiscellaneousBody"/>
      </w:pPr>
      <w:r>
        <w:t>NAME OF CHILD WHOSE PARENTAGE IS IN ISSUE: (insert child’s name)</w:t>
      </w:r>
    </w:p>
    <w:p>
      <w:pPr>
        <w:pStyle w:val="yMiscellaneousBody"/>
      </w:pPr>
      <w:r>
        <w:t>NAME OF DONOR: (insert donor’s name)</w:t>
      </w:r>
    </w:p>
    <w:p>
      <w:pPr>
        <w:pStyle w:val="yMiscellaneousBody"/>
      </w:pPr>
      <w:r>
        <w:t>DATE OF BIRTH OF DONOR: (insert donor’s date of birth)</w:t>
      </w:r>
    </w:p>
    <w:p>
      <w:pPr>
        <w:pStyle w:val="yMiscellaneousBody"/>
      </w:pPr>
      <w:r>
        <w:t>*RELATIONSHIP/*PUTATIVE RELATIONSHIP OF DONOR TO CHILD WHOSE PARENTAGE IS IN ISSUE: (if donor is not the child whose parentage is in issue, insert relationship of donor to child)</w:t>
      </w:r>
    </w:p>
    <w:p>
      <w:pPr>
        <w:pStyle w:val="yMiscellaneousBody"/>
      </w:pPr>
      <w:r>
        <w:t>DATE OF TAKING SAMPLE FROM DONOR: (insert date sample is to be taken)</w:t>
      </w:r>
    </w:p>
    <w:p>
      <w:pPr>
        <w:pStyle w:val="yMiscellaneousBody"/>
      </w:pPr>
      <w:r>
        <w:t>I, (insert name), of (insert address), (insert occupation), *make oath and say/*affirm:</w:t>
      </w:r>
    </w:p>
    <w:p>
      <w:pPr>
        <w:pStyle w:val="zyMiscellaneousBody"/>
        <w:ind w:left="0"/>
      </w:pPr>
    </w:p>
    <w:p>
      <w:pPr>
        <w:pStyle w:val="yMiscellaneousBody"/>
      </w:pPr>
      <w:r>
        <w:rPr>
          <w:b/>
          <w:bCs/>
        </w:rPr>
        <w:t>IMPORTANT</w:t>
      </w:r>
      <w:r>
        <w:t xml:space="preserve"> Either Part 1 or 2 of this form must be completed and sworn or affirmed by the person making the affidavit in the presence of an authorised witness, on the day the donor’s sample is taken.</w:t>
      </w:r>
    </w:p>
    <w:p>
      <w:pPr>
        <w:pStyle w:val="yMiscellaneousBody"/>
        <w:rPr>
          <w:b/>
          <w:bCs/>
        </w:rPr>
      </w:pPr>
      <w:r>
        <w:rPr>
          <w:b/>
          <w:bCs/>
        </w:rPr>
        <w:t>PART 1</w:t>
      </w:r>
    </w:p>
    <w:p>
      <w:pPr>
        <w:pStyle w:val="yMiscellaneousBody"/>
      </w:pPr>
      <w:r>
        <w:t>Part 1 must be completed if the person making the affidavit is the donor.</w:t>
      </w:r>
    </w:p>
    <w:p>
      <w:pPr>
        <w:pStyle w:val="yMiscellaneousBody"/>
        <w:tabs>
          <w:tab w:val="left" w:pos="600"/>
        </w:tabs>
        <w:ind w:left="600" w:hanging="600"/>
      </w:pPr>
      <w:r>
        <w:t>1.</w:t>
      </w:r>
      <w:r>
        <w:tab/>
        <w:t>I am the person appearing in the photograph attached to this affidavit, being Attachment ‘A’.</w:t>
      </w:r>
    </w:p>
    <w:p>
      <w:pPr>
        <w:pStyle w:val="yMiscellaneousBody"/>
        <w:tabs>
          <w:tab w:val="left" w:pos="600"/>
        </w:tabs>
        <w:ind w:left="600" w:hanging="600"/>
      </w:pPr>
      <w:r>
        <w:t>2.</w:t>
      </w:r>
      <w:r>
        <w:tab/>
        <w:t>My racial background is (insert details).</w:t>
      </w:r>
    </w:p>
    <w:p>
      <w:pPr>
        <w:pStyle w:val="yMiscellaneousBody"/>
        <w:tabs>
          <w:tab w:val="left" w:pos="600"/>
        </w:tabs>
        <w:ind w:left="600" w:hanging="600"/>
      </w:pPr>
      <w:r>
        <w:t>3.</w:t>
      </w:r>
      <w:r>
        <w:tab/>
        <w:t>In the last 2 years:</w:t>
      </w:r>
    </w:p>
    <w:p>
      <w:pPr>
        <w:pStyle w:val="yMiscellaneousBody"/>
        <w:tabs>
          <w:tab w:val="right" w:pos="960"/>
          <w:tab w:val="left" w:pos="1200"/>
        </w:tabs>
        <w:ind w:left="1200" w:hanging="1200"/>
      </w:pPr>
      <w:r>
        <w:tab/>
        <w:t>(a)</w:t>
      </w:r>
      <w:r>
        <w:tab/>
        <w:t>I *have/*have not suffered from leukaemia;</w:t>
      </w:r>
    </w:p>
    <w:p>
      <w:pPr>
        <w:pStyle w:val="yMiscellaneousBody"/>
        <w:tabs>
          <w:tab w:val="right" w:pos="960"/>
          <w:tab w:val="left" w:pos="1200"/>
        </w:tabs>
        <w:ind w:left="1200" w:hanging="1200"/>
      </w:pPr>
      <w:r>
        <w:tab/>
        <w:t>(b)</w:t>
      </w:r>
      <w:r>
        <w:tab/>
        <w:t>I *have/*have not received a bone marrow transplant.</w:t>
      </w:r>
    </w:p>
    <w:p>
      <w:pPr>
        <w:pStyle w:val="yMiscellaneousBody"/>
        <w:tabs>
          <w:tab w:val="left" w:pos="600"/>
        </w:tabs>
        <w:ind w:left="600" w:hanging="600"/>
      </w:pPr>
      <w:r>
        <w:t>*4.</w:t>
      </w:r>
      <w:r>
        <w:tab/>
        <w:t>The particulars of the *leukaemia/*bone marrow transplant are as follows:</w:t>
      </w:r>
    </w:p>
    <w:p>
      <w:pPr>
        <w:pStyle w:val="yMiscellaneousBody"/>
        <w:tabs>
          <w:tab w:val="left" w:pos="600"/>
        </w:tabs>
        <w:ind w:left="600" w:hanging="600"/>
      </w:pPr>
      <w:r>
        <w:tab/>
        <w:t>(insert particulars)</w:t>
      </w:r>
    </w:p>
    <w:p>
      <w:pPr>
        <w:pStyle w:val="yMiscellaneousBody"/>
        <w:tabs>
          <w:tab w:val="left" w:pos="600"/>
        </w:tabs>
        <w:ind w:left="600" w:hanging="600"/>
      </w:pPr>
      <w:r>
        <w:t>5.</w:t>
      </w:r>
      <w:r>
        <w:tab/>
        <w:t>I *have/*have not received a transfusion of blood or a blood product within the last 6 months.</w:t>
      </w:r>
    </w:p>
    <w:p>
      <w:pPr>
        <w:pStyle w:val="yMiscellaneousBody"/>
        <w:tabs>
          <w:tab w:val="left" w:pos="600"/>
        </w:tabs>
        <w:ind w:left="600" w:hanging="600"/>
      </w:pPr>
      <w:r>
        <w:t>*6.</w:t>
      </w:r>
      <w:r>
        <w:tab/>
        <w:t>The particulars of the transfusion of blood or blood product are as follows:</w:t>
      </w:r>
    </w:p>
    <w:p>
      <w:pPr>
        <w:pStyle w:val="yMiscellaneousBody"/>
        <w:tabs>
          <w:tab w:val="left" w:pos="600"/>
        </w:tabs>
        <w:ind w:left="600" w:hanging="600"/>
      </w:pPr>
      <w:r>
        <w:tab/>
        <w:t>(insert particulars)</w:t>
      </w:r>
    </w:p>
    <w:p>
      <w:pPr>
        <w:pStyle w:val="yMiscellaneousBody"/>
        <w:tabs>
          <w:tab w:val="left" w:pos="600"/>
        </w:tabs>
        <w:ind w:left="600" w:hanging="600"/>
      </w:pPr>
      <w:r>
        <w:t>7.</w:t>
      </w:r>
      <w:r>
        <w:tab/>
        <w:t>I consent to:</w:t>
      </w:r>
    </w:p>
    <w:p>
      <w:pPr>
        <w:pStyle w:val="yMiscellaneousBody"/>
        <w:tabs>
          <w:tab w:val="right" w:pos="960"/>
          <w:tab w:val="left" w:pos="1200"/>
        </w:tabs>
        <w:ind w:left="1200" w:hanging="1200"/>
      </w:pPr>
      <w:r>
        <w:tab/>
        <w:t>(a)</w:t>
      </w:r>
      <w:r>
        <w:tab/>
        <w:t>the taking of *a bodily sample/*bodily samples from me on (insert date sample is to be taken) at (insert place sample is to be taken) for the purposes of *a parentage testing procedure/*parentage testing procedures; and</w:t>
      </w:r>
    </w:p>
    <w:p>
      <w:pPr>
        <w:pStyle w:val="yMiscellaneousBody"/>
        <w:tabs>
          <w:tab w:val="right" w:pos="960"/>
          <w:tab w:val="left" w:pos="1200"/>
        </w:tabs>
        <w:ind w:left="1200" w:hanging="1200"/>
      </w:pPr>
      <w:r>
        <w:tab/>
        <w:t>(b)</w:t>
      </w:r>
      <w:r>
        <w:tab/>
        <w:t>the carrying out of *that procedure/*those procedures on the *sample/*samples.</w:t>
      </w:r>
    </w:p>
    <w:p>
      <w:pPr>
        <w:pStyle w:val="yMiscellaneousBody"/>
        <w:rPr>
          <w:b/>
          <w:bCs/>
        </w:rPr>
      </w:pPr>
      <w:r>
        <w:rPr>
          <w:b/>
          <w:bCs/>
        </w:rPr>
        <w:t>PART 2</w:t>
      </w:r>
    </w:p>
    <w:p>
      <w:pPr>
        <w:pStyle w:val="yMiscellaneousBody"/>
      </w:pPr>
      <w:r>
        <w:t>Part 2 must be completed on behalf of a child or a represented person.</w:t>
      </w:r>
    </w:p>
    <w:p>
      <w:pPr>
        <w:pStyle w:val="yMiscellaneousBody"/>
        <w:tabs>
          <w:tab w:val="left" w:pos="600"/>
        </w:tabs>
        <w:ind w:left="600" w:hanging="600"/>
      </w:pPr>
      <w:r>
        <w:t>1.</w:t>
      </w:r>
      <w:r>
        <w:tab/>
        <w:t>I am the (state relationship or other status in relation to the donor) of (insert name of donor) who was born on (insert date of birth of donor).</w:t>
      </w:r>
    </w:p>
    <w:p>
      <w:pPr>
        <w:pStyle w:val="yMiscellaneousBody"/>
        <w:tabs>
          <w:tab w:val="left" w:pos="600"/>
        </w:tabs>
        <w:ind w:left="600" w:hanging="600"/>
      </w:pPr>
      <w:r>
        <w:t>2.</w:t>
      </w:r>
      <w:r>
        <w:tab/>
        <w:t>(insert name of donor) is the person appearing in the photograph attached to this affidavit, being Attachment ‘A’.</w:t>
      </w:r>
    </w:p>
    <w:p>
      <w:pPr>
        <w:pStyle w:val="yMiscellaneousBody"/>
        <w:tabs>
          <w:tab w:val="left" w:pos="600"/>
        </w:tabs>
        <w:ind w:left="600" w:hanging="600"/>
      </w:pPr>
      <w:r>
        <w:t>3.</w:t>
      </w:r>
      <w:r>
        <w:tab/>
        <w:t>(insert name of donor) is a person whose racial background is (insert details).</w:t>
      </w:r>
    </w:p>
    <w:p>
      <w:pPr>
        <w:pStyle w:val="yMiscellaneousBody"/>
        <w:tabs>
          <w:tab w:val="left" w:pos="600"/>
        </w:tabs>
        <w:ind w:left="600" w:hanging="600"/>
      </w:pPr>
      <w:r>
        <w:t>4.</w:t>
      </w:r>
      <w:r>
        <w:tab/>
        <w:t>In the last 2 years:</w:t>
      </w:r>
    </w:p>
    <w:p>
      <w:pPr>
        <w:pStyle w:val="yMiscellaneousBody"/>
        <w:tabs>
          <w:tab w:val="right" w:pos="960"/>
          <w:tab w:val="left" w:pos="1200"/>
        </w:tabs>
        <w:ind w:left="1200" w:hanging="1200"/>
      </w:pPr>
      <w:r>
        <w:tab/>
        <w:t>(a)</w:t>
      </w:r>
      <w:r>
        <w:tab/>
        <w:t>the donor *has/*has not suffered from leukaemia;</w:t>
      </w:r>
    </w:p>
    <w:p>
      <w:pPr>
        <w:pStyle w:val="yMiscellaneousBody"/>
        <w:tabs>
          <w:tab w:val="right" w:pos="960"/>
          <w:tab w:val="left" w:pos="1200"/>
        </w:tabs>
        <w:ind w:left="1200" w:hanging="1200"/>
      </w:pPr>
      <w:r>
        <w:tab/>
        <w:t>(b)</w:t>
      </w:r>
      <w:r>
        <w:tab/>
        <w:t>the donor *has/*has not received a bone marrow transplant.</w:t>
      </w:r>
    </w:p>
    <w:p>
      <w:pPr>
        <w:pStyle w:val="yMiscellaneousBody"/>
        <w:tabs>
          <w:tab w:val="left" w:pos="600"/>
        </w:tabs>
        <w:ind w:left="600" w:hanging="600"/>
      </w:pPr>
      <w:r>
        <w:t>*5.</w:t>
      </w:r>
      <w:r>
        <w:tab/>
        <w:t>The particulars of the *leukaemia/*bone marrow transplant are as follows:</w:t>
      </w:r>
    </w:p>
    <w:p>
      <w:pPr>
        <w:pStyle w:val="yMiscellaneousBody"/>
        <w:tabs>
          <w:tab w:val="left" w:pos="600"/>
        </w:tabs>
        <w:ind w:left="600" w:hanging="600"/>
      </w:pPr>
      <w:r>
        <w:tab/>
        <w:t>(insert particulars)</w:t>
      </w:r>
    </w:p>
    <w:p>
      <w:pPr>
        <w:pStyle w:val="yMiscellaneousBody"/>
        <w:tabs>
          <w:tab w:val="left" w:pos="600"/>
        </w:tabs>
        <w:ind w:left="600" w:hanging="600"/>
      </w:pPr>
      <w:r>
        <w:t>6.</w:t>
      </w:r>
      <w:r>
        <w:tab/>
        <w:t>The donor *has/*has not received a transfusion of blood or a blood product within the last 6 months.</w:t>
      </w:r>
    </w:p>
    <w:p>
      <w:pPr>
        <w:pStyle w:val="yMiscellaneousBody"/>
        <w:keepNext/>
        <w:tabs>
          <w:tab w:val="left" w:pos="600"/>
        </w:tabs>
        <w:ind w:left="600" w:hanging="600"/>
      </w:pPr>
      <w:r>
        <w:t>*7.</w:t>
      </w:r>
      <w:r>
        <w:tab/>
        <w:t xml:space="preserve">The particulars of the transfusion of blood or blood product are as follows: </w:t>
      </w:r>
    </w:p>
    <w:p>
      <w:pPr>
        <w:pStyle w:val="yMiscellaneousBody"/>
        <w:tabs>
          <w:tab w:val="left" w:pos="600"/>
        </w:tabs>
        <w:ind w:left="600" w:hanging="600"/>
      </w:pPr>
      <w:r>
        <w:tab/>
        <w:t>(insert particulars)</w:t>
      </w:r>
    </w:p>
    <w:p>
      <w:pPr>
        <w:pStyle w:val="yMiscellaneousBody"/>
        <w:tabs>
          <w:tab w:val="left" w:pos="600"/>
        </w:tabs>
        <w:ind w:left="600" w:hanging="600"/>
      </w:pPr>
      <w:r>
        <w:t>8.</w:t>
      </w:r>
      <w:r>
        <w:tab/>
        <w:t>I consent to:</w:t>
      </w:r>
    </w:p>
    <w:p>
      <w:pPr>
        <w:pStyle w:val="yMiscellaneousBody"/>
        <w:tabs>
          <w:tab w:val="right" w:pos="960"/>
          <w:tab w:val="left" w:pos="1200"/>
        </w:tabs>
        <w:ind w:left="1200" w:hanging="1200"/>
      </w:pPr>
      <w:r>
        <w:tab/>
        <w:t>(a)</w:t>
      </w:r>
      <w:r>
        <w:tab/>
        <w:t>the taking of *a bodily sample/*bodily samples from the donor on (insert date sample is to be taken) at (insert place sample is to be taken) for the purposes of *a parentage testing procedure/*parentage testing procedures; and</w:t>
      </w:r>
    </w:p>
    <w:p>
      <w:pPr>
        <w:pStyle w:val="yMiscellaneousBody"/>
        <w:tabs>
          <w:tab w:val="right" w:pos="960"/>
          <w:tab w:val="left" w:pos="1200"/>
        </w:tabs>
        <w:ind w:left="1200" w:hanging="1200"/>
      </w:pPr>
      <w:r>
        <w:tab/>
        <w:t>(b)</w:t>
      </w:r>
      <w:r>
        <w:tab/>
        <w:t>the carrying out of *that procedure/*those procedures on the *sample/*samples.</w:t>
      </w:r>
    </w:p>
    <w:p>
      <w:pPr>
        <w:pStyle w:val="zyMiscellaneousBody"/>
        <w:ind w:left="0"/>
      </w:pPr>
    </w:p>
    <w:p>
      <w:pPr>
        <w:pStyle w:val="yMiscellaneousBody"/>
        <w:tabs>
          <w:tab w:val="left" w:pos="600"/>
        </w:tabs>
      </w:pPr>
      <w:r>
        <w:t xml:space="preserve">*SWORN/*AFFIRMED by </w:t>
      </w:r>
    </w:p>
    <w:p>
      <w:pPr>
        <w:pStyle w:val="yMiscellaneousBody"/>
        <w:tabs>
          <w:tab w:val="left" w:pos="600"/>
        </w:tabs>
      </w:pPr>
      <w:r>
        <w:t>at</w:t>
      </w:r>
    </w:p>
    <w:p>
      <w:pPr>
        <w:pStyle w:val="yMiscellaneousBody"/>
        <w:tabs>
          <w:tab w:val="left" w:pos="600"/>
          <w:tab w:val="left" w:pos="1440"/>
        </w:tabs>
      </w:pPr>
      <w:r>
        <w:t>on</w:t>
      </w:r>
      <w:r>
        <w:tab/>
      </w:r>
      <w:r>
        <w:tab/>
        <w:t>20</w:t>
      </w:r>
    </w:p>
    <w:p>
      <w:pPr>
        <w:pStyle w:val="yMiscellaneousBody"/>
        <w:tabs>
          <w:tab w:val="left" w:pos="600"/>
        </w:tabs>
      </w:pPr>
      <w:r>
        <w:t>(Signature of person making affidavit)</w:t>
      </w:r>
    </w:p>
    <w:p>
      <w:pPr>
        <w:pStyle w:val="yMiscellaneousBody"/>
      </w:pPr>
      <w:r>
        <w:t xml:space="preserve">BEFORE ME: </w:t>
      </w:r>
      <w:r>
        <w:br/>
        <w:t xml:space="preserve">(insert name of person </w:t>
      </w:r>
      <w:r>
        <w:br/>
        <w:t xml:space="preserve">before whom the affidavit </w:t>
      </w:r>
      <w:r>
        <w:br/>
        <w:t>is made)</w:t>
      </w:r>
    </w:p>
    <w:p>
      <w:pPr>
        <w:pStyle w:val="yMiscellaneousBody"/>
      </w:pPr>
      <w:r>
        <w:t xml:space="preserve">(Signature of person </w:t>
      </w:r>
      <w:r>
        <w:br/>
        <w:t xml:space="preserve">before whom affidavit is </w:t>
      </w:r>
      <w:r>
        <w:br/>
        <w:t>made)</w:t>
      </w:r>
    </w:p>
    <w:p>
      <w:pPr>
        <w:pStyle w:val="yMiscellaneousBody"/>
      </w:pPr>
      <w:r>
        <w:t>Attach a recent photograph of the donor named in the affidavit, measuring approximately 45 mm by 35 mm, that shows a full face view of the donor’s head and the donor’s shoulders against a plain background. The photograph must be marked ‘A’, and must bear a statement, signed by both the person before whom the affidavit is made and the person making the affidavit, identifying it as the photograph mentioned in the affidavit.</w:t>
      </w:r>
    </w:p>
    <w:p>
      <w:pPr>
        <w:pStyle w:val="yMiscellaneousBody"/>
      </w:pPr>
      <w:r>
        <w:t>*Omit if not applicable.</w:t>
      </w:r>
    </w:p>
    <w:p>
      <w:pPr>
        <w:pStyle w:val="yFootnotesection"/>
      </w:pPr>
      <w:r>
        <w:tab/>
        <w:t>[Form 4 inserted in Gazette 28 Jan 2011 p. 250-2.]</w:t>
      </w:r>
    </w:p>
    <w:p>
      <w:pPr>
        <w:pStyle w:val="yHeading5"/>
        <w:pageBreakBefore/>
      </w:pPr>
      <w:bookmarkStart w:id="195" w:name="_Toc391629150"/>
      <w:bookmarkStart w:id="196" w:name="_Toc416355217"/>
      <w:r>
        <w:rPr>
          <w:rStyle w:val="CharSClsNo"/>
        </w:rPr>
        <w:t>5</w:t>
      </w:r>
      <w:r>
        <w:t>.</w:t>
      </w:r>
      <w:r>
        <w:rPr>
          <w:b w:val="0"/>
        </w:rPr>
        <w:tab/>
      </w:r>
      <w:r>
        <w:t>Parentage testing procedure</w:t>
      </w:r>
      <w:bookmarkEnd w:id="195"/>
      <w:bookmarkEnd w:id="196"/>
    </w:p>
    <w:p>
      <w:pPr>
        <w:pStyle w:val="zyMiscellaneousBody"/>
        <w:ind w:left="840"/>
        <w:rPr>
          <w:b/>
          <w:bCs/>
        </w:rPr>
      </w:pPr>
      <w:r>
        <w:rPr>
          <w:b/>
          <w:bCs/>
        </w:rPr>
        <w:t>COLLECTION OF BODILY SAMPLES</w:t>
      </w:r>
    </w:p>
    <w:p>
      <w:pPr>
        <w:pStyle w:val="yMiscellaneousBody"/>
      </w:pPr>
      <w:r>
        <w:t>NAME OF CHILD WHOSE PARENTAGE IS IN ISSUE: (insert child’s name)</w:t>
      </w:r>
    </w:p>
    <w:p>
      <w:pPr>
        <w:pStyle w:val="yMiscellaneousBody"/>
        <w:tabs>
          <w:tab w:val="left" w:pos="600"/>
        </w:tabs>
        <w:ind w:left="600" w:hanging="600"/>
      </w:pPr>
      <w:r>
        <w:t>1.</w:t>
      </w:r>
      <w:r>
        <w:tab/>
        <w:t>I, (insert name of sampler), of (insert professional address), (insert occupation), took the *bodily sample/*bodily samples specified below at (insert time) *a.m./*p.m. on (insert date) at (insert place of collection) from the following *person/*persons:</w:t>
      </w:r>
    </w:p>
    <w:p>
      <w:pPr>
        <w:pStyle w:val="yMiscellaneousBody"/>
        <w:tabs>
          <w:tab w:val="right" w:pos="960"/>
          <w:tab w:val="left" w:pos="1200"/>
        </w:tabs>
        <w:ind w:left="1200" w:hanging="1200"/>
      </w:pPr>
      <w:r>
        <w:tab/>
        <w:t>(a)</w:t>
      </w:r>
      <w:r>
        <w:tab/>
        <w:t>(insert name of person, type of bodily sample and person’s photograph);</w:t>
      </w:r>
    </w:p>
    <w:p>
      <w:pPr>
        <w:pStyle w:val="yMiscellaneousBody"/>
        <w:tabs>
          <w:tab w:val="right" w:pos="960"/>
          <w:tab w:val="left" w:pos="1200"/>
        </w:tabs>
        <w:ind w:left="1200" w:hanging="1200"/>
      </w:pPr>
      <w:r>
        <w:tab/>
        <w:t>*(b)</w:t>
      </w:r>
      <w:r>
        <w:tab/>
        <w:t>(insert name of person, type of bodily sample and person’s photograph);</w:t>
      </w:r>
    </w:p>
    <w:p>
      <w:pPr>
        <w:pStyle w:val="yMiscellaneousBody"/>
        <w:tabs>
          <w:tab w:val="right" w:pos="960"/>
          <w:tab w:val="left" w:pos="1200"/>
        </w:tabs>
        <w:ind w:left="1200" w:hanging="1200"/>
      </w:pPr>
      <w:r>
        <w:tab/>
        <w:t>*(c)</w:t>
      </w:r>
      <w:r>
        <w:tab/>
        <w:t>(insert name of person, type of bodily sample and person’s photograph);</w:t>
      </w:r>
    </w:p>
    <w:p>
      <w:pPr>
        <w:pStyle w:val="yMiscellaneousBody"/>
        <w:tabs>
          <w:tab w:val="right" w:pos="960"/>
          <w:tab w:val="left" w:pos="1200"/>
        </w:tabs>
        <w:ind w:left="1200" w:hanging="1200"/>
      </w:pPr>
      <w:r>
        <w:tab/>
        <w:t>*(d)</w:t>
      </w:r>
      <w:r>
        <w:tab/>
        <w:t>(insert name of person, type of bodily sample and person’s photograph).</w:t>
      </w:r>
    </w:p>
    <w:p>
      <w:pPr>
        <w:pStyle w:val="yMiscellaneousBody"/>
        <w:tabs>
          <w:tab w:val="left" w:pos="600"/>
        </w:tabs>
        <w:ind w:left="600" w:hanging="600"/>
      </w:pPr>
      <w:r>
        <w:t>2.</w:t>
      </w:r>
      <w:r>
        <w:tab/>
        <w:t xml:space="preserve">When I took the *bodily sample/*bodily samples specified above, I complied with the </w:t>
      </w:r>
      <w:r>
        <w:rPr>
          <w:i/>
        </w:rPr>
        <w:t xml:space="preserve">Children and Community Services Regulations 2006 </w:t>
      </w:r>
      <w:r>
        <w:rPr>
          <w:iCs/>
        </w:rPr>
        <w:t>Part 5A</w:t>
      </w:r>
      <w:r>
        <w:t>.</w:t>
      </w:r>
    </w:p>
    <w:p>
      <w:pPr>
        <w:pStyle w:val="yMiscellaneousBody"/>
        <w:tabs>
          <w:tab w:val="left" w:pos="600"/>
        </w:tabs>
        <w:ind w:left="600" w:hanging="600"/>
      </w:pPr>
      <w:r>
        <w:t>3.</w:t>
      </w:r>
      <w:r>
        <w:tab/>
        <w:t xml:space="preserve">I placed the *bodily sample/*each of the bodily samples specified above in a container that was immediately sealed and then labelled in accordance with the </w:t>
      </w:r>
      <w:r>
        <w:rPr>
          <w:i/>
        </w:rPr>
        <w:t>Children and Community Services Regulations 2006</w:t>
      </w:r>
      <w:r>
        <w:t xml:space="preserve"> regulation 16H.</w:t>
      </w:r>
    </w:p>
    <w:p>
      <w:pPr>
        <w:pStyle w:val="yMiscellaneousBody"/>
      </w:pPr>
      <w:r>
        <w:t>DATED:</w:t>
      </w:r>
    </w:p>
    <w:p>
      <w:pPr>
        <w:pStyle w:val="yMiscellaneousBody"/>
      </w:pPr>
      <w:r>
        <w:t>(Signature of sampler)</w:t>
      </w:r>
    </w:p>
    <w:p>
      <w:pPr>
        <w:pStyle w:val="yMiscellaneousBody"/>
      </w:pPr>
      <w:r>
        <w:t>*Omit if not applicable.</w:t>
      </w:r>
    </w:p>
    <w:p>
      <w:pPr>
        <w:pStyle w:val="yFootnotesection"/>
      </w:pPr>
      <w:r>
        <w:tab/>
        <w:t>[Form 5 inserted in Gazette 28 Jan 2011 p. 252-3.]</w:t>
      </w:r>
    </w:p>
    <w:p>
      <w:pPr>
        <w:pStyle w:val="yHeading5"/>
        <w:pageBreakBefore/>
      </w:pPr>
      <w:bookmarkStart w:id="197" w:name="_Toc391629151"/>
      <w:bookmarkStart w:id="198" w:name="_Toc416355218"/>
      <w:r>
        <w:rPr>
          <w:rStyle w:val="CharSClsNo"/>
        </w:rPr>
        <w:t>6</w:t>
      </w:r>
      <w:r>
        <w:t>.</w:t>
      </w:r>
      <w:r>
        <w:rPr>
          <w:b w:val="0"/>
        </w:rPr>
        <w:tab/>
      </w:r>
      <w:r>
        <w:t>Parentage testing procedure report</w:t>
      </w:r>
      <w:bookmarkEnd w:id="197"/>
      <w:bookmarkEnd w:id="198"/>
    </w:p>
    <w:p>
      <w:pPr>
        <w:pStyle w:val="yMiscellaneousBody"/>
      </w:pPr>
      <w:r>
        <w:t>NAME OF CHILD WHOSE PARENTAGE IS IN ISSUE: (insert child’s name)</w:t>
      </w:r>
    </w:p>
    <w:p>
      <w:pPr>
        <w:pStyle w:val="yMiscellaneousBody"/>
        <w:rPr>
          <w:b/>
          <w:bCs/>
        </w:rPr>
      </w:pPr>
      <w:r>
        <w:rPr>
          <w:b/>
          <w:bCs/>
        </w:rPr>
        <w:t>PART I</w:t>
      </w:r>
    </w:p>
    <w:p>
      <w:pPr>
        <w:pStyle w:val="yMiscellaneousBody"/>
        <w:tabs>
          <w:tab w:val="left" w:pos="600"/>
        </w:tabs>
        <w:ind w:left="600" w:hanging="600"/>
      </w:pPr>
      <w:r>
        <w:t>1.</w:t>
      </w:r>
      <w:r>
        <w:tab/>
        <w:t xml:space="preserve">I, (insert name of nominated reporter), of (insert street address of laboratory where testing was performed), (insert occupation), am a person nominated by the laboratory specified below to prepare a report for the purposes of the </w:t>
      </w:r>
      <w:r>
        <w:rPr>
          <w:i/>
        </w:rPr>
        <w:t>Children and Community Services Act 2004</w:t>
      </w:r>
      <w:r>
        <w:t xml:space="preserve"> section 136H(b).</w:t>
      </w:r>
    </w:p>
    <w:p>
      <w:pPr>
        <w:pStyle w:val="yMiscellaneousBody"/>
        <w:tabs>
          <w:tab w:val="left" w:pos="600"/>
        </w:tabs>
        <w:ind w:left="600" w:hanging="600"/>
      </w:pPr>
      <w:r>
        <w:t>2.</w:t>
      </w:r>
      <w:r>
        <w:tab/>
        <w:t>I report that *a parentage testing procedure/*parentage testing procedures being:</w:t>
      </w:r>
    </w:p>
    <w:p>
      <w:pPr>
        <w:pStyle w:val="yMiscellaneousBody"/>
        <w:tabs>
          <w:tab w:val="right" w:pos="960"/>
          <w:tab w:val="left" w:pos="1200"/>
        </w:tabs>
        <w:ind w:left="1200" w:hanging="1200"/>
      </w:pPr>
      <w:r>
        <w:tab/>
        <w:t>*(a)</w:t>
      </w:r>
      <w:r>
        <w:tab/>
        <w:t>red cell antigen blood grouping;</w:t>
      </w:r>
    </w:p>
    <w:p>
      <w:pPr>
        <w:pStyle w:val="yMiscellaneousBody"/>
        <w:tabs>
          <w:tab w:val="right" w:pos="960"/>
          <w:tab w:val="left" w:pos="1200"/>
        </w:tabs>
        <w:ind w:left="1200" w:hanging="1200"/>
      </w:pPr>
      <w:r>
        <w:tab/>
        <w:t>*(b)</w:t>
      </w:r>
      <w:r>
        <w:tab/>
        <w:t>red cell enzyme blood grouping;</w:t>
      </w:r>
    </w:p>
    <w:p>
      <w:pPr>
        <w:pStyle w:val="yMiscellaneousBody"/>
        <w:tabs>
          <w:tab w:val="right" w:pos="960"/>
          <w:tab w:val="left" w:pos="1200"/>
        </w:tabs>
        <w:ind w:left="1200" w:hanging="1200"/>
      </w:pPr>
      <w:r>
        <w:tab/>
        <w:t>*(c)</w:t>
      </w:r>
      <w:r>
        <w:tab/>
        <w:t>testing for serum markers;</w:t>
      </w:r>
    </w:p>
    <w:p>
      <w:pPr>
        <w:pStyle w:val="yMiscellaneousBody"/>
        <w:tabs>
          <w:tab w:val="right" w:pos="960"/>
          <w:tab w:val="left" w:pos="1200"/>
        </w:tabs>
        <w:ind w:left="1200" w:hanging="1200"/>
      </w:pPr>
      <w:r>
        <w:tab/>
        <w:t>*(d)</w:t>
      </w:r>
      <w:r>
        <w:tab/>
        <w:t>HLA tissue typing;</w:t>
      </w:r>
    </w:p>
    <w:p>
      <w:pPr>
        <w:pStyle w:val="yMiscellaneousBody"/>
        <w:tabs>
          <w:tab w:val="right" w:pos="960"/>
          <w:tab w:val="left" w:pos="1200"/>
        </w:tabs>
        <w:ind w:left="1200" w:hanging="1200"/>
      </w:pPr>
      <w:r>
        <w:tab/>
        <w:t>*(e)</w:t>
      </w:r>
      <w:r>
        <w:tab/>
        <w:t>DNA typing;</w:t>
      </w:r>
    </w:p>
    <w:p>
      <w:pPr>
        <w:pStyle w:val="yMiscellaneousBody"/>
        <w:tabs>
          <w:tab w:val="left" w:pos="600"/>
        </w:tabs>
        <w:ind w:left="600" w:hanging="600"/>
      </w:pPr>
      <w:r>
        <w:tab/>
        <w:t>*has/*have been carried out on the bodily *sample/*samples contained in the sealed *container/*containers bearing the *name/*names of the following *donor/*donors:</w:t>
      </w:r>
    </w:p>
    <w:p>
      <w:pPr>
        <w:pStyle w:val="yMiscellaneousBody"/>
        <w:tabs>
          <w:tab w:val="right" w:pos="960"/>
          <w:tab w:val="left" w:pos="1200"/>
        </w:tabs>
        <w:ind w:left="1200" w:hanging="1200"/>
      </w:pPr>
      <w:r>
        <w:tab/>
        <w:t>(a)</w:t>
      </w:r>
      <w:r>
        <w:tab/>
        <w:t>(insert donor’s name, date of birth and relationship to child whose parentage is in issue);</w:t>
      </w:r>
    </w:p>
    <w:p>
      <w:pPr>
        <w:pStyle w:val="yMiscellaneousBody"/>
        <w:tabs>
          <w:tab w:val="right" w:pos="960"/>
          <w:tab w:val="left" w:pos="1200"/>
        </w:tabs>
        <w:ind w:left="1200" w:hanging="1200"/>
      </w:pPr>
      <w:r>
        <w:tab/>
        <w:t>*(b)</w:t>
      </w:r>
      <w:r>
        <w:tab/>
        <w:t>(insert donor’s name, date of birth and relationship to child whose parentage is in issue);</w:t>
      </w:r>
    </w:p>
    <w:p>
      <w:pPr>
        <w:pStyle w:val="yMiscellaneousBody"/>
        <w:tabs>
          <w:tab w:val="right" w:pos="960"/>
          <w:tab w:val="left" w:pos="1200"/>
        </w:tabs>
        <w:ind w:left="1200" w:hanging="1200"/>
      </w:pPr>
      <w:r>
        <w:tab/>
        <w:t>*(c)</w:t>
      </w:r>
      <w:r>
        <w:tab/>
        <w:t>(insert donor’s name, date of birth and relationship to child whose parentage is in issue);</w:t>
      </w:r>
    </w:p>
    <w:p>
      <w:pPr>
        <w:pStyle w:val="yMiscellaneousBody"/>
        <w:tabs>
          <w:tab w:val="right" w:pos="960"/>
          <w:tab w:val="left" w:pos="1200"/>
        </w:tabs>
        <w:ind w:left="1200" w:hanging="1200"/>
      </w:pPr>
      <w:r>
        <w:tab/>
        <w:t>*(d)</w:t>
      </w:r>
      <w:r>
        <w:tab/>
        <w:t>(insert donor’s name, date of birth and relationship to child whose parentage is in issue).</w:t>
      </w:r>
    </w:p>
    <w:p>
      <w:pPr>
        <w:pStyle w:val="yMiscellaneousBody"/>
        <w:tabs>
          <w:tab w:val="left" w:pos="600"/>
        </w:tabs>
        <w:ind w:left="600" w:hanging="600"/>
      </w:pPr>
      <w:r>
        <w:t>3.</w:t>
      </w:r>
      <w:r>
        <w:tab/>
        <w:t xml:space="preserve">Each bodily sample referred to in item 2 is the same bodily sample as the bodily sample specified in the statement completed on (insert date) by (insert name of sampler) in the </w:t>
      </w:r>
      <w:r>
        <w:rPr>
          <w:i/>
        </w:rPr>
        <w:t xml:space="preserve">Children and Community Services Regulations 2006 </w:t>
      </w:r>
      <w:r>
        <w:rPr>
          <w:iCs/>
        </w:rPr>
        <w:t>Schedule 1 Form 5</w:t>
      </w:r>
      <w:r>
        <w:t>.</w:t>
      </w:r>
    </w:p>
    <w:p>
      <w:pPr>
        <w:pStyle w:val="yMiscellaneousBody"/>
        <w:tabs>
          <w:tab w:val="left" w:pos="600"/>
        </w:tabs>
        <w:ind w:left="600" w:hanging="600"/>
      </w:pPr>
      <w:r>
        <w:t>4.</w:t>
      </w:r>
      <w:r>
        <w:tab/>
        <w:t>The parentage testing *procedure was/*procedures were carried out at (insert name and street address of *laboratory/*laboratories where testing was performed) on (insert date/s).</w:t>
      </w:r>
    </w:p>
    <w:p>
      <w:pPr>
        <w:pStyle w:val="yMiscellaneousBody"/>
        <w:tabs>
          <w:tab w:val="left" w:pos="600"/>
        </w:tabs>
        <w:ind w:left="600" w:hanging="600"/>
      </w:pPr>
      <w:r>
        <w:t>5.</w:t>
      </w:r>
      <w:r>
        <w:tab/>
        <w:t>The results of the parentage testing *procedure/*procedures are set out in Part II of this report.</w:t>
      </w:r>
    </w:p>
    <w:p>
      <w:pPr>
        <w:pStyle w:val="yMiscellaneousBody"/>
        <w:tabs>
          <w:tab w:val="left" w:pos="600"/>
        </w:tabs>
        <w:ind w:left="600" w:hanging="600"/>
      </w:pPr>
      <w:r>
        <w:t>*6.</w:t>
      </w:r>
      <w:r>
        <w:tab/>
        <w:t xml:space="preserve">I report that the results of the parentage testing *procedure/*procedures carried out on the bodily *sample/*samples of the donors specified above show that (insert name of putative parent) is not excluded from identification as the *father/*mother of (insert name of child whose parentage is in issue). </w:t>
      </w:r>
    </w:p>
    <w:p>
      <w:pPr>
        <w:pStyle w:val="yMiscellaneousBody"/>
        <w:tabs>
          <w:tab w:val="left" w:pos="600"/>
          <w:tab w:val="left" w:pos="1080"/>
        </w:tabs>
        <w:ind w:left="1080" w:hanging="1080"/>
      </w:pPr>
      <w:r>
        <w:t>[OR]</w:t>
      </w:r>
    </w:p>
    <w:p>
      <w:pPr>
        <w:pStyle w:val="yMiscellaneousBody"/>
        <w:tabs>
          <w:tab w:val="left" w:pos="600"/>
        </w:tabs>
        <w:ind w:left="600" w:hanging="600"/>
      </w:pPr>
      <w:r>
        <w:t>*6.</w:t>
      </w:r>
      <w:r>
        <w:tab/>
        <w:t xml:space="preserve">I report that the results of the parentage testing *procedure/*procedures carried out on the bodily *sample/*samples of the donors specified above show that (insert name of putative parent) is excluded from identification as the *father/*mother of (insert name of child whose parentage is in issue). </w:t>
      </w:r>
    </w:p>
    <w:p>
      <w:pPr>
        <w:pStyle w:val="yMiscellaneousBody"/>
        <w:tabs>
          <w:tab w:val="left" w:pos="600"/>
        </w:tabs>
        <w:ind w:left="600" w:hanging="600"/>
      </w:pPr>
      <w:r>
        <w:t>*7.</w:t>
      </w:r>
      <w:r>
        <w:tab/>
        <w:t xml:space="preserve">I further report that the probability that (insert name of putative parent) is the genetic *father/*mother of (insert name of child whose parentage is in issue) has been calculated as follows: </w:t>
      </w:r>
    </w:p>
    <w:p>
      <w:pPr>
        <w:pStyle w:val="yMiscellaneousBody"/>
        <w:tabs>
          <w:tab w:val="left" w:pos="600"/>
        </w:tabs>
        <w:ind w:left="600" w:hanging="600"/>
      </w:pPr>
      <w:r>
        <w:tab/>
        <w:t>Putative *father/*mother is (insert figure) times more likely to produce a child with the required alleles than a *man/*woman drawn randomly from the general population.  This equates to a Relative Chance of *Paternity/*Maternity of (insert figure).</w:t>
      </w:r>
    </w:p>
    <w:p>
      <w:pPr>
        <w:pStyle w:val="yMiscellaneousBody"/>
        <w:tabs>
          <w:tab w:val="left" w:pos="600"/>
          <w:tab w:val="left" w:pos="1080"/>
        </w:tabs>
        <w:ind w:left="1080" w:hanging="1080"/>
      </w:pPr>
      <w:r>
        <w:t>[OR]</w:t>
      </w:r>
    </w:p>
    <w:p>
      <w:pPr>
        <w:pStyle w:val="yMiscellaneousBody"/>
        <w:tabs>
          <w:tab w:val="left" w:pos="600"/>
        </w:tabs>
        <w:ind w:left="600" w:hanging="600"/>
      </w:pPr>
      <w:r>
        <w:t>*7.</w:t>
      </w:r>
      <w:r>
        <w:tab/>
        <w:t xml:space="preserve">I further report that the exclusion is based on contradictions of the laws of genetic inheritance in (insert amount) of the (insert amount) genetic markers: (insert the names of the genetic markers and whether the contradictions are of the first or second order). </w:t>
      </w:r>
    </w:p>
    <w:p>
      <w:pPr>
        <w:pStyle w:val="yMiscellaneousBody"/>
        <w:tabs>
          <w:tab w:val="left" w:pos="600"/>
        </w:tabs>
        <w:ind w:left="600" w:hanging="600"/>
      </w:pPr>
      <w:r>
        <w:t>*8.</w:t>
      </w:r>
      <w:r>
        <w:tab/>
        <w:t>I further report (if necessary, provide further explanation of results detailed in item 6 or 7, or both).</w:t>
      </w:r>
    </w:p>
    <w:p>
      <w:pPr>
        <w:pStyle w:val="yMiscellaneousBody"/>
        <w:tabs>
          <w:tab w:val="left" w:pos="3360"/>
          <w:tab w:val="left" w:pos="4440"/>
        </w:tabs>
      </w:pPr>
      <w:r>
        <w:t>DATED:</w:t>
      </w:r>
      <w:r>
        <w:tab/>
        <w:t>20</w:t>
      </w:r>
      <w:r>
        <w:tab/>
        <w:t>.</w:t>
      </w:r>
    </w:p>
    <w:p>
      <w:pPr>
        <w:pStyle w:val="yMiscellaneousBody"/>
        <w:tabs>
          <w:tab w:val="left" w:pos="3360"/>
          <w:tab w:val="left" w:pos="4440"/>
        </w:tabs>
      </w:pPr>
      <w:r>
        <w:t>(Signature of nominated reporter)</w:t>
      </w:r>
    </w:p>
    <w:p>
      <w:pPr>
        <w:pStyle w:val="yMiscellaneousBody"/>
        <w:keepNext/>
        <w:rPr>
          <w:b/>
          <w:bCs/>
        </w:rPr>
      </w:pPr>
      <w:r>
        <w:rPr>
          <w:b/>
          <w:bCs/>
        </w:rPr>
        <w:t>PART II</w:t>
      </w:r>
    </w:p>
    <w:p>
      <w:pPr>
        <w:pStyle w:val="yMiscellaneousBody"/>
        <w:tabs>
          <w:tab w:val="left" w:pos="600"/>
        </w:tabs>
        <w:ind w:left="600" w:hanging="600"/>
      </w:pPr>
      <w:r>
        <w:t>1.</w:t>
      </w:r>
      <w:r>
        <w:tab/>
        <w:t>The bodily *sample/*samples referred to in Part I of this report were received at (insert name and street address of laboratory at which parentage testing *procedure was/*procedures were carried out) on the following date/s:</w:t>
      </w:r>
    </w:p>
    <w:p>
      <w:pPr>
        <w:pStyle w:val="yMiscellaneousBody"/>
        <w:tabs>
          <w:tab w:val="right" w:pos="960"/>
          <w:tab w:val="left" w:pos="1200"/>
        </w:tabs>
        <w:ind w:left="1200" w:hanging="1200"/>
      </w:pPr>
      <w:r>
        <w:tab/>
        <w:t xml:space="preserve">  (a)</w:t>
      </w:r>
      <w:r>
        <w:tab/>
        <w:t>(specify sample) — (insert date)</w:t>
      </w:r>
    </w:p>
    <w:p>
      <w:pPr>
        <w:pStyle w:val="yMiscellaneousBody"/>
        <w:tabs>
          <w:tab w:val="right" w:pos="960"/>
          <w:tab w:val="left" w:pos="1200"/>
        </w:tabs>
        <w:ind w:left="1200" w:hanging="1200"/>
      </w:pPr>
      <w:r>
        <w:tab/>
        <w:t>*(b)</w:t>
      </w:r>
      <w:r>
        <w:tab/>
        <w:t>(specify sample) — (insert date)</w:t>
      </w:r>
    </w:p>
    <w:p>
      <w:pPr>
        <w:pStyle w:val="yMiscellaneousBody"/>
        <w:tabs>
          <w:tab w:val="right" w:pos="960"/>
          <w:tab w:val="left" w:pos="1200"/>
        </w:tabs>
        <w:ind w:left="1200" w:hanging="1200"/>
      </w:pPr>
      <w:r>
        <w:tab/>
        <w:t>*(c)</w:t>
      </w:r>
      <w:r>
        <w:tab/>
        <w:t>(specify sample) — (insert date)</w:t>
      </w:r>
    </w:p>
    <w:p>
      <w:pPr>
        <w:pStyle w:val="yMiscellaneousBody"/>
        <w:tabs>
          <w:tab w:val="right" w:pos="960"/>
          <w:tab w:val="left" w:pos="1200"/>
        </w:tabs>
        <w:ind w:left="1200" w:hanging="1200"/>
      </w:pPr>
      <w:r>
        <w:tab/>
        <w:t>*(d)</w:t>
      </w:r>
      <w:r>
        <w:tab/>
        <w:t>(specify sample) — (insert date)</w:t>
      </w:r>
    </w:p>
    <w:p>
      <w:pPr>
        <w:pStyle w:val="yMiscellaneousBody"/>
        <w:tabs>
          <w:tab w:val="right" w:pos="960"/>
          <w:tab w:val="left" w:pos="1200"/>
        </w:tabs>
        <w:ind w:left="1200" w:hanging="1200"/>
      </w:pPr>
      <w:r>
        <w:tab/>
        <w:t>*(e)</w:t>
      </w:r>
      <w:r>
        <w:tab/>
        <w:t>(specify sample) — (insert date)</w:t>
      </w:r>
    </w:p>
    <w:p>
      <w:pPr>
        <w:pStyle w:val="yMiscellaneousBody"/>
        <w:tabs>
          <w:tab w:val="left" w:pos="600"/>
        </w:tabs>
        <w:ind w:left="600" w:hanging="600"/>
      </w:pPr>
      <w:r>
        <w:t>2.</w:t>
      </w:r>
      <w:r>
        <w:tab/>
        <w:t>The following identification *number was/*numbers were allocated respectively to the bodily *sample/*samples in the *container/*containers in respect of which the parentage testing *procedure was/*procedures were carried out:</w:t>
      </w:r>
    </w:p>
    <w:p>
      <w:pPr>
        <w:pStyle w:val="yMiscellaneousBody"/>
        <w:tabs>
          <w:tab w:val="right" w:pos="960"/>
          <w:tab w:val="left" w:pos="1200"/>
        </w:tabs>
        <w:ind w:left="1200" w:hanging="1200"/>
      </w:pPr>
      <w:r>
        <w:tab/>
        <w:t xml:space="preserve">  (a)</w:t>
      </w:r>
      <w:r>
        <w:tab/>
        <w:t>(insert name of donor and identification number);</w:t>
      </w:r>
    </w:p>
    <w:p>
      <w:pPr>
        <w:pStyle w:val="yMiscellaneousBody"/>
        <w:tabs>
          <w:tab w:val="right" w:pos="960"/>
          <w:tab w:val="left" w:pos="1200"/>
        </w:tabs>
        <w:ind w:left="1200" w:hanging="1200"/>
      </w:pPr>
      <w:r>
        <w:tab/>
        <w:t>*(b)</w:t>
      </w:r>
      <w:r>
        <w:tab/>
        <w:t>(insert name of donor and identification number);</w:t>
      </w:r>
    </w:p>
    <w:p>
      <w:pPr>
        <w:pStyle w:val="yMiscellaneousBody"/>
        <w:tabs>
          <w:tab w:val="right" w:pos="960"/>
          <w:tab w:val="left" w:pos="1200"/>
        </w:tabs>
        <w:ind w:left="1200" w:hanging="1200"/>
      </w:pPr>
      <w:r>
        <w:tab/>
        <w:t>*(c)</w:t>
      </w:r>
      <w:r>
        <w:tab/>
        <w:t>(insert name of donor and identification number);</w:t>
      </w:r>
    </w:p>
    <w:p>
      <w:pPr>
        <w:pStyle w:val="yMiscellaneousBody"/>
        <w:tabs>
          <w:tab w:val="right" w:pos="960"/>
          <w:tab w:val="left" w:pos="1200"/>
        </w:tabs>
        <w:ind w:left="1200" w:hanging="1200"/>
      </w:pPr>
      <w:r>
        <w:tab/>
        <w:t>*(d)</w:t>
      </w:r>
      <w:r>
        <w:tab/>
        <w:t>(insert name of donor and identification number).</w:t>
      </w:r>
    </w:p>
    <w:p>
      <w:pPr>
        <w:pStyle w:val="yMiscellaneousBody"/>
        <w:tabs>
          <w:tab w:val="left" w:pos="600"/>
        </w:tabs>
        <w:ind w:left="600" w:hanging="600"/>
      </w:pPr>
      <w:r>
        <w:t>3.</w:t>
      </w:r>
      <w:r>
        <w:tab/>
        <w:t>The results obtained from the parentage testing *procedure/*procedures are: (set out the results).</w:t>
      </w:r>
    </w:p>
    <w:p>
      <w:pPr>
        <w:pStyle w:val="yMiscellaneousBody"/>
        <w:rPr>
          <w:u w:val="single"/>
        </w:rPr>
      </w:pPr>
      <w:r>
        <w:rPr>
          <w:u w:val="single"/>
        </w:rPr>
        <w:t>Complete this item if the parentage testing procedure carried out was red cell antigen blood grouping, red cell enzyme blood grouping, HLA tissue typing or testing for serum markers.</w:t>
      </w:r>
    </w:p>
    <w:p>
      <w:pPr>
        <w:pStyle w:val="yMiscellaneousBody"/>
        <w:tabs>
          <w:tab w:val="left" w:pos="600"/>
        </w:tabs>
        <w:ind w:left="600" w:hanging="600"/>
      </w:pPr>
      <w:r>
        <w:t>*4.</w:t>
      </w:r>
      <w:r>
        <w:tab/>
        <w:t xml:space="preserve">The results set out above in item 3 refer to the parentage testing *procedure/*procedures carried out *by me/*under my supervision on (insert date/s).  The bodily *sample was/*samples were tested with the same reagents and in parallel with appropriate known controls. Results from controls show that all reagents were of correct specificity and normal potency.  I am satisfied that the results obtained are true and that they have been correctly transcribed from the laboratory records. </w:t>
      </w:r>
    </w:p>
    <w:p>
      <w:pPr>
        <w:pStyle w:val="yMiscellaneousBody"/>
        <w:tabs>
          <w:tab w:val="left" w:pos="600"/>
          <w:tab w:val="left" w:pos="1080"/>
        </w:tabs>
        <w:ind w:left="1080" w:hanging="1080"/>
      </w:pPr>
      <w:r>
        <w:t>[OR]</w:t>
      </w:r>
    </w:p>
    <w:p>
      <w:pPr>
        <w:pStyle w:val="yMiscellaneousBody"/>
        <w:rPr>
          <w:u w:val="single"/>
        </w:rPr>
      </w:pPr>
      <w:r>
        <w:rPr>
          <w:u w:val="single"/>
        </w:rPr>
        <w:t>Complete this item if parentage testing procedure carried out was DNA typing.</w:t>
      </w:r>
    </w:p>
    <w:p>
      <w:pPr>
        <w:pStyle w:val="yMiscellaneousBody"/>
        <w:tabs>
          <w:tab w:val="left" w:pos="600"/>
        </w:tabs>
        <w:ind w:left="600" w:hanging="600"/>
      </w:pPr>
      <w:r>
        <w:t>*4.</w:t>
      </w:r>
      <w:r>
        <w:tab/>
        <w:t>The results set out above in item 3 refer to the parentage testing *procedure/*procedures carried out *by me/*under my supervision on (insert date/s).  The bodily *sample was/*samples were tested with the same probes/primers and in parallel with appropriate known controls.  Fragment length and/or hybridisation patterns were in accordance with scientifically accepted standards.  I am satisfied that the results obtained have been correctly coded from the fragment and/or hybridisation pattern and that they have been correctly transcribed from the laboratory records.</w:t>
      </w:r>
    </w:p>
    <w:p>
      <w:pPr>
        <w:pStyle w:val="yMiscellaneousBody"/>
      </w:pPr>
      <w:r>
        <w:t>DATED:</w:t>
      </w:r>
    </w:p>
    <w:p>
      <w:pPr>
        <w:pStyle w:val="yMiscellaneousBody"/>
      </w:pPr>
      <w:r>
        <w:t xml:space="preserve">(Signature of person who carried </w:t>
      </w:r>
      <w:r>
        <w:br/>
        <w:t xml:space="preserve">out parentage testing procedure </w:t>
      </w:r>
      <w:r>
        <w:br/>
        <w:t xml:space="preserve">or person under whose </w:t>
      </w:r>
      <w:r>
        <w:br/>
        <w:t xml:space="preserve">supervision parentage testing </w:t>
      </w:r>
      <w:r>
        <w:br/>
        <w:t>procedure was carried out)</w:t>
      </w:r>
    </w:p>
    <w:p>
      <w:pPr>
        <w:pStyle w:val="yMiscellaneousBody"/>
      </w:pPr>
      <w:r>
        <w:t>*Omit if not applicable.</w:t>
      </w:r>
    </w:p>
    <w:p>
      <w:pPr>
        <w:pStyle w:val="yFootnotesection"/>
      </w:pPr>
      <w:r>
        <w:tab/>
        <w:t>[Form 6 inserted in Gazette 28 Jan 2011 p. 253-6.]</w:t>
      </w:r>
    </w:p>
    <w:p>
      <w:pPr>
        <w:pStyle w:val="CentredBaseLine"/>
        <w:jc w:val="center"/>
      </w:pPr>
      <w:r>
        <w:rPr>
          <w:noProof/>
        </w:rPr>
        <w:drawing>
          <wp:inline distT="0" distB="0" distL="0" distR="0">
            <wp:extent cx="933450" cy="171450"/>
            <wp:effectExtent l="0" t="0" r="0" b="0"/>
            <wp:docPr id="1" name="Picture 1"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pPr>
        <w:sectPr>
          <w:headerReference w:type="even" r:id="rId25"/>
          <w:headerReference w:type="default" r:id="rId26"/>
          <w:headerReference w:type="first" r:id="rId27"/>
          <w:endnotePr>
            <w:numFmt w:val="decimal"/>
          </w:endnotePr>
          <w:pgSz w:w="11907" w:h="16840" w:code="9"/>
          <w:pgMar w:top="2376" w:right="2405" w:bottom="3542" w:left="2405" w:header="706" w:footer="3380" w:gutter="0"/>
          <w:cols w:space="720"/>
          <w:noEndnote/>
          <w:docGrid w:linePitch="326"/>
        </w:sectPr>
      </w:pPr>
    </w:p>
    <w:p>
      <w:pPr>
        <w:pStyle w:val="nHeading2"/>
      </w:pPr>
      <w:bookmarkStart w:id="199" w:name="_Toc378075955"/>
      <w:bookmarkStart w:id="200" w:name="_Toc391629152"/>
      <w:bookmarkStart w:id="201" w:name="_Toc415581869"/>
      <w:bookmarkStart w:id="202" w:name="_Toc415581940"/>
      <w:bookmarkStart w:id="203" w:name="_Toc415582002"/>
      <w:bookmarkStart w:id="204" w:name="_Toc415663508"/>
      <w:bookmarkStart w:id="205" w:name="_Toc416355156"/>
      <w:bookmarkStart w:id="206" w:name="_Toc416355219"/>
      <w:r>
        <w:t>Notes</w:t>
      </w:r>
      <w:bookmarkEnd w:id="199"/>
      <w:bookmarkEnd w:id="200"/>
      <w:bookmarkEnd w:id="201"/>
      <w:bookmarkEnd w:id="202"/>
      <w:bookmarkEnd w:id="203"/>
      <w:bookmarkEnd w:id="204"/>
      <w:bookmarkEnd w:id="205"/>
      <w:bookmarkEnd w:id="206"/>
    </w:p>
    <w:p>
      <w:pPr>
        <w:pStyle w:val="nSubsection"/>
        <w:rPr>
          <w:snapToGrid w:val="0"/>
        </w:rPr>
      </w:pPr>
      <w:r>
        <w:rPr>
          <w:snapToGrid w:val="0"/>
          <w:vertAlign w:val="superscript"/>
        </w:rPr>
        <w:t>1</w:t>
      </w:r>
      <w:r>
        <w:rPr>
          <w:snapToGrid w:val="0"/>
        </w:rPr>
        <w:tab/>
        <w:t xml:space="preserve">This is a compilation of the </w:t>
      </w:r>
      <w:r>
        <w:rPr>
          <w:i/>
          <w:noProof/>
          <w:snapToGrid w:val="0"/>
        </w:rPr>
        <w:t>Children and Community Services Regulations 2006</w:t>
      </w:r>
      <w:r>
        <w:rPr>
          <w:snapToGrid w:val="0"/>
        </w:rPr>
        <w:t xml:space="preserve"> and includes the amendments made by the other written laws referred to in the following table</w:t>
      </w:r>
      <w:r>
        <w:rPr>
          <w:snapToGrid w:val="0"/>
          <w:vertAlign w:val="superscript"/>
        </w:rPr>
        <w:t> 1a</w:t>
      </w:r>
      <w:r>
        <w:rPr>
          <w:snapToGrid w:val="0"/>
        </w:rPr>
        <w:t>.  The table also contains information about any reprint.</w:t>
      </w:r>
    </w:p>
    <w:p>
      <w:pPr>
        <w:pStyle w:val="nHeading3"/>
      </w:pPr>
      <w:bookmarkStart w:id="207" w:name="_Toc391629153"/>
      <w:bookmarkStart w:id="208" w:name="_Toc416355220"/>
      <w:r>
        <w:t>Compilation table</w:t>
      </w:r>
      <w:bookmarkEnd w:id="207"/>
      <w:bookmarkEnd w:id="208"/>
    </w:p>
    <w:tbl>
      <w:tblPr>
        <w:tblW w:w="0" w:type="auto"/>
        <w:tblInd w:w="28" w:type="dxa"/>
        <w:tblLayout w:type="fixed"/>
        <w:tblCellMar>
          <w:left w:w="56" w:type="dxa"/>
          <w:right w:w="56" w:type="dxa"/>
        </w:tblCellMar>
        <w:tblLook w:val="0000" w:firstRow="0" w:lastRow="0" w:firstColumn="0" w:lastColumn="0" w:noHBand="0" w:noVBand="0"/>
      </w:tblPr>
      <w:tblGrid>
        <w:gridCol w:w="3118"/>
        <w:gridCol w:w="1276"/>
        <w:gridCol w:w="2693"/>
      </w:tblGrid>
      <w:tr>
        <w:trPr>
          <w:tblHeader/>
        </w:trPr>
        <w:tc>
          <w:tcPr>
            <w:tcW w:w="3118" w:type="dxa"/>
            <w:tcBorders>
              <w:top w:val="single" w:sz="8" w:space="0" w:color="auto"/>
              <w:bottom w:val="single" w:sz="8" w:space="0" w:color="auto"/>
            </w:tcBorders>
          </w:tcPr>
          <w:p>
            <w:pPr>
              <w:pStyle w:val="nTable"/>
              <w:spacing w:after="40"/>
              <w:rPr>
                <w:b/>
              </w:rPr>
            </w:pPr>
            <w:r>
              <w:rPr>
                <w:b/>
              </w:rPr>
              <w:t>Citation</w:t>
            </w:r>
          </w:p>
        </w:tc>
        <w:tc>
          <w:tcPr>
            <w:tcW w:w="1276" w:type="dxa"/>
            <w:tcBorders>
              <w:top w:val="single" w:sz="8" w:space="0" w:color="auto"/>
              <w:bottom w:val="single" w:sz="8" w:space="0" w:color="auto"/>
            </w:tcBorders>
          </w:tcPr>
          <w:p>
            <w:pPr>
              <w:pStyle w:val="nTable"/>
              <w:spacing w:after="40"/>
              <w:rPr>
                <w:b/>
              </w:rPr>
            </w:pPr>
            <w:r>
              <w:rPr>
                <w:b/>
              </w:rPr>
              <w:t>Gazettal</w:t>
            </w:r>
          </w:p>
        </w:tc>
        <w:tc>
          <w:tcPr>
            <w:tcW w:w="2693" w:type="dxa"/>
            <w:tcBorders>
              <w:top w:val="single" w:sz="8" w:space="0" w:color="auto"/>
              <w:bottom w:val="single" w:sz="8" w:space="0" w:color="auto"/>
            </w:tcBorders>
          </w:tcPr>
          <w:p>
            <w:pPr>
              <w:pStyle w:val="nTable"/>
              <w:spacing w:after="40"/>
              <w:rPr>
                <w:b/>
              </w:rPr>
            </w:pPr>
            <w:r>
              <w:rPr>
                <w:b/>
              </w:rPr>
              <w:t>Commencement</w:t>
            </w:r>
          </w:p>
        </w:tc>
      </w:tr>
      <w:tr>
        <w:tc>
          <w:tcPr>
            <w:tcW w:w="3118" w:type="dxa"/>
            <w:tcBorders>
              <w:top w:val="single" w:sz="8" w:space="0" w:color="auto"/>
            </w:tcBorders>
          </w:tcPr>
          <w:p>
            <w:pPr>
              <w:pStyle w:val="nTable"/>
              <w:spacing w:after="40"/>
              <w:rPr>
                <w:iCs/>
              </w:rPr>
            </w:pPr>
            <w:r>
              <w:rPr>
                <w:i/>
                <w:noProof/>
                <w:snapToGrid w:val="0"/>
              </w:rPr>
              <w:t>Children and Community Services Regulations 2006</w:t>
            </w:r>
          </w:p>
        </w:tc>
        <w:tc>
          <w:tcPr>
            <w:tcW w:w="1276" w:type="dxa"/>
            <w:tcBorders>
              <w:top w:val="single" w:sz="8" w:space="0" w:color="auto"/>
            </w:tcBorders>
          </w:tcPr>
          <w:p>
            <w:pPr>
              <w:pStyle w:val="nTable"/>
              <w:spacing w:after="40"/>
            </w:pPr>
            <w:r>
              <w:t>18 Jan 2006 p. 353-72</w:t>
            </w:r>
          </w:p>
        </w:tc>
        <w:tc>
          <w:tcPr>
            <w:tcW w:w="2693" w:type="dxa"/>
            <w:tcBorders>
              <w:top w:val="single" w:sz="8" w:space="0" w:color="auto"/>
            </w:tcBorders>
          </w:tcPr>
          <w:p>
            <w:pPr>
              <w:pStyle w:val="nTable"/>
              <w:spacing w:after="40"/>
            </w:pPr>
            <w:r>
              <w:t xml:space="preserve">1 Mar 2006 (see r. 2 and </w:t>
            </w:r>
            <w:r>
              <w:rPr>
                <w:i/>
                <w:iCs/>
              </w:rPr>
              <w:t>Gazette</w:t>
            </w:r>
            <w:r>
              <w:t xml:space="preserve"> 14 Feb 2006 p. 695)</w:t>
            </w:r>
          </w:p>
        </w:tc>
      </w:tr>
      <w:tr>
        <w:tc>
          <w:tcPr>
            <w:tcW w:w="3118" w:type="dxa"/>
          </w:tcPr>
          <w:p>
            <w:pPr>
              <w:pStyle w:val="nTable"/>
              <w:spacing w:after="40"/>
              <w:rPr>
                <w:i/>
                <w:noProof/>
                <w:snapToGrid w:val="0"/>
              </w:rPr>
            </w:pPr>
            <w:r>
              <w:rPr>
                <w:i/>
                <w:noProof/>
                <w:snapToGrid w:val="0"/>
              </w:rPr>
              <w:t>Children and Community Services Amendment Regulations 2006</w:t>
            </w:r>
          </w:p>
        </w:tc>
        <w:tc>
          <w:tcPr>
            <w:tcW w:w="1276" w:type="dxa"/>
          </w:tcPr>
          <w:p>
            <w:pPr>
              <w:pStyle w:val="nTable"/>
              <w:spacing w:after="40"/>
            </w:pPr>
            <w:r>
              <w:t>1 Mar 2006 p. 927</w:t>
            </w:r>
            <w:r>
              <w:noBreakHyphen/>
              <w:t>9</w:t>
            </w:r>
          </w:p>
        </w:tc>
        <w:tc>
          <w:tcPr>
            <w:tcW w:w="2693" w:type="dxa"/>
          </w:tcPr>
          <w:p>
            <w:pPr>
              <w:pStyle w:val="nTable"/>
              <w:spacing w:after="40"/>
            </w:pPr>
            <w:r>
              <w:t>1 Mar 2006</w:t>
            </w:r>
          </w:p>
        </w:tc>
      </w:tr>
      <w:tr>
        <w:tc>
          <w:tcPr>
            <w:tcW w:w="3118" w:type="dxa"/>
          </w:tcPr>
          <w:p>
            <w:pPr>
              <w:pStyle w:val="nTable"/>
              <w:spacing w:after="40"/>
              <w:rPr>
                <w:i/>
                <w:noProof/>
                <w:snapToGrid w:val="0"/>
              </w:rPr>
            </w:pPr>
            <w:r>
              <w:rPr>
                <w:i/>
                <w:noProof/>
                <w:snapToGrid w:val="0"/>
              </w:rPr>
              <w:t>Children and Community Services Amendment Regulations (No. 2) 2006</w:t>
            </w:r>
          </w:p>
        </w:tc>
        <w:tc>
          <w:tcPr>
            <w:tcW w:w="1276" w:type="dxa"/>
          </w:tcPr>
          <w:p>
            <w:pPr>
              <w:pStyle w:val="nTable"/>
              <w:spacing w:after="40"/>
            </w:pPr>
            <w:r>
              <w:t>18 Aug 2006 p. 3367-8</w:t>
            </w:r>
          </w:p>
        </w:tc>
        <w:tc>
          <w:tcPr>
            <w:tcW w:w="2693" w:type="dxa"/>
          </w:tcPr>
          <w:p>
            <w:pPr>
              <w:pStyle w:val="nTable"/>
              <w:spacing w:after="40"/>
            </w:pPr>
            <w:r>
              <w:t>18 Aug 2006</w:t>
            </w:r>
          </w:p>
        </w:tc>
      </w:tr>
      <w:tr>
        <w:tc>
          <w:tcPr>
            <w:tcW w:w="3118" w:type="dxa"/>
          </w:tcPr>
          <w:p>
            <w:pPr>
              <w:pStyle w:val="nTable"/>
              <w:spacing w:after="40"/>
              <w:rPr>
                <w:i/>
                <w:noProof/>
                <w:snapToGrid w:val="0"/>
              </w:rPr>
            </w:pPr>
            <w:r>
              <w:rPr>
                <w:i/>
                <w:noProof/>
                <w:snapToGrid w:val="0"/>
              </w:rPr>
              <w:t>Children and Community Services Amendment Regulations (No. 3) 2006</w:t>
            </w:r>
          </w:p>
        </w:tc>
        <w:tc>
          <w:tcPr>
            <w:tcW w:w="1276" w:type="dxa"/>
          </w:tcPr>
          <w:p>
            <w:pPr>
              <w:pStyle w:val="nTable"/>
              <w:spacing w:after="40"/>
            </w:pPr>
            <w:r>
              <w:t>8 Dec 2006 p. 5369-70</w:t>
            </w:r>
          </w:p>
        </w:tc>
        <w:tc>
          <w:tcPr>
            <w:tcW w:w="2693" w:type="dxa"/>
          </w:tcPr>
          <w:p>
            <w:pPr>
              <w:pStyle w:val="nTable"/>
              <w:spacing w:after="40"/>
            </w:pPr>
            <w:r>
              <w:t>8 Dec 2006</w:t>
            </w:r>
          </w:p>
        </w:tc>
      </w:tr>
      <w:tr>
        <w:trPr>
          <w:cantSplit/>
        </w:trPr>
        <w:tc>
          <w:tcPr>
            <w:tcW w:w="7087" w:type="dxa"/>
            <w:gridSpan w:val="3"/>
          </w:tcPr>
          <w:p>
            <w:pPr>
              <w:pStyle w:val="nTable"/>
              <w:spacing w:after="40"/>
            </w:pPr>
            <w:r>
              <w:rPr>
                <w:b/>
                <w:bCs/>
              </w:rPr>
              <w:t xml:space="preserve">Reprint 1: The </w:t>
            </w:r>
            <w:r>
              <w:rPr>
                <w:b/>
                <w:bCs/>
                <w:i/>
                <w:noProof/>
                <w:snapToGrid w:val="0"/>
              </w:rPr>
              <w:t>Children and Community Services Regulations 2006</w:t>
            </w:r>
            <w:r>
              <w:rPr>
                <w:b/>
                <w:bCs/>
              </w:rPr>
              <w:t xml:space="preserve"> as at 2 Feb 2007</w:t>
            </w:r>
            <w:r>
              <w:t xml:space="preserve"> (includes amendments listed above)</w:t>
            </w:r>
          </w:p>
        </w:tc>
      </w:tr>
      <w:tr>
        <w:tc>
          <w:tcPr>
            <w:tcW w:w="3118" w:type="dxa"/>
          </w:tcPr>
          <w:p>
            <w:pPr>
              <w:pStyle w:val="nTable"/>
              <w:spacing w:after="40"/>
              <w:rPr>
                <w:i/>
                <w:noProof/>
                <w:snapToGrid w:val="0"/>
              </w:rPr>
            </w:pPr>
            <w:r>
              <w:rPr>
                <w:i/>
                <w:noProof/>
                <w:snapToGrid w:val="0"/>
              </w:rPr>
              <w:t>Children and Community Services Amendment Regulations 2007</w:t>
            </w:r>
          </w:p>
        </w:tc>
        <w:tc>
          <w:tcPr>
            <w:tcW w:w="1276" w:type="dxa"/>
          </w:tcPr>
          <w:p>
            <w:pPr>
              <w:pStyle w:val="nTable"/>
              <w:spacing w:after="40"/>
            </w:pPr>
            <w:r>
              <w:t>7 Aug 2007 p. 4029</w:t>
            </w:r>
            <w:r>
              <w:noBreakHyphen/>
              <w:t>30</w:t>
            </w:r>
          </w:p>
        </w:tc>
        <w:tc>
          <w:tcPr>
            <w:tcW w:w="2693" w:type="dxa"/>
          </w:tcPr>
          <w:p>
            <w:pPr>
              <w:pStyle w:val="nTable"/>
              <w:spacing w:after="40"/>
            </w:pPr>
            <w:r>
              <w:rPr>
                <w:snapToGrid w:val="0"/>
              </w:rPr>
              <w:t>r. 1 and 2: 7 Aug 2007 (see r. 2(a));</w:t>
            </w:r>
            <w:r>
              <w:rPr>
                <w:snapToGrid w:val="0"/>
              </w:rPr>
              <w:br/>
              <w:t xml:space="preserve">Regulations other than r. 1 and 2: 10 Aug 2007 (see r. 2(b) </w:t>
            </w:r>
            <w:r>
              <w:t xml:space="preserve">and </w:t>
            </w:r>
            <w:r>
              <w:rPr>
                <w:i/>
                <w:iCs/>
              </w:rPr>
              <w:t>Gazette</w:t>
            </w:r>
            <w:r>
              <w:t xml:space="preserve"> 9 Aug 2007 p. 4071)</w:t>
            </w:r>
          </w:p>
        </w:tc>
      </w:tr>
      <w:tr>
        <w:tc>
          <w:tcPr>
            <w:tcW w:w="3118" w:type="dxa"/>
          </w:tcPr>
          <w:p>
            <w:pPr>
              <w:pStyle w:val="nTable"/>
              <w:spacing w:after="40"/>
              <w:rPr>
                <w:i/>
                <w:noProof/>
                <w:snapToGrid w:val="0"/>
              </w:rPr>
            </w:pPr>
            <w:r>
              <w:rPr>
                <w:i/>
                <w:noProof/>
                <w:snapToGrid w:val="0"/>
              </w:rPr>
              <w:t>Children and Community Services Amendment Regulations 2008</w:t>
            </w:r>
          </w:p>
        </w:tc>
        <w:tc>
          <w:tcPr>
            <w:tcW w:w="1276" w:type="dxa"/>
          </w:tcPr>
          <w:p>
            <w:pPr>
              <w:pStyle w:val="nTable"/>
              <w:spacing w:after="40"/>
            </w:pPr>
            <w:r>
              <w:t>9 Dec 2008 p. 5107</w:t>
            </w:r>
            <w:r>
              <w:noBreakHyphen/>
              <w:t>8</w:t>
            </w:r>
          </w:p>
        </w:tc>
        <w:tc>
          <w:tcPr>
            <w:tcW w:w="2693" w:type="dxa"/>
          </w:tcPr>
          <w:p>
            <w:pPr>
              <w:pStyle w:val="nTable"/>
              <w:spacing w:after="40"/>
              <w:rPr>
                <w:snapToGrid w:val="0"/>
              </w:rPr>
            </w:pPr>
            <w:r>
              <w:rPr>
                <w:snapToGrid w:val="0"/>
              </w:rPr>
              <w:t>r. 1 and 2: 9 Dec 2008 (see r. 2(a));</w:t>
            </w:r>
            <w:r>
              <w:rPr>
                <w:snapToGrid w:val="0"/>
              </w:rPr>
              <w:br/>
              <w:t xml:space="preserve">Regulations other than r. 1 and 2: 1 Jan 2009 (see r. 2(b) and </w:t>
            </w:r>
            <w:r>
              <w:rPr>
                <w:i/>
                <w:iCs/>
                <w:snapToGrid w:val="0"/>
              </w:rPr>
              <w:t xml:space="preserve">Gazette </w:t>
            </w:r>
            <w:r>
              <w:rPr>
                <w:snapToGrid w:val="0"/>
              </w:rPr>
              <w:t>9 Dec 2008 p. 5107)</w:t>
            </w:r>
          </w:p>
        </w:tc>
      </w:tr>
      <w:tr>
        <w:tc>
          <w:tcPr>
            <w:tcW w:w="3118" w:type="dxa"/>
          </w:tcPr>
          <w:p>
            <w:pPr>
              <w:pStyle w:val="nTable"/>
              <w:spacing w:after="40"/>
              <w:rPr>
                <w:i/>
                <w:noProof/>
                <w:snapToGrid w:val="0"/>
              </w:rPr>
            </w:pPr>
            <w:r>
              <w:rPr>
                <w:i/>
                <w:noProof/>
                <w:snapToGrid w:val="0"/>
              </w:rPr>
              <w:t>Children and Community Services Amendment Regulations 2009</w:t>
            </w:r>
          </w:p>
        </w:tc>
        <w:tc>
          <w:tcPr>
            <w:tcW w:w="1276" w:type="dxa"/>
          </w:tcPr>
          <w:p>
            <w:pPr>
              <w:pStyle w:val="nTable"/>
              <w:spacing w:after="40"/>
            </w:pPr>
            <w:r>
              <w:t>19 Jun 2009 p. 2225-9</w:t>
            </w:r>
          </w:p>
        </w:tc>
        <w:tc>
          <w:tcPr>
            <w:tcW w:w="2693" w:type="dxa"/>
          </w:tcPr>
          <w:p>
            <w:pPr>
              <w:pStyle w:val="nTable"/>
              <w:spacing w:after="40"/>
              <w:rPr>
                <w:snapToGrid w:val="0"/>
              </w:rPr>
            </w:pPr>
            <w:r>
              <w:rPr>
                <w:snapToGrid w:val="0"/>
              </w:rPr>
              <w:t>r. 1 and 2: 19 Jun 2009 (see r. 2(a));</w:t>
            </w:r>
            <w:r>
              <w:rPr>
                <w:snapToGrid w:val="0"/>
              </w:rPr>
              <w:br/>
              <w:t>Regulations other than r. 1 and 2: 20 Jun 2009 (see r. 2(b))</w:t>
            </w:r>
          </w:p>
        </w:tc>
      </w:tr>
      <w:tr>
        <w:tc>
          <w:tcPr>
            <w:tcW w:w="3118" w:type="dxa"/>
          </w:tcPr>
          <w:p>
            <w:pPr>
              <w:pStyle w:val="nTable"/>
              <w:spacing w:after="40"/>
              <w:rPr>
                <w:iCs/>
                <w:noProof/>
                <w:snapToGrid w:val="0"/>
              </w:rPr>
            </w:pPr>
            <w:r>
              <w:rPr>
                <w:i/>
                <w:noProof/>
                <w:snapToGrid w:val="0"/>
              </w:rPr>
              <w:t>Children and Community Services Amendment Regulations 2010</w:t>
            </w:r>
          </w:p>
        </w:tc>
        <w:tc>
          <w:tcPr>
            <w:tcW w:w="1276" w:type="dxa"/>
          </w:tcPr>
          <w:p>
            <w:pPr>
              <w:pStyle w:val="nTable"/>
              <w:spacing w:after="40"/>
            </w:pPr>
            <w:r>
              <w:t>18 Jan 2011 p. 145-6</w:t>
            </w:r>
          </w:p>
        </w:tc>
        <w:tc>
          <w:tcPr>
            <w:tcW w:w="2693" w:type="dxa"/>
          </w:tcPr>
          <w:p>
            <w:pPr>
              <w:pStyle w:val="nTable"/>
              <w:spacing w:after="40"/>
              <w:rPr>
                <w:snapToGrid w:val="0"/>
              </w:rPr>
            </w:pPr>
            <w:r>
              <w:rPr>
                <w:snapToGrid w:val="0"/>
              </w:rPr>
              <w:t>r. 1 and 2: 18 Jan 2011 (see r. 2(a));</w:t>
            </w:r>
            <w:r>
              <w:rPr>
                <w:snapToGrid w:val="0"/>
              </w:rPr>
              <w:br/>
              <w:t>Regulations other than r. 1, 2 and 4: 19 Jan 2011 (see r. 2(c));</w:t>
            </w:r>
            <w:r>
              <w:rPr>
                <w:snapToGrid w:val="0"/>
              </w:rPr>
              <w:br/>
              <w:t xml:space="preserve">r. 4: 31 Jan 2011 (see r. 2(b) and </w:t>
            </w:r>
            <w:r>
              <w:rPr>
                <w:i/>
                <w:iCs/>
                <w:snapToGrid w:val="0"/>
              </w:rPr>
              <w:t>Gazette</w:t>
            </w:r>
            <w:r>
              <w:rPr>
                <w:snapToGrid w:val="0"/>
              </w:rPr>
              <w:t xml:space="preserve"> 28 Jan 2011 p. 241)</w:t>
            </w:r>
          </w:p>
        </w:tc>
      </w:tr>
      <w:tr>
        <w:tc>
          <w:tcPr>
            <w:tcW w:w="3118" w:type="dxa"/>
          </w:tcPr>
          <w:p>
            <w:pPr>
              <w:pStyle w:val="nTable"/>
              <w:keepNext/>
              <w:spacing w:after="40"/>
              <w:rPr>
                <w:i/>
                <w:noProof/>
                <w:snapToGrid w:val="0"/>
              </w:rPr>
            </w:pPr>
            <w:r>
              <w:rPr>
                <w:i/>
                <w:noProof/>
                <w:snapToGrid w:val="0"/>
              </w:rPr>
              <w:t>Children and Community Services Amendment Regulations 2011</w:t>
            </w:r>
          </w:p>
        </w:tc>
        <w:tc>
          <w:tcPr>
            <w:tcW w:w="1276" w:type="dxa"/>
          </w:tcPr>
          <w:p>
            <w:pPr>
              <w:pStyle w:val="nTable"/>
              <w:keepNext/>
              <w:keepLines/>
              <w:spacing w:after="40"/>
            </w:pPr>
            <w:r>
              <w:t>28 Jan 2011 p. 243-56</w:t>
            </w:r>
          </w:p>
        </w:tc>
        <w:tc>
          <w:tcPr>
            <w:tcW w:w="2693" w:type="dxa"/>
          </w:tcPr>
          <w:p>
            <w:pPr>
              <w:pStyle w:val="nTable"/>
              <w:keepNext/>
              <w:keepLines/>
              <w:spacing w:after="40"/>
              <w:rPr>
                <w:snapToGrid w:val="0"/>
              </w:rPr>
            </w:pPr>
            <w:r>
              <w:rPr>
                <w:snapToGrid w:val="0"/>
              </w:rPr>
              <w:t>r. 1 and 2: 28 Jan 2011 (see r. 2(a));</w:t>
            </w:r>
            <w:r>
              <w:rPr>
                <w:snapToGrid w:val="0"/>
              </w:rPr>
              <w:br/>
              <w:t xml:space="preserve">r. 5: 31 Jan 2011 (see r. 2(b) and </w:t>
            </w:r>
            <w:r>
              <w:rPr>
                <w:i/>
                <w:iCs/>
                <w:snapToGrid w:val="0"/>
              </w:rPr>
              <w:t xml:space="preserve">Gazette </w:t>
            </w:r>
            <w:r>
              <w:rPr>
                <w:snapToGrid w:val="0"/>
              </w:rPr>
              <w:t>28 Jan 2011 p. 241);</w:t>
            </w:r>
            <w:r>
              <w:rPr>
                <w:snapToGrid w:val="0"/>
              </w:rPr>
              <w:br/>
              <w:t xml:space="preserve">Regulations other than r. 1, 2 and 5: 31 Jan 2011 (see r. 2(c) and </w:t>
            </w:r>
            <w:r>
              <w:rPr>
                <w:i/>
                <w:iCs/>
                <w:snapToGrid w:val="0"/>
              </w:rPr>
              <w:t xml:space="preserve">Gazette </w:t>
            </w:r>
            <w:r>
              <w:rPr>
                <w:snapToGrid w:val="0"/>
              </w:rPr>
              <w:t>28 Jan 2011 p. 241)</w:t>
            </w:r>
          </w:p>
        </w:tc>
      </w:tr>
      <w:tr>
        <w:tc>
          <w:tcPr>
            <w:tcW w:w="7087" w:type="dxa"/>
            <w:gridSpan w:val="3"/>
          </w:tcPr>
          <w:p>
            <w:pPr>
              <w:pStyle w:val="nTable"/>
              <w:keepNext/>
              <w:keepLines/>
              <w:spacing w:after="40"/>
              <w:rPr>
                <w:snapToGrid w:val="0"/>
              </w:rPr>
            </w:pPr>
            <w:r>
              <w:rPr>
                <w:b/>
                <w:bCs/>
              </w:rPr>
              <w:t xml:space="preserve">Reprint 2: The </w:t>
            </w:r>
            <w:r>
              <w:rPr>
                <w:b/>
                <w:bCs/>
                <w:i/>
                <w:noProof/>
                <w:snapToGrid w:val="0"/>
              </w:rPr>
              <w:t>Children and Community Services Regulations 2006</w:t>
            </w:r>
            <w:r>
              <w:rPr>
                <w:b/>
                <w:bCs/>
              </w:rPr>
              <w:t xml:space="preserve"> as at 8 Apr 2011</w:t>
            </w:r>
            <w:r>
              <w:t xml:space="preserve"> (includes amendments listed above)</w:t>
            </w:r>
          </w:p>
        </w:tc>
      </w:tr>
      <w:tr>
        <w:tc>
          <w:tcPr>
            <w:tcW w:w="3118" w:type="dxa"/>
          </w:tcPr>
          <w:p>
            <w:pPr>
              <w:pStyle w:val="nTable"/>
              <w:keepNext/>
              <w:keepLines/>
              <w:spacing w:after="40"/>
              <w:rPr>
                <w:i/>
                <w:noProof/>
                <w:snapToGrid w:val="0"/>
              </w:rPr>
            </w:pPr>
            <w:r>
              <w:rPr>
                <w:i/>
                <w:noProof/>
                <w:snapToGrid w:val="0"/>
              </w:rPr>
              <w:t>Children and Community Services Amendment Regulations 2012</w:t>
            </w:r>
          </w:p>
        </w:tc>
        <w:tc>
          <w:tcPr>
            <w:tcW w:w="1276" w:type="dxa"/>
          </w:tcPr>
          <w:p>
            <w:pPr>
              <w:pStyle w:val="nTable"/>
              <w:keepNext/>
              <w:keepLines/>
              <w:spacing w:after="40"/>
            </w:pPr>
            <w:r>
              <w:t>27 Jan 2012 p. 567</w:t>
            </w:r>
          </w:p>
        </w:tc>
        <w:tc>
          <w:tcPr>
            <w:tcW w:w="2693" w:type="dxa"/>
          </w:tcPr>
          <w:p>
            <w:pPr>
              <w:pStyle w:val="nTable"/>
              <w:keepNext/>
              <w:keepLines/>
              <w:spacing w:after="40"/>
              <w:rPr>
                <w:snapToGrid w:val="0"/>
              </w:rPr>
            </w:pPr>
            <w:r>
              <w:rPr>
                <w:snapToGrid w:val="0"/>
              </w:rPr>
              <w:t>r. 1 and 2: 27 Jan 2012 (see r. 2(a));</w:t>
            </w:r>
            <w:r>
              <w:rPr>
                <w:snapToGrid w:val="0"/>
              </w:rPr>
              <w:br/>
              <w:t>Regulations other than r. 1 and 2: 28 Jan 2012 (see r. 2(b))</w:t>
            </w:r>
          </w:p>
        </w:tc>
      </w:tr>
      <w:tr>
        <w:tc>
          <w:tcPr>
            <w:tcW w:w="3118" w:type="dxa"/>
          </w:tcPr>
          <w:p>
            <w:pPr>
              <w:pStyle w:val="nTable"/>
              <w:keepNext/>
              <w:keepLines/>
              <w:spacing w:after="40"/>
              <w:rPr>
                <w:i/>
                <w:noProof/>
                <w:snapToGrid w:val="0"/>
              </w:rPr>
            </w:pPr>
            <w:r>
              <w:rPr>
                <w:i/>
                <w:noProof/>
                <w:snapToGrid w:val="0"/>
              </w:rPr>
              <w:t>Children and Community Services Amendment Regulations (No. 2) 2012</w:t>
            </w:r>
          </w:p>
        </w:tc>
        <w:tc>
          <w:tcPr>
            <w:tcW w:w="1276" w:type="dxa"/>
          </w:tcPr>
          <w:p>
            <w:pPr>
              <w:pStyle w:val="nTable"/>
              <w:keepNext/>
              <w:keepLines/>
              <w:spacing w:after="40"/>
            </w:pPr>
            <w:r>
              <w:t>21 Sep 2012 p. 4422</w:t>
            </w:r>
          </w:p>
        </w:tc>
        <w:tc>
          <w:tcPr>
            <w:tcW w:w="2693" w:type="dxa"/>
          </w:tcPr>
          <w:p>
            <w:pPr>
              <w:pStyle w:val="nTable"/>
              <w:keepNext/>
              <w:keepLines/>
              <w:spacing w:after="40"/>
              <w:rPr>
                <w:snapToGrid w:val="0"/>
              </w:rPr>
            </w:pPr>
            <w:r>
              <w:rPr>
                <w:snapToGrid w:val="0"/>
              </w:rPr>
              <w:t>r. 1 and 2: 21 Sep 2012 (see r. 2(a));</w:t>
            </w:r>
            <w:r>
              <w:rPr>
                <w:snapToGrid w:val="0"/>
              </w:rPr>
              <w:br/>
              <w:t>Regulations other than r. 1 and 2: 22 Sep 2012 (see r. 2(b))</w:t>
            </w:r>
          </w:p>
        </w:tc>
      </w:tr>
      <w:tr>
        <w:tc>
          <w:tcPr>
            <w:tcW w:w="3118" w:type="dxa"/>
            <w:tcBorders>
              <w:bottom w:val="single" w:sz="4" w:space="0" w:color="auto"/>
            </w:tcBorders>
          </w:tcPr>
          <w:p>
            <w:pPr>
              <w:pStyle w:val="nTable"/>
              <w:keepNext/>
              <w:keepLines/>
              <w:spacing w:after="40"/>
              <w:rPr>
                <w:i/>
                <w:noProof/>
                <w:snapToGrid w:val="0"/>
              </w:rPr>
            </w:pPr>
            <w:r>
              <w:rPr>
                <w:i/>
                <w:noProof/>
                <w:snapToGrid w:val="0"/>
              </w:rPr>
              <w:t>Children and Community Services Amendment Regulations 2014</w:t>
            </w:r>
          </w:p>
        </w:tc>
        <w:tc>
          <w:tcPr>
            <w:tcW w:w="1276" w:type="dxa"/>
            <w:tcBorders>
              <w:bottom w:val="single" w:sz="4" w:space="0" w:color="auto"/>
            </w:tcBorders>
          </w:tcPr>
          <w:p>
            <w:pPr>
              <w:pStyle w:val="nTable"/>
              <w:keepNext/>
              <w:keepLines/>
              <w:spacing w:after="40"/>
            </w:pPr>
            <w:r>
              <w:t>27 Jun 2014 p. 2310-11</w:t>
            </w:r>
          </w:p>
        </w:tc>
        <w:tc>
          <w:tcPr>
            <w:tcW w:w="2693" w:type="dxa"/>
            <w:tcBorders>
              <w:bottom w:val="single" w:sz="4" w:space="0" w:color="auto"/>
            </w:tcBorders>
          </w:tcPr>
          <w:p>
            <w:pPr>
              <w:pStyle w:val="nTable"/>
              <w:keepNext/>
              <w:keepLines/>
              <w:spacing w:after="40"/>
              <w:rPr>
                <w:snapToGrid w:val="0"/>
              </w:rPr>
            </w:pPr>
            <w:r>
              <w:rPr>
                <w:snapToGrid w:val="0"/>
              </w:rPr>
              <w:t>r. 1 and 2: 27 Jun 2014 (see r. 2(a));</w:t>
            </w:r>
            <w:r>
              <w:rPr>
                <w:snapToGrid w:val="0"/>
              </w:rPr>
              <w:br/>
              <w:t>Regulations other than r. 1 and 2: 1 Jul 2014 (see r. 2(b))</w:t>
            </w:r>
          </w:p>
        </w:tc>
      </w:tr>
    </w:tbl>
    <w:p>
      <w:pPr>
        <w:pStyle w:val="nSubsection"/>
        <w:spacing w:before="360"/>
      </w:pPr>
      <w:r>
        <w:rPr>
          <w:vertAlign w:val="superscript"/>
        </w:rPr>
        <w:t>1a</w:t>
      </w:r>
      <w:r>
        <w:rPr>
          <w:snapToGrid w:val="0"/>
        </w:rPr>
        <w:tab/>
        <w:t>On the date as at which this compilation was prepared, provisions referred to in the following table had not come into operation and were therefore not included in this compilation.  For the text of the provisions see the endnotes referred to in the table.</w:t>
      </w:r>
    </w:p>
    <w:p>
      <w:pPr>
        <w:pStyle w:val="nHeading3"/>
      </w:pPr>
      <w:bookmarkStart w:id="209" w:name="_Toc416355221"/>
      <w:r>
        <w:t>Provisions that have not come into operation</w:t>
      </w:r>
      <w:bookmarkEnd w:id="209"/>
    </w:p>
    <w:tbl>
      <w:tblPr>
        <w:tblW w:w="0" w:type="auto"/>
        <w:tblInd w:w="28" w:type="dxa"/>
        <w:tblBorders>
          <w:top w:val="single" w:sz="8" w:space="0" w:color="auto"/>
          <w:bottom w:val="single" w:sz="4" w:space="0" w:color="auto"/>
          <w:insideH w:val="single" w:sz="8" w:space="0" w:color="auto"/>
        </w:tblBorders>
        <w:tblLayout w:type="fixed"/>
        <w:tblCellMar>
          <w:left w:w="56" w:type="dxa"/>
          <w:right w:w="56" w:type="dxa"/>
        </w:tblCellMar>
        <w:tblLook w:val="0000" w:firstRow="0" w:lastRow="0" w:firstColumn="0" w:lastColumn="0" w:noHBand="0" w:noVBand="0"/>
      </w:tblPr>
      <w:tblGrid>
        <w:gridCol w:w="3118"/>
        <w:gridCol w:w="1276"/>
        <w:gridCol w:w="2693"/>
      </w:tblGrid>
      <w:tr>
        <w:trPr>
          <w:tblHeader/>
        </w:trPr>
        <w:tc>
          <w:tcPr>
            <w:tcW w:w="3118" w:type="dxa"/>
          </w:tcPr>
          <w:p>
            <w:pPr>
              <w:pStyle w:val="nTable"/>
              <w:spacing w:after="40"/>
              <w:rPr>
                <w:b/>
              </w:rPr>
            </w:pPr>
            <w:r>
              <w:rPr>
                <w:b/>
              </w:rPr>
              <w:t>Citation</w:t>
            </w:r>
          </w:p>
        </w:tc>
        <w:tc>
          <w:tcPr>
            <w:tcW w:w="1276" w:type="dxa"/>
          </w:tcPr>
          <w:p>
            <w:pPr>
              <w:pStyle w:val="nTable"/>
              <w:spacing w:after="40"/>
              <w:rPr>
                <w:b/>
              </w:rPr>
            </w:pPr>
            <w:r>
              <w:rPr>
                <w:b/>
              </w:rPr>
              <w:t>Gazettal</w:t>
            </w:r>
          </w:p>
        </w:tc>
        <w:tc>
          <w:tcPr>
            <w:tcW w:w="2693" w:type="dxa"/>
          </w:tcPr>
          <w:p>
            <w:pPr>
              <w:pStyle w:val="nTable"/>
              <w:spacing w:after="40"/>
              <w:rPr>
                <w:b/>
              </w:rPr>
            </w:pPr>
            <w:r>
              <w:rPr>
                <w:b/>
              </w:rPr>
              <w:t>Commencement</w:t>
            </w:r>
          </w:p>
        </w:tc>
      </w:tr>
      <w:tr>
        <w:tc>
          <w:tcPr>
            <w:tcW w:w="3118" w:type="dxa"/>
          </w:tcPr>
          <w:p>
            <w:pPr>
              <w:pStyle w:val="nTable"/>
              <w:spacing w:after="40"/>
            </w:pPr>
            <w:r>
              <w:rPr>
                <w:i/>
              </w:rPr>
              <w:t>Children and Community Services Amendment Regulations 2015</w:t>
            </w:r>
            <w:r>
              <w:t xml:space="preserve"> r. 3 and 4</w:t>
            </w:r>
            <w:r>
              <w:rPr>
                <w:vertAlign w:val="superscript"/>
              </w:rPr>
              <w:t> 4</w:t>
            </w:r>
          </w:p>
        </w:tc>
        <w:tc>
          <w:tcPr>
            <w:tcW w:w="1276" w:type="dxa"/>
          </w:tcPr>
          <w:p>
            <w:pPr>
              <w:pStyle w:val="nTable"/>
              <w:spacing w:after="40"/>
            </w:pPr>
            <w:r>
              <w:t>10 Apr 2015 p. 1251</w:t>
            </w:r>
          </w:p>
        </w:tc>
        <w:tc>
          <w:tcPr>
            <w:tcW w:w="2693" w:type="dxa"/>
          </w:tcPr>
          <w:p>
            <w:pPr>
              <w:pStyle w:val="nTable"/>
              <w:spacing w:after="40"/>
            </w:pPr>
            <w:r>
              <w:t xml:space="preserve">1 Jul 2015 (see r. 2(b)(ii) and </w:t>
            </w:r>
            <w:r>
              <w:rPr>
                <w:i/>
              </w:rPr>
              <w:t>Gazette</w:t>
            </w:r>
            <w:r>
              <w:t xml:space="preserve"> 10 Apr 2015 p. 1249)</w:t>
            </w:r>
          </w:p>
        </w:tc>
      </w:tr>
    </w:tbl>
    <w:p>
      <w:pPr>
        <w:pStyle w:val="nSubsection"/>
        <w:spacing w:before="120"/>
      </w:pPr>
      <w:r>
        <w:rPr>
          <w:vertAlign w:val="superscript"/>
        </w:rPr>
        <w:t>2</w:t>
      </w:r>
      <w:r>
        <w:rPr>
          <w:vertAlign w:val="superscript"/>
        </w:rPr>
        <w:tab/>
      </w:r>
      <w:r>
        <w:t xml:space="preserve">Under the </w:t>
      </w:r>
      <w:r>
        <w:rPr>
          <w:i/>
          <w:iCs/>
        </w:rPr>
        <w:t>Financial Legislation Amendment and Repeal Act 2006</w:t>
      </w:r>
      <w:r>
        <w:t xml:space="preserve"> Sch. 2 cl. 13 a reference to the Consolidated Fund may, where the context so requires, be read as if it had been amended to be a reference to the Consolidated Account. This reference was changed under the </w:t>
      </w:r>
      <w:r>
        <w:rPr>
          <w:i/>
          <w:iCs/>
        </w:rPr>
        <w:t>Reprints Act 1984</w:t>
      </w:r>
      <w:r>
        <w:t xml:space="preserve"> s. 7(5)(a).</w:t>
      </w:r>
    </w:p>
    <w:p>
      <w:pPr>
        <w:pStyle w:val="nSubsection"/>
        <w:spacing w:before="120"/>
      </w:pPr>
      <w:r>
        <w:rPr>
          <w:vertAlign w:val="superscript"/>
        </w:rPr>
        <w:t>3</w:t>
      </w:r>
      <w:r>
        <w:rPr>
          <w:vertAlign w:val="superscript"/>
        </w:rPr>
        <w:tab/>
      </w:r>
      <w:r>
        <w:t xml:space="preserve">Repealed by the </w:t>
      </w:r>
      <w:r>
        <w:rPr>
          <w:i/>
          <w:spacing w:val="-2"/>
        </w:rPr>
        <w:t>Children and Community Services Act 2004</w:t>
      </w:r>
      <w:r>
        <w:rPr>
          <w:iCs/>
          <w:spacing w:val="-2"/>
        </w:rPr>
        <w:t xml:space="preserve"> s. 250</w:t>
      </w:r>
      <w:r>
        <w:t>.</w:t>
      </w:r>
    </w:p>
    <w:p>
      <w:pPr>
        <w:pStyle w:val="nSubsection"/>
      </w:pPr>
      <w:r>
        <w:rPr>
          <w:vertAlign w:val="superscript"/>
        </w:rPr>
        <w:t>4</w:t>
      </w:r>
      <w:r>
        <w:tab/>
        <w:t xml:space="preserve">On the date as at which this compilation was prepared, the </w:t>
      </w:r>
      <w:r>
        <w:rPr>
          <w:i/>
        </w:rPr>
        <w:t>Children and Community Services Amendment Regulations 2015</w:t>
      </w:r>
      <w:r>
        <w:t xml:space="preserve"> r. 3 and 4 had not come into operation.  They read as follows:</w:t>
      </w:r>
    </w:p>
    <w:p>
      <w:pPr>
        <w:pStyle w:val="BlankOpen"/>
      </w:pPr>
    </w:p>
    <w:p>
      <w:pPr>
        <w:pStyle w:val="nzHeading5"/>
        <w:rPr>
          <w:snapToGrid w:val="0"/>
        </w:rPr>
      </w:pPr>
      <w:r>
        <w:rPr>
          <w:rStyle w:val="CharSectno"/>
        </w:rPr>
        <w:t>3</w:t>
      </w:r>
      <w:r>
        <w:rPr>
          <w:snapToGrid w:val="0"/>
        </w:rPr>
        <w:t>.</w:t>
      </w:r>
      <w:r>
        <w:rPr>
          <w:snapToGrid w:val="0"/>
        </w:rPr>
        <w:tab/>
        <w:t>Regulations amended</w:t>
      </w:r>
    </w:p>
    <w:p>
      <w:pPr>
        <w:pStyle w:val="nzSubsection"/>
      </w:pPr>
      <w:r>
        <w:tab/>
      </w:r>
      <w:r>
        <w:tab/>
      </w:r>
      <w:r>
        <w:rPr>
          <w:spacing w:val="-2"/>
        </w:rPr>
        <w:t>These</w:t>
      </w:r>
      <w:r>
        <w:t xml:space="preserve"> regulations amend the </w:t>
      </w:r>
      <w:r>
        <w:rPr>
          <w:i/>
        </w:rPr>
        <w:t>Children and Community Services Regulations 2006</w:t>
      </w:r>
      <w:r>
        <w:t>.</w:t>
      </w:r>
    </w:p>
    <w:p>
      <w:pPr>
        <w:pStyle w:val="nzHeading5"/>
      </w:pPr>
      <w:r>
        <w:rPr>
          <w:rStyle w:val="CharSectno"/>
        </w:rPr>
        <w:t>4</w:t>
      </w:r>
      <w:r>
        <w:t>.</w:t>
      </w:r>
      <w:r>
        <w:tab/>
        <w:t>Regulation 20A amended</w:t>
      </w:r>
    </w:p>
    <w:p>
      <w:pPr>
        <w:pStyle w:val="nzSubsection"/>
      </w:pPr>
      <w:r>
        <w:tab/>
      </w:r>
      <w:r>
        <w:tab/>
        <w:t>Delete regulation 20A(l).</w:t>
      </w:r>
    </w:p>
    <w:p>
      <w:pPr>
        <w:pStyle w:val="BlankClose"/>
      </w:pPr>
    </w:p>
    <w:p/>
    <w:p>
      <w:pPr>
        <w:sectPr>
          <w:headerReference w:type="even" r:id="rId28"/>
          <w:headerReference w:type="default" r:id="rId29"/>
          <w:headerReference w:type="first" r:id="rId30"/>
          <w:endnotePr>
            <w:numFmt w:val="decimal"/>
          </w:endnotePr>
          <w:pgSz w:w="11907" w:h="16840" w:code="9"/>
          <w:pgMar w:top="2376" w:right="2404" w:bottom="3544" w:left="2404" w:header="720" w:footer="3380" w:gutter="0"/>
          <w:cols w:space="720"/>
          <w:noEndnote/>
          <w:docGrid w:linePitch="326"/>
        </w:sectPr>
      </w:pPr>
    </w:p>
    <w:p>
      <w:pPr>
        <w:pStyle w:val="nHeading2"/>
        <w:rPr>
          <w:sz w:val="28"/>
        </w:rPr>
      </w:pPr>
      <w:bookmarkStart w:id="211" w:name="_Toc415663510"/>
      <w:bookmarkStart w:id="212" w:name="_Toc416355159"/>
      <w:bookmarkStart w:id="213" w:name="_Toc416355222"/>
      <w:r>
        <w:rPr>
          <w:sz w:val="28"/>
        </w:rPr>
        <w:t>Defined terms</w:t>
      </w:r>
      <w:bookmarkEnd w:id="211"/>
      <w:bookmarkEnd w:id="212"/>
      <w:bookmarkEnd w:id="213"/>
    </w:p>
    <w:p>
      <w:pPr>
        <w:ind w:left="850" w:right="850"/>
        <w:jc w:val="center"/>
        <w:rPr>
          <w:i/>
          <w:sz w:val="18"/>
        </w:rPr>
      </w:pPr>
    </w:p>
    <w:p>
      <w:pPr>
        <w:ind w:left="850" w:right="850"/>
        <w:jc w:val="center"/>
        <w:rPr>
          <w:i/>
          <w:sz w:val="18"/>
        </w:rPr>
      </w:pPr>
      <w:r>
        <w:rPr>
          <w:i/>
          <w:sz w:val="18"/>
        </w:rPr>
        <w:t>[This is a list of terms defined and the provisions where they are defined.  The list is not part of the law.]</w:t>
      </w:r>
    </w:p>
    <w:p>
      <w:pPr>
        <w:pBdr>
          <w:bottom w:val="single" w:sz="4" w:space="1" w:color="auto"/>
        </w:pBdr>
        <w:tabs>
          <w:tab w:val="right" w:pos="7070"/>
        </w:tabs>
        <w:ind w:left="578"/>
        <w:rPr>
          <w:b/>
          <w:sz w:val="20"/>
        </w:rPr>
      </w:pPr>
      <w:r>
        <w:rPr>
          <w:b/>
          <w:sz w:val="20"/>
        </w:rPr>
        <w:t>Defined term</w:t>
      </w:r>
      <w:r>
        <w:rPr>
          <w:b/>
          <w:sz w:val="20"/>
        </w:rPr>
        <w:tab/>
        <w:t>Provision(s)</w:t>
      </w:r>
    </w:p>
    <w:p>
      <w:pPr>
        <w:pStyle w:val="DefinedTerms"/>
      </w:pPr>
      <w:r>
        <w:t>audio link</w:t>
      </w:r>
      <w:r>
        <w:tab/>
        <w:t>9</w:t>
      </w:r>
    </w:p>
    <w:p>
      <w:pPr>
        <w:pStyle w:val="DefinedTerms"/>
      </w:pPr>
      <w:r>
        <w:t>bodily sample</w:t>
      </w:r>
      <w:r>
        <w:tab/>
        <w:t>16A</w:t>
      </w:r>
    </w:p>
    <w:p>
      <w:pPr>
        <w:pStyle w:val="DefinedTerms"/>
      </w:pPr>
      <w:r>
        <w:t>care plan</w:t>
      </w:r>
      <w:r>
        <w:tab/>
        <w:t>5(2)</w:t>
      </w:r>
    </w:p>
    <w:p>
      <w:pPr>
        <w:pStyle w:val="DefinedTerms"/>
      </w:pPr>
      <w:r>
        <w:t>commencement day</w:t>
      </w:r>
      <w:r>
        <w:tab/>
        <w:t>24</w:t>
      </w:r>
    </w:p>
    <w:p>
      <w:pPr>
        <w:pStyle w:val="DefinedTerms"/>
      </w:pPr>
      <w:r>
        <w:t>donor</w:t>
      </w:r>
      <w:r>
        <w:tab/>
        <w:t>16A</w:t>
      </w:r>
    </w:p>
    <w:p>
      <w:pPr>
        <w:pStyle w:val="DefinedTerms"/>
      </w:pPr>
      <w:r>
        <w:t>guardian</w:t>
      </w:r>
      <w:r>
        <w:tab/>
        <w:t>16A</w:t>
      </w:r>
    </w:p>
    <w:p>
      <w:pPr>
        <w:pStyle w:val="DefinedTerms"/>
      </w:pPr>
      <w:r>
        <w:t>HLA</w:t>
      </w:r>
      <w:r>
        <w:tab/>
        <w:t>16A</w:t>
      </w:r>
    </w:p>
    <w:p>
      <w:pPr>
        <w:pStyle w:val="DefinedTerms"/>
      </w:pPr>
      <w:r>
        <w:t>incident</w:t>
      </w:r>
      <w:r>
        <w:tab/>
        <w:t>7</w:t>
      </w:r>
    </w:p>
    <w:p>
      <w:pPr>
        <w:pStyle w:val="DefinedTerms"/>
      </w:pPr>
      <w:r>
        <w:t>medical practitioner</w:t>
      </w:r>
      <w:r>
        <w:tab/>
        <w:t>16A</w:t>
      </w:r>
    </w:p>
    <w:p>
      <w:pPr>
        <w:pStyle w:val="DefinedTerms"/>
      </w:pPr>
      <w:r>
        <w:t>NATA</w:t>
      </w:r>
      <w:r>
        <w:tab/>
        <w:t>16A</w:t>
      </w:r>
    </w:p>
    <w:p>
      <w:pPr>
        <w:pStyle w:val="DefinedTerms"/>
      </w:pPr>
      <w:r>
        <w:t>nominated reporter</w:t>
      </w:r>
      <w:r>
        <w:tab/>
        <w:t>16A</w:t>
      </w:r>
    </w:p>
    <w:p>
      <w:pPr>
        <w:pStyle w:val="DefinedTerms"/>
      </w:pPr>
      <w:r>
        <w:t>panel</w:t>
      </w:r>
      <w:r>
        <w:tab/>
        <w:t>16</w:t>
      </w:r>
    </w:p>
    <w:p>
      <w:pPr>
        <w:pStyle w:val="DefinedTerms"/>
      </w:pPr>
      <w:r>
        <w:t>President</w:t>
      </w:r>
      <w:r>
        <w:tab/>
        <w:t>3</w:t>
      </w:r>
    </w:p>
    <w:p>
      <w:pPr>
        <w:pStyle w:val="DefinedTerms"/>
      </w:pPr>
      <w:r>
        <w:t>provisional care plan</w:t>
      </w:r>
      <w:r>
        <w:tab/>
        <w:t>5(2)</w:t>
      </w:r>
    </w:p>
    <w:p>
      <w:pPr>
        <w:pStyle w:val="DefinedTerms"/>
      </w:pPr>
      <w:r>
        <w:t>report</w:t>
      </w:r>
      <w:r>
        <w:tab/>
        <w:t>16A, 16</w:t>
      </w:r>
    </w:p>
    <w:p>
      <w:pPr>
        <w:pStyle w:val="DefinedTerms"/>
      </w:pPr>
      <w:r>
        <w:t>represented person</w:t>
      </w:r>
      <w:r>
        <w:tab/>
        <w:t>16A</w:t>
      </w:r>
    </w:p>
    <w:p>
      <w:pPr>
        <w:pStyle w:val="DefinedTerms"/>
      </w:pPr>
      <w:r>
        <w:t>responsible person</w:t>
      </w:r>
      <w:r>
        <w:tab/>
        <w:t>16A</w:t>
      </w:r>
    </w:p>
    <w:p>
      <w:pPr>
        <w:pStyle w:val="DefinedTerms"/>
      </w:pPr>
      <w:r>
        <w:t>sample</w:t>
      </w:r>
      <w:r>
        <w:tab/>
        <w:t>16A</w:t>
      </w:r>
    </w:p>
    <w:p>
      <w:pPr>
        <w:pStyle w:val="DefinedTerms"/>
      </w:pPr>
      <w:r>
        <w:t>sampler</w:t>
      </w:r>
      <w:r>
        <w:tab/>
        <w:t>16A</w:t>
      </w:r>
    </w:p>
    <w:p>
      <w:pPr>
        <w:pStyle w:val="DefinedTerms"/>
      </w:pPr>
      <w:r>
        <w:t>section</w:t>
      </w:r>
      <w:r>
        <w:tab/>
        <w:t>3</w:t>
      </w:r>
    </w:p>
    <w:p>
      <w:pPr>
        <w:pStyle w:val="DefinedTerms"/>
      </w:pPr>
      <w:r>
        <w:t>seized article</w:t>
      </w:r>
      <w:r>
        <w:tab/>
        <w:t>8(1)</w:t>
      </w:r>
    </w:p>
    <w:p>
      <w:pPr>
        <w:pStyle w:val="DefinedTerms"/>
      </w:pPr>
      <w:r>
        <w:t>testing</w:t>
      </w:r>
      <w:r>
        <w:tab/>
        <w:t>16A</w:t>
      </w:r>
    </w:p>
    <w:p>
      <w:pPr>
        <w:pStyle w:val="DefinedTerms"/>
      </w:pPr>
      <w:r>
        <w:t>video link</w:t>
      </w:r>
      <w:r>
        <w:tab/>
        <w:t>9</w:t>
      </w:r>
    </w:p>
    <w:p/>
    <w:p>
      <w:pPr>
        <w:sectPr>
          <w:headerReference w:type="even" r:id="rId31"/>
          <w:headerReference w:type="default" r:id="rId32"/>
          <w:pgSz w:w="11907" w:h="16840" w:code="9"/>
          <w:pgMar w:top="2381" w:right="2409" w:bottom="3543" w:left="2409" w:header="720" w:footer="3380" w:gutter="0"/>
          <w:cols w:space="720"/>
          <w:noEndnote/>
          <w:docGrid w:linePitch="326"/>
        </w:sectPr>
      </w:pPr>
    </w:p>
    <w:p/>
    <w:sectPr>
      <w:headerReference w:type="even" r:id="rId33"/>
      <w:headerReference w:type="default" r:id="rId34"/>
      <w:footerReference w:type="even" r:id="rId35"/>
      <w:footerReference w:type="default" r:id="rId36"/>
      <w:headerReference w:type="first" r:id="rId37"/>
      <w:footerReference w:type="first" r:id="rId38"/>
      <w:endnotePr>
        <w:numFmt w:val="decimal"/>
      </w:endnotePr>
      <w:type w:val="continuous"/>
      <w:pgSz w:w="11907" w:h="16840" w:code="9"/>
      <w:pgMar w:top="2376" w:right="2404" w:bottom="3544" w:left="2404" w:header="720" w:footer="3380" w:gutter="0"/>
      <w:pgNumType w:start="1"/>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p/>
  </w:endnote>
  <w:endnote w:type="continuationSeparator" w:id="0">
    <w:p>
      <w:pPr>
        <w:pStyle w:val="Footer"/>
      </w:pPr>
    </w:p>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Monotype Sorts">
    <w:panose1 w:val="01010601010101010101"/>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02-e0-01</w: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10 Apr 2015</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10 Apr 2015</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02-e0-01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10 Apr 2015</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02-e0-01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sz w:val="20"/>
      </w:rPr>
      <w:t>40</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02-e0-01</w: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10 Apr 2015</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10 Apr 2015</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02-e0-01</w: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sz w:val="20"/>
      </w:rPr>
      <w:t>39</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10 Apr 2015</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02-e0-01</w: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sz w:val="20"/>
      </w:rPr>
      <w:t>i</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1" w:name="TitlePage"/>
    <w:bookmarkEnd w:id="1"/>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Children and Community Services Regulations 2006</w:t>
          </w:r>
          <w:r>
            <w:rPr>
              <w:b/>
              <w:i/>
            </w:rPr>
            <w:fldChar w:fldCharType="end"/>
          </w:r>
        </w:p>
      </w:tc>
    </w:tr>
    <w:tr>
      <w:tc>
        <w:tcPr>
          <w:tcW w:w="1548" w:type="dxa"/>
        </w:tcPr>
        <w:p>
          <w:pPr>
            <w:pStyle w:val="Header"/>
            <w:spacing w:before="40"/>
          </w:pPr>
        </w:p>
      </w:tc>
      <w:tc>
        <w:tcPr>
          <w:tcW w:w="5715" w:type="dxa"/>
        </w:tcPr>
        <w:p>
          <w:pPr>
            <w:pStyle w:val="Header"/>
            <w:spacing w:before="40"/>
          </w:pPr>
        </w:p>
      </w:tc>
    </w:tr>
    <w:tr>
      <w:tc>
        <w:tcPr>
          <w:tcW w:w="1548" w:type="dxa"/>
        </w:tcPr>
        <w:p>
          <w:pPr>
            <w:pStyle w:val="Header"/>
            <w:spacing w:before="40"/>
          </w:pPr>
        </w:p>
      </w:tc>
      <w:tc>
        <w:tcPr>
          <w:tcW w:w="5715" w:type="dxa"/>
        </w:tcPr>
        <w:p>
          <w:pPr>
            <w:pStyle w:val="Header"/>
            <w:spacing w:before="40"/>
          </w:pPr>
        </w:p>
      </w:tc>
    </w:tr>
    <w:tr>
      <w:trPr>
        <w:cantSplit/>
      </w:trPr>
      <w:tc>
        <w:tcPr>
          <w:tcW w:w="7258" w:type="dxa"/>
          <w:gridSpan w:val="2"/>
        </w:tcPr>
        <w:p>
          <w:pPr>
            <w:pStyle w:val="Header"/>
            <w:spacing w:before="40"/>
          </w:pPr>
          <w:r>
            <w:t>Contents</w:t>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Children and Community Services Regulations 2006</w:t>
          </w:r>
          <w:r>
            <w:rPr>
              <w:b/>
              <w:i/>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p>
      </w:tc>
    </w:tr>
    <w:tr>
      <w:trPr>
        <w:cantSplit/>
      </w:trPr>
      <w:tc>
        <w:tcPr>
          <w:tcW w:w="7258" w:type="dxa"/>
          <w:gridSpan w:val="2"/>
        </w:tcPr>
        <w:p>
          <w:pPr>
            <w:pStyle w:val="Header"/>
            <w:spacing w:before="40"/>
            <w:ind w:right="17"/>
            <w:jc w:val="right"/>
          </w:pPr>
          <w:r>
            <w:t>Contents</w:t>
          </w:r>
        </w:p>
      </w:tc>
    </w:tr>
  </w:tbl>
  <w:p>
    <w:pPr>
      <w:pStyle w:val="Header"/>
      <w:pBdr>
        <w:top w:val="single" w:sz="4" w:space="1" w:color="auto"/>
      </w:pBdr>
    </w:pPr>
    <w:bookmarkStart w:id="2" w:name="TOC"/>
    <w:bookmarkEnd w:id="2"/>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Children and Community Services Regulations 2006</w:t>
          </w:r>
          <w:r>
            <w:rPr>
              <w:b/>
              <w:i/>
            </w:rPr>
            <w:fldChar w:fldCharType="end"/>
          </w:r>
        </w:p>
      </w:tc>
    </w:tr>
    <w:tr>
      <w:tc>
        <w:tcPr>
          <w:tcW w:w="1548" w:type="dxa"/>
        </w:tcPr>
        <w:p>
          <w:pPr>
            <w:pStyle w:val="Header"/>
            <w:spacing w:before="40"/>
          </w:pPr>
          <w:r>
            <w:rPr>
              <w:b/>
            </w:rPr>
            <w:fldChar w:fldCharType="begin"/>
          </w:r>
          <w:r>
            <w:rPr>
              <w:b/>
            </w:rPr>
            <w:instrText>styleref CharPartNo</w:instrText>
          </w:r>
          <w:r>
            <w:rPr>
              <w:b/>
            </w:rPr>
            <w:fldChar w:fldCharType="end"/>
          </w:r>
        </w:p>
      </w:tc>
      <w:tc>
        <w:tcPr>
          <w:tcW w:w="5715" w:type="dxa"/>
          <w:vAlign w:val="bottom"/>
        </w:tcPr>
        <w:p>
          <w:pPr>
            <w:pStyle w:val="Header"/>
            <w:spacing w:before="40"/>
          </w:pPr>
          <w:r>
            <w:fldChar w:fldCharType="begin"/>
          </w:r>
          <w:r>
            <w:instrText>styleref CharPartText</w:instrText>
          </w:r>
          <w:r>
            <w:fldChar w:fldCharType="end"/>
          </w:r>
        </w:p>
      </w:tc>
    </w:tr>
    <w:tr>
      <w:tc>
        <w:tcPr>
          <w:tcW w:w="1548" w:type="dxa"/>
        </w:tcPr>
        <w:p>
          <w:pPr>
            <w:pStyle w:val="Header"/>
            <w:spacing w:before="40"/>
          </w:pPr>
          <w:r>
            <w:rPr>
              <w:b/>
            </w:rPr>
            <w:fldChar w:fldCharType="begin"/>
          </w:r>
          <w:r>
            <w:rPr>
              <w:b/>
            </w:rPr>
            <w:instrText xml:space="preserve"> styleref CharDivNo </w:instrText>
          </w:r>
          <w:r>
            <w:rPr>
              <w:b/>
            </w:rPr>
            <w:fldChar w:fldCharType="end"/>
          </w:r>
        </w:p>
      </w:tc>
      <w:tc>
        <w:tcPr>
          <w:tcW w:w="5715" w:type="dxa"/>
        </w:tcPr>
        <w:p>
          <w:pPr>
            <w:pStyle w:val="Header"/>
            <w:spacing w:before="40"/>
          </w:pPr>
          <w:r>
            <w:fldChar w:fldCharType="begin"/>
          </w:r>
          <w:r>
            <w:instrText xml:space="preserve"> styleref CharDivText </w:instrText>
          </w:r>
          <w:r>
            <w:fldChar w:fldCharType="end"/>
          </w:r>
        </w:p>
      </w:tc>
    </w:tr>
    <w:tr>
      <w:trPr>
        <w:cantSplit/>
      </w:trPr>
      <w:tc>
        <w:tcPr>
          <w:tcW w:w="7258" w:type="dxa"/>
          <w:gridSpan w:val="2"/>
        </w:tcPr>
        <w:p>
          <w:pPr>
            <w:pStyle w:val="Header"/>
            <w:spacing w:before="40"/>
          </w:pPr>
          <w:r>
            <w:rPr>
              <w:b/>
            </w:rPr>
            <w:t xml:space="preserve">r.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Children and Community Services Regulations 2006</w:t>
          </w:r>
          <w:r>
            <w:rPr>
              <w:b/>
              <w:i/>
            </w:rPr>
            <w:fldChar w:fldCharType="end"/>
          </w:r>
        </w:p>
      </w:tc>
    </w:tr>
    <w:tr>
      <w:tc>
        <w:tcPr>
          <w:tcW w:w="5715" w:type="dxa"/>
        </w:tcPr>
        <w:p>
          <w:pPr>
            <w:pStyle w:val="Header"/>
            <w:spacing w:before="40"/>
            <w:jc w:val="right"/>
          </w:pPr>
          <w:r>
            <w:fldChar w:fldCharType="begin"/>
          </w:r>
          <w:r>
            <w:instrText>styleref CharPartText</w:instrText>
          </w:r>
          <w:r>
            <w:fldChar w:fldCharType="end"/>
          </w:r>
        </w:p>
      </w:tc>
      <w:tc>
        <w:tcPr>
          <w:tcW w:w="1548" w:type="dxa"/>
        </w:tcPr>
        <w:p>
          <w:pPr>
            <w:pStyle w:val="Header"/>
            <w:spacing w:before="40"/>
            <w:ind w:right="17"/>
            <w:jc w:val="right"/>
          </w:pPr>
          <w:r>
            <w:rPr>
              <w:b/>
            </w:rPr>
            <w:fldChar w:fldCharType="begin"/>
          </w:r>
          <w:r>
            <w:rPr>
              <w:b/>
            </w:rPr>
            <w:instrText>styleref CharPartNo</w:instrText>
          </w:r>
          <w:r>
            <w:rPr>
              <w:b/>
            </w:rPr>
            <w:fldChar w:fldCharType="end"/>
          </w:r>
        </w:p>
      </w:tc>
    </w:tr>
    <w:tr>
      <w:tc>
        <w:tcPr>
          <w:tcW w:w="5715" w:type="dxa"/>
        </w:tcPr>
        <w:p>
          <w:pPr>
            <w:pStyle w:val="Header"/>
            <w:spacing w:before="40"/>
            <w:jc w:val="right"/>
          </w:pPr>
          <w:r>
            <w:fldChar w:fldCharType="begin"/>
          </w:r>
          <w:r>
            <w:instrText xml:space="preserve"> styleref CharDivText </w:instrText>
          </w:r>
          <w:r>
            <w:fldChar w:fldCharType="end"/>
          </w:r>
        </w:p>
      </w:tc>
      <w:tc>
        <w:tcPr>
          <w:tcW w:w="1548" w:type="dxa"/>
        </w:tcPr>
        <w:p>
          <w:pPr>
            <w:pStyle w:val="Header"/>
            <w:spacing w:before="40"/>
            <w:ind w:right="17"/>
            <w:jc w:val="right"/>
          </w:pPr>
          <w:r>
            <w:rPr>
              <w:b/>
            </w:rPr>
            <w:fldChar w:fldCharType="begin"/>
          </w:r>
          <w:r>
            <w:rPr>
              <w:b/>
            </w:rPr>
            <w:instrText xml:space="preserve"> styleref CharDivNo </w:instrText>
          </w:r>
          <w:r>
            <w:rPr>
              <w:b/>
            </w:rPr>
            <w:fldChar w:fldCharType="end"/>
          </w:r>
        </w:p>
      </w:tc>
    </w:tr>
    <w:tr>
      <w:trPr>
        <w:cantSplit/>
      </w:trPr>
      <w:tc>
        <w:tcPr>
          <w:tcW w:w="7258" w:type="dxa"/>
          <w:gridSpan w:val="2"/>
        </w:tcPr>
        <w:p>
          <w:pPr>
            <w:pStyle w:val="Header"/>
            <w:spacing w:before="40"/>
            <w:ind w:right="17"/>
            <w:jc w:val="right"/>
          </w:pPr>
          <w:r>
            <w:rPr>
              <w:b/>
            </w:rPr>
            <w:t xml:space="preserve">r.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Children and Community Services Regulations 2006</w:t>
          </w:r>
          <w:r>
            <w:rPr>
              <w:b/>
              <w:i/>
            </w:rPr>
            <w:fldChar w:fldCharType="end"/>
          </w:r>
        </w:p>
      </w:tc>
    </w:tr>
    <w:tr>
      <w:tc>
        <w:tcPr>
          <w:tcW w:w="1548" w:type="dxa"/>
        </w:tcPr>
        <w:p>
          <w:pPr>
            <w:pStyle w:val="Header"/>
            <w:spacing w:before="40"/>
          </w:pPr>
          <w:r>
            <w:rPr>
              <w:b/>
            </w:rPr>
            <w:fldChar w:fldCharType="begin"/>
          </w:r>
          <w:r>
            <w:rPr>
              <w:b/>
            </w:rPr>
            <w:instrText>styleref CharSchno</w:instrText>
          </w:r>
          <w:r>
            <w:rPr>
              <w:b/>
            </w:rPr>
            <w:fldChar w:fldCharType="end"/>
          </w:r>
        </w:p>
      </w:tc>
      <w:tc>
        <w:tcPr>
          <w:tcW w:w="5715" w:type="dxa"/>
        </w:tcPr>
        <w:p>
          <w:pPr>
            <w:pStyle w:val="Header"/>
            <w:spacing w:before="40"/>
          </w:pPr>
          <w:r>
            <w:fldChar w:fldCharType="begin"/>
          </w:r>
          <w:r>
            <w:instrText>styleref CharSchText</w:instrText>
          </w:r>
          <w:r>
            <w:fldChar w:fldCharType="end"/>
          </w:r>
        </w:p>
      </w:tc>
    </w:tr>
    <w:tr>
      <w:tc>
        <w:tcPr>
          <w:tcW w:w="1548" w:type="dxa"/>
        </w:tcPr>
        <w:p>
          <w:pPr>
            <w:pStyle w:val="Header"/>
            <w:spacing w:before="40"/>
          </w:pPr>
        </w:p>
      </w:tc>
      <w:tc>
        <w:tcPr>
          <w:tcW w:w="5715" w:type="dxa"/>
        </w:tcPr>
        <w:p>
          <w:pPr>
            <w:pStyle w:val="Header"/>
            <w:spacing w:before="40"/>
          </w:pPr>
        </w:p>
      </w:tc>
    </w:tr>
    <w:tr>
      <w:tc>
        <w:tcPr>
          <w:tcW w:w="1548" w:type="dxa"/>
        </w:tcPr>
        <w:p>
          <w:pPr>
            <w:pStyle w:val="Header"/>
            <w:spacing w:before="40"/>
          </w:pPr>
        </w:p>
      </w:tc>
      <w:tc>
        <w:tcPr>
          <w:tcW w:w="5715" w:type="dxa"/>
        </w:tcPr>
        <w:p>
          <w:pPr>
            <w:pStyle w:val="Header"/>
            <w:spacing w:before="40"/>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Children and Community Services Regulations 2006</w:t>
          </w:r>
          <w:r>
            <w:rPr>
              <w:b/>
              <w:i/>
            </w:rPr>
            <w:fldChar w:fldCharType="end"/>
          </w:r>
        </w:p>
      </w:tc>
    </w:tr>
    <w:tr>
      <w:tc>
        <w:tcPr>
          <w:tcW w:w="5715" w:type="dxa"/>
          <w:vAlign w:val="bottom"/>
        </w:tcPr>
        <w:p>
          <w:pPr>
            <w:pStyle w:val="Header"/>
            <w:spacing w:before="40"/>
            <w:jc w:val="right"/>
          </w:pPr>
          <w:r>
            <w:fldChar w:fldCharType="begin"/>
          </w:r>
          <w:r>
            <w:instrText>styleref CharSchText</w:instrText>
          </w:r>
          <w:r>
            <w:fldChar w:fldCharType="end"/>
          </w:r>
        </w:p>
      </w:tc>
      <w:tc>
        <w:tcPr>
          <w:tcW w:w="1548" w:type="dxa"/>
        </w:tcPr>
        <w:p>
          <w:pPr>
            <w:pStyle w:val="Header"/>
            <w:spacing w:before="40"/>
            <w:ind w:right="17"/>
            <w:jc w:val="right"/>
          </w:pPr>
          <w:r>
            <w:rPr>
              <w:b/>
            </w:rPr>
            <w:fldChar w:fldCharType="begin"/>
          </w:r>
          <w:r>
            <w:rPr>
              <w:b/>
            </w:rPr>
            <w:instrText>styleref CharSchno</w:instrText>
          </w:r>
          <w:r>
            <w:rPr>
              <w:b/>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p>
      </w:tc>
    </w:tr>
  </w:tbl>
  <w:p>
    <w:pPr>
      <w:pStyle w:val="Header"/>
      <w:pBdr>
        <w:top w:val="single" w:sz="4" w:space="1" w:color="auto"/>
      </w:pBd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Children and Community Services Regulations 2006</w:t>
          </w:r>
          <w:r>
            <w:rPr>
              <w:b/>
              <w:i/>
            </w:rPr>
            <w:fldChar w:fldCharType="end"/>
          </w:r>
        </w:p>
      </w:tc>
    </w:tr>
    <w:tr>
      <w:tc>
        <w:tcPr>
          <w:tcW w:w="1548" w:type="dxa"/>
        </w:tcPr>
        <w:p>
          <w:pPr>
            <w:pStyle w:val="Header"/>
            <w:spacing w:before="40"/>
          </w:pPr>
        </w:p>
      </w:tc>
      <w:tc>
        <w:tcPr>
          <w:tcW w:w="5715" w:type="dxa"/>
        </w:tcPr>
        <w:p>
          <w:pPr>
            <w:pStyle w:val="Header"/>
            <w:spacing w:before="40"/>
          </w:pPr>
        </w:p>
      </w:tc>
    </w:tr>
    <w:tr>
      <w:tc>
        <w:tcPr>
          <w:tcW w:w="1548" w:type="dxa"/>
        </w:tcPr>
        <w:p>
          <w:pPr>
            <w:pStyle w:val="Header"/>
            <w:spacing w:before="40"/>
          </w:pPr>
        </w:p>
      </w:tc>
      <w:tc>
        <w:tcPr>
          <w:tcW w:w="5715" w:type="dxa"/>
        </w:tcPr>
        <w:p>
          <w:pPr>
            <w:pStyle w:val="Header"/>
            <w:spacing w:before="40"/>
          </w:pPr>
        </w:p>
      </w:tc>
    </w:tr>
    <w:tr>
      <w:trPr>
        <w:cantSplit/>
      </w:trPr>
      <w:tc>
        <w:tcPr>
          <w:tcW w:w="7258" w:type="dxa"/>
          <w:gridSpan w:val="2"/>
        </w:tcPr>
        <w:p>
          <w:pPr>
            <w:pStyle w:val="Header"/>
            <w:spacing w:before="40"/>
          </w:pPr>
        </w:p>
      </w:tc>
    </w:tr>
  </w:tbl>
  <w:p>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Children and Community Services Regulations 2006</w:t>
          </w:r>
          <w:r>
            <w:rPr>
              <w:b/>
              <w:i/>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p>
      </w:tc>
    </w:tr>
    <w:tr>
      <w:trPr>
        <w:cantSplit/>
      </w:trPr>
      <w:tc>
        <w:tcPr>
          <w:tcW w:w="7258" w:type="dxa"/>
          <w:gridSpan w:val="2"/>
        </w:tcPr>
        <w:p>
          <w:pPr>
            <w:pStyle w:val="Header"/>
            <w:spacing w:before="40"/>
            <w:ind w:right="17"/>
            <w:jc w:val="right"/>
          </w:pPr>
        </w:p>
      </w:tc>
    </w:tr>
  </w:tbl>
  <w:p>
    <w:pPr>
      <w:pStyle w:val="Header"/>
      <w:pBdr>
        <w:top w:val="single" w:sz="4" w:space="1" w:color="auto"/>
      </w:pBdr>
    </w:pPr>
    <w:bookmarkStart w:id="210" w:name="Compilation"/>
    <w:bookmarkEnd w:id="210"/>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348"/>
      <w:gridCol w:w="5915"/>
    </w:tblGrid>
    <w:tr>
      <w:trPr>
        <w:cantSplit/>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Children and Community Services Regulations 2006</w:t>
          </w:r>
          <w:r>
            <w:rPr>
              <w:b/>
              <w:i/>
            </w:rPr>
            <w:fldChar w:fldCharType="end"/>
          </w:r>
        </w:p>
      </w:tc>
    </w:tr>
    <w:tr>
      <w:tc>
        <w:tcPr>
          <w:tcW w:w="1348" w:type="dxa"/>
        </w:tcPr>
        <w:p>
          <w:pPr>
            <w:pStyle w:val="Header"/>
            <w:spacing w:before="40"/>
          </w:pPr>
        </w:p>
      </w:tc>
      <w:tc>
        <w:tcPr>
          <w:tcW w:w="5915" w:type="dxa"/>
        </w:tcPr>
        <w:p>
          <w:pPr>
            <w:pStyle w:val="Header"/>
            <w:spacing w:before="40"/>
          </w:pPr>
        </w:p>
      </w:tc>
    </w:tr>
    <w:tr>
      <w:tc>
        <w:tcPr>
          <w:tcW w:w="1348" w:type="dxa"/>
        </w:tcPr>
        <w:p>
          <w:pPr>
            <w:pStyle w:val="Header"/>
            <w:spacing w:before="40"/>
          </w:pPr>
        </w:p>
      </w:tc>
      <w:tc>
        <w:tcPr>
          <w:tcW w:w="5915" w:type="dxa"/>
        </w:tcPr>
        <w:p>
          <w:pPr>
            <w:pStyle w:val="Header"/>
            <w:spacing w:before="40"/>
          </w:pPr>
        </w:p>
      </w:tc>
    </w:tr>
    <w:tr>
      <w:trPr>
        <w:cantSplit/>
      </w:trPr>
      <w:tc>
        <w:tcPr>
          <w:tcW w:w="7263" w:type="dxa"/>
          <w:gridSpan w:val="2"/>
        </w:tcPr>
        <w:p>
          <w:pPr>
            <w:pStyle w:val="Header"/>
            <w:spacing w:before="40"/>
          </w:pPr>
          <w:r>
            <w:t>Defined terms</w:t>
          </w:r>
        </w:p>
      </w:tc>
    </w:tr>
  </w:tbl>
  <w:p>
    <w:pPr>
      <w:pStyle w:val="Header"/>
      <w:pBdr>
        <w:top w:val="single" w:sz="4" w:space="1" w:color="auto"/>
      </w:pBd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884"/>
      <w:gridCol w:w="1379"/>
    </w:tblGrid>
    <w:tr>
      <w:trPr>
        <w:cantSplit/>
      </w:trPr>
      <w:tc>
        <w:tcPr>
          <w:tcW w:w="7263" w:type="dxa"/>
          <w:gridSpan w:val="2"/>
        </w:tcPr>
        <w:p>
          <w:pPr>
            <w:pStyle w:val="Header"/>
            <w:spacing w:before="40"/>
            <w:ind w:right="17"/>
            <w:jc w:val="right"/>
          </w:pPr>
          <w:r>
            <w:rPr>
              <w:b/>
              <w:i/>
            </w:rPr>
            <w:fldChar w:fldCharType="begin"/>
          </w:r>
          <w:r>
            <w:rPr>
              <w:b/>
              <w:i/>
            </w:rPr>
            <w:instrText xml:space="preserve"> STYLEREF "Name of Act/Reg" </w:instrText>
          </w:r>
          <w:r>
            <w:rPr>
              <w:b/>
              <w:i/>
            </w:rPr>
            <w:fldChar w:fldCharType="separate"/>
          </w:r>
          <w:r>
            <w:rPr>
              <w:b/>
              <w:i/>
            </w:rPr>
            <w:t>Children and Community Services Regulations 2006</w:t>
          </w:r>
          <w:r>
            <w:rPr>
              <w:b/>
              <w:i/>
            </w:rPr>
            <w:fldChar w:fldCharType="end"/>
          </w:r>
        </w:p>
      </w:tc>
    </w:tr>
    <w:tr>
      <w:tc>
        <w:tcPr>
          <w:tcW w:w="5884" w:type="dxa"/>
        </w:tcPr>
        <w:p>
          <w:pPr>
            <w:pStyle w:val="Header"/>
            <w:spacing w:before="40"/>
            <w:jc w:val="right"/>
          </w:pPr>
        </w:p>
      </w:tc>
      <w:tc>
        <w:tcPr>
          <w:tcW w:w="1379" w:type="dxa"/>
        </w:tcPr>
        <w:p>
          <w:pPr>
            <w:pStyle w:val="Header"/>
            <w:spacing w:before="40"/>
            <w:ind w:right="17"/>
            <w:jc w:val="right"/>
          </w:pPr>
        </w:p>
      </w:tc>
    </w:tr>
    <w:tr>
      <w:tc>
        <w:tcPr>
          <w:tcW w:w="5884" w:type="dxa"/>
        </w:tcPr>
        <w:p>
          <w:pPr>
            <w:pStyle w:val="Header"/>
            <w:spacing w:before="40"/>
            <w:jc w:val="right"/>
          </w:pPr>
        </w:p>
      </w:tc>
      <w:tc>
        <w:tcPr>
          <w:tcW w:w="1379" w:type="dxa"/>
        </w:tcPr>
        <w:p>
          <w:pPr>
            <w:pStyle w:val="Header"/>
            <w:spacing w:before="40"/>
            <w:ind w:right="17"/>
            <w:jc w:val="right"/>
          </w:pPr>
        </w:p>
      </w:tc>
    </w:tr>
    <w:tr>
      <w:trPr>
        <w:cantSplit/>
      </w:trPr>
      <w:tc>
        <w:tcPr>
          <w:tcW w:w="7263" w:type="dxa"/>
          <w:gridSpan w:val="2"/>
        </w:tcPr>
        <w:p>
          <w:pPr>
            <w:pStyle w:val="Header"/>
            <w:spacing w:before="40"/>
            <w:ind w:right="17"/>
            <w:jc w:val="right"/>
          </w:pPr>
          <w:r>
            <w:t>Defined terms</w:t>
          </w:r>
        </w:p>
      </w:tc>
    </w:tr>
  </w:tbl>
  <w:p>
    <w:pPr>
      <w:pStyle w:val="Header"/>
      <w:pBdr>
        <w:top w:val="single" w:sz="4" w:space="1" w:color="auto"/>
      </w:pBdr>
    </w:pPr>
    <w:bookmarkStart w:id="214" w:name="DefinedTerms"/>
    <w:bookmarkEnd w:id="214"/>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215" w:name="Coversheet"/>
    <w:bookmarkEnd w:id="215"/>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A15AA3CC"/>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E188B448"/>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E78DFDE"/>
    <w:lvl w:ilvl="0">
      <w:start w:val="1"/>
      <w:numFmt w:val="decimal"/>
      <w:pStyle w:val="ListNumber3"/>
      <w:lvlText w:val="%1."/>
      <w:lvlJc w:val="left"/>
      <w:pPr>
        <w:tabs>
          <w:tab w:val="num" w:pos="926"/>
        </w:tabs>
        <w:ind w:left="926" w:hanging="360"/>
      </w:pPr>
    </w:lvl>
  </w:abstractNum>
  <w:abstractNum w:abstractNumId="3">
    <w:nsid w:val="FFFFFF7F"/>
    <w:multiLevelType w:val="singleLevel"/>
    <w:tmpl w:val="180AADA2"/>
    <w:lvl w:ilvl="0">
      <w:start w:val="1"/>
      <w:numFmt w:val="decimal"/>
      <w:pStyle w:val="ListNumber2"/>
      <w:lvlText w:val="%1."/>
      <w:lvlJc w:val="left"/>
      <w:pPr>
        <w:tabs>
          <w:tab w:val="num" w:pos="643"/>
        </w:tabs>
        <w:ind w:left="643" w:hanging="360"/>
      </w:pPr>
    </w:lvl>
  </w:abstractNum>
  <w:abstractNum w:abstractNumId="4">
    <w:nsid w:val="FFFFFF80"/>
    <w:multiLevelType w:val="singleLevel"/>
    <w:tmpl w:val="414C91D2"/>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F808CBB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478663D2"/>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31563A34"/>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ADCE66E0"/>
    <w:lvl w:ilvl="0">
      <w:start w:val="1"/>
      <w:numFmt w:val="decimal"/>
      <w:pStyle w:val="ListNumber"/>
      <w:lvlText w:val="%1."/>
      <w:lvlJc w:val="left"/>
      <w:pPr>
        <w:tabs>
          <w:tab w:val="num" w:pos="360"/>
        </w:tabs>
        <w:ind w:left="360" w:hanging="360"/>
      </w:pPr>
    </w:lvl>
  </w:abstractNum>
  <w:abstractNum w:abstractNumId="9">
    <w:nsid w:val="FFFFFF89"/>
    <w:multiLevelType w:val="singleLevel"/>
    <w:tmpl w:val="D5DC023C"/>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5716D3"/>
    <w:multiLevelType w:val="multilevel"/>
    <w:tmpl w:val="60309F98"/>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11">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0BB370D7"/>
    <w:multiLevelType w:val="multilevel"/>
    <w:tmpl w:val="B9D6DF1A"/>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nsid w:val="0F3C3412"/>
    <w:multiLevelType w:val="multilevel"/>
    <w:tmpl w:val="D78487F2"/>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4">
    <w:nsid w:val="10D02321"/>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5">
    <w:nsid w:val="138B63E2"/>
    <w:multiLevelType w:val="multilevel"/>
    <w:tmpl w:val="FB266D5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6">
    <w:nsid w:val="16880C58"/>
    <w:multiLevelType w:val="multilevel"/>
    <w:tmpl w:val="7226A03A"/>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7">
    <w:nsid w:val="22FF52EB"/>
    <w:multiLevelType w:val="multilevel"/>
    <w:tmpl w:val="CDCEDB68"/>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8">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21">
    <w:nsid w:val="310F4753"/>
    <w:multiLevelType w:val="multilevel"/>
    <w:tmpl w:val="4F04CBBC"/>
    <w:name w:val="SchedulePart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2">
    <w:nsid w:val="351C33A5"/>
    <w:multiLevelType w:val="multilevel"/>
    <w:tmpl w:val="6A7E0364"/>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3">
    <w:nsid w:val="359138CB"/>
    <w:multiLevelType w:val="multilevel"/>
    <w:tmpl w:val="C868F7A4"/>
    <w:name w:val="TableNumbers"/>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4">
    <w:nsid w:val="3A396798"/>
    <w:multiLevelType w:val="multilevel"/>
    <w:tmpl w:val="0B425D62"/>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5">
    <w:nsid w:val="3C2808C0"/>
    <w:multiLevelType w:val="singleLevel"/>
    <w:tmpl w:val="6FFA42DE"/>
    <w:lvl w:ilvl="0">
      <w:start w:val="1"/>
      <w:numFmt w:val="bullet"/>
      <w:pStyle w:val="NotesPerm2"/>
      <w:lvlText w:val=""/>
      <w:lvlJc w:val="left"/>
      <w:pPr>
        <w:tabs>
          <w:tab w:val="num" w:pos="1446"/>
        </w:tabs>
        <w:ind w:left="1446" w:hanging="567"/>
      </w:pPr>
      <w:rPr>
        <w:rFonts w:ascii="Symbol" w:hAnsi="Symbol" w:hint="default"/>
      </w:rPr>
    </w:lvl>
  </w:abstractNum>
  <w:abstractNum w:abstractNumId="26">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8">
    <w:nsid w:val="55CD6C56"/>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9">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30">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31">
    <w:nsid w:val="69F82C98"/>
    <w:multiLevelType w:val="multilevel"/>
    <w:tmpl w:val="70E21894"/>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2">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3">
    <w:nsid w:val="6FDE73CC"/>
    <w:multiLevelType w:val="multilevel"/>
    <w:tmpl w:val="04E64ACC"/>
    <w:name w:val="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17"/>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 w:numId="12">
    <w:abstractNumId w:val="25"/>
  </w:num>
  <w:num w:numId="13">
    <w:abstractNumId w:val="14"/>
  </w:num>
  <w:num w:numId="14">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28"/>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114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pos w:val="sectEnd"/>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51208094346"/>
    <w:docVar w:name="WAFER_20140121133117" w:val="RemoveTocBookmarks,RemoveUnusedBookmarks,RemoveLanguageTags,UsedStyles,ResetPageSize,UpdateArrangement"/>
    <w:docVar w:name="WAFER_20140121133117_GUID" w:val="59c53881-6f93-4db4-9c2b-30bf43e1754e"/>
    <w:docVar w:name="WAFER_20140121134956" w:val="RemoveTocBookmarks,RunningHeaders"/>
    <w:docVar w:name="WAFER_20140121134956_GUID" w:val="1bec880c-e586-49ab-92d8-853a671149b3"/>
    <w:docVar w:name="WAFER_20150331161310" w:val="ResetPageSize,UpdateArrangement,UpdateNTable"/>
    <w:docVar w:name="WAFER_20150331161310_GUID" w:val="8ff62947-dfd2-4d01-a4a7-32848698c515"/>
    <w:docVar w:name="WAFER_20151208094346" w:val="RemoveTrackChanges"/>
    <w:docVar w:name="WAFER_20151208094346_GUID" w:val="86b2b7f4-8a72-4055-948e-05253dd3b2b3"/>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martTagType w:namespaceuri="urn:schemas-microsoft-com:office:smarttags" w:name="State"/>
  <w:shapeDefaults>
    <o:shapedefaults v:ext="edit" spidmax="2050"/>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4" w:uiPriority="39"/>
    <w:lsdException w:name="toc 8" w:uiPriority="39"/>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rPr>
  </w:style>
  <w:style w:type="paragraph" w:customStyle="1" w:styleId="Actno">
    <w:name w:val="Actno"/>
    <w:basedOn w:val="NameofActReg"/>
    <w:next w:val="Normal"/>
    <w:autoRedefine/>
    <w:pPr>
      <w:spacing w:before="500"/>
    </w:pPr>
    <w:rPr>
      <w:sz w:val="26"/>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rPr>
  </w:style>
  <w:style w:type="paragraph" w:customStyle="1" w:styleId="Subsection">
    <w:name w:val="Subsection"/>
    <w:pPr>
      <w:tabs>
        <w:tab w:val="right" w:pos="595"/>
        <w:tab w:val="left" w:pos="879"/>
      </w:tabs>
      <w:spacing w:before="160" w:line="260" w:lineRule="atLeast"/>
      <w:ind w:left="879" w:hanging="879"/>
    </w:pPr>
    <w:rPr>
      <w:sz w:val="24"/>
    </w:r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Produced">
    <w:name w:val="CharProduced"/>
    <w:rPr>
      <w:noProof w:val="0"/>
      <w:spacing w:val="-3"/>
    </w:rPr>
  </w:style>
  <w:style w:type="character" w:customStyle="1" w:styleId="CharSchNo">
    <w:name w:val="CharSchNo"/>
    <w:rPr>
      <w:noProof w:val="0"/>
    </w:rPr>
  </w:style>
  <w:style w:type="character" w:customStyle="1" w:styleId="CharSectno">
    <w:name w:val="CharSect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nitionNumbers">
    <w:name w:val="DefinitionNumbers"/>
    <w:basedOn w:val="Normal"/>
    <w:pPr>
      <w:numPr>
        <w:numId w:val="1"/>
      </w:numPr>
    </w:pPr>
  </w:style>
  <w:style w:type="paragraph" w:customStyle="1" w:styleId="Defitem">
    <w:name w:val="Defitem"/>
    <w:pPr>
      <w:tabs>
        <w:tab w:val="right" w:pos="2892"/>
        <w:tab w:val="left" w:pos="3204"/>
      </w:tabs>
      <w:spacing w:before="80" w:line="260" w:lineRule="atLeast"/>
      <w:ind w:left="3204" w:hanging="3204"/>
    </w:pPr>
    <w:rPr>
      <w:sz w:val="24"/>
    </w:rPr>
  </w:style>
  <w:style w:type="paragraph" w:customStyle="1" w:styleId="Defpara">
    <w:name w:val="Defpara"/>
    <w:pPr>
      <w:tabs>
        <w:tab w:val="right" w:pos="1332"/>
        <w:tab w:val="left" w:pos="1616"/>
      </w:tabs>
      <w:spacing w:before="80" w:line="260" w:lineRule="atLeast"/>
      <w:ind w:left="1616" w:hanging="1616"/>
    </w:pPr>
    <w:rPr>
      <w:snapToGrid w:val="0"/>
      <w:sz w:val="24"/>
    </w:rPr>
  </w:style>
  <w:style w:type="paragraph" w:customStyle="1" w:styleId="Defstart">
    <w:name w:val="Defstart"/>
    <w:pPr>
      <w:tabs>
        <w:tab w:val="left" w:pos="879"/>
      </w:tabs>
      <w:spacing w:before="80" w:line="260" w:lineRule="atLeast"/>
      <w:ind w:left="879" w:hanging="879"/>
    </w:pPr>
    <w:rPr>
      <w:snapToGrid w:val="0"/>
      <w:sz w:val="24"/>
    </w:rPr>
  </w:style>
  <w:style w:type="paragraph" w:customStyle="1" w:styleId="Defsubpara">
    <w:name w:val="Defsubpara"/>
    <w:pPr>
      <w:keepLines/>
      <w:tabs>
        <w:tab w:val="right" w:pos="2041"/>
        <w:tab w:val="left" w:pos="2325"/>
      </w:tabs>
      <w:spacing w:before="80" w:line="260" w:lineRule="atLeast"/>
      <w:ind w:left="2325" w:hanging="2325"/>
    </w:pPr>
    <w:rPr>
      <w:sz w:val="24"/>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Ednotepara"/>
    <w:pPr>
      <w:tabs>
        <w:tab w:val="clear" w:pos="1325"/>
        <w:tab w:val="right" w:pos="1613"/>
        <w:tab w:val="left" w:pos="1901"/>
      </w:tabs>
    </w:p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Ednotesubpara"/>
    <w:pPr>
      <w:tabs>
        <w:tab w:val="right" w:pos="2333"/>
        <w:tab w:val="left" w:pos="2621"/>
      </w:tabs>
    </w:p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paragraph" w:customStyle="1" w:styleId="Equation">
    <w:name w:val="Equation"/>
    <w:rPr>
      <w:noProof/>
      <w:sz w:val="24"/>
    </w:rPr>
  </w:style>
  <w:style w:type="character" w:styleId="FollowedHyperlink">
    <w:name w:val="FollowedHyperlink"/>
    <w:basedOn w:val="DefaultParagraphFont"/>
    <w:rPr>
      <w:color w:val="800080"/>
      <w:sz w:val="24"/>
      <w:u w:val="single"/>
    </w:rPr>
  </w:style>
  <w:style w:type="paragraph" w:styleId="Footer">
    <w:name w:val="footer"/>
    <w:basedOn w:val="Normal"/>
    <w:rPr>
      <w:rFonts w:ascii="Arial" w:hAnsi="Arial"/>
      <w:noProof/>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customStyle="1" w:styleId="Graphics">
    <w:name w:val="Graphics"/>
    <w:basedOn w:val="Equation"/>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rPr>
      <w:rFonts w:ascii="Times" w:hAnsi="Times"/>
      <w:sz w:val="18"/>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2"/>
      </w:numPr>
    </w:pPr>
  </w:style>
  <w:style w:type="paragraph" w:styleId="ListBullet2">
    <w:name w:val="List Bullet 2"/>
    <w:basedOn w:val="Normal"/>
    <w:autoRedefine/>
    <w:pPr>
      <w:numPr>
        <w:numId w:val="3"/>
      </w:numPr>
      <w:tabs>
        <w:tab w:val="clear" w:pos="643"/>
        <w:tab w:val="num" w:pos="720"/>
      </w:tabs>
      <w:ind w:left="720"/>
    </w:pPr>
  </w:style>
  <w:style w:type="paragraph" w:styleId="ListBullet3">
    <w:name w:val="List Bullet 3"/>
    <w:basedOn w:val="Normal"/>
    <w:autoRedefine/>
    <w:pPr>
      <w:numPr>
        <w:numId w:val="4"/>
      </w:numPr>
      <w:tabs>
        <w:tab w:val="clear" w:pos="926"/>
        <w:tab w:val="num" w:pos="1080"/>
      </w:tabs>
      <w:ind w:left="1080"/>
    </w:pPr>
  </w:style>
  <w:style w:type="paragraph" w:styleId="ListBullet4">
    <w:name w:val="List Bullet 4"/>
    <w:basedOn w:val="Normal"/>
    <w:autoRedefine/>
    <w:pPr>
      <w:numPr>
        <w:numId w:val="5"/>
      </w:numPr>
      <w:tabs>
        <w:tab w:val="clear" w:pos="1209"/>
        <w:tab w:val="num" w:pos="1440"/>
      </w:tabs>
      <w:ind w:left="1440"/>
    </w:pPr>
  </w:style>
  <w:style w:type="paragraph" w:styleId="ListBullet5">
    <w:name w:val="List Bullet 5"/>
    <w:basedOn w:val="Normal"/>
    <w:autoRedefine/>
    <w:pPr>
      <w:numPr>
        <w:numId w:val="6"/>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7"/>
      </w:numPr>
    </w:pPr>
  </w:style>
  <w:style w:type="paragraph" w:styleId="ListNumber2">
    <w:name w:val="List Number 2"/>
    <w:basedOn w:val="Normal"/>
    <w:pPr>
      <w:numPr>
        <w:numId w:val="8"/>
      </w:numPr>
      <w:tabs>
        <w:tab w:val="clear" w:pos="643"/>
        <w:tab w:val="num" w:pos="720"/>
      </w:tabs>
      <w:ind w:left="720"/>
    </w:pPr>
  </w:style>
  <w:style w:type="paragraph" w:styleId="ListNumber3">
    <w:name w:val="List Number 3"/>
    <w:basedOn w:val="Normal"/>
    <w:pPr>
      <w:numPr>
        <w:numId w:val="9"/>
      </w:numPr>
      <w:tabs>
        <w:tab w:val="clear" w:pos="926"/>
        <w:tab w:val="num" w:pos="1080"/>
      </w:tabs>
      <w:ind w:left="1080"/>
    </w:pPr>
  </w:style>
  <w:style w:type="paragraph" w:styleId="ListNumber4">
    <w:name w:val="List Number 4"/>
    <w:basedOn w:val="Normal"/>
    <w:pPr>
      <w:numPr>
        <w:numId w:val="10"/>
      </w:numPr>
      <w:tabs>
        <w:tab w:val="clear" w:pos="1209"/>
        <w:tab w:val="num" w:pos="1440"/>
      </w:tabs>
      <w:ind w:left="1440"/>
    </w:pPr>
  </w:style>
  <w:style w:type="paragraph" w:styleId="ListNumber5">
    <w:name w:val="List Number 5"/>
    <w:basedOn w:val="Normal"/>
    <w:pPr>
      <w:numPr>
        <w:numId w:val="11"/>
      </w:numPr>
      <w:tabs>
        <w:tab w:val="clear" w:pos="1492"/>
        <w:tab w:val="num" w:pos="1800"/>
      </w:tabs>
      <w:ind w:left="1800"/>
    </w:pPr>
  </w:style>
  <w:style w:type="paragraph" w:customStyle="1" w:styleId="LongTitle">
    <w:name w:val="Long Title"/>
    <w:rPr>
      <w:b/>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MadeBy">
    <w:name w:val="MadeBy"/>
    <w:pPr>
      <w:spacing w:before="600"/>
    </w:pPr>
    <w:rPr>
      <w:sz w:val="24"/>
    </w:rPr>
  </w:style>
  <w:style w:type="paragraph" w:customStyle="1" w:styleId="Mainnumbers">
    <w:name w:val="Mainnumbers"/>
    <w:basedOn w:val="Normal"/>
    <w:pPr>
      <w:tabs>
        <w:tab w:val="num" w:pos="1440"/>
      </w:tabs>
      <w:ind w:left="360" w:hanging="36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Defpara">
    <w:name w:val="nDefpara"/>
    <w:basedOn w:val="Defpara"/>
    <w:pPr>
      <w:spacing w:before="40" w:line="240" w:lineRule="auto"/>
    </w:pPr>
    <w:rPr>
      <w:sz w:val="20"/>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nPenpara">
    <w:name w:val="nPenpara"/>
    <w:basedOn w:val="Penpara"/>
    <w:pPr>
      <w:spacing w:before="40" w:line="240" w:lineRule="auto"/>
    </w:pPr>
    <w:rPr>
      <w:sz w:val="20"/>
    </w:rPr>
  </w:style>
  <w:style w:type="paragraph" w:customStyle="1" w:styleId="Penstart">
    <w:name w:val="Penstart"/>
    <w:basedOn w:val="Normal"/>
    <w:pPr>
      <w:tabs>
        <w:tab w:val="left" w:pos="879"/>
      </w:tabs>
      <w:spacing w:before="80" w:line="260" w:lineRule="atLeast"/>
      <w:ind w:left="1332" w:hanging="1332"/>
    </w:p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Table">
    <w:name w:val="Table"/>
    <w:aliases w:val="t"/>
    <w:basedOn w:val="Normal"/>
    <w:pPr>
      <w:spacing w:before="60" w:line="240" w:lineRule="atLeast"/>
    </w:pPr>
    <w:rPr>
      <w:sz w:val="22"/>
    </w:rPr>
  </w:style>
  <w:style w:type="paragraph" w:customStyle="1" w:styleId="nTable">
    <w:name w:val="nTable"/>
    <w:basedOn w:val="Table"/>
    <w:pPr>
      <w:spacing w:before="40" w:line="240" w:lineRule="auto"/>
    </w:pPr>
    <w:rPr>
      <w:sz w:val="19"/>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nzDefpara">
    <w:name w:val="nzDefpara"/>
    <w:basedOn w:val="zDefpara"/>
    <w:pPr>
      <w:spacing w:before="40" w:line="240" w:lineRule="auto"/>
    </w:pPr>
    <w:rPr>
      <w:sz w:val="20"/>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nzDefstart">
    <w:name w:val="nzDefstart"/>
    <w:basedOn w:val="zDefstart"/>
    <w:pPr>
      <w:spacing w:before="40" w:line="240" w:lineRule="auto"/>
    </w:pPr>
    <w:rPr>
      <w:sz w:val="2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nzDefsubpara">
    <w:name w:val="nzDefsubpara"/>
    <w:basedOn w:val="zDefsubpara"/>
    <w:pPr>
      <w:spacing w:before="40" w:line="240" w:lineRule="auto"/>
    </w:pPr>
    <w:rPr>
      <w:sz w:val="2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nzTable">
    <w:name w:val="nzTable"/>
    <w:basedOn w:val="Normal"/>
    <w:rPr>
      <w:sz w:val="20"/>
    </w:r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reamble">
    <w:name w:val="Preamble"/>
    <w:pPr>
      <w:tabs>
        <w:tab w:val="left" w:pos="567"/>
      </w:tabs>
      <w:spacing w:before="160" w:line="260" w:lineRule="atLeast"/>
      <w:ind w:left="567" w:hanging="567"/>
    </w:pPr>
    <w:rPr>
      <w:rFonts w:ascii="Times" w:hAnsi="Times"/>
      <w:sz w:val="24"/>
    </w:rPr>
  </w:style>
  <w:style w:type="paragraph" w:customStyle="1" w:styleId="PrincipalActReg">
    <w:name w:val="PrincipalAct_Reg"/>
    <w:pPr>
      <w:spacing w:after="480"/>
      <w:jc w:val="center"/>
    </w:pPr>
    <w:rPr>
      <w:sz w:val="24"/>
    </w:rPr>
  </w:style>
  <w:style w:type="paragraph" w:customStyle="1" w:styleId="Repealed">
    <w:name w:val="Repealed"/>
    <w:basedOn w:val="Heading5"/>
    <w:rPr>
      <w:b w:val="0"/>
      <w:i/>
    </w:rPr>
  </w:style>
  <w:style w:type="paragraph" w:styleId="Salutation">
    <w:name w:val="Salutation"/>
    <w:basedOn w:val="Normal"/>
    <w:next w:val="Normal"/>
  </w:style>
  <w:style w:type="paragraph" w:customStyle="1" w:styleId="SectionNumbers">
    <w:name w:val="SectionNumbers"/>
    <w:basedOn w:val="Normal"/>
    <w:pPr>
      <w:tabs>
        <w:tab w:val="num" w:pos="0"/>
        <w:tab w:val="right" w:pos="1152"/>
      </w:tabs>
      <w:spacing w:line="260" w:lineRule="atLeast"/>
    </w:pPr>
  </w:style>
  <w:style w:type="paragraph" w:customStyle="1" w:styleId="ShortT">
    <w:name w:val="ShortT"/>
    <w:basedOn w:val="Normal"/>
    <w:next w:val="Normal"/>
    <w:pPr>
      <w:spacing w:before="800"/>
      <w:jc w:val="center"/>
    </w:pPr>
    <w:rPr>
      <w:b/>
      <w:snapToGrid w:val="0"/>
      <w:sz w:val="38"/>
    </w:rPr>
  </w:style>
  <w:style w:type="paragraph" w:styleId="Signature">
    <w:name w:val="Signature"/>
    <w:basedOn w:val="Normal"/>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yDefitem">
    <w:name w:val="yDefitem"/>
    <w:basedOn w:val="Defitem"/>
    <w:pPr>
      <w:spacing w:line="240" w:lineRule="auto"/>
    </w:pPr>
    <w:rPr>
      <w:sz w:val="22"/>
    </w:r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basedOn w:val="zDefitem"/>
    <w:pPr>
      <w:spacing w:line="240" w:lineRule="auto"/>
    </w:pPr>
    <w:rPr>
      <w:sz w:val="22"/>
    </w:r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rPr>
      <w:rFonts w:ascii="Arial" w:hAnsi="Arial"/>
      <w:noProof/>
    </w:rPr>
  </w:style>
  <w:style w:type="character" w:customStyle="1" w:styleId="CharDefText">
    <w:name w:val="CharDefText"/>
    <w:basedOn w:val="DefaultParagraphFont"/>
    <w:rPr>
      <w:b/>
      <w:i/>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r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otesPerm2">
    <w:name w:val="NotesPerm(2)"/>
    <w:basedOn w:val="NotesPerm"/>
    <w:pPr>
      <w:numPr>
        <w:numId w:val="12"/>
      </w:numPr>
      <w:tabs>
        <w:tab w:val="clear" w:pos="879"/>
      </w:tabs>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SignatureText">
    <w:name w:val="SignatureText"/>
    <w:basedOn w:val="Normal"/>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ubsection">
    <w:name w:val="yEdnote(subsection)"/>
    <w:basedOn w:val="Ednotesubsection"/>
    <w:rPr>
      <w:sz w:val="22"/>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TableAm">
    <w:name w:val="TableAm"/>
    <w:basedOn w:val="Normal"/>
    <w:pPr>
      <w:spacing w:before="120"/>
    </w:pPr>
  </w:style>
  <w:style w:type="paragraph" w:customStyle="1" w:styleId="TableAmNote">
    <w:name w:val="TableAmNote"/>
    <w:basedOn w:val="NotesPerm"/>
    <w:pPr>
      <w:tabs>
        <w:tab w:val="clear" w:pos="879"/>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TableNAm">
    <w:name w:val="TableNAm"/>
    <w:basedOn w:val="TableAm"/>
    <w:pPr>
      <w:tabs>
        <w:tab w:val="left" w:pos="567"/>
      </w:tabs>
    </w:pPr>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TableNAm">
    <w:name w:val="yTableNAm"/>
    <w:basedOn w:val="TableAm"/>
    <w:pPr>
      <w:tabs>
        <w:tab w:val="left" w:pos="567"/>
      </w:tabs>
    </w:pPr>
    <w:rPr>
      <w:sz w:val="22"/>
    </w:rPr>
  </w:style>
  <w:style w:type="paragraph" w:customStyle="1" w:styleId="yTHeadingNAm">
    <w:name w:val="yTHeadingNAm"/>
    <w:basedOn w:val="THeading"/>
    <w:pPr>
      <w:ind w:left="142" w:right="142"/>
    </w:pPr>
    <w:rPr>
      <w:sz w:val="22"/>
    </w:rPr>
  </w:style>
  <w:style w:type="paragraph" w:customStyle="1" w:styleId="zTableNAm">
    <w:name w:val="zTableNAm"/>
    <w:basedOn w:val="TableAm"/>
    <w:pPr>
      <w:tabs>
        <w:tab w:val="left" w:pos="567"/>
      </w:tabs>
    </w:pPr>
  </w:style>
  <w:style w:type="paragraph" w:customStyle="1" w:styleId="zTHeadingNAm">
    <w:name w:val="zTHeadingNAm"/>
    <w:basedOn w:val="THeading"/>
    <w:pPr>
      <w:ind w:left="1446" w:right="142"/>
    </w:pPr>
  </w:style>
  <w:style w:type="paragraph" w:customStyle="1" w:styleId="zyTableNAm">
    <w:name w:val="zyTableNAm"/>
    <w:basedOn w:val="TableAm"/>
    <w:pPr>
      <w:tabs>
        <w:tab w:val="left" w:pos="567"/>
      </w:tabs>
    </w:pPr>
    <w:rPr>
      <w:sz w:val="22"/>
    </w:rPr>
  </w:style>
  <w:style w:type="paragraph" w:customStyle="1" w:styleId="zyTHeadingNAm">
    <w:name w:val="zyTHeadingNAm"/>
    <w:basedOn w:val="THeading"/>
    <w:pPr>
      <w:ind w:left="709" w:right="142"/>
    </w:pPr>
    <w:rPr>
      <w:sz w:val="22"/>
    </w:rPr>
  </w:style>
  <w:style w:type="paragraph" w:styleId="BalloonText">
    <w:name w:val="Balloon Text"/>
    <w:basedOn w:val="Normal"/>
    <w:semiHidden/>
    <w:rPr>
      <w:rFonts w:ascii="Tahoma" w:hAnsi="Tahoma" w:cs="Tahoma"/>
      <w:sz w:val="16"/>
      <w:szCs w:val="16"/>
    </w:rPr>
  </w:style>
  <w:style w:type="paragraph" w:customStyle="1" w:styleId="PrincipalActRegPage1">
    <w:name w:val="PrincipalAct_Reg(Page 1)"/>
    <w:pPr>
      <w:spacing w:before="2600"/>
      <w:jc w:val="center"/>
    </w:pPr>
    <w:rPr>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4" w:uiPriority="39"/>
    <w:lsdException w:name="toc 8" w:uiPriority="39"/>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rPr>
  </w:style>
  <w:style w:type="paragraph" w:customStyle="1" w:styleId="Actno">
    <w:name w:val="Actno"/>
    <w:basedOn w:val="NameofActReg"/>
    <w:next w:val="Normal"/>
    <w:autoRedefine/>
    <w:pPr>
      <w:spacing w:before="500"/>
    </w:pPr>
    <w:rPr>
      <w:sz w:val="26"/>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rPr>
  </w:style>
  <w:style w:type="paragraph" w:customStyle="1" w:styleId="Subsection">
    <w:name w:val="Subsection"/>
    <w:pPr>
      <w:tabs>
        <w:tab w:val="right" w:pos="595"/>
        <w:tab w:val="left" w:pos="879"/>
      </w:tabs>
      <w:spacing w:before="160" w:line="260" w:lineRule="atLeast"/>
      <w:ind w:left="879" w:hanging="879"/>
    </w:pPr>
    <w:rPr>
      <w:sz w:val="24"/>
    </w:r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Produced">
    <w:name w:val="CharProduced"/>
    <w:rPr>
      <w:noProof w:val="0"/>
      <w:spacing w:val="-3"/>
    </w:rPr>
  </w:style>
  <w:style w:type="character" w:customStyle="1" w:styleId="CharSchNo">
    <w:name w:val="CharSchNo"/>
    <w:rPr>
      <w:noProof w:val="0"/>
    </w:rPr>
  </w:style>
  <w:style w:type="character" w:customStyle="1" w:styleId="CharSectno">
    <w:name w:val="CharSect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nitionNumbers">
    <w:name w:val="DefinitionNumbers"/>
    <w:basedOn w:val="Normal"/>
    <w:pPr>
      <w:numPr>
        <w:numId w:val="1"/>
      </w:numPr>
    </w:pPr>
  </w:style>
  <w:style w:type="paragraph" w:customStyle="1" w:styleId="Defitem">
    <w:name w:val="Defitem"/>
    <w:pPr>
      <w:tabs>
        <w:tab w:val="right" w:pos="2892"/>
        <w:tab w:val="left" w:pos="3204"/>
      </w:tabs>
      <w:spacing w:before="80" w:line="260" w:lineRule="atLeast"/>
      <w:ind w:left="3204" w:hanging="3204"/>
    </w:pPr>
    <w:rPr>
      <w:sz w:val="24"/>
    </w:rPr>
  </w:style>
  <w:style w:type="paragraph" w:customStyle="1" w:styleId="Defpara">
    <w:name w:val="Defpara"/>
    <w:pPr>
      <w:tabs>
        <w:tab w:val="right" w:pos="1332"/>
        <w:tab w:val="left" w:pos="1616"/>
      </w:tabs>
      <w:spacing w:before="80" w:line="260" w:lineRule="atLeast"/>
      <w:ind w:left="1616" w:hanging="1616"/>
    </w:pPr>
    <w:rPr>
      <w:snapToGrid w:val="0"/>
      <w:sz w:val="24"/>
    </w:rPr>
  </w:style>
  <w:style w:type="paragraph" w:customStyle="1" w:styleId="Defstart">
    <w:name w:val="Defstart"/>
    <w:pPr>
      <w:tabs>
        <w:tab w:val="left" w:pos="879"/>
      </w:tabs>
      <w:spacing w:before="80" w:line="260" w:lineRule="atLeast"/>
      <w:ind w:left="879" w:hanging="879"/>
    </w:pPr>
    <w:rPr>
      <w:snapToGrid w:val="0"/>
      <w:sz w:val="24"/>
    </w:rPr>
  </w:style>
  <w:style w:type="paragraph" w:customStyle="1" w:styleId="Defsubpara">
    <w:name w:val="Defsubpara"/>
    <w:pPr>
      <w:keepLines/>
      <w:tabs>
        <w:tab w:val="right" w:pos="2041"/>
        <w:tab w:val="left" w:pos="2325"/>
      </w:tabs>
      <w:spacing w:before="80" w:line="260" w:lineRule="atLeast"/>
      <w:ind w:left="2325" w:hanging="2325"/>
    </w:pPr>
    <w:rPr>
      <w:sz w:val="24"/>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Ednotepara"/>
    <w:pPr>
      <w:tabs>
        <w:tab w:val="clear" w:pos="1325"/>
        <w:tab w:val="right" w:pos="1613"/>
        <w:tab w:val="left" w:pos="1901"/>
      </w:tabs>
    </w:p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Ednotesubpara"/>
    <w:pPr>
      <w:tabs>
        <w:tab w:val="right" w:pos="2333"/>
        <w:tab w:val="left" w:pos="2621"/>
      </w:tabs>
    </w:p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paragraph" w:customStyle="1" w:styleId="Equation">
    <w:name w:val="Equation"/>
    <w:rPr>
      <w:noProof/>
      <w:sz w:val="24"/>
    </w:rPr>
  </w:style>
  <w:style w:type="character" w:styleId="FollowedHyperlink">
    <w:name w:val="FollowedHyperlink"/>
    <w:basedOn w:val="DefaultParagraphFont"/>
    <w:rPr>
      <w:color w:val="800080"/>
      <w:sz w:val="24"/>
      <w:u w:val="single"/>
    </w:rPr>
  </w:style>
  <w:style w:type="paragraph" w:styleId="Footer">
    <w:name w:val="footer"/>
    <w:basedOn w:val="Normal"/>
    <w:rPr>
      <w:rFonts w:ascii="Arial" w:hAnsi="Arial"/>
      <w:noProof/>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customStyle="1" w:styleId="Graphics">
    <w:name w:val="Graphics"/>
    <w:basedOn w:val="Equation"/>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rPr>
      <w:rFonts w:ascii="Times" w:hAnsi="Times"/>
      <w:sz w:val="18"/>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2"/>
      </w:numPr>
    </w:pPr>
  </w:style>
  <w:style w:type="paragraph" w:styleId="ListBullet2">
    <w:name w:val="List Bullet 2"/>
    <w:basedOn w:val="Normal"/>
    <w:autoRedefine/>
    <w:pPr>
      <w:numPr>
        <w:numId w:val="3"/>
      </w:numPr>
      <w:tabs>
        <w:tab w:val="clear" w:pos="643"/>
        <w:tab w:val="num" w:pos="720"/>
      </w:tabs>
      <w:ind w:left="720"/>
    </w:pPr>
  </w:style>
  <w:style w:type="paragraph" w:styleId="ListBullet3">
    <w:name w:val="List Bullet 3"/>
    <w:basedOn w:val="Normal"/>
    <w:autoRedefine/>
    <w:pPr>
      <w:numPr>
        <w:numId w:val="4"/>
      </w:numPr>
      <w:tabs>
        <w:tab w:val="clear" w:pos="926"/>
        <w:tab w:val="num" w:pos="1080"/>
      </w:tabs>
      <w:ind w:left="1080"/>
    </w:pPr>
  </w:style>
  <w:style w:type="paragraph" w:styleId="ListBullet4">
    <w:name w:val="List Bullet 4"/>
    <w:basedOn w:val="Normal"/>
    <w:autoRedefine/>
    <w:pPr>
      <w:numPr>
        <w:numId w:val="5"/>
      </w:numPr>
      <w:tabs>
        <w:tab w:val="clear" w:pos="1209"/>
        <w:tab w:val="num" w:pos="1440"/>
      </w:tabs>
      <w:ind w:left="1440"/>
    </w:pPr>
  </w:style>
  <w:style w:type="paragraph" w:styleId="ListBullet5">
    <w:name w:val="List Bullet 5"/>
    <w:basedOn w:val="Normal"/>
    <w:autoRedefine/>
    <w:pPr>
      <w:numPr>
        <w:numId w:val="6"/>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7"/>
      </w:numPr>
    </w:pPr>
  </w:style>
  <w:style w:type="paragraph" w:styleId="ListNumber2">
    <w:name w:val="List Number 2"/>
    <w:basedOn w:val="Normal"/>
    <w:pPr>
      <w:numPr>
        <w:numId w:val="8"/>
      </w:numPr>
      <w:tabs>
        <w:tab w:val="clear" w:pos="643"/>
        <w:tab w:val="num" w:pos="720"/>
      </w:tabs>
      <w:ind w:left="720"/>
    </w:pPr>
  </w:style>
  <w:style w:type="paragraph" w:styleId="ListNumber3">
    <w:name w:val="List Number 3"/>
    <w:basedOn w:val="Normal"/>
    <w:pPr>
      <w:numPr>
        <w:numId w:val="9"/>
      </w:numPr>
      <w:tabs>
        <w:tab w:val="clear" w:pos="926"/>
        <w:tab w:val="num" w:pos="1080"/>
      </w:tabs>
      <w:ind w:left="1080"/>
    </w:pPr>
  </w:style>
  <w:style w:type="paragraph" w:styleId="ListNumber4">
    <w:name w:val="List Number 4"/>
    <w:basedOn w:val="Normal"/>
    <w:pPr>
      <w:numPr>
        <w:numId w:val="10"/>
      </w:numPr>
      <w:tabs>
        <w:tab w:val="clear" w:pos="1209"/>
        <w:tab w:val="num" w:pos="1440"/>
      </w:tabs>
      <w:ind w:left="1440"/>
    </w:pPr>
  </w:style>
  <w:style w:type="paragraph" w:styleId="ListNumber5">
    <w:name w:val="List Number 5"/>
    <w:basedOn w:val="Normal"/>
    <w:pPr>
      <w:numPr>
        <w:numId w:val="11"/>
      </w:numPr>
      <w:tabs>
        <w:tab w:val="clear" w:pos="1492"/>
        <w:tab w:val="num" w:pos="1800"/>
      </w:tabs>
      <w:ind w:left="1800"/>
    </w:pPr>
  </w:style>
  <w:style w:type="paragraph" w:customStyle="1" w:styleId="LongTitle">
    <w:name w:val="Long Title"/>
    <w:rPr>
      <w:b/>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MadeBy">
    <w:name w:val="MadeBy"/>
    <w:pPr>
      <w:spacing w:before="600"/>
    </w:pPr>
    <w:rPr>
      <w:sz w:val="24"/>
    </w:rPr>
  </w:style>
  <w:style w:type="paragraph" w:customStyle="1" w:styleId="Mainnumbers">
    <w:name w:val="Mainnumbers"/>
    <w:basedOn w:val="Normal"/>
    <w:pPr>
      <w:tabs>
        <w:tab w:val="num" w:pos="1440"/>
      </w:tabs>
      <w:ind w:left="360" w:hanging="36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Defpara">
    <w:name w:val="nDefpara"/>
    <w:basedOn w:val="Defpara"/>
    <w:pPr>
      <w:spacing w:before="40" w:line="240" w:lineRule="auto"/>
    </w:pPr>
    <w:rPr>
      <w:sz w:val="20"/>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nPenpara">
    <w:name w:val="nPenpara"/>
    <w:basedOn w:val="Penpara"/>
    <w:pPr>
      <w:spacing w:before="40" w:line="240" w:lineRule="auto"/>
    </w:pPr>
    <w:rPr>
      <w:sz w:val="20"/>
    </w:rPr>
  </w:style>
  <w:style w:type="paragraph" w:customStyle="1" w:styleId="Penstart">
    <w:name w:val="Penstart"/>
    <w:basedOn w:val="Normal"/>
    <w:pPr>
      <w:tabs>
        <w:tab w:val="left" w:pos="879"/>
      </w:tabs>
      <w:spacing w:before="80" w:line="260" w:lineRule="atLeast"/>
      <w:ind w:left="1332" w:hanging="1332"/>
    </w:p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Table">
    <w:name w:val="Table"/>
    <w:aliases w:val="t"/>
    <w:basedOn w:val="Normal"/>
    <w:pPr>
      <w:spacing w:before="60" w:line="240" w:lineRule="atLeast"/>
    </w:pPr>
    <w:rPr>
      <w:sz w:val="22"/>
    </w:rPr>
  </w:style>
  <w:style w:type="paragraph" w:customStyle="1" w:styleId="nTable">
    <w:name w:val="nTable"/>
    <w:basedOn w:val="Table"/>
    <w:pPr>
      <w:spacing w:before="40" w:line="240" w:lineRule="auto"/>
    </w:pPr>
    <w:rPr>
      <w:sz w:val="19"/>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nzDefpara">
    <w:name w:val="nzDefpara"/>
    <w:basedOn w:val="zDefpara"/>
    <w:pPr>
      <w:spacing w:before="40" w:line="240" w:lineRule="auto"/>
    </w:pPr>
    <w:rPr>
      <w:sz w:val="20"/>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nzDefstart">
    <w:name w:val="nzDefstart"/>
    <w:basedOn w:val="zDefstart"/>
    <w:pPr>
      <w:spacing w:before="40" w:line="240" w:lineRule="auto"/>
    </w:pPr>
    <w:rPr>
      <w:sz w:val="2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nzDefsubpara">
    <w:name w:val="nzDefsubpara"/>
    <w:basedOn w:val="zDefsubpara"/>
    <w:pPr>
      <w:spacing w:before="40" w:line="240" w:lineRule="auto"/>
    </w:pPr>
    <w:rPr>
      <w:sz w:val="2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nzTable">
    <w:name w:val="nzTable"/>
    <w:basedOn w:val="Normal"/>
    <w:rPr>
      <w:sz w:val="20"/>
    </w:r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reamble">
    <w:name w:val="Preamble"/>
    <w:pPr>
      <w:tabs>
        <w:tab w:val="left" w:pos="567"/>
      </w:tabs>
      <w:spacing w:before="160" w:line="260" w:lineRule="atLeast"/>
      <w:ind w:left="567" w:hanging="567"/>
    </w:pPr>
    <w:rPr>
      <w:rFonts w:ascii="Times" w:hAnsi="Times"/>
      <w:sz w:val="24"/>
    </w:rPr>
  </w:style>
  <w:style w:type="paragraph" w:customStyle="1" w:styleId="PrincipalActReg">
    <w:name w:val="PrincipalAct_Reg"/>
    <w:pPr>
      <w:spacing w:after="480"/>
      <w:jc w:val="center"/>
    </w:pPr>
    <w:rPr>
      <w:sz w:val="24"/>
    </w:rPr>
  </w:style>
  <w:style w:type="paragraph" w:customStyle="1" w:styleId="Repealed">
    <w:name w:val="Repealed"/>
    <w:basedOn w:val="Heading5"/>
    <w:rPr>
      <w:b w:val="0"/>
      <w:i/>
    </w:rPr>
  </w:style>
  <w:style w:type="paragraph" w:styleId="Salutation">
    <w:name w:val="Salutation"/>
    <w:basedOn w:val="Normal"/>
    <w:next w:val="Normal"/>
  </w:style>
  <w:style w:type="paragraph" w:customStyle="1" w:styleId="SectionNumbers">
    <w:name w:val="SectionNumbers"/>
    <w:basedOn w:val="Normal"/>
    <w:pPr>
      <w:tabs>
        <w:tab w:val="num" w:pos="0"/>
        <w:tab w:val="right" w:pos="1152"/>
      </w:tabs>
      <w:spacing w:line="260" w:lineRule="atLeast"/>
    </w:pPr>
  </w:style>
  <w:style w:type="paragraph" w:customStyle="1" w:styleId="ShortT">
    <w:name w:val="ShortT"/>
    <w:basedOn w:val="Normal"/>
    <w:next w:val="Normal"/>
    <w:pPr>
      <w:spacing w:before="800"/>
      <w:jc w:val="center"/>
    </w:pPr>
    <w:rPr>
      <w:b/>
      <w:snapToGrid w:val="0"/>
      <w:sz w:val="38"/>
    </w:rPr>
  </w:style>
  <w:style w:type="paragraph" w:styleId="Signature">
    <w:name w:val="Signature"/>
    <w:basedOn w:val="Normal"/>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yDefitem">
    <w:name w:val="yDefitem"/>
    <w:basedOn w:val="Defitem"/>
    <w:pPr>
      <w:spacing w:line="240" w:lineRule="auto"/>
    </w:pPr>
    <w:rPr>
      <w:sz w:val="22"/>
    </w:r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basedOn w:val="zDefitem"/>
    <w:pPr>
      <w:spacing w:line="240" w:lineRule="auto"/>
    </w:pPr>
    <w:rPr>
      <w:sz w:val="22"/>
    </w:r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rPr>
      <w:rFonts w:ascii="Arial" w:hAnsi="Arial"/>
      <w:noProof/>
    </w:rPr>
  </w:style>
  <w:style w:type="character" w:customStyle="1" w:styleId="CharDefText">
    <w:name w:val="CharDefText"/>
    <w:basedOn w:val="DefaultParagraphFont"/>
    <w:rPr>
      <w:b/>
      <w:i/>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r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otesPerm2">
    <w:name w:val="NotesPerm(2)"/>
    <w:basedOn w:val="NotesPerm"/>
    <w:pPr>
      <w:numPr>
        <w:numId w:val="12"/>
      </w:numPr>
      <w:tabs>
        <w:tab w:val="clear" w:pos="879"/>
      </w:tabs>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SignatureText">
    <w:name w:val="SignatureText"/>
    <w:basedOn w:val="Normal"/>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ubsection">
    <w:name w:val="yEdnote(subsection)"/>
    <w:basedOn w:val="Ednotesubsection"/>
    <w:rPr>
      <w:sz w:val="22"/>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TableAm">
    <w:name w:val="TableAm"/>
    <w:basedOn w:val="Normal"/>
    <w:pPr>
      <w:spacing w:before="120"/>
    </w:pPr>
  </w:style>
  <w:style w:type="paragraph" w:customStyle="1" w:styleId="TableAmNote">
    <w:name w:val="TableAmNote"/>
    <w:basedOn w:val="NotesPerm"/>
    <w:pPr>
      <w:tabs>
        <w:tab w:val="clear" w:pos="879"/>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TableNAm">
    <w:name w:val="TableNAm"/>
    <w:basedOn w:val="TableAm"/>
    <w:pPr>
      <w:tabs>
        <w:tab w:val="left" w:pos="567"/>
      </w:tabs>
    </w:pPr>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TableNAm">
    <w:name w:val="yTableNAm"/>
    <w:basedOn w:val="TableAm"/>
    <w:pPr>
      <w:tabs>
        <w:tab w:val="left" w:pos="567"/>
      </w:tabs>
    </w:pPr>
    <w:rPr>
      <w:sz w:val="22"/>
    </w:rPr>
  </w:style>
  <w:style w:type="paragraph" w:customStyle="1" w:styleId="yTHeadingNAm">
    <w:name w:val="yTHeadingNAm"/>
    <w:basedOn w:val="THeading"/>
    <w:pPr>
      <w:ind w:left="142" w:right="142"/>
    </w:pPr>
    <w:rPr>
      <w:sz w:val="22"/>
    </w:rPr>
  </w:style>
  <w:style w:type="paragraph" w:customStyle="1" w:styleId="zTableNAm">
    <w:name w:val="zTableNAm"/>
    <w:basedOn w:val="TableAm"/>
    <w:pPr>
      <w:tabs>
        <w:tab w:val="left" w:pos="567"/>
      </w:tabs>
    </w:pPr>
  </w:style>
  <w:style w:type="paragraph" w:customStyle="1" w:styleId="zTHeadingNAm">
    <w:name w:val="zTHeadingNAm"/>
    <w:basedOn w:val="THeading"/>
    <w:pPr>
      <w:ind w:left="1446" w:right="142"/>
    </w:pPr>
  </w:style>
  <w:style w:type="paragraph" w:customStyle="1" w:styleId="zyTableNAm">
    <w:name w:val="zyTableNAm"/>
    <w:basedOn w:val="TableAm"/>
    <w:pPr>
      <w:tabs>
        <w:tab w:val="left" w:pos="567"/>
      </w:tabs>
    </w:pPr>
    <w:rPr>
      <w:sz w:val="22"/>
    </w:rPr>
  </w:style>
  <w:style w:type="paragraph" w:customStyle="1" w:styleId="zyTHeadingNAm">
    <w:name w:val="zyTHeadingNAm"/>
    <w:basedOn w:val="THeading"/>
    <w:pPr>
      <w:ind w:left="709" w:right="142"/>
    </w:pPr>
    <w:rPr>
      <w:sz w:val="22"/>
    </w:rPr>
  </w:style>
  <w:style w:type="paragraph" w:styleId="BalloonText">
    <w:name w:val="Balloon Text"/>
    <w:basedOn w:val="Normal"/>
    <w:semiHidden/>
    <w:rPr>
      <w:rFonts w:ascii="Tahoma" w:hAnsi="Tahoma" w:cs="Tahoma"/>
      <w:sz w:val="16"/>
      <w:szCs w:val="16"/>
    </w:rPr>
  </w:style>
  <w:style w:type="paragraph" w:customStyle="1" w:styleId="PrincipalActRegPage1">
    <w:name w:val="PrincipalAct_Reg(Page 1)"/>
    <w:pPr>
      <w:spacing w:before="2600"/>
      <w:jc w:val="center"/>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1.xml"/><Relationship Id="rId39" Type="http://schemas.openxmlformats.org/officeDocument/2006/relationships/fontTable" Target="fontTable.xml"/><Relationship Id="rId3" Type="http://schemas.microsoft.com/office/2007/relationships/stylesWithEffects" Target="stylesWithEffects.xml"/><Relationship Id="rId21" Type="http://schemas.openxmlformats.org/officeDocument/2006/relationships/header" Target="header7.xml"/><Relationship Id="rId34" Type="http://schemas.openxmlformats.org/officeDocument/2006/relationships/header" Target="header19.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0.xml"/><Relationship Id="rId33" Type="http://schemas.openxmlformats.org/officeDocument/2006/relationships/header" Target="header18.xml"/><Relationship Id="rId38" Type="http://schemas.openxmlformats.org/officeDocument/2006/relationships/footer" Target="footer9.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4.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image" Target="media/image2.png"/><Relationship Id="rId32" Type="http://schemas.openxmlformats.org/officeDocument/2006/relationships/header" Target="header17.xml"/><Relationship Id="rId37" Type="http://schemas.openxmlformats.org/officeDocument/2006/relationships/header" Target="header20.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9.xml"/><Relationship Id="rId28" Type="http://schemas.openxmlformats.org/officeDocument/2006/relationships/header" Target="header13.xml"/><Relationship Id="rId36" Type="http://schemas.openxmlformats.org/officeDocument/2006/relationships/footer" Target="footer8.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header" Target="header1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header" Target="header12.xml"/><Relationship Id="rId30" Type="http://schemas.openxmlformats.org/officeDocument/2006/relationships/header" Target="header15.xml"/><Relationship Id="rId35" Type="http://schemas.openxmlformats.org/officeDocument/2006/relationships/footer" Target="footer7.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46</Pages>
  <Words>8100</Words>
  <Characters>39935</Characters>
  <Application>Microsoft Office Word</Application>
  <DocSecurity>0</DocSecurity>
  <Lines>1426</Lines>
  <Paragraphs>906</Paragraphs>
  <ScaleCrop>false</ScaleCrop>
  <HeadingPairs>
    <vt:vector size="2" baseType="variant">
      <vt:variant>
        <vt:lpstr>Title</vt:lpstr>
      </vt:variant>
      <vt:variant>
        <vt:i4>1</vt:i4>
      </vt:variant>
    </vt:vector>
  </HeadingPairs>
  <TitlesOfParts>
    <vt:vector size="1" baseType="lpstr">
      <vt:lpstr>Children and Community Services Regulations 2006</vt:lpstr>
    </vt:vector>
  </TitlesOfParts>
  <Manager/>
  <Company/>
  <LinksUpToDate>false</LinksUpToDate>
  <CharactersWithSpaces>47129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Children and Community Services Regulations 2006 - 02-e0-01</dc:title>
  <dc:subject/>
  <dc:creator/>
  <cp:keywords/>
  <dc:description/>
  <cp:lastModifiedBy>svcMRProcess</cp:lastModifiedBy>
  <cp:revision>4</cp:revision>
  <cp:lastPrinted>2011-04-15T02:30:00Z</cp:lastPrinted>
  <dcterms:created xsi:type="dcterms:W3CDTF">2018-09-10T06:40:00Z</dcterms:created>
  <dcterms:modified xsi:type="dcterms:W3CDTF">2018-09-10T06:40:00Z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18 Jan 2006 p 353-72</vt:lpwstr>
  </property>
  <property fmtid="{D5CDD505-2E9C-101B-9397-08002B2CF9AE}" pid="3" name="ReprintNo">
    <vt:lpwstr>2</vt:lpwstr>
  </property>
  <property fmtid="{D5CDD505-2E9C-101B-9397-08002B2CF9AE}" pid="4" name="ReprintedAsAt">
    <vt:filetime>2011-04-07T16:00:00Z</vt:filetime>
  </property>
  <property fmtid="{D5CDD505-2E9C-101B-9397-08002B2CF9AE}" pid="5" name="AsAtDate">
    <vt:lpwstr>10 Apr 2015</vt:lpwstr>
  </property>
  <property fmtid="{D5CDD505-2E9C-101B-9397-08002B2CF9AE}" pid="6" name="Suffix">
    <vt:lpwstr>02-e0-01</vt:lpwstr>
  </property>
  <property fmtid="{D5CDD505-2E9C-101B-9397-08002B2CF9AE}" pid="7" name="CommencementDate">
    <vt:lpwstr>20150410</vt:lpwstr>
  </property>
  <property fmtid="{D5CDD505-2E9C-101B-9397-08002B2CF9AE}" pid="8" name="OWLSUId">
    <vt:i4>9243</vt:i4>
  </property>
  <property fmtid="{D5CDD505-2E9C-101B-9397-08002B2CF9AE}" pid="9" name="DocumentType">
    <vt:lpwstr>Reg</vt:lpwstr>
  </property>
</Properties>
</file>