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Associations Incorporation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Associations Incorporation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_Toc416711355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_Toc416711356 \h </w:instrText>
      </w:r>
      <w:r>
        <w:fldChar w:fldCharType="separate"/>
      </w:r>
      <w:r>
        <w:t>2</w:t>
      </w:r>
      <w:r>
        <w:fldChar w:fldCharType="end"/>
      </w:r>
    </w:p>
    <w:p>
      <w:pPr>
        <w:pStyle w:val="TOC8"/>
        <w:rPr>
          <w:rFonts w:asciiTheme="minorHAnsi" w:eastAsiaTheme="minorEastAsia" w:hAnsiTheme="minorHAnsi" w:cstheme="minorBidi"/>
          <w:szCs w:val="22"/>
        </w:rPr>
      </w:pPr>
      <w:r>
        <w:t>3.</w:t>
      </w:r>
      <w:r>
        <w:tab/>
        <w:t>Term used: Corporations Act</w:t>
      </w:r>
      <w:r>
        <w:tab/>
      </w:r>
      <w:r>
        <w:fldChar w:fldCharType="begin"/>
      </w:r>
      <w:r>
        <w:instrText xml:space="preserve"> PAGEREF _Toc416711357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approval of purpose</w:t>
      </w:r>
      <w:r>
        <w:tab/>
      </w:r>
      <w:r>
        <w:fldChar w:fldCharType="begin"/>
      </w:r>
      <w:r>
        <w:instrText xml:space="preserve"> PAGEREF _Toc416711358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bodies corporate (s. 10A)</w:t>
      </w:r>
      <w:r>
        <w:tab/>
      </w:r>
      <w:r>
        <w:fldChar w:fldCharType="begin"/>
      </w:r>
      <w:r>
        <w:instrText xml:space="preserve"> PAGEREF _Toc416711359 \h </w:instrText>
      </w:r>
      <w:r>
        <w:fldChar w:fldCharType="separate"/>
      </w:r>
      <w:r>
        <w:t>2</w:t>
      </w:r>
      <w:r>
        <w:fldChar w:fldCharType="end"/>
      </w:r>
    </w:p>
    <w:p>
      <w:pPr>
        <w:pStyle w:val="TOC8"/>
        <w:rPr>
          <w:rFonts w:asciiTheme="minorHAnsi" w:eastAsiaTheme="minorEastAsia" w:hAnsiTheme="minorHAnsi" w:cstheme="minorBidi"/>
          <w:szCs w:val="22"/>
        </w:rPr>
      </w:pPr>
      <w:r>
        <w:t>6.</w:t>
      </w:r>
      <w:r>
        <w:tab/>
        <w:t>Applied provisions — voluntary winding up</w:t>
      </w:r>
      <w:r>
        <w:tab/>
      </w:r>
      <w:r>
        <w:fldChar w:fldCharType="begin"/>
      </w:r>
      <w:r>
        <w:instrText xml:space="preserve"> PAGEREF _Toc416711360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of liquidator</w:t>
      </w:r>
      <w:r>
        <w:tab/>
      </w:r>
      <w:r>
        <w:fldChar w:fldCharType="begin"/>
      </w:r>
      <w:r>
        <w:instrText xml:space="preserve"> PAGEREF _Toc416711361 \h </w:instrText>
      </w:r>
      <w:r>
        <w:fldChar w:fldCharType="separate"/>
      </w:r>
      <w:r>
        <w:t>2</w:t>
      </w:r>
      <w:r>
        <w:fldChar w:fldCharType="end"/>
      </w:r>
    </w:p>
    <w:p>
      <w:pPr>
        <w:pStyle w:val="TOC8"/>
        <w:rPr>
          <w:rFonts w:asciiTheme="minorHAnsi" w:eastAsiaTheme="minorEastAsia" w:hAnsiTheme="minorHAnsi" w:cstheme="minorBidi"/>
          <w:szCs w:val="22"/>
        </w:rPr>
      </w:pPr>
      <w:r>
        <w:t>8.</w:t>
      </w:r>
      <w:r>
        <w:tab/>
        <w:t>Applied provisions — winding up by Court</w:t>
      </w:r>
      <w:r>
        <w:tab/>
      </w:r>
      <w:r>
        <w:fldChar w:fldCharType="begin"/>
      </w:r>
      <w:r>
        <w:instrText xml:space="preserve"> PAGEREF _Toc416711362 \h </w:instrText>
      </w:r>
      <w:r>
        <w:fldChar w:fldCharType="separate"/>
      </w:r>
      <w:r>
        <w:t>2</w:t>
      </w:r>
      <w:r>
        <w:fldChar w:fldCharType="end"/>
      </w:r>
    </w:p>
    <w:p>
      <w:pPr>
        <w:pStyle w:val="TOC8"/>
        <w:rPr>
          <w:rFonts w:asciiTheme="minorHAnsi" w:eastAsiaTheme="minorEastAsia" w:hAnsiTheme="minorHAnsi" w:cstheme="minorBidi"/>
          <w:szCs w:val="22"/>
        </w:rPr>
      </w:pPr>
      <w:r>
        <w:t>9.</w:t>
      </w:r>
      <w:r>
        <w:tab/>
        <w:t>Forms</w:t>
      </w:r>
      <w:r>
        <w:tab/>
      </w:r>
      <w:r>
        <w:fldChar w:fldCharType="begin"/>
      </w:r>
      <w:r>
        <w:instrText xml:space="preserve"> PAGEREF _Toc416711363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Compliance with forms</w:t>
      </w:r>
      <w:r>
        <w:tab/>
      </w:r>
      <w:r>
        <w:fldChar w:fldCharType="begin"/>
      </w:r>
      <w:r>
        <w:instrText xml:space="preserve"> PAGEREF _Toc416711364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Completion of forms</w:t>
      </w:r>
      <w:r>
        <w:tab/>
      </w:r>
      <w:r>
        <w:fldChar w:fldCharType="begin"/>
      </w:r>
      <w:r>
        <w:instrText xml:space="preserve"> PAGEREF _Toc416711365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requirements for documents</w:t>
      </w:r>
      <w:r>
        <w:tab/>
      </w:r>
      <w:r>
        <w:fldChar w:fldCharType="begin"/>
      </w:r>
      <w:r>
        <w:instrText xml:space="preserve"> PAGEREF _Toc416711366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Annexures accompanying forms</w:t>
      </w:r>
      <w:r>
        <w:tab/>
      </w:r>
      <w:r>
        <w:fldChar w:fldCharType="begin"/>
      </w:r>
      <w:r>
        <w:instrText xml:space="preserve"> PAGEREF _Toc416711367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Signature of documents lodged with Commissioner</w:t>
      </w:r>
      <w:r>
        <w:tab/>
      </w:r>
      <w:r>
        <w:fldChar w:fldCharType="begin"/>
      </w:r>
      <w:r>
        <w:instrText xml:space="preserve"> PAGEREF _Toc416711368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Translations</w:t>
      </w:r>
      <w:r>
        <w:tab/>
      </w:r>
      <w:r>
        <w:fldChar w:fldCharType="begin"/>
      </w:r>
      <w:r>
        <w:instrText xml:space="preserve"> PAGEREF _Toc416711369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Fees</w:t>
      </w:r>
      <w:r>
        <w:tab/>
      </w:r>
      <w:r>
        <w:fldChar w:fldCharType="begin"/>
      </w:r>
      <w:r>
        <w:instrText xml:space="preserve"> PAGEREF _Toc416711370 \h </w:instrText>
      </w:r>
      <w:r>
        <w:fldChar w:fldCharType="separate"/>
      </w:r>
      <w:r>
        <w:t>2</w:t>
      </w:r>
      <w:r>
        <w:fldChar w:fldCharType="end"/>
      </w:r>
    </w:p>
    <w:p>
      <w:pPr>
        <w:pStyle w:val="TOC8"/>
        <w:rPr>
          <w:rFonts w:asciiTheme="minorHAnsi" w:eastAsiaTheme="minorEastAsia" w:hAnsiTheme="minorHAnsi" w:cstheme="minorBidi"/>
          <w:szCs w:val="22"/>
        </w:rPr>
      </w:pPr>
      <w:r>
        <w:t>17.</w:t>
      </w:r>
      <w:r>
        <w:tab/>
        <w:t>Infringement notices</w:t>
      </w:r>
      <w:r>
        <w:tab/>
      </w:r>
      <w:r>
        <w:fldChar w:fldCharType="begin"/>
      </w:r>
      <w:r>
        <w:instrText xml:space="preserve"> PAGEREF _Toc416711371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_Toc416711377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3" w:name="_Toc378927693"/>
      <w:bookmarkStart w:id="4" w:name="_Toc412628945"/>
      <w:bookmarkStart w:id="5" w:name="_Toc416711355"/>
      <w:r>
        <w:rPr>
          <w:rStyle w:val="CharSectno"/>
        </w:rPr>
        <w:t>1</w:t>
      </w:r>
      <w:r>
        <w:rPr>
          <w:snapToGrid w:val="0"/>
        </w:rPr>
        <w:t>.</w:t>
      </w:r>
      <w:r>
        <w:rPr>
          <w:snapToGrid w:val="0"/>
        </w:rPr>
        <w:tab/>
        <w:t>Citation</w:t>
      </w:r>
      <w:bookmarkEnd w:id="3"/>
      <w:bookmarkEnd w:id="4"/>
      <w:bookmarkEnd w:id="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378927694"/>
      <w:bookmarkStart w:id="7" w:name="_Toc412628946"/>
      <w:bookmarkStart w:id="8" w:name="_Toc416711356"/>
      <w:r>
        <w:rPr>
          <w:rStyle w:val="CharSectno"/>
        </w:rPr>
        <w:t>2</w:t>
      </w:r>
      <w:r>
        <w:rPr>
          <w:snapToGrid w:val="0"/>
        </w:rPr>
        <w:t>.</w:t>
      </w:r>
      <w:r>
        <w:rPr>
          <w:snapToGrid w:val="0"/>
        </w:rPr>
        <w:tab/>
        <w:t>Commencement</w:t>
      </w:r>
      <w:bookmarkEnd w:id="6"/>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9" w:name="_Toc378927695"/>
      <w:bookmarkStart w:id="10" w:name="_Toc412628947"/>
      <w:bookmarkStart w:id="11" w:name="_Toc416711357"/>
      <w:r>
        <w:rPr>
          <w:rStyle w:val="CharSectno"/>
        </w:rPr>
        <w:t>3</w:t>
      </w:r>
      <w:r>
        <w:t>.</w:t>
      </w:r>
      <w:r>
        <w:tab/>
        <w:t>Term used: Corporations Act</w:t>
      </w:r>
      <w:bookmarkEnd w:id="9"/>
      <w:bookmarkEnd w:id="10"/>
      <w:bookmarkEnd w:id="11"/>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2" w:name="_Toc378927696"/>
      <w:bookmarkStart w:id="13" w:name="_Toc412628948"/>
      <w:bookmarkStart w:id="14" w:name="_Toc416711358"/>
      <w:r>
        <w:rPr>
          <w:rStyle w:val="CharSectno"/>
        </w:rPr>
        <w:t>4</w:t>
      </w:r>
      <w:r>
        <w:rPr>
          <w:snapToGrid w:val="0"/>
        </w:rPr>
        <w:t>.</w:t>
      </w:r>
      <w:r>
        <w:rPr>
          <w:snapToGrid w:val="0"/>
        </w:rPr>
        <w:tab/>
        <w:t>Application for approval of purpose</w:t>
      </w:r>
      <w:bookmarkEnd w:id="12"/>
      <w:bookmarkEnd w:id="13"/>
      <w:bookmarkEnd w:id="14"/>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Heading5"/>
      </w:pPr>
      <w:bookmarkStart w:id="15" w:name="_Toc416711359"/>
      <w:r>
        <w:rPr>
          <w:rStyle w:val="CharSectno"/>
        </w:rPr>
        <w:t>5</w:t>
      </w:r>
      <w:r>
        <w:t>.</w:t>
      </w:r>
      <w:r>
        <w:tab/>
        <w:t>Prescribed bodies corporate (s. 10A)</w:t>
      </w:r>
      <w:bookmarkEnd w:id="15"/>
    </w:p>
    <w:p>
      <w:pPr>
        <w:pStyle w:val="Subsection"/>
      </w:pPr>
      <w:r>
        <w:tab/>
      </w:r>
      <w:r>
        <w:tab/>
        <w:t xml:space="preserve">For the purposes of the definition of </w:t>
      </w:r>
      <w:r>
        <w:rPr>
          <w:b/>
          <w:i/>
        </w:rPr>
        <w:t>prescribed body corporate</w:t>
      </w:r>
      <w:r>
        <w:t xml:space="preserve"> in section 10A of the Act, an entity that is a body corporate under the </w:t>
      </w:r>
      <w:r>
        <w:rPr>
          <w:i/>
        </w:rPr>
        <w:t>Corporations (Aboriginal and Torres Strait Islander) Act 2006</w:t>
      </w:r>
      <w:r>
        <w:t xml:space="preserve"> (Commonwealth) is prescribed.</w:t>
      </w:r>
    </w:p>
    <w:p>
      <w:pPr>
        <w:pStyle w:val="Footnotesection"/>
      </w:pPr>
      <w:r>
        <w:tab/>
        <w:t>[Regulation 5 inserted in Gazette 14 Apr 2015 p. 1323.]</w:t>
      </w:r>
    </w:p>
    <w:p>
      <w:pPr>
        <w:pStyle w:val="Heading5"/>
      </w:pPr>
      <w:bookmarkStart w:id="16" w:name="_Toc378927697"/>
      <w:bookmarkStart w:id="17" w:name="_Toc412628949"/>
      <w:bookmarkStart w:id="18" w:name="_Toc416711360"/>
      <w:r>
        <w:rPr>
          <w:rStyle w:val="CharSectno"/>
        </w:rPr>
        <w:t>6</w:t>
      </w:r>
      <w:r>
        <w:t>.</w:t>
      </w:r>
      <w:r>
        <w:tab/>
        <w:t>Applied provisions — voluntary winding up</w:t>
      </w:r>
      <w:bookmarkEnd w:id="16"/>
      <w:bookmarkEnd w:id="17"/>
      <w:bookmarkEnd w:id="18"/>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9" w:name="_Toc378927698"/>
      <w:bookmarkStart w:id="20" w:name="_Toc412628950"/>
      <w:bookmarkStart w:id="21" w:name="_Toc416711361"/>
      <w:r>
        <w:rPr>
          <w:rStyle w:val="CharSectno"/>
        </w:rPr>
        <w:t>7</w:t>
      </w:r>
      <w:r>
        <w:rPr>
          <w:snapToGrid w:val="0"/>
        </w:rPr>
        <w:t>.</w:t>
      </w:r>
      <w:r>
        <w:rPr>
          <w:snapToGrid w:val="0"/>
        </w:rPr>
        <w:tab/>
        <w:t>Approval of liquidator</w:t>
      </w:r>
      <w:bookmarkEnd w:id="19"/>
      <w:bookmarkEnd w:id="20"/>
      <w:bookmarkEnd w:id="21"/>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2" w:name="_Toc378927699"/>
      <w:bookmarkStart w:id="23" w:name="_Toc412628951"/>
      <w:bookmarkStart w:id="24" w:name="_Toc416711362"/>
      <w:r>
        <w:rPr>
          <w:rStyle w:val="CharSectno"/>
        </w:rPr>
        <w:t>8</w:t>
      </w:r>
      <w:r>
        <w:t>.</w:t>
      </w:r>
      <w:r>
        <w:tab/>
        <w:t>Applied provisions — winding up by Court</w:t>
      </w:r>
      <w:bookmarkEnd w:id="22"/>
      <w:bookmarkEnd w:id="23"/>
      <w:bookmarkEnd w:id="24"/>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5" w:name="_Toc378927700"/>
      <w:bookmarkStart w:id="26" w:name="_Toc412628952"/>
      <w:bookmarkStart w:id="27" w:name="_Toc416711363"/>
      <w:r>
        <w:rPr>
          <w:rStyle w:val="CharSectno"/>
        </w:rPr>
        <w:t>9</w:t>
      </w:r>
      <w:r>
        <w:t>.</w:t>
      </w:r>
      <w:r>
        <w:tab/>
        <w:t>Forms</w:t>
      </w:r>
      <w:bookmarkEnd w:id="25"/>
      <w:bookmarkEnd w:id="26"/>
      <w:bookmarkEnd w:id="27"/>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28" w:name="_Toc378927701"/>
      <w:bookmarkStart w:id="29" w:name="_Toc412628953"/>
      <w:bookmarkStart w:id="30" w:name="_Toc416711364"/>
      <w:r>
        <w:rPr>
          <w:rStyle w:val="CharSectno"/>
        </w:rPr>
        <w:t>10</w:t>
      </w:r>
      <w:r>
        <w:rPr>
          <w:snapToGrid w:val="0"/>
        </w:rPr>
        <w:t>.</w:t>
      </w:r>
      <w:r>
        <w:rPr>
          <w:snapToGrid w:val="0"/>
        </w:rPr>
        <w:tab/>
        <w:t>Compliance with forms</w:t>
      </w:r>
      <w:bookmarkEnd w:id="28"/>
      <w:bookmarkEnd w:id="29"/>
      <w:bookmarkEnd w:id="30"/>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1" w:name="_Toc378927702"/>
      <w:bookmarkStart w:id="32" w:name="_Toc412628954"/>
      <w:bookmarkStart w:id="33" w:name="_Toc416711365"/>
      <w:r>
        <w:rPr>
          <w:rStyle w:val="CharSectno"/>
        </w:rPr>
        <w:t>11</w:t>
      </w:r>
      <w:r>
        <w:rPr>
          <w:snapToGrid w:val="0"/>
        </w:rPr>
        <w:t>.</w:t>
      </w:r>
      <w:r>
        <w:rPr>
          <w:snapToGrid w:val="0"/>
        </w:rPr>
        <w:tab/>
        <w:t>Completion of forms</w:t>
      </w:r>
      <w:bookmarkEnd w:id="31"/>
      <w:bookmarkEnd w:id="32"/>
      <w:bookmarkEnd w:id="33"/>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4" w:name="_Toc378927703"/>
      <w:bookmarkStart w:id="35" w:name="_Toc412628955"/>
      <w:bookmarkStart w:id="36" w:name="_Toc416711366"/>
      <w:r>
        <w:rPr>
          <w:rStyle w:val="CharSectno"/>
        </w:rPr>
        <w:t>12</w:t>
      </w:r>
      <w:r>
        <w:rPr>
          <w:snapToGrid w:val="0"/>
        </w:rPr>
        <w:t>.</w:t>
      </w:r>
      <w:r>
        <w:rPr>
          <w:snapToGrid w:val="0"/>
        </w:rPr>
        <w:tab/>
        <w:t>General requirements for documents</w:t>
      </w:r>
      <w:bookmarkEnd w:id="34"/>
      <w:bookmarkEnd w:id="35"/>
      <w:bookmarkEnd w:id="36"/>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37" w:name="_Toc378927704"/>
      <w:bookmarkStart w:id="38" w:name="_Toc412628956"/>
      <w:bookmarkStart w:id="39" w:name="_Toc416711367"/>
      <w:r>
        <w:rPr>
          <w:rStyle w:val="CharSectno"/>
        </w:rPr>
        <w:t>13</w:t>
      </w:r>
      <w:r>
        <w:rPr>
          <w:snapToGrid w:val="0"/>
        </w:rPr>
        <w:t>.</w:t>
      </w:r>
      <w:r>
        <w:rPr>
          <w:snapToGrid w:val="0"/>
        </w:rPr>
        <w:tab/>
        <w:t>Annexures accompanying forms</w:t>
      </w:r>
      <w:bookmarkEnd w:id="37"/>
      <w:bookmarkEnd w:id="38"/>
      <w:bookmarkEnd w:id="39"/>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0" w:name="_Toc378927705"/>
      <w:bookmarkStart w:id="41" w:name="_Toc412628957"/>
      <w:bookmarkStart w:id="42" w:name="_Toc416711368"/>
      <w:r>
        <w:rPr>
          <w:rStyle w:val="CharSectno"/>
        </w:rPr>
        <w:t>14</w:t>
      </w:r>
      <w:r>
        <w:rPr>
          <w:snapToGrid w:val="0"/>
        </w:rPr>
        <w:t>.</w:t>
      </w:r>
      <w:r>
        <w:rPr>
          <w:snapToGrid w:val="0"/>
        </w:rPr>
        <w:tab/>
        <w:t>Signature of documents lodged with Commissioner</w:t>
      </w:r>
      <w:bookmarkEnd w:id="40"/>
      <w:bookmarkEnd w:id="41"/>
      <w:bookmarkEnd w:id="42"/>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43" w:name="_Toc378927706"/>
      <w:bookmarkStart w:id="44" w:name="_Toc412628958"/>
      <w:bookmarkStart w:id="45" w:name="_Toc416711369"/>
      <w:r>
        <w:rPr>
          <w:rStyle w:val="CharSectno"/>
        </w:rPr>
        <w:t>15</w:t>
      </w:r>
      <w:r>
        <w:rPr>
          <w:snapToGrid w:val="0"/>
        </w:rPr>
        <w:t>.</w:t>
      </w:r>
      <w:r>
        <w:rPr>
          <w:snapToGrid w:val="0"/>
        </w:rPr>
        <w:tab/>
        <w:t>Translations</w:t>
      </w:r>
      <w:bookmarkEnd w:id="43"/>
      <w:bookmarkEnd w:id="44"/>
      <w:bookmarkEnd w:id="45"/>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46" w:name="_Toc378927707"/>
      <w:bookmarkStart w:id="47" w:name="_Toc412628959"/>
      <w:bookmarkStart w:id="48" w:name="_Toc416711370"/>
      <w:r>
        <w:rPr>
          <w:rStyle w:val="CharSectno"/>
        </w:rPr>
        <w:t>16</w:t>
      </w:r>
      <w:r>
        <w:rPr>
          <w:snapToGrid w:val="0"/>
        </w:rPr>
        <w:t>.</w:t>
      </w:r>
      <w:r>
        <w:rPr>
          <w:snapToGrid w:val="0"/>
        </w:rPr>
        <w:tab/>
        <w:t>Fees</w:t>
      </w:r>
      <w:bookmarkEnd w:id="46"/>
      <w:bookmarkEnd w:id="47"/>
      <w:bookmarkEnd w:id="48"/>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49" w:name="_Toc378927708"/>
      <w:bookmarkStart w:id="50" w:name="_Toc412628960"/>
      <w:bookmarkStart w:id="51" w:name="_Toc416711371"/>
      <w:r>
        <w:rPr>
          <w:rStyle w:val="CharSectno"/>
        </w:rPr>
        <w:t>17</w:t>
      </w:r>
      <w:r>
        <w:t>.</w:t>
      </w:r>
      <w:r>
        <w:tab/>
        <w:t>Infringement notices</w:t>
      </w:r>
      <w:bookmarkEnd w:id="49"/>
      <w:bookmarkEnd w:id="50"/>
      <w:bookmarkEnd w:id="51"/>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2" w:name="_Toc378927709"/>
      <w:bookmarkStart w:id="53" w:name="_Toc412628856"/>
      <w:bookmarkStart w:id="54" w:name="_Toc412628961"/>
      <w:bookmarkStart w:id="55" w:name="_Toc416692004"/>
      <w:bookmarkStart w:id="56" w:name="_Toc416692039"/>
      <w:bookmarkStart w:id="57" w:name="_Toc416706153"/>
      <w:bookmarkStart w:id="58" w:name="_Toc416711372"/>
      <w:r>
        <w:rPr>
          <w:rStyle w:val="CharSchNo"/>
        </w:rPr>
        <w:t>Schedule 1</w:t>
      </w:r>
      <w:bookmarkEnd w:id="52"/>
      <w:bookmarkEnd w:id="53"/>
      <w:bookmarkEnd w:id="54"/>
      <w:bookmarkEnd w:id="55"/>
      <w:bookmarkEnd w:id="56"/>
      <w:bookmarkEnd w:id="57"/>
      <w:bookmarkEnd w:id="58"/>
      <w:r>
        <w:t xml:space="preserve"> </w:t>
      </w:r>
    </w:p>
    <w:p>
      <w:pPr>
        <w:pStyle w:val="yShoulderClause"/>
        <w:rPr>
          <w:snapToGrid w:val="0"/>
        </w:rPr>
      </w:pPr>
      <w:r>
        <w:rPr>
          <w:snapToGrid w:val="0"/>
        </w:rPr>
        <w:t>[Regulation 9]</w:t>
      </w:r>
    </w:p>
    <w:p>
      <w:pPr>
        <w:pStyle w:val="yHeading2"/>
        <w:spacing w:before="180" w:after="80"/>
        <w:rPr>
          <w:snapToGrid/>
        </w:rPr>
      </w:pPr>
      <w:bookmarkStart w:id="59" w:name="_Toc378927710"/>
      <w:bookmarkStart w:id="60" w:name="_Toc412628857"/>
      <w:bookmarkStart w:id="61" w:name="_Toc412628962"/>
      <w:bookmarkStart w:id="62" w:name="_Toc416692005"/>
      <w:bookmarkStart w:id="63" w:name="_Toc416692040"/>
      <w:bookmarkStart w:id="64" w:name="_Toc416706154"/>
      <w:bookmarkStart w:id="65" w:name="_Toc416711373"/>
      <w:r>
        <w:rPr>
          <w:rStyle w:val="CharSchText"/>
        </w:rPr>
        <w:t>Forms</w:t>
      </w:r>
      <w:bookmarkEnd w:id="59"/>
      <w:bookmarkEnd w:id="60"/>
      <w:bookmarkEnd w:id="61"/>
      <w:bookmarkEnd w:id="62"/>
      <w:bookmarkEnd w:id="63"/>
      <w:bookmarkEnd w:id="64"/>
      <w:bookmarkEnd w:id="6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67" w:name="_Toc378927711"/>
      <w:bookmarkStart w:id="68" w:name="_Toc412628858"/>
      <w:bookmarkStart w:id="69" w:name="_Toc412628963"/>
      <w:bookmarkStart w:id="70" w:name="_Toc416692006"/>
      <w:bookmarkStart w:id="71" w:name="_Toc416692041"/>
      <w:bookmarkStart w:id="72" w:name="_Toc416706155"/>
      <w:bookmarkStart w:id="73" w:name="_Toc416711374"/>
      <w:r>
        <w:rPr>
          <w:rStyle w:val="CharSchNo"/>
        </w:rPr>
        <w:t>Schedule 2</w:t>
      </w:r>
      <w:bookmarkEnd w:id="67"/>
      <w:bookmarkEnd w:id="68"/>
      <w:bookmarkEnd w:id="69"/>
      <w:bookmarkEnd w:id="70"/>
      <w:bookmarkEnd w:id="71"/>
      <w:bookmarkEnd w:id="72"/>
      <w:bookmarkEnd w:id="73"/>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$23.10</w:t>
            </w:r>
          </w:p>
          <w:p>
            <w:pPr>
              <w:pStyle w:val="yTable"/>
              <w:jc w:val="right"/>
            </w:pPr>
            <w:r>
              <w:br/>
            </w:r>
            <w:r>
              <w:br/>
            </w:r>
            <w:r>
              <w:br/>
            </w:r>
            <w:r>
              <w:rPr>
                <w:szCs w:val="22"/>
              </w:rPr>
              <w:t>$23.10</w:t>
            </w:r>
          </w:p>
          <w:p>
            <w:pPr>
              <w:pStyle w:val="yTable"/>
              <w:jc w:val="right"/>
            </w:pPr>
            <w:r>
              <w:br/>
            </w:r>
            <w:r>
              <w:br/>
            </w:r>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$1.65</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74" w:name="_Toc378927712"/>
      <w:bookmarkStart w:id="75" w:name="_Toc412628859"/>
      <w:bookmarkStart w:id="76" w:name="_Toc412628964"/>
      <w:bookmarkStart w:id="77" w:name="_Toc416692007"/>
      <w:bookmarkStart w:id="78" w:name="_Toc416692042"/>
      <w:bookmarkStart w:id="79" w:name="_Toc416706156"/>
      <w:bookmarkStart w:id="80" w:name="_Toc416711375"/>
      <w:r>
        <w:rPr>
          <w:rStyle w:val="CharSchNo"/>
        </w:rPr>
        <w:t>Schedule 3</w:t>
      </w:r>
      <w:r>
        <w:t> — </w:t>
      </w:r>
      <w:r>
        <w:rPr>
          <w:rStyle w:val="CharSchText"/>
        </w:rPr>
        <w:t>Prescribed offences and modified penalties</w:t>
      </w:r>
      <w:bookmarkEnd w:id="74"/>
      <w:bookmarkEnd w:id="75"/>
      <w:bookmarkEnd w:id="76"/>
      <w:bookmarkEnd w:id="77"/>
      <w:bookmarkEnd w:id="78"/>
      <w:bookmarkEnd w:id="79"/>
      <w:bookmarkEnd w:id="80"/>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81" w:name="_Toc378927713"/>
      <w:bookmarkStart w:id="82" w:name="_Toc412628860"/>
      <w:bookmarkStart w:id="83" w:name="_Toc412628965"/>
      <w:bookmarkStart w:id="84" w:name="_Toc416692008"/>
      <w:bookmarkStart w:id="85" w:name="_Toc416692043"/>
      <w:bookmarkStart w:id="86" w:name="_Toc416706157"/>
      <w:bookmarkStart w:id="87" w:name="_Toc416711376"/>
      <w:r>
        <w:t>Notes</w:t>
      </w:r>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378927714"/>
      <w:bookmarkStart w:id="89" w:name="_Toc412628966"/>
      <w:bookmarkStart w:id="90" w:name="_Toc416711377"/>
      <w:r>
        <w:rPr>
          <w:snapToGrid w:val="0"/>
        </w:rPr>
        <w:t>Compilation table</w:t>
      </w:r>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 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 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7087" w:type="dxa"/>
            <w:gridSpan w:val="3"/>
            <w:shd w:val="clear" w:color="auto" w:fill="auto"/>
          </w:tcPr>
          <w:p>
            <w:pPr>
              <w:pStyle w:val="nTable"/>
              <w:spacing w:after="40"/>
            </w:pPr>
            <w:r>
              <w:rPr>
                <w:b/>
              </w:rPr>
              <w:t xml:space="preserve">Reprint 5: The </w:t>
            </w:r>
            <w:r>
              <w:rPr>
                <w:b/>
                <w:i/>
              </w:rPr>
              <w:t>Associations Incorporation Regulations 1988</w:t>
            </w:r>
            <w:r>
              <w:rPr>
                <w:b/>
              </w:rPr>
              <w:t xml:space="preserve"> as at 17 Jan 2014</w:t>
            </w:r>
            <w:r>
              <w:br/>
              <w:t>(includes amendments listed above)</w:t>
            </w:r>
          </w:p>
        </w:tc>
      </w:tr>
      <w:tr>
        <w:tc>
          <w:tcPr>
            <w:tcW w:w="3118" w:type="dxa"/>
            <w:tcBorders>
              <w:bottom w:val="single" w:sz="4" w:space="0" w:color="auto"/>
            </w:tcBorders>
          </w:tcPr>
          <w:p>
            <w:pPr>
              <w:pStyle w:val="nTable"/>
              <w:spacing w:after="40"/>
              <w:rPr>
                <w:i/>
              </w:rPr>
            </w:pPr>
            <w:r>
              <w:rPr>
                <w:i/>
              </w:rPr>
              <w:t>Associations Incorporation Amendment Regulations 2015</w:t>
            </w:r>
          </w:p>
        </w:tc>
        <w:tc>
          <w:tcPr>
            <w:tcW w:w="1276" w:type="dxa"/>
            <w:tcBorders>
              <w:bottom w:val="single" w:sz="4" w:space="0" w:color="auto"/>
            </w:tcBorders>
          </w:tcPr>
          <w:p>
            <w:pPr>
              <w:pStyle w:val="nTable"/>
              <w:spacing w:after="40"/>
            </w:pPr>
            <w:r>
              <w:t>14 Apr 2015 p. 1323</w:t>
            </w:r>
          </w:p>
        </w:tc>
        <w:tc>
          <w:tcPr>
            <w:tcW w:w="2693" w:type="dxa"/>
            <w:tcBorders>
              <w:bottom w:val="single" w:sz="4" w:space="0" w:color="auto"/>
            </w:tcBorders>
          </w:tcPr>
          <w:p>
            <w:pPr>
              <w:pStyle w:val="nTable"/>
              <w:spacing w:after="40"/>
            </w:pPr>
            <w:r>
              <w:t>r. 1 and 2: 14 Apr 2015 (see r. 2(a));</w:t>
            </w:r>
            <w:r>
              <w:br/>
              <w:t>Regulations other than r. 1 and 2: 15 Apr 2015 (see r. 2(b))</w:t>
            </w:r>
          </w:p>
        </w:tc>
      </w:tr>
    </w:tbl>
    <w:p>
      <w:pPr>
        <w:pStyle w:val="nSubsection"/>
        <w:spacing w:before="160"/>
        <w:rPr>
          <w:vertAlign w:val="superscript"/>
        </w:rPr>
      </w:pPr>
    </w:p>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2" w:name="_Toc416711378"/>
      <w:r>
        <w:rPr>
          <w:sz w:val="28"/>
        </w:rPr>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Corporations Act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538"/>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tabs>
        <w:tab w:val="clear" w:pos="1080"/>
        <w:tab w:val="num" w:pos="1492"/>
      </w:tabs>
      <w:ind w:left="1492"/>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tabs>
        <w:tab w:val="clear" w:pos="1080"/>
        <w:tab w:val="num" w:pos="1492"/>
      </w:tabs>
      <w:ind w:left="1492"/>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5423B-3DCF-44C8-9BC4-280E5B15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4233</Words>
  <Characters>23325</Characters>
  <Application>Microsoft Office Word</Application>
  <DocSecurity>0</DocSecurity>
  <Lines>897</Lines>
  <Paragraphs>562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Company>Ministry of Justice</Company>
  <LinksUpToDate>false</LinksUpToDate>
  <CharactersWithSpaces>26996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1988 - 05-b0-00</dc:title>
  <dc:subject>SubIF_A</dc:subject>
  <dc:creator>Matthew Pether</dc:creator>
  <cp:lastModifiedBy>svcMRProcess</cp:lastModifiedBy>
  <cp:revision>4</cp:revision>
  <cp:lastPrinted>2014-01-29T02:50:00Z</cp:lastPrinted>
  <dcterms:created xsi:type="dcterms:W3CDTF">2015-04-14T07:40:00Z</dcterms:created>
  <dcterms:modified xsi:type="dcterms:W3CDTF">2015-04-14T07:40:00Z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5</vt:lpwstr>
  </property>
  <property fmtid="{D5CDD505-2E9C-101B-9397-08002B2CF9AE}" pid="6" name="ReprintedAsAt">
    <vt:filetime>2014-01-16T16:00:00Z</vt:filetime>
  </property>
  <property fmtid="{D5CDD505-2E9C-101B-9397-08002B2CF9AE}" pid="7" name="AsAtDate">
    <vt:lpwstr>15 Apr 2015</vt:lpwstr>
  </property>
  <property fmtid="{D5CDD505-2E9C-101B-9397-08002B2CF9AE}" pid="8" name="Suffix">
    <vt:lpwstr>05-b0-00</vt:lpwstr>
  </property>
  <property fmtid="{D5CDD505-2E9C-101B-9397-08002B2CF9AE}" pid="9" name="CommencementDate">
    <vt:lpwstr>20150415</vt:lpwstr>
  </property>
</Properties>
</file>