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_Toc416711579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_Toc416711580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_Toc416711581 \h </w:instrText>
      </w:r>
      <w:r>
        <w:fldChar w:fldCharType="separate"/>
      </w:r>
      <w:r>
        <w:t>2</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_Toc416711582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_Toc416711584 \h </w:instrText>
      </w:r>
      <w:r>
        <w:fldChar w:fldCharType="separate"/>
      </w:r>
      <w:r>
        <w:t>2</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_Toc416711585 \h </w:instrText>
      </w:r>
      <w:r>
        <w:fldChar w:fldCharType="separate"/>
      </w:r>
      <w:r>
        <w:t>2</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_Toc416711586 \h </w:instrText>
      </w:r>
      <w:r>
        <w:fldChar w:fldCharType="separate"/>
      </w:r>
      <w:r>
        <w:t>2</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_Toc416711587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_Toc416711588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_Toc416711590 \h </w:instrText>
      </w:r>
      <w:r>
        <w:fldChar w:fldCharType="separate"/>
      </w:r>
      <w:r>
        <w:t>2</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_Toc416711591 \h </w:instrText>
      </w:r>
      <w:r>
        <w:fldChar w:fldCharType="separate"/>
      </w:r>
      <w:r>
        <w:t>2</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_Toc416711592 \h </w:instrText>
      </w:r>
      <w:r>
        <w:fldChar w:fldCharType="separate"/>
      </w:r>
      <w:r>
        <w:t>2</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_Toc416711593 \h </w:instrText>
      </w:r>
      <w:r>
        <w:fldChar w:fldCharType="separate"/>
      </w:r>
      <w:r>
        <w:t>2</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_Toc416711594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_Toc416711596 \h </w:instrText>
      </w:r>
      <w:r>
        <w:fldChar w:fldCharType="separate"/>
      </w:r>
      <w:r>
        <w:t>2</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_Toc416711597 \h </w:instrText>
      </w:r>
      <w:r>
        <w:fldChar w:fldCharType="separate"/>
      </w:r>
      <w:r>
        <w:t>2</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_Toc416711598 \h </w:instrText>
      </w:r>
      <w:r>
        <w:fldChar w:fldCharType="separate"/>
      </w:r>
      <w:r>
        <w:t>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_Toc416711599 \h </w:instrText>
      </w:r>
      <w:r>
        <w:fldChar w:fldCharType="separate"/>
      </w:r>
      <w:r>
        <w:t>2</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_Toc416711600 \h </w:instrText>
      </w:r>
      <w:r>
        <w:fldChar w:fldCharType="separate"/>
      </w:r>
      <w:r>
        <w:t>2</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_Toc416711601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_Toc416711607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_Toc416711608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08574065"/>
      <w:bookmarkStart w:id="4" w:name="_Toc408574152"/>
      <w:bookmarkStart w:id="5" w:name="_Toc416692404"/>
      <w:bookmarkStart w:id="6" w:name="_Toc416692431"/>
      <w:bookmarkStart w:id="7" w:name="_Toc416710093"/>
      <w:bookmarkStart w:id="8" w:name="_Toc416710128"/>
      <w:bookmarkStart w:id="9" w:name="_Toc416711578"/>
      <w:r>
        <w:rPr>
          <w:rStyle w:val="CharPartNo"/>
        </w:rPr>
        <w:t>Part 1</w:t>
      </w:r>
      <w:r>
        <w:rPr>
          <w:b w:val="0"/>
        </w:rPr>
        <w:t> — </w:t>
      </w:r>
      <w:r>
        <w:rPr>
          <w:rStyle w:val="CharPartText"/>
        </w:rPr>
        <w:t>Preliminary</w:t>
      </w:r>
      <w:bookmarkEnd w:id="3"/>
      <w:bookmarkEnd w:id="4"/>
      <w:bookmarkEnd w:id="5"/>
      <w:bookmarkEnd w:id="6"/>
      <w:bookmarkEnd w:id="7"/>
      <w:bookmarkEnd w:id="8"/>
      <w:bookmarkEnd w:id="9"/>
    </w:p>
    <w:p>
      <w:pPr>
        <w:pStyle w:val="Footnoteheading"/>
      </w:pPr>
      <w:r>
        <w:tab/>
        <w:t>[Heading inserted in Gazette 26 Nov 2010 p. 5939.]</w:t>
      </w:r>
    </w:p>
    <w:p>
      <w:pPr>
        <w:pStyle w:val="Heading5"/>
      </w:pPr>
      <w:bookmarkStart w:id="10" w:name="_Toc408574153"/>
      <w:bookmarkStart w:id="11" w:name="_Toc416711579"/>
      <w:r>
        <w:rPr>
          <w:rStyle w:val="CharSectno"/>
        </w:rPr>
        <w:t>1</w:t>
      </w:r>
      <w:r>
        <w:t>.</w:t>
      </w:r>
      <w:r>
        <w:tab/>
        <w:t>Citation</w:t>
      </w:r>
      <w:bookmarkEnd w:id="10"/>
      <w:bookmarkEnd w:id="11"/>
    </w:p>
    <w:p>
      <w:pPr>
        <w:pStyle w:val="Subsection"/>
        <w:ind w:right="990"/>
        <w:rPr>
          <w:i/>
        </w:rPr>
      </w:pPr>
      <w:r>
        <w:tab/>
      </w:r>
      <w:r>
        <w:tab/>
      </w:r>
      <w:bookmarkStart w:id="12" w:name="Start_Cursor"/>
      <w:bookmarkEnd w:id="12"/>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3" w:name="_Toc408574154"/>
      <w:bookmarkStart w:id="14" w:name="_Toc41671158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5" w:name="_Toc408574155"/>
      <w:bookmarkStart w:id="16" w:name="_Toc416711581"/>
      <w:r>
        <w:rPr>
          <w:rStyle w:val="CharSectno"/>
        </w:rPr>
        <w:t>3</w:t>
      </w:r>
      <w:r>
        <w:t>.</w:t>
      </w:r>
      <w:r>
        <w:tab/>
        <w:t>Terms used in these by</w:t>
      </w:r>
      <w:r>
        <w:noBreakHyphen/>
        <w:t>laws</w:t>
      </w:r>
      <w:bookmarkEnd w:id="15"/>
      <w:bookmarkEnd w:id="16"/>
      <w:r>
        <w:t xml:space="preserve"> </w:t>
      </w:r>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w:t>
      </w:r>
    </w:p>
    <w:p>
      <w:pPr>
        <w:pStyle w:val="Heading5"/>
      </w:pPr>
      <w:bookmarkStart w:id="17" w:name="_Toc416711582"/>
      <w:bookmarkStart w:id="18" w:name="_Toc408574069"/>
      <w:bookmarkStart w:id="19" w:name="_Toc408574156"/>
      <w:bookmarkStart w:id="20" w:name="_Toc416692408"/>
      <w:bookmarkStart w:id="21" w:name="_Toc416692435"/>
      <w:r>
        <w:rPr>
          <w:rStyle w:val="CharSectno"/>
        </w:rPr>
        <w:t>4A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22" w:name="_Toc416710098"/>
      <w:bookmarkStart w:id="23" w:name="_Toc416710133"/>
      <w:bookmarkStart w:id="24" w:name="_Toc416711583"/>
      <w:r>
        <w:rPr>
          <w:rStyle w:val="CharPartNo"/>
        </w:rPr>
        <w:t>Part 2</w:t>
      </w:r>
      <w:r>
        <w:rPr>
          <w:b w:val="0"/>
        </w:rPr>
        <w:t> — </w:t>
      </w:r>
      <w:r>
        <w:rPr>
          <w:rStyle w:val="CharPartText"/>
        </w:rPr>
        <w:t>Behaviour on site</w:t>
      </w:r>
      <w:bookmarkEnd w:id="18"/>
      <w:bookmarkEnd w:id="19"/>
      <w:bookmarkEnd w:id="20"/>
      <w:bookmarkEnd w:id="21"/>
      <w:bookmarkEnd w:id="22"/>
      <w:bookmarkEnd w:id="23"/>
      <w:bookmarkEnd w:id="24"/>
    </w:p>
    <w:p>
      <w:pPr>
        <w:pStyle w:val="Footnoteheading"/>
      </w:pPr>
      <w:r>
        <w:tab/>
        <w:t>[Heading inserted in Gazette 26 Nov 2010 p. 5939.]</w:t>
      </w:r>
    </w:p>
    <w:p>
      <w:pPr>
        <w:pStyle w:val="Heading5"/>
      </w:pPr>
      <w:bookmarkStart w:id="25" w:name="_Toc416711584"/>
      <w:bookmarkStart w:id="26" w:name="_Toc408574157"/>
      <w:r>
        <w:rPr>
          <w:rStyle w:val="CharSectno"/>
        </w:rPr>
        <w:t>4B</w:t>
      </w:r>
      <w:r>
        <w:t>.</w:t>
      </w:r>
      <w:r>
        <w:tab/>
        <w:t>No entry without cause</w:t>
      </w:r>
      <w:bookmarkEnd w:id="25"/>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27" w:name="_Toc416711585"/>
      <w:r>
        <w:rPr>
          <w:rStyle w:val="CharSectno"/>
        </w:rPr>
        <w:t>4C</w:t>
      </w:r>
      <w:r>
        <w:t>.</w:t>
      </w:r>
      <w:r>
        <w:tab/>
        <w:t>Directions as to use of certain areas</w:t>
      </w:r>
      <w:bookmarkEnd w:id="27"/>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28" w:name="_Toc416711586"/>
      <w:r>
        <w:rPr>
          <w:rStyle w:val="CharSectno"/>
        </w:rPr>
        <w:t>4D</w:t>
      </w:r>
      <w:r>
        <w:t>.</w:t>
      </w:r>
      <w:r>
        <w:tab/>
        <w:t>Prohibited items</w:t>
      </w:r>
      <w:bookmarkEnd w:id="2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29" w:name="_Toc416711587"/>
      <w:r>
        <w:rPr>
          <w:rStyle w:val="CharSectno"/>
        </w:rPr>
        <w:t>4</w:t>
      </w:r>
      <w:r>
        <w:t>.</w:t>
      </w:r>
      <w:r>
        <w:tab/>
        <w:t>Smoking</w:t>
      </w:r>
      <w:bookmarkEnd w:id="26"/>
      <w:bookmarkEnd w:id="2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0" w:name="_Toc416711588"/>
      <w:bookmarkStart w:id="31" w:name="_Toc408574158"/>
      <w:r>
        <w:rPr>
          <w:rStyle w:val="CharSectno"/>
        </w:rPr>
        <w:t>5</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32" w:name="_Toc408574072"/>
      <w:bookmarkStart w:id="33" w:name="_Toc408574159"/>
      <w:bookmarkStart w:id="34" w:name="_Toc416692411"/>
      <w:bookmarkStart w:id="35" w:name="_Toc416692438"/>
      <w:bookmarkStart w:id="36" w:name="_Toc416710104"/>
      <w:bookmarkStart w:id="37" w:name="_Toc416710139"/>
      <w:bookmarkStart w:id="38" w:name="_Toc416711589"/>
      <w:bookmarkEnd w:id="31"/>
      <w:r>
        <w:rPr>
          <w:rStyle w:val="CharPartNo"/>
        </w:rPr>
        <w:t>Part 3</w:t>
      </w:r>
      <w:r>
        <w:rPr>
          <w:b w:val="0"/>
        </w:rPr>
        <w:t> — </w:t>
      </w:r>
      <w:r>
        <w:rPr>
          <w:rStyle w:val="CharPartText"/>
        </w:rPr>
        <w:t>Parking</w:t>
      </w:r>
      <w:bookmarkEnd w:id="32"/>
      <w:bookmarkEnd w:id="33"/>
      <w:bookmarkEnd w:id="34"/>
      <w:bookmarkEnd w:id="35"/>
      <w:bookmarkEnd w:id="36"/>
      <w:bookmarkEnd w:id="37"/>
      <w:bookmarkEnd w:id="38"/>
    </w:p>
    <w:p>
      <w:pPr>
        <w:pStyle w:val="Footnoteheading"/>
      </w:pPr>
      <w:r>
        <w:tab/>
        <w:t>[Heading inserted in Gazette 26 Nov 2010 p. 5939.]</w:t>
      </w:r>
    </w:p>
    <w:p>
      <w:pPr>
        <w:pStyle w:val="Heading5"/>
      </w:pPr>
      <w:bookmarkStart w:id="39" w:name="_Toc408574160"/>
      <w:bookmarkStart w:id="40" w:name="_Toc416711590"/>
      <w:r>
        <w:rPr>
          <w:rStyle w:val="CharSectno"/>
        </w:rPr>
        <w:t>6</w:t>
      </w:r>
      <w:r>
        <w:t>.</w:t>
      </w:r>
      <w:r>
        <w:tab/>
        <w:t>Parking to be in parking spaces only</w:t>
      </w:r>
      <w:bookmarkEnd w:id="39"/>
      <w:bookmarkEnd w:id="40"/>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41" w:name="_Toc408574161"/>
      <w:bookmarkStart w:id="42" w:name="_Toc416711591"/>
      <w:r>
        <w:rPr>
          <w:rStyle w:val="CharSectno"/>
        </w:rPr>
        <w:t>7</w:t>
      </w:r>
      <w:r>
        <w:t>.</w:t>
      </w:r>
      <w:r>
        <w:tab/>
        <w:t>Signs to be obeyed</w:t>
      </w:r>
      <w:bookmarkEnd w:id="41"/>
      <w:bookmarkEnd w:id="42"/>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43" w:name="_Toc408574162"/>
      <w:bookmarkStart w:id="44" w:name="_Toc416711592"/>
      <w:r>
        <w:rPr>
          <w:rStyle w:val="CharSectno"/>
        </w:rPr>
        <w:t>8</w:t>
      </w:r>
      <w:r>
        <w:t>.</w:t>
      </w:r>
      <w:r>
        <w:tab/>
        <w:t>Parking in parking spaces</w:t>
      </w:r>
      <w:bookmarkEnd w:id="43"/>
      <w:bookmarkEnd w:id="44"/>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45" w:name="_Toc408574163"/>
      <w:bookmarkStart w:id="46" w:name="_Toc416711593"/>
      <w:r>
        <w:rPr>
          <w:rStyle w:val="CharSectno"/>
        </w:rPr>
        <w:t>9</w:t>
      </w:r>
      <w:r>
        <w:t>.</w:t>
      </w:r>
      <w:r>
        <w:tab/>
        <w:t>Permit</w:t>
      </w:r>
      <w:bookmarkEnd w:id="45"/>
      <w:bookmarkEnd w:id="46"/>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Pr>
      <w:bookmarkStart w:id="47" w:name="_Toc408574164"/>
      <w:bookmarkStart w:id="48" w:name="_Toc416711594"/>
      <w:r>
        <w:rPr>
          <w:rStyle w:val="CharSectno"/>
        </w:rPr>
        <w:t>10</w:t>
      </w:r>
      <w:r>
        <w:t>.</w:t>
      </w:r>
      <w:r>
        <w:tab/>
        <w:t>Refund of permit fees</w:t>
      </w:r>
      <w:bookmarkEnd w:id="47"/>
      <w:bookmarkEnd w:id="48"/>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49" w:name="_Toc408574078"/>
      <w:bookmarkStart w:id="50" w:name="_Toc408574165"/>
      <w:bookmarkStart w:id="51" w:name="_Toc416692417"/>
      <w:bookmarkStart w:id="52" w:name="_Toc416692444"/>
      <w:bookmarkStart w:id="53" w:name="_Toc416710110"/>
      <w:bookmarkStart w:id="54" w:name="_Toc416710145"/>
      <w:bookmarkStart w:id="55" w:name="_Toc416711595"/>
      <w:r>
        <w:rPr>
          <w:rStyle w:val="CharPartNo"/>
        </w:rPr>
        <w:t>Part 4</w:t>
      </w:r>
      <w:r>
        <w:t> — </w:t>
      </w:r>
      <w:r>
        <w:rPr>
          <w:rStyle w:val="CharPartText"/>
        </w:rPr>
        <w:t>Infringement notices</w:t>
      </w:r>
      <w:bookmarkEnd w:id="49"/>
      <w:bookmarkEnd w:id="50"/>
      <w:bookmarkEnd w:id="51"/>
      <w:bookmarkEnd w:id="52"/>
      <w:bookmarkEnd w:id="53"/>
      <w:bookmarkEnd w:id="54"/>
      <w:bookmarkEnd w:id="55"/>
    </w:p>
    <w:p>
      <w:pPr>
        <w:pStyle w:val="Footnoteheading"/>
      </w:pPr>
      <w:r>
        <w:tab/>
        <w:t>[Heading inserted in Gazette 26 Nov 2010 p. 5942.]</w:t>
      </w:r>
    </w:p>
    <w:p>
      <w:pPr>
        <w:pStyle w:val="Heading5"/>
      </w:pPr>
      <w:bookmarkStart w:id="56" w:name="_Toc408574166"/>
      <w:bookmarkStart w:id="57" w:name="_Toc416711596"/>
      <w:r>
        <w:rPr>
          <w:rStyle w:val="CharSectno"/>
        </w:rPr>
        <w:t>11</w:t>
      </w:r>
      <w:r>
        <w:t>.</w:t>
      </w:r>
      <w:r>
        <w:tab/>
        <w:t>Terms used</w:t>
      </w:r>
      <w:bookmarkEnd w:id="56"/>
      <w:bookmarkEnd w:id="57"/>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58" w:name="_Toc408574167"/>
      <w:bookmarkStart w:id="59" w:name="_Toc416711597"/>
      <w:r>
        <w:rPr>
          <w:rStyle w:val="CharSectno"/>
        </w:rPr>
        <w:t>12</w:t>
      </w:r>
      <w:r>
        <w:t>.</w:t>
      </w:r>
      <w:r>
        <w:tab/>
        <w:t>Infringement notices</w:t>
      </w:r>
      <w:bookmarkEnd w:id="58"/>
      <w:bookmarkEnd w:id="59"/>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60" w:name="_Toc408574168"/>
      <w:bookmarkStart w:id="61" w:name="_Toc416711598"/>
      <w:r>
        <w:rPr>
          <w:rStyle w:val="CharSectno"/>
        </w:rPr>
        <w:t>13</w:t>
      </w:r>
      <w:r>
        <w:t>.</w:t>
      </w:r>
      <w:r>
        <w:tab/>
        <w:t>Withdrawal of infringement notice</w:t>
      </w:r>
      <w:bookmarkEnd w:id="60"/>
      <w:bookmarkEnd w:id="61"/>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62" w:name="_Toc416711599"/>
      <w:bookmarkStart w:id="63" w:name="_Toc408574169"/>
      <w:r>
        <w:rPr>
          <w:rStyle w:val="CharSectno"/>
        </w:rPr>
        <w:t>14</w:t>
      </w:r>
      <w:r>
        <w:t>.</w:t>
      </w:r>
      <w:r>
        <w:tab/>
        <w:t>Authorised persons to produce certificate</w:t>
      </w:r>
      <w:bookmarkEnd w:id="62"/>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64" w:name="_Toc408574170"/>
      <w:bookmarkStart w:id="65" w:name="_Toc416711600"/>
      <w:bookmarkEnd w:id="63"/>
      <w:r>
        <w:rPr>
          <w:rStyle w:val="CharSectno"/>
        </w:rPr>
        <w:t>15</w:t>
      </w:r>
      <w:r>
        <w:t>.</w:t>
      </w:r>
      <w:r>
        <w:tab/>
        <w:t>Authorised persons only to endorse and alter infringement notices</w:t>
      </w:r>
      <w:bookmarkEnd w:id="64"/>
      <w:bookmarkEnd w:id="65"/>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66" w:name="_Toc408574171"/>
      <w:bookmarkStart w:id="67" w:name="_Toc416711601"/>
      <w:r>
        <w:rPr>
          <w:rStyle w:val="CharSectno"/>
        </w:rPr>
        <w:t>16</w:t>
      </w:r>
      <w:r>
        <w:t>.</w:t>
      </w:r>
      <w:r>
        <w:tab/>
        <w:t>Restriction on removal of infringement notices</w:t>
      </w:r>
      <w:bookmarkEnd w:id="66"/>
      <w:bookmarkEnd w:id="67"/>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68" w:name="_Toc408574085"/>
      <w:bookmarkStart w:id="69" w:name="_Toc408574172"/>
      <w:bookmarkStart w:id="70" w:name="_Toc416692424"/>
      <w:bookmarkStart w:id="71" w:name="_Toc416692451"/>
      <w:bookmarkStart w:id="72" w:name="_Toc416710117"/>
      <w:bookmarkStart w:id="73" w:name="_Toc416710152"/>
      <w:bookmarkStart w:id="74" w:name="_Toc416711602"/>
      <w:r>
        <w:rPr>
          <w:rStyle w:val="CharSchNo"/>
        </w:rPr>
        <w:t>Schedule 1</w:t>
      </w:r>
      <w:r>
        <w:rPr>
          <w:rStyle w:val="CharSDivNo"/>
        </w:rPr>
        <w:t> </w:t>
      </w:r>
      <w:r>
        <w:t>—</w:t>
      </w:r>
      <w:r>
        <w:rPr>
          <w:rStyle w:val="CharSDivText"/>
        </w:rPr>
        <w:t> </w:t>
      </w:r>
      <w:r>
        <w:rPr>
          <w:rStyle w:val="CharSchText"/>
        </w:rPr>
        <w:t>Metropolitan Health Service sites</w:t>
      </w:r>
      <w:bookmarkEnd w:id="68"/>
      <w:bookmarkEnd w:id="69"/>
      <w:bookmarkEnd w:id="70"/>
      <w:bookmarkEnd w:id="71"/>
      <w:bookmarkEnd w:id="72"/>
      <w:bookmarkEnd w:id="73"/>
      <w:bookmarkEnd w:id="74"/>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75" w:name="_Toc408574086"/>
      <w:bookmarkStart w:id="76" w:name="_Toc408574173"/>
      <w:bookmarkStart w:id="77" w:name="_Toc416692425"/>
      <w:bookmarkStart w:id="78" w:name="_Toc416692452"/>
      <w:bookmarkStart w:id="79" w:name="_Toc416710118"/>
      <w:bookmarkStart w:id="80" w:name="_Toc416710153"/>
      <w:bookmarkStart w:id="81" w:name="_Toc416711603"/>
      <w:r>
        <w:rPr>
          <w:rStyle w:val="CharSchNo"/>
        </w:rPr>
        <w:t>Schedule 2</w:t>
      </w:r>
      <w:r>
        <w:t> — </w:t>
      </w:r>
      <w:r>
        <w:rPr>
          <w:rStyle w:val="CharSchText"/>
        </w:rPr>
        <w:t>Fees</w:t>
      </w:r>
      <w:bookmarkEnd w:id="75"/>
      <w:bookmarkEnd w:id="76"/>
      <w:bookmarkEnd w:id="77"/>
      <w:bookmarkEnd w:id="78"/>
      <w:bookmarkEnd w:id="79"/>
      <w:bookmarkEnd w:id="80"/>
      <w:bookmarkEnd w:id="81"/>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82" w:name="_Toc408574087"/>
      <w:bookmarkStart w:id="83" w:name="_Toc408574174"/>
      <w:bookmarkStart w:id="84" w:name="_Toc416692426"/>
      <w:bookmarkStart w:id="85" w:name="_Toc416692453"/>
      <w:bookmarkStart w:id="86" w:name="_Toc416710119"/>
      <w:bookmarkStart w:id="87" w:name="_Toc416710154"/>
      <w:bookmarkStart w:id="88" w:name="_Toc416711604"/>
      <w:r>
        <w:rPr>
          <w:rStyle w:val="CharSchNo"/>
        </w:rPr>
        <w:t>Schedule 3</w:t>
      </w:r>
      <w:r>
        <w:t> — </w:t>
      </w:r>
      <w:r>
        <w:rPr>
          <w:rStyle w:val="CharSchText"/>
        </w:rPr>
        <w:t>Infringement notices and modified penalties</w:t>
      </w:r>
      <w:bookmarkEnd w:id="82"/>
      <w:bookmarkEnd w:id="83"/>
      <w:bookmarkEnd w:id="84"/>
      <w:bookmarkEnd w:id="85"/>
      <w:bookmarkEnd w:id="86"/>
      <w:bookmarkEnd w:id="87"/>
      <w:bookmarkEnd w:id="88"/>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0" w:name="_Toc408574088"/>
      <w:bookmarkStart w:id="91" w:name="_Toc408574175"/>
      <w:bookmarkStart w:id="92" w:name="_Toc416692427"/>
      <w:bookmarkStart w:id="93" w:name="_Toc416692454"/>
      <w:bookmarkStart w:id="94" w:name="_Toc416710120"/>
      <w:bookmarkStart w:id="95" w:name="_Toc416710155"/>
      <w:bookmarkStart w:id="96" w:name="_Toc416711605"/>
      <w:r>
        <w:rPr>
          <w:rStyle w:val="CharSchNo"/>
        </w:rPr>
        <w:t>Schedule 4</w:t>
      </w:r>
      <w:r>
        <w:t> — </w:t>
      </w:r>
      <w:r>
        <w:rPr>
          <w:rStyle w:val="CharSchText"/>
        </w:rPr>
        <w:t>Forms</w:t>
      </w:r>
      <w:bookmarkEnd w:id="90"/>
      <w:bookmarkEnd w:id="91"/>
      <w:bookmarkEnd w:id="92"/>
      <w:bookmarkEnd w:id="93"/>
      <w:bookmarkEnd w:id="94"/>
      <w:bookmarkEnd w:id="95"/>
      <w:bookmarkEnd w:id="96"/>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97" w:name="_Toc408574089"/>
      <w:bookmarkStart w:id="98" w:name="_Toc408574176"/>
      <w:bookmarkStart w:id="99" w:name="_Toc416692428"/>
      <w:bookmarkStart w:id="100" w:name="_Toc416692455"/>
      <w:bookmarkStart w:id="101" w:name="_Toc416710121"/>
      <w:bookmarkStart w:id="102" w:name="_Toc416710156"/>
      <w:bookmarkStart w:id="103" w:name="_Toc416711606"/>
      <w:r>
        <w:t>Notes</w:t>
      </w:r>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04" w:name="_Toc408574177"/>
      <w:bookmarkStart w:id="105" w:name="_Toc416711607"/>
      <w:r>
        <w:t>Compilation table</w:t>
      </w:r>
      <w:bookmarkEnd w:id="104"/>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c>
          <w:tcPr>
            <w:tcW w:w="3118" w:type="dxa"/>
            <w:tcBorders>
              <w:top w:val="nil"/>
              <w:bottom w:val="single" w:sz="4" w:space="0" w:color="auto"/>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single" w:sz="4" w:space="0" w:color="auto"/>
              <w:right w:val="nil"/>
            </w:tcBorders>
          </w:tcPr>
          <w:p>
            <w:pPr>
              <w:pStyle w:val="nTable"/>
              <w:spacing w:after="40"/>
            </w:pPr>
            <w:r>
              <w:t>14 Apr 2015 p. 1337</w:t>
            </w:r>
            <w:r>
              <w:noBreakHyphen/>
              <w:t>41</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bl. 1 and 2: 14 Apr 2015 (see bl. 2(a));</w:t>
            </w:r>
            <w:r>
              <w:rPr>
                <w:rFonts w:ascii="Times" w:hAnsi="Times"/>
                <w:bCs/>
                <w:snapToGrid w:val="0"/>
                <w:spacing w:val="-2"/>
              </w:rPr>
              <w:br/>
              <w:t>By-laws other than bl. 1 and 2: 15 Apr 2015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 w:name="_Toc408574178"/>
      <w:bookmarkStart w:id="107" w:name="_Toc416711608"/>
      <w:r>
        <w:t>Provisions that have not come into operation</w:t>
      </w:r>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Metropolitan Health Service Amendment By</w:t>
            </w:r>
            <w:r>
              <w:rPr>
                <w:i/>
              </w:rPr>
              <w:noBreakHyphen/>
              <w:t>laws 2014</w:t>
            </w:r>
            <w:r>
              <w:t xml:space="preserve"> bl. 3</w:t>
            </w:r>
            <w:r>
              <w:noBreakHyphen/>
              <w:t>7</w:t>
            </w:r>
            <w:r>
              <w:rPr>
                <w:vertAlign w:val="superscript"/>
              </w:rPr>
              <w:t>2</w:t>
            </w:r>
          </w:p>
        </w:tc>
        <w:tc>
          <w:tcPr>
            <w:tcW w:w="1276" w:type="dxa"/>
            <w:tcBorders>
              <w:top w:val="single" w:sz="4" w:space="0" w:color="auto"/>
              <w:bottom w:val="single" w:sz="4" w:space="0" w:color="auto"/>
            </w:tcBorders>
          </w:tcPr>
          <w:p>
            <w:pPr>
              <w:pStyle w:val="nTable"/>
              <w:spacing w:after="40"/>
            </w:pPr>
            <w:r>
              <w:t>8 Jan 2015 p. 185</w:t>
            </w:r>
            <w:r>
              <w:noBreakHyphen/>
              <w:t>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Metropolitan Health Service Amendment By laws 2014</w:t>
      </w:r>
      <w:r>
        <w:t xml:space="preserve"> bl. 3</w:t>
      </w:r>
      <w:r>
        <w:noBreakHyphen/>
        <w:t>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Metropolitan Health Service By</w:t>
      </w:r>
      <w:r>
        <w:rPr>
          <w:i/>
        </w:rPr>
        <w:noBreakHyphen/>
        <w:t>laws 2008</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 delete the definition of </w:t>
      </w:r>
      <w:r>
        <w:rPr>
          <w:b/>
          <w:i/>
        </w:rPr>
        <w:t>registered owner</w:t>
      </w:r>
      <w:r>
        <w:t>.</w:t>
      </w:r>
    </w:p>
    <w:p>
      <w:pPr>
        <w:pStyle w:val="nzSubsection"/>
      </w:pPr>
      <w:r>
        <w:tab/>
        <w:t>(2)</w:t>
      </w:r>
      <w:r>
        <w:tab/>
        <w:t>In by</w:t>
      </w:r>
      <w:r>
        <w:noBreakHyphen/>
        <w:t>law 3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11 amended</w:t>
      </w:r>
    </w:p>
    <w:p>
      <w:pPr>
        <w:pStyle w:val="nzSubsection"/>
      </w:pPr>
      <w:r>
        <w:tab/>
      </w:r>
      <w:r>
        <w:tab/>
        <w:t>In by</w:t>
      </w:r>
      <w:r>
        <w:noBreakHyphen/>
        <w:t xml:space="preserve">law 11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16 amended</w:t>
      </w:r>
    </w:p>
    <w:p>
      <w:pPr>
        <w:pStyle w:val="nzSubsection"/>
      </w:pPr>
      <w:r>
        <w:tab/>
      </w:r>
      <w:r>
        <w:tab/>
        <w:t>Delete by</w:t>
      </w:r>
      <w:r>
        <w:noBreakHyphen/>
        <w:t>law 16(a)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Schedule 4 amended</w:t>
      </w:r>
    </w:p>
    <w:p>
      <w:pPr>
        <w:pStyle w:val="nzSubsection"/>
        <w:keepNext/>
      </w:pPr>
      <w:r>
        <w:tab/>
      </w:r>
      <w:r>
        <w:tab/>
        <w:t>In Schedule 4 Form 1:</w:t>
      </w:r>
    </w:p>
    <w:p>
      <w:pPr>
        <w:pStyle w:val="nzIndenta"/>
        <w:keepNext/>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527" w:gutter="0"/>
          <w:cols w:space="720"/>
          <w:noEndnote/>
        </w:sectPr>
      </w:pPr>
    </w:p>
    <w:p>
      <w:pPr>
        <w:pStyle w:val="nHeading2"/>
        <w:rPr>
          <w:sz w:val="28"/>
        </w:rPr>
      </w:pPr>
      <w:bookmarkStart w:id="109" w:name="_Toc416711609"/>
      <w:r>
        <w:rPr>
          <w:sz w:val="28"/>
        </w:rPr>
        <w:t>Defined terms</w:t>
      </w:r>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registered owner</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D7703-8FC8-4669-9385-BA53E1D93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4267</Words>
  <Characters>20824</Characters>
  <Application>Microsoft Office Word</Application>
  <DocSecurity>0</DocSecurity>
  <Lines>718</Lines>
  <Paragraphs>522</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2008 - 00-i0-02</dc:title>
  <dc:subject>Subsidiary Legislation</dc:subject>
  <dc:creator>Matthew Pether</dc:creator>
  <cp:keywords>Brought into Production 7 June 2002</cp:keywords>
  <cp:lastModifiedBy>svcMRProcess</cp:lastModifiedBy>
  <cp:revision>4</cp:revision>
  <cp:lastPrinted>2007-12-28T03:00:00Z</cp:lastPrinted>
  <dcterms:created xsi:type="dcterms:W3CDTF">2015-04-17T00:53:00Z</dcterms:created>
  <dcterms:modified xsi:type="dcterms:W3CDTF">2015-04-17T00:53:00Z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AsAtDate">
    <vt:lpwstr>15 Apr 2015</vt:lpwstr>
  </property>
  <property fmtid="{D5CDD505-2E9C-101B-9397-08002B2CF9AE}" pid="4" name="Suffix">
    <vt:lpwstr>00-i0-02</vt:lpwstr>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ies>
</file>