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(Miscellaneous) Regulations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(Miscellaneous)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_Toc417478017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_Toc417478018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Caution for certain unauthorised driving offences</w:t>
      </w:r>
      <w:r>
        <w:tab/>
      </w:r>
      <w:r>
        <w:fldChar w:fldCharType="begin"/>
      </w:r>
      <w:r>
        <w:instrText xml:space="preserve"> PAGEREF _Toc417478020 \h </w:instrText>
      </w:r>
      <w:r>
        <w:fldChar w:fldCharType="separate"/>
      </w:r>
      <w:r>
        <w:t>2</w:t>
      </w:r>
      <w:r>
        <w:fldChar w:fldCharType="end"/>
      </w:r>
    </w:p>
    <w:p>
      <w:pPr>
        <w:pStyle w:val="TOC8"/>
        <w:rPr>
          <w:rFonts w:asciiTheme="minorHAnsi" w:eastAsiaTheme="minorEastAsia" w:hAnsiTheme="minorHAnsi" w:cstheme="minorBidi"/>
          <w:szCs w:val="22"/>
        </w:rPr>
      </w:pPr>
      <w:r>
        <w:t>5.</w:t>
      </w:r>
      <w:r>
        <w:tab/>
        <w:t>Defence for failing to report minor damage</w:t>
      </w:r>
      <w:r>
        <w:tab/>
      </w:r>
      <w:r>
        <w:fldChar w:fldCharType="begin"/>
      </w:r>
      <w:r>
        <w:instrText xml:space="preserve"> PAGEREF _Toc417478021 \h </w:instrText>
      </w:r>
      <w:r>
        <w:fldChar w:fldCharType="separate"/>
      </w:r>
      <w:r>
        <w:t>2</w:t>
      </w:r>
      <w:r>
        <w:fldChar w:fldCharType="end"/>
      </w:r>
    </w:p>
    <w:p>
      <w:pPr>
        <w:pStyle w:val="TOC8"/>
        <w:rPr>
          <w:rFonts w:asciiTheme="minorHAnsi" w:eastAsiaTheme="minorEastAsia" w:hAnsiTheme="minorHAnsi" w:cstheme="minorBidi"/>
          <w:szCs w:val="22"/>
        </w:rPr>
      </w:pPr>
      <w:r>
        <w:t>6A.</w:t>
      </w:r>
      <w:r>
        <w:tab/>
        <w:t>Classes of person prescribed for s. 64A and 64AAA of Act</w:t>
      </w:r>
      <w:r>
        <w:tab/>
      </w:r>
      <w:r>
        <w:fldChar w:fldCharType="begin"/>
      </w:r>
      <w:r>
        <w:instrText xml:space="preserve"> PAGEREF _Toc417478022 \h </w:instrText>
      </w:r>
      <w:r>
        <w:fldChar w:fldCharType="separate"/>
      </w:r>
      <w:r>
        <w:t>2</w:t>
      </w:r>
      <w:r>
        <w:fldChar w:fldCharType="end"/>
      </w:r>
    </w:p>
    <w:p>
      <w:pPr>
        <w:pStyle w:val="TOC8"/>
        <w:rPr>
          <w:rFonts w:asciiTheme="minorHAnsi" w:eastAsiaTheme="minorEastAsia" w:hAnsiTheme="minorHAnsi" w:cstheme="minorBidi"/>
          <w:szCs w:val="22"/>
        </w:rPr>
      </w:pPr>
      <w:r>
        <w:t>6B.</w:t>
      </w:r>
      <w:r>
        <w:tab/>
        <w:t>Classes of motor vehicle prescribed for s. 64A of Act</w:t>
      </w:r>
      <w:r>
        <w:tab/>
      </w:r>
      <w:r>
        <w:fldChar w:fldCharType="begin"/>
      </w:r>
      <w:r>
        <w:instrText xml:space="preserve"> PAGEREF _Toc417478023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caution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_Toc417478026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3" w:name="_Toc407194559"/>
      <w:bookmarkStart w:id="4" w:name="_Toc417033140"/>
      <w:bookmarkStart w:id="5" w:name="_Toc417033160"/>
      <w:bookmarkStart w:id="6" w:name="_Toc417478016"/>
      <w:r>
        <w:rPr>
          <w:rStyle w:val="CharPartNo"/>
        </w:rPr>
        <w:t>Part 1</w:t>
      </w:r>
      <w:r>
        <w:rPr>
          <w:rStyle w:val="CharDivNo"/>
        </w:rPr>
        <w:t> </w:t>
      </w:r>
      <w:r>
        <w:t>—</w:t>
      </w:r>
      <w:r>
        <w:rPr>
          <w:rStyle w:val="CharDivText"/>
        </w:rPr>
        <w:t> Preliminary</w:t>
      </w:r>
      <w:bookmarkEnd w:id="3"/>
      <w:bookmarkEnd w:id="4"/>
      <w:bookmarkEnd w:id="5"/>
      <w:bookmarkEnd w:id="6"/>
    </w:p>
    <w:p>
      <w:pPr>
        <w:pStyle w:val="Heading5"/>
      </w:pPr>
      <w:bookmarkStart w:id="7" w:name="_Toc407194560"/>
      <w:bookmarkStart w:id="8" w:name="_Toc417478017"/>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(Miscellaneous) Regulations 2008</w:t>
      </w:r>
      <w:r>
        <w:rPr>
          <w:vertAlign w:val="superscript"/>
        </w:rPr>
        <w:t> 1</w:t>
      </w:r>
      <w:r>
        <w:t>.</w:t>
      </w:r>
    </w:p>
    <w:p>
      <w:pPr>
        <w:pStyle w:val="Heading5"/>
        <w:rPr>
          <w:spacing w:val="-2"/>
        </w:rPr>
      </w:pPr>
      <w:bookmarkStart w:id="10" w:name="_Toc407194561"/>
      <w:bookmarkStart w:id="11" w:name="_Toc41747801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spacing w:val="-2"/>
          <w:vertAlign w:val="superscript"/>
        </w:rPr>
        <w:t> 1</w:t>
      </w:r>
      <w:r>
        <w:t>.</w:t>
      </w:r>
    </w:p>
    <w:p>
      <w:pPr>
        <w:pStyle w:val="Ednotesection"/>
      </w:pPr>
      <w:bookmarkStart w:id="12" w:name="_Toc407194562"/>
      <w:r>
        <w:t>[</w:t>
      </w:r>
      <w:r>
        <w:rPr>
          <w:b/>
        </w:rPr>
        <w:t>3.</w:t>
      </w:r>
      <w:r>
        <w:tab/>
        <w:t>Deleted: Gazette 23 Dec 2014 p. 4934.]</w:t>
      </w:r>
    </w:p>
    <w:p>
      <w:pPr>
        <w:pStyle w:val="Heading2"/>
      </w:pPr>
      <w:bookmarkStart w:id="13" w:name="_Toc407194563"/>
      <w:bookmarkStart w:id="14" w:name="_Toc417033144"/>
      <w:bookmarkStart w:id="15" w:name="_Toc417033164"/>
      <w:bookmarkStart w:id="16" w:name="_Toc417478019"/>
      <w:bookmarkEnd w:id="12"/>
      <w:r>
        <w:rPr>
          <w:rStyle w:val="CharPartNo"/>
        </w:rPr>
        <w:t>Part 2</w:t>
      </w:r>
      <w:r>
        <w:rPr>
          <w:rStyle w:val="CharDivNo"/>
        </w:rPr>
        <w:t> </w:t>
      </w:r>
      <w:r>
        <w:t>—</w:t>
      </w:r>
      <w:r>
        <w:rPr>
          <w:rStyle w:val="CharDivText"/>
        </w:rPr>
        <w:t> </w:t>
      </w:r>
      <w:r>
        <w:rPr>
          <w:rStyle w:val="CharPartText"/>
        </w:rPr>
        <w:t>General</w:t>
      </w:r>
      <w:bookmarkEnd w:id="13"/>
      <w:bookmarkEnd w:id="14"/>
      <w:bookmarkEnd w:id="15"/>
      <w:bookmarkEnd w:id="16"/>
    </w:p>
    <w:p>
      <w:pPr>
        <w:pStyle w:val="Heading5"/>
      </w:pPr>
      <w:bookmarkStart w:id="17" w:name="_Toc407194564"/>
      <w:bookmarkStart w:id="18" w:name="_Toc417478020"/>
      <w:r>
        <w:rPr>
          <w:rStyle w:val="CharSectno"/>
        </w:rPr>
        <w:t>4</w:t>
      </w:r>
      <w:r>
        <w:t>.</w:t>
      </w:r>
      <w:r>
        <w:tab/>
        <w:t>Caution for certain unauthorised driving offences</w:t>
      </w:r>
      <w:bookmarkEnd w:id="17"/>
      <w:bookmarkEnd w:id="18"/>
    </w:p>
    <w:p>
      <w:pPr>
        <w:pStyle w:val="Subsection"/>
      </w:pPr>
      <w:r>
        <w:tab/>
      </w:r>
      <w:r>
        <w:tab/>
        <w:t>The form set out in Schedule 1 is prescribed under section 49A(3) of the Act.</w:t>
      </w:r>
    </w:p>
    <w:p>
      <w:pPr>
        <w:pStyle w:val="Heading5"/>
      </w:pPr>
      <w:bookmarkStart w:id="19" w:name="_Toc407194565"/>
      <w:bookmarkStart w:id="20" w:name="_Toc417478021"/>
      <w:r>
        <w:rPr>
          <w:rStyle w:val="CharSectno"/>
        </w:rPr>
        <w:t>5</w:t>
      </w:r>
      <w:r>
        <w:t>.</w:t>
      </w:r>
      <w:r>
        <w:tab/>
        <w:t>Defence for failing to report minor damage</w:t>
      </w:r>
      <w:bookmarkEnd w:id="19"/>
      <w:bookmarkEnd w:id="20"/>
    </w:p>
    <w:p>
      <w:pPr>
        <w:pStyle w:val="Subsection"/>
      </w:pPr>
      <w:r>
        <w:tab/>
      </w:r>
      <w:r>
        <w:tab/>
        <w:t>The amount prescribed for the purpose of section 56(6) of the Act is $3 000.</w:t>
      </w:r>
    </w:p>
    <w:p>
      <w:pPr>
        <w:pStyle w:val="Heading5"/>
      </w:pPr>
      <w:bookmarkStart w:id="21" w:name="_Toc407194566"/>
      <w:bookmarkStart w:id="22" w:name="_Toc417478022"/>
      <w:r>
        <w:rPr>
          <w:rStyle w:val="CharSectno"/>
        </w:rPr>
        <w:t>6A</w:t>
      </w:r>
      <w:r>
        <w:t>.</w:t>
      </w:r>
      <w:r>
        <w:tab/>
        <w:t>Classes of person prescribed for s. 64A and 64AAA of Act</w:t>
      </w:r>
      <w:bookmarkEnd w:id="21"/>
      <w:bookmarkEnd w:id="22"/>
    </w:p>
    <w:p>
      <w:pPr>
        <w:pStyle w:val="Subsection"/>
      </w:pPr>
      <w:r>
        <w:tab/>
        <w:t>(1)</w:t>
      </w:r>
      <w:r>
        <w:tab/>
        <w:t xml:space="preserve">In this regulation — </w:t>
      </w:r>
    </w:p>
    <w:p>
      <w:pPr>
        <w:pStyle w:val="Defstart"/>
      </w:pPr>
      <w:r>
        <w:tab/>
      </w:r>
      <w:r>
        <w:rPr>
          <w:rStyle w:val="CharDefText"/>
        </w:rPr>
        <w:t>contractor</w:t>
      </w:r>
      <w:r>
        <w:t xml:space="preserve">, to the FES Department, an emergency services organisation or a local government, means — </w:t>
      </w:r>
    </w:p>
    <w:p>
      <w:pPr>
        <w:pStyle w:val="Defpara"/>
        <w:spacing w:before="70"/>
      </w:pPr>
      <w:r>
        <w:tab/>
        <w:t>(a)</w:t>
      </w:r>
      <w:r>
        <w:tab/>
        <w:t>a person who is engaged by the chief executive officer of the FES Department, the emergency services organisation or the local government under a contract for services; or</w:t>
      </w:r>
    </w:p>
    <w:p>
      <w:pPr>
        <w:pStyle w:val="Defpara"/>
        <w:spacing w:before="70"/>
      </w:pPr>
      <w:r>
        <w:tab/>
        <w:t>(b)</w:t>
      </w:r>
      <w:r>
        <w:tab/>
        <w:t>a person who is employed or engaged by a person referred to in paragraph (a);</w:t>
      </w:r>
    </w:p>
    <w:p>
      <w:pPr>
        <w:pStyle w:val="Defstart"/>
      </w:pPr>
      <w:r>
        <w:tab/>
      </w:r>
      <w:r>
        <w:rPr>
          <w:rStyle w:val="CharDefText"/>
        </w:rPr>
        <w:t>emergency services organisation</w:t>
      </w:r>
      <w:r>
        <w:t xml:space="preserve"> means any of the following — </w:t>
      </w:r>
    </w:p>
    <w:p>
      <w:pPr>
        <w:pStyle w:val="Defpara"/>
        <w:spacing w:before="70"/>
      </w:pPr>
      <w:r>
        <w:tab/>
        <w:t>(a)</w:t>
      </w:r>
      <w:r>
        <w:tab/>
        <w:t>a FES Unit as defined in the FES Act section 3;</w:t>
      </w:r>
    </w:p>
    <w:p>
      <w:pPr>
        <w:pStyle w:val="Defpara"/>
        <w:spacing w:before="70"/>
      </w:pPr>
      <w:r>
        <w:tab/>
        <w:t>(b)</w:t>
      </w:r>
      <w:r>
        <w:tab/>
        <w:t>an SES Unit as defined in the FES Act section 3;</w:t>
      </w:r>
    </w:p>
    <w:p>
      <w:pPr>
        <w:pStyle w:val="Defpara"/>
        <w:spacing w:before="70"/>
      </w:pPr>
      <w:r>
        <w:tab/>
        <w:t>(c)</w:t>
      </w:r>
      <w:r>
        <w:tab/>
        <w:t>a VMRS Group as defined in the FES Act section 3;</w:t>
      </w:r>
    </w:p>
    <w:p>
      <w:pPr>
        <w:pStyle w:val="Defpara"/>
        <w:spacing w:before="70"/>
      </w:pPr>
      <w:r>
        <w:tab/>
        <w:t>(d)</w:t>
      </w:r>
      <w:r>
        <w:tab/>
        <w:t xml:space="preserve">a bush fire brigade as defined in the </w:t>
      </w:r>
      <w:r>
        <w:rPr>
          <w:i/>
        </w:rPr>
        <w:t>Bush Fires Act 1954</w:t>
      </w:r>
      <w:r>
        <w:t xml:space="preserve"> section 7(1);</w:t>
      </w:r>
    </w:p>
    <w:p>
      <w:pPr>
        <w:pStyle w:val="Defpara"/>
        <w:spacing w:before="70"/>
      </w:pPr>
      <w:r>
        <w:tab/>
        <w:t>(e)</w:t>
      </w:r>
      <w:r>
        <w:tab/>
        <w:t xml:space="preserve">a private fire brigade as defined in the </w:t>
      </w:r>
      <w:r>
        <w:rPr>
          <w:i/>
        </w:rPr>
        <w:t>Fire Brigades Act 1942</w:t>
      </w:r>
      <w:r>
        <w:t xml:space="preserve"> section 4(1);</w:t>
      </w:r>
    </w:p>
    <w:p>
      <w:pPr>
        <w:pStyle w:val="Defpara"/>
        <w:spacing w:before="70"/>
      </w:pPr>
      <w:r>
        <w:tab/>
        <w:t>(f)</w:t>
      </w:r>
      <w:r>
        <w:tab/>
        <w:t xml:space="preserve">a volunteer fire brigade as defined in the </w:t>
      </w:r>
      <w:r>
        <w:rPr>
          <w:i/>
        </w:rPr>
        <w:t>Fire Brigades Act 1942</w:t>
      </w:r>
      <w:r>
        <w:t xml:space="preserve"> section 4(1);</w:t>
      </w:r>
    </w:p>
    <w:p>
      <w:pPr>
        <w:pStyle w:val="Defstart"/>
      </w:pPr>
      <w:r>
        <w:tab/>
      </w:r>
      <w:r>
        <w:rPr>
          <w:rStyle w:val="CharDefText"/>
        </w:rPr>
        <w:t>FES Act</w:t>
      </w:r>
      <w:r>
        <w:t xml:space="preserve"> means the </w:t>
      </w:r>
      <w:r>
        <w:rPr>
          <w:i/>
        </w:rPr>
        <w:t>Fire and Emergency Services Act 1998</w:t>
      </w:r>
      <w:r>
        <w:t>;</w:t>
      </w:r>
    </w:p>
    <w:p>
      <w:pPr>
        <w:pStyle w:val="Defstart"/>
      </w:pPr>
      <w:r>
        <w:tab/>
      </w:r>
      <w:r>
        <w:rPr>
          <w:rStyle w:val="CharDefText"/>
        </w:rPr>
        <w:t>FES Department</w:t>
      </w:r>
      <w:r>
        <w:t xml:space="preserve"> means the department of the Public Service principally assisting in the administration of the FES Act.</w:t>
      </w:r>
    </w:p>
    <w:p>
      <w:pPr>
        <w:pStyle w:val="Subsection"/>
      </w:pPr>
      <w:r>
        <w:tab/>
        <w:t>(2)</w:t>
      </w:r>
      <w:r>
        <w:tab/>
        <w:t xml:space="preserve">The following classes of person are prescribed for the purposes of sections 64A(4A)(a) and 64AAA(2A)(a) of the Act — </w:t>
      </w:r>
    </w:p>
    <w:p>
      <w:pPr>
        <w:pStyle w:val="Indenta"/>
      </w:pPr>
      <w:r>
        <w:tab/>
        <w:t>(a)</w:t>
      </w:r>
      <w:r>
        <w:tab/>
        <w:t>a person who is an officer or member of an emergency services organisation;</w:t>
      </w:r>
    </w:p>
    <w:p>
      <w:pPr>
        <w:pStyle w:val="Indenta"/>
      </w:pPr>
      <w:r>
        <w:tab/>
        <w:t>(b)</w:t>
      </w:r>
      <w:r>
        <w:tab/>
        <w:t xml:space="preserve">a person who is employed by a local government under the </w:t>
      </w:r>
      <w:r>
        <w:rPr>
          <w:i/>
        </w:rPr>
        <w:t>Local Government Act 1995</w:t>
      </w:r>
      <w:r>
        <w:t xml:space="preserve"> section 5.36;</w:t>
      </w:r>
    </w:p>
    <w:p>
      <w:pPr>
        <w:pStyle w:val="Indenta"/>
      </w:pPr>
      <w:r>
        <w:tab/>
        <w:t>(c)</w:t>
      </w:r>
      <w:r>
        <w:tab/>
        <w:t>a person who is a contractor to the FES Department, an emergency services organisation or a local government;</w:t>
      </w:r>
    </w:p>
    <w:p>
      <w:pPr>
        <w:pStyle w:val="Indenta"/>
      </w:pPr>
      <w:r>
        <w:tab/>
        <w:t>(d)</w:t>
      </w:r>
      <w:r>
        <w:tab/>
        <w:t>a person who is acting under the direction of a person referred to in paragraph (a), (b) or (c).</w:t>
      </w:r>
    </w:p>
    <w:p>
      <w:pPr>
        <w:pStyle w:val="Footnotesection"/>
      </w:pPr>
      <w:r>
        <w:tab/>
        <w:t>[Regulation 6A inserted: Gazette 30 Aug 2011 p. 3513-14; amended: Gazette 19 Feb 2013 p. 996.]</w:t>
      </w:r>
    </w:p>
    <w:p>
      <w:pPr>
        <w:pStyle w:val="Heading5"/>
      </w:pPr>
      <w:bookmarkStart w:id="23" w:name="_Toc407194567"/>
      <w:bookmarkStart w:id="24" w:name="_Toc417478023"/>
      <w:r>
        <w:rPr>
          <w:rStyle w:val="CharSectno"/>
        </w:rPr>
        <w:t>6B</w:t>
      </w:r>
      <w:r>
        <w:t>.</w:t>
      </w:r>
      <w:r>
        <w:tab/>
        <w:t>Classes of motor vehicle prescribed for s. 64A of Act</w:t>
      </w:r>
      <w:bookmarkEnd w:id="23"/>
      <w:bookmarkEnd w:id="24"/>
    </w:p>
    <w:p>
      <w:pPr>
        <w:pStyle w:val="Subsection"/>
      </w:pPr>
      <w:r>
        <w:tab/>
      </w:r>
      <w:r>
        <w:tab/>
        <w:t xml:space="preserve">The following classes of motor vehicle are prescribed for the purposes of section 64A(5)(e) of the Act — </w:t>
      </w:r>
    </w:p>
    <w:p>
      <w:pPr>
        <w:pStyle w:val="Indenta"/>
      </w:pPr>
      <w:r>
        <w:tab/>
        <w:t>(a)</w:t>
      </w:r>
      <w:r>
        <w:tab/>
        <w:t xml:space="preserve">a motor vehicle that is a placarded vehicle as defined in the </w:t>
      </w:r>
      <w:r>
        <w:rPr>
          <w:i/>
        </w:rPr>
        <w:t>Dangerous Goods Safety (Explosives) Regulations 2007</w:t>
      </w:r>
      <w:r>
        <w:t xml:space="preserve"> regulation 107(1);</w:t>
      </w:r>
    </w:p>
    <w:p>
      <w:pPr>
        <w:pStyle w:val="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pPr>
        <w:pStyle w:val="Footnotesection"/>
      </w:pPr>
      <w:r>
        <w:tab/>
        <w:t>[Regulation 6B inserted: Gazette 30 Aug 2011 p. 3514.]</w:t>
      </w:r>
    </w:p>
    <w:p>
      <w:pPr>
        <w:pStyle w:val="Ednotepart"/>
      </w:pPr>
      <w:bookmarkStart w:id="25" w:name="_Toc407194568"/>
      <w:bookmarkStart w:id="26" w:name="_Toc417033149"/>
      <w:bookmarkStart w:id="27" w:name="_Toc417033169"/>
      <w:r>
        <w:t>[Parts 3 and 4 (r. 6</w:t>
      </w:r>
      <w:r>
        <w:noBreakHyphen/>
        <w:t>11) deleted: Gazette 23 Dec 2014 p. 4934.]</w:t>
      </w:r>
    </w:p>
    <w:bookmarkEnd w:id="25"/>
    <w:bookmarkEnd w:id="26"/>
    <w:bookmarkEnd w:id="27"/>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 w:name="_Toc407194574"/>
      <w:bookmarkStart w:id="29" w:name="_Toc417033155"/>
      <w:bookmarkStart w:id="30" w:name="_Toc417033175"/>
      <w:bookmarkStart w:id="31" w:name="_Toc417478024"/>
      <w:r>
        <w:rPr>
          <w:rStyle w:val="CharSchNo"/>
        </w:rPr>
        <w:t>Schedule 1</w:t>
      </w:r>
      <w:r>
        <w:rPr>
          <w:rStyle w:val="CharSDivNo"/>
        </w:rPr>
        <w:t> </w:t>
      </w:r>
      <w:r>
        <w:t>—</w:t>
      </w:r>
      <w:r>
        <w:rPr>
          <w:rStyle w:val="CharSDivText"/>
        </w:rPr>
        <w:t> </w:t>
      </w:r>
      <w:r>
        <w:rPr>
          <w:rStyle w:val="CharSchText"/>
        </w:rPr>
        <w:t>Form of caution</w:t>
      </w:r>
      <w:bookmarkEnd w:id="28"/>
      <w:bookmarkEnd w:id="29"/>
      <w:bookmarkEnd w:id="30"/>
      <w:bookmarkEnd w:id="31"/>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648"/>
      </w:tblGrid>
      <w:tr>
        <w:tc>
          <w:tcPr>
            <w:tcW w:w="1440" w:type="dxa"/>
          </w:tcPr>
          <w:p>
            <w:pPr>
              <w:pStyle w:val="yTable"/>
            </w:pPr>
            <w:r>
              <w:t>Driver:</w:t>
            </w:r>
          </w:p>
        </w:tc>
        <w:tc>
          <w:tcPr>
            <w:tcW w:w="5648"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648" w:type="dxa"/>
          </w:tcPr>
          <w:p>
            <w:pPr>
              <w:pStyle w:val="yTable"/>
              <w:tabs>
                <w:tab w:val="left" w:pos="2847"/>
              </w:tabs>
            </w:pPr>
            <w:r>
              <w:tab/>
              <w:t>Phone:</w:t>
            </w:r>
          </w:p>
        </w:tc>
      </w:tr>
      <w:tr>
        <w:tc>
          <w:tcPr>
            <w:tcW w:w="1440" w:type="dxa"/>
          </w:tcPr>
          <w:p>
            <w:pPr>
              <w:pStyle w:val="yTable"/>
            </w:pPr>
            <w:r>
              <w:t>Driver’s licence details:</w:t>
            </w:r>
          </w:p>
        </w:tc>
        <w:tc>
          <w:tcPr>
            <w:tcW w:w="5648"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648" w:type="dxa"/>
          </w:tcPr>
          <w:p>
            <w:pPr>
              <w:pStyle w:val="yTable"/>
            </w:pPr>
            <w:r>
              <w:t>Reg. No.:</w:t>
            </w:r>
          </w:p>
          <w:p>
            <w:pPr>
              <w:pStyle w:val="yTable"/>
            </w:pPr>
            <w:r>
              <w:t>Make / Model:</w:t>
            </w:r>
          </w:p>
        </w:tc>
      </w:tr>
      <w:tr>
        <w:tc>
          <w:tcPr>
            <w:tcW w:w="1440" w:type="dxa"/>
          </w:tcPr>
          <w:p>
            <w:pPr>
              <w:pStyle w:val="yTable"/>
            </w:pPr>
            <w:r>
              <w:t>Time and date stopped:</w:t>
            </w:r>
          </w:p>
        </w:tc>
        <w:tc>
          <w:tcPr>
            <w:tcW w:w="5648"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648" w:type="dxa"/>
          </w:tcPr>
          <w:p>
            <w:pPr>
              <w:pStyle w:val="yTable"/>
            </w:pPr>
          </w:p>
        </w:tc>
      </w:tr>
      <w:tr>
        <w:tc>
          <w:tcPr>
            <w:tcW w:w="1440" w:type="dxa"/>
          </w:tcPr>
          <w:p>
            <w:pPr>
              <w:pStyle w:val="yTable"/>
            </w:pPr>
            <w:r>
              <w:t>Driver’s signature:</w:t>
            </w:r>
          </w:p>
        </w:tc>
        <w:tc>
          <w:tcPr>
            <w:tcW w:w="5648" w:type="dxa"/>
          </w:tcPr>
          <w:p>
            <w:pPr>
              <w:pStyle w:val="yTable"/>
              <w:tabs>
                <w:tab w:val="left" w:pos="2847"/>
              </w:tabs>
            </w:pPr>
            <w:r>
              <w:br/>
            </w:r>
            <w:r>
              <w:tab/>
              <w:t>Time signed:</w:t>
            </w:r>
          </w:p>
        </w:tc>
      </w:tr>
      <w:tr>
        <w:tc>
          <w:tcPr>
            <w:tcW w:w="1440" w:type="dxa"/>
          </w:tcPr>
          <w:p>
            <w:pPr>
              <w:pStyle w:val="yTable"/>
            </w:pPr>
            <w:r>
              <w:t>Police officer issuing caution:</w:t>
            </w:r>
          </w:p>
        </w:tc>
        <w:tc>
          <w:tcPr>
            <w:tcW w:w="5648"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648"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670"/>
      </w:tblGrid>
      <w:tr>
        <w:tc>
          <w:tcPr>
            <w:tcW w:w="1418" w:type="dxa"/>
          </w:tcPr>
          <w:p>
            <w:pPr>
              <w:pStyle w:val="yTable"/>
            </w:pPr>
            <w:r>
              <w:t>Driving / travel is authorised only until:</w:t>
            </w:r>
          </w:p>
        </w:tc>
        <w:tc>
          <w:tcPr>
            <w:tcW w:w="5670"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670" w:type="dxa"/>
          </w:tcPr>
          <w:p>
            <w:pPr>
              <w:pStyle w:val="yTable"/>
            </w:pPr>
            <w:r>
              <w:t>Travel from  .............................................................................</w:t>
            </w:r>
            <w:r>
              <w:br/>
            </w:r>
            <w:r>
              <w:br/>
              <w:t>to ..............................................................................................</w:t>
            </w:r>
            <w:r>
              <w:br/>
              <w:t>by shortest practicable route.</w:t>
            </w:r>
          </w:p>
        </w:tc>
      </w:tr>
      <w:tr>
        <w:tc>
          <w:tcPr>
            <w:tcW w:w="1418" w:type="dxa"/>
          </w:tcPr>
          <w:p>
            <w:pPr>
              <w:pStyle w:val="yTable"/>
            </w:pPr>
            <w:r>
              <w:t>Conditions:</w:t>
            </w:r>
          </w:p>
        </w:tc>
        <w:tc>
          <w:tcPr>
            <w:tcW w:w="5670"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yEdnoteschedule"/>
      </w:pPr>
      <w:bookmarkStart w:id="32" w:name="_Toc407194575"/>
      <w:bookmarkStart w:id="33" w:name="_Toc417033156"/>
      <w:bookmarkStart w:id="34" w:name="_Toc417033176"/>
      <w:r>
        <w:t>[Schedule 2 deleted: Gazette 23 Dec 2014 p. 4934.]</w:t>
      </w:r>
    </w:p>
    <w:bookmarkEnd w:id="32"/>
    <w:bookmarkEnd w:id="33"/>
    <w:bookmarkEnd w:id="3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36" w:name="_Toc407194576"/>
      <w:bookmarkStart w:id="37" w:name="_Toc417033157"/>
      <w:bookmarkStart w:id="38" w:name="_Toc417033177"/>
      <w:bookmarkStart w:id="39" w:name="_Toc417478025"/>
      <w:r>
        <w:t>Notes</w:t>
      </w:r>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(Miscellaneous)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40" w:name="_Toc407194577"/>
      <w:bookmarkStart w:id="41" w:name="_Toc417478026"/>
      <w:r>
        <w:t>Compilation table</w:t>
      </w:r>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Road Traffic (Miscellaneous) Regulations 2008</w:t>
            </w:r>
          </w:p>
        </w:tc>
        <w:tc>
          <w:tcPr>
            <w:tcW w:w="1276" w:type="dxa"/>
            <w:tcBorders>
              <w:top w:val="single" w:sz="8" w:space="0" w:color="auto"/>
              <w:bottom w:val="nil"/>
            </w:tcBorders>
          </w:tcPr>
          <w:p>
            <w:pPr>
              <w:pStyle w:val="nTable"/>
              <w:spacing w:after="40"/>
            </w:pPr>
            <w:r>
              <w:t>10 Jun 2008 p. 2431-47</w:t>
            </w:r>
          </w:p>
        </w:tc>
        <w:tc>
          <w:tcPr>
            <w:tcW w:w="2693" w:type="dxa"/>
            <w:tcBorders>
              <w:top w:val="single" w:sz="8" w:space="0" w:color="auto"/>
              <w:bottom w:val="nil"/>
            </w:tcBorders>
          </w:tcPr>
          <w:p>
            <w:pPr>
              <w:pStyle w:val="nTable"/>
              <w:spacing w:after="40"/>
            </w:pPr>
            <w:r>
              <w:t>Part 1: 10 Jun 2008 (see r. 2(a));</w:t>
            </w:r>
            <w:r>
              <w:br/>
              <w:t xml:space="preserve">Regulations other than Part 1: 30 Jun 2008 (see r. 2(b) and </w:t>
            </w:r>
            <w:r>
              <w:rPr>
                <w:i/>
                <w:iCs/>
              </w:rPr>
              <w:t>Gazette</w:t>
            </w:r>
            <w:r>
              <w:t xml:space="preserve"> 10 Jun 2008 p. 2471)</w:t>
            </w:r>
          </w:p>
        </w:tc>
      </w:tr>
      <w:tr>
        <w:tc>
          <w:tcPr>
            <w:tcW w:w="3118" w:type="dxa"/>
            <w:tcBorders>
              <w:top w:val="nil"/>
              <w:bottom w:val="nil"/>
            </w:tcBorders>
          </w:tcPr>
          <w:p>
            <w:pPr>
              <w:pStyle w:val="nTable"/>
              <w:spacing w:after="40"/>
              <w:rPr>
                <w:i/>
              </w:rPr>
            </w:pPr>
            <w:r>
              <w:rPr>
                <w:i/>
              </w:rPr>
              <w:t>Road Traffic Amendment (Novice Driver Penalties) Regulations 2008</w:t>
            </w:r>
            <w:r>
              <w:rPr>
                <w:i/>
                <w:iCs/>
              </w:rPr>
              <w:t xml:space="preserve"> </w:t>
            </w:r>
            <w:r>
              <w:t>Pt. 4</w:t>
            </w:r>
          </w:p>
        </w:tc>
        <w:tc>
          <w:tcPr>
            <w:tcW w:w="1276" w:type="dxa"/>
            <w:tcBorders>
              <w:top w:val="nil"/>
              <w:bottom w:val="nil"/>
            </w:tcBorders>
          </w:tcPr>
          <w:p>
            <w:pPr>
              <w:pStyle w:val="nTable"/>
              <w:spacing w:after="40"/>
            </w:pPr>
            <w:r>
              <w:t>27 Jun 2008 p. 3119-24</w:t>
            </w:r>
          </w:p>
        </w:tc>
        <w:tc>
          <w:tcPr>
            <w:tcW w:w="2693" w:type="dxa"/>
            <w:tcBorders>
              <w:top w:val="nil"/>
              <w:bottom w:val="nil"/>
            </w:tcBorders>
          </w:tcPr>
          <w:p>
            <w:pPr>
              <w:pStyle w:val="nTable"/>
              <w:spacing w:after="40"/>
            </w:pPr>
            <w:r>
              <w:t xml:space="preserve">1 Jul 2008 (see r. 2(b) and </w:t>
            </w:r>
            <w:r>
              <w:rPr>
                <w:i/>
                <w:iCs/>
              </w:rPr>
              <w:t>Gazette</w:t>
            </w:r>
            <w:r>
              <w:t xml:space="preserve"> 27 Jun 2008 p. 3117)</w:t>
            </w:r>
          </w:p>
        </w:tc>
      </w:tr>
      <w:tr>
        <w:tc>
          <w:tcPr>
            <w:tcW w:w="3118" w:type="dxa"/>
            <w:tcBorders>
              <w:top w:val="nil"/>
              <w:bottom w:val="nil"/>
            </w:tcBorders>
          </w:tcPr>
          <w:p>
            <w:pPr>
              <w:pStyle w:val="nTable"/>
              <w:spacing w:after="40"/>
            </w:pPr>
            <w:r>
              <w:rPr>
                <w:i/>
              </w:rPr>
              <w:t>Road Traffic (Miscellaneous) Amendment Regulations 2009</w:t>
            </w:r>
          </w:p>
        </w:tc>
        <w:tc>
          <w:tcPr>
            <w:tcW w:w="1276" w:type="dxa"/>
            <w:tcBorders>
              <w:top w:val="nil"/>
              <w:bottom w:val="nil"/>
            </w:tcBorders>
          </w:tcPr>
          <w:p>
            <w:pPr>
              <w:pStyle w:val="nTable"/>
              <w:spacing w:after="40"/>
            </w:pPr>
            <w:r>
              <w:t>24 Apr 2009 p. 1388</w:t>
            </w:r>
          </w:p>
        </w:tc>
        <w:tc>
          <w:tcPr>
            <w:tcW w:w="2693" w:type="dxa"/>
            <w:tcBorders>
              <w:top w:val="nil"/>
              <w:bottom w:val="nil"/>
            </w:tcBorders>
          </w:tcPr>
          <w:p>
            <w:pPr>
              <w:pStyle w:val="nTable"/>
              <w:spacing w:after="40"/>
            </w:pPr>
            <w:r>
              <w:t>24 Apr 2009</w:t>
            </w:r>
          </w:p>
        </w:tc>
      </w:tr>
      <w:tr>
        <w:tc>
          <w:tcPr>
            <w:tcW w:w="3118" w:type="dxa"/>
            <w:tcBorders>
              <w:top w:val="nil"/>
              <w:bottom w:val="nil"/>
            </w:tcBorders>
          </w:tcPr>
          <w:p>
            <w:pPr>
              <w:pStyle w:val="nTable"/>
              <w:spacing w:after="40"/>
              <w:rPr>
                <w:i/>
              </w:rPr>
            </w:pPr>
            <w:r>
              <w:rPr>
                <w:i/>
              </w:rPr>
              <w:t>Road Traffic (Miscellaneous) Amendment Regulations 2011</w:t>
            </w:r>
          </w:p>
        </w:tc>
        <w:tc>
          <w:tcPr>
            <w:tcW w:w="1276" w:type="dxa"/>
            <w:tcBorders>
              <w:top w:val="nil"/>
              <w:bottom w:val="nil"/>
            </w:tcBorders>
          </w:tcPr>
          <w:p>
            <w:pPr>
              <w:pStyle w:val="nTable"/>
              <w:spacing w:after="40"/>
            </w:pPr>
            <w:r>
              <w:t>18 Mar 2011 p. 926</w:t>
            </w:r>
            <w:r>
              <w:noBreakHyphen/>
              <w:t>7</w:t>
            </w:r>
          </w:p>
        </w:tc>
        <w:tc>
          <w:tcPr>
            <w:tcW w:w="2693" w:type="dxa"/>
            <w:tcBorders>
              <w:top w:val="nil"/>
              <w:bottom w:val="nil"/>
            </w:tcBorders>
          </w:tcPr>
          <w:p>
            <w:pPr>
              <w:pStyle w:val="nTable"/>
              <w:spacing w:after="40"/>
            </w:pPr>
            <w:r>
              <w:t>r. 1 and 2: 18 Mar 2011 (see r. 2(a));</w:t>
            </w:r>
            <w:r>
              <w:br/>
              <w:t>Regulations other than r. 1 and 2: 19 Mar 2011 (see r. 2(b))</w:t>
            </w:r>
          </w:p>
        </w:tc>
      </w:tr>
      <w:tr>
        <w:tc>
          <w:tcPr>
            <w:tcW w:w="3118" w:type="dxa"/>
            <w:tcBorders>
              <w:top w:val="nil"/>
              <w:bottom w:val="nil"/>
            </w:tcBorders>
          </w:tcPr>
          <w:p>
            <w:pPr>
              <w:pStyle w:val="nTable"/>
              <w:spacing w:after="40"/>
              <w:rPr>
                <w:i/>
              </w:rPr>
            </w:pPr>
            <w:r>
              <w:rPr>
                <w:i/>
              </w:rPr>
              <w:t>Road Traffic (Miscellaneous) Amendment Regulations (No. 2) 2011</w:t>
            </w:r>
          </w:p>
        </w:tc>
        <w:tc>
          <w:tcPr>
            <w:tcW w:w="1276" w:type="dxa"/>
            <w:tcBorders>
              <w:top w:val="nil"/>
              <w:bottom w:val="nil"/>
            </w:tcBorders>
          </w:tcPr>
          <w:p>
            <w:pPr>
              <w:pStyle w:val="nTable"/>
              <w:spacing w:after="40"/>
            </w:pPr>
            <w:r>
              <w:t>30 Aug 2011 p. 3513</w:t>
            </w:r>
            <w:r>
              <w:noBreakHyphen/>
              <w:t>15</w:t>
            </w:r>
          </w:p>
        </w:tc>
        <w:tc>
          <w:tcPr>
            <w:tcW w:w="2693" w:type="dxa"/>
            <w:tcBorders>
              <w:top w:val="nil"/>
              <w:bottom w:val="nil"/>
            </w:tcBorders>
          </w:tcPr>
          <w:p>
            <w:pPr>
              <w:pStyle w:val="nTable"/>
              <w:spacing w:after="40"/>
            </w:pPr>
            <w:r>
              <w:t>r. 1 and 2: 30 Aug 2011 (see r. 2(a));</w:t>
            </w:r>
            <w:r>
              <w:br/>
              <w:t xml:space="preserve">Regulations other than r. 1 and 2: 1 Oct 2011 (see r. 2(b) and </w:t>
            </w:r>
            <w:r>
              <w:rPr>
                <w:i/>
                <w:iCs/>
              </w:rPr>
              <w:t>Gazette</w:t>
            </w:r>
            <w:r>
              <w:t xml:space="preserve"> 30 Aug 2011 p. 3503)</w:t>
            </w:r>
          </w:p>
        </w:tc>
      </w:tr>
      <w:tr>
        <w:tc>
          <w:tcPr>
            <w:tcW w:w="3118" w:type="dxa"/>
            <w:tcBorders>
              <w:top w:val="nil"/>
              <w:bottom w:val="nil"/>
            </w:tcBorders>
            <w:shd w:val="clear" w:color="auto" w:fill="auto"/>
          </w:tcPr>
          <w:p>
            <w:pPr>
              <w:pStyle w:val="nTable"/>
              <w:spacing w:after="40"/>
              <w:rPr>
                <w:i/>
              </w:rPr>
            </w:pPr>
            <w:r>
              <w:rPr>
                <w:i/>
              </w:rPr>
              <w:t>Road Traffic (Miscellaneous) Amendment Regulations 2012</w:t>
            </w:r>
          </w:p>
        </w:tc>
        <w:tc>
          <w:tcPr>
            <w:tcW w:w="1276" w:type="dxa"/>
            <w:tcBorders>
              <w:top w:val="nil"/>
              <w:bottom w:val="nil"/>
            </w:tcBorders>
            <w:shd w:val="clear" w:color="auto" w:fill="auto"/>
          </w:tcPr>
          <w:p>
            <w:pPr>
              <w:pStyle w:val="nTable"/>
              <w:spacing w:after="40"/>
            </w:pPr>
            <w:r>
              <w:t>19 Feb 2013 p. 995</w:t>
            </w:r>
            <w:r>
              <w:noBreakHyphen/>
              <w:t>6</w:t>
            </w:r>
          </w:p>
        </w:tc>
        <w:tc>
          <w:tcPr>
            <w:tcW w:w="2693" w:type="dxa"/>
            <w:tcBorders>
              <w:top w:val="nil"/>
              <w:bottom w:val="nil"/>
            </w:tcBorders>
            <w:shd w:val="clear" w:color="auto" w:fill="auto"/>
          </w:tcPr>
          <w:p>
            <w:pPr>
              <w:pStyle w:val="nTable"/>
              <w:spacing w:after="40"/>
            </w:pPr>
            <w:r>
              <w:rPr>
                <w:snapToGrid w:val="0"/>
                <w:spacing w:val="-2"/>
              </w:rPr>
              <w:t>r. 1 and 2: 19 Feb 2013 (see r. 2(a));</w:t>
            </w:r>
            <w:r>
              <w:rPr>
                <w:snapToGrid w:val="0"/>
                <w:spacing w:val="-2"/>
              </w:rPr>
              <w:br/>
              <w:t>Regulations other than r. 1 and 2: 20 Feb 2013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Road Traffic (Miscellaneous) Regulations 2008</w:t>
            </w:r>
            <w:r>
              <w:rPr>
                <w:b/>
                <w:snapToGrid w:val="0"/>
                <w:spacing w:val="-2"/>
              </w:rPr>
              <w:t xml:space="preserve"> as at 10 May 2013</w:t>
            </w:r>
            <w:r>
              <w:rPr>
                <w:snapToGrid w:val="0"/>
                <w:spacing w:val="-2"/>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Road Traffic (Repeals and Amendment) Regulations 2014</w:t>
            </w:r>
            <w:r>
              <w:t> Pt. 7</w:t>
            </w:r>
          </w:p>
        </w:tc>
        <w:tc>
          <w:tcPr>
            <w:tcW w:w="1276" w:type="dxa"/>
            <w:tcBorders>
              <w:top w:val="nil"/>
              <w:bottom w:val="single" w:sz="4" w:space="0" w:color="auto"/>
            </w:tcBorders>
            <w:shd w:val="clear" w:color="auto" w:fill="auto"/>
          </w:tcPr>
          <w:p>
            <w:pPr>
              <w:pStyle w:val="nTable"/>
              <w:spacing w:after="40"/>
            </w:pPr>
            <w:r>
              <w:t>23 Dec 2014 p. 4913</w:t>
            </w:r>
            <w:r>
              <w:noBreakHyphen/>
              <w:t>38</w:t>
            </w:r>
          </w:p>
        </w:tc>
        <w:tc>
          <w:tcPr>
            <w:tcW w:w="2693" w:type="dxa"/>
            <w:tcBorders>
              <w:top w:val="nil"/>
              <w:bottom w:val="single" w:sz="4" w:space="0" w:color="auto"/>
            </w:tcBorders>
            <w:shd w:val="clear" w:color="auto" w:fill="auto"/>
          </w:tcPr>
          <w:p>
            <w:pPr>
              <w:pStyle w:val="nTable"/>
              <w:spacing w:after="40"/>
            </w:pPr>
            <w:r>
              <w:rPr>
                <w:snapToGrid w:val="0"/>
                <w:spacing w:val="-2"/>
              </w:rPr>
              <w:t xml:space="preserve">27 Apr 2015 (see r. 2(b) and </w:t>
            </w:r>
            <w:r>
              <w:rPr>
                <w:i/>
                <w:snapToGrid w:val="0"/>
                <w:spacing w:val="-2"/>
              </w:rPr>
              <w:t>Gazette</w:t>
            </w:r>
            <w:r>
              <w:rPr>
                <w:snapToGrid w:val="0"/>
                <w:spacing w:val="-2"/>
              </w:rPr>
              <w:t xml:space="preserve"> 17 Apr 2015 p. 1371)</w:t>
            </w:r>
          </w:p>
        </w:tc>
      </w:tr>
    </w:tbl>
    <w:p>
      <w:pPr>
        <w:pStyle w:val="nSubsection"/>
      </w:pPr>
      <w:r>
        <w:rPr>
          <w:vertAlign w:val="superscript"/>
        </w:rPr>
        <w:t>2</w:t>
      </w:r>
      <w:r>
        <w:tab/>
        <w:t>30 June 2008.</w:t>
      </w:r>
    </w:p>
    <w:p/>
    <w:p>
      <w:pPr>
        <w:rPr>
          <w:u w:val="words"/>
        </w:r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3" w:name="_Toc417033180"/>
      <w:bookmarkStart w:id="44" w:name="_Toc417478027"/>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contractor</w:t>
      </w:r>
      <w:r>
        <w:tab/>
        <w:t>6A(1)</w:t>
      </w:r>
    </w:p>
    <w:p>
      <w:pPr>
        <w:pStyle w:val="DefinedTerms"/>
      </w:pPr>
      <w:r>
        <w:t>emergency services organisation</w:t>
      </w:r>
      <w:r>
        <w:tab/>
        <w:t>6A(1)</w:t>
      </w:r>
    </w:p>
    <w:p>
      <w:pPr>
        <w:pStyle w:val="DefinedTerms"/>
      </w:pPr>
      <w:r>
        <w:t>excess period served</w:t>
      </w:r>
      <w:r>
        <w:tab/>
        <w:t>8(7)</w:t>
      </w:r>
    </w:p>
    <w:p>
      <w:pPr>
        <w:pStyle w:val="DefinedTerms"/>
      </w:pPr>
      <w:r>
        <w:t>FES Act</w:t>
      </w:r>
      <w:r>
        <w:tab/>
        <w:t>6A(1)</w:t>
      </w:r>
    </w:p>
    <w:p>
      <w:pPr>
        <w:pStyle w:val="DefinedTerms"/>
      </w:pPr>
      <w:r>
        <w:t>FES Department</w:t>
      </w:r>
      <w:r>
        <w:tab/>
        <w:t>6A(1)</w:t>
      </w:r>
    </w:p>
    <w:p>
      <w:pPr>
        <w:pStyle w:val="DefinedTerms"/>
      </w:pPr>
      <w:r>
        <w:t>holiday period</w:t>
      </w:r>
      <w:r>
        <w:tab/>
        <w:t>6(2)</w:t>
      </w:r>
    </w:p>
    <w:p>
      <w:pPr>
        <w:pStyle w:val="DefinedTerms"/>
      </w:pPr>
      <w:r>
        <w:t>novice driver (type 1A)</w:t>
      </w:r>
      <w:r>
        <w:tab/>
        <w:t>3</w:t>
      </w:r>
    </w:p>
    <w:p>
      <w:pPr>
        <w:pStyle w:val="DefinedTerms"/>
      </w:pPr>
      <w:r>
        <w:t>public holiday</w:t>
      </w:r>
      <w:r>
        <w:tab/>
        <w:t>7(1)</w:t>
      </w:r>
    </w:p>
    <w:p>
      <w:pPr>
        <w:pStyle w:val="DefinedTerms"/>
      </w:pPr>
      <w:r>
        <w:t>removed</w:t>
      </w:r>
      <w:r>
        <w:tab/>
        <w:t>8(1)</w:t>
      </w:r>
    </w:p>
    <w:p>
      <w:pPr>
        <w:pStyle w:val="DefinedTerms"/>
      </w:pPr>
      <w:r>
        <w:t>transition day</w:t>
      </w:r>
      <w:r>
        <w:tab/>
        <w:t>10(1)</w:t>
      </w:r>
    </w:p>
    <w:p>
      <w:pPr>
        <w:rPr>
          <w:u w:val="words"/>
        </w:rPr>
      </w:pPr>
    </w:p>
    <w:p>
      <w:pPr>
        <w:rPr>
          <w:u w:val="words"/>
        </w:rPr>
        <w:sectPr>
          <w:headerReference w:type="even" r:id="rId31"/>
          <w:headerReference w:type="default" r:id="rId32"/>
          <w:pgSz w:w="11907" w:h="16840" w:code="9"/>
          <w:pgMar w:top="2381" w:right="2409" w:bottom="3543" w:left="2409" w:header="720" w:footer="3380" w:gutter="0"/>
          <w:cols w:space="720"/>
          <w:noEndnote/>
          <w:docGrid w:linePitch="326"/>
        </w:sectPr>
      </w:pPr>
    </w:p>
    <w:p>
      <w:pPr>
        <w:rPr>
          <w:u w:val="words"/>
        </w:rPr>
      </w:pP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01"/>
    <w:docVar w:name="WAFER_20140130122143" w:val="RemoveTocBookmarks,RemoveUnusedBookmarks,RemoveLanguageTags,UsedStyles,ResetPageSize,UpdateArrangement"/>
    <w:docVar w:name="WAFER_20140130122143_GUID" w:val="8e30fc6e-9685-4e84-bfc6-41816b0b8537"/>
    <w:docVar w:name="WAFER_20140130143501" w:val="RemoveTocBookmarks,RunningHeaders"/>
    <w:docVar w:name="WAFER_20140130143501_GUID" w:val="de7e97e3-b173-47c4-9e43-5fc04a4ef41b"/>
    <w:docVar w:name="WAFER_20141224101830" w:val="RemoveTocBookmarks,RemoveUnusedBookmarks,RemoveLanguageTags,UsedStyles,ResetPageSize,UpdateArrangement"/>
    <w:docVar w:name="WAFER_20141224101830_GUID" w:val="2a45439b-efb5-43d7-a7c3-2c98fb811e9e"/>
    <w:docVar w:name="WAFER_20141224142201" w:val="RemoveTocBookmarks,RunningHeaders"/>
    <w:docVar w:name="WAFER_20141224142201_GUID" w:val="697a2c7f-d4e3-49c4-a7f5-d2d92d421cb1"/>
    <w:docVar w:name="WAFER_20150417105135" w:val="ResetPageSize,UpdateArrangement,UpdateNTable"/>
    <w:docVar w:name="WAFER_20150417105135_GUID" w:val="75bf2d66-1fef-4378-8321-979aa6122c0d"/>
    <w:docVar w:name="WAFER_20151112113801" w:val="UpdateStyles,UsedStyles"/>
    <w:docVar w:name="WAFER_20151112113801_GUID" w:val="aa5e3137-8545-4f0d-87a7-6c425ab083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1"/>
      </w:numPr>
    </w:pPr>
  </w:style>
  <w:style w:type="paragraph" w:styleId="ListBullet2">
    <w:name w:val="List Bullet 2"/>
    <w:basedOn w:val="Normal"/>
    <w:autoRedefine/>
    <w:pPr>
      <w:numPr>
        <w:numId w:val="12"/>
      </w:numPr>
    </w:pPr>
  </w:style>
  <w:style w:type="paragraph" w:styleId="ListBullet3">
    <w:name w:val="List Bullet 3"/>
    <w:basedOn w:val="Normal"/>
    <w:autoRedefine/>
    <w:pPr>
      <w:numPr>
        <w:numId w:val="13"/>
      </w:numPr>
    </w:pPr>
  </w:style>
  <w:style w:type="paragraph" w:styleId="ListBullet4">
    <w:name w:val="List Bullet 4"/>
    <w:basedOn w:val="Normal"/>
    <w:autoRedefine/>
    <w:pPr>
      <w:numPr>
        <w:numId w:val="14"/>
      </w:numPr>
    </w:pPr>
  </w:style>
  <w:style w:type="paragraph" w:styleId="ListBullet5">
    <w:name w:val="List Bullet 5"/>
    <w:basedOn w:val="Normal"/>
    <w:autoRedefine/>
    <w:pPr>
      <w:numPr>
        <w:numId w:val="1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6"/>
      </w:numPr>
    </w:pPr>
  </w:style>
  <w:style w:type="paragraph" w:styleId="ListNumber2">
    <w:name w:val="List Number 2"/>
    <w:basedOn w:val="Normal"/>
    <w:pPr>
      <w:numPr>
        <w:numId w:val="17"/>
      </w:numPr>
    </w:pPr>
  </w:style>
  <w:style w:type="paragraph" w:styleId="ListNumber3">
    <w:name w:val="List Number 3"/>
    <w:basedOn w:val="Normal"/>
    <w:pPr>
      <w:numPr>
        <w:numId w:val="18"/>
      </w:numPr>
    </w:pPr>
  </w:style>
  <w:style w:type="paragraph" w:styleId="ListNumber4">
    <w:name w:val="List Number 4"/>
    <w:basedOn w:val="Normal"/>
    <w:pPr>
      <w:numPr>
        <w:numId w:val="19"/>
      </w:numPr>
    </w:pPr>
  </w:style>
  <w:style w:type="paragraph" w:styleId="ListNumber5">
    <w:name w:val="List Number 5"/>
    <w:basedOn w:val="Normal"/>
    <w:pPr>
      <w:numPr>
        <w:numId w:val="20"/>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1"/>
      </w:numPr>
    </w:pPr>
  </w:style>
  <w:style w:type="paragraph" w:styleId="ListBullet2">
    <w:name w:val="List Bullet 2"/>
    <w:basedOn w:val="Normal"/>
    <w:autoRedefine/>
    <w:pPr>
      <w:numPr>
        <w:numId w:val="12"/>
      </w:numPr>
    </w:pPr>
  </w:style>
  <w:style w:type="paragraph" w:styleId="ListBullet3">
    <w:name w:val="List Bullet 3"/>
    <w:basedOn w:val="Normal"/>
    <w:autoRedefine/>
    <w:pPr>
      <w:numPr>
        <w:numId w:val="13"/>
      </w:numPr>
    </w:pPr>
  </w:style>
  <w:style w:type="paragraph" w:styleId="ListBullet4">
    <w:name w:val="List Bullet 4"/>
    <w:basedOn w:val="Normal"/>
    <w:autoRedefine/>
    <w:pPr>
      <w:numPr>
        <w:numId w:val="14"/>
      </w:numPr>
    </w:pPr>
  </w:style>
  <w:style w:type="paragraph" w:styleId="ListBullet5">
    <w:name w:val="List Bullet 5"/>
    <w:basedOn w:val="Normal"/>
    <w:autoRedefine/>
    <w:pPr>
      <w:numPr>
        <w:numId w:val="1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6"/>
      </w:numPr>
    </w:pPr>
  </w:style>
  <w:style w:type="paragraph" w:styleId="ListNumber2">
    <w:name w:val="List Number 2"/>
    <w:basedOn w:val="Normal"/>
    <w:pPr>
      <w:numPr>
        <w:numId w:val="17"/>
      </w:numPr>
    </w:pPr>
  </w:style>
  <w:style w:type="paragraph" w:styleId="ListNumber3">
    <w:name w:val="List Number 3"/>
    <w:basedOn w:val="Normal"/>
    <w:pPr>
      <w:numPr>
        <w:numId w:val="18"/>
      </w:numPr>
    </w:pPr>
  </w:style>
  <w:style w:type="paragraph" w:styleId="ListNumber4">
    <w:name w:val="List Number 4"/>
    <w:basedOn w:val="Normal"/>
    <w:pPr>
      <w:numPr>
        <w:numId w:val="19"/>
      </w:numPr>
    </w:pPr>
  </w:style>
  <w:style w:type="paragraph" w:styleId="ListNumber5">
    <w:name w:val="List Number 5"/>
    <w:basedOn w:val="Normal"/>
    <w:pPr>
      <w:numPr>
        <w:numId w:val="20"/>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CB2D8-F21C-4096-B959-C696EC970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1369</Words>
  <Characters>6917</Characters>
  <Application>Microsoft Office Word</Application>
  <DocSecurity>0</DocSecurity>
  <Lines>288</Lines>
  <Paragraphs>176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2008 - 01-c0-03</dc:title>
  <dc:subject/>
  <dc:creator/>
  <cp:keywords/>
  <dc:description/>
  <cp:lastModifiedBy>svcMRProcess</cp:lastModifiedBy>
  <cp:revision>4</cp:revision>
  <cp:lastPrinted>2013-05-07T05:55:00Z</cp:lastPrinted>
  <dcterms:created xsi:type="dcterms:W3CDTF">2019-01-25T06:45:00Z</dcterms:created>
  <dcterms:modified xsi:type="dcterms:W3CDTF">2019-01-25T06:45:00Z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ReprintNo">
    <vt:lpwstr>1</vt:lpwstr>
  </property>
  <property fmtid="{D5CDD505-2E9C-101B-9397-08002B2CF9AE}" pid="4" name="ReprintedAsAt">
    <vt:filetime>2013-05-09T16:00:00Z</vt:filetime>
  </property>
  <property fmtid="{D5CDD505-2E9C-101B-9397-08002B2CF9AE}" pid="5" name="CommencementDate">
    <vt:lpwstr>20150427</vt:lpwstr>
  </property>
  <property fmtid="{D5CDD505-2E9C-101B-9397-08002B2CF9AE}" pid="6" name="OWLSUId">
    <vt:i4>703</vt:i4>
  </property>
  <property fmtid="{D5CDD505-2E9C-101B-9397-08002B2CF9AE}" pid="7" name="DocumentType">
    <vt:lpwstr>Reg</vt:lpwstr>
  </property>
  <property fmtid="{D5CDD505-2E9C-101B-9397-08002B2CF9AE}" pid="8" name="AsAtDate">
    <vt:lpwstr>27 Apr 2015</vt:lpwstr>
  </property>
  <property fmtid="{D5CDD505-2E9C-101B-9397-08002B2CF9AE}" pid="9" name="Suffix">
    <vt:lpwstr>01-c0-03</vt:lpwstr>
  </property>
</Properties>
</file>