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Hospitals and Health Services Act 1927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Fiona Stanley Hospital By-laws 2014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Fiona Stanley Hospital By-laws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_Toc417545479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_Toc417545480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_Toc417545481 \h </w:instrText>
      </w:r>
      <w:r>
        <w:fldChar w:fldCharType="separate"/>
      </w:r>
      <w:r>
        <w:t>1</w:t>
      </w:r>
      <w:r>
        <w:fldChar w:fldCharType="end"/>
      </w:r>
    </w:p>
    <w:p>
      <w:pPr>
        <w:pStyle w:val="TOC8"/>
        <w:rPr>
          <w:rFonts w:asciiTheme="minorHAnsi" w:eastAsiaTheme="minorEastAsia" w:hAnsiTheme="minorHAnsi" w:cstheme="minorBidi"/>
          <w:szCs w:val="22"/>
        </w:rPr>
      </w:pPr>
      <w:r>
        <w:t>4A.</w:t>
      </w:r>
      <w:r>
        <w:tab/>
        <w:t>Appointment of authorised persons</w:t>
      </w:r>
      <w:r>
        <w:tab/>
      </w:r>
      <w:r>
        <w:fldChar w:fldCharType="begin"/>
      </w:r>
      <w:r>
        <w:instrText xml:space="preserve"> PAGEREF _Toc417545482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Trespass and order</w:t>
      </w:r>
    </w:p>
    <w:p>
      <w:pPr>
        <w:pStyle w:val="TOC8"/>
        <w:rPr>
          <w:rFonts w:asciiTheme="minorHAnsi" w:eastAsiaTheme="minorEastAsia" w:hAnsiTheme="minorHAnsi" w:cstheme="minorBidi"/>
          <w:szCs w:val="22"/>
        </w:rPr>
      </w:pPr>
      <w:r>
        <w:t>4.</w:t>
      </w:r>
      <w:r>
        <w:tab/>
        <w:t>No entry without cause</w:t>
      </w:r>
      <w:r>
        <w:tab/>
      </w:r>
      <w:r>
        <w:fldChar w:fldCharType="begin"/>
      </w:r>
      <w:r>
        <w:instrText xml:space="preserve"> PAGEREF _Toc417545484 \h </w:instrText>
      </w:r>
      <w:r>
        <w:fldChar w:fldCharType="separate"/>
      </w:r>
      <w:r>
        <w:t>4</w:t>
      </w:r>
      <w:r>
        <w:fldChar w:fldCharType="end"/>
      </w:r>
    </w:p>
    <w:p>
      <w:pPr>
        <w:pStyle w:val="TOC8"/>
        <w:rPr>
          <w:rFonts w:asciiTheme="minorHAnsi" w:eastAsiaTheme="minorEastAsia" w:hAnsiTheme="minorHAnsi" w:cstheme="minorBidi"/>
          <w:szCs w:val="22"/>
        </w:rPr>
      </w:pPr>
      <w:r>
        <w:t>5.</w:t>
      </w:r>
      <w:r>
        <w:tab/>
      </w:r>
      <w:r>
        <w:rPr>
          <w:snapToGrid w:val="0"/>
        </w:rPr>
        <w:t>Directions as to use of certain areas</w:t>
      </w:r>
      <w:r>
        <w:tab/>
      </w:r>
      <w:r>
        <w:fldChar w:fldCharType="begin"/>
      </w:r>
      <w:r>
        <w:instrText xml:space="preserve"> PAGEREF _Toc417545485 \h </w:instrText>
      </w:r>
      <w:r>
        <w:fldChar w:fldCharType="separate"/>
      </w:r>
      <w:r>
        <w:t>4</w:t>
      </w:r>
      <w:r>
        <w:fldChar w:fldCharType="end"/>
      </w:r>
    </w:p>
    <w:p>
      <w:pPr>
        <w:pStyle w:val="TOC8"/>
        <w:rPr>
          <w:rFonts w:asciiTheme="minorHAnsi" w:eastAsiaTheme="minorEastAsia" w:hAnsiTheme="minorHAnsi" w:cstheme="minorBidi"/>
          <w:szCs w:val="22"/>
        </w:rPr>
      </w:pPr>
      <w:r>
        <w:t>6.</w:t>
      </w:r>
      <w:r>
        <w:tab/>
        <w:t>Prohibited items</w:t>
      </w:r>
      <w:r>
        <w:tab/>
      </w:r>
      <w:r>
        <w:fldChar w:fldCharType="begin"/>
      </w:r>
      <w:r>
        <w:instrText xml:space="preserve"> PAGEREF _Toc417545486 \h </w:instrText>
      </w:r>
      <w:r>
        <w:fldChar w:fldCharType="separate"/>
      </w:r>
      <w:r>
        <w:t>4</w:t>
      </w:r>
      <w:r>
        <w:fldChar w:fldCharType="end"/>
      </w:r>
    </w:p>
    <w:p>
      <w:pPr>
        <w:pStyle w:val="TOC8"/>
        <w:rPr>
          <w:rFonts w:asciiTheme="minorHAnsi" w:eastAsiaTheme="minorEastAsia" w:hAnsiTheme="minorHAnsi" w:cstheme="minorBidi"/>
          <w:szCs w:val="22"/>
        </w:rPr>
      </w:pPr>
      <w:r>
        <w:t>7.</w:t>
      </w:r>
      <w:r>
        <w:tab/>
        <w:t>Smoking</w:t>
      </w:r>
      <w:r>
        <w:tab/>
      </w:r>
      <w:r>
        <w:fldChar w:fldCharType="begin"/>
      </w:r>
      <w:r>
        <w:instrText xml:space="preserve"> PAGEREF _Toc417545487 \h </w:instrText>
      </w:r>
      <w:r>
        <w:fldChar w:fldCharType="separate"/>
      </w:r>
      <w:r>
        <w:t>5</w:t>
      </w:r>
      <w:r>
        <w:fldChar w:fldCharType="end"/>
      </w:r>
    </w:p>
    <w:p>
      <w:pPr>
        <w:pStyle w:val="TOC8"/>
        <w:rPr>
          <w:rFonts w:asciiTheme="minorHAnsi" w:eastAsiaTheme="minorEastAsia" w:hAnsiTheme="minorHAnsi" w:cstheme="minorBidi"/>
          <w:szCs w:val="22"/>
        </w:rPr>
      </w:pPr>
      <w:r>
        <w:t>8.</w:t>
      </w:r>
      <w:r>
        <w:tab/>
        <w:t>Persons may be directed to leave site</w:t>
      </w:r>
      <w:r>
        <w:tab/>
      </w:r>
      <w:r>
        <w:fldChar w:fldCharType="begin"/>
      </w:r>
      <w:r>
        <w:instrText xml:space="preserve"> PAGEREF _Toc417545488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Traffic control</w:t>
      </w:r>
    </w:p>
    <w:p>
      <w:pPr>
        <w:pStyle w:val="TOC4"/>
        <w:tabs>
          <w:tab w:val="right" w:leader="dot" w:pos="7077"/>
        </w:tabs>
        <w:rPr>
          <w:rFonts w:asciiTheme="minorHAnsi" w:eastAsiaTheme="minorEastAsia" w:hAnsiTheme="minorHAnsi" w:cstheme="minorBidi"/>
          <w:b w:val="0"/>
          <w:szCs w:val="22"/>
        </w:rPr>
      </w:pPr>
      <w:r>
        <w:t>Division 1 — Driving and use of vehicles</w:t>
      </w:r>
    </w:p>
    <w:p>
      <w:pPr>
        <w:pStyle w:val="TOC8"/>
        <w:rPr>
          <w:rFonts w:asciiTheme="minorHAnsi" w:eastAsiaTheme="minorEastAsia" w:hAnsiTheme="minorHAnsi" w:cstheme="minorBidi"/>
          <w:szCs w:val="22"/>
        </w:rPr>
      </w:pPr>
      <w:r>
        <w:t>9.</w:t>
      </w:r>
      <w:r>
        <w:tab/>
        <w:t>Driving of vehicles</w:t>
      </w:r>
      <w:r>
        <w:tab/>
      </w:r>
      <w:r>
        <w:fldChar w:fldCharType="begin"/>
      </w:r>
      <w:r>
        <w:instrText xml:space="preserve"> PAGEREF _Toc417545491 \h </w:instrText>
      </w:r>
      <w:r>
        <w:fldChar w:fldCharType="separate"/>
      </w:r>
      <w:r>
        <w:t>6</w:t>
      </w:r>
      <w:r>
        <w:fldChar w:fldCharType="end"/>
      </w:r>
    </w:p>
    <w:p>
      <w:pPr>
        <w:pStyle w:val="TOC8"/>
        <w:rPr>
          <w:rFonts w:asciiTheme="minorHAnsi" w:eastAsiaTheme="minorEastAsia" w:hAnsiTheme="minorHAnsi" w:cstheme="minorBidi"/>
          <w:szCs w:val="22"/>
        </w:rPr>
      </w:pPr>
      <w:r>
        <w:t>10.</w:t>
      </w:r>
      <w:r>
        <w:tab/>
        <w:t>Driver to obey reasonable direction</w:t>
      </w:r>
      <w:r>
        <w:tab/>
      </w:r>
      <w:r>
        <w:fldChar w:fldCharType="begin"/>
      </w:r>
      <w:r>
        <w:instrText xml:space="preserve"> PAGEREF _Toc417545492 \h </w:instrText>
      </w:r>
      <w:r>
        <w:fldChar w:fldCharType="separate"/>
      </w:r>
      <w:r>
        <w:t>6</w:t>
      </w:r>
      <w:r>
        <w:fldChar w:fldCharType="end"/>
      </w:r>
    </w:p>
    <w:p>
      <w:pPr>
        <w:pStyle w:val="TOC8"/>
        <w:rPr>
          <w:rFonts w:asciiTheme="minorHAnsi" w:eastAsiaTheme="minorEastAsia" w:hAnsiTheme="minorHAnsi" w:cstheme="minorBidi"/>
          <w:szCs w:val="22"/>
        </w:rPr>
      </w:pPr>
      <w:r>
        <w:t>11.</w:t>
      </w:r>
      <w:r>
        <w:tab/>
        <w:t>Speed limits</w:t>
      </w:r>
      <w:r>
        <w:tab/>
      </w:r>
      <w:r>
        <w:fldChar w:fldCharType="begin"/>
      </w:r>
      <w:r>
        <w:instrText xml:space="preserve"> PAGEREF _Toc417545493 \h </w:instrText>
      </w:r>
      <w:r>
        <w:fldChar w:fldCharType="separate"/>
      </w:r>
      <w:r>
        <w:t>6</w:t>
      </w:r>
      <w:r>
        <w:fldChar w:fldCharType="end"/>
      </w:r>
    </w:p>
    <w:p>
      <w:pPr>
        <w:pStyle w:val="TOC8"/>
        <w:rPr>
          <w:rFonts w:asciiTheme="minorHAnsi" w:eastAsiaTheme="minorEastAsia" w:hAnsiTheme="minorHAnsi" w:cstheme="minorBidi"/>
          <w:szCs w:val="22"/>
        </w:rPr>
      </w:pPr>
      <w:r>
        <w:t>12.</w:t>
      </w:r>
      <w:r>
        <w:tab/>
        <w:t>Giving way</w:t>
      </w:r>
      <w:r>
        <w:tab/>
      </w:r>
      <w:r>
        <w:fldChar w:fldCharType="begin"/>
      </w:r>
      <w:r>
        <w:instrText xml:space="preserve"> PAGEREF _Toc417545494 \h </w:instrText>
      </w:r>
      <w:r>
        <w:fldChar w:fldCharType="separate"/>
      </w:r>
      <w:r>
        <w:t>7</w:t>
      </w:r>
      <w:r>
        <w:fldChar w:fldCharType="end"/>
      </w:r>
    </w:p>
    <w:p>
      <w:pPr>
        <w:pStyle w:val="TOC8"/>
        <w:rPr>
          <w:rFonts w:asciiTheme="minorHAnsi" w:eastAsiaTheme="minorEastAsia" w:hAnsiTheme="minorHAnsi" w:cstheme="minorBidi"/>
          <w:szCs w:val="22"/>
        </w:rPr>
      </w:pPr>
      <w:r>
        <w:t>13.</w:t>
      </w:r>
      <w:r>
        <w:tab/>
      </w:r>
      <w:r>
        <w:rPr>
          <w:snapToGrid w:val="0"/>
        </w:rPr>
        <w:t>No instruction or repairs on site</w:t>
      </w:r>
      <w:r>
        <w:tab/>
      </w:r>
      <w:r>
        <w:fldChar w:fldCharType="begin"/>
      </w:r>
      <w:r>
        <w:instrText xml:space="preserve"> PAGEREF _Toc417545495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Parking</w:t>
      </w:r>
    </w:p>
    <w:p>
      <w:pPr>
        <w:pStyle w:val="TOC8"/>
        <w:rPr>
          <w:rFonts w:asciiTheme="minorHAnsi" w:eastAsiaTheme="minorEastAsia" w:hAnsiTheme="minorHAnsi" w:cstheme="minorBidi"/>
          <w:szCs w:val="22"/>
        </w:rPr>
      </w:pPr>
      <w:r>
        <w:t>14.</w:t>
      </w:r>
      <w:r>
        <w:tab/>
        <w:t>Parking to be in parking spaces only</w:t>
      </w:r>
      <w:r>
        <w:tab/>
      </w:r>
      <w:r>
        <w:fldChar w:fldCharType="begin"/>
      </w:r>
      <w:r>
        <w:instrText xml:space="preserve"> PAGEREF _Toc417545497 \h </w:instrText>
      </w:r>
      <w:r>
        <w:fldChar w:fldCharType="separate"/>
      </w:r>
      <w:r>
        <w:t>7</w:t>
      </w:r>
      <w:r>
        <w:fldChar w:fldCharType="end"/>
      </w:r>
    </w:p>
    <w:p>
      <w:pPr>
        <w:pStyle w:val="TOC8"/>
        <w:rPr>
          <w:rFonts w:asciiTheme="minorHAnsi" w:eastAsiaTheme="minorEastAsia" w:hAnsiTheme="minorHAnsi" w:cstheme="minorBidi"/>
          <w:szCs w:val="22"/>
        </w:rPr>
      </w:pPr>
      <w:r>
        <w:t>15.</w:t>
      </w:r>
      <w:r>
        <w:tab/>
        <w:t>Signs to be obeyed</w:t>
      </w:r>
      <w:r>
        <w:tab/>
      </w:r>
      <w:r>
        <w:fldChar w:fldCharType="begin"/>
      </w:r>
      <w:r>
        <w:instrText xml:space="preserve"> PAGEREF _Toc417545498 \h </w:instrText>
      </w:r>
      <w:r>
        <w:fldChar w:fldCharType="separate"/>
      </w:r>
      <w:r>
        <w:t>7</w:t>
      </w:r>
      <w:r>
        <w:fldChar w:fldCharType="end"/>
      </w:r>
    </w:p>
    <w:p>
      <w:pPr>
        <w:pStyle w:val="TOC8"/>
        <w:rPr>
          <w:rFonts w:asciiTheme="minorHAnsi" w:eastAsiaTheme="minorEastAsia" w:hAnsiTheme="minorHAnsi" w:cstheme="minorBidi"/>
          <w:szCs w:val="22"/>
        </w:rPr>
      </w:pPr>
      <w:r>
        <w:t>16.</w:t>
      </w:r>
      <w:r>
        <w:tab/>
        <w:t>Parking in parking spaces</w:t>
      </w:r>
      <w:r>
        <w:tab/>
      </w:r>
      <w:r>
        <w:fldChar w:fldCharType="begin"/>
      </w:r>
      <w:r>
        <w:instrText xml:space="preserve"> PAGEREF _Toc417545499 \h </w:instrText>
      </w:r>
      <w:r>
        <w:fldChar w:fldCharType="separate"/>
      </w:r>
      <w:r>
        <w:t>8</w:t>
      </w:r>
      <w:r>
        <w:fldChar w:fldCharType="end"/>
      </w:r>
    </w:p>
    <w:p>
      <w:pPr>
        <w:pStyle w:val="TOC8"/>
        <w:rPr>
          <w:rFonts w:asciiTheme="minorHAnsi" w:eastAsiaTheme="minorEastAsia" w:hAnsiTheme="minorHAnsi" w:cstheme="minorBidi"/>
          <w:szCs w:val="22"/>
        </w:rPr>
      </w:pPr>
      <w:r>
        <w:t>17.</w:t>
      </w:r>
      <w:r>
        <w:tab/>
        <w:t>Types of parking areas</w:t>
      </w:r>
      <w:r>
        <w:tab/>
      </w:r>
      <w:r>
        <w:fldChar w:fldCharType="begin"/>
      </w:r>
      <w:r>
        <w:instrText xml:space="preserve"> PAGEREF _Toc417545500 \h </w:instrText>
      </w:r>
      <w:r>
        <w:fldChar w:fldCharType="separate"/>
      </w:r>
      <w:r>
        <w:t>8</w:t>
      </w:r>
      <w:r>
        <w:fldChar w:fldCharType="end"/>
      </w:r>
    </w:p>
    <w:p>
      <w:pPr>
        <w:pStyle w:val="TOC8"/>
        <w:rPr>
          <w:rFonts w:asciiTheme="minorHAnsi" w:eastAsiaTheme="minorEastAsia" w:hAnsiTheme="minorHAnsi" w:cstheme="minorBidi"/>
          <w:szCs w:val="22"/>
        </w:rPr>
      </w:pPr>
      <w:r>
        <w:t>18.</w:t>
      </w:r>
      <w:r>
        <w:tab/>
        <w:t>Parking in ticket parking area or boom gate controlled ticket parking area</w:t>
      </w:r>
      <w:r>
        <w:tab/>
      </w:r>
      <w:r>
        <w:fldChar w:fldCharType="begin"/>
      </w:r>
      <w:r>
        <w:instrText xml:space="preserve"> PAGEREF _Toc417545501 \h </w:instrText>
      </w:r>
      <w:r>
        <w:fldChar w:fldCharType="separate"/>
      </w:r>
      <w:r>
        <w:t>8</w:t>
      </w:r>
      <w:r>
        <w:fldChar w:fldCharType="end"/>
      </w:r>
    </w:p>
    <w:p>
      <w:pPr>
        <w:pStyle w:val="TOC8"/>
        <w:rPr>
          <w:rFonts w:asciiTheme="minorHAnsi" w:eastAsiaTheme="minorEastAsia" w:hAnsiTheme="minorHAnsi" w:cstheme="minorBidi"/>
          <w:szCs w:val="22"/>
        </w:rPr>
      </w:pPr>
      <w:r>
        <w:t>19.</w:t>
      </w:r>
      <w:r>
        <w:tab/>
        <w:t>Parking in paid staff parking area</w:t>
      </w:r>
      <w:r>
        <w:tab/>
      </w:r>
      <w:r>
        <w:fldChar w:fldCharType="begin"/>
      </w:r>
      <w:r>
        <w:instrText xml:space="preserve"> PAGEREF _Toc417545502 \h </w:instrText>
      </w:r>
      <w:r>
        <w:fldChar w:fldCharType="separate"/>
      </w:r>
      <w:r>
        <w:t>10</w:t>
      </w:r>
      <w:r>
        <w:fldChar w:fldCharType="end"/>
      </w:r>
    </w:p>
    <w:p>
      <w:pPr>
        <w:pStyle w:val="TOC8"/>
        <w:rPr>
          <w:rFonts w:asciiTheme="minorHAnsi" w:eastAsiaTheme="minorEastAsia" w:hAnsiTheme="minorHAnsi" w:cstheme="minorBidi"/>
          <w:szCs w:val="22"/>
        </w:rPr>
      </w:pPr>
      <w:r>
        <w:t>20.</w:t>
      </w:r>
      <w:r>
        <w:tab/>
        <w:t>Parking in permit parking area</w:t>
      </w:r>
      <w:r>
        <w:tab/>
      </w:r>
      <w:r>
        <w:fldChar w:fldCharType="begin"/>
      </w:r>
      <w:r>
        <w:instrText xml:space="preserve"> PAGEREF _Toc417545503 \h </w:instrText>
      </w:r>
      <w:r>
        <w:fldChar w:fldCharType="separate"/>
      </w:r>
      <w:r>
        <w:t>10</w:t>
      </w:r>
      <w:r>
        <w:fldChar w:fldCharType="end"/>
      </w:r>
    </w:p>
    <w:p>
      <w:pPr>
        <w:pStyle w:val="TOC8"/>
        <w:rPr>
          <w:rFonts w:asciiTheme="minorHAnsi" w:eastAsiaTheme="minorEastAsia" w:hAnsiTheme="minorHAnsi" w:cstheme="minorBidi"/>
          <w:szCs w:val="22"/>
        </w:rPr>
      </w:pPr>
      <w:r>
        <w:t>21.</w:t>
      </w:r>
      <w:r>
        <w:tab/>
        <w:t>Parking permits</w:t>
      </w:r>
      <w:r>
        <w:tab/>
      </w:r>
      <w:r>
        <w:fldChar w:fldCharType="begin"/>
      </w:r>
      <w:r>
        <w:instrText xml:space="preserve"> PAGEREF _Toc417545504 \h </w:instrText>
      </w:r>
      <w:r>
        <w:fldChar w:fldCharType="separate"/>
      </w:r>
      <w:r>
        <w:t>11</w:t>
      </w:r>
      <w:r>
        <w:fldChar w:fldCharType="end"/>
      </w:r>
    </w:p>
    <w:p>
      <w:pPr>
        <w:pStyle w:val="TOC8"/>
        <w:rPr>
          <w:rFonts w:asciiTheme="minorHAnsi" w:eastAsiaTheme="minorEastAsia" w:hAnsiTheme="minorHAnsi" w:cstheme="minorBidi"/>
          <w:szCs w:val="22"/>
        </w:rPr>
      </w:pPr>
      <w:r>
        <w:t>22.</w:t>
      </w:r>
      <w:r>
        <w:tab/>
        <w:t>Application for parking permit</w:t>
      </w:r>
      <w:r>
        <w:tab/>
      </w:r>
      <w:r>
        <w:fldChar w:fldCharType="begin"/>
      </w:r>
      <w:r>
        <w:instrText xml:space="preserve"> PAGEREF _Toc417545505 \h </w:instrText>
      </w:r>
      <w:r>
        <w:fldChar w:fldCharType="separate"/>
      </w:r>
      <w:r>
        <w:t>12</w:t>
      </w:r>
      <w:r>
        <w:fldChar w:fldCharType="end"/>
      </w:r>
    </w:p>
    <w:p>
      <w:pPr>
        <w:pStyle w:val="TOC8"/>
        <w:rPr>
          <w:rFonts w:asciiTheme="minorHAnsi" w:eastAsiaTheme="minorEastAsia" w:hAnsiTheme="minorHAnsi" w:cstheme="minorBidi"/>
          <w:szCs w:val="22"/>
        </w:rPr>
      </w:pPr>
      <w:r>
        <w:t>23.</w:t>
      </w:r>
      <w:r>
        <w:tab/>
        <w:t>Fees for parking permits</w:t>
      </w:r>
      <w:r>
        <w:tab/>
      </w:r>
      <w:r>
        <w:fldChar w:fldCharType="begin"/>
      </w:r>
      <w:r>
        <w:instrText xml:space="preserve"> PAGEREF _Toc417545506 \h </w:instrText>
      </w:r>
      <w:r>
        <w:fldChar w:fldCharType="separate"/>
      </w:r>
      <w:r>
        <w:t>12</w:t>
      </w:r>
      <w:r>
        <w:fldChar w:fldCharType="end"/>
      </w:r>
    </w:p>
    <w:p>
      <w:pPr>
        <w:pStyle w:val="TOC8"/>
        <w:rPr>
          <w:rFonts w:asciiTheme="minorHAnsi" w:eastAsiaTheme="minorEastAsia" w:hAnsiTheme="minorHAnsi" w:cstheme="minorBidi"/>
          <w:szCs w:val="22"/>
        </w:rPr>
      </w:pPr>
      <w:r>
        <w:t>24.</w:t>
      </w:r>
      <w:r>
        <w:tab/>
        <w:t>Cancellation of parking permit</w:t>
      </w:r>
      <w:r>
        <w:tab/>
      </w:r>
      <w:r>
        <w:fldChar w:fldCharType="begin"/>
      </w:r>
      <w:r>
        <w:instrText xml:space="preserve"> PAGEREF _Toc417545507 \h </w:instrText>
      </w:r>
      <w:r>
        <w:fldChar w:fldCharType="separate"/>
      </w:r>
      <w:r>
        <w:t>13</w:t>
      </w:r>
      <w:r>
        <w:fldChar w:fldCharType="end"/>
      </w:r>
    </w:p>
    <w:p>
      <w:pPr>
        <w:pStyle w:val="TOC8"/>
        <w:rPr>
          <w:rFonts w:asciiTheme="minorHAnsi" w:eastAsiaTheme="minorEastAsia" w:hAnsiTheme="minorHAnsi" w:cstheme="minorBidi"/>
          <w:szCs w:val="22"/>
        </w:rPr>
      </w:pPr>
      <w:r>
        <w:t>25.</w:t>
      </w:r>
      <w:r>
        <w:tab/>
        <w:t>Refund of parking permit fees</w:t>
      </w:r>
      <w:r>
        <w:tab/>
      </w:r>
      <w:r>
        <w:fldChar w:fldCharType="begin"/>
      </w:r>
      <w:r>
        <w:instrText xml:space="preserve"> PAGEREF _Toc417545508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26.</w:t>
      </w:r>
      <w:r>
        <w:tab/>
        <w:t>Terms used</w:t>
      </w:r>
      <w:r>
        <w:tab/>
      </w:r>
      <w:r>
        <w:fldChar w:fldCharType="begin"/>
      </w:r>
      <w:r>
        <w:instrText xml:space="preserve"> PAGEREF _Toc417545510 \h </w:instrText>
      </w:r>
      <w:r>
        <w:fldChar w:fldCharType="separate"/>
      </w:r>
      <w:r>
        <w:t>15</w:t>
      </w:r>
      <w:r>
        <w:fldChar w:fldCharType="end"/>
      </w:r>
    </w:p>
    <w:p>
      <w:pPr>
        <w:pStyle w:val="TOC8"/>
        <w:rPr>
          <w:rFonts w:asciiTheme="minorHAnsi" w:eastAsiaTheme="minorEastAsia" w:hAnsiTheme="minorHAnsi" w:cstheme="minorBidi"/>
          <w:szCs w:val="22"/>
        </w:rPr>
      </w:pPr>
      <w:r>
        <w:t>27.</w:t>
      </w:r>
      <w:r>
        <w:tab/>
        <w:t>Infringement notices</w:t>
      </w:r>
      <w:r>
        <w:tab/>
      </w:r>
      <w:r>
        <w:fldChar w:fldCharType="begin"/>
      </w:r>
      <w:r>
        <w:instrText xml:space="preserve"> PAGEREF _Toc417545511 \h </w:instrText>
      </w:r>
      <w:r>
        <w:fldChar w:fldCharType="separate"/>
      </w:r>
      <w:r>
        <w:t>15</w:t>
      </w:r>
      <w:r>
        <w:fldChar w:fldCharType="end"/>
      </w:r>
    </w:p>
    <w:p>
      <w:pPr>
        <w:pStyle w:val="TOC8"/>
        <w:rPr>
          <w:rFonts w:asciiTheme="minorHAnsi" w:eastAsiaTheme="minorEastAsia" w:hAnsiTheme="minorHAnsi" w:cstheme="minorBidi"/>
          <w:szCs w:val="22"/>
        </w:rPr>
      </w:pPr>
      <w:r>
        <w:t>28.</w:t>
      </w:r>
      <w:r>
        <w:tab/>
        <w:t>Withdrawal of infringement notice</w:t>
      </w:r>
      <w:r>
        <w:tab/>
      </w:r>
      <w:r>
        <w:fldChar w:fldCharType="begin"/>
      </w:r>
      <w:r>
        <w:instrText xml:space="preserve"> PAGEREF _Toc417545512 \h </w:instrText>
      </w:r>
      <w:r>
        <w:fldChar w:fldCharType="separate"/>
      </w:r>
      <w:r>
        <w:t>16</w:t>
      </w:r>
      <w:r>
        <w:fldChar w:fldCharType="end"/>
      </w:r>
    </w:p>
    <w:p>
      <w:pPr>
        <w:pStyle w:val="TOC8"/>
        <w:rPr>
          <w:rFonts w:asciiTheme="minorHAnsi" w:eastAsiaTheme="minorEastAsia" w:hAnsiTheme="minorHAnsi" w:cstheme="minorBidi"/>
          <w:szCs w:val="22"/>
        </w:rPr>
      </w:pPr>
      <w:r>
        <w:t>29.</w:t>
      </w:r>
      <w:r>
        <w:tab/>
        <w:t>Authorised persons to produce certificate</w:t>
      </w:r>
      <w:r>
        <w:tab/>
      </w:r>
      <w:r>
        <w:fldChar w:fldCharType="begin"/>
      </w:r>
      <w:r>
        <w:instrText xml:space="preserve"> PAGEREF _Toc417545513 \h </w:instrText>
      </w:r>
      <w:r>
        <w:fldChar w:fldCharType="separate"/>
      </w:r>
      <w:r>
        <w:t>16</w:t>
      </w:r>
      <w:r>
        <w:fldChar w:fldCharType="end"/>
      </w:r>
    </w:p>
    <w:p>
      <w:pPr>
        <w:pStyle w:val="TOC8"/>
        <w:rPr>
          <w:rFonts w:asciiTheme="minorHAnsi" w:eastAsiaTheme="minorEastAsia" w:hAnsiTheme="minorHAnsi" w:cstheme="minorBidi"/>
          <w:szCs w:val="22"/>
        </w:rPr>
      </w:pPr>
      <w:r>
        <w:t>30.</w:t>
      </w:r>
      <w:r>
        <w:tab/>
        <w:t>Authorised persons only to endorse or alter infringement notices</w:t>
      </w:r>
      <w:r>
        <w:tab/>
      </w:r>
      <w:r>
        <w:fldChar w:fldCharType="begin"/>
      </w:r>
      <w:r>
        <w:instrText xml:space="preserve"> PAGEREF _Toc417545514 \h </w:instrText>
      </w:r>
      <w:r>
        <w:fldChar w:fldCharType="separate"/>
      </w:r>
      <w:r>
        <w:t>17</w:t>
      </w:r>
      <w:r>
        <w:fldChar w:fldCharType="end"/>
      </w:r>
    </w:p>
    <w:p>
      <w:pPr>
        <w:pStyle w:val="TOC8"/>
        <w:rPr>
          <w:rFonts w:asciiTheme="minorHAnsi" w:eastAsiaTheme="minorEastAsia" w:hAnsiTheme="minorHAnsi" w:cstheme="minorBidi"/>
          <w:szCs w:val="22"/>
        </w:rPr>
      </w:pPr>
      <w:r>
        <w:t>31.</w:t>
      </w:r>
      <w:r>
        <w:tab/>
        <w:t>Restriction on removal of infringement notices</w:t>
      </w:r>
      <w:r>
        <w:tab/>
      </w:r>
      <w:r>
        <w:fldChar w:fldCharType="begin"/>
      </w:r>
      <w:r>
        <w:instrText xml:space="preserve"> PAGEREF _Toc417545515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32.</w:t>
      </w:r>
      <w:r>
        <w:tab/>
        <w:t>Removal of vehicles</w:t>
      </w:r>
      <w:r>
        <w:tab/>
      </w:r>
      <w:r>
        <w:fldChar w:fldCharType="begin"/>
      </w:r>
      <w:r>
        <w:instrText xml:space="preserve"> PAGEREF _Toc417545517 \h </w:instrText>
      </w:r>
      <w:r>
        <w:fldChar w:fldCharType="separate"/>
      </w:r>
      <w:r>
        <w:t>18</w:t>
      </w:r>
      <w:r>
        <w:fldChar w:fldCharType="end"/>
      </w:r>
    </w:p>
    <w:p>
      <w:pPr>
        <w:pStyle w:val="TOC8"/>
        <w:rPr>
          <w:rFonts w:asciiTheme="minorHAnsi" w:eastAsiaTheme="minorEastAsia" w:hAnsiTheme="minorHAnsi" w:cstheme="minorBidi"/>
          <w:szCs w:val="22"/>
        </w:rPr>
      </w:pPr>
      <w:r>
        <w:t>33.</w:t>
      </w:r>
      <w:r>
        <w:tab/>
        <w:t>Responsible person may be treated as driver or person in charge of vehicle</w:t>
      </w:r>
      <w:r>
        <w:tab/>
      </w:r>
      <w:r>
        <w:fldChar w:fldCharType="begin"/>
      </w:r>
      <w:r>
        <w:instrText xml:space="preserve"> PAGEREF _Toc417545518 \h </w:instrText>
      </w:r>
      <w:r>
        <w:fldChar w:fldCharType="separate"/>
      </w:r>
      <w:r>
        <w:t>18</w:t>
      </w:r>
      <w:r>
        <w:fldChar w:fldCharType="end"/>
      </w:r>
    </w:p>
    <w:p>
      <w:pPr>
        <w:pStyle w:val="TOC8"/>
        <w:rPr>
          <w:rFonts w:asciiTheme="minorHAnsi" w:eastAsiaTheme="minorEastAsia" w:hAnsiTheme="minorHAnsi" w:cstheme="minorBidi"/>
          <w:szCs w:val="22"/>
        </w:rPr>
      </w:pPr>
      <w:r>
        <w:t>34.</w:t>
      </w:r>
      <w:r>
        <w:tab/>
        <w:t>Other offences</w:t>
      </w:r>
      <w:r>
        <w:tab/>
      </w:r>
      <w:r>
        <w:fldChar w:fldCharType="begin"/>
      </w:r>
      <w:r>
        <w:instrText xml:space="preserve"> PAGEREF _Toc417545519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 — Infringement notices and modified penalties</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_Toc417545524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t>Hospitals and Health Services Act 1927</w:t>
      </w:r>
    </w:p>
    <w:p>
      <w:pPr>
        <w:pStyle w:val="NameofActReg"/>
      </w:pPr>
      <w:r>
        <w:t>Fiona Stanley Hospital By</w:t>
      </w:r>
      <w:r>
        <w:noBreakHyphen/>
        <w:t>laws 2014</w:t>
      </w:r>
    </w:p>
    <w:p>
      <w:pPr>
        <w:pStyle w:val="Heading2"/>
        <w:pageBreakBefore w:val="0"/>
        <w:spacing w:before="240"/>
      </w:pPr>
      <w:bookmarkStart w:id="3" w:name="_Toc408568285"/>
      <w:bookmarkStart w:id="4" w:name="_Toc416692216"/>
      <w:bookmarkStart w:id="5" w:name="_Toc416692263"/>
      <w:bookmarkStart w:id="6" w:name="_Toc416692356"/>
      <w:bookmarkStart w:id="7" w:name="_Toc416710476"/>
      <w:bookmarkStart w:id="8" w:name="_Toc416711618"/>
      <w:bookmarkStart w:id="9" w:name="_Toc416711667"/>
      <w:bookmarkStart w:id="10" w:name="_Toc417545430"/>
      <w:bookmarkStart w:id="11" w:name="_Toc417545478"/>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p>
    <w:p>
      <w:pPr>
        <w:pStyle w:val="Heading5"/>
      </w:pPr>
      <w:bookmarkStart w:id="12" w:name="_Toc408568286"/>
      <w:bookmarkStart w:id="13" w:name="_Toc417545479"/>
      <w:r>
        <w:rPr>
          <w:rStyle w:val="CharSectno"/>
        </w:rPr>
        <w:t>1</w:t>
      </w:r>
      <w:r>
        <w:t>.</w:t>
      </w:r>
      <w:r>
        <w:tab/>
        <w:t>Citation</w:t>
      </w:r>
      <w:bookmarkEnd w:id="12"/>
      <w:bookmarkEnd w:id="13"/>
    </w:p>
    <w:p>
      <w:pPr>
        <w:pStyle w:val="Subsection"/>
        <w:rPr>
          <w:i/>
        </w:rPr>
      </w:pPr>
      <w:r>
        <w:tab/>
      </w:r>
      <w:r>
        <w:tab/>
      </w:r>
      <w:bookmarkStart w:id="14" w:name="Start_Cursor"/>
      <w:bookmarkEnd w:id="14"/>
      <w:r>
        <w:rPr>
          <w:spacing w:val="-2"/>
        </w:rPr>
        <w:t>These</w:t>
      </w:r>
      <w:r>
        <w:t xml:space="preserve"> </w:t>
      </w:r>
      <w:r>
        <w:rPr>
          <w:spacing w:val="-2"/>
        </w:rPr>
        <w:t>by-laws</w:t>
      </w:r>
      <w:r>
        <w:t xml:space="preserve"> are the </w:t>
      </w:r>
      <w:r>
        <w:rPr>
          <w:i/>
        </w:rPr>
        <w:t>Fiona Stanley Hospital By</w:t>
      </w:r>
      <w:r>
        <w:rPr>
          <w:i/>
        </w:rPr>
        <w:noBreakHyphen/>
        <w:t>laws 2014</w:t>
      </w:r>
      <w:r>
        <w:t>.</w:t>
      </w:r>
    </w:p>
    <w:p>
      <w:pPr>
        <w:pStyle w:val="Heading5"/>
        <w:rPr>
          <w:spacing w:val="-2"/>
        </w:rPr>
      </w:pPr>
      <w:bookmarkStart w:id="15" w:name="_Toc408568287"/>
      <w:bookmarkStart w:id="16" w:name="_Toc417545480"/>
      <w:r>
        <w:rPr>
          <w:rStyle w:val="CharSectno"/>
        </w:rPr>
        <w:t>2</w:t>
      </w:r>
      <w:r>
        <w:rPr>
          <w:spacing w:val="-2"/>
        </w:rPr>
        <w:t>.</w:t>
      </w:r>
      <w:r>
        <w:rPr>
          <w:spacing w:val="-2"/>
        </w:rPr>
        <w:tab/>
        <w:t>Commencement</w:t>
      </w:r>
      <w:bookmarkEnd w:id="15"/>
      <w:bookmarkEnd w:id="16"/>
    </w:p>
    <w:p>
      <w:pPr>
        <w:pStyle w:val="Subsection"/>
        <w:rPr>
          <w:spacing w:val="-2"/>
        </w:rPr>
      </w:pPr>
      <w:r>
        <w:rPr>
          <w:spacing w:val="-2"/>
        </w:rPr>
        <w:tab/>
      </w:r>
      <w:r>
        <w:rPr>
          <w:spacing w:val="-2"/>
        </w:rPr>
        <w:tab/>
        <w:t>These by-laws come into operation as follows</w:t>
      </w:r>
      <w:r>
        <w:t> —</w:t>
      </w:r>
    </w:p>
    <w:p>
      <w:pPr>
        <w:pStyle w:val="Indenta"/>
      </w:pPr>
      <w:r>
        <w:tab/>
        <w:t>(a)</w:t>
      </w:r>
      <w:r>
        <w:tab/>
      </w:r>
      <w:r>
        <w:rPr>
          <w:spacing w:val="-2"/>
        </w:rPr>
        <w:t>by-laws</w:t>
      </w:r>
      <w:r>
        <w:t xml:space="preserve"> 1 and 2 — on the day on which these </w:t>
      </w:r>
      <w:r>
        <w:rPr>
          <w:spacing w:val="-2"/>
        </w:rPr>
        <w:t>by-laws</w:t>
      </w:r>
      <w:r>
        <w:t xml:space="preserve"> are published in the </w:t>
      </w:r>
      <w:r>
        <w:rPr>
          <w:i/>
          <w:iCs/>
        </w:rPr>
        <w:t>Gazette</w:t>
      </w:r>
      <w:r>
        <w:t>;</w:t>
      </w:r>
    </w:p>
    <w:p>
      <w:pPr>
        <w:pStyle w:val="Indenta"/>
      </w:pPr>
      <w:r>
        <w:tab/>
        <w:t>(b)</w:t>
      </w:r>
      <w:r>
        <w:tab/>
        <w:t xml:space="preserve">the rest of the </w:t>
      </w:r>
      <w:r>
        <w:rPr>
          <w:spacing w:val="-2"/>
        </w:rPr>
        <w:t>by-laws</w:t>
      </w:r>
      <w:r>
        <w:t> — on the day after that day.</w:t>
      </w:r>
    </w:p>
    <w:p>
      <w:pPr>
        <w:pStyle w:val="Heading5"/>
        <w:rPr>
          <w:snapToGrid w:val="0"/>
        </w:rPr>
      </w:pPr>
      <w:bookmarkStart w:id="17" w:name="_Toc408568288"/>
      <w:bookmarkStart w:id="18" w:name="_Toc417545481"/>
      <w:r>
        <w:rPr>
          <w:rStyle w:val="CharSectno"/>
        </w:rPr>
        <w:t>3</w:t>
      </w:r>
      <w:r>
        <w:rPr>
          <w:snapToGrid w:val="0"/>
        </w:rPr>
        <w:t>.</w:t>
      </w:r>
      <w:r>
        <w:rPr>
          <w:snapToGrid w:val="0"/>
        </w:rPr>
        <w:tab/>
        <w:t>Terms used</w:t>
      </w:r>
      <w:bookmarkEnd w:id="17"/>
      <w:bookmarkEnd w:id="18"/>
    </w:p>
    <w:p>
      <w:pPr>
        <w:pStyle w:val="Subsection"/>
      </w:pPr>
      <w:r>
        <w:tab/>
        <w:t>(1)</w:t>
      </w:r>
      <w:r>
        <w:tab/>
      </w:r>
      <w:r>
        <w:rPr>
          <w:spacing w:val="-2"/>
        </w:rPr>
        <w:t>In these</w:t>
      </w:r>
      <w:r>
        <w:t xml:space="preserve"> by</w:t>
      </w:r>
      <w:r>
        <w:noBreakHyphen/>
        <w:t xml:space="preserve">laws, unless the contrary intention appears — </w:t>
      </w:r>
    </w:p>
    <w:p>
      <w:pPr>
        <w:pStyle w:val="Defstart"/>
      </w:pPr>
      <w:r>
        <w:tab/>
      </w:r>
      <w:r>
        <w:rPr>
          <w:rStyle w:val="CharDefText"/>
        </w:rPr>
        <w:t>approved</w:t>
      </w:r>
      <w:r>
        <w:t xml:space="preserve"> means approved by the chief executive officer;</w:t>
      </w:r>
    </w:p>
    <w:p>
      <w:pPr>
        <w:pStyle w:val="Defstart"/>
      </w:pPr>
      <w:r>
        <w:tab/>
      </w:r>
      <w:r>
        <w:rPr>
          <w:rStyle w:val="CharDefText"/>
        </w:rPr>
        <w:t>authorised person</w:t>
      </w:r>
      <w:r>
        <w:t xml:space="preserve"> means a person appointed under by</w:t>
      </w:r>
      <w:r>
        <w:noBreakHyphen/>
        <w:t>law 4A as an authorised person for the purposes of the by</w:t>
      </w:r>
      <w:r>
        <w:noBreakHyphen/>
        <w:t>law in which the term is used;</w:t>
      </w:r>
    </w:p>
    <w:p>
      <w:pPr>
        <w:pStyle w:val="Defstart"/>
      </w:pPr>
      <w:r>
        <w:tab/>
      </w:r>
      <w:r>
        <w:rPr>
          <w:rStyle w:val="CharDefText"/>
        </w:rPr>
        <w:t>board</w:t>
      </w:r>
      <w:r>
        <w:t xml:space="preserve"> means the board of the Hospital;</w:t>
      </w:r>
    </w:p>
    <w:p>
      <w:pPr>
        <w:pStyle w:val="Defstart"/>
      </w:pPr>
      <w:r>
        <w:rPr>
          <w:b/>
        </w:rPr>
        <w:tab/>
      </w:r>
      <w:r>
        <w:rPr>
          <w:rStyle w:val="CharDefText"/>
        </w:rPr>
        <w:t>chief executive officer</w:t>
      </w:r>
      <w:r>
        <w:t xml:space="preserve"> means the person in charge of the day</w:t>
      </w:r>
      <w:r>
        <w:noBreakHyphen/>
        <w:t>to</w:t>
      </w:r>
      <w:r>
        <w:noBreakHyphen/>
        <w:t>day management of the affairs of the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Hospital</w:t>
      </w:r>
      <w:r>
        <w:t xml:space="preserve"> means the Fiona Stanley Hospital;</w:t>
      </w:r>
    </w:p>
    <w:p>
      <w:pPr>
        <w:pStyle w:val="Defstart"/>
      </w:pPr>
      <w:r>
        <w:tab/>
      </w:r>
      <w:r>
        <w:rPr>
          <w:rStyle w:val="CharDefText"/>
        </w:rPr>
        <w:t>officer or servant of the board</w:t>
      </w:r>
      <w:r>
        <w:t xml:space="preserve"> includes — </w:t>
      </w:r>
    </w:p>
    <w:p>
      <w:pPr>
        <w:pStyle w:val="Defpara"/>
      </w:pPr>
      <w:r>
        <w:tab/>
        <w:t>(a)</w:t>
      </w:r>
      <w:r>
        <w:tab/>
        <w:t>a person engaged by the board under section 19(1) of the Act to perform functions on its behalf; and</w:t>
      </w:r>
    </w:p>
    <w:p>
      <w:pPr>
        <w:pStyle w:val="Defpara"/>
      </w:pPr>
      <w:r>
        <w:tab/>
        <w:t>(b)</w:t>
      </w:r>
      <w:r>
        <w:tab/>
        <w:t>an employee of a person engaged by the board under section 19(1)(b) of the Act to perform functions on its behalf;</w:t>
      </w:r>
    </w:p>
    <w:p>
      <w:pPr>
        <w:pStyle w:val="Defstart"/>
      </w:pPr>
      <w:r>
        <w:rPr>
          <w:b/>
        </w:rPr>
        <w:tab/>
      </w:r>
      <w:r>
        <w:rPr>
          <w:rStyle w:val="CharDefText"/>
        </w:rPr>
        <w:t>parking facility</w:t>
      </w:r>
      <w:r>
        <w:t xml:space="preserve"> means land or a structure on the site that contains a parking space;</w:t>
      </w:r>
    </w:p>
    <w:p>
      <w:pPr>
        <w:pStyle w:val="Defstart"/>
      </w:pPr>
      <w:r>
        <w:tab/>
      </w:r>
      <w:r>
        <w:rPr>
          <w:rStyle w:val="CharDefText"/>
        </w:rPr>
        <w:t>parking permit</w:t>
      </w:r>
      <w:r>
        <w:t xml:space="preserve"> means a permit granted under by</w:t>
      </w:r>
      <w:r>
        <w:noBreakHyphen/>
        <w:t>law 21(2);</w:t>
      </w:r>
    </w:p>
    <w:p>
      <w:pPr>
        <w:pStyle w:val="Defstart"/>
        <w:keepNext/>
        <w:keepLines/>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parking permit or a ticket is required in relation to the parking of the vehicle;</w:t>
      </w:r>
    </w:p>
    <w:p>
      <w:pPr>
        <w:pStyle w:val="Defstart"/>
      </w:pPr>
      <w:r>
        <w:tab/>
      </w:r>
      <w:r>
        <w:rPr>
          <w:rStyle w:val="CharDefText"/>
        </w:rPr>
        <w:t>prescribed fee</w:t>
      </w:r>
      <w:r>
        <w:t>, in relation to a matter, means the fee specified for that matter in Schedule 1;</w:t>
      </w:r>
    </w:p>
    <w:p>
      <w:pPr>
        <w:pStyle w:val="Defstart"/>
      </w:pPr>
      <w:r>
        <w:tab/>
      </w:r>
      <w:r>
        <w:rPr>
          <w:rStyle w:val="CharDefText"/>
        </w:rPr>
        <w:t>responsible person</w:t>
      </w:r>
      <w:r>
        <w:t>, for a vehicle, means the person responsible for the vehicle under</w:t>
      </w:r>
      <w:r>
        <w:rPr>
          <w:b/>
          <w:i/>
        </w:rPr>
        <w:t xml:space="preserve"> </w:t>
      </w:r>
      <w:r>
        <w:t xml:space="preserve">the </w:t>
      </w:r>
      <w:r>
        <w:rPr>
          <w:i/>
        </w:rPr>
        <w:t>Road Traffic (Administration) Act 2008</w:t>
      </w:r>
      <w:r>
        <w:t xml:space="preserve"> section 6;</w:t>
      </w:r>
    </w:p>
    <w:p>
      <w:pPr>
        <w:pStyle w:val="Defstart"/>
      </w:pPr>
      <w:r>
        <w:tab/>
      </w:r>
      <w:r>
        <w:rPr>
          <w:rStyle w:val="CharDefText"/>
        </w:rPr>
        <w:t>roadway</w:t>
      </w:r>
      <w:r>
        <w:t xml:space="preserve"> means a part of the site set aside for use by vehicular traffic, notwithstanding that it may not be a road within the meaning of the </w:t>
      </w:r>
      <w:r>
        <w:rPr>
          <w:i/>
        </w:rPr>
        <w:t>Road Traffic (Administration) Act 2008</w:t>
      </w:r>
      <w:r>
        <w:t xml:space="preserve"> section 4,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rPr>
          <w:szCs w:val="24"/>
        </w:rPr>
      </w:pPr>
      <w:r>
        <w:tab/>
      </w:r>
      <w:r>
        <w:rPr>
          <w:rStyle w:val="CharDefText"/>
        </w:rPr>
        <w:t>site</w:t>
      </w:r>
      <w:r>
        <w:t xml:space="preserve"> </w:t>
      </w:r>
      <w:r>
        <w:rPr>
          <w:szCs w:val="24"/>
        </w:rPr>
        <w:t xml:space="preserve">means </w:t>
      </w:r>
      <w:r>
        <w:t>the land in Lot 511 on Deposited Plan 66734, being part of Reserve 42037</w:t>
      </w:r>
      <w:r>
        <w:rPr>
          <w:szCs w:val="24"/>
        </w:rPr>
        <w:t>;</w:t>
      </w:r>
    </w:p>
    <w:p>
      <w:pPr>
        <w:pStyle w:val="Defstart"/>
      </w:pPr>
      <w:r>
        <w:tab/>
      </w:r>
      <w:r>
        <w:rPr>
          <w:rStyle w:val="CharDefText"/>
        </w:rPr>
        <w:t>speed restriction sign</w:t>
      </w:r>
      <w:r>
        <w:t xml:space="preserve"> means a sign, in or adjacent to a roadway or a parking facility, that displays a number;</w:t>
      </w:r>
    </w:p>
    <w:p>
      <w:pPr>
        <w:pStyle w:val="Defstart"/>
      </w:pPr>
      <w:r>
        <w:tab/>
      </w:r>
      <w:r>
        <w:rPr>
          <w:rStyle w:val="CharDefText"/>
        </w:rPr>
        <w:t>ticket</w:t>
      </w:r>
      <w:r>
        <w:t xml:space="preserve"> means a ticket from a ticket vending machine showing — </w:t>
      </w:r>
    </w:p>
    <w:p>
      <w:pPr>
        <w:pStyle w:val="Defpara"/>
      </w:pPr>
      <w:r>
        <w:rPr>
          <w:snapToGrid/>
        </w:rPr>
        <w:tab/>
        <w:t>(a)</w:t>
      </w:r>
      <w:r>
        <w:rPr>
          <w:snapToGrid/>
        </w:rPr>
        <w:tab/>
      </w:r>
      <w:r>
        <w:t>the day of issue of the ticket; and</w:t>
      </w:r>
    </w:p>
    <w:p>
      <w:pPr>
        <w:pStyle w:val="Defpara"/>
      </w:pPr>
      <w:r>
        <w:rPr>
          <w:snapToGrid/>
        </w:rPr>
        <w:tab/>
        <w:t>(b)</w:t>
      </w:r>
      <w:r>
        <w:rPr>
          <w:snapToGrid/>
        </w:rPr>
        <w:tab/>
      </w:r>
      <w:r>
        <w:t>the time of issue or expiry, or the time of issue and expiry, of the ticket;</w:t>
      </w:r>
    </w:p>
    <w:p>
      <w:pPr>
        <w:pStyle w:val="Defstart"/>
      </w:pPr>
      <w:r>
        <w:rPr>
          <w:b/>
        </w:rPr>
        <w:tab/>
      </w:r>
      <w:r>
        <w:rPr>
          <w:rStyle w:val="CharDefText"/>
        </w:rPr>
        <w:t>ticket vending machine</w:t>
      </w:r>
      <w:r>
        <w:t xml:space="preserve"> means a machine situated in a parking facility which issues a ticket;</w:t>
      </w:r>
    </w:p>
    <w:p>
      <w:pPr>
        <w:pStyle w:val="Defstart"/>
        <w:rPr>
          <w:iCs/>
        </w:rPr>
      </w:pPr>
      <w:r>
        <w:rPr>
          <w:b/>
        </w:rPr>
        <w:tab/>
      </w:r>
      <w:r>
        <w:rPr>
          <w:rStyle w:val="CharDefText"/>
        </w:rPr>
        <w:t>vehicle</w:t>
      </w:r>
      <w:r>
        <w:t xml:space="preserve"> has the meaning given in the </w:t>
      </w:r>
      <w:r>
        <w:rPr>
          <w:i/>
        </w:rPr>
        <w:t>Road Traffic (Administration) Act 2008</w:t>
      </w:r>
      <w:r>
        <w:t xml:space="preserve"> section 4.</w:t>
      </w:r>
    </w:p>
    <w:p>
      <w:pPr>
        <w:pStyle w:val="Subsection"/>
        <w:rPr>
          <w:snapToGrid w:val="0"/>
        </w:rPr>
      </w:pPr>
      <w:r>
        <w:tab/>
        <w:t>(2)</w:t>
      </w:r>
      <w:r>
        <w:tab/>
      </w:r>
      <w:r>
        <w:rPr>
          <w:snapToGrid w:val="0"/>
        </w:rPr>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tab/>
        <w:t>(a)</w:t>
      </w:r>
      <w:r>
        <w:tab/>
      </w:r>
      <w:r>
        <w:rPr>
          <w:snapToGrid w:val="0"/>
        </w:rPr>
        <w:t>given by the chief executive officer or an authorised person; and</w:t>
      </w:r>
    </w:p>
    <w:p>
      <w:pPr>
        <w:pStyle w:val="Indenta"/>
        <w:rPr>
          <w:snapToGrid w:val="0"/>
        </w:rPr>
      </w:pPr>
      <w:r>
        <w:tab/>
        <w:t>(b)</w:t>
      </w:r>
      <w:r>
        <w:tab/>
      </w:r>
      <w:r>
        <w:rPr>
          <w:snapToGrid w:val="0"/>
        </w:rPr>
        <w:t>in writing; and</w:t>
      </w:r>
    </w:p>
    <w:p>
      <w:pPr>
        <w:pStyle w:val="Indenta"/>
        <w:rPr>
          <w:snapToGrid w:val="0"/>
        </w:rPr>
      </w:pPr>
      <w:r>
        <w:tab/>
        <w:t>(c)</w:t>
      </w:r>
      <w:r>
        <w:tab/>
      </w:r>
      <w:r>
        <w:rPr>
          <w:snapToGrid w:val="0"/>
        </w:rPr>
        <w:t>obtained and not revoked prior to the performing of the act that is the subject of the permission.</w:t>
      </w:r>
    </w:p>
    <w:p>
      <w:pPr>
        <w:pStyle w:val="Subsection"/>
        <w:rPr>
          <w:snapToGrid w:val="0"/>
        </w:rPr>
      </w:pPr>
      <w:r>
        <w:tab/>
        <w:t>(3)</w:t>
      </w:r>
      <w:r>
        <w:tab/>
        <w:t>For the purposes of these by</w:t>
      </w:r>
      <w:r>
        <w:noBreakHyphen/>
        <w:t>laws, other than by</w:t>
      </w:r>
      <w:r>
        <w:noBreakHyphen/>
        <w:t xml:space="preserve">law 18(3) and (6), </w:t>
      </w:r>
      <w:r>
        <w:rPr>
          <w:snapToGrid w:val="0"/>
        </w:rPr>
        <w:t>an officer or servant of the board is to be treated as having the permission referred to in sub</w:t>
      </w:r>
      <w:r>
        <w:rPr>
          <w:snapToGrid w:val="0"/>
        </w:rPr>
        <w:noBreakHyphen/>
        <w:t>bylaw (2).</w:t>
      </w:r>
    </w:p>
    <w:p>
      <w:pPr>
        <w:pStyle w:val="Footnotesection"/>
      </w:pPr>
      <w:r>
        <w:tab/>
        <w:t>[By-law 3 amended in Gazette 8 Jan 2015 p. 177</w:t>
      </w:r>
      <w:r>
        <w:noBreakHyphen/>
        <w:t>8; 14 Apr 2015 p. 1331.]</w:t>
      </w:r>
    </w:p>
    <w:p>
      <w:pPr>
        <w:pStyle w:val="Heading5"/>
      </w:pPr>
      <w:bookmarkStart w:id="19" w:name="_Toc417545482"/>
      <w:bookmarkStart w:id="20" w:name="_Toc408568289"/>
      <w:bookmarkStart w:id="21" w:name="_Toc416692220"/>
      <w:bookmarkStart w:id="22" w:name="_Toc416692267"/>
      <w:bookmarkStart w:id="23" w:name="_Toc416692360"/>
      <w:r>
        <w:rPr>
          <w:rStyle w:val="CharSectno"/>
        </w:rPr>
        <w:t>4A</w:t>
      </w:r>
      <w:r>
        <w:t>.</w:t>
      </w:r>
      <w:r>
        <w:tab/>
        <w:t>Appointment of authorised persons</w:t>
      </w:r>
      <w:bookmarkEnd w:id="19"/>
    </w:p>
    <w:p>
      <w:pPr>
        <w:pStyle w:val="Subsection"/>
      </w:pPr>
      <w:r>
        <w:tab/>
        <w:t>(1)</w:t>
      </w:r>
      <w:r>
        <w:tab/>
        <w:t>The chief executive officer may, in writing, appoint an officer or servant of the board as an authorised person for the purposes of one or more of these by</w:t>
      </w:r>
      <w:r>
        <w:noBreakHyphen/>
        <w:t>laws.</w:t>
      </w:r>
    </w:p>
    <w:p>
      <w:pPr>
        <w:pStyle w:val="Subsection"/>
      </w:pPr>
      <w:r>
        <w:tab/>
        <w:t>(2)</w:t>
      </w:r>
      <w:r>
        <w:tab/>
        <w:t>An appointment under sub</w:t>
      </w:r>
      <w:r>
        <w:noBreakHyphen/>
        <w:t>bylaw (1) may be made in respect of a specified person or persons of a specified class.</w:t>
      </w:r>
    </w:p>
    <w:p>
      <w:pPr>
        <w:pStyle w:val="Subsection"/>
      </w:pPr>
      <w:r>
        <w:tab/>
        <w:t>(3)</w:t>
      </w:r>
      <w:r>
        <w:tab/>
        <w:t>The chief executive officer must issue to each authorised person who is authorised to give a direction under by</w:t>
      </w:r>
      <w:r>
        <w:noBreakHyphen/>
        <w:t>law 8(1), or issue an infringement notice under by</w:t>
      </w:r>
      <w:r>
        <w:noBreakHyphen/>
        <w:t>law 27(1), a certificate stating that the person is so authorised.</w:t>
      </w:r>
    </w:p>
    <w:p>
      <w:pPr>
        <w:pStyle w:val="Footnotesection"/>
      </w:pPr>
      <w:r>
        <w:tab/>
        <w:t>[By-law 4A inserted in Gazette 14 Apr 2015 p. 1332.]</w:t>
      </w:r>
    </w:p>
    <w:p>
      <w:pPr>
        <w:pStyle w:val="Heading2"/>
      </w:pPr>
      <w:bookmarkStart w:id="24" w:name="_Toc416710481"/>
      <w:bookmarkStart w:id="25" w:name="_Toc416711623"/>
      <w:bookmarkStart w:id="26" w:name="_Toc416711672"/>
      <w:bookmarkStart w:id="27" w:name="_Toc417545435"/>
      <w:bookmarkStart w:id="28" w:name="_Toc417545483"/>
      <w:r>
        <w:rPr>
          <w:rStyle w:val="CharPartNo"/>
        </w:rPr>
        <w:t>Part 2</w:t>
      </w:r>
      <w:r>
        <w:rPr>
          <w:rStyle w:val="CharDivNo"/>
        </w:rPr>
        <w:t> </w:t>
      </w:r>
      <w:r>
        <w:t>—</w:t>
      </w:r>
      <w:r>
        <w:rPr>
          <w:rStyle w:val="CharDivText"/>
        </w:rPr>
        <w:t> </w:t>
      </w:r>
      <w:r>
        <w:rPr>
          <w:rStyle w:val="CharPartText"/>
        </w:rPr>
        <w:t>Trespass and order</w:t>
      </w:r>
      <w:bookmarkEnd w:id="20"/>
      <w:bookmarkEnd w:id="21"/>
      <w:bookmarkEnd w:id="22"/>
      <w:bookmarkEnd w:id="23"/>
      <w:bookmarkEnd w:id="24"/>
      <w:bookmarkEnd w:id="25"/>
      <w:bookmarkEnd w:id="26"/>
      <w:bookmarkEnd w:id="27"/>
      <w:bookmarkEnd w:id="28"/>
    </w:p>
    <w:p>
      <w:pPr>
        <w:pStyle w:val="Heading5"/>
      </w:pPr>
      <w:bookmarkStart w:id="29" w:name="_Toc408568290"/>
      <w:bookmarkStart w:id="30" w:name="_Toc417545484"/>
      <w:r>
        <w:rPr>
          <w:rStyle w:val="CharSectno"/>
        </w:rPr>
        <w:t>4</w:t>
      </w:r>
      <w:r>
        <w:t>.</w:t>
      </w:r>
      <w:r>
        <w:tab/>
        <w:t>No entry without cause</w:t>
      </w:r>
      <w:bookmarkEnd w:id="29"/>
      <w:bookmarkEnd w:id="30"/>
    </w:p>
    <w:p>
      <w:pPr>
        <w:pStyle w:val="Subsection"/>
        <w:rPr>
          <w:snapToGrid w:val="0"/>
        </w:rPr>
      </w:pPr>
      <w:r>
        <w:tab/>
      </w:r>
      <w:r>
        <w:tab/>
      </w:r>
      <w:r>
        <w:rPr>
          <w:snapToGrid w:val="0"/>
        </w:rPr>
        <w:t>A person must not enter or remain on the site without a reasonable excuse.</w:t>
      </w:r>
    </w:p>
    <w:p>
      <w:pPr>
        <w:pStyle w:val="Penstart"/>
      </w:pPr>
      <w:r>
        <w:tab/>
        <w:t xml:space="preserve">Penalty: </w:t>
      </w:r>
      <w:r>
        <w:rPr>
          <w:snapToGrid w:val="0"/>
        </w:rPr>
        <w:t>a fine of $50.</w:t>
      </w:r>
    </w:p>
    <w:p>
      <w:pPr>
        <w:pStyle w:val="Heading5"/>
        <w:rPr>
          <w:snapToGrid w:val="0"/>
        </w:rPr>
      </w:pPr>
      <w:bookmarkStart w:id="31" w:name="_Toc408568291"/>
      <w:bookmarkStart w:id="32" w:name="_Toc417545485"/>
      <w:r>
        <w:rPr>
          <w:rStyle w:val="CharSectno"/>
        </w:rPr>
        <w:t>5</w:t>
      </w:r>
      <w:r>
        <w:t>.</w:t>
      </w:r>
      <w:r>
        <w:tab/>
      </w:r>
      <w:r>
        <w:rPr>
          <w:snapToGrid w:val="0"/>
        </w:rPr>
        <w:t>Directions as to use of certain areas</w:t>
      </w:r>
      <w:bookmarkEnd w:id="31"/>
      <w:bookmarkEnd w:id="32"/>
    </w:p>
    <w:p>
      <w:pPr>
        <w:pStyle w:val="Subsection"/>
      </w:pPr>
      <w:r>
        <w:tab/>
        <w:t>(1)</w:t>
      </w:r>
      <w:r>
        <w:tab/>
        <w:t>In this by</w:t>
      </w:r>
      <w:r>
        <w:noBreakHyphen/>
        <w:t>law —</w:t>
      </w:r>
    </w:p>
    <w:p>
      <w:pPr>
        <w:pStyle w:val="Defstart"/>
      </w:pPr>
      <w:r>
        <w:rPr>
          <w:b/>
        </w:rPr>
        <w:tab/>
      </w:r>
      <w:r>
        <w:rPr>
          <w:rStyle w:val="CharDefText"/>
        </w:rPr>
        <w:t>specified</w:t>
      </w:r>
      <w:r>
        <w:t xml:space="preserve"> means specified in the sign containing the direction.</w:t>
      </w:r>
    </w:p>
    <w:p>
      <w:pPr>
        <w:pStyle w:val="Subsection"/>
      </w:pPr>
      <w:r>
        <w:tab/>
        <w:t>(2)</w:t>
      </w:r>
      <w:r>
        <w:tab/>
        <w:t>An authorised person may, by means of a sign, direct that a specified part of the site is open to members of the public or a specified section of the public.</w:t>
      </w:r>
    </w:p>
    <w:p>
      <w:pPr>
        <w:pStyle w:val="Subsection"/>
      </w:pPr>
      <w:r>
        <w:tab/>
        <w:t>(3)</w:t>
      </w:r>
      <w:r>
        <w:tab/>
        <w:t>A direction under this by</w:t>
      </w:r>
      <w:r>
        <w:noBreakHyphen/>
        <w:t>law may be made subject to specified conditions.</w:t>
      </w:r>
    </w:p>
    <w:p>
      <w:pPr>
        <w:pStyle w:val="Subsection"/>
      </w:pPr>
      <w:r>
        <w:tab/>
        <w:t>(4)</w:t>
      </w:r>
      <w:r>
        <w:tab/>
        <w:t>The chief executive officer may cancel or vary a direction or condition under this by</w:t>
      </w:r>
      <w:r>
        <w:noBreakHyphen/>
        <w:t>law.</w:t>
      </w:r>
    </w:p>
    <w:p>
      <w:pPr>
        <w:pStyle w:val="Subsection"/>
        <w:rPr>
          <w:snapToGrid w:val="0"/>
        </w:rPr>
      </w:pPr>
      <w:r>
        <w:tab/>
        <w:t>(5)</w:t>
      </w:r>
      <w:r>
        <w:tab/>
      </w:r>
      <w:r>
        <w:rPr>
          <w:snapToGrid w:val="0"/>
        </w:rPr>
        <w:t>A person must not contravene a direction under this by</w:t>
      </w:r>
      <w:r>
        <w:rPr>
          <w:snapToGrid w:val="0"/>
        </w:rPr>
        <w:noBreakHyphen/>
        <w:t>law.</w:t>
      </w:r>
    </w:p>
    <w:p>
      <w:pPr>
        <w:pStyle w:val="Penstart"/>
        <w:rPr>
          <w:snapToGrid w:val="0"/>
        </w:rPr>
      </w:pPr>
      <w:r>
        <w:rPr>
          <w:snapToGrid w:val="0"/>
        </w:rPr>
        <w:tab/>
        <w:t>Penalty: a fine of $50.</w:t>
      </w:r>
    </w:p>
    <w:p>
      <w:pPr>
        <w:pStyle w:val="Heading5"/>
      </w:pPr>
      <w:bookmarkStart w:id="33" w:name="_Toc417545486"/>
      <w:bookmarkStart w:id="34" w:name="_Toc408568292"/>
      <w:r>
        <w:rPr>
          <w:rStyle w:val="CharSectno"/>
        </w:rPr>
        <w:t>6</w:t>
      </w:r>
      <w:r>
        <w:t>.</w:t>
      </w:r>
      <w:r>
        <w:tab/>
        <w:t>Prohibited items</w:t>
      </w:r>
      <w:bookmarkEnd w:id="33"/>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rPr>
          <w:rStyle w:val="DraftersNotes"/>
          <w:b w:val="0"/>
          <w:i w:val="0"/>
          <w:sz w:val="24"/>
        </w:rPr>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the site a prohibited item </w:t>
      </w:r>
      <w:r>
        <w:rPr>
          <w:snapToGrid w:val="0"/>
        </w:rPr>
        <w:t>unless the person has permission to do so.</w:t>
      </w:r>
    </w:p>
    <w:p>
      <w:pPr>
        <w:pStyle w:val="Penstart"/>
      </w:pPr>
      <w:r>
        <w:tab/>
        <w:t>Penalty: a fine of $50.</w:t>
      </w:r>
    </w:p>
    <w:p>
      <w:pPr>
        <w:pStyle w:val="Footnotesection"/>
      </w:pPr>
      <w:r>
        <w:tab/>
        <w:t>[By-law 6 inserted in Gazette 14 Apr 2015 p. 1332.]</w:t>
      </w:r>
    </w:p>
    <w:p>
      <w:pPr>
        <w:pStyle w:val="Heading5"/>
      </w:pPr>
      <w:bookmarkStart w:id="35" w:name="_Toc408568293"/>
      <w:bookmarkStart w:id="36" w:name="_Toc417545487"/>
      <w:bookmarkEnd w:id="34"/>
      <w:r>
        <w:rPr>
          <w:rStyle w:val="CharSectno"/>
        </w:rPr>
        <w:t>7</w:t>
      </w:r>
      <w:r>
        <w:t>.</w:t>
      </w:r>
      <w:r>
        <w:tab/>
        <w:t>Smoking</w:t>
      </w:r>
      <w:bookmarkEnd w:id="35"/>
      <w:bookmarkEnd w:id="36"/>
    </w:p>
    <w:p>
      <w:pPr>
        <w:pStyle w:val="Subsection"/>
        <w:rPr>
          <w:snapToGrid w:val="0"/>
        </w:rPr>
      </w:pPr>
      <w:r>
        <w:tab/>
      </w:r>
      <w:r>
        <w:tab/>
      </w:r>
      <w:r>
        <w:rPr>
          <w:snapToGrid w:val="0"/>
        </w:rPr>
        <w:t>A person must not smoke on the site.</w:t>
      </w:r>
    </w:p>
    <w:p>
      <w:pPr>
        <w:pStyle w:val="Penstart"/>
        <w:rPr>
          <w:snapToGrid w:val="0"/>
        </w:rPr>
      </w:pPr>
      <w:r>
        <w:rPr>
          <w:snapToGrid w:val="0"/>
        </w:rPr>
        <w:tab/>
        <w:t>Penalty: a fine of $50.</w:t>
      </w:r>
    </w:p>
    <w:p>
      <w:pPr>
        <w:pStyle w:val="Heading5"/>
      </w:pPr>
      <w:bookmarkStart w:id="37" w:name="_Toc417545488"/>
      <w:bookmarkStart w:id="38" w:name="_Toc408568294"/>
      <w:r>
        <w:rPr>
          <w:rStyle w:val="CharSectno"/>
        </w:rPr>
        <w:t>8</w:t>
      </w:r>
      <w:r>
        <w:t>.</w:t>
      </w:r>
      <w:r>
        <w:tab/>
        <w:t>Persons may be directed to leave site</w:t>
      </w:r>
      <w:bookmarkEnd w:id="37"/>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4 or 6.</w:t>
      </w:r>
    </w:p>
    <w:p>
      <w:pPr>
        <w:pStyle w:val="Subsection"/>
        <w:rPr>
          <w:snapToGrid w:val="0"/>
        </w:rPr>
      </w:pPr>
      <w:r>
        <w:tab/>
        <w:t>(2)</w:t>
      </w:r>
      <w:r>
        <w:tab/>
      </w:r>
      <w:r>
        <w:rPr>
          <w:snapToGrid w:val="0"/>
        </w:rPr>
        <w:t xml:space="preserve">A person must not contravene a direction </w:t>
      </w:r>
      <w:r>
        <w:t>under sub</w:t>
      </w:r>
      <w:r>
        <w:noBreakHyphen/>
        <w:t>bylaw (1).</w:t>
      </w:r>
    </w:p>
    <w:p>
      <w:pPr>
        <w:pStyle w:val="Penstart"/>
      </w:pPr>
      <w:r>
        <w:tab/>
        <w:t>Penalty: a fine of $50.</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4A(3).</w:t>
      </w:r>
    </w:p>
    <w:p>
      <w:pPr>
        <w:pStyle w:val="Subsection"/>
      </w:pPr>
      <w:r>
        <w:tab/>
        <w:t>(4)</w:t>
      </w:r>
      <w:r>
        <w:tab/>
        <w:t>The authorised person must comply with a request under sub</w:t>
      </w:r>
      <w:r>
        <w:noBreakHyphen/>
        <w:t>bylaw (3).</w:t>
      </w:r>
    </w:p>
    <w:p>
      <w:pPr>
        <w:pStyle w:val="Footnotesection"/>
      </w:pPr>
      <w:r>
        <w:tab/>
        <w:t>[By-law 8 inserted in Gazette 14 Apr 2015 p. 1332</w:t>
      </w:r>
      <w:r>
        <w:noBreakHyphen/>
        <w:t>3.]</w:t>
      </w:r>
    </w:p>
    <w:p>
      <w:pPr>
        <w:pStyle w:val="Heading2"/>
      </w:pPr>
      <w:bookmarkStart w:id="39" w:name="_Toc408568295"/>
      <w:bookmarkStart w:id="40" w:name="_Toc416692226"/>
      <w:bookmarkStart w:id="41" w:name="_Toc416692273"/>
      <w:bookmarkStart w:id="42" w:name="_Toc416692366"/>
      <w:bookmarkStart w:id="43" w:name="_Toc416710487"/>
      <w:bookmarkStart w:id="44" w:name="_Toc416711629"/>
      <w:bookmarkStart w:id="45" w:name="_Toc416711678"/>
      <w:bookmarkStart w:id="46" w:name="_Toc417545441"/>
      <w:bookmarkStart w:id="47" w:name="_Toc417545489"/>
      <w:bookmarkEnd w:id="38"/>
      <w:r>
        <w:rPr>
          <w:rStyle w:val="CharPartNo"/>
        </w:rPr>
        <w:t>Part 3</w:t>
      </w:r>
      <w:r>
        <w:t> — </w:t>
      </w:r>
      <w:r>
        <w:rPr>
          <w:rStyle w:val="CharPartText"/>
        </w:rPr>
        <w:t>Traffic control</w:t>
      </w:r>
      <w:bookmarkEnd w:id="39"/>
      <w:bookmarkEnd w:id="40"/>
      <w:bookmarkEnd w:id="41"/>
      <w:bookmarkEnd w:id="42"/>
      <w:bookmarkEnd w:id="43"/>
      <w:bookmarkEnd w:id="44"/>
      <w:bookmarkEnd w:id="45"/>
      <w:bookmarkEnd w:id="46"/>
      <w:bookmarkEnd w:id="47"/>
    </w:p>
    <w:p>
      <w:pPr>
        <w:pStyle w:val="Heading3"/>
      </w:pPr>
      <w:bookmarkStart w:id="48" w:name="_Toc408568296"/>
      <w:bookmarkStart w:id="49" w:name="_Toc416692227"/>
      <w:bookmarkStart w:id="50" w:name="_Toc416692274"/>
      <w:bookmarkStart w:id="51" w:name="_Toc416692367"/>
      <w:bookmarkStart w:id="52" w:name="_Toc416710488"/>
      <w:bookmarkStart w:id="53" w:name="_Toc416711630"/>
      <w:bookmarkStart w:id="54" w:name="_Toc416711679"/>
      <w:bookmarkStart w:id="55" w:name="_Toc417545442"/>
      <w:bookmarkStart w:id="56" w:name="_Toc417545490"/>
      <w:r>
        <w:rPr>
          <w:rStyle w:val="CharDivNo"/>
        </w:rPr>
        <w:t>Division 1</w:t>
      </w:r>
      <w:r>
        <w:t> — </w:t>
      </w:r>
      <w:r>
        <w:rPr>
          <w:rStyle w:val="CharDivText"/>
        </w:rPr>
        <w:t>Driving and use of vehicles</w:t>
      </w:r>
      <w:bookmarkEnd w:id="48"/>
      <w:bookmarkEnd w:id="49"/>
      <w:bookmarkEnd w:id="50"/>
      <w:bookmarkEnd w:id="51"/>
      <w:bookmarkEnd w:id="52"/>
      <w:bookmarkEnd w:id="53"/>
      <w:bookmarkEnd w:id="54"/>
      <w:bookmarkEnd w:id="55"/>
      <w:bookmarkEnd w:id="56"/>
    </w:p>
    <w:p>
      <w:pPr>
        <w:pStyle w:val="Heading5"/>
      </w:pPr>
      <w:bookmarkStart w:id="57" w:name="_Toc408568297"/>
      <w:bookmarkStart w:id="58" w:name="_Toc417545491"/>
      <w:r>
        <w:rPr>
          <w:rStyle w:val="CharSectno"/>
        </w:rPr>
        <w:t>9</w:t>
      </w:r>
      <w:r>
        <w:t>.</w:t>
      </w:r>
      <w:r>
        <w:tab/>
        <w:t>Driving of vehicles</w:t>
      </w:r>
      <w:bookmarkEnd w:id="57"/>
      <w:bookmarkEnd w:id="58"/>
    </w:p>
    <w:p>
      <w:pPr>
        <w:pStyle w:val="Subsection"/>
        <w:rPr>
          <w:snapToGrid w:val="0"/>
        </w:rPr>
      </w:pPr>
      <w:r>
        <w:tab/>
        <w:t>(1)</w:t>
      </w:r>
      <w:r>
        <w:tab/>
      </w:r>
      <w:r>
        <w:rPr>
          <w:snapToGrid w:val="0"/>
        </w:rPr>
        <w:t>A person must not drive or bring a vehicle onto a part of the site that is not a roadway or a parking facility, unless the person has permission to do so.</w:t>
      </w:r>
    </w:p>
    <w:p>
      <w:pPr>
        <w:pStyle w:val="Penstart"/>
        <w:rPr>
          <w:snapToGrid w:val="0"/>
        </w:rPr>
      </w:pPr>
      <w:r>
        <w:rPr>
          <w:snapToGrid w:val="0"/>
        </w:rPr>
        <w:tab/>
        <w:t>Penalty: a fine of $50.</w:t>
      </w:r>
    </w:p>
    <w:p>
      <w:pPr>
        <w:pStyle w:val="Subsection"/>
        <w:rPr>
          <w:snapToGrid w:val="0"/>
        </w:rPr>
      </w:pPr>
      <w:r>
        <w:tab/>
        <w:t>(2)</w:t>
      </w:r>
      <w:r>
        <w:tab/>
      </w:r>
      <w:r>
        <w:rPr>
          <w:snapToGrid w:val="0"/>
        </w:rPr>
        <w:t>A person must not drive or bring a vehicle that has an unladen weight of more than 4 tonnes onto the site, unless the person has permission to do so.</w:t>
      </w:r>
    </w:p>
    <w:p>
      <w:pPr>
        <w:pStyle w:val="Penstart"/>
      </w:pPr>
      <w:r>
        <w:tab/>
        <w:t>Penalty: a fine of $50.</w:t>
      </w:r>
    </w:p>
    <w:p>
      <w:pPr>
        <w:pStyle w:val="Subsection"/>
        <w:rPr>
          <w:snapToGrid w:val="0"/>
        </w:rPr>
      </w:pPr>
      <w:r>
        <w:tab/>
        <w:t>(3)</w:t>
      </w:r>
      <w:r>
        <w:tab/>
      </w:r>
      <w:r>
        <w:rPr>
          <w:snapToGrid w:val="0"/>
        </w:rPr>
        <w:t>A person must not drive, use or stand a vehicle in a part of the site contrary to a direction in a sign that relates to that part of the site.</w:t>
      </w:r>
    </w:p>
    <w:p>
      <w:pPr>
        <w:pStyle w:val="Penstart"/>
      </w:pPr>
      <w:r>
        <w:tab/>
        <w:t>Penalty: a fine of $50.</w:t>
      </w:r>
    </w:p>
    <w:p>
      <w:pPr>
        <w:pStyle w:val="Subsection"/>
      </w:pPr>
      <w:r>
        <w:tab/>
        <w:t>(4)</w:t>
      </w:r>
      <w:r>
        <w:tab/>
      </w:r>
      <w:r>
        <w:rPr>
          <w:snapToGrid w:val="0"/>
        </w:rPr>
        <w:t>This by</w:t>
      </w:r>
      <w:r>
        <w:rPr>
          <w:snapToGrid w:val="0"/>
        </w:rPr>
        <w:noBreakHyphen/>
      </w:r>
      <w:r>
        <w:t>law does not apply to a vehicle that is an emergency vehicle.</w:t>
      </w:r>
    </w:p>
    <w:p>
      <w:pPr>
        <w:pStyle w:val="Heading5"/>
      </w:pPr>
      <w:bookmarkStart w:id="59" w:name="_Toc408568298"/>
      <w:bookmarkStart w:id="60" w:name="_Toc417545492"/>
      <w:r>
        <w:rPr>
          <w:rStyle w:val="CharSectno"/>
        </w:rPr>
        <w:t>10</w:t>
      </w:r>
      <w:r>
        <w:t>.</w:t>
      </w:r>
      <w:r>
        <w:tab/>
        <w:t>Driver to obey reasonable direction</w:t>
      </w:r>
      <w:bookmarkEnd w:id="59"/>
      <w:bookmarkEnd w:id="60"/>
    </w:p>
    <w:p>
      <w:pPr>
        <w:pStyle w:val="Subsection"/>
        <w:rPr>
          <w:snapToGrid w:val="0"/>
        </w:rPr>
      </w:pPr>
      <w:r>
        <w:tab/>
      </w:r>
      <w:r>
        <w:tab/>
      </w:r>
      <w:r>
        <w:rPr>
          <w:snapToGrid w:val="0"/>
        </w:rPr>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a fine of $50.</w:t>
      </w:r>
    </w:p>
    <w:p>
      <w:pPr>
        <w:pStyle w:val="Heading5"/>
      </w:pPr>
      <w:bookmarkStart w:id="61" w:name="_Toc408568299"/>
      <w:bookmarkStart w:id="62" w:name="_Toc417545493"/>
      <w:r>
        <w:rPr>
          <w:rStyle w:val="CharSectno"/>
        </w:rPr>
        <w:t>11</w:t>
      </w:r>
      <w:r>
        <w:t>.</w:t>
      </w:r>
      <w:r>
        <w:tab/>
        <w:t>Speed limits</w:t>
      </w:r>
      <w:bookmarkEnd w:id="61"/>
      <w:bookmarkEnd w:id="62"/>
    </w:p>
    <w:p>
      <w:pPr>
        <w:pStyle w:val="Subsection"/>
        <w:rPr>
          <w:snapToGrid w:val="0"/>
        </w:rPr>
      </w:pPr>
      <w:r>
        <w:tab/>
        <w:t>(1)</w:t>
      </w:r>
      <w:r>
        <w:tab/>
      </w:r>
      <w:r>
        <w:rPr>
          <w:snapToGrid w:val="0"/>
        </w:rPr>
        <w:t xml:space="preserve">A person must not drive a vehicle on a roadway or parking facility — </w:t>
      </w:r>
    </w:p>
    <w:p>
      <w:pPr>
        <w:pStyle w:val="Indenta"/>
        <w:rPr>
          <w:snapToGrid w:val="0"/>
        </w:rPr>
      </w:pPr>
      <w:r>
        <w:tab/>
        <w:t>(a)</w:t>
      </w:r>
      <w:r>
        <w:tab/>
      </w:r>
      <w:r>
        <w:rPr>
          <w:snapToGrid w:val="0"/>
        </w:rPr>
        <w:t>if a speed restriction sign is displayed in relation to a part of a roadway or parking facility, at a speed exceeding the speed indicated by the speed restriction sign; or</w:t>
      </w:r>
    </w:p>
    <w:p>
      <w:pPr>
        <w:pStyle w:val="Indenta"/>
        <w:rPr>
          <w:snapToGrid w:val="0"/>
        </w:rPr>
      </w:pPr>
      <w:r>
        <w:tab/>
        <w:t>(b)</w:t>
      </w:r>
      <w:r>
        <w:tab/>
      </w:r>
      <w:r>
        <w:rPr>
          <w:snapToGrid w:val="0"/>
        </w:rPr>
        <w:t>if no speed restriction sign is displayed, at a speed exceeding 10 km/h.</w:t>
      </w:r>
    </w:p>
    <w:p>
      <w:pPr>
        <w:pStyle w:val="Penstart"/>
        <w:rPr>
          <w:snapToGrid w:val="0"/>
        </w:rPr>
      </w:pPr>
      <w:r>
        <w:rPr>
          <w:snapToGrid w:val="0"/>
        </w:rPr>
        <w:tab/>
        <w:t>Penalty: a fine of $50.</w:t>
      </w:r>
    </w:p>
    <w:p>
      <w:pPr>
        <w:pStyle w:val="Subsection"/>
        <w:rPr>
          <w:snapToGrid w:val="0"/>
        </w:rPr>
      </w:pPr>
      <w:r>
        <w:tab/>
        <w:t>(2)</w:t>
      </w:r>
      <w:r>
        <w:tab/>
      </w:r>
      <w:r>
        <w:rPr>
          <w:snapToGrid w:val="0"/>
        </w:rPr>
        <w:t>Sub</w:t>
      </w:r>
      <w:r>
        <w:rPr>
          <w:snapToGrid w:val="0"/>
        </w:rPr>
        <w:noBreakHyphen/>
        <w:t>bylaw (1) does not apply to the driving of an emergency vehicle.</w:t>
      </w:r>
    </w:p>
    <w:p>
      <w:pPr>
        <w:pStyle w:val="Heading5"/>
      </w:pPr>
      <w:bookmarkStart w:id="63" w:name="_Toc408568300"/>
      <w:bookmarkStart w:id="64" w:name="_Toc417545494"/>
      <w:r>
        <w:rPr>
          <w:rStyle w:val="CharSectno"/>
        </w:rPr>
        <w:t>12</w:t>
      </w:r>
      <w:r>
        <w:t>.</w:t>
      </w:r>
      <w:r>
        <w:tab/>
        <w:t>Giving way</w:t>
      </w:r>
      <w:bookmarkEnd w:id="63"/>
      <w:bookmarkEnd w:id="64"/>
    </w:p>
    <w:p>
      <w:pPr>
        <w:pStyle w:val="Subsection"/>
        <w:rPr>
          <w:snapToGrid w:val="0"/>
        </w:rPr>
      </w:pPr>
      <w:r>
        <w:tab/>
      </w:r>
      <w:r>
        <w:tab/>
      </w:r>
      <w:r>
        <w:rPr>
          <w:snapToGrid w:val="0"/>
        </w:rPr>
        <w:t>The driver of a vehicle that is entering or about to enter a parking facility is to give way to a vehicle that is leaving the parking facility.</w:t>
      </w:r>
    </w:p>
    <w:p>
      <w:pPr>
        <w:pStyle w:val="Penstart"/>
        <w:rPr>
          <w:snapToGrid w:val="0"/>
        </w:rPr>
      </w:pPr>
      <w:r>
        <w:rPr>
          <w:snapToGrid w:val="0"/>
        </w:rPr>
        <w:tab/>
        <w:t>Penalty: a fine of $50.</w:t>
      </w:r>
    </w:p>
    <w:p>
      <w:pPr>
        <w:pStyle w:val="Heading5"/>
        <w:rPr>
          <w:snapToGrid w:val="0"/>
        </w:rPr>
      </w:pPr>
      <w:bookmarkStart w:id="65" w:name="_Toc408568301"/>
      <w:bookmarkStart w:id="66" w:name="_Toc417545495"/>
      <w:r>
        <w:rPr>
          <w:rStyle w:val="CharSectno"/>
        </w:rPr>
        <w:t>13</w:t>
      </w:r>
      <w:r>
        <w:t>.</w:t>
      </w:r>
      <w:r>
        <w:tab/>
      </w:r>
      <w:r>
        <w:rPr>
          <w:snapToGrid w:val="0"/>
        </w:rPr>
        <w:t>No instruction or repairs on site</w:t>
      </w:r>
      <w:bookmarkEnd w:id="65"/>
      <w:bookmarkEnd w:id="66"/>
    </w:p>
    <w:p>
      <w:pPr>
        <w:pStyle w:val="Subsection"/>
        <w:rPr>
          <w:snapToGrid w:val="0"/>
        </w:rPr>
      </w:pPr>
      <w:r>
        <w:tab/>
      </w:r>
      <w:r>
        <w:tab/>
      </w:r>
      <w:r>
        <w:rPr>
          <w:snapToGrid w:val="0"/>
        </w:rPr>
        <w:t>A person must not — </w:t>
      </w:r>
    </w:p>
    <w:p>
      <w:pPr>
        <w:pStyle w:val="Indenta"/>
      </w:pPr>
      <w:r>
        <w:tab/>
        <w:t>(a)</w:t>
      </w:r>
      <w:r>
        <w:tab/>
      </w:r>
      <w:r>
        <w:rPr>
          <w:snapToGrid w:val="0"/>
        </w:rPr>
        <w:t>drive a vehicle on the site for the purpose of giving or receiving driving instructions; or</w:t>
      </w:r>
    </w:p>
    <w:p>
      <w:pPr>
        <w:pStyle w:val="Indenta"/>
      </w:pPr>
      <w:r>
        <w:tab/>
        <w:t>(b)</w:t>
      </w:r>
      <w:r>
        <w:tab/>
      </w:r>
      <w:r>
        <w:rPr>
          <w:snapToGrid w:val="0"/>
        </w:rPr>
        <w:t>repair or adjust a vehicle on the site, except in an emergency.</w:t>
      </w:r>
    </w:p>
    <w:p>
      <w:pPr>
        <w:pStyle w:val="Penstart"/>
        <w:rPr>
          <w:snapToGrid w:val="0"/>
        </w:rPr>
      </w:pPr>
      <w:r>
        <w:rPr>
          <w:snapToGrid w:val="0"/>
        </w:rPr>
        <w:tab/>
        <w:t>Penalty: a fine of $50.</w:t>
      </w:r>
    </w:p>
    <w:p>
      <w:pPr>
        <w:pStyle w:val="Heading3"/>
      </w:pPr>
      <w:bookmarkStart w:id="67" w:name="_Toc408568302"/>
      <w:bookmarkStart w:id="68" w:name="_Toc416692233"/>
      <w:bookmarkStart w:id="69" w:name="_Toc416692280"/>
      <w:bookmarkStart w:id="70" w:name="_Toc416692373"/>
      <w:bookmarkStart w:id="71" w:name="_Toc416710494"/>
      <w:bookmarkStart w:id="72" w:name="_Toc416711636"/>
      <w:bookmarkStart w:id="73" w:name="_Toc416711685"/>
      <w:bookmarkStart w:id="74" w:name="_Toc417545448"/>
      <w:bookmarkStart w:id="75" w:name="_Toc417545496"/>
      <w:r>
        <w:rPr>
          <w:rStyle w:val="CharDivNo"/>
        </w:rPr>
        <w:t>Division 2</w:t>
      </w:r>
      <w:r>
        <w:t> — </w:t>
      </w:r>
      <w:r>
        <w:rPr>
          <w:rStyle w:val="CharDivText"/>
        </w:rPr>
        <w:t>Parking</w:t>
      </w:r>
      <w:bookmarkEnd w:id="67"/>
      <w:bookmarkEnd w:id="68"/>
      <w:bookmarkEnd w:id="69"/>
      <w:bookmarkEnd w:id="70"/>
      <w:bookmarkEnd w:id="71"/>
      <w:bookmarkEnd w:id="72"/>
      <w:bookmarkEnd w:id="73"/>
      <w:bookmarkEnd w:id="74"/>
      <w:bookmarkEnd w:id="75"/>
    </w:p>
    <w:p>
      <w:pPr>
        <w:pStyle w:val="Heading5"/>
      </w:pPr>
      <w:bookmarkStart w:id="76" w:name="_Toc408568303"/>
      <w:bookmarkStart w:id="77" w:name="_Toc417545497"/>
      <w:r>
        <w:rPr>
          <w:rStyle w:val="CharSectno"/>
        </w:rPr>
        <w:t>14</w:t>
      </w:r>
      <w:r>
        <w:t>.</w:t>
      </w:r>
      <w:r>
        <w:tab/>
        <w:t>Parking to be in parking spaces only</w:t>
      </w:r>
      <w:bookmarkEnd w:id="76"/>
      <w:bookmarkEnd w:id="77"/>
    </w:p>
    <w:p>
      <w:pPr>
        <w:pStyle w:val="Subsection"/>
      </w:pPr>
      <w:r>
        <w:tab/>
      </w:r>
      <w:r>
        <w:tab/>
      </w:r>
      <w:r>
        <w:rPr>
          <w:snapToGrid w:val="0"/>
        </w:rPr>
        <w:t>A person must not park a vehicle on the site unless the vehicle is parked in a parking space.</w:t>
      </w:r>
    </w:p>
    <w:p>
      <w:pPr>
        <w:pStyle w:val="Penstart"/>
        <w:rPr>
          <w:snapToGrid w:val="0"/>
        </w:rPr>
      </w:pPr>
      <w:r>
        <w:rPr>
          <w:snapToGrid w:val="0"/>
        </w:rPr>
        <w:tab/>
        <w:t>Penalty: a fine of $50.</w:t>
      </w:r>
    </w:p>
    <w:p>
      <w:pPr>
        <w:pStyle w:val="Heading5"/>
      </w:pPr>
      <w:bookmarkStart w:id="78" w:name="_Toc408568304"/>
      <w:bookmarkStart w:id="79" w:name="_Toc417545498"/>
      <w:r>
        <w:rPr>
          <w:rStyle w:val="CharSectno"/>
        </w:rPr>
        <w:t>15</w:t>
      </w:r>
      <w:r>
        <w:t>.</w:t>
      </w:r>
      <w:r>
        <w:tab/>
        <w:t>Signs to be obeyed</w:t>
      </w:r>
      <w:bookmarkEnd w:id="78"/>
      <w:bookmarkEnd w:id="79"/>
    </w:p>
    <w:p>
      <w:pPr>
        <w:pStyle w:val="Subsection"/>
      </w:pPr>
      <w:r>
        <w:tab/>
      </w:r>
      <w:r>
        <w:tab/>
      </w:r>
      <w:r>
        <w:rPr>
          <w:snapToGrid w:val="0"/>
        </w:rPr>
        <w:t>A person must not park, stand or move a vehicle on the site contrary to a direction in a sign.</w:t>
      </w:r>
    </w:p>
    <w:p>
      <w:pPr>
        <w:pStyle w:val="Penstart"/>
        <w:rPr>
          <w:snapToGrid w:val="0"/>
        </w:rPr>
      </w:pPr>
      <w:r>
        <w:rPr>
          <w:snapToGrid w:val="0"/>
        </w:rPr>
        <w:tab/>
        <w:t>Penalty: a fine of $50.</w:t>
      </w:r>
    </w:p>
    <w:p>
      <w:pPr>
        <w:pStyle w:val="Heading5"/>
      </w:pPr>
      <w:bookmarkStart w:id="80" w:name="_Toc408568305"/>
      <w:bookmarkStart w:id="81" w:name="_Toc417545499"/>
      <w:r>
        <w:rPr>
          <w:rStyle w:val="CharSectno"/>
        </w:rPr>
        <w:t>16</w:t>
      </w:r>
      <w:r>
        <w:t>.</w:t>
      </w:r>
      <w:r>
        <w:tab/>
        <w:t>Parking in parking spaces</w:t>
      </w:r>
      <w:bookmarkEnd w:id="80"/>
      <w:bookmarkEnd w:id="81"/>
    </w:p>
    <w:p>
      <w:pPr>
        <w:pStyle w:val="Subsection"/>
      </w:pPr>
      <w:r>
        <w:tab/>
        <w:t>(1)</w:t>
      </w:r>
      <w:r>
        <w:tab/>
        <w:t>In this by</w:t>
      </w:r>
      <w:r>
        <w:noBreakHyphen/>
        <w:t>law —</w:t>
      </w:r>
    </w:p>
    <w:p>
      <w:pPr>
        <w:pStyle w:val="Defstart"/>
      </w:pPr>
      <w:r>
        <w:rPr>
          <w:b/>
        </w:rPr>
        <w:tab/>
      </w:r>
      <w:r>
        <w:rPr>
          <w:rStyle w:val="CharDefText"/>
        </w:rPr>
        <w:t>specified</w:t>
      </w:r>
      <w:r>
        <w:t xml:space="preserve"> means specified in a sign.</w:t>
      </w:r>
    </w:p>
    <w:p>
      <w:pPr>
        <w:pStyle w:val="Subsection"/>
      </w:pPr>
      <w:r>
        <w:tab/>
        <w:t>(2)</w:t>
      </w:r>
      <w:r>
        <w:tab/>
        <w:t>A sign may contain a direction that parking in a parking space, parking facility or part of a parking facility is set aside for — </w:t>
      </w:r>
    </w:p>
    <w:p>
      <w:pPr>
        <w:pStyle w:val="Indenta"/>
        <w:rPr>
          <w:snapToGrid w:val="0"/>
        </w:rPr>
      </w:pPr>
      <w:r>
        <w:tab/>
        <w:t>(a)</w:t>
      </w:r>
      <w:r>
        <w:tab/>
      </w:r>
      <w:r>
        <w:rPr>
          <w:snapToGrid w:val="0"/>
        </w:rPr>
        <w:t>a specified vehicle or specified class of vehicle; or</w:t>
      </w:r>
    </w:p>
    <w:p>
      <w:pPr>
        <w:pStyle w:val="Indenta"/>
        <w:rPr>
          <w:snapToGrid w:val="0"/>
        </w:rPr>
      </w:pPr>
      <w:r>
        <w:tab/>
        <w:t>(b)</w:t>
      </w:r>
      <w:r>
        <w:tab/>
      </w:r>
      <w:r>
        <w:rPr>
          <w:snapToGrid w:val="0"/>
        </w:rPr>
        <w:t>the vehicle of a specified person or specified class of persons; or</w:t>
      </w:r>
    </w:p>
    <w:p>
      <w:pPr>
        <w:pStyle w:val="Indenta"/>
        <w:rPr>
          <w:snapToGrid w:val="0"/>
        </w:rPr>
      </w:pPr>
      <w:r>
        <w:tab/>
        <w:t>(c)</w:t>
      </w:r>
      <w:r>
        <w:tab/>
      </w:r>
      <w:r>
        <w:rPr>
          <w:snapToGrid w:val="0"/>
        </w:rPr>
        <w:t>parking of vehicles for a specified period of time; or</w:t>
      </w:r>
    </w:p>
    <w:p>
      <w:pPr>
        <w:pStyle w:val="Indenta"/>
        <w:rPr>
          <w:snapToGrid w:val="0"/>
        </w:rPr>
      </w:pPr>
      <w:r>
        <w:tab/>
        <w:t>(d)</w:t>
      </w:r>
      <w:r>
        <w:tab/>
      </w:r>
      <w:r>
        <w:rPr>
          <w:snapToGrid w:val="0"/>
        </w:rPr>
        <w:t>parking of vehicles for a maximum period of time as is specified.</w:t>
      </w:r>
    </w:p>
    <w:p>
      <w:pPr>
        <w:pStyle w:val="Subsection"/>
        <w:rPr>
          <w:snapToGrid w:val="0"/>
        </w:rPr>
      </w:pPr>
      <w:r>
        <w:tab/>
        <w:t>(3)</w:t>
      </w:r>
      <w:r>
        <w:tab/>
      </w:r>
      <w:r>
        <w:rPr>
          <w:snapToGrid w:val="0"/>
        </w:rPr>
        <w:t>A person must not park, stand or move a vehicle in a parking space or a parking facility contrary to a direction in a sign.</w:t>
      </w:r>
    </w:p>
    <w:p>
      <w:pPr>
        <w:pStyle w:val="Penstart"/>
        <w:rPr>
          <w:snapToGrid w:val="0"/>
        </w:rPr>
      </w:pPr>
      <w:r>
        <w:rPr>
          <w:snapToGrid w:val="0"/>
        </w:rPr>
        <w:tab/>
        <w:t>Penalty: a fine of $50.</w:t>
      </w:r>
    </w:p>
    <w:p>
      <w:pPr>
        <w:pStyle w:val="Heading5"/>
      </w:pPr>
      <w:bookmarkStart w:id="82" w:name="_Toc408568306"/>
      <w:bookmarkStart w:id="83" w:name="_Toc417545500"/>
      <w:r>
        <w:rPr>
          <w:rStyle w:val="CharSectno"/>
        </w:rPr>
        <w:t>17</w:t>
      </w:r>
      <w:r>
        <w:t>.</w:t>
      </w:r>
      <w:r>
        <w:tab/>
        <w:t>Types of parking areas</w:t>
      </w:r>
      <w:bookmarkEnd w:id="82"/>
      <w:bookmarkEnd w:id="83"/>
    </w:p>
    <w:p>
      <w:pPr>
        <w:pStyle w:val="Subsection"/>
      </w:pPr>
      <w:r>
        <w:tab/>
        <w:t>(1)</w:t>
      </w:r>
      <w:r>
        <w:tab/>
        <w:t>The chief executive officer may set aside a parking facility or part of a parking facility as —</w:t>
      </w:r>
    </w:p>
    <w:p>
      <w:pPr>
        <w:pStyle w:val="Indenta"/>
      </w:pPr>
      <w:r>
        <w:tab/>
        <w:t>(a)</w:t>
      </w:r>
      <w:r>
        <w:tab/>
        <w:t>a ticket parking area or a boom gate controlled ticket parking area for the purposes of by</w:t>
      </w:r>
      <w:r>
        <w:noBreakHyphen/>
        <w:t>law 18; or</w:t>
      </w:r>
    </w:p>
    <w:p>
      <w:pPr>
        <w:pStyle w:val="Indenta"/>
      </w:pPr>
      <w:r>
        <w:tab/>
        <w:t>(b)</w:t>
      </w:r>
      <w:r>
        <w:tab/>
        <w:t>a paid staff parking area for the purposes of by</w:t>
      </w:r>
      <w:r>
        <w:noBreakHyphen/>
        <w:t>law 19; or</w:t>
      </w:r>
    </w:p>
    <w:p>
      <w:pPr>
        <w:pStyle w:val="Indenta"/>
      </w:pPr>
      <w:r>
        <w:tab/>
        <w:t>(c)</w:t>
      </w:r>
      <w:r>
        <w:tab/>
        <w:t>a permit parking area for the purposes of by</w:t>
      </w:r>
      <w:r>
        <w:noBreakHyphen/>
        <w:t>law 20.</w:t>
      </w:r>
    </w:p>
    <w:p>
      <w:pPr>
        <w:pStyle w:val="Subsection"/>
      </w:pPr>
      <w:r>
        <w:tab/>
        <w:t>(2)</w:t>
      </w:r>
      <w:r>
        <w:tab/>
        <w:t>An area set aside under sub</w:t>
      </w:r>
      <w:r>
        <w:noBreakHyphen/>
        <w:t>bylaw (1) must be identified as such by a sign or signs.</w:t>
      </w:r>
    </w:p>
    <w:p>
      <w:pPr>
        <w:pStyle w:val="Heading5"/>
      </w:pPr>
      <w:bookmarkStart w:id="84" w:name="_Toc408568307"/>
      <w:bookmarkStart w:id="85" w:name="_Toc417545501"/>
      <w:r>
        <w:rPr>
          <w:rStyle w:val="CharSectno"/>
        </w:rPr>
        <w:t>18</w:t>
      </w:r>
      <w:r>
        <w:t>.</w:t>
      </w:r>
      <w:r>
        <w:tab/>
        <w:t>Parking in ticket parking area or boom gate controlled ticket parking area</w:t>
      </w:r>
      <w:bookmarkEnd w:id="84"/>
      <w:bookmarkEnd w:id="85"/>
    </w:p>
    <w:p>
      <w:pPr>
        <w:pStyle w:val="Subsection"/>
      </w:pPr>
      <w:r>
        <w:tab/>
        <w:t>(1)</w:t>
      </w:r>
      <w:r>
        <w:tab/>
        <w:t>In this by</w:t>
      </w:r>
      <w:r>
        <w:noBreakHyphen/>
        <w:t>law —</w:t>
      </w:r>
    </w:p>
    <w:p>
      <w:pPr>
        <w:pStyle w:val="Defstart"/>
      </w:pPr>
      <w:r>
        <w:tab/>
      </w:r>
      <w:r>
        <w:rPr>
          <w:rStyle w:val="CharDefText"/>
        </w:rPr>
        <w:t>boom gate controlled ticket parking area</w:t>
      </w:r>
      <w:r>
        <w:t xml:space="preserve"> means a boom gate controlled ticket parking area set aside under by</w:t>
      </w:r>
      <w:r>
        <w:noBreakHyphen/>
        <w:t>law 17(1)(a);</w:t>
      </w:r>
    </w:p>
    <w:p>
      <w:pPr>
        <w:pStyle w:val="Defstart"/>
      </w:pPr>
      <w:r>
        <w:tab/>
      </w:r>
      <w:r>
        <w:rPr>
          <w:rStyle w:val="CharDefText"/>
        </w:rPr>
        <w:t>ticket parking area</w:t>
      </w:r>
      <w:r>
        <w:t xml:space="preserve"> means a ticket parking area set aside under by</w:t>
      </w:r>
      <w:r>
        <w:noBreakHyphen/>
        <w:t>law 17(1)(a).</w:t>
      </w:r>
    </w:p>
    <w:p>
      <w:pPr>
        <w:pStyle w:val="Subsection"/>
      </w:pPr>
      <w:r>
        <w:tab/>
        <w:t>(2)</w:t>
      </w:r>
      <w:r>
        <w:tab/>
        <w:t xml:space="preserve">A person must not park a vehicle in a ticket parking area unless — </w:t>
      </w:r>
    </w:p>
    <w:p>
      <w:pPr>
        <w:pStyle w:val="Indenta"/>
      </w:pPr>
      <w:r>
        <w:tab/>
        <w:t>(a)</w:t>
      </w:r>
      <w:r>
        <w:tab/>
        <w:t>the person has purchased a ticket by paying the prescribed fee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Penstart"/>
        <w:rPr>
          <w:snapToGrid w:val="0"/>
        </w:rPr>
      </w:pPr>
      <w:r>
        <w:rPr>
          <w:snapToGrid w:val="0"/>
        </w:rPr>
        <w:tab/>
        <w:t>Penalty: a fine of $50.</w:t>
      </w:r>
    </w:p>
    <w:p>
      <w:pPr>
        <w:pStyle w:val="Subsection"/>
      </w:pPr>
      <w:r>
        <w:tab/>
        <w:t>(3)</w:t>
      </w:r>
      <w:r>
        <w:tab/>
        <w:t>A person does not commit an offence under sub</w:t>
      </w:r>
      <w:r>
        <w:noBreakHyphen/>
        <w:t xml:space="preserve">bylaw (2) if — </w:t>
      </w:r>
    </w:p>
    <w:p>
      <w:pPr>
        <w:pStyle w:val="Indenta"/>
      </w:pPr>
      <w:r>
        <w:tab/>
        <w:t>(a)</w:t>
      </w:r>
      <w:r>
        <w:tab/>
        <w:t>the person has permission to park in the ticket parking area; and</w:t>
      </w:r>
    </w:p>
    <w:p>
      <w:pPr>
        <w:pStyle w:val="Indenta"/>
      </w:pPr>
      <w:r>
        <w:tab/>
        <w:t>(b)</w:t>
      </w:r>
      <w:r>
        <w:tab/>
        <w:t>if a sign in the parking area requires that a ticket be displayed in the vehicle — the permission is displayed as required as if it were a ticket.</w:t>
      </w:r>
    </w:p>
    <w:p>
      <w:pPr>
        <w:pStyle w:val="Subsection"/>
      </w:pPr>
      <w:r>
        <w:tab/>
        <w:t>(4)</w:t>
      </w:r>
      <w:r>
        <w:tab/>
        <w:t>A person must not drive a vehicle into or park a vehicle in a boom gate controlled ticket parking area unless the person has obtained a ticket from a ticket vending machine situated at the entrance to the parking area.</w:t>
      </w:r>
    </w:p>
    <w:p>
      <w:pPr>
        <w:pStyle w:val="Penstart"/>
        <w:rPr>
          <w:snapToGrid w:val="0"/>
        </w:rPr>
      </w:pPr>
      <w:r>
        <w:rPr>
          <w:snapToGrid w:val="0"/>
        </w:rPr>
        <w:tab/>
        <w:t>Penalty: a fine of $50.</w:t>
      </w:r>
    </w:p>
    <w:p>
      <w:pPr>
        <w:pStyle w:val="Subsection"/>
      </w:pPr>
      <w:r>
        <w:tab/>
        <w:t>(5)</w:t>
      </w:r>
      <w:r>
        <w:tab/>
        <w:t>A person must not remove a vehicle from a boom gate controlled ticket parking area without paying the prescribed fee for the length of time for which the vehicle has been parked.</w:t>
      </w:r>
    </w:p>
    <w:p>
      <w:pPr>
        <w:pStyle w:val="Penstart"/>
        <w:rPr>
          <w:snapToGrid w:val="0"/>
        </w:rPr>
      </w:pPr>
      <w:r>
        <w:rPr>
          <w:snapToGrid w:val="0"/>
        </w:rPr>
        <w:tab/>
        <w:t>Penalty: a fine of $50.</w:t>
      </w:r>
    </w:p>
    <w:p>
      <w:pPr>
        <w:pStyle w:val="Subsection"/>
      </w:pPr>
      <w:r>
        <w:tab/>
        <w:t>(6)</w:t>
      </w:r>
      <w:r>
        <w:tab/>
        <w:t>A person does not commit an offence under sub</w:t>
      </w:r>
      <w:r>
        <w:noBreakHyphen/>
        <w:t>bylaw (4) or (5) if the person —</w:t>
      </w:r>
    </w:p>
    <w:p>
      <w:pPr>
        <w:pStyle w:val="Indenta"/>
      </w:pPr>
      <w:r>
        <w:tab/>
        <w:t>(a)</w:t>
      </w:r>
      <w:r>
        <w:tab/>
        <w:t>has permission to park in the boom gate controlled ticket parking area; and</w:t>
      </w:r>
    </w:p>
    <w:p>
      <w:pPr>
        <w:pStyle w:val="Indenta"/>
      </w:pPr>
      <w:r>
        <w:tab/>
        <w:t>(b)</w:t>
      </w:r>
      <w:r>
        <w:tab/>
        <w:t>produces the permission for inspection when requested to do so by an authorised person.</w:t>
      </w:r>
    </w:p>
    <w:p>
      <w:pPr>
        <w:pStyle w:val="Subsection"/>
      </w:pPr>
      <w:r>
        <w:tab/>
        <w:t>(7)</w:t>
      </w:r>
      <w:r>
        <w:tab/>
        <w:t>A person who has parked a vehicle in a ticket parking area or a boom gate controlled ticket parking area must not leave the site while the vehicle is parked there.</w:t>
      </w:r>
    </w:p>
    <w:p>
      <w:pPr>
        <w:pStyle w:val="Penstart"/>
        <w:rPr>
          <w:snapToGrid w:val="0"/>
        </w:rPr>
      </w:pPr>
      <w:r>
        <w:rPr>
          <w:snapToGrid w:val="0"/>
        </w:rPr>
        <w:tab/>
        <w:t>Penalty: a fine of $50.</w:t>
      </w:r>
    </w:p>
    <w:p>
      <w:pPr>
        <w:pStyle w:val="Heading5"/>
      </w:pPr>
      <w:bookmarkStart w:id="86" w:name="_Toc408568308"/>
      <w:bookmarkStart w:id="87" w:name="_Toc417545502"/>
      <w:r>
        <w:rPr>
          <w:rStyle w:val="CharSectno"/>
        </w:rPr>
        <w:t>19</w:t>
      </w:r>
      <w:r>
        <w:t>.</w:t>
      </w:r>
      <w:r>
        <w:tab/>
        <w:t>Parking in paid staff parking area</w:t>
      </w:r>
      <w:bookmarkEnd w:id="86"/>
      <w:bookmarkEnd w:id="87"/>
    </w:p>
    <w:p>
      <w:pPr>
        <w:pStyle w:val="Subsection"/>
      </w:pPr>
      <w:r>
        <w:tab/>
        <w:t>(1)</w:t>
      </w:r>
      <w:r>
        <w:tab/>
        <w:t>In this by</w:t>
      </w:r>
      <w:r>
        <w:noBreakHyphen/>
        <w:t>law —</w:t>
      </w:r>
    </w:p>
    <w:p>
      <w:pPr>
        <w:pStyle w:val="Defstart"/>
      </w:pPr>
      <w:r>
        <w:tab/>
      </w:r>
      <w:r>
        <w:rPr>
          <w:rStyle w:val="CharDefText"/>
        </w:rPr>
        <w:t>eligible staff member</w:t>
      </w:r>
      <w:r>
        <w:t xml:space="preserve"> means a person who is in a class of persons determined by the chief executive officer under sub</w:t>
      </w:r>
      <w:r>
        <w:noBreakHyphen/>
        <w:t>bylaw (5);</w:t>
      </w:r>
    </w:p>
    <w:p>
      <w:pPr>
        <w:pStyle w:val="Defstart"/>
      </w:pPr>
      <w:r>
        <w:tab/>
      </w:r>
      <w:r>
        <w:rPr>
          <w:rStyle w:val="CharDefText"/>
        </w:rPr>
        <w:t>paid staff parking area</w:t>
      </w:r>
      <w:r>
        <w:t xml:space="preserve"> means an area set aside under by</w:t>
      </w:r>
      <w:r>
        <w:noBreakHyphen/>
        <w:t>law 17(1)(b).</w:t>
      </w:r>
    </w:p>
    <w:p>
      <w:pPr>
        <w:pStyle w:val="Subsection"/>
      </w:pPr>
      <w:r>
        <w:tab/>
        <w:t>(2)</w:t>
      </w:r>
      <w:r>
        <w:tab/>
        <w:t>A person must not park a vehicle in a paid staff parking area unless the person is an eligible staff member.</w:t>
      </w:r>
    </w:p>
    <w:p>
      <w:pPr>
        <w:pStyle w:val="Penstart"/>
        <w:rPr>
          <w:snapToGrid w:val="0"/>
        </w:rPr>
      </w:pPr>
      <w:r>
        <w:rPr>
          <w:snapToGrid w:val="0"/>
        </w:rPr>
        <w:tab/>
        <w:t>Penalty: a fine of $50.</w:t>
      </w:r>
    </w:p>
    <w:p>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pPr>
        <w:pStyle w:val="Penstart"/>
        <w:rPr>
          <w:snapToGrid w:val="0"/>
        </w:rPr>
      </w:pPr>
      <w:r>
        <w:rPr>
          <w:snapToGrid w:val="0"/>
        </w:rPr>
        <w:tab/>
        <w:t>Penalty: a fine of $50.</w:t>
      </w:r>
    </w:p>
    <w:p>
      <w:pPr>
        <w:pStyle w:val="Subsection"/>
      </w:pPr>
      <w:r>
        <w:tab/>
        <w:t>(4)</w:t>
      </w:r>
      <w:r>
        <w:tab/>
        <w:t>A fee payable under this by</w:t>
      </w:r>
      <w:r>
        <w:noBreakHyphen/>
        <w:t>law is to be paid in an approved manner.</w:t>
      </w:r>
    </w:p>
    <w:p>
      <w:pPr>
        <w:pStyle w:val="Subsection"/>
      </w:pPr>
      <w:r>
        <w:tab/>
        <w:t>(5)</w:t>
      </w:r>
      <w:r>
        <w:tab/>
        <w:t>The chief executive officer may determine classes of persons who are eligible to park in paid staff parking areas.</w:t>
      </w:r>
    </w:p>
    <w:p>
      <w:pPr>
        <w:pStyle w:val="Heading5"/>
      </w:pPr>
      <w:bookmarkStart w:id="88" w:name="_Toc408568309"/>
      <w:bookmarkStart w:id="89" w:name="_Toc417545503"/>
      <w:r>
        <w:rPr>
          <w:rStyle w:val="CharSectno"/>
        </w:rPr>
        <w:t>20</w:t>
      </w:r>
      <w:r>
        <w:t>.</w:t>
      </w:r>
      <w:r>
        <w:tab/>
        <w:t>Parking in permit parking area</w:t>
      </w:r>
      <w:bookmarkEnd w:id="88"/>
      <w:bookmarkEnd w:id="89"/>
    </w:p>
    <w:p>
      <w:pPr>
        <w:pStyle w:val="Subsection"/>
      </w:pPr>
      <w:r>
        <w:tab/>
        <w:t>(1)</w:t>
      </w:r>
      <w:r>
        <w:tab/>
        <w:t>In this by</w:t>
      </w:r>
      <w:r>
        <w:noBreakHyphen/>
        <w:t>law —</w:t>
      </w:r>
    </w:p>
    <w:p>
      <w:pPr>
        <w:pStyle w:val="Defstart"/>
      </w:pPr>
      <w:r>
        <w:tab/>
      </w:r>
      <w:r>
        <w:rPr>
          <w:rStyle w:val="CharDefText"/>
        </w:rPr>
        <w:t>permit parking area</w:t>
      </w:r>
      <w:r>
        <w:t xml:space="preserve"> means an area set aside under by</w:t>
      </w:r>
      <w:r>
        <w:noBreakHyphen/>
        <w:t>law 17(1)(c).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pPr>
      <w:r>
        <w:tab/>
        <w:t>(c)</w:t>
      </w:r>
      <w:r>
        <w:tab/>
        <w:t>the permit is displayed in or on the vehicle in the manner specified in the permit.</w:t>
      </w:r>
    </w:p>
    <w:p>
      <w:pPr>
        <w:pStyle w:val="Penstart"/>
        <w:rPr>
          <w:snapToGrid w:val="0"/>
        </w:rPr>
      </w:pPr>
      <w:r>
        <w:rPr>
          <w:snapToGrid w:val="0"/>
        </w:rPr>
        <w:tab/>
        <w:t>Penalty: a fine of $50.</w:t>
      </w:r>
    </w:p>
    <w:p>
      <w:pPr>
        <w:pStyle w:val="Heading5"/>
      </w:pPr>
      <w:bookmarkStart w:id="90" w:name="_Toc408568310"/>
      <w:bookmarkStart w:id="91" w:name="_Toc417545504"/>
      <w:r>
        <w:rPr>
          <w:rStyle w:val="CharSectno"/>
        </w:rPr>
        <w:t>21</w:t>
      </w:r>
      <w:r>
        <w:t>.</w:t>
      </w:r>
      <w:r>
        <w:tab/>
        <w:t>Parking permits</w:t>
      </w:r>
      <w:bookmarkEnd w:id="90"/>
      <w:bookmarkEnd w:id="91"/>
    </w:p>
    <w:p>
      <w:pPr>
        <w:pStyle w:val="Subsection"/>
      </w:pPr>
      <w:r>
        <w:tab/>
        <w:t>(1)</w:t>
      </w:r>
      <w:r>
        <w:tab/>
        <w:t>The chief executive officer may determine classes of parking permits and the eligibility criteria for each class of parking permit.</w:t>
      </w:r>
    </w:p>
    <w:p>
      <w:pPr>
        <w:pStyle w:val="Subsection"/>
      </w:pPr>
      <w:r>
        <w:tab/>
        <w:t>(2)</w:t>
      </w:r>
      <w:r>
        <w:tab/>
        <w:t>An authorised person may grant parking permits of such classes and subject to any conditions the authorised person thinks fit.</w:t>
      </w:r>
    </w:p>
    <w:p>
      <w:pPr>
        <w:pStyle w:val="Subsection"/>
      </w:pPr>
      <w:r>
        <w:tab/>
        <w:t>(3)</w:t>
      </w:r>
      <w:r>
        <w:tab/>
        <w:t>Without limiting sub</w:t>
      </w:r>
      <w:r>
        <w:noBreakHyphen/>
        <w:t xml:space="preserve">bylaw (2) a parking permit may be subject to conditions relating to all or any of the following — </w:t>
      </w:r>
    </w:p>
    <w:p>
      <w:pPr>
        <w:pStyle w:val="Indenta"/>
      </w:pPr>
      <w:r>
        <w:tab/>
        <w:t>(a)</w:t>
      </w:r>
      <w:r>
        <w:tab/>
        <w:t>the vehicle, vehicles, or kind of vehicles, to which it relates;</w:t>
      </w:r>
    </w:p>
    <w:p>
      <w:pPr>
        <w:pStyle w:val="Indenta"/>
      </w:pPr>
      <w:r>
        <w:tab/>
        <w:t>(b)</w:t>
      </w:r>
      <w:r>
        <w:tab/>
        <w:t>the areas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site.</w:t>
      </w:r>
    </w:p>
    <w:p>
      <w:pPr>
        <w:pStyle w:val="Subsection"/>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pPr>
      <w:r>
        <w:tab/>
        <w:t>(5)</w:t>
      </w:r>
      <w:r>
        <w:tab/>
        <w:t>If the holder of a parking permit of a particular class ceases to satisfy any of the eligibility criteria for that class of permit, the permit holder must notify an authorised person.</w:t>
      </w:r>
    </w:p>
    <w:p>
      <w:pPr>
        <w:pStyle w:val="Penstart"/>
        <w:rPr>
          <w:snapToGrid w:val="0"/>
        </w:rPr>
      </w:pPr>
      <w:r>
        <w:rPr>
          <w:snapToGrid w:val="0"/>
        </w:rPr>
        <w:tab/>
        <w:t>Penalty: a fine of $50.</w:t>
      </w:r>
    </w:p>
    <w:p>
      <w:pPr>
        <w:pStyle w:val="Heading5"/>
      </w:pPr>
      <w:bookmarkStart w:id="92" w:name="_Toc408568311"/>
      <w:bookmarkStart w:id="93" w:name="_Toc417545505"/>
      <w:r>
        <w:rPr>
          <w:rStyle w:val="CharSectno"/>
        </w:rPr>
        <w:t>22</w:t>
      </w:r>
      <w:r>
        <w:t>.</w:t>
      </w:r>
      <w:r>
        <w:tab/>
        <w:t>Application for parking permit</w:t>
      </w:r>
      <w:bookmarkEnd w:id="92"/>
      <w:bookmarkEnd w:id="93"/>
    </w:p>
    <w:p>
      <w:pPr>
        <w:pStyle w:val="Subsection"/>
      </w:pPr>
      <w:r>
        <w:tab/>
        <w:t>(1)</w:t>
      </w:r>
      <w:r>
        <w:tab/>
        <w:t>A person may apply to an authorised person for the grant of a parking permit.</w:t>
      </w:r>
    </w:p>
    <w:p>
      <w:pPr>
        <w:pStyle w:val="Subsection"/>
      </w:pPr>
      <w:r>
        <w:tab/>
        <w:t>(2)</w:t>
      </w:r>
      <w:r>
        <w:tab/>
        <w:t>An application must be made in writing in an approved form.</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by</w:t>
      </w:r>
      <w:r>
        <w:noBreakHyphen/>
        <w:t>law the authorised person may decline to deal with the application and is to advise the applicant accordingly.</w:t>
      </w:r>
    </w:p>
    <w:p>
      <w:pPr>
        <w:pStyle w:val="Subsection"/>
      </w:pPr>
      <w:r>
        <w:tab/>
        <w:t>(5)</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rPr>
          <w:snapToGrid w:val="0"/>
        </w:rPr>
      </w:pPr>
      <w:r>
        <w:rPr>
          <w:snapToGrid w:val="0"/>
        </w:rPr>
        <w:tab/>
      </w:r>
      <w:r>
        <w:t>Penalty for an offence under this sub</w:t>
      </w:r>
      <w:r>
        <w:noBreakHyphen/>
        <w:t>bylaw:</w:t>
      </w:r>
      <w:r>
        <w:rPr>
          <w:snapToGrid w:val="0"/>
        </w:rPr>
        <w:t xml:space="preserve"> a fine of $50.</w:t>
      </w:r>
    </w:p>
    <w:p>
      <w:pPr>
        <w:pStyle w:val="Footnotesection"/>
      </w:pPr>
      <w:bookmarkStart w:id="94" w:name="_Toc408568312"/>
      <w:r>
        <w:tab/>
        <w:t>[By-law 22 amended in Gazette 14 Apr 2015 p. 1333.]</w:t>
      </w:r>
    </w:p>
    <w:p>
      <w:pPr>
        <w:pStyle w:val="Heading5"/>
      </w:pPr>
      <w:bookmarkStart w:id="95" w:name="_Toc417545506"/>
      <w:r>
        <w:rPr>
          <w:rStyle w:val="CharSectno"/>
        </w:rPr>
        <w:t>23</w:t>
      </w:r>
      <w:r>
        <w:t>.</w:t>
      </w:r>
      <w:r>
        <w:tab/>
        <w:t>Fees for parking permits</w:t>
      </w:r>
      <w:bookmarkEnd w:id="94"/>
      <w:bookmarkEnd w:id="95"/>
    </w:p>
    <w:p>
      <w:pPr>
        <w:pStyle w:val="Subsection"/>
      </w:pPr>
      <w:r>
        <w:tab/>
        <w:t>(1)</w:t>
      </w:r>
      <w:r>
        <w:tab/>
        <w:t>The prescribed fee is payable for a parking permit.</w:t>
      </w:r>
    </w:p>
    <w:p>
      <w:pPr>
        <w:pStyle w:val="Subsection"/>
        <w:rPr>
          <w:snapToGrid w:val="0"/>
        </w:rPr>
      </w:pPr>
      <w:r>
        <w:tab/>
        <w:t>(2)</w:t>
      </w:r>
      <w:r>
        <w:tab/>
      </w:r>
      <w:r>
        <w:rPr>
          <w:snapToGrid w:val="0"/>
        </w:rPr>
        <w:t xml:space="preserve">The chief executive officer may waive the prescribed fee </w:t>
      </w:r>
      <w:r>
        <w:t>for a parking permit</w:t>
      </w:r>
      <w:r>
        <w:rPr>
          <w:snapToGrid w:val="0"/>
        </w:rPr>
        <w:t xml:space="preserve"> in a case where the chief executive officer, or an authorised person, believes that there are proper grounds for doing so.</w:t>
      </w:r>
    </w:p>
    <w:p>
      <w:pPr>
        <w:pStyle w:val="Subsection"/>
      </w:pPr>
      <w:r>
        <w:tab/>
        <w:t>(3)</w:t>
      </w:r>
      <w:r>
        <w:tab/>
        <w:t xml:space="preserve">An authorised person must not grant a parking permit unless at the time it is granted — </w:t>
      </w:r>
    </w:p>
    <w:p>
      <w:pPr>
        <w:pStyle w:val="Indenta"/>
      </w:pPr>
      <w:r>
        <w:tab/>
        <w:t>(a)</w:t>
      </w:r>
      <w:r>
        <w:tab/>
        <w:t>the applicant pays the fee in full for the whole of the period for which the permit is to be in force; or</w:t>
      </w:r>
    </w:p>
    <w:p>
      <w:pPr>
        <w:pStyle w:val="Indenta"/>
      </w:pPr>
      <w:r>
        <w:tab/>
        <w:t>(b)</w:t>
      </w:r>
      <w:r>
        <w:tab/>
        <w:t>the authorised person is satisfied that arrangements are in place for the fee to be paid by the applicant in fortnightly payments made by way of payroll deduction; or</w:t>
      </w:r>
    </w:p>
    <w:p>
      <w:pPr>
        <w:pStyle w:val="Indenta"/>
      </w:pPr>
      <w:r>
        <w:tab/>
        <w:t>(c)</w:t>
      </w:r>
      <w:r>
        <w:tab/>
        <w:t>the authorised person is satisfied that the fee for the permit has been or will be paid by the applicant in any other approved manner; or</w:t>
      </w:r>
    </w:p>
    <w:p>
      <w:pPr>
        <w:pStyle w:val="Indenta"/>
      </w:pPr>
      <w:r>
        <w:tab/>
        <w:t>(d)</w:t>
      </w:r>
      <w:r>
        <w:tab/>
        <w:t>the fee for the permit has been waived.</w:t>
      </w:r>
    </w:p>
    <w:p>
      <w:pPr>
        <w:pStyle w:val="Heading5"/>
      </w:pPr>
      <w:bookmarkStart w:id="96" w:name="_Toc408568313"/>
      <w:bookmarkStart w:id="97" w:name="_Toc417545507"/>
      <w:r>
        <w:rPr>
          <w:rStyle w:val="CharSectno"/>
        </w:rPr>
        <w:t>24</w:t>
      </w:r>
      <w:r>
        <w:t>.</w:t>
      </w:r>
      <w:r>
        <w:tab/>
        <w:t>Cancellation of parking permit</w:t>
      </w:r>
      <w:bookmarkEnd w:id="96"/>
      <w:bookmarkEnd w:id="97"/>
    </w:p>
    <w:p>
      <w:pPr>
        <w:pStyle w:val="Subsection"/>
      </w:pPr>
      <w:r>
        <w:tab/>
        <w:t>(1)</w:t>
      </w:r>
      <w:r>
        <w:tab/>
        <w:t>There are grounds for cancelling a parking permit if —</w:t>
      </w:r>
    </w:p>
    <w:p>
      <w:pPr>
        <w:pStyle w:val="Indenta"/>
      </w:pPr>
      <w:r>
        <w:tab/>
        <w:t>(a)</w:t>
      </w:r>
      <w:r>
        <w:tab/>
        <w:t>in the case of a permit holder who pays the fee for the permit as described in by</w:t>
      </w:r>
      <w:r>
        <w:noBreakHyphen/>
        <w:t>law 23(3)(b) or (c) — the permit holder fails to make a payment when it is due; or</w:t>
      </w:r>
    </w:p>
    <w:p>
      <w:pPr>
        <w:pStyle w:val="Indenta"/>
      </w:pPr>
      <w:r>
        <w:tab/>
        <w:t>(b)</w:t>
      </w:r>
      <w:r>
        <w:tab/>
        <w:t>the permit holder fails to comply with a condition on the permit; or</w:t>
      </w:r>
    </w:p>
    <w:p>
      <w:pPr>
        <w:pStyle w:val="Indenta"/>
      </w:pPr>
      <w:r>
        <w:tab/>
        <w:t>(c)</w:t>
      </w:r>
      <w:r>
        <w:tab/>
        <w:t>the permit holder breaches any of the by</w:t>
      </w:r>
      <w:r>
        <w:noBreakHyphen/>
        <w:t>laws in this Part; or</w:t>
      </w:r>
    </w:p>
    <w:p>
      <w:pPr>
        <w:pStyle w:val="Indenta"/>
      </w:pPr>
      <w:r>
        <w:tab/>
        <w:t>(d)</w:t>
      </w:r>
      <w:r>
        <w:tab/>
        <w:t>the permit was granted in error in consequence of information provided in breach of by</w:t>
      </w:r>
      <w:r>
        <w:noBreakHyphen/>
        <w:t>law 22(5); or</w:t>
      </w:r>
    </w:p>
    <w:p>
      <w:pPr>
        <w:pStyle w:val="Indenta"/>
      </w:pPr>
      <w:r>
        <w:tab/>
        <w:t>(e)</w:t>
      </w:r>
      <w:r>
        <w:tab/>
        <w:t>the permit holder ceases to satisfy any of the eligibility criteria for the relevant class of permit; or</w:t>
      </w:r>
    </w:p>
    <w:p>
      <w:pPr>
        <w:pStyle w:val="Indenta"/>
      </w:pPr>
      <w:r>
        <w:tab/>
        <w:t>(f)</w:t>
      </w:r>
      <w:r>
        <w:tab/>
        <w:t>the chief executive officer has determined that it is not practicable, for reasons relating to the operation or development of the site, for permits of a class to which the permit belongs to remain in force; or</w:t>
      </w:r>
    </w:p>
    <w:p>
      <w:pPr>
        <w:pStyle w:val="Indenta"/>
      </w:pPr>
      <w:r>
        <w:tab/>
        <w:t>(g)</w:t>
      </w:r>
      <w:r>
        <w:tab/>
        <w:t>the permit holder requests that the permit be cancelled.</w:t>
      </w:r>
    </w:p>
    <w:p>
      <w:pPr>
        <w:pStyle w:val="Subsection"/>
      </w:pPr>
      <w:r>
        <w:tab/>
        <w:t>(2)</w:t>
      </w:r>
      <w:r>
        <w:tab/>
        <w:t>If an authorised person considers that there are grounds for cancelling a parking permit under sub</w:t>
      </w:r>
      <w:r>
        <w:noBreakHyphen/>
        <w:t>bylaw (1)(a) to (e), the authorised person may cancel the permit by giving the permit holder 14 days written notice.</w:t>
      </w:r>
    </w:p>
    <w:p>
      <w:pPr>
        <w:pStyle w:val="Subsection"/>
      </w:pPr>
      <w:r>
        <w:tab/>
        <w:t>(3)</w:t>
      </w:r>
      <w:r>
        <w:tab/>
        <w:t>If the chief executive officer has made a determination under sub</w:t>
      </w:r>
      <w:r>
        <w:noBreakHyphen/>
        <w:t>bylaw (1)(f) in relation to a class of parking permit, an authorised person may cancel a parking permit in that class by giving the permit holder 60 days written notice.</w:t>
      </w:r>
    </w:p>
    <w:p>
      <w:pPr>
        <w:pStyle w:val="Subsection"/>
      </w:pPr>
      <w:r>
        <w:tab/>
        <w:t>(4)</w:t>
      </w:r>
      <w:r>
        <w:tab/>
        <w:t>If the permit holder requests an authorised person to do so, the authorised person may cancel the permit by giving the permit holder written notice.</w:t>
      </w:r>
    </w:p>
    <w:p>
      <w:pPr>
        <w:pStyle w:val="Subsection"/>
      </w:pPr>
      <w:r>
        <w:tab/>
        <w:t>(5)</w:t>
      </w:r>
      <w:r>
        <w:tab/>
        <w:t>The notice given under this by</w:t>
      </w:r>
      <w:r>
        <w:noBreakHyphen/>
        <w:t>law must set out the grounds on which the permit is cancelled.</w:t>
      </w:r>
    </w:p>
    <w:p>
      <w:pPr>
        <w:pStyle w:val="Heading5"/>
      </w:pPr>
      <w:bookmarkStart w:id="98" w:name="_Toc408568314"/>
      <w:bookmarkStart w:id="99" w:name="_Toc417545508"/>
      <w:r>
        <w:rPr>
          <w:rStyle w:val="CharSectno"/>
        </w:rPr>
        <w:t>25</w:t>
      </w:r>
      <w:r>
        <w:t>.</w:t>
      </w:r>
      <w:r>
        <w:tab/>
        <w:t>Refund of parking permit fees</w:t>
      </w:r>
      <w:bookmarkEnd w:id="98"/>
      <w:bookmarkEnd w:id="99"/>
    </w:p>
    <w:p>
      <w:pPr>
        <w:pStyle w:val="Subsection"/>
      </w:pPr>
      <w:r>
        <w:tab/>
        <w:t>(1)</w:t>
      </w:r>
      <w:r>
        <w:tab/>
        <w:t>If a parking permit is cancelled on a ground referred to in by</w:t>
      </w:r>
      <w:r>
        <w:noBreakHyphen/>
        <w:t>law 24(1)(f) or (g), the chief executive officer must cause any permit fee paid for any week commencing on or after the day on which the permit is cancelled to be refunded to the permit holder.</w:t>
      </w:r>
    </w:p>
    <w:p>
      <w:pPr>
        <w:pStyle w:val="Subsection"/>
      </w:pPr>
      <w:r>
        <w:tab/>
        <w:t>(2)</w:t>
      </w:r>
      <w:r>
        <w:tab/>
        <w:t>If a parking permit is cancelled on the ground referred to in by</w:t>
      </w:r>
      <w:r>
        <w:noBreakHyphen/>
        <w:t>law 24(1)(e) the chief executive officer may cause any permit fee paid for any week commencing on or after the day on which the permit is cancelled to be refunded to the permit holder.</w:t>
      </w:r>
    </w:p>
    <w:p>
      <w:pPr>
        <w:pStyle w:val="Subsection"/>
      </w:pPr>
      <w:r>
        <w:tab/>
        <w:t>(3)</w:t>
      </w:r>
      <w:r>
        <w:tab/>
        <w:t>If an authorised person is satisfied that a permit holder will not park, or has not parked, on the site for a continuous period exceeding 4 weeks, the authorised person may waive the fees payable for the permit for that period.</w:t>
      </w:r>
    </w:p>
    <w:p>
      <w:pPr>
        <w:pStyle w:val="Heading2"/>
      </w:pPr>
      <w:bookmarkStart w:id="100" w:name="_Toc408568315"/>
      <w:bookmarkStart w:id="101" w:name="_Toc416692246"/>
      <w:bookmarkStart w:id="102" w:name="_Toc416692293"/>
      <w:bookmarkStart w:id="103" w:name="_Toc416692386"/>
      <w:bookmarkStart w:id="104" w:name="_Toc416710507"/>
      <w:bookmarkStart w:id="105" w:name="_Toc416711649"/>
      <w:bookmarkStart w:id="106" w:name="_Toc416711698"/>
      <w:bookmarkStart w:id="107" w:name="_Toc417545461"/>
      <w:bookmarkStart w:id="108" w:name="_Toc417545509"/>
      <w:r>
        <w:rPr>
          <w:rStyle w:val="CharPartNo"/>
        </w:rPr>
        <w:t>Part 4</w:t>
      </w:r>
      <w:r>
        <w:rPr>
          <w:rStyle w:val="CharDivNo"/>
        </w:rPr>
        <w:t> </w:t>
      </w:r>
      <w:r>
        <w:t>—</w:t>
      </w:r>
      <w:r>
        <w:rPr>
          <w:rStyle w:val="CharDivText"/>
        </w:rPr>
        <w:t> </w:t>
      </w:r>
      <w:r>
        <w:rPr>
          <w:rStyle w:val="CharPartText"/>
        </w:rPr>
        <w:t>Infringement notices</w:t>
      </w:r>
      <w:bookmarkEnd w:id="100"/>
      <w:bookmarkEnd w:id="101"/>
      <w:bookmarkEnd w:id="102"/>
      <w:bookmarkEnd w:id="103"/>
      <w:bookmarkEnd w:id="104"/>
      <w:bookmarkEnd w:id="105"/>
      <w:bookmarkEnd w:id="106"/>
      <w:bookmarkEnd w:id="107"/>
      <w:bookmarkEnd w:id="108"/>
    </w:p>
    <w:p>
      <w:pPr>
        <w:pStyle w:val="Heading5"/>
      </w:pPr>
      <w:bookmarkStart w:id="109" w:name="_Toc408568316"/>
      <w:bookmarkStart w:id="110" w:name="_Toc417545510"/>
      <w:r>
        <w:rPr>
          <w:rStyle w:val="CharSectno"/>
        </w:rPr>
        <w:t>26</w:t>
      </w:r>
      <w:r>
        <w:t>.</w:t>
      </w:r>
      <w:r>
        <w:tab/>
        <w:t>Terms used</w:t>
      </w:r>
      <w:bookmarkEnd w:id="109"/>
      <w:bookmarkEnd w:id="110"/>
    </w:p>
    <w:p>
      <w:pPr>
        <w:pStyle w:val="Subsection"/>
        <w:rPr>
          <w:snapToGrid w:val="0"/>
        </w:rPr>
      </w:pPr>
      <w:r>
        <w:tab/>
      </w:r>
      <w:r>
        <w:tab/>
      </w:r>
      <w:r>
        <w:rPr>
          <w:snapToGrid w:val="0"/>
        </w:rPr>
        <w:t>In this Part — </w:t>
      </w:r>
    </w:p>
    <w:p>
      <w:pPr>
        <w:pStyle w:val="Defstart"/>
      </w:pPr>
      <w:r>
        <w:rPr>
          <w:b/>
        </w:rPr>
        <w:tab/>
      </w:r>
      <w:r>
        <w:rPr>
          <w:rStyle w:val="CharDefText"/>
        </w:rPr>
        <w:t>alleged offender</w:t>
      </w:r>
      <w:r>
        <w:t xml:space="preserve"> includes the responsible person for a vehicle to which an infringement notice is attached;</w:t>
      </w:r>
    </w:p>
    <w:p>
      <w:pPr>
        <w:pStyle w:val="Defstart"/>
      </w:pPr>
      <w:r>
        <w:rPr>
          <w:b/>
        </w:rPr>
        <w:tab/>
      </w:r>
      <w:r>
        <w:rPr>
          <w:rStyle w:val="CharDefText"/>
        </w:rPr>
        <w:t>infringement notice</w:t>
      </w:r>
      <w:r>
        <w:t xml:space="preserve"> means an infringement notice under by</w:t>
      </w:r>
      <w:r>
        <w:noBreakHyphen/>
        <w:t>law 27;</w:t>
      </w:r>
    </w:p>
    <w:p>
      <w:pPr>
        <w:pStyle w:val="Defstart"/>
      </w:pPr>
      <w:r>
        <w:rPr>
          <w:b/>
        </w:rPr>
        <w:tab/>
      </w:r>
      <w:r>
        <w:rPr>
          <w:rStyle w:val="CharDefText"/>
        </w:rPr>
        <w:t>modified penalty</w:t>
      </w:r>
      <w:r>
        <w:t xml:space="preserve"> means a penalty prescribed in Schedule 2 for an offence under Part 3 or 4.</w:t>
      </w:r>
    </w:p>
    <w:p>
      <w:pPr>
        <w:pStyle w:val="Footnotesection"/>
      </w:pPr>
      <w:bookmarkStart w:id="111" w:name="_Toc408568317"/>
      <w:r>
        <w:tab/>
        <w:t>[By-law 26 amended in Gazette 8 Jan 2015 p. 178.]</w:t>
      </w:r>
    </w:p>
    <w:p>
      <w:pPr>
        <w:pStyle w:val="Heading5"/>
      </w:pPr>
      <w:bookmarkStart w:id="112" w:name="_Toc417545511"/>
      <w:r>
        <w:rPr>
          <w:rStyle w:val="CharSectno"/>
        </w:rPr>
        <w:t>27</w:t>
      </w:r>
      <w:r>
        <w:t>.</w:t>
      </w:r>
      <w:r>
        <w:tab/>
        <w:t>Infringement notices</w:t>
      </w:r>
      <w:bookmarkEnd w:id="111"/>
      <w:bookmarkEnd w:id="112"/>
    </w:p>
    <w:p>
      <w:pPr>
        <w:pStyle w:val="Subsection"/>
        <w:rPr>
          <w:snapToGrid w:val="0"/>
        </w:rPr>
      </w:pPr>
      <w:r>
        <w:tab/>
        <w:t>(1)</w:t>
      </w:r>
      <w:r>
        <w:tab/>
      </w:r>
      <w:r>
        <w:rPr>
          <w:snapToGrid w:val="0"/>
        </w:rPr>
        <w:t xml:space="preserve">An authorised person who has reason to believe that a person has committed an offence under </w:t>
      </w:r>
      <w:r>
        <w:t xml:space="preserve">Part 3 </w:t>
      </w:r>
      <w:r>
        <w:rPr>
          <w:snapToGrid w:val="0"/>
        </w:rPr>
        <w:t xml:space="preserve">or this Part may, within </w:t>
      </w:r>
      <w:r>
        <w:t>28</w:t>
      </w:r>
      <w:r>
        <w:rPr>
          <w:snapToGrid w:val="0"/>
        </w:rPr>
        <w:t> days after the alleged offence is believed to have been committed, give an infringement notice to the alleged offender.</w:t>
      </w:r>
    </w:p>
    <w:p>
      <w:pPr>
        <w:pStyle w:val="Subsection"/>
        <w:rPr>
          <w:snapToGrid w:val="0"/>
        </w:rPr>
      </w:pPr>
      <w:r>
        <w:tab/>
        <w:t>(2)</w:t>
      </w:r>
      <w:r>
        <w:tab/>
      </w:r>
      <w:r>
        <w:rPr>
          <w:snapToGrid w:val="0"/>
        </w:rPr>
        <w:t>An infringement notice may be given to an alleged offender by delivering it to the alleged offender or by attaching it to the vehicle involved in the commission of the alleged offence.</w:t>
      </w:r>
    </w:p>
    <w:p>
      <w:pPr>
        <w:pStyle w:val="Subsection"/>
        <w:rPr>
          <w:snapToGrid w:val="0"/>
        </w:rPr>
      </w:pPr>
      <w:r>
        <w:tab/>
        <w:t>(3)</w:t>
      </w:r>
      <w:r>
        <w:tab/>
      </w:r>
      <w:r>
        <w:rPr>
          <w:snapToGrid w:val="0"/>
        </w:rPr>
        <w:t>An infringement notice is to be in the form of Form 1 in Schedule 3 and in every case, is to — </w:t>
      </w:r>
    </w:p>
    <w:p>
      <w:pPr>
        <w:pStyle w:val="Indenta"/>
        <w:rPr>
          <w:snapToGrid w:val="0"/>
        </w:rPr>
      </w:pPr>
      <w:r>
        <w:tab/>
        <w:t>(a)</w:t>
      </w:r>
      <w:r>
        <w:tab/>
      </w:r>
      <w:r>
        <w:rPr>
          <w:snapToGrid w:val="0"/>
        </w:rPr>
        <w:t>contain a description of the alleged offence; and</w:t>
      </w:r>
    </w:p>
    <w:p>
      <w:pPr>
        <w:pStyle w:val="Indenta"/>
      </w:pPr>
      <w:r>
        <w:tab/>
        <w:t>(b)</w:t>
      </w:r>
      <w:r>
        <w:tab/>
      </w:r>
      <w:r>
        <w:rPr>
          <w:snapToGrid w:val="0"/>
        </w:rPr>
        <w:t xml:space="preserve">advise that if the alleged offender does not wish to have the alleged offence heard and determined by a court, the amount of money specified in the notice as being the modified penalty for the offence </w:t>
      </w:r>
      <w:r>
        <w:t>may be paid to an authorised person, other than the authorised person who issued the infringement notice, within a period of 28 days after the giving of the notice.</w:t>
      </w:r>
    </w:p>
    <w:p>
      <w:pPr>
        <w:pStyle w:val="Subsection"/>
      </w:pPr>
      <w:r>
        <w:tab/>
        <w:t>(4)</w:t>
      </w:r>
      <w:r>
        <w:tab/>
      </w:r>
      <w:r>
        <w:rPr>
          <w:snapToGrid w:val="0"/>
        </w:rPr>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tab/>
      </w:r>
      <w:r>
        <w:rPr>
          <w:snapToGrid w:val="0"/>
        </w:rPr>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pPr>
      <w:r>
        <w:tab/>
        <w:t>(6)</w:t>
      </w:r>
      <w:r>
        <w:tab/>
      </w:r>
      <w:r>
        <w:rPr>
          <w:snapToGrid w:val="0"/>
        </w:rPr>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(7)</w:t>
      </w:r>
      <w:r>
        <w:tab/>
      </w:r>
      <w:r>
        <w:rPr>
          <w:snapToGrid w:val="0"/>
        </w:rPr>
        <w:t>Payment of a modified penalty is not to be regarded as an admission for the purposes of any proceedings, whether civil or criminal.</w:t>
      </w:r>
    </w:p>
    <w:p>
      <w:pPr>
        <w:pStyle w:val="Heading5"/>
      </w:pPr>
      <w:bookmarkStart w:id="113" w:name="_Toc408568318"/>
      <w:bookmarkStart w:id="114" w:name="_Toc417545512"/>
      <w:r>
        <w:rPr>
          <w:rStyle w:val="CharSectno"/>
        </w:rPr>
        <w:t>28</w:t>
      </w:r>
      <w:r>
        <w:t>.</w:t>
      </w:r>
      <w:r>
        <w:tab/>
        <w:t>Withdrawal of infringement notice</w:t>
      </w:r>
      <w:bookmarkEnd w:id="113"/>
      <w:bookmarkEnd w:id="114"/>
    </w:p>
    <w:p>
      <w:pPr>
        <w:pStyle w:val="Subsection"/>
        <w:rPr>
          <w:snapToGrid w:val="0"/>
        </w:rPr>
      </w:pPr>
      <w:r>
        <w:tab/>
        <w:t>(1)</w:t>
      </w:r>
      <w:r>
        <w:tab/>
      </w:r>
      <w:r>
        <w:rPr>
          <w:snapToGrid w:val="0"/>
        </w:rPr>
        <w:t>An authorised person other than the authorised person who issued an infringement notice in a particular case, may, whether or not the modified penalty has been paid, withdraw an infringement notice by delivering to the alleged offender a notice in the form of Form 2 in Schedule 3 stating that the infringement notice has been withdrawn.</w:t>
      </w:r>
    </w:p>
    <w:p>
      <w:pPr>
        <w:pStyle w:val="Subsection"/>
        <w:rPr>
          <w:snapToGrid w:val="0"/>
        </w:rPr>
      </w:pPr>
      <w:r>
        <w:tab/>
        <w:t>(2)</w:t>
      </w:r>
      <w:r>
        <w:tab/>
      </w:r>
      <w:r>
        <w:rPr>
          <w:snapToGrid w:val="0"/>
        </w:rPr>
        <w:t>If an infringement notice is withdrawn after the modified penalty has been paid, the amount is to be refunded.</w:t>
      </w:r>
    </w:p>
    <w:p>
      <w:pPr>
        <w:pStyle w:val="Heading5"/>
      </w:pPr>
      <w:bookmarkStart w:id="115" w:name="_Toc408568319"/>
      <w:bookmarkStart w:id="116" w:name="_Toc417545513"/>
      <w:r>
        <w:rPr>
          <w:rStyle w:val="CharSectno"/>
        </w:rPr>
        <w:t>29</w:t>
      </w:r>
      <w:r>
        <w:t>.</w:t>
      </w:r>
      <w:r>
        <w:tab/>
        <w:t>Authorised persons to produce certificate</w:t>
      </w:r>
      <w:bookmarkEnd w:id="115"/>
      <w:bookmarkEnd w:id="116"/>
    </w:p>
    <w:p>
      <w:pPr>
        <w:pStyle w:val="Ednotesubsection"/>
      </w:pPr>
      <w:r>
        <w:tab/>
        <w:t>[(1)</w:t>
      </w:r>
      <w:r>
        <w:tab/>
        <w:t>Deleted]</w:t>
      </w:r>
    </w:p>
    <w:p>
      <w:pPr>
        <w:pStyle w:val="Subsection"/>
      </w:pPr>
      <w:r>
        <w:tab/>
        <w:t>(2)</w:t>
      </w:r>
      <w:r>
        <w:tab/>
      </w:r>
      <w:r>
        <w:rPr>
          <w:snapToGrid w:val="0"/>
        </w:rPr>
        <w:t>The person to whom an authorised person has given, or is about to give, an infringement notice may require the authorised person to produce the certificate referred to in</w:t>
      </w:r>
      <w:r>
        <w:t xml:space="preserve"> by</w:t>
      </w:r>
      <w:r>
        <w:noBreakHyphen/>
        <w:t>law 4A(3).</w:t>
      </w:r>
    </w:p>
    <w:p>
      <w:pPr>
        <w:pStyle w:val="Subsection"/>
        <w:rPr>
          <w:snapToGrid w:val="0"/>
        </w:rPr>
      </w:pPr>
      <w:r>
        <w:tab/>
        <w:t>(3)</w:t>
      </w:r>
      <w:r>
        <w:tab/>
      </w:r>
      <w:r>
        <w:rPr>
          <w:snapToGrid w:val="0"/>
        </w:rPr>
        <w:t>The authorised person must comply with a request under sub</w:t>
      </w:r>
      <w:r>
        <w:rPr>
          <w:snapToGrid w:val="0"/>
        </w:rPr>
        <w:noBreakHyphen/>
        <w:t>bylaw(2).</w:t>
      </w:r>
    </w:p>
    <w:p>
      <w:pPr>
        <w:pStyle w:val="Footnotesection"/>
      </w:pPr>
      <w:bookmarkStart w:id="117" w:name="_Toc408568320"/>
      <w:r>
        <w:tab/>
        <w:t>[By-law 29 amended in Gazette 14 Apr 2015 p. 1333.]</w:t>
      </w:r>
    </w:p>
    <w:p>
      <w:pPr>
        <w:pStyle w:val="Heading5"/>
      </w:pPr>
      <w:bookmarkStart w:id="118" w:name="_Toc417545514"/>
      <w:r>
        <w:rPr>
          <w:rStyle w:val="CharSectno"/>
        </w:rPr>
        <w:t>30</w:t>
      </w:r>
      <w:r>
        <w:t>.</w:t>
      </w:r>
      <w:r>
        <w:tab/>
        <w:t>Authorised persons only to endorse or alter infringement notices</w:t>
      </w:r>
      <w:bookmarkEnd w:id="117"/>
      <w:bookmarkEnd w:id="118"/>
    </w:p>
    <w:p>
      <w:pPr>
        <w:pStyle w:val="Subsection"/>
        <w:rPr>
          <w:snapToGrid w:val="0"/>
        </w:rPr>
      </w:pPr>
      <w:r>
        <w:tab/>
      </w:r>
      <w:r>
        <w:tab/>
      </w:r>
      <w:r>
        <w:rPr>
          <w:snapToGrid w:val="0"/>
        </w:rPr>
        <w:t>A person must not endorse or alter an infringement notice unless the person is an authorised person.</w:t>
      </w:r>
    </w:p>
    <w:p>
      <w:pPr>
        <w:pStyle w:val="Penstart"/>
        <w:rPr>
          <w:snapToGrid w:val="0"/>
        </w:rPr>
      </w:pPr>
      <w:r>
        <w:rPr>
          <w:snapToGrid w:val="0"/>
        </w:rPr>
        <w:tab/>
        <w:t>Penalty: a fine of $50.</w:t>
      </w:r>
    </w:p>
    <w:p>
      <w:pPr>
        <w:pStyle w:val="Heading5"/>
      </w:pPr>
      <w:bookmarkStart w:id="119" w:name="_Toc408568321"/>
      <w:bookmarkStart w:id="120" w:name="_Toc417545515"/>
      <w:r>
        <w:rPr>
          <w:rStyle w:val="CharSectno"/>
        </w:rPr>
        <w:t>31</w:t>
      </w:r>
      <w:r>
        <w:t>.</w:t>
      </w:r>
      <w:r>
        <w:tab/>
        <w:t>Restriction on removal of infringement notices</w:t>
      </w:r>
      <w:bookmarkEnd w:id="119"/>
      <w:bookmarkEnd w:id="120"/>
    </w:p>
    <w:p>
      <w:pPr>
        <w:pStyle w:val="Subsection"/>
        <w:rPr>
          <w:snapToGrid w:val="0"/>
        </w:rPr>
      </w:pPr>
      <w:r>
        <w:tab/>
      </w:r>
      <w:r>
        <w:tab/>
      </w:r>
      <w:r>
        <w:rPr>
          <w:snapToGrid w:val="0"/>
        </w:rPr>
        <w:t>A person must not remove an infringement notice that is attached to a vehicle unless the person is — </w:t>
      </w:r>
    </w:p>
    <w:p>
      <w:pPr>
        <w:pStyle w:val="Indenta"/>
      </w:pPr>
      <w:r>
        <w:tab/>
        <w:t>(a)</w:t>
      </w:r>
      <w:r>
        <w:tab/>
        <w:t>the driver of, responsible person for, or person in charge of, the vehicle; or</w:t>
      </w:r>
    </w:p>
    <w:p>
      <w:pPr>
        <w:pStyle w:val="Indenta"/>
      </w:pPr>
      <w:r>
        <w:tab/>
        <w:t>(b)</w:t>
      </w:r>
      <w:r>
        <w:tab/>
      </w:r>
      <w:r>
        <w:rPr>
          <w:snapToGrid w:val="0"/>
        </w:rPr>
        <w:t>an authorised person.</w:t>
      </w:r>
    </w:p>
    <w:p>
      <w:pPr>
        <w:pStyle w:val="Penstart"/>
        <w:rPr>
          <w:snapToGrid w:val="0"/>
        </w:rPr>
      </w:pPr>
      <w:r>
        <w:rPr>
          <w:snapToGrid w:val="0"/>
        </w:rPr>
        <w:tab/>
        <w:t>Penalty: a fine of $50.</w:t>
      </w:r>
    </w:p>
    <w:p>
      <w:pPr>
        <w:pStyle w:val="Footnotesection"/>
      </w:pPr>
      <w:bookmarkStart w:id="121" w:name="_Toc408568322"/>
      <w:bookmarkStart w:id="122" w:name="_Toc416692253"/>
      <w:bookmarkStart w:id="123" w:name="_Toc416692300"/>
      <w:bookmarkStart w:id="124" w:name="_Toc416692393"/>
      <w:bookmarkStart w:id="125" w:name="_Toc416710514"/>
      <w:bookmarkStart w:id="126" w:name="_Toc416711656"/>
      <w:bookmarkStart w:id="127" w:name="_Toc416711705"/>
      <w:r>
        <w:tab/>
        <w:t>[By-law 31 amended in Gazette 8 Jan 2015 p. 178.]</w:t>
      </w:r>
    </w:p>
    <w:p>
      <w:pPr>
        <w:pStyle w:val="Heading2"/>
      </w:pPr>
      <w:bookmarkStart w:id="128" w:name="_Toc417545468"/>
      <w:bookmarkStart w:id="129" w:name="_Toc417545516"/>
      <w:r>
        <w:rPr>
          <w:rStyle w:val="CharPartNo"/>
        </w:rPr>
        <w:t>Part 5</w:t>
      </w:r>
      <w:r>
        <w:rPr>
          <w:rStyle w:val="CharDivNo"/>
        </w:rPr>
        <w:t> </w:t>
      </w:r>
      <w:r>
        <w:t>—</w:t>
      </w:r>
      <w:r>
        <w:rPr>
          <w:rStyle w:val="CharDivText"/>
        </w:rPr>
        <w:t> </w:t>
      </w:r>
      <w:r>
        <w:rPr>
          <w:rStyle w:val="CharPartText"/>
        </w:rPr>
        <w:t>General</w:t>
      </w:r>
      <w:bookmarkEnd w:id="121"/>
      <w:bookmarkEnd w:id="122"/>
      <w:bookmarkEnd w:id="123"/>
      <w:bookmarkEnd w:id="124"/>
      <w:bookmarkEnd w:id="125"/>
      <w:bookmarkEnd w:id="126"/>
      <w:bookmarkEnd w:id="127"/>
      <w:bookmarkEnd w:id="128"/>
      <w:bookmarkEnd w:id="129"/>
    </w:p>
    <w:p>
      <w:pPr>
        <w:pStyle w:val="Heading5"/>
      </w:pPr>
      <w:bookmarkStart w:id="130" w:name="_Toc408568323"/>
      <w:bookmarkStart w:id="131" w:name="_Toc417545517"/>
      <w:r>
        <w:rPr>
          <w:rStyle w:val="CharSectno"/>
        </w:rPr>
        <w:t>32</w:t>
      </w:r>
      <w:r>
        <w:t>.</w:t>
      </w:r>
      <w:r>
        <w:tab/>
        <w:t>Removal of vehicles</w:t>
      </w:r>
      <w:bookmarkEnd w:id="130"/>
      <w:bookmarkEnd w:id="131"/>
    </w:p>
    <w:p>
      <w:pPr>
        <w:pStyle w:val="Subsection"/>
      </w:pPr>
      <w:r>
        <w:tab/>
        <w:t>(1)</w:t>
      </w:r>
      <w:r>
        <w:tab/>
      </w:r>
      <w:r>
        <w:rPr>
          <w:snapToGrid w:val="0"/>
        </w:rPr>
        <w:t>The chief executive officer or an authorised person may order that a vehicle be removed to a storage place on or off the site if it — </w:t>
      </w:r>
    </w:p>
    <w:p>
      <w:pPr>
        <w:pStyle w:val="Indenta"/>
        <w:rPr>
          <w:snapToGrid w:val="0"/>
        </w:rPr>
      </w:pPr>
      <w:r>
        <w:tab/>
        <w:t>(a)</w:t>
      </w:r>
      <w:r>
        <w:tab/>
      </w:r>
      <w:r>
        <w:rPr>
          <w:snapToGrid w:val="0"/>
        </w:rPr>
        <w:t>is parked in contravention of these by</w:t>
      </w:r>
      <w:r>
        <w:rPr>
          <w:snapToGrid w:val="0"/>
        </w:rPr>
        <w:noBreakHyphen/>
        <w:t>laws; or</w:t>
      </w:r>
    </w:p>
    <w:p>
      <w:pPr>
        <w:pStyle w:val="Indenta"/>
        <w:rPr>
          <w:snapToGrid w:val="0"/>
        </w:rPr>
      </w:pPr>
      <w:r>
        <w:tab/>
        <w:t>(b)</w:t>
      </w:r>
      <w:r>
        <w:tab/>
      </w:r>
      <w:r>
        <w:rPr>
          <w:snapToGrid w:val="0"/>
        </w:rPr>
        <w:t>has been left on the site for more than 3 days.</w:t>
      </w:r>
    </w:p>
    <w:p>
      <w:pPr>
        <w:pStyle w:val="Subsection"/>
        <w:rPr>
          <w:snapToGrid w:val="0"/>
        </w:rPr>
      </w:pPr>
      <w:r>
        <w:tab/>
        <w:t>(2)</w:t>
      </w:r>
      <w:r>
        <w:tab/>
      </w:r>
      <w:r>
        <w:rPr>
          <w:snapToGrid w:val="0"/>
        </w:rPr>
        <w:t>The chief executive officer or an authorised person may order that a vehicle be removed immediately to a storage place on or off the site if it — </w:t>
      </w:r>
    </w:p>
    <w:p>
      <w:pPr>
        <w:pStyle w:val="Indenta"/>
        <w:rPr>
          <w:snapToGrid w:val="0"/>
        </w:rPr>
      </w:pPr>
      <w:r>
        <w:tab/>
        <w:t>(a)</w:t>
      </w:r>
      <w:r>
        <w:tab/>
      </w:r>
      <w:r>
        <w:rPr>
          <w:snapToGrid w:val="0"/>
        </w:rPr>
        <w:t>is parked in contravention of these by</w:t>
      </w:r>
      <w:r>
        <w:rPr>
          <w:snapToGrid w:val="0"/>
        </w:rPr>
        <w:noBreakHyphen/>
        <w:t>laws; and</w:t>
      </w:r>
    </w:p>
    <w:p>
      <w:pPr>
        <w:pStyle w:val="Indenta"/>
        <w:rPr>
          <w:snapToGrid w:val="0"/>
        </w:rPr>
      </w:pPr>
      <w:r>
        <w:tab/>
        <w:t>(b)</w:t>
      </w:r>
      <w:r>
        <w:tab/>
      </w:r>
      <w:r>
        <w:rPr>
          <w:snapToGrid w:val="0"/>
        </w:rPr>
        <w:t>is obstructing other vehicles or activities of the Hospital.</w:t>
      </w:r>
    </w:p>
    <w:p>
      <w:pPr>
        <w:pStyle w:val="Subsection"/>
        <w:rPr>
          <w:snapToGrid w:val="0"/>
        </w:rPr>
      </w:pPr>
      <w:r>
        <w:tab/>
        <w:t>(3)</w:t>
      </w:r>
      <w:r>
        <w:tab/>
      </w:r>
      <w:r>
        <w:rPr>
          <w:snapToGrid w:val="0"/>
        </w:rPr>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pPr>
      <w:r>
        <w:tab/>
        <w:t>(4)</w:t>
      </w:r>
      <w:r>
        <w:tab/>
        <w:t>The board may retain possession of a vehicle removed and stored under this by</w:t>
      </w:r>
      <w:r>
        <w:noBreakHyphen/>
        <w:t>law until the responsible person for the vehicle has paid the prescribed fee.</w:t>
      </w:r>
    </w:p>
    <w:p>
      <w:pPr>
        <w:pStyle w:val="Footnotesection"/>
      </w:pPr>
      <w:bookmarkStart w:id="132" w:name="_Toc408568324"/>
      <w:r>
        <w:tab/>
        <w:t>[By-law 32 amended in Gazette 8 Jan 2015 p. 178.]</w:t>
      </w:r>
    </w:p>
    <w:p>
      <w:pPr>
        <w:pStyle w:val="Heading5"/>
      </w:pPr>
      <w:bookmarkStart w:id="133" w:name="_Toc417545518"/>
      <w:r>
        <w:rPr>
          <w:rStyle w:val="CharSectno"/>
        </w:rPr>
        <w:t>33</w:t>
      </w:r>
      <w:r>
        <w:t>.</w:t>
      </w:r>
      <w:r>
        <w:tab/>
        <w:t>Responsible person may be treated as driver or person in charge of vehicle</w:t>
      </w:r>
      <w:bookmarkEnd w:id="132"/>
      <w:bookmarkEnd w:id="133"/>
    </w:p>
    <w:p>
      <w:pPr>
        <w:pStyle w:val="Subsection"/>
        <w:rPr>
          <w:snapToGrid w:val="0"/>
        </w:rPr>
      </w:pPr>
      <w:r>
        <w:tab/>
        <w:t>(1)</w:t>
      </w:r>
      <w:r>
        <w:tab/>
      </w:r>
      <w:r>
        <w:rPr>
          <w:snapToGrid w:val="0"/>
        </w:rPr>
        <w:t>If an offence under these by</w:t>
      </w:r>
      <w:r>
        <w:rPr>
          <w:snapToGrid w:val="0"/>
        </w:rPr>
        <w:noBreakHyphen/>
        <w:t xml:space="preserve">laws is alleged to have been committed by the driver or person in charge of a vehicle, the chief executive officer or an authorised person may, by written notice delivered to the </w:t>
      </w:r>
      <w:r>
        <w:t>responsible person for</w:t>
      </w:r>
      <w:r>
        <w:rPr>
          <w:snapToGrid w:val="0"/>
        </w:rPr>
        <w:t xml:space="preserve"> the vehicle, request the name and address of the driver or person in charge of the vehicle at the time the offence is alleged to have been committed.</w:t>
      </w:r>
    </w:p>
    <w:p>
      <w:pPr>
        <w:pStyle w:val="Subsection"/>
        <w:rPr>
          <w:snapToGrid w:val="0"/>
        </w:rPr>
      </w:pPr>
      <w:r>
        <w:tab/>
        <w:t>(2)</w:t>
      </w:r>
      <w:r>
        <w:tab/>
      </w:r>
      <w:r>
        <w:rPr>
          <w:snapToGrid w:val="0"/>
        </w:rPr>
        <w:t xml:space="preserve">If the </w:t>
      </w:r>
      <w:r>
        <w:t>responsible person for</w:t>
      </w:r>
      <w:r>
        <w:rPr>
          <w:snapToGrid w:val="0"/>
        </w:rPr>
        <w:t xml:space="preserve"> the vehicle does not supply the requested details to the chief executive officer or the authorised person (as the case may be) within 14 days of the date of receipt of the notice, the </w:t>
      </w:r>
      <w:r>
        <w:t>responsible person is</w:t>
      </w:r>
      <w:r>
        <w:rPr>
          <w:snapToGrid w:val="0"/>
        </w:rPr>
        <w:t xml:space="preserve"> to be treated as being the driver or the person in charge of the vehicle at the time the offence is alleged to have been committed.</w:t>
      </w:r>
    </w:p>
    <w:p>
      <w:pPr>
        <w:pStyle w:val="Footnotesection"/>
      </w:pPr>
      <w:bookmarkStart w:id="134" w:name="_Toc408568325"/>
      <w:r>
        <w:tab/>
        <w:t>[By-law 33 amended in Gazette 8 Jan 2015 p. 179.]</w:t>
      </w:r>
    </w:p>
    <w:p>
      <w:pPr>
        <w:pStyle w:val="Heading5"/>
      </w:pPr>
      <w:bookmarkStart w:id="135" w:name="_Toc417545519"/>
      <w:r>
        <w:rPr>
          <w:rStyle w:val="CharSectno"/>
        </w:rPr>
        <w:t>34</w:t>
      </w:r>
      <w:r>
        <w:t>.</w:t>
      </w:r>
      <w:r>
        <w:tab/>
        <w:t>Other offences</w:t>
      </w:r>
      <w:bookmarkEnd w:id="134"/>
      <w:bookmarkEnd w:id="135"/>
    </w:p>
    <w:p>
      <w:pPr>
        <w:pStyle w:val="Subsection"/>
        <w:rPr>
          <w:snapToGrid w:val="0"/>
        </w:rPr>
      </w:pPr>
      <w:r>
        <w:tab/>
      </w:r>
      <w:r>
        <w:tab/>
      </w:r>
      <w:r>
        <w:rPr>
          <w:snapToGrid w:val="0"/>
        </w:rPr>
        <w:t>A person must not — </w:t>
      </w:r>
    </w:p>
    <w:p>
      <w:pPr>
        <w:pStyle w:val="Indenta"/>
        <w:rPr>
          <w:snapToGrid w:val="0"/>
        </w:rPr>
      </w:pPr>
      <w:r>
        <w:tab/>
        <w:t>(a)</w:t>
      </w:r>
      <w:r>
        <w:tab/>
      </w:r>
      <w:r>
        <w:rPr>
          <w:snapToGrid w:val="0"/>
        </w:rPr>
        <w:t>intentionally obstruct an officer or servant of the board in the discharge of his or her duty under these by</w:t>
      </w:r>
      <w:r>
        <w:rPr>
          <w:snapToGrid w:val="0"/>
        </w:rPr>
        <w:noBreakHyphen/>
        <w:t>laws; or</w:t>
      </w:r>
    </w:p>
    <w:p>
      <w:pPr>
        <w:pStyle w:val="Indenta"/>
      </w:pPr>
      <w:r>
        <w:tab/>
        <w:t>(b)</w:t>
      </w:r>
      <w:r>
        <w:tab/>
      </w:r>
      <w:r>
        <w:rPr>
          <w:snapToGrid w:val="0"/>
        </w:rPr>
        <w:t>remove, damage, deface or misuse a sign.</w:t>
      </w:r>
    </w:p>
    <w:p>
      <w:pPr>
        <w:pStyle w:val="Penstart"/>
        <w:rPr>
          <w:snapToGrid w:val="0"/>
        </w:rPr>
      </w:pPr>
      <w:r>
        <w:rPr>
          <w:snapToGrid w:val="0"/>
        </w:rPr>
        <w:tab/>
        <w:t>Penalty: a fine of $50.</w:t>
      </w:r>
    </w:p>
    <w:p>
      <w:pPr>
        <w:pStyle w:val="Penstart"/>
        <w:ind w:left="851" w:hanging="851"/>
        <w:rPr>
          <w:b/>
          <w:i/>
          <w:color w:val="FF0000"/>
          <w:sz w:val="20"/>
        </w:rPr>
        <w:sectPr>
          <w:headerReference w:type="even" r:id="rId21"/>
          <w:headerReference w:type="default" r:id="rId22"/>
          <w:footerReference w:type="even" r:id="rId23"/>
          <w:footerReference w:type="default" r:id="rId24"/>
          <w:headerReference w:type="first" r:id="rId25"/>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outlineLvl w:val="0"/>
      </w:pPr>
      <w:bookmarkStart w:id="136" w:name="_Toc408568326"/>
      <w:bookmarkStart w:id="137" w:name="_Toc416692257"/>
      <w:bookmarkStart w:id="138" w:name="_Toc416692304"/>
      <w:bookmarkStart w:id="139" w:name="_Toc416692397"/>
      <w:bookmarkStart w:id="140" w:name="_Toc416710518"/>
      <w:bookmarkStart w:id="141" w:name="_Toc416711660"/>
      <w:bookmarkStart w:id="142" w:name="_Toc416711709"/>
      <w:bookmarkStart w:id="143" w:name="_Toc417545472"/>
      <w:bookmarkStart w:id="144" w:name="_Toc417545520"/>
      <w:r>
        <w:rPr>
          <w:rStyle w:val="CharSchNo"/>
        </w:rPr>
        <w:t>Schedule 1</w:t>
      </w:r>
      <w:r>
        <w:rPr>
          <w:rStyle w:val="CharSDivNo"/>
        </w:rPr>
        <w:t> </w:t>
      </w:r>
      <w:r>
        <w:t>—</w:t>
      </w:r>
      <w:r>
        <w:rPr>
          <w:rStyle w:val="CharSDivText"/>
        </w:rPr>
        <w:t> </w:t>
      </w:r>
      <w:r>
        <w:rPr>
          <w:rStyle w:val="CharSchText"/>
        </w:rPr>
        <w:t>Fees</w:t>
      </w:r>
      <w:bookmarkEnd w:id="136"/>
      <w:bookmarkEnd w:id="137"/>
      <w:bookmarkEnd w:id="138"/>
      <w:bookmarkEnd w:id="139"/>
      <w:bookmarkEnd w:id="140"/>
      <w:bookmarkEnd w:id="141"/>
      <w:bookmarkEnd w:id="142"/>
      <w:bookmarkEnd w:id="143"/>
      <w:bookmarkEnd w:id="144"/>
    </w:p>
    <w:p>
      <w:pPr>
        <w:pStyle w:val="yShoulderClause"/>
      </w:pPr>
      <w:r>
        <w:t>[bl. 18, 19, 23 and 32]</w:t>
      </w:r>
    </w:p>
    <w:tbl>
      <w:tblPr>
        <w:tblW w:w="6237"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3544"/>
        <w:gridCol w:w="1701"/>
      </w:tblGrid>
      <w:tr>
        <w:trPr>
          <w:tblHeader/>
        </w:trPr>
        <w:tc>
          <w:tcPr>
            <w:tcW w:w="992" w:type="dxa"/>
            <w:tcMar>
              <w:left w:w="57" w:type="dxa"/>
              <w:right w:w="57" w:type="dxa"/>
            </w:tcMar>
          </w:tcPr>
          <w:p>
            <w:pPr>
              <w:pStyle w:val="yTableNAm"/>
            </w:pPr>
            <w:r>
              <w:rPr>
                <w:b/>
              </w:rPr>
              <w:t>By</w:t>
            </w:r>
            <w:r>
              <w:rPr>
                <w:b/>
              </w:rPr>
              <w:noBreakHyphen/>
              <w:t>law</w:t>
            </w:r>
          </w:p>
        </w:tc>
        <w:tc>
          <w:tcPr>
            <w:tcW w:w="3544" w:type="dxa"/>
            <w:tcMar>
              <w:left w:w="57" w:type="dxa"/>
              <w:right w:w="57" w:type="dxa"/>
            </w:tcMar>
          </w:tcPr>
          <w:p>
            <w:pPr>
              <w:pStyle w:val="zyTableNAm"/>
              <w:tabs>
                <w:tab w:val="right" w:leader="dot" w:pos="3436"/>
              </w:tabs>
              <w:rPr>
                <w:b/>
              </w:rPr>
            </w:pPr>
          </w:p>
        </w:tc>
        <w:tc>
          <w:tcPr>
            <w:tcW w:w="1701" w:type="dxa"/>
            <w:tcMar>
              <w:left w:w="57" w:type="dxa"/>
              <w:right w:w="57" w:type="dxa"/>
            </w:tcMar>
          </w:tcPr>
          <w:p>
            <w:pPr>
              <w:pStyle w:val="yTableNAm"/>
            </w:pPr>
            <w:r>
              <w:rPr>
                <w:b/>
              </w:rPr>
              <w:t>Fee</w:t>
            </w:r>
          </w:p>
        </w:tc>
      </w:tr>
      <w:tr>
        <w:tc>
          <w:tcPr>
            <w:tcW w:w="992" w:type="dxa"/>
            <w:tcMar>
              <w:left w:w="57" w:type="dxa"/>
              <w:right w:w="57" w:type="dxa"/>
            </w:tcMar>
          </w:tcPr>
          <w:p>
            <w:pPr>
              <w:pStyle w:val="yTableNAm"/>
            </w:pPr>
            <w:r>
              <w:t>18(2) or (5)</w:t>
            </w:r>
          </w:p>
        </w:tc>
        <w:tc>
          <w:tcPr>
            <w:tcW w:w="3544" w:type="dxa"/>
          </w:tcPr>
          <w:p>
            <w:pPr>
              <w:pStyle w:val="yTableNAm"/>
              <w:tabs>
                <w:tab w:val="clear" w:pos="567"/>
                <w:tab w:val="right" w:leader="dot" w:pos="3328"/>
              </w:tabs>
              <w:rPr>
                <w:b/>
                <w:kern w:val="28"/>
              </w:rPr>
            </w:pPr>
            <w:r>
              <w:t xml:space="preserve">Ticket parking </w:t>
            </w:r>
          </w:p>
        </w:tc>
        <w:tc>
          <w:tcPr>
            <w:tcW w:w="1701" w:type="dxa"/>
          </w:tcPr>
          <w:p>
            <w:pPr>
              <w:pStyle w:val="yTableNAm"/>
            </w:pPr>
            <w:r>
              <w:t>$2.00 per hour up to a maximum of $10.00 per day</w:t>
            </w:r>
          </w:p>
        </w:tc>
      </w:tr>
      <w:tr>
        <w:tc>
          <w:tcPr>
            <w:tcW w:w="992" w:type="dxa"/>
            <w:tcBorders>
              <w:top w:val="single" w:sz="4" w:space="0" w:color="auto"/>
              <w:left w:val="single" w:sz="4" w:space="0" w:color="auto"/>
              <w:bottom w:val="single" w:sz="4" w:space="0" w:color="auto"/>
              <w:right w:val="single" w:sz="4" w:space="0" w:color="auto"/>
            </w:tcBorders>
            <w:tcMar>
              <w:left w:w="57" w:type="dxa"/>
              <w:right w:w="57" w:type="dxa"/>
            </w:tcMar>
          </w:tcPr>
          <w:p>
            <w:pPr>
              <w:pStyle w:val="yTableNAm"/>
            </w:pPr>
            <w:r>
              <w:t>19(3)</w:t>
            </w:r>
          </w:p>
        </w:tc>
        <w:tc>
          <w:tcPr>
            <w:tcW w:w="3544"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3328"/>
              </w:tabs>
            </w:pPr>
            <w:r>
              <w:t xml:space="preserve">Paid staff parking </w:t>
            </w:r>
          </w:p>
        </w:tc>
        <w:tc>
          <w:tcPr>
            <w:tcW w:w="1701" w:type="dxa"/>
            <w:tcBorders>
              <w:top w:val="single" w:sz="4" w:space="0" w:color="auto"/>
              <w:left w:val="single" w:sz="4" w:space="0" w:color="auto"/>
              <w:bottom w:val="single" w:sz="4" w:space="0" w:color="auto"/>
              <w:right w:val="single" w:sz="4" w:space="0" w:color="auto"/>
            </w:tcBorders>
          </w:tcPr>
          <w:p>
            <w:pPr>
              <w:pStyle w:val="yTableNAm"/>
            </w:pPr>
            <w:r>
              <w:t>$3.60 per day</w:t>
            </w:r>
          </w:p>
        </w:tc>
      </w:tr>
      <w:tr>
        <w:tc>
          <w:tcPr>
            <w:tcW w:w="992" w:type="dxa"/>
            <w:tcMar>
              <w:left w:w="57" w:type="dxa"/>
              <w:right w:w="57" w:type="dxa"/>
            </w:tcMar>
          </w:tcPr>
          <w:p>
            <w:pPr>
              <w:pStyle w:val="yTableNAm"/>
            </w:pPr>
            <w:r>
              <w:t>23(1)</w:t>
            </w:r>
          </w:p>
        </w:tc>
        <w:tc>
          <w:tcPr>
            <w:tcW w:w="3544" w:type="dxa"/>
          </w:tcPr>
          <w:p>
            <w:pPr>
              <w:pStyle w:val="yTableNAm"/>
              <w:tabs>
                <w:tab w:val="clear" w:pos="567"/>
                <w:tab w:val="right" w:leader="dot" w:pos="3328"/>
              </w:tabs>
              <w:rPr>
                <w:b/>
                <w:kern w:val="28"/>
              </w:rPr>
            </w:pPr>
            <w:r>
              <w:t xml:space="preserve">Parking permit </w:t>
            </w:r>
          </w:p>
        </w:tc>
        <w:tc>
          <w:tcPr>
            <w:tcW w:w="1701" w:type="dxa"/>
          </w:tcPr>
          <w:p>
            <w:pPr>
              <w:pStyle w:val="yTableNAm"/>
            </w:pPr>
            <w:r>
              <w:t>No fee</w:t>
            </w:r>
          </w:p>
        </w:tc>
      </w:tr>
      <w:tr>
        <w:tc>
          <w:tcPr>
            <w:tcW w:w="992" w:type="dxa"/>
            <w:tcMar>
              <w:left w:w="57" w:type="dxa"/>
              <w:right w:w="57" w:type="dxa"/>
            </w:tcMar>
          </w:tcPr>
          <w:p>
            <w:pPr>
              <w:pStyle w:val="yTableNAm"/>
            </w:pPr>
            <w:r>
              <w:t>32(4)</w:t>
            </w:r>
          </w:p>
        </w:tc>
        <w:tc>
          <w:tcPr>
            <w:tcW w:w="3544" w:type="dxa"/>
          </w:tcPr>
          <w:p>
            <w:pPr>
              <w:pStyle w:val="yTableNAm"/>
            </w:pPr>
            <w:r>
              <w:t xml:space="preserve">Removal and storage of vehicle — </w:t>
            </w:r>
          </w:p>
          <w:p>
            <w:pPr>
              <w:pStyle w:val="yTableNAm"/>
            </w:pPr>
            <w:r>
              <w:t>(a)</w:t>
            </w:r>
            <w:r>
              <w:tab/>
              <w:t xml:space="preserve">basic fee </w:t>
            </w:r>
          </w:p>
          <w:p>
            <w:pPr>
              <w:pStyle w:val="yTableNAm"/>
            </w:pPr>
            <w:r>
              <w:tab/>
              <w:t>plus</w:t>
            </w:r>
          </w:p>
          <w:p>
            <w:pPr>
              <w:pStyle w:val="yTableNAm"/>
              <w:ind w:left="601" w:hanging="601"/>
            </w:pPr>
            <w:r>
              <w:t>(b)</w:t>
            </w:r>
            <w:r>
              <w:tab/>
              <w:t>if vehicle is stored for more than 24 hours — for each 7 days or part of 7 days for which vehicle is stored after first 24 hours</w:t>
            </w:r>
          </w:p>
        </w:tc>
        <w:tc>
          <w:tcPr>
            <w:tcW w:w="1701" w:type="dxa"/>
          </w:tcPr>
          <w:p>
            <w:pPr>
              <w:pStyle w:val="yTableNAm"/>
            </w:pPr>
          </w:p>
          <w:p>
            <w:pPr>
              <w:pStyle w:val="yTableNAm"/>
            </w:pPr>
            <w:r>
              <w:t>$140.00</w:t>
            </w:r>
          </w:p>
          <w:p>
            <w:pPr>
              <w:pStyle w:val="yTableNAm"/>
            </w:pPr>
          </w:p>
          <w:p>
            <w:pPr>
              <w:pStyle w:val="yTableNAm"/>
            </w:pPr>
            <w:r>
              <w:br/>
            </w:r>
            <w:r>
              <w:br/>
            </w:r>
            <w:r>
              <w:br/>
            </w:r>
            <w:r>
              <w:br/>
              <w:t>$10.00</w:t>
            </w:r>
          </w:p>
        </w:tc>
      </w:tr>
    </w:tbl>
    <w:p>
      <w:pPr>
        <w:pStyle w:val="yScheduleHeading"/>
        <w:outlineLvl w:val="0"/>
      </w:pPr>
      <w:bookmarkStart w:id="145" w:name="_Toc408568327"/>
      <w:bookmarkStart w:id="146" w:name="_Toc416692258"/>
      <w:bookmarkStart w:id="147" w:name="_Toc416692305"/>
      <w:bookmarkStart w:id="148" w:name="_Toc416692398"/>
      <w:bookmarkStart w:id="149" w:name="_Toc416710519"/>
      <w:bookmarkStart w:id="150" w:name="_Toc416711661"/>
      <w:bookmarkStart w:id="151" w:name="_Toc416711710"/>
      <w:bookmarkStart w:id="152" w:name="_Toc417545473"/>
      <w:bookmarkStart w:id="153" w:name="_Toc417545521"/>
      <w:r>
        <w:rPr>
          <w:rStyle w:val="CharSchNo"/>
        </w:rPr>
        <w:t>Schedule 2</w:t>
      </w:r>
      <w:r>
        <w:rPr>
          <w:rStyle w:val="CharSDivNo"/>
        </w:rPr>
        <w:t> </w:t>
      </w:r>
      <w:r>
        <w:t>—</w:t>
      </w:r>
      <w:r>
        <w:rPr>
          <w:rStyle w:val="CharSDivText"/>
        </w:rPr>
        <w:t> </w:t>
      </w:r>
      <w:r>
        <w:rPr>
          <w:rStyle w:val="CharSchText"/>
        </w:rPr>
        <w:t>Infringement notices and modified penalties</w:t>
      </w:r>
      <w:bookmarkEnd w:id="145"/>
      <w:bookmarkEnd w:id="146"/>
      <w:bookmarkEnd w:id="147"/>
      <w:bookmarkEnd w:id="148"/>
      <w:bookmarkEnd w:id="149"/>
      <w:bookmarkEnd w:id="150"/>
      <w:bookmarkEnd w:id="151"/>
      <w:bookmarkEnd w:id="152"/>
      <w:bookmarkEnd w:id="153"/>
    </w:p>
    <w:p>
      <w:pPr>
        <w:pStyle w:val="yShoulderClause"/>
      </w:pPr>
      <w:r>
        <w:t>[bl. 27]</w:t>
      </w:r>
    </w:p>
    <w:tbl>
      <w:tblPr>
        <w:tblW w:w="0" w:type="auto"/>
        <w:tblInd w:w="142" w:type="dxa"/>
        <w:tblLayout w:type="fixed"/>
        <w:tblCellMar>
          <w:left w:w="142" w:type="dxa"/>
          <w:right w:w="142" w:type="dxa"/>
        </w:tblCellMar>
        <w:tblLook w:val="0000" w:firstRow="0" w:lastRow="0" w:firstColumn="0" w:lastColumn="0" w:noHBand="0" w:noVBand="0"/>
      </w:tblPr>
      <w:tblGrid>
        <w:gridCol w:w="1080"/>
        <w:gridCol w:w="4800"/>
        <w:gridCol w:w="1208"/>
      </w:tblGrid>
      <w:tr>
        <w:trPr>
          <w:cantSplit/>
          <w:tblHeader/>
        </w:trPr>
        <w:tc>
          <w:tcPr>
            <w:tcW w:w="1080" w:type="dxa"/>
            <w:tcBorders>
              <w:top w:val="single" w:sz="4" w:space="0" w:color="auto"/>
              <w:bottom w:val="single" w:sz="4" w:space="0" w:color="auto"/>
            </w:tcBorders>
          </w:tcPr>
          <w:p>
            <w:pPr>
              <w:pStyle w:val="yTableNAm"/>
              <w:rPr>
                <w:b/>
                <w:bCs/>
              </w:rPr>
            </w:pPr>
            <w:r>
              <w:rPr>
                <w:b/>
                <w:bCs/>
              </w:rPr>
              <w:t>By</w:t>
            </w:r>
            <w:r>
              <w:rPr>
                <w:b/>
                <w:bCs/>
              </w:rPr>
              <w:noBreakHyphen/>
              <w:t>law</w:t>
            </w:r>
          </w:p>
        </w:tc>
        <w:tc>
          <w:tcPr>
            <w:tcW w:w="4800" w:type="dxa"/>
            <w:tcBorders>
              <w:top w:val="single" w:sz="4" w:space="0" w:color="auto"/>
              <w:bottom w:val="single" w:sz="4" w:space="0" w:color="auto"/>
            </w:tcBorders>
          </w:tcPr>
          <w:p>
            <w:pPr>
              <w:pStyle w:val="yTableNAm"/>
              <w:jc w:val="center"/>
              <w:rPr>
                <w:b/>
                <w:bCs/>
              </w:rPr>
            </w:pPr>
            <w:r>
              <w:rPr>
                <w:b/>
                <w:bCs/>
              </w:rPr>
              <w:t>Description of offence</w:t>
            </w:r>
          </w:p>
        </w:tc>
        <w:tc>
          <w:tcPr>
            <w:tcW w:w="1208" w:type="dxa"/>
            <w:tcBorders>
              <w:top w:val="single" w:sz="4" w:space="0" w:color="auto"/>
              <w:bottom w:val="single" w:sz="4" w:space="0" w:color="auto"/>
            </w:tcBorders>
          </w:tcPr>
          <w:p>
            <w:pPr>
              <w:pStyle w:val="yTableNAm"/>
              <w:jc w:val="center"/>
              <w:rPr>
                <w:b/>
                <w:bCs/>
              </w:rPr>
            </w:pPr>
            <w:r>
              <w:rPr>
                <w:b/>
                <w:bCs/>
              </w:rPr>
              <w:t>Modified penalty</w:t>
            </w:r>
          </w:p>
          <w:p>
            <w:pPr>
              <w:pStyle w:val="yTableNAm"/>
              <w:jc w:val="center"/>
              <w:rPr>
                <w:b/>
                <w:bCs/>
              </w:rPr>
            </w:pPr>
            <w:r>
              <w:rPr>
                <w:b/>
                <w:bCs/>
              </w:rPr>
              <w:t>($)</w:t>
            </w:r>
          </w:p>
        </w:tc>
      </w:tr>
      <w:tr>
        <w:trPr>
          <w:cantSplit/>
        </w:trPr>
        <w:tc>
          <w:tcPr>
            <w:tcW w:w="1080" w:type="dxa"/>
          </w:tcPr>
          <w:p>
            <w:pPr>
              <w:pStyle w:val="yTableNAm"/>
              <w:tabs>
                <w:tab w:val="clear" w:pos="567"/>
              </w:tabs>
              <w:ind w:right="-142"/>
            </w:pPr>
            <w:r>
              <w:t xml:space="preserve">9(1) </w:t>
            </w:r>
          </w:p>
        </w:tc>
        <w:tc>
          <w:tcPr>
            <w:tcW w:w="4800" w:type="dxa"/>
          </w:tcPr>
          <w:p>
            <w:pPr>
              <w:pStyle w:val="yTableNAm"/>
              <w:tabs>
                <w:tab w:val="right" w:leader="dot" w:pos="4732"/>
              </w:tabs>
            </w:pPr>
            <w:r>
              <w:t xml:space="preserve">Driving or bringing vehicle on part of site other than on roadway or parking facility, without permission </w:t>
            </w:r>
            <w:r>
              <w:tab/>
            </w:r>
          </w:p>
        </w:tc>
        <w:tc>
          <w:tcPr>
            <w:tcW w:w="1208" w:type="dxa"/>
          </w:tcPr>
          <w:p>
            <w:pPr>
              <w:pStyle w:val="yTableNAm"/>
              <w:jc w:val="center"/>
            </w:pPr>
            <w:r>
              <w:br/>
            </w:r>
            <w:r>
              <w:br/>
              <w:t>40</w:t>
            </w:r>
          </w:p>
        </w:tc>
      </w:tr>
      <w:tr>
        <w:trPr>
          <w:cantSplit/>
        </w:trPr>
        <w:tc>
          <w:tcPr>
            <w:tcW w:w="1080" w:type="dxa"/>
          </w:tcPr>
          <w:p>
            <w:pPr>
              <w:pStyle w:val="yTableNAm"/>
            </w:pPr>
            <w:r>
              <w:t>9(2)</w:t>
            </w:r>
          </w:p>
        </w:tc>
        <w:tc>
          <w:tcPr>
            <w:tcW w:w="4800" w:type="dxa"/>
          </w:tcPr>
          <w:p>
            <w:pPr>
              <w:pStyle w:val="yTableNAm"/>
              <w:tabs>
                <w:tab w:val="right" w:leader="dot" w:pos="4732"/>
              </w:tabs>
            </w:pPr>
            <w:r>
              <w:t xml:space="preserve">Driving or bringing onto the site, a vehicle with an unladen weight of more than 4 tonnes, without permission </w:t>
            </w:r>
            <w:r>
              <w:tab/>
            </w:r>
          </w:p>
        </w:tc>
        <w:tc>
          <w:tcPr>
            <w:tcW w:w="1208" w:type="dxa"/>
          </w:tcPr>
          <w:p>
            <w:pPr>
              <w:pStyle w:val="yTableNAm"/>
              <w:jc w:val="center"/>
            </w:pPr>
            <w:r>
              <w:br/>
            </w:r>
            <w:r>
              <w:br/>
              <w:t>20</w:t>
            </w:r>
          </w:p>
        </w:tc>
      </w:tr>
      <w:tr>
        <w:trPr>
          <w:cantSplit/>
        </w:trPr>
        <w:tc>
          <w:tcPr>
            <w:tcW w:w="1080" w:type="dxa"/>
          </w:tcPr>
          <w:p>
            <w:pPr>
              <w:pStyle w:val="yTableNAm"/>
            </w:pPr>
            <w:r>
              <w:t>9(3)</w:t>
            </w:r>
          </w:p>
        </w:tc>
        <w:tc>
          <w:tcPr>
            <w:tcW w:w="4800" w:type="dxa"/>
          </w:tcPr>
          <w:p>
            <w:pPr>
              <w:pStyle w:val="yTableNAm"/>
              <w:tabs>
                <w:tab w:val="right" w:leader="dot" w:pos="4732"/>
              </w:tabs>
            </w:pPr>
            <w:r>
              <w:t xml:space="preserve">Driving, using or standing on part of site, a vehicle contrary to a sign </w:t>
            </w:r>
            <w:r>
              <w:tab/>
            </w:r>
          </w:p>
        </w:tc>
        <w:tc>
          <w:tcPr>
            <w:tcW w:w="1208" w:type="dxa"/>
          </w:tcPr>
          <w:p>
            <w:pPr>
              <w:pStyle w:val="yTableNAm"/>
              <w:jc w:val="center"/>
            </w:pPr>
            <w:r>
              <w:br/>
              <w:t>40</w:t>
            </w:r>
          </w:p>
        </w:tc>
      </w:tr>
      <w:tr>
        <w:trPr>
          <w:cantSplit/>
        </w:trPr>
        <w:tc>
          <w:tcPr>
            <w:tcW w:w="1080" w:type="dxa"/>
          </w:tcPr>
          <w:p>
            <w:pPr>
              <w:pStyle w:val="yTableNAm"/>
            </w:pPr>
            <w:r>
              <w:t>10</w:t>
            </w:r>
          </w:p>
        </w:tc>
        <w:tc>
          <w:tcPr>
            <w:tcW w:w="4800" w:type="dxa"/>
          </w:tcPr>
          <w:p>
            <w:pPr>
              <w:pStyle w:val="yTableNAm"/>
              <w:tabs>
                <w:tab w:val="right" w:leader="dot" w:pos="4732"/>
              </w:tabs>
            </w:pPr>
            <w:r>
              <w:t xml:space="preserve">Disobeying an authorised person’s reasonable direction </w:t>
            </w:r>
            <w:r>
              <w:tab/>
            </w:r>
          </w:p>
        </w:tc>
        <w:tc>
          <w:tcPr>
            <w:tcW w:w="1208" w:type="dxa"/>
          </w:tcPr>
          <w:p>
            <w:pPr>
              <w:pStyle w:val="yTableNAm"/>
              <w:jc w:val="center"/>
            </w:pPr>
            <w:r>
              <w:br/>
              <w:t>20</w:t>
            </w:r>
          </w:p>
        </w:tc>
      </w:tr>
      <w:tr>
        <w:trPr>
          <w:cantSplit/>
        </w:trPr>
        <w:tc>
          <w:tcPr>
            <w:tcW w:w="1080" w:type="dxa"/>
          </w:tcPr>
          <w:p>
            <w:pPr>
              <w:pStyle w:val="yTableNAm"/>
            </w:pPr>
            <w:r>
              <w:t>11(1)(a)</w:t>
            </w:r>
          </w:p>
        </w:tc>
        <w:tc>
          <w:tcPr>
            <w:tcW w:w="4800" w:type="dxa"/>
          </w:tcPr>
          <w:p>
            <w:pPr>
              <w:pStyle w:val="yTableNAm"/>
              <w:tabs>
                <w:tab w:val="right" w:leader="dot" w:pos="4732"/>
              </w:tabs>
            </w:pPr>
            <w:r>
              <w:t xml:space="preserve">Driving in excess of speed limit indicated by speed restriction sign </w:t>
            </w:r>
            <w:r>
              <w:tab/>
            </w:r>
          </w:p>
        </w:tc>
        <w:tc>
          <w:tcPr>
            <w:tcW w:w="1208" w:type="dxa"/>
          </w:tcPr>
          <w:p>
            <w:pPr>
              <w:pStyle w:val="yTableNAm"/>
              <w:jc w:val="center"/>
            </w:pPr>
            <w:r>
              <w:br/>
              <w:t>40</w:t>
            </w:r>
          </w:p>
        </w:tc>
      </w:tr>
      <w:tr>
        <w:trPr>
          <w:cantSplit/>
        </w:trPr>
        <w:tc>
          <w:tcPr>
            <w:tcW w:w="1080" w:type="dxa"/>
          </w:tcPr>
          <w:p>
            <w:pPr>
              <w:pStyle w:val="yTableNAm"/>
            </w:pPr>
            <w:r>
              <w:t>11(1)(b)</w:t>
            </w:r>
          </w:p>
        </w:tc>
        <w:tc>
          <w:tcPr>
            <w:tcW w:w="4800" w:type="dxa"/>
          </w:tcPr>
          <w:p>
            <w:pPr>
              <w:pStyle w:val="yTableNAm"/>
              <w:tabs>
                <w:tab w:val="right" w:leader="dot" w:pos="4732"/>
              </w:tabs>
            </w:pPr>
            <w:r>
              <w:t xml:space="preserve">Driving in excess of 10 </w:t>
            </w:r>
            <w:r>
              <w:rPr>
                <w:snapToGrid w:val="0"/>
              </w:rPr>
              <w:t xml:space="preserve">km/h </w:t>
            </w:r>
            <w:r>
              <w:tab/>
            </w:r>
          </w:p>
        </w:tc>
        <w:tc>
          <w:tcPr>
            <w:tcW w:w="1208" w:type="dxa"/>
          </w:tcPr>
          <w:p>
            <w:pPr>
              <w:pStyle w:val="yTableNAm"/>
              <w:jc w:val="center"/>
            </w:pPr>
            <w:r>
              <w:t>40</w:t>
            </w:r>
          </w:p>
        </w:tc>
      </w:tr>
      <w:tr>
        <w:trPr>
          <w:cantSplit/>
        </w:trPr>
        <w:tc>
          <w:tcPr>
            <w:tcW w:w="1080" w:type="dxa"/>
          </w:tcPr>
          <w:p>
            <w:pPr>
              <w:pStyle w:val="yTableNAm"/>
            </w:pPr>
            <w:r>
              <w:t>12</w:t>
            </w:r>
          </w:p>
        </w:tc>
        <w:tc>
          <w:tcPr>
            <w:tcW w:w="4800" w:type="dxa"/>
          </w:tcPr>
          <w:p>
            <w:pPr>
              <w:pStyle w:val="yTableNAm"/>
              <w:tabs>
                <w:tab w:val="right" w:leader="dot" w:pos="4732"/>
              </w:tabs>
            </w:pPr>
            <w:r>
              <w:t xml:space="preserve">Failing to give way when entering parking facility </w:t>
            </w:r>
            <w:r>
              <w:tab/>
            </w:r>
          </w:p>
        </w:tc>
        <w:tc>
          <w:tcPr>
            <w:tcW w:w="1208" w:type="dxa"/>
          </w:tcPr>
          <w:p>
            <w:pPr>
              <w:pStyle w:val="yTableNAm"/>
              <w:jc w:val="center"/>
            </w:pPr>
            <w:r>
              <w:t>20</w:t>
            </w:r>
          </w:p>
        </w:tc>
      </w:tr>
      <w:tr>
        <w:trPr>
          <w:cantSplit/>
        </w:trPr>
        <w:tc>
          <w:tcPr>
            <w:tcW w:w="1080" w:type="dxa"/>
          </w:tcPr>
          <w:p>
            <w:pPr>
              <w:pStyle w:val="yTableNAm"/>
            </w:pPr>
            <w:r>
              <w:t xml:space="preserve">13(a) </w:t>
            </w:r>
          </w:p>
        </w:tc>
        <w:tc>
          <w:tcPr>
            <w:tcW w:w="4800" w:type="dxa"/>
          </w:tcPr>
          <w:p>
            <w:pPr>
              <w:pStyle w:val="yTableNAm"/>
              <w:tabs>
                <w:tab w:val="right" w:leader="dot" w:pos="4732"/>
              </w:tabs>
            </w:pPr>
            <w:r>
              <w:t xml:space="preserve">Driving on site for giving or receiving driving instruction </w:t>
            </w:r>
            <w:r>
              <w:tab/>
            </w:r>
          </w:p>
        </w:tc>
        <w:tc>
          <w:tcPr>
            <w:tcW w:w="1208" w:type="dxa"/>
          </w:tcPr>
          <w:p>
            <w:pPr>
              <w:pStyle w:val="yTableNAm"/>
              <w:jc w:val="center"/>
            </w:pPr>
            <w:r>
              <w:br/>
              <w:t>20</w:t>
            </w:r>
          </w:p>
        </w:tc>
      </w:tr>
      <w:tr>
        <w:trPr>
          <w:cantSplit/>
        </w:trPr>
        <w:tc>
          <w:tcPr>
            <w:tcW w:w="1080" w:type="dxa"/>
          </w:tcPr>
          <w:p>
            <w:pPr>
              <w:pStyle w:val="yTableNAm"/>
            </w:pPr>
            <w:r>
              <w:t xml:space="preserve">13(b) </w:t>
            </w:r>
          </w:p>
        </w:tc>
        <w:tc>
          <w:tcPr>
            <w:tcW w:w="4800" w:type="dxa"/>
          </w:tcPr>
          <w:p>
            <w:pPr>
              <w:pStyle w:val="yTableNAm"/>
              <w:tabs>
                <w:tab w:val="right" w:leader="dot" w:pos="4732"/>
              </w:tabs>
            </w:pPr>
            <w:r>
              <w:t xml:space="preserve">Repairing or adjusting vehicle on site </w:t>
            </w:r>
            <w:r>
              <w:tab/>
            </w:r>
          </w:p>
        </w:tc>
        <w:tc>
          <w:tcPr>
            <w:tcW w:w="1208" w:type="dxa"/>
          </w:tcPr>
          <w:p>
            <w:pPr>
              <w:pStyle w:val="yTableNAm"/>
              <w:jc w:val="center"/>
            </w:pPr>
            <w:r>
              <w:t>10</w:t>
            </w:r>
          </w:p>
        </w:tc>
      </w:tr>
      <w:tr>
        <w:trPr>
          <w:cantSplit/>
        </w:trPr>
        <w:tc>
          <w:tcPr>
            <w:tcW w:w="1080" w:type="dxa"/>
          </w:tcPr>
          <w:p>
            <w:pPr>
              <w:pStyle w:val="yTableNAm"/>
            </w:pPr>
            <w:r>
              <w:t>14</w:t>
            </w:r>
          </w:p>
        </w:tc>
        <w:tc>
          <w:tcPr>
            <w:tcW w:w="4800" w:type="dxa"/>
          </w:tcPr>
          <w:p>
            <w:pPr>
              <w:pStyle w:val="yTableNAm"/>
              <w:tabs>
                <w:tab w:val="right" w:leader="dot" w:pos="4732"/>
              </w:tabs>
            </w:pPr>
            <w:r>
              <w:t xml:space="preserve">Parking vehicle on site not in parking space </w:t>
            </w:r>
            <w:r>
              <w:tab/>
            </w:r>
          </w:p>
        </w:tc>
        <w:tc>
          <w:tcPr>
            <w:tcW w:w="1208" w:type="dxa"/>
          </w:tcPr>
          <w:p>
            <w:pPr>
              <w:pStyle w:val="yTableNAm"/>
              <w:jc w:val="center"/>
            </w:pPr>
            <w:r>
              <w:t>40</w:t>
            </w:r>
          </w:p>
        </w:tc>
      </w:tr>
      <w:tr>
        <w:trPr>
          <w:cantSplit/>
        </w:trPr>
        <w:tc>
          <w:tcPr>
            <w:tcW w:w="1080" w:type="dxa"/>
          </w:tcPr>
          <w:p>
            <w:pPr>
              <w:pStyle w:val="yTableNAm"/>
            </w:pPr>
            <w:r>
              <w:t>15</w:t>
            </w:r>
          </w:p>
        </w:tc>
        <w:tc>
          <w:tcPr>
            <w:tcW w:w="4800" w:type="dxa"/>
          </w:tcPr>
          <w:p>
            <w:pPr>
              <w:pStyle w:val="yTableNAm"/>
              <w:tabs>
                <w:tab w:val="right" w:leader="dot" w:pos="4732"/>
              </w:tabs>
            </w:pPr>
            <w:r>
              <w:t xml:space="preserve">Failing to obey stop sign on site </w:t>
            </w:r>
            <w:r>
              <w:tab/>
            </w:r>
          </w:p>
        </w:tc>
        <w:tc>
          <w:tcPr>
            <w:tcW w:w="1208" w:type="dxa"/>
          </w:tcPr>
          <w:p>
            <w:pPr>
              <w:pStyle w:val="yTableNAm"/>
              <w:jc w:val="center"/>
            </w:pPr>
            <w:r>
              <w:t>45</w:t>
            </w:r>
          </w:p>
        </w:tc>
      </w:tr>
      <w:tr>
        <w:trPr>
          <w:cantSplit/>
        </w:trPr>
        <w:tc>
          <w:tcPr>
            <w:tcW w:w="1080" w:type="dxa"/>
          </w:tcPr>
          <w:p>
            <w:pPr>
              <w:pStyle w:val="yTableNAm"/>
            </w:pPr>
            <w:r>
              <w:t>15</w:t>
            </w:r>
          </w:p>
        </w:tc>
        <w:tc>
          <w:tcPr>
            <w:tcW w:w="4800" w:type="dxa"/>
          </w:tcPr>
          <w:p>
            <w:pPr>
              <w:pStyle w:val="yTableNAm"/>
              <w:tabs>
                <w:tab w:val="right" w:leader="dot" w:pos="4732"/>
              </w:tabs>
            </w:pPr>
            <w:r>
              <w:t xml:space="preserve">Parking, standing or moving vehicle on site contrary to sign other than stop sign </w:t>
            </w:r>
            <w:r>
              <w:tab/>
            </w:r>
          </w:p>
        </w:tc>
        <w:tc>
          <w:tcPr>
            <w:tcW w:w="1208" w:type="dxa"/>
          </w:tcPr>
          <w:p>
            <w:pPr>
              <w:pStyle w:val="yTableNAm"/>
              <w:jc w:val="center"/>
            </w:pPr>
            <w:r>
              <w:br/>
              <w:t>40</w:t>
            </w:r>
          </w:p>
        </w:tc>
      </w:tr>
      <w:tr>
        <w:trPr>
          <w:cantSplit/>
        </w:trPr>
        <w:tc>
          <w:tcPr>
            <w:tcW w:w="1080" w:type="dxa"/>
          </w:tcPr>
          <w:p>
            <w:pPr>
              <w:pStyle w:val="yTableNAm"/>
            </w:pPr>
            <w:r>
              <w:t xml:space="preserve">16(3) </w:t>
            </w:r>
          </w:p>
        </w:tc>
        <w:tc>
          <w:tcPr>
            <w:tcW w:w="4800" w:type="dxa"/>
          </w:tcPr>
          <w:p>
            <w:pPr>
              <w:pStyle w:val="yTableNAm"/>
              <w:tabs>
                <w:tab w:val="right" w:leader="dot" w:pos="4732"/>
              </w:tabs>
            </w:pPr>
            <w:r>
              <w:t xml:space="preserve">Parking, standing or moving vehicle in parking space or parking facility contrary to sign </w:t>
            </w:r>
            <w:r>
              <w:tab/>
            </w:r>
          </w:p>
        </w:tc>
        <w:tc>
          <w:tcPr>
            <w:tcW w:w="1208" w:type="dxa"/>
          </w:tcPr>
          <w:p>
            <w:pPr>
              <w:pStyle w:val="yTableNAm"/>
              <w:jc w:val="center"/>
            </w:pPr>
            <w:r>
              <w:br/>
              <w:t>40</w:t>
            </w:r>
          </w:p>
        </w:tc>
      </w:tr>
      <w:tr>
        <w:trPr>
          <w:cantSplit/>
        </w:trPr>
        <w:tc>
          <w:tcPr>
            <w:tcW w:w="1080" w:type="dxa"/>
          </w:tcPr>
          <w:p>
            <w:pPr>
              <w:pStyle w:val="yTableNAm"/>
            </w:pPr>
            <w:r>
              <w:t>18(2)(a)</w:t>
            </w:r>
          </w:p>
        </w:tc>
        <w:tc>
          <w:tcPr>
            <w:tcW w:w="4800" w:type="dxa"/>
          </w:tcPr>
          <w:p>
            <w:pPr>
              <w:pStyle w:val="yTableNAm"/>
              <w:tabs>
                <w:tab w:val="right" w:leader="dot" w:pos="4732"/>
              </w:tabs>
            </w:pPr>
            <w:r>
              <w:t xml:space="preserve">Parking in ticket parking area without purchasing ticket for required period </w:t>
            </w:r>
            <w:r>
              <w:tab/>
            </w:r>
          </w:p>
        </w:tc>
        <w:tc>
          <w:tcPr>
            <w:tcW w:w="1208" w:type="dxa"/>
          </w:tcPr>
          <w:p>
            <w:pPr>
              <w:pStyle w:val="yTableNAm"/>
              <w:jc w:val="center"/>
            </w:pPr>
            <w:r>
              <w:br/>
              <w:t>30</w:t>
            </w:r>
          </w:p>
        </w:tc>
      </w:tr>
      <w:tr>
        <w:trPr>
          <w:cantSplit/>
        </w:trPr>
        <w:tc>
          <w:tcPr>
            <w:tcW w:w="1080" w:type="dxa"/>
          </w:tcPr>
          <w:p>
            <w:pPr>
              <w:pStyle w:val="yTableNAm"/>
            </w:pPr>
            <w:r>
              <w:t>18(2)(b)</w:t>
            </w:r>
          </w:p>
        </w:tc>
        <w:tc>
          <w:tcPr>
            <w:tcW w:w="4800" w:type="dxa"/>
          </w:tcPr>
          <w:p>
            <w:pPr>
              <w:pStyle w:val="yTableNAm"/>
              <w:tabs>
                <w:tab w:val="clear" w:pos="567"/>
                <w:tab w:val="right" w:leader="dot" w:pos="4732"/>
              </w:tabs>
            </w:pPr>
            <w:r>
              <w:t xml:space="preserve">Parking in ticket parking area without displaying ticket </w:t>
            </w:r>
            <w:r>
              <w:tab/>
            </w:r>
          </w:p>
        </w:tc>
        <w:tc>
          <w:tcPr>
            <w:tcW w:w="1208" w:type="dxa"/>
          </w:tcPr>
          <w:p>
            <w:pPr>
              <w:pStyle w:val="yTableNAm"/>
              <w:jc w:val="center"/>
            </w:pPr>
            <w:r>
              <w:br/>
              <w:t>30</w:t>
            </w:r>
          </w:p>
        </w:tc>
      </w:tr>
      <w:tr>
        <w:trPr>
          <w:cantSplit/>
        </w:trPr>
        <w:tc>
          <w:tcPr>
            <w:tcW w:w="1080" w:type="dxa"/>
            <w:shd w:val="clear" w:color="auto" w:fill="auto"/>
          </w:tcPr>
          <w:p>
            <w:pPr>
              <w:pStyle w:val="yTableNAm"/>
            </w:pPr>
            <w:r>
              <w:t>18(4)</w:t>
            </w:r>
          </w:p>
        </w:tc>
        <w:tc>
          <w:tcPr>
            <w:tcW w:w="4800" w:type="dxa"/>
          </w:tcPr>
          <w:p>
            <w:pPr>
              <w:pStyle w:val="yTableNAm"/>
              <w:tabs>
                <w:tab w:val="right" w:leader="dot" w:pos="4732"/>
              </w:tabs>
            </w:pPr>
            <w:r>
              <w:t xml:space="preserve">Parking in boom gate controlled ticket parking area without ticket </w:t>
            </w:r>
            <w:r>
              <w:tab/>
            </w:r>
          </w:p>
        </w:tc>
        <w:tc>
          <w:tcPr>
            <w:tcW w:w="1208" w:type="dxa"/>
          </w:tcPr>
          <w:p>
            <w:pPr>
              <w:pStyle w:val="yTableNAm"/>
              <w:jc w:val="center"/>
            </w:pPr>
            <w:r>
              <w:br/>
              <w:t>30</w:t>
            </w:r>
          </w:p>
        </w:tc>
      </w:tr>
      <w:tr>
        <w:trPr>
          <w:cantSplit/>
        </w:trPr>
        <w:tc>
          <w:tcPr>
            <w:tcW w:w="1080" w:type="dxa"/>
          </w:tcPr>
          <w:p>
            <w:pPr>
              <w:pStyle w:val="yTableNAm"/>
            </w:pPr>
            <w:r>
              <w:t>18(5)</w:t>
            </w:r>
          </w:p>
        </w:tc>
        <w:tc>
          <w:tcPr>
            <w:tcW w:w="4800" w:type="dxa"/>
          </w:tcPr>
          <w:p>
            <w:pPr>
              <w:pStyle w:val="yTableNAm"/>
              <w:tabs>
                <w:tab w:val="right" w:leader="dot" w:pos="4732"/>
              </w:tabs>
            </w:pPr>
            <w:r>
              <w:t xml:space="preserve">Removing vehicle from boom gate controlled ticket parking area without paying prescribed fee </w:t>
            </w:r>
            <w:r>
              <w:tab/>
            </w:r>
          </w:p>
        </w:tc>
        <w:tc>
          <w:tcPr>
            <w:tcW w:w="1208" w:type="dxa"/>
          </w:tcPr>
          <w:p>
            <w:pPr>
              <w:pStyle w:val="yTableNAm"/>
              <w:jc w:val="center"/>
            </w:pPr>
            <w:r>
              <w:br/>
              <w:t>30</w:t>
            </w:r>
          </w:p>
        </w:tc>
      </w:tr>
      <w:tr>
        <w:trPr>
          <w:cantSplit/>
        </w:trPr>
        <w:tc>
          <w:tcPr>
            <w:tcW w:w="1080" w:type="dxa"/>
          </w:tcPr>
          <w:p>
            <w:pPr>
              <w:pStyle w:val="yTableNAm"/>
            </w:pPr>
            <w:r>
              <w:t>18(7)</w:t>
            </w:r>
          </w:p>
        </w:tc>
        <w:tc>
          <w:tcPr>
            <w:tcW w:w="4800" w:type="dxa"/>
          </w:tcPr>
          <w:p>
            <w:pPr>
              <w:pStyle w:val="yTableNAm"/>
              <w:tabs>
                <w:tab w:val="right" w:leader="dot" w:pos="4732"/>
              </w:tabs>
            </w:pPr>
            <w:r>
              <w:t xml:space="preserve">Parking vehicle in ticket parking area or boom gate controlled ticket parking area and leaving site while vehicle is parked there </w:t>
            </w:r>
            <w:r>
              <w:tab/>
            </w:r>
          </w:p>
        </w:tc>
        <w:tc>
          <w:tcPr>
            <w:tcW w:w="1208" w:type="dxa"/>
          </w:tcPr>
          <w:p>
            <w:pPr>
              <w:pStyle w:val="yTableNAm"/>
              <w:jc w:val="center"/>
            </w:pPr>
            <w:r>
              <w:br/>
            </w:r>
            <w:r>
              <w:br/>
              <w:t>30</w:t>
            </w:r>
          </w:p>
        </w:tc>
      </w:tr>
      <w:tr>
        <w:trPr>
          <w:cantSplit/>
        </w:trPr>
        <w:tc>
          <w:tcPr>
            <w:tcW w:w="1080" w:type="dxa"/>
          </w:tcPr>
          <w:p>
            <w:pPr>
              <w:pStyle w:val="yTableNAm"/>
            </w:pPr>
            <w:r>
              <w:t>19(2)</w:t>
            </w:r>
          </w:p>
        </w:tc>
        <w:tc>
          <w:tcPr>
            <w:tcW w:w="4800" w:type="dxa"/>
          </w:tcPr>
          <w:p>
            <w:pPr>
              <w:pStyle w:val="yTableNAm"/>
              <w:tabs>
                <w:tab w:val="right" w:leader="dot" w:pos="4732"/>
              </w:tabs>
            </w:pPr>
            <w:r>
              <w:t xml:space="preserve">Parking in paid staff parking area when not an eligible staff member </w:t>
            </w:r>
            <w:r>
              <w:tab/>
            </w:r>
          </w:p>
        </w:tc>
        <w:tc>
          <w:tcPr>
            <w:tcW w:w="1208" w:type="dxa"/>
          </w:tcPr>
          <w:p>
            <w:pPr>
              <w:pStyle w:val="yTableNAm"/>
              <w:jc w:val="center"/>
            </w:pPr>
            <w:r>
              <w:br/>
              <w:t>45</w:t>
            </w:r>
          </w:p>
        </w:tc>
      </w:tr>
      <w:tr>
        <w:trPr>
          <w:cantSplit/>
        </w:trPr>
        <w:tc>
          <w:tcPr>
            <w:tcW w:w="1080" w:type="dxa"/>
          </w:tcPr>
          <w:p>
            <w:pPr>
              <w:pStyle w:val="yTableNAm"/>
            </w:pPr>
            <w:r>
              <w:t>19(3)</w:t>
            </w:r>
          </w:p>
        </w:tc>
        <w:tc>
          <w:tcPr>
            <w:tcW w:w="4800" w:type="dxa"/>
          </w:tcPr>
          <w:p>
            <w:pPr>
              <w:pStyle w:val="yTableNAm"/>
              <w:tabs>
                <w:tab w:val="clear" w:pos="567"/>
                <w:tab w:val="right" w:leader="dot" w:pos="4732"/>
              </w:tabs>
            </w:pPr>
            <w:r>
              <w:t xml:space="preserve">Failing to pay before leaving paid staff parking area </w:t>
            </w:r>
            <w:r>
              <w:tab/>
            </w:r>
          </w:p>
        </w:tc>
        <w:tc>
          <w:tcPr>
            <w:tcW w:w="1208" w:type="dxa"/>
          </w:tcPr>
          <w:p>
            <w:pPr>
              <w:pStyle w:val="yTableNAm"/>
              <w:jc w:val="center"/>
            </w:pPr>
            <w:r>
              <w:br/>
              <w:t>20</w:t>
            </w:r>
          </w:p>
        </w:tc>
      </w:tr>
      <w:tr>
        <w:trPr>
          <w:cantSplit/>
        </w:trPr>
        <w:tc>
          <w:tcPr>
            <w:tcW w:w="1080" w:type="dxa"/>
          </w:tcPr>
          <w:p>
            <w:pPr>
              <w:pStyle w:val="yTableNAm"/>
            </w:pPr>
            <w:r>
              <w:t>20(2)</w:t>
            </w:r>
          </w:p>
        </w:tc>
        <w:tc>
          <w:tcPr>
            <w:tcW w:w="4800" w:type="dxa"/>
          </w:tcPr>
          <w:p>
            <w:pPr>
              <w:pStyle w:val="yTableNAm"/>
              <w:tabs>
                <w:tab w:val="right" w:leader="dot" w:pos="4732"/>
              </w:tabs>
            </w:pPr>
            <w:r>
              <w:t xml:space="preserve">Unlawfully parking in permit parking area </w:t>
            </w:r>
            <w:r>
              <w:tab/>
            </w:r>
          </w:p>
        </w:tc>
        <w:tc>
          <w:tcPr>
            <w:tcW w:w="1208" w:type="dxa"/>
          </w:tcPr>
          <w:p>
            <w:pPr>
              <w:pStyle w:val="yTableNAm"/>
              <w:jc w:val="center"/>
            </w:pPr>
            <w:r>
              <w:t>45</w:t>
            </w:r>
          </w:p>
        </w:tc>
      </w:tr>
      <w:tr>
        <w:trPr>
          <w:cantSplit/>
        </w:trPr>
        <w:tc>
          <w:tcPr>
            <w:tcW w:w="1080" w:type="dxa"/>
          </w:tcPr>
          <w:p>
            <w:pPr>
              <w:pStyle w:val="yTableNAm"/>
            </w:pPr>
            <w:r>
              <w:t>30</w:t>
            </w:r>
          </w:p>
        </w:tc>
        <w:tc>
          <w:tcPr>
            <w:tcW w:w="4800" w:type="dxa"/>
          </w:tcPr>
          <w:p>
            <w:pPr>
              <w:pStyle w:val="yTableNAm"/>
              <w:tabs>
                <w:tab w:val="right" w:leader="dot" w:pos="4732"/>
              </w:tabs>
            </w:pPr>
            <w:r>
              <w:t xml:space="preserve">Unauthorised person endorsing or altering infringement notice </w:t>
            </w:r>
            <w:r>
              <w:tab/>
            </w:r>
          </w:p>
        </w:tc>
        <w:tc>
          <w:tcPr>
            <w:tcW w:w="1208" w:type="dxa"/>
          </w:tcPr>
          <w:p>
            <w:pPr>
              <w:pStyle w:val="yTableNAm"/>
              <w:jc w:val="center"/>
            </w:pPr>
            <w:r>
              <w:br/>
              <w:t>20</w:t>
            </w:r>
          </w:p>
        </w:tc>
      </w:tr>
      <w:tr>
        <w:trPr>
          <w:cantSplit/>
        </w:trPr>
        <w:tc>
          <w:tcPr>
            <w:tcW w:w="1080" w:type="dxa"/>
          </w:tcPr>
          <w:p>
            <w:pPr>
              <w:pStyle w:val="yTableNAm"/>
            </w:pPr>
            <w:r>
              <w:t>31</w:t>
            </w:r>
          </w:p>
        </w:tc>
        <w:tc>
          <w:tcPr>
            <w:tcW w:w="4800" w:type="dxa"/>
          </w:tcPr>
          <w:p>
            <w:pPr>
              <w:pStyle w:val="yTableNAm"/>
              <w:tabs>
                <w:tab w:val="right" w:leader="dot" w:pos="4732"/>
              </w:tabs>
            </w:pPr>
            <w:r>
              <w:t xml:space="preserve">Removing infringement notice when not authorised to do so </w:t>
            </w:r>
            <w:r>
              <w:tab/>
            </w:r>
          </w:p>
        </w:tc>
        <w:tc>
          <w:tcPr>
            <w:tcW w:w="1208" w:type="dxa"/>
          </w:tcPr>
          <w:p>
            <w:pPr>
              <w:pStyle w:val="yTableNAm"/>
              <w:jc w:val="center"/>
              <w:rPr>
                <w:rStyle w:val="DraftersNotes"/>
                <w:b w:val="0"/>
                <w:i w:val="0"/>
                <w:sz w:val="22"/>
              </w:rPr>
            </w:pPr>
            <w:r>
              <w:br/>
              <w:t>20</w:t>
            </w:r>
          </w:p>
        </w:tc>
      </w:tr>
    </w:tbl>
    <w:p>
      <w:pPr>
        <w:pStyle w:val="yScheduleHeading"/>
        <w:outlineLvl w:val="0"/>
      </w:pPr>
      <w:bookmarkStart w:id="154" w:name="_Toc408568328"/>
      <w:bookmarkStart w:id="155" w:name="_Toc416692259"/>
      <w:bookmarkStart w:id="156" w:name="_Toc416692306"/>
      <w:bookmarkStart w:id="157" w:name="_Toc416692399"/>
      <w:bookmarkStart w:id="158" w:name="_Toc416710520"/>
      <w:bookmarkStart w:id="159" w:name="_Toc416711662"/>
      <w:bookmarkStart w:id="160" w:name="_Toc416711711"/>
      <w:bookmarkStart w:id="161" w:name="_Toc417545474"/>
      <w:bookmarkStart w:id="162" w:name="_Toc417545522"/>
      <w:r>
        <w:rPr>
          <w:rStyle w:val="CharSchNo"/>
        </w:rPr>
        <w:t>Schedule 3</w:t>
      </w:r>
      <w:r>
        <w:rPr>
          <w:rStyle w:val="CharSDivNo"/>
        </w:rPr>
        <w:t> </w:t>
      </w:r>
      <w:r>
        <w:t>—</w:t>
      </w:r>
      <w:r>
        <w:rPr>
          <w:rStyle w:val="CharSDivText"/>
        </w:rPr>
        <w:t> </w:t>
      </w:r>
      <w:r>
        <w:rPr>
          <w:rStyle w:val="CharSchText"/>
        </w:rPr>
        <w:t>Forms</w:t>
      </w:r>
      <w:bookmarkEnd w:id="154"/>
      <w:bookmarkEnd w:id="155"/>
      <w:bookmarkEnd w:id="156"/>
      <w:bookmarkEnd w:id="157"/>
      <w:bookmarkEnd w:id="158"/>
      <w:bookmarkEnd w:id="159"/>
      <w:bookmarkEnd w:id="160"/>
      <w:bookmarkEnd w:id="161"/>
      <w:bookmarkEnd w:id="162"/>
    </w:p>
    <w:p>
      <w:pPr>
        <w:pStyle w:val="yShoulderClause"/>
      </w:pPr>
      <w:r>
        <w:t>[bl. 27 and 28]</w:t>
      </w:r>
    </w:p>
    <w:p>
      <w:pPr>
        <w:pStyle w:val="yMiscellaneousHeading"/>
        <w:rPr>
          <w:b/>
        </w:rPr>
      </w:pPr>
      <w:r>
        <w:rPr>
          <w:b/>
        </w:rPr>
        <w:t>Form 1:  Infringement notice (by</w:t>
      </w:r>
      <w:r>
        <w:rPr>
          <w:b/>
        </w:rPr>
        <w:noBreakHyphen/>
        <w:t>law 27)</w:t>
      </w:r>
    </w:p>
    <w:p>
      <w:pPr>
        <w:pStyle w:val="yMiscellaneousHeading"/>
      </w:pPr>
      <w:r>
        <w:t>Government of Western Australia</w:t>
      </w:r>
    </w:p>
    <w:p>
      <w:pPr>
        <w:pStyle w:val="yMiscellaneousHeading"/>
      </w:pPr>
      <w:r>
        <w:t>Department of Health</w:t>
      </w:r>
    </w:p>
    <w:p>
      <w:pPr>
        <w:pStyle w:val="yMiscellaneousHeading"/>
      </w:pPr>
      <w:r>
        <w:t>Metropolitan Access and Parking Department</w:t>
      </w:r>
    </w:p>
    <w:p>
      <w:pPr>
        <w:pStyle w:val="yMiscellaneousHeading"/>
        <w:spacing w:after="120"/>
        <w:rPr>
          <w:i/>
          <w:szCs w:val="22"/>
        </w:rPr>
      </w:pPr>
      <w:r>
        <w:rPr>
          <w:i/>
          <w:szCs w:val="22"/>
        </w:rPr>
        <w:t>Fiona Stanley Hospital By</w:t>
      </w:r>
      <w:r>
        <w:rPr>
          <w:i/>
          <w:szCs w:val="22"/>
        </w:rPr>
        <w:noBreakHyphen/>
        <w:t>laws 2014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trPr>
        <w:tc>
          <w:tcPr>
            <w:tcW w:w="2759" w:type="dxa"/>
            <w:gridSpan w:val="2"/>
            <w:tcBorders>
              <w:top w:val="single" w:sz="4" w:space="0" w:color="auto"/>
              <w:left w:val="single" w:sz="4" w:space="0" w:color="auto"/>
              <w:bottom w:val="nil"/>
            </w:tcBorders>
          </w:tcPr>
          <w:p>
            <w:pPr>
              <w:pStyle w:val="yTableNAm"/>
            </w:pPr>
            <w:r>
              <w:t>Infringement no.</w:t>
            </w:r>
          </w:p>
        </w:tc>
        <w:tc>
          <w:tcPr>
            <w:tcW w:w="2022" w:type="dxa"/>
            <w:gridSpan w:val="3"/>
            <w:tcBorders>
              <w:top w:val="single" w:sz="4" w:space="0" w:color="auto"/>
              <w:bottom w:val="nil"/>
            </w:tcBorders>
          </w:tcPr>
          <w:p>
            <w:pPr>
              <w:pStyle w:val="yTableNAm"/>
            </w:pPr>
            <w:r>
              <w:t>Date</w:t>
            </w:r>
          </w:p>
        </w:tc>
        <w:tc>
          <w:tcPr>
            <w:tcW w:w="2157" w:type="dxa"/>
            <w:tcBorders>
              <w:top w:val="single" w:sz="4" w:space="0" w:color="auto"/>
              <w:bottom w:val="nil"/>
            </w:tcBorders>
          </w:tcPr>
          <w:p>
            <w:pPr>
              <w:pStyle w:val="yTableNAm"/>
            </w:pPr>
            <w:r>
              <w:t>Time</w:t>
            </w:r>
          </w:p>
        </w:tc>
      </w:tr>
      <w:tr>
        <w:trPr>
          <w:cantSplit/>
        </w:trPr>
        <w:tc>
          <w:tcPr>
            <w:tcW w:w="6938" w:type="dxa"/>
            <w:gridSpan w:val="6"/>
            <w:tcBorders>
              <w:top w:val="nil"/>
              <w:left w:val="single" w:sz="4" w:space="0" w:color="auto"/>
              <w:bottom w:val="nil"/>
            </w:tcBorders>
          </w:tcPr>
          <w:p>
            <w:pPr>
              <w:pStyle w:val="yTableNAm"/>
            </w:pPr>
            <w:r>
              <w:t>Officer ID</w:t>
            </w:r>
          </w:p>
        </w:tc>
      </w:tr>
      <w:tr>
        <w:trPr>
          <w:cantSplit/>
        </w:trPr>
        <w:tc>
          <w:tcPr>
            <w:tcW w:w="6938" w:type="dxa"/>
            <w:gridSpan w:val="6"/>
            <w:tcBorders>
              <w:top w:val="nil"/>
              <w:left w:val="single" w:sz="4" w:space="0" w:color="auto"/>
              <w:bottom w:val="nil"/>
            </w:tcBorders>
          </w:tcPr>
          <w:p>
            <w:pPr>
              <w:pStyle w:val="yTableNAm"/>
            </w:pPr>
            <w:r>
              <w:t>Location</w:t>
            </w:r>
          </w:p>
        </w:tc>
      </w:tr>
      <w:tr>
        <w:trPr>
          <w:cantSplit/>
        </w:trPr>
        <w:tc>
          <w:tcPr>
            <w:tcW w:w="6938" w:type="dxa"/>
            <w:gridSpan w:val="6"/>
            <w:tcBorders>
              <w:top w:val="nil"/>
              <w:left w:val="single" w:sz="4" w:space="0" w:color="auto"/>
              <w:bottom w:val="single" w:sz="4" w:space="0" w:color="auto"/>
            </w:tcBorders>
          </w:tcPr>
          <w:p>
            <w:pPr>
              <w:pStyle w:val="yTableNAm"/>
            </w:pPr>
            <w:r>
              <w:t>Car Park</w:t>
            </w:r>
          </w:p>
        </w:tc>
      </w:tr>
      <w:tr>
        <w:trPr>
          <w:cantSplit/>
        </w:trPr>
        <w:tc>
          <w:tcPr>
            <w:tcW w:w="6938" w:type="dxa"/>
            <w:gridSpan w:val="6"/>
            <w:tcBorders>
              <w:top w:val="single" w:sz="4" w:space="0" w:color="auto"/>
              <w:left w:val="nil"/>
              <w:bottom w:val="single" w:sz="4" w:space="0" w:color="auto"/>
              <w:right w:val="nil"/>
            </w:tcBorders>
          </w:tcPr>
          <w:p>
            <w:pPr>
              <w:pStyle w:val="yTableNAm"/>
              <w:rPr>
                <w:b/>
              </w:rPr>
            </w:pPr>
            <w:r>
              <w:rPr>
                <w:b/>
              </w:rPr>
              <w:t>Offence</w:t>
            </w:r>
          </w:p>
        </w:tc>
      </w:tr>
      <w:tr>
        <w:trPr>
          <w:cantSplit/>
        </w:trPr>
        <w:tc>
          <w:tcPr>
            <w:tcW w:w="3770"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770"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pPr>
          </w:p>
          <w:p>
            <w:pPr>
              <w:pStyle w:val="yTableNAm"/>
            </w:pPr>
          </w:p>
          <w:p>
            <w:pPr>
              <w:pStyle w:val="yTableNAm"/>
            </w:pPr>
          </w:p>
        </w:tc>
      </w:tr>
      <w:tr>
        <w:trPr>
          <w:cantSplit/>
        </w:trPr>
        <w:tc>
          <w:tcPr>
            <w:tcW w:w="2138" w:type="dxa"/>
            <w:tcBorders>
              <w:top w:val="single" w:sz="4" w:space="0" w:color="auto"/>
              <w:left w:val="single" w:sz="4" w:space="0" w:color="auto"/>
              <w:bottom w:val="single" w:sz="4" w:space="0" w:color="auto"/>
              <w:right w:val="single" w:sz="4" w:space="0" w:color="auto"/>
            </w:tcBorders>
          </w:tcPr>
          <w:p>
            <w:pPr>
              <w:pStyle w:val="yTableNAm"/>
            </w:pPr>
            <w:r>
              <w:t>Modified Penalty</w:t>
            </w:r>
          </w:p>
          <w:p>
            <w:pPr>
              <w:pStyle w:val="yTableNAm"/>
            </w:pPr>
            <w: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pPr>
            <w:r>
              <w:t>If paid before</w:t>
            </w:r>
          </w:p>
          <w:p>
            <w:pPr>
              <w:pStyle w:val="yTableNAm"/>
            </w:pPr>
            <w:r>
              <w:t>....................................</w:t>
            </w:r>
          </w:p>
        </w:tc>
        <w:tc>
          <w:tcPr>
            <w:tcW w:w="2400" w:type="dxa"/>
            <w:gridSpan w:val="2"/>
            <w:tcBorders>
              <w:top w:val="single" w:sz="4" w:space="0" w:color="auto"/>
              <w:left w:val="single" w:sz="4" w:space="0" w:color="auto"/>
              <w:bottom w:val="single" w:sz="4" w:space="0" w:color="auto"/>
            </w:tcBorders>
          </w:tcPr>
          <w:p>
            <w:pPr>
              <w:pStyle w:val="yTableNAm"/>
            </w:pPr>
            <w:r>
              <w:t>Full Penalty</w:t>
            </w:r>
          </w:p>
          <w:p>
            <w:pPr>
              <w:pStyle w:val="yTableNAm"/>
            </w:pPr>
            <w:r>
              <w:t>....................................</w:t>
            </w:r>
          </w:p>
        </w:tc>
      </w:tr>
      <w:tr>
        <w:trPr>
          <w:cantSplit/>
        </w:trPr>
        <w:tc>
          <w:tcPr>
            <w:tcW w:w="6938" w:type="dxa"/>
            <w:gridSpan w:val="6"/>
            <w:tcBorders>
              <w:top w:val="single" w:sz="4" w:space="0" w:color="auto"/>
              <w:left w:val="nil"/>
              <w:bottom w:val="single" w:sz="4" w:space="0" w:color="auto"/>
              <w:right w:val="nil"/>
            </w:tcBorders>
          </w:tcPr>
          <w:p>
            <w:pPr>
              <w:pStyle w:val="yTableNAm"/>
              <w:rPr>
                <w:b/>
              </w:rPr>
            </w:pPr>
            <w:r>
              <w:rPr>
                <w:b/>
              </w:rPr>
              <w:t>Vehicle</w:t>
            </w:r>
          </w:p>
        </w:tc>
      </w:tr>
      <w:tr>
        <w:trPr>
          <w:cantSplit/>
        </w:trPr>
        <w:tc>
          <w:tcPr>
            <w:tcW w:w="3770" w:type="dxa"/>
            <w:gridSpan w:val="3"/>
            <w:tcBorders>
              <w:top w:val="single" w:sz="4" w:space="0" w:color="auto"/>
              <w:left w:val="single" w:sz="4" w:space="0" w:color="auto"/>
              <w:bottom w:val="single" w:sz="4" w:space="0" w:color="auto"/>
            </w:tcBorders>
          </w:tcPr>
          <w:p>
            <w:pPr>
              <w:pStyle w:val="yTableNAm"/>
            </w:pPr>
            <w:r>
              <w:t>Reg. no.</w:t>
            </w:r>
          </w:p>
        </w:tc>
        <w:tc>
          <w:tcPr>
            <w:tcW w:w="3168" w:type="dxa"/>
            <w:gridSpan w:val="3"/>
            <w:tcBorders>
              <w:top w:val="single" w:sz="4" w:space="0" w:color="auto"/>
              <w:bottom w:val="single" w:sz="4" w:space="0" w:color="auto"/>
            </w:tcBorders>
          </w:tcPr>
          <w:p>
            <w:pPr>
              <w:pStyle w:val="yTableNAm"/>
            </w:pPr>
            <w:r>
              <w:t>State</w:t>
            </w:r>
          </w:p>
        </w:tc>
      </w:tr>
      <w:tr>
        <w:trPr>
          <w:cantSplit/>
          <w:trHeight w:val="20"/>
        </w:trPr>
        <w:tc>
          <w:tcPr>
            <w:tcW w:w="3770" w:type="dxa"/>
            <w:gridSpan w:val="3"/>
            <w:tcBorders>
              <w:top w:val="single" w:sz="4" w:space="0" w:color="auto"/>
              <w:left w:val="nil"/>
              <w:bottom w:val="single" w:sz="4" w:space="0" w:color="auto"/>
            </w:tcBorders>
          </w:tcPr>
          <w:p>
            <w:pPr>
              <w:pStyle w:val="yTableNAm"/>
            </w:pPr>
          </w:p>
        </w:tc>
        <w:tc>
          <w:tcPr>
            <w:tcW w:w="3168" w:type="dxa"/>
            <w:gridSpan w:val="3"/>
            <w:tcBorders>
              <w:top w:val="single" w:sz="4" w:space="0" w:color="auto"/>
              <w:bottom w:val="single" w:sz="4" w:space="0" w:color="auto"/>
              <w:right w:val="nil"/>
            </w:tcBorders>
          </w:tcPr>
          <w:p>
            <w:pPr>
              <w:pStyle w:val="yTableNAm"/>
            </w:pPr>
          </w:p>
        </w:tc>
      </w:tr>
      <w:tr>
        <w:trPr>
          <w:cantSplit/>
        </w:trPr>
        <w:tc>
          <w:tcPr>
            <w:tcW w:w="3770"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Ref.</w:t>
            </w:r>
          </w:p>
        </w:tc>
      </w:tr>
      <w:tr>
        <w:trPr>
          <w:cantSplit/>
        </w:trPr>
        <w:tc>
          <w:tcPr>
            <w:tcW w:w="6938"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6938" w:type="dxa"/>
            <w:gridSpan w:val="6"/>
            <w:tcBorders>
              <w:top w:val="nil"/>
              <w:left w:val="nil"/>
              <w:bottom w:val="nil"/>
              <w:right w:val="nil"/>
            </w:tcBorders>
          </w:tcPr>
          <w:p>
            <w:pPr>
              <w:pStyle w:val="yTableNAm"/>
              <w:rPr>
                <w:b/>
              </w:rPr>
            </w:pPr>
            <w:r>
              <w:rPr>
                <w:b/>
              </w:rPr>
              <w:t>Metropolitan Access and Parking</w:t>
            </w:r>
          </w:p>
          <w:p>
            <w:pPr>
              <w:pStyle w:val="yTableNAm"/>
            </w:pPr>
            <w:r>
              <w:t xml:space="preserve">You must on or before the due date — </w:t>
            </w:r>
          </w:p>
          <w:p>
            <w:pPr>
              <w:pStyle w:val="yTableNAm"/>
              <w:rPr>
                <w:b/>
              </w:rPr>
            </w:pPr>
            <w:r>
              <w:rPr>
                <w:b/>
              </w:rPr>
              <w:t>Pay the Infringement</w:t>
            </w:r>
          </w:p>
          <w:p>
            <w:pPr>
              <w:pStyle w:val="yTableNAm"/>
            </w:pPr>
            <w:r>
              <w:t>Pay in person at any post office, phone 13 18 16 or go to www.postbillpay.com.au.</w:t>
            </w:r>
          </w:p>
          <w:p>
            <w:pPr>
              <w:pStyle w:val="yTableNAm"/>
            </w:pPr>
            <w:r>
              <w:t>By credit card by phoning 1800 753 191.</w:t>
            </w:r>
          </w:p>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6938" w:type="dxa"/>
            <w:gridSpan w:val="6"/>
            <w:tcBorders>
              <w:top w:val="nil"/>
              <w:left w:val="nil"/>
              <w:bottom w:val="nil"/>
              <w:right w:val="nil"/>
            </w:tcBorders>
          </w:tcPr>
          <w:p>
            <w:pPr>
              <w:pStyle w:val="yTableNAm"/>
            </w:pPr>
            <w:r>
              <w:t>OR</w:t>
            </w:r>
          </w:p>
          <w:p>
            <w:pPr>
              <w:pStyle w:val="yTableNAm"/>
            </w:pPr>
            <w:r>
              <w:t xml:space="preserve">If you were not driving or the </w:t>
            </w:r>
            <w:r>
              <w:rPr>
                <w:szCs w:val="22"/>
              </w:rPr>
              <w:t>responsible person for</w:t>
            </w:r>
            <w:r>
              <w:t xml:space="preserve"> the vehicle at the time of the alleged offence — submit a declaration giving the full name and address of the driver or </w:t>
            </w:r>
            <w:r>
              <w:rPr>
                <w:szCs w:val="22"/>
              </w:rPr>
              <w:t>responsible person.</w:t>
            </w:r>
            <w:r>
              <w:t xml:space="preserve">  Documentary proof of sale is required if the vehicle was sold prior to the alleged offence.</w:t>
            </w:r>
          </w:p>
        </w:tc>
      </w:tr>
      <w:tr>
        <w:trPr>
          <w:cantSplit/>
        </w:trPr>
        <w:tc>
          <w:tcPr>
            <w:tcW w:w="6938" w:type="dxa"/>
            <w:gridSpan w:val="6"/>
            <w:tcBorders>
              <w:top w:val="nil"/>
              <w:left w:val="nil"/>
              <w:bottom w:val="nil"/>
              <w:right w:val="nil"/>
            </w:tcBorders>
          </w:tcPr>
          <w:p>
            <w:pPr>
              <w:pStyle w:val="yTableNAm"/>
            </w:pPr>
            <w:r>
              <w:t xml:space="preserve">A declaration form is downloadable at — </w:t>
            </w:r>
          </w:p>
          <w:p>
            <w:pPr>
              <w:pStyle w:val="yTableNAm"/>
            </w:pPr>
            <w:r>
              <w:rPr>
                <w:szCs w:val="22"/>
              </w:rPr>
              <w:t>www.health.wa.gov.au/parking/infringement</w:t>
            </w:r>
          </w:p>
          <w:p>
            <w:pPr>
              <w:pStyle w:val="yTableNAm"/>
            </w:pPr>
            <w:r>
              <w:t>OR</w:t>
            </w:r>
          </w:p>
        </w:tc>
      </w:tr>
      <w:tr>
        <w:trPr>
          <w:cantSplit/>
        </w:trPr>
        <w:tc>
          <w:tcPr>
            <w:tcW w:w="6938"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6938"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6938" w:type="dxa"/>
            <w:gridSpan w:val="6"/>
            <w:tcBorders>
              <w:top w:val="nil"/>
              <w:left w:val="nil"/>
              <w:bottom w:val="nil"/>
              <w:right w:val="nil"/>
            </w:tcBorders>
          </w:tcPr>
          <w:p>
            <w:pPr>
              <w:pStyle w:val="yTableNAm"/>
            </w:pPr>
            <w:r>
              <w:t>I, ..................................................................................................................</w:t>
            </w:r>
          </w:p>
          <w:p>
            <w:pPr>
              <w:pStyle w:val="yTableNAm"/>
            </w:pPr>
            <w:r>
              <w:t>of .................................................................................................................</w:t>
            </w:r>
          </w:p>
          <w:p>
            <w:pPr>
              <w:pStyle w:val="yTableNAm"/>
            </w:pPr>
            <w:r>
              <w:t>............................................................................... Post code .....................</w:t>
            </w:r>
          </w:p>
          <w:p>
            <w:pPr>
              <w:pStyle w:val="yTableNAm"/>
            </w:pPr>
            <w:r>
              <w:t>Elect to attend court in relation to the alleged offence.</w:t>
            </w:r>
          </w:p>
          <w:p>
            <w:pPr>
              <w:pStyle w:val="yTableNAm"/>
            </w:pPr>
            <w:r>
              <w:t>Dated ............................... Signed ...............................................................</w:t>
            </w:r>
          </w:p>
        </w:tc>
      </w:tr>
      <w:tr>
        <w:trPr>
          <w:cantSplit/>
        </w:trPr>
        <w:tc>
          <w:tcPr>
            <w:tcW w:w="6938"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6938" w:type="dxa"/>
            <w:gridSpan w:val="6"/>
            <w:tcBorders>
              <w:top w:val="nil"/>
              <w:left w:val="nil"/>
              <w:bottom w:val="nil"/>
              <w:right w:val="nil"/>
            </w:tcBorders>
          </w:tcPr>
          <w:p>
            <w:pPr>
              <w:pStyle w:val="yTableNAm"/>
            </w:pPr>
            <w:r>
              <w:t xml:space="preserve">Further information is available at — </w:t>
            </w:r>
          </w:p>
          <w:p>
            <w:pPr>
              <w:pStyle w:val="yTableNAm"/>
            </w:pPr>
            <w:r>
              <w:tab/>
            </w:r>
            <w:r>
              <w:rPr>
                <w:szCs w:val="22"/>
              </w:rPr>
              <w:t>www.health.wa.gov.au/parking/infringement</w:t>
            </w:r>
            <w:r>
              <w:br/>
            </w:r>
            <w:r>
              <w:tab/>
              <w:t xml:space="preserve">or by phoning 1800 753 181 Monday </w:t>
            </w:r>
            <w:r>
              <w:noBreakHyphen/>
              <w:t xml:space="preserve"> Friday 8.30 a.m. </w:t>
            </w:r>
            <w:r>
              <w:noBreakHyphen/>
              <w:t xml:space="preserve"> 4.00 p.m.</w:t>
            </w:r>
            <w:r>
              <w:br/>
            </w:r>
            <w:r>
              <w:tab/>
              <w:t>or email: parking@health.wa.gov.au</w:t>
            </w:r>
            <w:r>
              <w:br/>
            </w:r>
            <w:r>
              <w:tab/>
              <w:t>or by post:</w:t>
            </w:r>
            <w:r>
              <w:br/>
            </w:r>
            <w:r>
              <w:tab/>
              <w:t>Metropolitan Access and Parking</w:t>
            </w:r>
            <w:r>
              <w:br/>
            </w:r>
            <w:r>
              <w:tab/>
              <w:t>PO Box 1135 Osborne Park WA 6916</w:t>
            </w:r>
          </w:p>
        </w:tc>
      </w:tr>
      <w:tr>
        <w:trPr>
          <w:cantSplit/>
        </w:trPr>
        <w:tc>
          <w:tcPr>
            <w:tcW w:w="6938" w:type="dxa"/>
            <w:gridSpan w:val="6"/>
            <w:tcBorders>
              <w:top w:val="nil"/>
              <w:left w:val="nil"/>
              <w:bottom w:val="nil"/>
              <w:right w:val="nil"/>
            </w:tcBorders>
          </w:tcPr>
          <w:p>
            <w:pPr>
              <w:pStyle w:val="yTableNAm"/>
            </w:pPr>
          </w:p>
        </w:tc>
      </w:tr>
    </w:tbl>
    <w:p>
      <w:pPr>
        <w:pStyle w:val="yEdnotesection"/>
      </w:pPr>
      <w:r>
        <w:tab/>
        <w:t>[Form 1 amended in Gazette 8 Jan 2015 p. 179-80.]</w:t>
      </w:r>
    </w:p>
    <w:p>
      <w:pPr>
        <w:pStyle w:val="yMiscellaneousHeading"/>
        <w:pageBreakBefore/>
        <w:rPr>
          <w:b/>
        </w:rPr>
      </w:pPr>
      <w:r>
        <w:rPr>
          <w:b/>
        </w:rPr>
        <w:t>Form 2:  Withdrawal of Infringement notice (by</w:t>
      </w:r>
      <w:r>
        <w:rPr>
          <w:b/>
        </w:rPr>
        <w:noBreakHyphen/>
        <w:t>law 28)</w:t>
      </w:r>
    </w:p>
    <w:p>
      <w:pPr>
        <w:pStyle w:val="yMiscellaneousHeading"/>
        <w:spacing w:before="120"/>
      </w:pPr>
      <w:r>
        <w:t>Government of Western Australia</w:t>
      </w:r>
    </w:p>
    <w:p>
      <w:pPr>
        <w:pStyle w:val="yMiscellaneousHeading"/>
        <w:spacing w:before="120"/>
      </w:pPr>
      <w:r>
        <w:t>Department of Health</w:t>
      </w:r>
    </w:p>
    <w:p>
      <w:pPr>
        <w:pStyle w:val="yMiscellaneousHeading"/>
        <w:spacing w:before="120"/>
      </w:pPr>
      <w:r>
        <w:t>Metropolitan Access and Parking Department</w:t>
      </w:r>
    </w:p>
    <w:p>
      <w:pPr>
        <w:pStyle w:val="yMiscellaneousHeading"/>
        <w:spacing w:before="120" w:after="120"/>
        <w:rPr>
          <w:i/>
          <w:szCs w:val="22"/>
        </w:rPr>
      </w:pPr>
      <w:r>
        <w:rPr>
          <w:i/>
          <w:szCs w:val="22"/>
        </w:rPr>
        <w:t>Fiona Stanley Hospital By</w:t>
      </w:r>
      <w:r>
        <w:rPr>
          <w:i/>
          <w:szCs w:val="22"/>
        </w:rPr>
        <w:noBreakHyphen/>
        <w:t>laws 2014</w:t>
      </w:r>
    </w:p>
    <w:p>
      <w:pPr>
        <w:pStyle w:val="yMiscellaneousBody"/>
        <w:spacing w:before="120"/>
        <w:ind w:left="284"/>
      </w:pPr>
      <w:r>
        <w:t>Date ..................................</w:t>
      </w:r>
    </w:p>
    <w:p>
      <w:pPr>
        <w:pStyle w:val="yMiscellaneousBody"/>
        <w:spacing w:before="120"/>
        <w:ind w:left="284"/>
      </w:pPr>
      <w:r>
        <w:t>Infringement notice ........................</w:t>
      </w:r>
    </w:p>
    <w:p>
      <w:pPr>
        <w:pStyle w:val="yMiscellaneousBody"/>
        <w:spacing w:before="120"/>
        <w:ind w:left="284"/>
      </w:pPr>
      <w:r>
        <w:t>Dear</w:t>
      </w:r>
    </w:p>
    <w:p>
      <w:pPr>
        <w:pStyle w:val="yMiscellaneousBody"/>
        <w:spacing w:before="120"/>
        <w:ind w:left="284"/>
      </w:pPr>
      <w:r>
        <w:t>Infringement notice no. ........................ served on you on .....................</w:t>
      </w:r>
    </w:p>
    <w:p>
      <w:pPr>
        <w:pStyle w:val="yMiscellaneousBody"/>
        <w:spacing w:before="120"/>
        <w:ind w:left="284"/>
      </w:pPr>
      <w:r>
        <w:t>for the alleged offence of ........................................................................</w:t>
      </w:r>
    </w:p>
    <w:p>
      <w:pPr>
        <w:pStyle w:val="yMiscellaneousBody"/>
        <w:spacing w:before="120"/>
        <w:ind w:left="284"/>
      </w:pPr>
      <w:r>
        <w:t>................................................................................................................</w:t>
      </w:r>
    </w:p>
    <w:p>
      <w:pPr>
        <w:pStyle w:val="yMiscellaneousBody"/>
        <w:spacing w:before="120"/>
        <w:ind w:left="284"/>
      </w:pPr>
      <w:r>
        <w:t>................................................................................................................</w:t>
      </w:r>
    </w:p>
    <w:p>
      <w:pPr>
        <w:pStyle w:val="yMiscellaneousBody"/>
        <w:spacing w:before="120"/>
        <w:ind w:left="284"/>
      </w:pPr>
      <w:r>
        <w:t>is hereby withdrawn and no further action will be taken against you.</w:t>
      </w:r>
    </w:p>
    <w:p>
      <w:pPr>
        <w:pStyle w:val="yMiscellaneousBody"/>
        <w:spacing w:before="120"/>
        <w:ind w:left="284"/>
      </w:pPr>
      <w:r>
        <w:t xml:space="preserve">If you paid the modified penalty before the infringement notice was withdrawn, please contact 1800 753 191 or post receipt to — </w:t>
      </w:r>
    </w:p>
    <w:p>
      <w:pPr>
        <w:pStyle w:val="yMiscellaneousBody"/>
        <w:ind w:left="284"/>
      </w:pPr>
      <w:r>
        <w:t>Metropolitan Access and Parking</w:t>
      </w:r>
      <w:r>
        <w:br/>
        <w:t>PO Box 1135</w:t>
      </w:r>
      <w:r>
        <w:br/>
        <w:t>Osborne Park WA  6916</w:t>
      </w:r>
    </w:p>
    <w:p>
      <w:pPr>
        <w:pStyle w:val="yMiscellaneousBody"/>
        <w:spacing w:before="200"/>
        <w:ind w:left="284"/>
      </w:pPr>
      <w:r>
        <w:t>Your payment will be refunded.</w:t>
      </w:r>
    </w:p>
    <w:p>
      <w:pPr>
        <w:pStyle w:val="yMiscellaneousBody"/>
        <w:spacing w:before="360"/>
        <w:ind w:left="284"/>
      </w:pPr>
      <w:r>
        <w:t>Yours sincerely</w:t>
      </w:r>
    </w:p>
    <w:p>
      <w:pPr>
        <w:pStyle w:val="yMiscellaneousBody"/>
        <w:ind w:left="284"/>
      </w:pPr>
      <w:r>
        <w:rPr>
          <w:b/>
          <w:u w:val="single"/>
        </w:rPr>
        <w:t xml:space="preserve">Signed for and on behalf of </w:t>
      </w:r>
      <w:r>
        <w:rPr>
          <w:b/>
          <w:u w:val="single"/>
        </w:rPr>
        <w:br/>
        <w:t>the Parking Infringement Committee</w:t>
      </w:r>
      <w:r>
        <w:rPr>
          <w:b/>
          <w:u w:val="single"/>
        </w:rPr>
        <w:br/>
      </w:r>
      <w:r>
        <w:t>Metropolitan Access and Parking Department</w:t>
      </w:r>
    </w:p>
    <w:p>
      <w:pPr>
        <w:pStyle w:val="ByCommand"/>
        <w:keepNext/>
        <w:keepLines/>
        <w:spacing w:before="600"/>
      </w:pPr>
      <w:r>
        <w:t>............................................................</w:t>
      </w:r>
      <w:r>
        <w:br/>
        <w:t>The Minister in his capacity as the</w:t>
      </w:r>
      <w:r>
        <w:br/>
        <w:t>board of the Fiona Stanley Hospital</w:t>
      </w:r>
    </w:p>
    <w:p>
      <w:pPr>
        <w:pStyle w:val="yTable"/>
        <w:tabs>
          <w:tab w:val="left" w:pos="851"/>
        </w:tabs>
        <w:rPr>
          <w:snapToGrid w:val="0"/>
        </w:rPr>
      </w:pP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164" w:name="_Toc408568329"/>
      <w:bookmarkStart w:id="165" w:name="_Toc416692260"/>
      <w:bookmarkStart w:id="166" w:name="_Toc416692307"/>
      <w:bookmarkStart w:id="167" w:name="_Toc416692400"/>
      <w:bookmarkStart w:id="168" w:name="_Toc416710521"/>
      <w:bookmarkStart w:id="169" w:name="_Toc416711663"/>
      <w:bookmarkStart w:id="170" w:name="_Toc416711712"/>
      <w:bookmarkStart w:id="171" w:name="_Toc417545475"/>
      <w:bookmarkStart w:id="172" w:name="_Toc417545523"/>
      <w:r>
        <w:t>Notes</w:t>
      </w:r>
      <w:bookmarkEnd w:id="164"/>
      <w:bookmarkEnd w:id="165"/>
      <w:bookmarkEnd w:id="166"/>
      <w:bookmarkEnd w:id="167"/>
      <w:bookmarkEnd w:id="168"/>
      <w:bookmarkEnd w:id="169"/>
      <w:bookmarkEnd w:id="170"/>
      <w:bookmarkEnd w:id="171"/>
      <w:bookmarkEnd w:id="172"/>
    </w:p>
    <w:p>
      <w:pPr>
        <w:pStyle w:val="nSubsection"/>
        <w:rPr>
          <w:snapToGrid w:val="0"/>
        </w:rPr>
      </w:pPr>
      <w:r>
        <w:rPr>
          <w:snapToGrid w:val="0"/>
          <w:vertAlign w:val="superscript"/>
        </w:rPr>
        <w:t>1</w:t>
      </w:r>
      <w:r>
        <w:rPr>
          <w:snapToGrid w:val="0"/>
        </w:rPr>
        <w:tab/>
        <w:t xml:space="preserve">This is a compilation of the </w:t>
      </w:r>
      <w:r>
        <w:rPr>
          <w:i/>
          <w:noProof/>
          <w:snapToGrid w:val="0"/>
        </w:rPr>
        <w:t>Fiona Stanley Hospital By-laws 2014</w:t>
      </w:r>
      <w:r>
        <w:t xml:space="preserve"> and</w:t>
      </w:r>
      <w:r>
        <w:rPr>
          <w:snapToGrid w:val="0"/>
        </w:rPr>
        <w:t xml:space="preserve"> includes the amendments made by the other written laws referred to in the following table.</w:t>
      </w:r>
    </w:p>
    <w:p>
      <w:pPr>
        <w:pStyle w:val="nHeading3"/>
      </w:pPr>
      <w:bookmarkStart w:id="173" w:name="_Toc408568330"/>
      <w:bookmarkStart w:id="174" w:name="_Toc417545524"/>
      <w:r>
        <w:t>Compilation table</w:t>
      </w:r>
      <w:bookmarkEnd w:id="173"/>
      <w:bookmarkEnd w:id="17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Fiona Stanley Hospital By-laws 2014</w:t>
            </w:r>
          </w:p>
        </w:tc>
        <w:tc>
          <w:tcPr>
            <w:tcW w:w="1276" w:type="dxa"/>
            <w:tcBorders>
              <w:bottom w:val="nil"/>
            </w:tcBorders>
          </w:tcPr>
          <w:p>
            <w:pPr>
              <w:pStyle w:val="nTable"/>
              <w:spacing w:after="40"/>
            </w:pPr>
            <w:r>
              <w:t>10 Oct 2014 p. 3701</w:t>
            </w:r>
            <w:r>
              <w:noBreakHyphen/>
              <w:t>30</w:t>
            </w:r>
          </w:p>
        </w:tc>
        <w:tc>
          <w:tcPr>
            <w:tcW w:w="2693" w:type="dxa"/>
            <w:tcBorders>
              <w:bottom w:val="nil"/>
            </w:tcBorders>
          </w:tcPr>
          <w:p>
            <w:pPr>
              <w:pStyle w:val="nTable"/>
              <w:spacing w:after="40"/>
            </w:pPr>
            <w:r>
              <w:t>bl. 1 and 2: 10 Oct 2014 (see bl. 2(a));</w:t>
            </w:r>
            <w:r>
              <w:br/>
              <w:t>By-laws other than bl. 1 and 2: 11 Oct 2014 (see bl. 2(b))</w:t>
            </w:r>
          </w:p>
        </w:tc>
      </w:tr>
      <w:tr>
        <w:tc>
          <w:tcPr>
            <w:tcW w:w="3118" w:type="dxa"/>
            <w:tcBorders>
              <w:top w:val="nil"/>
              <w:bottom w:val="nil"/>
            </w:tcBorders>
          </w:tcPr>
          <w:p>
            <w:pPr>
              <w:pStyle w:val="nTable"/>
              <w:spacing w:after="40"/>
              <w:rPr>
                <w:i/>
                <w:noProof/>
                <w:snapToGrid w:val="0"/>
              </w:rPr>
            </w:pPr>
            <w:r>
              <w:rPr>
                <w:i/>
              </w:rPr>
              <w:t>Fiona Stanley Hospital Amendment By</w:t>
            </w:r>
            <w:r>
              <w:rPr>
                <w:i/>
              </w:rPr>
              <w:noBreakHyphen/>
              <w:t>laws (No. 2) 2014</w:t>
            </w:r>
          </w:p>
        </w:tc>
        <w:tc>
          <w:tcPr>
            <w:tcW w:w="1276" w:type="dxa"/>
            <w:tcBorders>
              <w:top w:val="nil"/>
              <w:bottom w:val="nil"/>
            </w:tcBorders>
          </w:tcPr>
          <w:p>
            <w:pPr>
              <w:pStyle w:val="nTable"/>
              <w:spacing w:after="40"/>
            </w:pPr>
            <w:r>
              <w:t>8 Jan 2015 p. 177</w:t>
            </w:r>
            <w:r>
              <w:noBreakHyphen/>
              <w:t>80</w:t>
            </w:r>
          </w:p>
        </w:tc>
        <w:tc>
          <w:tcPr>
            <w:tcW w:w="2693" w:type="dxa"/>
            <w:tcBorders>
              <w:top w:val="nil"/>
              <w:bottom w:val="nil"/>
            </w:tcBorders>
          </w:tcPr>
          <w:p>
            <w:pPr>
              <w:pStyle w:val="nTable"/>
              <w:spacing w:after="40"/>
            </w:pPr>
            <w:r>
              <w:rPr>
                <w:snapToGrid w:val="0"/>
                <w:spacing w:val="-2"/>
              </w:rPr>
              <w:t>bl. 1 and 2: 8 Jan 2015 (see bl. 2(a));</w:t>
            </w:r>
            <w:r>
              <w:rPr>
                <w:snapToGrid w:val="0"/>
                <w:spacing w:val="-2"/>
              </w:rPr>
              <w:br/>
              <w:t xml:space="preserve">By-laws other than bl. 1 and 2: 27 Apr 2015 (see bl. 2(b) and </w:t>
            </w:r>
            <w:r>
              <w:rPr>
                <w:i/>
                <w:snapToGrid w:val="0"/>
                <w:spacing w:val="-2"/>
              </w:rPr>
              <w:t>Gazette</w:t>
            </w:r>
            <w:r>
              <w:rPr>
                <w:snapToGrid w:val="0"/>
                <w:spacing w:val="-2"/>
              </w:rPr>
              <w:t xml:space="preserve"> 17 Apr 2015 p. 1371)</w:t>
            </w:r>
          </w:p>
        </w:tc>
      </w:tr>
      <w:tr>
        <w:tc>
          <w:tcPr>
            <w:tcW w:w="3118" w:type="dxa"/>
            <w:tcBorders>
              <w:top w:val="nil"/>
              <w:bottom w:val="single" w:sz="4" w:space="0" w:color="auto"/>
            </w:tcBorders>
          </w:tcPr>
          <w:p>
            <w:pPr>
              <w:pStyle w:val="nTable"/>
              <w:spacing w:after="40"/>
              <w:rPr>
                <w:i/>
                <w:noProof/>
                <w:snapToGrid w:val="0"/>
              </w:rPr>
            </w:pPr>
            <w:r>
              <w:rPr>
                <w:i/>
                <w:noProof/>
                <w:snapToGrid w:val="0"/>
              </w:rPr>
              <w:t>Fiona Stanley Hospital Amendment By</w:t>
            </w:r>
            <w:r>
              <w:rPr>
                <w:i/>
                <w:noProof/>
                <w:snapToGrid w:val="0"/>
              </w:rPr>
              <w:noBreakHyphen/>
              <w:t>laws 2015</w:t>
            </w:r>
          </w:p>
        </w:tc>
        <w:tc>
          <w:tcPr>
            <w:tcW w:w="1276" w:type="dxa"/>
            <w:tcBorders>
              <w:top w:val="nil"/>
              <w:bottom w:val="single" w:sz="4" w:space="0" w:color="auto"/>
            </w:tcBorders>
          </w:tcPr>
          <w:p>
            <w:pPr>
              <w:pStyle w:val="nTable"/>
              <w:spacing w:after="40"/>
            </w:pPr>
            <w:r>
              <w:t>14 Apr 2015 p. 1331</w:t>
            </w:r>
            <w:r>
              <w:noBreakHyphen/>
              <w:t>3</w:t>
            </w:r>
          </w:p>
        </w:tc>
        <w:tc>
          <w:tcPr>
            <w:tcW w:w="2693" w:type="dxa"/>
            <w:tcBorders>
              <w:top w:val="nil"/>
              <w:bottom w:val="single" w:sz="4" w:space="0" w:color="auto"/>
            </w:tcBorders>
          </w:tcPr>
          <w:p>
            <w:pPr>
              <w:pStyle w:val="nTable"/>
              <w:spacing w:after="40"/>
            </w:pPr>
            <w:r>
              <w:t>bl. 1 and 2: 14 Apr 2015 (see bl. 2(a));</w:t>
            </w:r>
            <w:r>
              <w:br/>
              <w:t>By-laws other than bl. 1 and 2: 15 Apr 2015 (see bl. 2(b))</w:t>
            </w:r>
          </w:p>
        </w:tc>
      </w:tr>
    </w:tbl>
    <w:p/>
    <w:p>
      <w:pPr>
        <w:sectPr>
          <w:headerReference w:type="even" r:id="rId29"/>
          <w:headerReference w:type="default" r:id="rId30"/>
          <w:headerReference w:type="first" r:id="rId31"/>
          <w:type w:val="continuous"/>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alleged offender</w:t>
      </w:r>
      <w:r>
        <w:tab/>
        <w:t>26</w:t>
      </w:r>
    </w:p>
    <w:p>
      <w:pPr>
        <w:pStyle w:val="DefinedTerms"/>
      </w:pPr>
      <w:r>
        <w:t>approved</w:t>
      </w:r>
      <w:r>
        <w:tab/>
        <w:t>3(1)</w:t>
      </w:r>
    </w:p>
    <w:p>
      <w:pPr>
        <w:pStyle w:val="DefinedTerms"/>
      </w:pPr>
      <w:r>
        <w:t>authorised person</w:t>
      </w:r>
      <w:r>
        <w:tab/>
        <w:t>3(1)</w:t>
      </w:r>
    </w:p>
    <w:p>
      <w:pPr>
        <w:pStyle w:val="DefinedTerms"/>
      </w:pPr>
      <w:r>
        <w:t>board</w:t>
      </w:r>
      <w:r>
        <w:tab/>
        <w:t>3(1)</w:t>
      </w:r>
    </w:p>
    <w:p>
      <w:pPr>
        <w:pStyle w:val="DefinedTerms"/>
      </w:pPr>
      <w:r>
        <w:t>boom gate controlled ticket parking area</w:t>
      </w:r>
      <w:r>
        <w:tab/>
        <w:t>18(1)</w:t>
      </w:r>
    </w:p>
    <w:p>
      <w:pPr>
        <w:pStyle w:val="DefinedTerms"/>
      </w:pPr>
      <w:r>
        <w:t>chief executive officer</w:t>
      </w:r>
      <w:r>
        <w:tab/>
        <w:t>3(1)</w:t>
      </w:r>
    </w:p>
    <w:p>
      <w:pPr>
        <w:pStyle w:val="DefinedTerms"/>
      </w:pPr>
      <w:r>
        <w:t>driver</w:t>
      </w:r>
      <w:r>
        <w:tab/>
        <w:t>3(1)</w:t>
      </w:r>
    </w:p>
    <w:p>
      <w:pPr>
        <w:pStyle w:val="DefinedTerms"/>
      </w:pPr>
      <w:r>
        <w:t>eligible staff member</w:t>
      </w:r>
      <w:r>
        <w:tab/>
        <w:t>19(1)</w:t>
      </w:r>
    </w:p>
    <w:p>
      <w:pPr>
        <w:pStyle w:val="DefinedTerms"/>
      </w:pPr>
      <w:r>
        <w:t>Hospital</w:t>
      </w:r>
      <w:r>
        <w:tab/>
        <w:t>3(1)</w:t>
      </w:r>
    </w:p>
    <w:p>
      <w:pPr>
        <w:pStyle w:val="DefinedTerms"/>
      </w:pPr>
      <w:r>
        <w:t>infringement notice</w:t>
      </w:r>
      <w:r>
        <w:tab/>
        <w:t>26</w:t>
      </w:r>
    </w:p>
    <w:p>
      <w:pPr>
        <w:pStyle w:val="DefinedTerms"/>
      </w:pPr>
      <w:r>
        <w:t>modified penalty</w:t>
      </w:r>
      <w:r>
        <w:tab/>
        <w:t>26</w:t>
      </w:r>
    </w:p>
    <w:p>
      <w:pPr>
        <w:pStyle w:val="DefinedTerms"/>
      </w:pPr>
      <w:r>
        <w:t>officer or servant of the board</w:t>
      </w:r>
      <w:r>
        <w:tab/>
        <w:t>3(1)</w:t>
      </w:r>
    </w:p>
    <w:p>
      <w:pPr>
        <w:pStyle w:val="DefinedTerms"/>
      </w:pPr>
      <w:r>
        <w:t>paid staff parking area</w:t>
      </w:r>
      <w:r>
        <w:tab/>
        <w:t>19(1)</w:t>
      </w:r>
    </w:p>
    <w:p>
      <w:pPr>
        <w:pStyle w:val="DefinedTerms"/>
      </w:pPr>
      <w:r>
        <w:t>parking facility</w:t>
      </w:r>
      <w:r>
        <w:tab/>
        <w:t>3(1)</w:t>
      </w:r>
    </w:p>
    <w:p>
      <w:pPr>
        <w:pStyle w:val="DefinedTerms"/>
      </w:pPr>
      <w:r>
        <w:t>parking permit</w:t>
      </w:r>
      <w:r>
        <w:tab/>
        <w:t>3(1)</w:t>
      </w:r>
    </w:p>
    <w:p>
      <w:pPr>
        <w:pStyle w:val="DefinedTerms"/>
      </w:pPr>
      <w:r>
        <w:t>parking space</w:t>
      </w:r>
      <w:r>
        <w:tab/>
        <w:t>3(1)</w:t>
      </w:r>
    </w:p>
    <w:p>
      <w:pPr>
        <w:pStyle w:val="DefinedTerms"/>
      </w:pPr>
      <w:r>
        <w:t>permission</w:t>
      </w:r>
      <w:r>
        <w:tab/>
        <w:t>3(2)</w:t>
      </w:r>
    </w:p>
    <w:p>
      <w:pPr>
        <w:pStyle w:val="DefinedTerms"/>
      </w:pPr>
      <w:r>
        <w:t>permit parking area</w:t>
      </w:r>
      <w:r>
        <w:tab/>
        <w:t>20(1)</w:t>
      </w:r>
    </w:p>
    <w:p>
      <w:pPr>
        <w:pStyle w:val="DefinedTerms"/>
      </w:pPr>
      <w:r>
        <w:t>prescribed fee</w:t>
      </w:r>
      <w:r>
        <w:tab/>
        <w:t>3(1)</w:t>
      </w:r>
    </w:p>
    <w:p>
      <w:pPr>
        <w:pStyle w:val="DefinedTerms"/>
      </w:pPr>
      <w:r>
        <w:t>prohibited item</w:t>
      </w:r>
      <w:r>
        <w:tab/>
        <w:t>6(1)</w:t>
      </w:r>
    </w:p>
    <w:p>
      <w:pPr>
        <w:pStyle w:val="DefinedTerms"/>
      </w:pPr>
      <w:r>
        <w:t>responsible person</w:t>
      </w:r>
      <w:r>
        <w:tab/>
        <w:t>3(1)</w:t>
      </w:r>
    </w:p>
    <w:p>
      <w:pPr>
        <w:pStyle w:val="DefinedTerms"/>
      </w:pPr>
      <w:r>
        <w:t>roadway</w:t>
      </w:r>
      <w:r>
        <w:tab/>
        <w:t>3(1)</w:t>
      </w:r>
    </w:p>
    <w:p>
      <w:pPr>
        <w:pStyle w:val="DefinedTerms"/>
      </w:pPr>
      <w:r>
        <w:t>sign</w:t>
      </w:r>
      <w:r>
        <w:tab/>
        <w:t>3(1)</w:t>
      </w:r>
    </w:p>
    <w:p>
      <w:pPr>
        <w:pStyle w:val="DefinedTerms"/>
      </w:pPr>
      <w:r>
        <w:t>site</w:t>
      </w:r>
      <w:r>
        <w:tab/>
        <w:t>3(1)</w:t>
      </w:r>
    </w:p>
    <w:p>
      <w:pPr>
        <w:pStyle w:val="DefinedTerms"/>
      </w:pPr>
      <w:r>
        <w:t>specified</w:t>
      </w:r>
      <w:r>
        <w:tab/>
        <w:t>5(1), 16(1)</w:t>
      </w:r>
    </w:p>
    <w:p>
      <w:pPr>
        <w:pStyle w:val="DefinedTerms"/>
      </w:pPr>
      <w:r>
        <w:t>speed restriction sign</w:t>
      </w:r>
      <w:r>
        <w:tab/>
        <w:t>3(1)</w:t>
      </w:r>
    </w:p>
    <w:p>
      <w:pPr>
        <w:pStyle w:val="DefinedTerms"/>
      </w:pPr>
      <w:r>
        <w:t>ticket</w:t>
      </w:r>
      <w:r>
        <w:tab/>
        <w:t>3(1)</w:t>
      </w:r>
    </w:p>
    <w:p>
      <w:pPr>
        <w:pStyle w:val="DefinedTerms"/>
      </w:pPr>
      <w:r>
        <w:t>ticket parking area</w:t>
      </w:r>
      <w:r>
        <w:tab/>
        <w:t>18(1)</w:t>
      </w:r>
    </w:p>
    <w:p>
      <w:pPr>
        <w:pStyle w:val="DefinedTerms"/>
      </w:pPr>
      <w:r>
        <w:t>ticket vending machine</w:t>
      </w:r>
      <w:r>
        <w:tab/>
        <w:t>3(1)</w:t>
      </w:r>
    </w:p>
    <w:p>
      <w:pPr>
        <w:pStyle w:val="DefinedTerms"/>
      </w:pPr>
      <w:r>
        <w:t>vehicle</w:t>
      </w:r>
      <w:r>
        <w:tab/>
        <w:t>3(1)</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851" w:right="851" w:bottom="312" w:left="2126" w:header="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Apr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Apr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27</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Fiona Stanley Hospital By-laws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Fiona Stanley Hospital By-laws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Fiona Stanley Hospital By-laws 2014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bl.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Fiona Stanley Hospital By-laws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5</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bl.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Fiona Stanley Hospital By-laws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Fiona Stanley Hospital By-laws 2014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63" w:name="Schedule"/>
    <w:bookmarkEnd w:id="16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Fiona Stanley Hospital By-laws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Fiona Stanley Hospital By-laws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75" w:name="Compilation"/>
    <w:bookmarkEnd w:id="17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Fiona Stanley Hospital By-laws 2014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Fiona Stanley Hospital By-laws 2014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6" w:name="DefinedTerms"/>
    <w:bookmarkEnd w:id="17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7" w:name="Coversheet"/>
    <w:bookmarkEnd w:id="17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lvlText w:val="%1"/>
      <w:lvlJc w:val="left"/>
      <w:pPr>
        <w:ind w:left="0"/>
      </w:pPr>
      <w:rPr>
        <w:b w:val="0"/>
        <w:i w:val="0"/>
      </w:rPr>
    </w:lvl>
    <w:lvl w:ilvl="1">
      <w:start w:val="1"/>
      <w:numFmt w:val="lowerLetter"/>
      <w:lvlText w:val="%2)"/>
      <w:lvlJc w:val="left"/>
      <w:pPr>
        <w:tabs>
          <w:tab w:val="left" w:pos="360"/>
        </w:tabs>
        <w:ind w:left="0"/>
      </w:pPr>
    </w:lvl>
    <w:lvl w:ilvl="2">
      <w:start w:val="1"/>
      <w:numFmt w:val="lowerRoman"/>
      <w:lvlText w:val="%3)"/>
      <w:lvlJc w:val="left"/>
      <w:pPr>
        <w:tabs>
          <w:tab w:val="left" w:pos="720"/>
        </w:tabs>
        <w:ind w:left="0"/>
      </w:pPr>
    </w:lvl>
    <w:lvl w:ilvl="3">
      <w:start w:val="1"/>
      <w:numFmt w:val="decimal"/>
      <w:lvlText w:val="(%4)"/>
      <w:lvlJc w:val="left"/>
      <w:pPr>
        <w:tabs>
          <w:tab w:val="left" w:pos="360"/>
        </w:tabs>
        <w:ind w:left="0"/>
      </w:pPr>
    </w:lvl>
    <w:lvl w:ilvl="4">
      <w:start w:val="1"/>
      <w:numFmt w:val="lowerLetter"/>
      <w:lvlText w:val="(%5)"/>
      <w:lvlJc w:val="left"/>
      <w:pPr>
        <w:tabs>
          <w:tab w:val="left" w:pos="360"/>
        </w:tabs>
        <w:ind w:left="0"/>
      </w:pPr>
    </w:lvl>
    <w:lvl w:ilvl="5">
      <w:start w:val="1"/>
      <w:numFmt w:val="lowerRoman"/>
      <w:lvlText w:val="(%6)"/>
      <w:lvlJc w:val="left"/>
      <w:pPr>
        <w:tabs>
          <w:tab w:val="left" w:pos="720"/>
        </w:tabs>
        <w:ind w:left="0"/>
      </w:pPr>
    </w:lvl>
    <w:lvl w:ilvl="6">
      <w:start w:val="1"/>
      <w:numFmt w:val="decimal"/>
      <w:lvlText w:val="%7."/>
      <w:lvlJc w:val="left"/>
      <w:pPr>
        <w:tabs>
          <w:tab w:val="left" w:pos="360"/>
        </w:tabs>
        <w:ind w:left="0"/>
      </w:pPr>
    </w:lvl>
    <w:lvl w:ilvl="7">
      <w:start w:val="1"/>
      <w:numFmt w:val="lowerLetter"/>
      <w:lvlText w:val="%8."/>
      <w:lvlJc w:val="left"/>
      <w:pPr>
        <w:tabs>
          <w:tab w:val="left" w:pos="360"/>
        </w:tabs>
        <w:ind w:left="0"/>
      </w:pPr>
    </w:lvl>
    <w:lvl w:ilvl="8">
      <w:start w:val="1"/>
      <w:numFmt w:val="lowerRoman"/>
      <w:lvlText w:val="%9."/>
      <w:lvlJc w:val="left"/>
      <w:pPr>
        <w:tabs>
          <w:tab w:val="left" w:pos="720"/>
        </w:tabs>
        <w:ind w:left="0"/>
      </w:p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0AA16BD9"/>
    <w:multiLevelType w:val="hybridMultilevel"/>
    <w:tmpl w:val="802223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nsid w:val="0BB370D7"/>
    <w:multiLevelType w:val="multilevel"/>
    <w:tmpl w:val="B9D6DF1A"/>
    <w:name w:val="Schedule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4">
    <w:nsid w:val="138B63E2"/>
    <w:multiLevelType w:val="multilevel"/>
    <w:tmpl w:val="FB266D58"/>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5">
    <w:nsid w:val="1560315C"/>
    <w:multiLevelType w:val="hybridMultilevel"/>
    <w:tmpl w:val="BE929FE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nsid w:val="16880C58"/>
    <w:multiLevelType w:val="multilevel"/>
    <w:tmpl w:val="7226A03A"/>
    <w:name w:val="ScheduleDefinition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7">
    <w:nsid w:val="22FF52EB"/>
    <w:multiLevelType w:val="multilevel"/>
    <w:tmpl w:val="F25E9A04"/>
    <w:name w:val="DefinitionNumbers"/>
    <w:lvl w:ilvl="0">
      <w:start w:val="1"/>
      <w:numFmt w:val="none"/>
      <w:pStyle w:val="DefinitionNumbers"/>
      <w:lvlText w:val=""/>
      <w:lvlJc w:val="left"/>
      <w:pPr>
        <w:tabs>
          <w:tab w:val="left" w:pos="0"/>
        </w:tabs>
        <w:ind w:left="0"/>
      </w:pPr>
      <w:rPr>
        <w:rFonts w:hint="default"/>
      </w:rPr>
    </w:lvl>
    <w:lvl w:ilvl="1">
      <w:start w:val="1"/>
      <w:numFmt w:val="none"/>
      <w:lvlText w:val=""/>
      <w:lvlJc w:val="left"/>
      <w:pPr>
        <w:tabs>
          <w:tab w:val="left" w:pos="0"/>
        </w:tabs>
        <w:ind w:left="0"/>
      </w:pPr>
      <w:rPr>
        <w:rFonts w:hint="default"/>
      </w:rPr>
    </w:lvl>
    <w:lvl w:ilvl="2">
      <w:start w:val="1"/>
      <w:numFmt w:val="lowerLetter"/>
      <w:lvlText w:val="(%3)"/>
      <w:lvlJc w:val="left"/>
      <w:pPr>
        <w:tabs>
          <w:tab w:val="left" w:pos="0"/>
        </w:tabs>
        <w:ind w:left="0"/>
      </w:pPr>
      <w:rPr>
        <w:rFonts w:hint="default"/>
      </w:rPr>
    </w:lvl>
    <w:lvl w:ilvl="3">
      <w:start w:val="1"/>
      <w:numFmt w:val="lowerRoman"/>
      <w:lvlText w:val="(%4)"/>
      <w:lvlJc w:val="left"/>
      <w:pPr>
        <w:tabs>
          <w:tab w:val="left" w:pos="0"/>
        </w:tabs>
        <w:ind w:left="0"/>
      </w:pPr>
      <w:rPr>
        <w:rFonts w:hint="default"/>
      </w:rPr>
    </w:lvl>
    <w:lvl w:ilvl="4">
      <w:start w:val="1"/>
      <w:numFmt w:val="upperRoman"/>
      <w:lvlText w:val="(%5)"/>
      <w:lvlJc w:val="left"/>
      <w:pPr>
        <w:tabs>
          <w:tab w:val="left" w:pos="0"/>
        </w:tabs>
        <w:ind w:left="0"/>
      </w:pPr>
      <w:rPr>
        <w:rFonts w:hint="default"/>
      </w:rPr>
    </w:lvl>
    <w:lvl w:ilvl="5">
      <w:start w:val="1"/>
      <w:numFmt w:val="none"/>
      <w:lvlText w:val=""/>
      <w:lvlJc w:val="left"/>
      <w:pPr>
        <w:tabs>
          <w:tab w:val="left" w:pos="0"/>
        </w:tabs>
        <w:ind w:left="0"/>
      </w:pPr>
      <w:rPr>
        <w:rFonts w:hint="default"/>
      </w:rPr>
    </w:lvl>
    <w:lvl w:ilvl="6">
      <w:start w:val="1"/>
      <w:numFmt w:val="none"/>
      <w:lvlText w:val=""/>
      <w:lvlJc w:val="left"/>
      <w:pPr>
        <w:tabs>
          <w:tab w:val="left" w:pos="0"/>
        </w:tabs>
        <w:ind w:left="0"/>
      </w:pPr>
      <w:rPr>
        <w:rFonts w:hint="default"/>
      </w:rPr>
    </w:lvl>
    <w:lvl w:ilvl="7">
      <w:start w:val="1"/>
      <w:numFmt w:val="none"/>
      <w:lvlText w:val=""/>
      <w:lvlJc w:val="left"/>
      <w:pPr>
        <w:tabs>
          <w:tab w:val="left" w:pos="0"/>
        </w:tabs>
        <w:ind w:left="0"/>
      </w:pPr>
      <w:rPr>
        <w:rFonts w:hint="default"/>
      </w:rPr>
    </w:lvl>
    <w:lvl w:ilvl="8">
      <w:start w:val="1"/>
      <w:numFmt w:val="none"/>
      <w:lvlText w:val=""/>
      <w:lvlJc w:val="left"/>
      <w:pPr>
        <w:tabs>
          <w:tab w:val="left" w:pos="0"/>
        </w:tabs>
        <w:ind w:left="0"/>
      </w:pPr>
      <w:rPr>
        <w:rFonts w:hint="default"/>
      </w:rPr>
    </w:lvl>
  </w:abstractNum>
  <w:abstractNum w:abstractNumId="18">
    <w:nsid w:val="310F4753"/>
    <w:multiLevelType w:val="multilevel"/>
    <w:tmpl w:val="4F04CBBC"/>
    <w:name w:val="Schedule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9">
    <w:nsid w:val="351C33A5"/>
    <w:multiLevelType w:val="multilevel"/>
    <w:tmpl w:val="6A7E0364"/>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0">
    <w:nsid w:val="39AB2348"/>
    <w:multiLevelType w:val="hybridMultilevel"/>
    <w:tmpl w:val="079658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nsid w:val="3A396798"/>
    <w:multiLevelType w:val="multilevel"/>
    <w:tmpl w:val="0B425D62"/>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2">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3FFE366D"/>
    <w:multiLevelType w:val="hybridMultilevel"/>
    <w:tmpl w:val="634235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nsid w:val="486B01B6"/>
    <w:multiLevelType w:val="hybridMultilevel"/>
    <w:tmpl w:val="B934A26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nsid w:val="4CC03303"/>
    <w:multiLevelType w:val="singleLevel"/>
    <w:tmpl w:val="0809000F"/>
    <w:lvl w:ilvl="0">
      <w:start w:val="1"/>
      <w:numFmt w:val="decimal"/>
      <w:lvlText w:val="%1."/>
      <w:lvlJc w:val="left"/>
      <w:pPr>
        <w:tabs>
          <w:tab w:val="num" w:pos="360"/>
        </w:tabs>
        <w:ind w:left="360" w:hanging="360"/>
      </w:pPr>
    </w:lvl>
  </w:abstractNum>
  <w:abstractNum w:abstractNumId="26">
    <w:nsid w:val="572D2BF4"/>
    <w:multiLevelType w:val="multilevel"/>
    <w:tmpl w:val="EF482F5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7">
    <w:nsid w:val="69F82C98"/>
    <w:multiLevelType w:val="multilevel"/>
    <w:tmpl w:val="70E21894"/>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8">
    <w:nsid w:val="6FDE73CC"/>
    <w:multiLevelType w:val="multilevel"/>
    <w:tmpl w:val="04E64ACC"/>
    <w:name w:val="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9">
    <w:nsid w:val="710F19B3"/>
    <w:multiLevelType w:val="hybridMultilevel"/>
    <w:tmpl w:val="BBB8FE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9"/>
  </w:num>
  <w:num w:numId="2">
    <w:abstractNumId w:val="25"/>
  </w:num>
  <w:num w:numId="3">
    <w:abstractNumId w:val="14"/>
  </w:num>
  <w:num w:numId="4">
    <w:abstractNumId w:val="11"/>
  </w:num>
  <w:num w:numId="5">
    <w:abstractNumId w:val="17"/>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2"/>
  </w:num>
  <w:num w:numId="17">
    <w:abstractNumId w:val="21"/>
  </w:num>
  <w:num w:numId="18">
    <w:abstractNumId w:val="27"/>
  </w:num>
  <w:num w:numId="19">
    <w:abstractNumId w:val="26"/>
  </w:num>
  <w:num w:numId="20">
    <w:abstractNumId w:val="26"/>
  </w:num>
  <w:num w:numId="21">
    <w:abstractNumId w:val="20"/>
  </w:num>
  <w:num w:numId="22">
    <w:abstractNumId w:val="23"/>
  </w:num>
  <w:num w:numId="23">
    <w:abstractNumId w:val="15"/>
  </w:num>
  <w:num w:numId="24">
    <w:abstractNumId w:val="24"/>
  </w:num>
  <w:num w:numId="25">
    <w:abstractNumId w:val="12"/>
  </w:num>
  <w:num w:numId="26">
    <w:abstractNumId w:val="29"/>
  </w:num>
  <w:num w:numId="27">
    <w:abstractNumId w:val="2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7612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3123553"/>
    <w:docVar w:name="WAFER_20131219095808" w:val="RemoveTocBookmarks,RemoveUnusedBookmarks,RemoveLanguageTags,UsedStyles,ResetPageSize"/>
    <w:docVar w:name="WAFER_20131219095808_GUID" w:val="b1c89aed-3293-4f20-b89b-cfe1e86a7189"/>
    <w:docVar w:name="WAFER_20140107162458" w:val="RemoveTocBookmarks,RemoveUnusedBookmarks,RemoveLanguageTags,UsedStyles,ResetPageSize,ResetListTemplates"/>
    <w:docVar w:name="WAFER_20140107162458_GUID" w:val="afbbcc70-8409-48a1-bd4b-e199ea902e8a"/>
    <w:docVar w:name="WAFER_20140107162529" w:val="RemoveTocBookmarks,RemoveUnusedBookmarks,RemoveLanguageTags,UsedStyles,ResetPageSize"/>
    <w:docVar w:name="WAFER_20140107162529_GUID" w:val="07672565-e835-4eab-aba6-c1d52a6c6c6f"/>
    <w:docVar w:name="WAFER_20140605130822" w:val="RemoveTocBookmarks,RemoveUnusedBookmarks,RemoveLanguageTags,UsedStyles,ResetPageSize"/>
    <w:docVar w:name="WAFER_20140605130822_GUID" w:val="66c9ce03-86d1-4312-826c-34b76c414135"/>
    <w:docVar w:name="WAFER_20140606100702" w:val="RemoveTocBookmarks,RemoveUnusedBookmarks,RemoveLanguageTags,UsedStyles,ResetPageSize"/>
    <w:docVar w:name="WAFER_20140606100702_GUID" w:val="aee5f469-b3af-4e13-8712-0616ebb8689e"/>
    <w:docVar w:name="WAFER_20141009170652" w:val="RemoveTocBookmarks,RemoveUnusedBookmarks,RemoveLanguageTags,UsedStyles,ResetPageSize"/>
    <w:docVar w:name="WAFER_20141009170652_GUID" w:val="86be1d81-0f1b-4715-8497-a33ab64df618"/>
    <w:docVar w:name="WAFER_20150109114648" w:val="RemoveTocBookmarks,RunningHeaders"/>
    <w:docVar w:name="WAFER_20150109114648_GUID" w:val="c74dda9e-f440-4dcb-b2a0-fdea9b178cac"/>
    <w:docVar w:name="WAFER_20150413123553" w:val="ResetPageSize,UpdateArrangement,UpdateNTable"/>
    <w:docVar w:name="WAFER_20150413123553_GUID" w:val="eb7608cc-b7c7-4a4f-bb91-439c4242403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61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AGE-">
    <w:name w:val="- PAGE -"/>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AGE-">
    <w:name w:val="- PAGE -"/>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6086</Words>
  <Characters>29152</Characters>
  <Application>Microsoft Office Word</Application>
  <DocSecurity>0</DocSecurity>
  <Lines>971</Lines>
  <Paragraphs>690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34548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Fiona Stanley Hospital By-laws 2014 - 00-d0-01</dc:title>
  <dc:subject/>
  <dc:creator/>
  <cp:keywords/>
  <dc:description/>
  <cp:lastModifiedBy>svcMRProcess</cp:lastModifiedBy>
  <cp:revision>4</cp:revision>
  <cp:lastPrinted>2014-06-11T04:03:00Z</cp:lastPrinted>
  <dcterms:created xsi:type="dcterms:W3CDTF">2018-09-19T07:25:00Z</dcterms:created>
  <dcterms:modified xsi:type="dcterms:W3CDTF">2018-09-19T07:25:00Z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Oct 2014 p 3701-30</vt:lpwstr>
  </property>
  <property fmtid="{D5CDD505-2E9C-101B-9397-08002B2CF9AE}" pid="3" name="AsAtDate">
    <vt:lpwstr>27 Apr 2015</vt:lpwstr>
  </property>
  <property fmtid="{D5CDD505-2E9C-101B-9397-08002B2CF9AE}" pid="4" name="Suffix">
    <vt:lpwstr>00-d0-01</vt:lpwstr>
  </property>
  <property fmtid="{D5CDD505-2E9C-101B-9397-08002B2CF9AE}" pid="5" name="OWLSUId">
    <vt:i4>356</vt:i4>
  </property>
  <property fmtid="{D5CDD505-2E9C-101B-9397-08002B2CF9AE}" pid="6" name="DocumentType">
    <vt:lpwstr>Reg</vt:lpwstr>
  </property>
  <property fmtid="{D5CDD505-2E9C-101B-9397-08002B2CF9AE}" pid="7" name="CommencementDate">
    <vt:lpwstr>20150427</vt:lpwstr>
  </property>
</Properties>
</file>