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22.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Conservation and Land Management Act 1984</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Conservation and Land Management Regulations 2002</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Conservation and Land Management Regulations 2002</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_Toc417563618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Terms used</w:t>
      </w:r>
      <w:r>
        <w:tab/>
      </w:r>
      <w:r>
        <w:fldChar w:fldCharType="begin"/>
      </w:r>
      <w:r>
        <w:instrText xml:space="preserve"> PAGEREF _Toc417563619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Application</w:t>
      </w:r>
      <w:r>
        <w:tab/>
      </w:r>
      <w:r>
        <w:fldChar w:fldCharType="begin"/>
      </w:r>
      <w:r>
        <w:instrText xml:space="preserve"> PAGEREF _Toc417563620 \h </w:instrText>
      </w:r>
      <w:r>
        <w:fldChar w:fldCharType="separate"/>
      </w:r>
      <w:r>
        <w:t>5</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Lawful authority</w:t>
      </w:r>
      <w:r>
        <w:tab/>
      </w:r>
      <w:r>
        <w:fldChar w:fldCharType="begin"/>
      </w:r>
      <w:r>
        <w:instrText xml:space="preserve"> PAGEREF _Toc417563621 \h </w:instrText>
      </w:r>
      <w:r>
        <w:fldChar w:fldCharType="separate"/>
      </w:r>
      <w:r>
        <w:t>5</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Restricted areas</w:t>
      </w:r>
      <w:r>
        <w:tab/>
      </w:r>
      <w:r>
        <w:fldChar w:fldCharType="begin"/>
      </w:r>
      <w:r>
        <w:instrText xml:space="preserve"> PAGEREF _Toc417563622 \h </w:instrText>
      </w:r>
      <w:r>
        <w:fldChar w:fldCharType="separate"/>
      </w:r>
      <w:r>
        <w:t>6</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Designated areas</w:t>
      </w:r>
      <w:r>
        <w:tab/>
      </w:r>
      <w:r>
        <w:fldChar w:fldCharType="begin"/>
      </w:r>
      <w:r>
        <w:instrText xml:space="preserve"> PAGEREF _Toc417563623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Part 2 — Protection of the environment</w:t>
      </w:r>
    </w:p>
    <w:p>
      <w:pPr>
        <w:pStyle w:val="TOC4"/>
        <w:tabs>
          <w:tab w:val="right" w:leader="dot" w:pos="7077"/>
        </w:tabs>
        <w:rPr>
          <w:rFonts w:asciiTheme="minorHAnsi" w:eastAsiaTheme="minorEastAsia" w:hAnsiTheme="minorHAnsi" w:cstheme="minorBidi"/>
          <w:b w:val="0"/>
          <w:szCs w:val="22"/>
        </w:rPr>
      </w:pPr>
      <w:r>
        <w:t>Division 1 — Protection of flora and fauna</w:t>
      </w:r>
    </w:p>
    <w:p>
      <w:pPr>
        <w:pStyle w:val="TOC8"/>
        <w:rPr>
          <w:rFonts w:asciiTheme="minorHAnsi" w:eastAsiaTheme="minorEastAsia" w:hAnsiTheme="minorHAnsi" w:cstheme="minorBidi"/>
          <w:szCs w:val="22"/>
        </w:rPr>
      </w:pPr>
      <w:r>
        <w:t>7.</w:t>
      </w:r>
      <w:r>
        <w:tab/>
        <w:t>Limitation on restriction</w:t>
      </w:r>
      <w:r>
        <w:tab/>
      </w:r>
      <w:r>
        <w:fldChar w:fldCharType="begin"/>
      </w:r>
      <w:r>
        <w:instrText xml:space="preserve"> PAGEREF _Toc417563626 \h </w:instrText>
      </w:r>
      <w:r>
        <w:fldChar w:fldCharType="separate"/>
      </w:r>
      <w:r>
        <w:t>10</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Unlawful taking of flora and fauna other than fish</w:t>
      </w:r>
      <w:r>
        <w:tab/>
      </w:r>
      <w:r>
        <w:fldChar w:fldCharType="begin"/>
      </w:r>
      <w:r>
        <w:instrText xml:space="preserve"> PAGEREF _Toc417563627 \h </w:instrText>
      </w:r>
      <w:r>
        <w:fldChar w:fldCharType="separate"/>
      </w:r>
      <w:r>
        <w:t>10</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Fishing in restricted areas</w:t>
      </w:r>
      <w:r>
        <w:tab/>
      </w:r>
      <w:r>
        <w:fldChar w:fldCharType="begin"/>
      </w:r>
      <w:r>
        <w:instrText xml:space="preserve"> PAGEREF _Toc417563628 \h </w:instrText>
      </w:r>
      <w:r>
        <w:fldChar w:fldCharType="separate"/>
      </w:r>
      <w:r>
        <w:t>10</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Feeding of fauna</w:t>
      </w:r>
      <w:r>
        <w:tab/>
      </w:r>
      <w:r>
        <w:fldChar w:fldCharType="begin"/>
      </w:r>
      <w:r>
        <w:instrText xml:space="preserve"> PAGEREF _Toc417563629 \h </w:instrText>
      </w:r>
      <w:r>
        <w:fldChar w:fldCharType="separate"/>
      </w:r>
      <w:r>
        <w:t>11</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Restrictions on approaching certain marine fauna</w:t>
      </w:r>
      <w:r>
        <w:tab/>
      </w:r>
      <w:r>
        <w:fldChar w:fldCharType="begin"/>
      </w:r>
      <w:r>
        <w:instrText xml:space="preserve"> PAGEREF _Toc417563630 \h </w:instrText>
      </w:r>
      <w:r>
        <w:fldChar w:fldCharType="separate"/>
      </w:r>
      <w:r>
        <w:t>11</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Possession or use of firearms, spears, restricted devices etc.</w:t>
      </w:r>
      <w:r>
        <w:tab/>
      </w:r>
      <w:r>
        <w:fldChar w:fldCharType="begin"/>
      </w:r>
      <w:r>
        <w:instrText xml:space="preserve"> PAGEREF _Toc417563631 \h </w:instrText>
      </w:r>
      <w:r>
        <w:fldChar w:fldCharType="separate"/>
      </w:r>
      <w:r>
        <w:t>11</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Cultivation etc. prohibited</w:t>
      </w:r>
      <w:r>
        <w:tab/>
      </w:r>
      <w:r>
        <w:fldChar w:fldCharType="begin"/>
      </w:r>
      <w:r>
        <w:instrText xml:space="preserve"> PAGEREF _Toc417563632 \h </w:instrText>
      </w:r>
      <w:r>
        <w:fldChar w:fldCharType="separate"/>
      </w:r>
      <w:r>
        <w:t>13</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Removal of plants</w:t>
      </w:r>
      <w:r>
        <w:tab/>
      </w:r>
      <w:r>
        <w:fldChar w:fldCharType="begin"/>
      </w:r>
      <w:r>
        <w:instrText xml:space="preserve"> PAGEREF _Toc417563633 \h </w:instrText>
      </w:r>
      <w:r>
        <w:fldChar w:fldCharType="separate"/>
      </w:r>
      <w:r>
        <w:t>13</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xml:space="preserve"> — </w:t>
      </w:r>
      <w:r>
        <w:t>Animals on CALM land</w:t>
      </w:r>
    </w:p>
    <w:p>
      <w:pPr>
        <w:pStyle w:val="TOC8"/>
        <w:rPr>
          <w:rFonts w:asciiTheme="minorHAnsi" w:eastAsiaTheme="minorEastAsia" w:hAnsiTheme="minorHAnsi" w:cstheme="minorBidi"/>
          <w:szCs w:val="22"/>
        </w:rPr>
      </w:pPr>
      <w:r>
        <w:t>15</w:t>
      </w:r>
      <w:r>
        <w:rPr>
          <w:snapToGrid w:val="0"/>
        </w:rPr>
        <w:t>.</w:t>
      </w:r>
      <w:r>
        <w:rPr>
          <w:snapToGrid w:val="0"/>
        </w:rPr>
        <w:tab/>
        <w:t>Bringing animal on to CALM land</w:t>
      </w:r>
      <w:r>
        <w:tab/>
      </w:r>
      <w:r>
        <w:fldChar w:fldCharType="begin"/>
      </w:r>
      <w:r>
        <w:instrText xml:space="preserve"> PAGEREF _Toc417563635 \h </w:instrText>
      </w:r>
      <w:r>
        <w:fldChar w:fldCharType="separate"/>
      </w:r>
      <w:r>
        <w:t>14</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Dogs on CALM land</w:t>
      </w:r>
      <w:r>
        <w:tab/>
      </w:r>
      <w:r>
        <w:fldChar w:fldCharType="begin"/>
      </w:r>
      <w:r>
        <w:instrText xml:space="preserve"> PAGEREF _Toc417563636 \h </w:instrText>
      </w:r>
      <w:r>
        <w:fldChar w:fldCharType="separate"/>
      </w:r>
      <w:r>
        <w:t>14</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Horses on CALM land</w:t>
      </w:r>
      <w:r>
        <w:tab/>
      </w:r>
      <w:r>
        <w:fldChar w:fldCharType="begin"/>
      </w:r>
      <w:r>
        <w:instrText xml:space="preserve"> PAGEREF _Toc417563637 \h </w:instrText>
      </w:r>
      <w:r>
        <w:fldChar w:fldCharType="separate"/>
      </w:r>
      <w:r>
        <w:t>14</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Unlawful taking of non</w:t>
      </w:r>
      <w:r>
        <w:rPr>
          <w:snapToGrid w:val="0"/>
        </w:rPr>
        <w:noBreakHyphen/>
        <w:t>indigenous animals</w:t>
      </w:r>
      <w:r>
        <w:tab/>
      </w:r>
      <w:r>
        <w:fldChar w:fldCharType="begin"/>
      </w:r>
      <w:r>
        <w:instrText xml:space="preserve"> PAGEREF _Toc417563638 \h </w:instrText>
      </w:r>
      <w:r>
        <w:fldChar w:fldCharType="separate"/>
      </w:r>
      <w:r>
        <w:t>15</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Removal of animal by owner or person in charge</w:t>
      </w:r>
      <w:r>
        <w:tab/>
      </w:r>
      <w:r>
        <w:fldChar w:fldCharType="begin"/>
      </w:r>
      <w:r>
        <w:instrText xml:space="preserve"> PAGEREF _Toc417563639 \h </w:instrText>
      </w:r>
      <w:r>
        <w:fldChar w:fldCharType="separate"/>
      </w:r>
      <w:r>
        <w:t>15</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Removal of animals by authorised officer</w:t>
      </w:r>
      <w:r>
        <w:tab/>
      </w:r>
      <w:r>
        <w:fldChar w:fldCharType="begin"/>
      </w:r>
      <w:r>
        <w:instrText xml:space="preserve"> PAGEREF _Toc417563640 \h </w:instrText>
      </w:r>
      <w:r>
        <w:fldChar w:fldCharType="separate"/>
      </w:r>
      <w:r>
        <w:t>15</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xml:space="preserve"> — </w:t>
      </w:r>
      <w:r>
        <w:t>Pollution and litter</w:t>
      </w:r>
    </w:p>
    <w:p>
      <w:pPr>
        <w:pStyle w:val="TOC8"/>
        <w:rPr>
          <w:rFonts w:asciiTheme="minorHAnsi" w:eastAsiaTheme="minorEastAsia" w:hAnsiTheme="minorHAnsi" w:cstheme="minorBidi"/>
          <w:szCs w:val="22"/>
        </w:rPr>
      </w:pPr>
      <w:r>
        <w:t>21</w:t>
      </w:r>
      <w:r>
        <w:rPr>
          <w:snapToGrid w:val="0"/>
        </w:rPr>
        <w:t>.</w:t>
      </w:r>
      <w:r>
        <w:rPr>
          <w:snapToGrid w:val="0"/>
        </w:rPr>
        <w:tab/>
        <w:t>Discharging or depositing waste</w:t>
      </w:r>
      <w:r>
        <w:tab/>
      </w:r>
      <w:r>
        <w:fldChar w:fldCharType="begin"/>
      </w:r>
      <w:r>
        <w:instrText xml:space="preserve"> PAGEREF _Toc417563642 \h </w:instrText>
      </w:r>
      <w:r>
        <w:fldChar w:fldCharType="separate"/>
      </w:r>
      <w:r>
        <w:t>15</w:t>
      </w:r>
      <w:r>
        <w:fldChar w:fldCharType="end"/>
      </w:r>
    </w:p>
    <w:p>
      <w:pPr>
        <w:pStyle w:val="TOC8"/>
        <w:rPr>
          <w:rFonts w:asciiTheme="minorHAnsi" w:eastAsiaTheme="minorEastAsia" w:hAnsiTheme="minorHAnsi" w:cstheme="minorBidi"/>
          <w:szCs w:val="22"/>
        </w:rPr>
      </w:pPr>
      <w:r>
        <w:t>22.</w:t>
      </w:r>
      <w:r>
        <w:tab/>
        <w:t>Painting or treating vessels</w:t>
      </w:r>
      <w:r>
        <w:tab/>
      </w:r>
      <w:r>
        <w:fldChar w:fldCharType="begin"/>
      </w:r>
      <w:r>
        <w:instrText xml:space="preserve"> PAGEREF _Toc417563643 \h </w:instrText>
      </w:r>
      <w:r>
        <w:fldChar w:fldCharType="separate"/>
      </w:r>
      <w:r>
        <w:t>16</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Pollution of water supply</w:t>
      </w:r>
      <w:r>
        <w:tab/>
      </w:r>
      <w:r>
        <w:fldChar w:fldCharType="begin"/>
      </w:r>
      <w:r>
        <w:instrText xml:space="preserve"> PAGEREF _Toc417563644 \h </w:instrText>
      </w:r>
      <w:r>
        <w:fldChar w:fldCharType="separate"/>
      </w:r>
      <w:r>
        <w:t>16</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Litter</w:t>
      </w:r>
      <w:r>
        <w:tab/>
      </w:r>
      <w:r>
        <w:fldChar w:fldCharType="begin"/>
      </w:r>
      <w:r>
        <w:instrText xml:space="preserve"> PAGEREF _Toc417563645 \h </w:instrText>
      </w:r>
      <w:r>
        <w:fldChar w:fldCharType="separate"/>
      </w:r>
      <w:r>
        <w:t>17</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Building materials and other matter</w:t>
      </w:r>
      <w:r>
        <w:tab/>
      </w:r>
      <w:r>
        <w:fldChar w:fldCharType="begin"/>
      </w:r>
      <w:r>
        <w:instrText xml:space="preserve"> PAGEREF _Toc417563646 \h </w:instrText>
      </w:r>
      <w:r>
        <w:fldChar w:fldCharType="separate"/>
      </w:r>
      <w:r>
        <w:t>18</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Glass in restricted areas</w:t>
      </w:r>
      <w:r>
        <w:tab/>
      </w:r>
      <w:r>
        <w:fldChar w:fldCharType="begin"/>
      </w:r>
      <w:r>
        <w:instrText xml:space="preserve"> PAGEREF _Toc417563647 \h </w:instrText>
      </w:r>
      <w:r>
        <w:fldChar w:fldCharType="separate"/>
      </w:r>
      <w:r>
        <w:t>18</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Removal of litter etc.</w:t>
      </w:r>
      <w:r>
        <w:tab/>
      </w:r>
      <w:r>
        <w:fldChar w:fldCharType="begin"/>
      </w:r>
      <w:r>
        <w:instrText xml:space="preserve"> PAGEREF _Toc417563648 \h </w:instrText>
      </w:r>
      <w:r>
        <w:fldChar w:fldCharType="separate"/>
      </w:r>
      <w:r>
        <w:t>18</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Cleaning, scaling etc. fish</w:t>
      </w:r>
      <w:r>
        <w:tab/>
      </w:r>
      <w:r>
        <w:fldChar w:fldCharType="begin"/>
      </w:r>
      <w:r>
        <w:instrText xml:space="preserve"> PAGEREF _Toc417563649 \h </w:instrText>
      </w:r>
      <w:r>
        <w:fldChar w:fldCharType="separate"/>
      </w:r>
      <w:r>
        <w:t>19</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Fires and smoking in caves</w:t>
      </w:r>
      <w:r>
        <w:tab/>
      </w:r>
      <w:r>
        <w:fldChar w:fldCharType="begin"/>
      </w:r>
      <w:r>
        <w:instrText xml:space="preserve"> PAGEREF _Toc417563650 \h </w:instrText>
      </w:r>
      <w:r>
        <w:fldChar w:fldCharType="separate"/>
      </w:r>
      <w:r>
        <w:t>19</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xml:space="preserve"> — </w:t>
      </w:r>
      <w:r>
        <w:t>Disturbance of the landscape</w:t>
      </w:r>
    </w:p>
    <w:p>
      <w:pPr>
        <w:pStyle w:val="TOC8"/>
        <w:rPr>
          <w:rFonts w:asciiTheme="minorHAnsi" w:eastAsiaTheme="minorEastAsia" w:hAnsiTheme="minorHAnsi" w:cstheme="minorBidi"/>
          <w:szCs w:val="22"/>
        </w:rPr>
      </w:pPr>
      <w:r>
        <w:t>30</w:t>
      </w:r>
      <w:r>
        <w:rPr>
          <w:snapToGrid w:val="0"/>
        </w:rPr>
        <w:t>.</w:t>
      </w:r>
      <w:r>
        <w:rPr>
          <w:snapToGrid w:val="0"/>
        </w:rPr>
        <w:tab/>
        <w:t>Water</w:t>
      </w:r>
      <w:r>
        <w:tab/>
      </w:r>
      <w:r>
        <w:fldChar w:fldCharType="begin"/>
      </w:r>
      <w:r>
        <w:instrText xml:space="preserve"> PAGEREF _Toc417563652 \h </w:instrText>
      </w:r>
      <w:r>
        <w:fldChar w:fldCharType="separate"/>
      </w:r>
      <w:r>
        <w:t>19</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Damage etc. to naturally occurring features</w:t>
      </w:r>
      <w:r>
        <w:tab/>
      </w:r>
      <w:r>
        <w:fldChar w:fldCharType="begin"/>
      </w:r>
      <w:r>
        <w:instrText xml:space="preserve"> PAGEREF _Toc417563653 \h </w:instrText>
      </w:r>
      <w:r>
        <w:fldChar w:fldCharType="separate"/>
      </w:r>
      <w:r>
        <w:t>20</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Sandboarding</w:t>
      </w:r>
      <w:r>
        <w:tab/>
      </w:r>
      <w:r>
        <w:fldChar w:fldCharType="begin"/>
      </w:r>
      <w:r>
        <w:instrText xml:space="preserve"> PAGEREF _Toc417563654 \h </w:instrText>
      </w:r>
      <w:r>
        <w:fldChar w:fldCharType="separate"/>
      </w:r>
      <w:r>
        <w:t>21</w:t>
      </w:r>
      <w:r>
        <w:fldChar w:fldCharType="end"/>
      </w:r>
    </w:p>
    <w:p>
      <w:pPr>
        <w:pStyle w:val="TOC8"/>
        <w:rPr>
          <w:rFonts w:asciiTheme="minorHAnsi" w:eastAsiaTheme="minorEastAsia" w:hAnsiTheme="minorHAnsi" w:cstheme="minorBidi"/>
          <w:szCs w:val="22"/>
        </w:rPr>
      </w:pPr>
      <w:r>
        <w:t>33.</w:t>
      </w:r>
      <w:r>
        <w:tab/>
        <w:t>Abseiling</w:t>
      </w:r>
      <w:r>
        <w:tab/>
      </w:r>
      <w:r>
        <w:fldChar w:fldCharType="begin"/>
      </w:r>
      <w:r>
        <w:instrText xml:space="preserve"> PAGEREF _Toc417563655 \h </w:instrText>
      </w:r>
      <w:r>
        <w:fldChar w:fldCharType="separate"/>
      </w:r>
      <w:r>
        <w:t>21</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Unauthorised buildings etc.</w:t>
      </w:r>
      <w:r>
        <w:tab/>
      </w:r>
      <w:r>
        <w:fldChar w:fldCharType="begin"/>
      </w:r>
      <w:r>
        <w:instrText xml:space="preserve"> PAGEREF _Toc417563656 \h </w:instrText>
      </w:r>
      <w:r>
        <w:fldChar w:fldCharType="separate"/>
      </w:r>
      <w:r>
        <w:t>21</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Unauthorised clearing</w:t>
      </w:r>
      <w:r>
        <w:tab/>
      </w:r>
      <w:r>
        <w:fldChar w:fldCharType="begin"/>
      </w:r>
      <w:r>
        <w:instrText xml:space="preserve"> PAGEREF _Toc417563657 \h </w:instrText>
      </w:r>
      <w:r>
        <w:fldChar w:fldCharType="separate"/>
      </w:r>
      <w:r>
        <w:t>22</w:t>
      </w:r>
      <w:r>
        <w:fldChar w:fldCharType="end"/>
      </w:r>
    </w:p>
    <w:p>
      <w:pPr>
        <w:pStyle w:val="TOC8"/>
        <w:rPr>
          <w:rFonts w:asciiTheme="minorHAnsi" w:eastAsiaTheme="minorEastAsia" w:hAnsiTheme="minorHAnsi" w:cstheme="minorBidi"/>
          <w:szCs w:val="22"/>
        </w:rPr>
      </w:pPr>
      <w:r>
        <w:t>35A.</w:t>
      </w:r>
      <w:r>
        <w:tab/>
        <w:t>Quarrying, removing or disturbing soil etc.</w:t>
      </w:r>
      <w:r>
        <w:tab/>
      </w:r>
      <w:r>
        <w:fldChar w:fldCharType="begin"/>
      </w:r>
      <w:r>
        <w:instrText xml:space="preserve"> PAGEREF _Toc417563658 \h </w:instrText>
      </w:r>
      <w:r>
        <w:fldChar w:fldCharType="separate"/>
      </w:r>
      <w:r>
        <w:t>22</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Dumping</w:t>
      </w:r>
      <w:r>
        <w:tab/>
      </w:r>
      <w:r>
        <w:fldChar w:fldCharType="begin"/>
      </w:r>
      <w:r>
        <w:instrText xml:space="preserve"> PAGEREF _Toc417563659 \h </w:instrText>
      </w:r>
      <w:r>
        <w:fldChar w:fldCharType="separate"/>
      </w:r>
      <w:r>
        <w:t>23</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Damage to property</w:t>
      </w:r>
      <w:r>
        <w:tab/>
      </w:r>
      <w:r>
        <w:fldChar w:fldCharType="begin"/>
      </w:r>
      <w:r>
        <w:instrText xml:space="preserve"> PAGEREF _Toc417563660 \h </w:instrText>
      </w:r>
      <w:r>
        <w:fldChar w:fldCharType="separate"/>
      </w:r>
      <w:r>
        <w:t>23</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Unauthorised signs</w:t>
      </w:r>
      <w:r>
        <w:tab/>
      </w:r>
      <w:r>
        <w:fldChar w:fldCharType="begin"/>
      </w:r>
      <w:r>
        <w:instrText xml:space="preserve"> PAGEREF _Toc417563661 \h </w:instrText>
      </w:r>
      <w:r>
        <w:fldChar w:fldCharType="separate"/>
      </w:r>
      <w:r>
        <w:t>23</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Unlawful lighting of campfires etc.</w:t>
      </w:r>
      <w:r>
        <w:tab/>
      </w:r>
      <w:r>
        <w:fldChar w:fldCharType="begin"/>
      </w:r>
      <w:r>
        <w:instrText xml:space="preserve"> PAGEREF _Toc417563662 \h </w:instrText>
      </w:r>
      <w:r>
        <w:fldChar w:fldCharType="separate"/>
      </w:r>
      <w:r>
        <w:t>24</w:t>
      </w:r>
      <w:r>
        <w:fldChar w:fldCharType="end"/>
      </w:r>
    </w:p>
    <w:p>
      <w:pPr>
        <w:pStyle w:val="TOC8"/>
        <w:rPr>
          <w:rFonts w:asciiTheme="minorHAnsi" w:eastAsiaTheme="minorEastAsia" w:hAnsiTheme="minorHAnsi" w:cstheme="minorBidi"/>
          <w:szCs w:val="22"/>
        </w:rPr>
      </w:pPr>
      <w:r>
        <w:t>40.</w:t>
      </w:r>
      <w:r>
        <w:tab/>
        <w:t>Extinguishment of camp fires, barbeques and portable stoves</w:t>
      </w:r>
      <w:r>
        <w:tab/>
      </w:r>
      <w:r>
        <w:fldChar w:fldCharType="begin"/>
      </w:r>
      <w:r>
        <w:instrText xml:space="preserve"> PAGEREF _Toc417563663 \h </w:instrText>
      </w:r>
      <w:r>
        <w:fldChar w:fldCharType="separate"/>
      </w:r>
      <w:r>
        <w:t>25</w:t>
      </w:r>
      <w:r>
        <w:fldChar w:fldCharType="end"/>
      </w:r>
    </w:p>
    <w:p>
      <w:pPr>
        <w:pStyle w:val="TOC8"/>
        <w:rPr>
          <w:rFonts w:asciiTheme="minorHAnsi" w:eastAsiaTheme="minorEastAsia" w:hAnsiTheme="minorHAnsi" w:cstheme="minorBidi"/>
          <w:szCs w:val="22"/>
        </w:rPr>
      </w:pPr>
      <w:r>
        <w:t>40A.</w:t>
      </w:r>
      <w:r>
        <w:tab/>
        <w:t>Unlawful lighting of fires — only one conviction</w:t>
      </w:r>
      <w:r>
        <w:tab/>
      </w:r>
      <w:r>
        <w:fldChar w:fldCharType="begin"/>
      </w:r>
      <w:r>
        <w:instrText xml:space="preserve"> PAGEREF _Toc417563664 \h </w:instrText>
      </w:r>
      <w:r>
        <w:fldChar w:fldCharType="separate"/>
      </w:r>
      <w:r>
        <w:t>26</w:t>
      </w:r>
      <w:r>
        <w:fldChar w:fldCharType="end"/>
      </w:r>
    </w:p>
    <w:p>
      <w:pPr>
        <w:pStyle w:val="TOC2"/>
        <w:tabs>
          <w:tab w:val="right" w:leader="dot" w:pos="7077"/>
        </w:tabs>
        <w:rPr>
          <w:rFonts w:asciiTheme="minorHAnsi" w:eastAsiaTheme="minorEastAsia" w:hAnsiTheme="minorHAnsi" w:cstheme="minorBidi"/>
          <w:b w:val="0"/>
          <w:sz w:val="22"/>
          <w:szCs w:val="22"/>
        </w:rPr>
      </w:pPr>
      <w:r>
        <w:t>Part 3 — Access to CALM land</w:t>
      </w:r>
    </w:p>
    <w:p>
      <w:pPr>
        <w:pStyle w:val="TOC4"/>
        <w:tabs>
          <w:tab w:val="right" w:leader="dot" w:pos="7077"/>
        </w:tabs>
        <w:rPr>
          <w:rFonts w:asciiTheme="minorHAnsi" w:eastAsiaTheme="minorEastAsia" w:hAnsiTheme="minorHAnsi" w:cstheme="minorBidi"/>
          <w:b w:val="0"/>
          <w:szCs w:val="22"/>
        </w:rPr>
      </w:pPr>
      <w:r>
        <w:t>Division 1</w:t>
      </w:r>
      <w:r>
        <w:rPr>
          <w:snapToGrid w:val="0"/>
        </w:rPr>
        <w:t xml:space="preserve"> — </w:t>
      </w:r>
      <w:r>
        <w:t>General</w:t>
      </w:r>
    </w:p>
    <w:p>
      <w:pPr>
        <w:pStyle w:val="TOC8"/>
        <w:rPr>
          <w:rFonts w:asciiTheme="minorHAnsi" w:eastAsiaTheme="minorEastAsia" w:hAnsiTheme="minorHAnsi" w:cstheme="minorBidi"/>
          <w:szCs w:val="22"/>
        </w:rPr>
      </w:pPr>
      <w:r>
        <w:t>41</w:t>
      </w:r>
      <w:r>
        <w:rPr>
          <w:snapToGrid w:val="0"/>
        </w:rPr>
        <w:t>.</w:t>
      </w:r>
      <w:r>
        <w:rPr>
          <w:snapToGrid w:val="0"/>
        </w:rPr>
        <w:tab/>
        <w:t>Access to certain classified areas</w:t>
      </w:r>
      <w:r>
        <w:tab/>
      </w:r>
      <w:r>
        <w:fldChar w:fldCharType="begin"/>
      </w:r>
      <w:r>
        <w:instrText xml:space="preserve"> PAGEREF _Toc417563667 \h </w:instrText>
      </w:r>
      <w:r>
        <w:fldChar w:fldCharType="separate"/>
      </w:r>
      <w:r>
        <w:t>27</w:t>
      </w:r>
      <w:r>
        <w:fldChar w:fldCharType="end"/>
      </w:r>
    </w:p>
    <w:p>
      <w:pPr>
        <w:pStyle w:val="TOC8"/>
        <w:rPr>
          <w:rFonts w:asciiTheme="minorHAnsi" w:eastAsiaTheme="minorEastAsia" w:hAnsiTheme="minorHAnsi" w:cstheme="minorBidi"/>
          <w:szCs w:val="22"/>
        </w:rPr>
      </w:pPr>
      <w:r>
        <w:t>42.</w:t>
      </w:r>
      <w:r>
        <w:tab/>
        <w:t>Access to limited access areas</w:t>
      </w:r>
      <w:r>
        <w:tab/>
      </w:r>
      <w:r>
        <w:fldChar w:fldCharType="begin"/>
      </w:r>
      <w:r>
        <w:instrText xml:space="preserve"> PAGEREF _Toc417563668 \h </w:instrText>
      </w:r>
      <w:r>
        <w:fldChar w:fldCharType="separate"/>
      </w:r>
      <w:r>
        <w:t>27</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Access to wilderness areas (Act s. 62(1)(a))</w:t>
      </w:r>
      <w:r>
        <w:tab/>
      </w:r>
      <w:r>
        <w:fldChar w:fldCharType="begin"/>
      </w:r>
      <w:r>
        <w:instrText xml:space="preserve"> PAGEREF _Toc417563669 \h </w:instrText>
      </w:r>
      <w:r>
        <w:fldChar w:fldCharType="separate"/>
      </w:r>
      <w:r>
        <w:t>27</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Direction to close area</w:t>
      </w:r>
      <w:r>
        <w:tab/>
      </w:r>
      <w:r>
        <w:fldChar w:fldCharType="begin"/>
      </w:r>
      <w:r>
        <w:instrText xml:space="preserve"> PAGEREF _Toc417563670 \h </w:instrText>
      </w:r>
      <w:r>
        <w:fldChar w:fldCharType="separate"/>
      </w:r>
      <w:r>
        <w:t>28</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Closed area</w:t>
      </w:r>
      <w:r>
        <w:tab/>
      </w:r>
      <w:r>
        <w:fldChar w:fldCharType="begin"/>
      </w:r>
      <w:r>
        <w:instrText xml:space="preserve"> PAGEREF _Toc417563671 \h </w:instrText>
      </w:r>
      <w:r>
        <w:fldChar w:fldCharType="separate"/>
      </w:r>
      <w:r>
        <w:t>28</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Offences relating to closed areas</w:t>
      </w:r>
      <w:r>
        <w:tab/>
      </w:r>
      <w:r>
        <w:fldChar w:fldCharType="begin"/>
      </w:r>
      <w:r>
        <w:instrText xml:space="preserve"> PAGEREF _Toc417563672 \h </w:instrText>
      </w:r>
      <w:r>
        <w:fldChar w:fldCharType="separate"/>
      </w:r>
      <w:r>
        <w:t>29</w:t>
      </w:r>
      <w:r>
        <w:fldChar w:fldCharType="end"/>
      </w:r>
    </w:p>
    <w:p>
      <w:pPr>
        <w:pStyle w:val="TOC8"/>
        <w:rPr>
          <w:rFonts w:asciiTheme="minorHAnsi" w:eastAsiaTheme="minorEastAsia" w:hAnsiTheme="minorHAnsi" w:cstheme="minorBidi"/>
          <w:szCs w:val="22"/>
        </w:rPr>
      </w:pPr>
      <w:r>
        <w:t>47.</w:t>
      </w:r>
      <w:r>
        <w:tab/>
        <w:t>Entering CALM land via gates etc.</w:t>
      </w:r>
      <w:r>
        <w:tab/>
      </w:r>
      <w:r>
        <w:fldChar w:fldCharType="begin"/>
      </w:r>
      <w:r>
        <w:instrText xml:space="preserve"> PAGEREF _Toc417563673 \h </w:instrText>
      </w:r>
      <w:r>
        <w:fldChar w:fldCharType="separate"/>
      </w:r>
      <w:r>
        <w:t>30</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 xml:space="preserve">Areas set aside </w:t>
      </w:r>
      <w:r>
        <w:t>for purposes of CEO</w:t>
      </w:r>
      <w:r>
        <w:tab/>
      </w:r>
      <w:r>
        <w:fldChar w:fldCharType="begin"/>
      </w:r>
      <w:r>
        <w:instrText xml:space="preserve"> PAGEREF _Toc417563674 \h </w:instrText>
      </w:r>
      <w:r>
        <w:fldChar w:fldCharType="separate"/>
      </w:r>
      <w:r>
        <w:t>30</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Caves</w:t>
      </w:r>
      <w:r>
        <w:tab/>
      </w:r>
      <w:r>
        <w:fldChar w:fldCharType="begin"/>
      </w:r>
      <w:r>
        <w:instrText xml:space="preserve"> PAGEREF _Toc417563675 \h </w:instrText>
      </w:r>
      <w:r>
        <w:fldChar w:fldCharType="separate"/>
      </w:r>
      <w:r>
        <w:t>31</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Cross country and other events</w:t>
      </w:r>
      <w:r>
        <w:tab/>
      </w:r>
      <w:r>
        <w:fldChar w:fldCharType="begin"/>
      </w:r>
      <w:r>
        <w:instrText xml:space="preserve"> PAGEREF _Toc417563676 \h </w:instrText>
      </w:r>
      <w:r>
        <w:fldChar w:fldCharType="separate"/>
      </w:r>
      <w:r>
        <w:t>32</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xml:space="preserve"> — </w:t>
      </w:r>
      <w:r>
        <w:t>Vehicles</w:t>
      </w:r>
    </w:p>
    <w:p>
      <w:pPr>
        <w:pStyle w:val="TOC8"/>
        <w:rPr>
          <w:rFonts w:asciiTheme="minorHAnsi" w:eastAsiaTheme="minorEastAsia" w:hAnsiTheme="minorHAnsi" w:cstheme="minorBidi"/>
          <w:szCs w:val="22"/>
        </w:rPr>
      </w:pPr>
      <w:r>
        <w:t>51</w:t>
      </w:r>
      <w:r>
        <w:rPr>
          <w:snapToGrid w:val="0"/>
        </w:rPr>
        <w:t>.</w:t>
      </w:r>
      <w:r>
        <w:rPr>
          <w:snapToGrid w:val="0"/>
        </w:rPr>
        <w:tab/>
        <w:t>Vehicles</w:t>
      </w:r>
      <w:r>
        <w:tab/>
      </w:r>
      <w:r>
        <w:fldChar w:fldCharType="begin"/>
      </w:r>
      <w:r>
        <w:instrText xml:space="preserve"> PAGEREF _Toc417563678 \h </w:instrText>
      </w:r>
      <w:r>
        <w:fldChar w:fldCharType="separate"/>
      </w:r>
      <w:r>
        <w:t>32</w:t>
      </w:r>
      <w:r>
        <w:fldChar w:fldCharType="end"/>
      </w:r>
    </w:p>
    <w:p>
      <w:pPr>
        <w:pStyle w:val="TOC8"/>
        <w:rPr>
          <w:rFonts w:asciiTheme="minorHAnsi" w:eastAsiaTheme="minorEastAsia" w:hAnsiTheme="minorHAnsi" w:cstheme="minorBidi"/>
          <w:szCs w:val="22"/>
        </w:rPr>
      </w:pPr>
      <w:r>
        <w:t>51A.</w:t>
      </w:r>
      <w:r>
        <w:tab/>
        <w:t>Bicycles</w:t>
      </w:r>
      <w:r>
        <w:tab/>
      </w:r>
      <w:r>
        <w:fldChar w:fldCharType="begin"/>
      </w:r>
      <w:r>
        <w:instrText xml:space="preserve"> PAGEREF _Toc417563679 \h </w:instrText>
      </w:r>
      <w:r>
        <w:fldChar w:fldCharType="separate"/>
      </w:r>
      <w:r>
        <w:t>32</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Off</w:t>
      </w:r>
      <w:r>
        <w:rPr>
          <w:snapToGrid w:val="0"/>
        </w:rPr>
        <w:noBreakHyphen/>
        <w:t>road vehicles</w:t>
      </w:r>
      <w:r>
        <w:tab/>
      </w:r>
      <w:r>
        <w:fldChar w:fldCharType="begin"/>
      </w:r>
      <w:r>
        <w:instrText xml:space="preserve"> PAGEREF _Toc417563680 \h </w:instrText>
      </w:r>
      <w:r>
        <w:fldChar w:fldCharType="separate"/>
      </w:r>
      <w:r>
        <w:t>33</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Car rallies etc.</w:t>
      </w:r>
      <w:r>
        <w:tab/>
      </w:r>
      <w:r>
        <w:fldChar w:fldCharType="begin"/>
      </w:r>
      <w:r>
        <w:instrText xml:space="preserve"> PAGEREF _Toc417563681 \h </w:instrText>
      </w:r>
      <w:r>
        <w:fldChar w:fldCharType="separate"/>
      </w:r>
      <w:r>
        <w:t>34</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Traffic laws apply</w:t>
      </w:r>
      <w:r>
        <w:tab/>
      </w:r>
      <w:r>
        <w:fldChar w:fldCharType="begin"/>
      </w:r>
      <w:r>
        <w:instrText xml:space="preserve"> PAGEREF _Toc417563682 \h </w:instrText>
      </w:r>
      <w:r>
        <w:fldChar w:fldCharType="separate"/>
      </w:r>
      <w:r>
        <w:t>34</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Driver to obey reasonable direction</w:t>
      </w:r>
      <w:r>
        <w:tab/>
      </w:r>
      <w:r>
        <w:fldChar w:fldCharType="begin"/>
      </w:r>
      <w:r>
        <w:instrText xml:space="preserve"> PAGEREF _Toc417563683 \h </w:instrText>
      </w:r>
      <w:r>
        <w:fldChar w:fldCharType="separate"/>
      </w:r>
      <w:r>
        <w:t>34</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Signs to be obeyed</w:t>
      </w:r>
      <w:r>
        <w:tab/>
      </w:r>
      <w:r>
        <w:fldChar w:fldCharType="begin"/>
      </w:r>
      <w:r>
        <w:instrText xml:space="preserve"> PAGEREF _Toc417563684 \h </w:instrText>
      </w:r>
      <w:r>
        <w:fldChar w:fldCharType="separate"/>
      </w:r>
      <w:r>
        <w:t>35</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Obstructing other vehicles etc.</w:t>
      </w:r>
      <w:r>
        <w:tab/>
      </w:r>
      <w:r>
        <w:fldChar w:fldCharType="begin"/>
      </w:r>
      <w:r>
        <w:instrText xml:space="preserve"> PAGEREF _Toc417563685 \h </w:instrText>
      </w:r>
      <w:r>
        <w:fldChar w:fldCharType="separate"/>
      </w:r>
      <w:r>
        <w:t>36</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xml:space="preserve"> — </w:t>
      </w:r>
      <w:r>
        <w:t>Vessels</w:t>
      </w:r>
    </w:p>
    <w:p>
      <w:pPr>
        <w:pStyle w:val="TOC8"/>
        <w:rPr>
          <w:rFonts w:asciiTheme="minorHAnsi" w:eastAsiaTheme="minorEastAsia" w:hAnsiTheme="minorHAnsi" w:cstheme="minorBidi"/>
          <w:szCs w:val="22"/>
        </w:rPr>
      </w:pPr>
      <w:r>
        <w:t>58</w:t>
      </w:r>
      <w:r>
        <w:rPr>
          <w:snapToGrid w:val="0"/>
        </w:rPr>
        <w:t>.</w:t>
      </w:r>
      <w:r>
        <w:rPr>
          <w:snapToGrid w:val="0"/>
        </w:rPr>
        <w:tab/>
        <w:t>Races</w:t>
      </w:r>
      <w:r>
        <w:tab/>
      </w:r>
      <w:r>
        <w:fldChar w:fldCharType="begin"/>
      </w:r>
      <w:r>
        <w:instrText xml:space="preserve"> PAGEREF _Toc417563687 \h </w:instrText>
      </w:r>
      <w:r>
        <w:fldChar w:fldCharType="separate"/>
      </w:r>
      <w:r>
        <w:t>36</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Moorings</w:t>
      </w:r>
      <w:r>
        <w:tab/>
      </w:r>
      <w:r>
        <w:fldChar w:fldCharType="begin"/>
      </w:r>
      <w:r>
        <w:instrText xml:space="preserve"> PAGEREF _Toc417563688 \h </w:instrText>
      </w:r>
      <w:r>
        <w:fldChar w:fldCharType="separate"/>
      </w:r>
      <w:r>
        <w:t>37</w:t>
      </w:r>
      <w:r>
        <w:fldChar w:fldCharType="end"/>
      </w:r>
    </w:p>
    <w:p>
      <w:pPr>
        <w:pStyle w:val="TOC8"/>
        <w:rPr>
          <w:rFonts w:asciiTheme="minorHAnsi" w:eastAsiaTheme="minorEastAsia" w:hAnsiTheme="minorHAnsi" w:cstheme="minorBidi"/>
          <w:szCs w:val="22"/>
        </w:rPr>
      </w:pPr>
      <w:r>
        <w:t>60A.</w:t>
      </w:r>
      <w:r>
        <w:tab/>
        <w:t>Public moorings</w:t>
      </w:r>
      <w:r>
        <w:tab/>
      </w:r>
      <w:r>
        <w:fldChar w:fldCharType="begin"/>
      </w:r>
      <w:r>
        <w:instrText xml:space="preserve"> PAGEREF _Toc417563689 \h </w:instrText>
      </w:r>
      <w:r>
        <w:fldChar w:fldCharType="separate"/>
      </w:r>
      <w:r>
        <w:t>38</w:t>
      </w:r>
      <w:r>
        <w:fldChar w:fldCharType="end"/>
      </w:r>
    </w:p>
    <w:p>
      <w:pPr>
        <w:pStyle w:val="TOC8"/>
        <w:rPr>
          <w:rFonts w:asciiTheme="minorHAnsi" w:eastAsiaTheme="minorEastAsia" w:hAnsiTheme="minorHAnsi" w:cstheme="minorBidi"/>
          <w:szCs w:val="22"/>
        </w:rPr>
      </w:pPr>
      <w:r>
        <w:t>60B.</w:t>
      </w:r>
      <w:r>
        <w:tab/>
        <w:t>Temporary mooring areas</w:t>
      </w:r>
      <w:r>
        <w:tab/>
      </w:r>
      <w:r>
        <w:fldChar w:fldCharType="begin"/>
      </w:r>
      <w:r>
        <w:instrText xml:space="preserve"> PAGEREF _Toc417563690 \h </w:instrText>
      </w:r>
      <w:r>
        <w:fldChar w:fldCharType="separate"/>
      </w:r>
      <w:r>
        <w:t>38</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Anchoring vessels</w:t>
      </w:r>
      <w:r>
        <w:tab/>
      </w:r>
      <w:r>
        <w:fldChar w:fldCharType="begin"/>
      </w:r>
      <w:r>
        <w:instrText xml:space="preserve"> PAGEREF _Toc417563691 \h </w:instrText>
      </w:r>
      <w:r>
        <w:fldChar w:fldCharType="separate"/>
      </w:r>
      <w:r>
        <w:t>38</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Operation of certain vessel in restricted area</w:t>
      </w:r>
      <w:r>
        <w:tab/>
      </w:r>
      <w:r>
        <w:fldChar w:fldCharType="begin"/>
      </w:r>
      <w:r>
        <w:instrText xml:space="preserve"> PAGEREF _Toc417563692 \h </w:instrText>
      </w:r>
      <w:r>
        <w:fldChar w:fldCharType="separate"/>
      </w:r>
      <w:r>
        <w:t>39</w:t>
      </w:r>
      <w:r>
        <w:fldChar w:fldCharType="end"/>
      </w:r>
    </w:p>
    <w:p>
      <w:pPr>
        <w:pStyle w:val="TOC8"/>
        <w:rPr>
          <w:rFonts w:asciiTheme="minorHAnsi" w:eastAsiaTheme="minorEastAsia" w:hAnsiTheme="minorHAnsi" w:cstheme="minorBidi"/>
          <w:szCs w:val="22"/>
        </w:rPr>
      </w:pPr>
      <w:r>
        <w:t>61A.</w:t>
      </w:r>
      <w:r>
        <w:tab/>
        <w:t>Operation of vessels in nature reserves</w:t>
      </w:r>
      <w:r>
        <w:tab/>
      </w:r>
      <w:r>
        <w:fldChar w:fldCharType="begin"/>
      </w:r>
      <w:r>
        <w:instrText xml:space="preserve"> PAGEREF _Toc417563693 \h </w:instrText>
      </w:r>
      <w:r>
        <w:fldChar w:fldCharType="separate"/>
      </w:r>
      <w:r>
        <w:t>39</w:t>
      </w:r>
      <w:r>
        <w:fldChar w:fldCharType="end"/>
      </w:r>
    </w:p>
    <w:p>
      <w:pPr>
        <w:pStyle w:val="TOC8"/>
        <w:rPr>
          <w:rFonts w:asciiTheme="minorHAnsi" w:eastAsiaTheme="minorEastAsia" w:hAnsiTheme="minorHAnsi" w:cstheme="minorBidi"/>
          <w:szCs w:val="22"/>
        </w:rPr>
      </w:pPr>
      <w:r>
        <w:t>61B.</w:t>
      </w:r>
      <w:r>
        <w:tab/>
        <w:t>CEO may limit speed of vessels</w:t>
      </w:r>
      <w:r>
        <w:tab/>
      </w:r>
      <w:r>
        <w:fldChar w:fldCharType="begin"/>
      </w:r>
      <w:r>
        <w:instrText xml:space="preserve"> PAGEREF _Toc417563694 \h </w:instrText>
      </w:r>
      <w:r>
        <w:fldChar w:fldCharType="separate"/>
      </w:r>
      <w:r>
        <w:t>39</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Safe navigation of vessels</w:t>
      </w:r>
      <w:r>
        <w:tab/>
      </w:r>
      <w:r>
        <w:fldChar w:fldCharType="begin"/>
      </w:r>
      <w:r>
        <w:instrText xml:space="preserve"> PAGEREF _Toc417563695 \h </w:instrText>
      </w:r>
      <w:r>
        <w:fldChar w:fldCharType="separate"/>
      </w:r>
      <w:r>
        <w:t>40</w:t>
      </w:r>
      <w:r>
        <w:fldChar w:fldCharType="end"/>
      </w:r>
    </w:p>
    <w:p>
      <w:pPr>
        <w:pStyle w:val="TOC8"/>
        <w:rPr>
          <w:rFonts w:asciiTheme="minorHAnsi" w:eastAsiaTheme="minorEastAsia" w:hAnsiTheme="minorHAnsi" w:cstheme="minorBidi"/>
          <w:szCs w:val="22"/>
        </w:rPr>
      </w:pPr>
      <w:r>
        <w:t>63</w:t>
      </w:r>
      <w:r>
        <w:rPr>
          <w:snapToGrid w:val="0"/>
        </w:rPr>
        <w:t>.</w:t>
      </w:r>
      <w:r>
        <w:rPr>
          <w:snapToGrid w:val="0"/>
        </w:rPr>
        <w:tab/>
        <w:t>Owner to obey reasonable direction</w:t>
      </w:r>
      <w:r>
        <w:tab/>
      </w:r>
      <w:r>
        <w:fldChar w:fldCharType="begin"/>
      </w:r>
      <w:r>
        <w:instrText xml:space="preserve"> PAGEREF _Toc417563696 \h </w:instrText>
      </w:r>
      <w:r>
        <w:fldChar w:fldCharType="separate"/>
      </w:r>
      <w:r>
        <w:t>41</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Launching, beaching and retrieving</w:t>
      </w:r>
      <w:r>
        <w:tab/>
      </w:r>
      <w:r>
        <w:fldChar w:fldCharType="begin"/>
      </w:r>
      <w:r>
        <w:instrText xml:space="preserve"> PAGEREF _Toc417563697 \h </w:instrText>
      </w:r>
      <w:r>
        <w:fldChar w:fldCharType="separate"/>
      </w:r>
      <w:r>
        <w:t>41</w:t>
      </w:r>
      <w:r>
        <w:fldChar w:fldCharType="end"/>
      </w:r>
    </w:p>
    <w:p>
      <w:pPr>
        <w:pStyle w:val="TOC8"/>
        <w:rPr>
          <w:rFonts w:asciiTheme="minorHAnsi" w:eastAsiaTheme="minorEastAsia" w:hAnsiTheme="minorHAnsi" w:cstheme="minorBidi"/>
          <w:szCs w:val="22"/>
        </w:rPr>
      </w:pPr>
      <w:r>
        <w:t>65A.</w:t>
      </w:r>
      <w:r>
        <w:tab/>
        <w:t>Unlawful use of vessel storage facility</w:t>
      </w:r>
      <w:r>
        <w:tab/>
      </w:r>
      <w:r>
        <w:fldChar w:fldCharType="begin"/>
      </w:r>
      <w:r>
        <w:instrText xml:space="preserve"> PAGEREF _Toc417563698 \h </w:instrText>
      </w:r>
      <w:r>
        <w:fldChar w:fldCharType="separate"/>
      </w:r>
      <w:r>
        <w:t>42</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xml:space="preserve"> — </w:t>
      </w:r>
      <w:r>
        <w:t>Aircraft</w:t>
      </w:r>
    </w:p>
    <w:p>
      <w:pPr>
        <w:pStyle w:val="TOC8"/>
        <w:rPr>
          <w:rFonts w:asciiTheme="minorHAnsi" w:eastAsiaTheme="minorEastAsia" w:hAnsiTheme="minorHAnsi" w:cstheme="minorBidi"/>
          <w:szCs w:val="22"/>
        </w:rPr>
      </w:pPr>
      <w:r>
        <w:t>65</w:t>
      </w:r>
      <w:r>
        <w:rPr>
          <w:snapToGrid w:val="0"/>
        </w:rPr>
        <w:t>.</w:t>
      </w:r>
      <w:r>
        <w:rPr>
          <w:snapToGrid w:val="0"/>
        </w:rPr>
        <w:tab/>
        <w:t>Launching or landing of aircraft</w:t>
      </w:r>
      <w:r>
        <w:tab/>
      </w:r>
      <w:r>
        <w:fldChar w:fldCharType="begin"/>
      </w:r>
      <w:r>
        <w:instrText xml:space="preserve"> PAGEREF _Toc417563700 \h </w:instrText>
      </w:r>
      <w:r>
        <w:fldChar w:fldCharType="separate"/>
      </w:r>
      <w:r>
        <w:t>43</w:t>
      </w:r>
      <w:r>
        <w:fldChar w:fldCharType="end"/>
      </w:r>
    </w:p>
    <w:p>
      <w:pPr>
        <w:pStyle w:val="TOC2"/>
        <w:tabs>
          <w:tab w:val="right" w:leader="dot" w:pos="7077"/>
        </w:tabs>
        <w:rPr>
          <w:rFonts w:asciiTheme="minorHAnsi" w:eastAsiaTheme="minorEastAsia" w:hAnsiTheme="minorHAnsi" w:cstheme="minorBidi"/>
          <w:b w:val="0"/>
          <w:sz w:val="22"/>
          <w:szCs w:val="22"/>
        </w:rPr>
      </w:pPr>
      <w:r>
        <w:t>Part 4 — Camping</w:t>
      </w:r>
    </w:p>
    <w:p>
      <w:pPr>
        <w:pStyle w:val="TOC8"/>
        <w:rPr>
          <w:rFonts w:asciiTheme="minorHAnsi" w:eastAsiaTheme="minorEastAsia" w:hAnsiTheme="minorHAnsi" w:cstheme="minorBidi"/>
          <w:szCs w:val="22"/>
        </w:rPr>
      </w:pPr>
      <w:r>
        <w:t>66</w:t>
      </w:r>
      <w:r>
        <w:rPr>
          <w:snapToGrid w:val="0"/>
        </w:rPr>
        <w:t>.</w:t>
      </w:r>
      <w:r>
        <w:rPr>
          <w:snapToGrid w:val="0"/>
        </w:rPr>
        <w:tab/>
        <w:t>Camping controlled</w:t>
      </w:r>
      <w:r>
        <w:tab/>
      </w:r>
      <w:r>
        <w:fldChar w:fldCharType="begin"/>
      </w:r>
      <w:r>
        <w:instrText xml:space="preserve"> PAGEREF _Toc417563702 \h </w:instrText>
      </w:r>
      <w:r>
        <w:fldChar w:fldCharType="separate"/>
      </w:r>
      <w:r>
        <w:t>44</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Direction to vacate camp</w:t>
      </w:r>
      <w:r>
        <w:tab/>
      </w:r>
      <w:r>
        <w:fldChar w:fldCharType="begin"/>
      </w:r>
      <w:r>
        <w:instrText xml:space="preserve"> PAGEREF _Toc417563703 \h </w:instrText>
      </w:r>
      <w:r>
        <w:fldChar w:fldCharType="separate"/>
      </w:r>
      <w:r>
        <w:t>44</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Unauthorised persons not to enter camping unit</w:t>
      </w:r>
      <w:r>
        <w:tab/>
      </w:r>
      <w:r>
        <w:fldChar w:fldCharType="begin"/>
      </w:r>
      <w:r>
        <w:instrText xml:space="preserve"> PAGEREF _Toc417563704 \h </w:instrText>
      </w:r>
      <w:r>
        <w:fldChar w:fldCharType="separate"/>
      </w:r>
      <w:r>
        <w:t>45</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Construction and positioning of camping units</w:t>
      </w:r>
      <w:r>
        <w:tab/>
      </w:r>
      <w:r>
        <w:fldChar w:fldCharType="begin"/>
      </w:r>
      <w:r>
        <w:instrText xml:space="preserve"> PAGEREF _Toc417563705 \h </w:instrText>
      </w:r>
      <w:r>
        <w:fldChar w:fldCharType="separate"/>
      </w:r>
      <w:r>
        <w:t>45</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Power generating devices</w:t>
      </w:r>
      <w:r>
        <w:tab/>
      </w:r>
      <w:r>
        <w:fldChar w:fldCharType="begin"/>
      </w:r>
      <w:r>
        <w:instrText xml:space="preserve"> PAGEREF _Toc417563706 \h </w:instrText>
      </w:r>
      <w:r>
        <w:fldChar w:fldCharType="separate"/>
      </w:r>
      <w:r>
        <w:t>46</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t>Firewood</w:t>
      </w:r>
      <w:r>
        <w:tab/>
      </w:r>
      <w:r>
        <w:fldChar w:fldCharType="begin"/>
      </w:r>
      <w:r>
        <w:instrText xml:space="preserve"> PAGEREF _Toc417563707 \h </w:instrText>
      </w:r>
      <w:r>
        <w:fldChar w:fldCharType="separate"/>
      </w:r>
      <w:r>
        <w:t>47</w:t>
      </w:r>
      <w:r>
        <w:fldChar w:fldCharType="end"/>
      </w:r>
    </w:p>
    <w:p>
      <w:pPr>
        <w:pStyle w:val="TOC2"/>
        <w:tabs>
          <w:tab w:val="right" w:leader="dot" w:pos="7077"/>
        </w:tabs>
        <w:rPr>
          <w:rFonts w:asciiTheme="minorHAnsi" w:eastAsiaTheme="minorEastAsia" w:hAnsiTheme="minorHAnsi" w:cstheme="minorBidi"/>
          <w:b w:val="0"/>
          <w:sz w:val="22"/>
          <w:szCs w:val="22"/>
        </w:rPr>
      </w:pPr>
      <w:r>
        <w:t>Part 5 — Offensive and dangerous behaviour</w:t>
      </w:r>
    </w:p>
    <w:p>
      <w:pPr>
        <w:pStyle w:val="TOC8"/>
        <w:rPr>
          <w:rFonts w:asciiTheme="minorHAnsi" w:eastAsiaTheme="minorEastAsia" w:hAnsiTheme="minorHAnsi" w:cstheme="minorBidi"/>
          <w:szCs w:val="22"/>
        </w:rPr>
      </w:pPr>
      <w:r>
        <w:t>72</w:t>
      </w:r>
      <w:r>
        <w:rPr>
          <w:snapToGrid w:val="0"/>
        </w:rPr>
        <w:t>.</w:t>
      </w:r>
      <w:r>
        <w:rPr>
          <w:snapToGrid w:val="0"/>
        </w:rPr>
        <w:tab/>
        <w:t>Authorised officer may direct person to stop activity</w:t>
      </w:r>
      <w:r>
        <w:tab/>
      </w:r>
      <w:r>
        <w:fldChar w:fldCharType="begin"/>
      </w:r>
      <w:r>
        <w:instrText xml:space="preserve"> PAGEREF _Toc417563709 \h </w:instrText>
      </w:r>
      <w:r>
        <w:fldChar w:fldCharType="separate"/>
      </w:r>
      <w:r>
        <w:t>48</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Conduct generally</w:t>
      </w:r>
      <w:r>
        <w:tab/>
      </w:r>
      <w:r>
        <w:fldChar w:fldCharType="begin"/>
      </w:r>
      <w:r>
        <w:instrText xml:space="preserve"> PAGEREF _Toc417563710 \h </w:instrText>
      </w:r>
      <w:r>
        <w:fldChar w:fldCharType="separate"/>
      </w:r>
      <w:r>
        <w:t>48</w:t>
      </w:r>
      <w:r>
        <w:fldChar w:fldCharType="end"/>
      </w:r>
    </w:p>
    <w:p>
      <w:pPr>
        <w:pStyle w:val="TOC8"/>
        <w:rPr>
          <w:rFonts w:asciiTheme="minorHAnsi" w:eastAsiaTheme="minorEastAsia" w:hAnsiTheme="minorHAnsi" w:cstheme="minorBidi"/>
          <w:szCs w:val="22"/>
        </w:rPr>
      </w:pPr>
      <w:r>
        <w:t>74</w:t>
      </w:r>
      <w:r>
        <w:rPr>
          <w:snapToGrid w:val="0"/>
        </w:rPr>
        <w:t>.</w:t>
      </w:r>
      <w:r>
        <w:rPr>
          <w:snapToGrid w:val="0"/>
        </w:rPr>
        <w:tab/>
        <w:t>Offensive noise</w:t>
      </w:r>
      <w:r>
        <w:tab/>
      </w:r>
      <w:r>
        <w:fldChar w:fldCharType="begin"/>
      </w:r>
      <w:r>
        <w:instrText xml:space="preserve"> PAGEREF _Toc417563711 \h </w:instrText>
      </w:r>
      <w:r>
        <w:fldChar w:fldCharType="separate"/>
      </w:r>
      <w:r>
        <w:t>49</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Alcohol and drugs</w:t>
      </w:r>
      <w:r>
        <w:tab/>
      </w:r>
      <w:r>
        <w:fldChar w:fldCharType="begin"/>
      </w:r>
      <w:r>
        <w:instrText xml:space="preserve"> PAGEREF _Toc417563712 \h </w:instrText>
      </w:r>
      <w:r>
        <w:fldChar w:fldCharType="separate"/>
      </w:r>
      <w:r>
        <w:t>49</w:t>
      </w:r>
      <w:r>
        <w:fldChar w:fldCharType="end"/>
      </w:r>
    </w:p>
    <w:p>
      <w:pPr>
        <w:pStyle w:val="TOC8"/>
        <w:rPr>
          <w:rFonts w:asciiTheme="minorHAnsi" w:eastAsiaTheme="minorEastAsia" w:hAnsiTheme="minorHAnsi" w:cstheme="minorBidi"/>
          <w:szCs w:val="22"/>
        </w:rPr>
      </w:pPr>
      <w:r>
        <w:t>76</w:t>
      </w:r>
      <w:r>
        <w:rPr>
          <w:snapToGrid w:val="0"/>
        </w:rPr>
        <w:t>.</w:t>
      </w:r>
      <w:r>
        <w:rPr>
          <w:snapToGrid w:val="0"/>
        </w:rPr>
        <w:tab/>
        <w:t>Removal of CALM property</w:t>
      </w:r>
      <w:r>
        <w:tab/>
      </w:r>
      <w:r>
        <w:fldChar w:fldCharType="begin"/>
      </w:r>
      <w:r>
        <w:instrText xml:space="preserve"> PAGEREF _Toc417563713 \h </w:instrText>
      </w:r>
      <w:r>
        <w:fldChar w:fldCharType="separate"/>
      </w:r>
      <w:r>
        <w:t>49</w:t>
      </w:r>
      <w:r>
        <w:fldChar w:fldCharType="end"/>
      </w:r>
    </w:p>
    <w:p>
      <w:pPr>
        <w:pStyle w:val="TOC2"/>
        <w:tabs>
          <w:tab w:val="right" w:leader="dot" w:pos="7077"/>
        </w:tabs>
        <w:rPr>
          <w:rFonts w:asciiTheme="minorHAnsi" w:eastAsiaTheme="minorEastAsia" w:hAnsiTheme="minorHAnsi" w:cstheme="minorBidi"/>
          <w:b w:val="0"/>
          <w:sz w:val="22"/>
          <w:szCs w:val="22"/>
        </w:rPr>
      </w:pPr>
      <w:r>
        <w:t>Part 6 — Removal and forfeiture of unauthorised property on CALM land</w:t>
      </w:r>
    </w:p>
    <w:p>
      <w:pPr>
        <w:pStyle w:val="TOC8"/>
        <w:rPr>
          <w:rFonts w:asciiTheme="minorHAnsi" w:eastAsiaTheme="minorEastAsia" w:hAnsiTheme="minorHAnsi" w:cstheme="minorBidi"/>
          <w:szCs w:val="22"/>
        </w:rPr>
      </w:pPr>
      <w:r>
        <w:t>77.</w:t>
      </w:r>
      <w:r>
        <w:tab/>
        <w:t>Term used: property</w:t>
      </w:r>
      <w:r>
        <w:tab/>
      </w:r>
      <w:r>
        <w:fldChar w:fldCharType="begin"/>
      </w:r>
      <w:r>
        <w:instrText xml:space="preserve"> PAGEREF _Toc417563715 \h </w:instrText>
      </w:r>
      <w:r>
        <w:fldChar w:fldCharType="separate"/>
      </w:r>
      <w:r>
        <w:t>51</w:t>
      </w:r>
      <w:r>
        <w:fldChar w:fldCharType="end"/>
      </w:r>
    </w:p>
    <w:p>
      <w:pPr>
        <w:pStyle w:val="TOC8"/>
        <w:rPr>
          <w:rFonts w:asciiTheme="minorHAnsi" w:eastAsiaTheme="minorEastAsia" w:hAnsiTheme="minorHAnsi" w:cstheme="minorBidi"/>
          <w:szCs w:val="22"/>
        </w:rPr>
      </w:pPr>
      <w:r>
        <w:t>78.</w:t>
      </w:r>
      <w:r>
        <w:tab/>
        <w:t>Authorised officers may seize and remove unauthorised property</w:t>
      </w:r>
      <w:r>
        <w:tab/>
      </w:r>
      <w:r>
        <w:fldChar w:fldCharType="begin"/>
      </w:r>
      <w:r>
        <w:instrText xml:space="preserve"> PAGEREF _Toc417563716 \h </w:instrText>
      </w:r>
      <w:r>
        <w:fldChar w:fldCharType="separate"/>
      </w:r>
      <w:r>
        <w:t>51</w:t>
      </w:r>
      <w:r>
        <w:fldChar w:fldCharType="end"/>
      </w:r>
    </w:p>
    <w:p>
      <w:pPr>
        <w:pStyle w:val="TOC8"/>
        <w:rPr>
          <w:rFonts w:asciiTheme="minorHAnsi" w:eastAsiaTheme="minorEastAsia" w:hAnsiTheme="minorHAnsi" w:cstheme="minorBidi"/>
          <w:szCs w:val="22"/>
        </w:rPr>
      </w:pPr>
      <w:r>
        <w:t>79.</w:t>
      </w:r>
      <w:r>
        <w:tab/>
        <w:t>Seized property may be claimed</w:t>
      </w:r>
      <w:r>
        <w:tab/>
      </w:r>
      <w:r>
        <w:fldChar w:fldCharType="begin"/>
      </w:r>
      <w:r>
        <w:instrText xml:space="preserve"> PAGEREF _Toc417563717 \h </w:instrText>
      </w:r>
      <w:r>
        <w:fldChar w:fldCharType="separate"/>
      </w:r>
      <w:r>
        <w:t>52</w:t>
      </w:r>
      <w:r>
        <w:fldChar w:fldCharType="end"/>
      </w:r>
    </w:p>
    <w:p>
      <w:pPr>
        <w:pStyle w:val="TOC8"/>
        <w:rPr>
          <w:rFonts w:asciiTheme="minorHAnsi" w:eastAsiaTheme="minorEastAsia" w:hAnsiTheme="minorHAnsi" w:cstheme="minorBidi"/>
          <w:szCs w:val="22"/>
        </w:rPr>
      </w:pPr>
      <w:r>
        <w:t>80.</w:t>
      </w:r>
      <w:r>
        <w:tab/>
        <w:t>Unclaimed property may be forfeited</w:t>
      </w:r>
      <w:r>
        <w:tab/>
      </w:r>
      <w:r>
        <w:fldChar w:fldCharType="begin"/>
      </w:r>
      <w:r>
        <w:instrText xml:space="preserve"> PAGEREF _Toc417563718 \h </w:instrText>
      </w:r>
      <w:r>
        <w:fldChar w:fldCharType="separate"/>
      </w:r>
      <w:r>
        <w:t>52</w:t>
      </w:r>
      <w:r>
        <w:fldChar w:fldCharType="end"/>
      </w:r>
    </w:p>
    <w:p>
      <w:pPr>
        <w:pStyle w:val="TOC2"/>
        <w:tabs>
          <w:tab w:val="right" w:leader="dot" w:pos="7077"/>
        </w:tabs>
        <w:rPr>
          <w:rFonts w:asciiTheme="minorHAnsi" w:eastAsiaTheme="minorEastAsia" w:hAnsiTheme="minorHAnsi" w:cstheme="minorBidi"/>
          <w:b w:val="0"/>
          <w:sz w:val="22"/>
          <w:szCs w:val="22"/>
        </w:rPr>
      </w:pPr>
      <w:r>
        <w:t>Part 6A — Management plans</w:t>
      </w:r>
    </w:p>
    <w:p>
      <w:pPr>
        <w:pStyle w:val="TOC8"/>
        <w:rPr>
          <w:rFonts w:asciiTheme="minorHAnsi" w:eastAsiaTheme="minorEastAsia" w:hAnsiTheme="minorHAnsi" w:cstheme="minorBidi"/>
          <w:szCs w:val="22"/>
        </w:rPr>
      </w:pPr>
      <w:r>
        <w:t>81.</w:t>
      </w:r>
      <w:r>
        <w:tab/>
        <w:t>Purposes of reserves (Act s. 55(1a))</w:t>
      </w:r>
      <w:r>
        <w:tab/>
      </w:r>
      <w:r>
        <w:fldChar w:fldCharType="begin"/>
      </w:r>
      <w:r>
        <w:instrText xml:space="preserve"> PAGEREF _Toc417563720 \h </w:instrText>
      </w:r>
      <w:r>
        <w:fldChar w:fldCharType="separate"/>
      </w:r>
      <w:r>
        <w:t>54</w:t>
      </w:r>
      <w:r>
        <w:fldChar w:fldCharType="end"/>
      </w:r>
    </w:p>
    <w:p>
      <w:pPr>
        <w:pStyle w:val="TOC2"/>
        <w:tabs>
          <w:tab w:val="right" w:leader="dot" w:pos="7077"/>
        </w:tabs>
        <w:rPr>
          <w:rFonts w:asciiTheme="minorHAnsi" w:eastAsiaTheme="minorEastAsia" w:hAnsiTheme="minorHAnsi" w:cstheme="minorBidi"/>
          <w:b w:val="0"/>
          <w:sz w:val="22"/>
          <w:szCs w:val="22"/>
        </w:rPr>
      </w:pPr>
      <w:r>
        <w:t>Part 7 — Licences</w:t>
      </w:r>
    </w:p>
    <w:p>
      <w:pPr>
        <w:pStyle w:val="TOC4"/>
        <w:tabs>
          <w:tab w:val="right" w:leader="dot" w:pos="7077"/>
        </w:tabs>
        <w:rPr>
          <w:rFonts w:asciiTheme="minorHAnsi" w:eastAsiaTheme="minorEastAsia" w:hAnsiTheme="minorHAnsi" w:cstheme="minorBidi"/>
          <w:b w:val="0"/>
          <w:szCs w:val="22"/>
        </w:rPr>
      </w:pPr>
      <w:r>
        <w:t>Division 1</w:t>
      </w:r>
      <w:r>
        <w:rPr>
          <w:snapToGrid w:val="0"/>
        </w:rPr>
        <w:t xml:space="preserve"> — </w:t>
      </w:r>
      <w:r>
        <w:t>General</w:t>
      </w:r>
    </w:p>
    <w:p>
      <w:pPr>
        <w:pStyle w:val="TOC8"/>
        <w:rPr>
          <w:rFonts w:asciiTheme="minorHAnsi" w:eastAsiaTheme="minorEastAsia" w:hAnsiTheme="minorHAnsi" w:cstheme="minorBidi"/>
          <w:szCs w:val="22"/>
        </w:rPr>
      </w:pPr>
      <w:r>
        <w:t>82</w:t>
      </w:r>
      <w:r>
        <w:rPr>
          <w:snapToGrid w:val="0"/>
        </w:rPr>
        <w:t>.</w:t>
      </w:r>
      <w:r>
        <w:rPr>
          <w:snapToGrid w:val="0"/>
        </w:rPr>
        <w:tab/>
        <w:t>Term used: licence</w:t>
      </w:r>
      <w:r>
        <w:tab/>
      </w:r>
      <w:r>
        <w:fldChar w:fldCharType="begin"/>
      </w:r>
      <w:r>
        <w:instrText xml:space="preserve"> PAGEREF _Toc417563723 \h </w:instrText>
      </w:r>
      <w:r>
        <w:fldChar w:fldCharType="separate"/>
      </w:r>
      <w:r>
        <w:t>55</w:t>
      </w:r>
      <w:r>
        <w:fldChar w:fldCharType="end"/>
      </w:r>
    </w:p>
    <w:p>
      <w:pPr>
        <w:pStyle w:val="TOC8"/>
        <w:rPr>
          <w:rFonts w:asciiTheme="minorHAnsi" w:eastAsiaTheme="minorEastAsia" w:hAnsiTheme="minorHAnsi" w:cstheme="minorBidi"/>
          <w:szCs w:val="22"/>
        </w:rPr>
      </w:pPr>
      <w:r>
        <w:t>83</w:t>
      </w:r>
      <w:r>
        <w:rPr>
          <w:snapToGrid w:val="0"/>
        </w:rPr>
        <w:t>.</w:t>
      </w:r>
      <w:r>
        <w:rPr>
          <w:snapToGrid w:val="0"/>
        </w:rPr>
        <w:tab/>
        <w:t>Application for licence</w:t>
      </w:r>
      <w:r>
        <w:tab/>
      </w:r>
      <w:r>
        <w:fldChar w:fldCharType="begin"/>
      </w:r>
      <w:r>
        <w:instrText xml:space="preserve"> PAGEREF _Toc417563724 \h </w:instrText>
      </w:r>
      <w:r>
        <w:fldChar w:fldCharType="separate"/>
      </w:r>
      <w:r>
        <w:t>55</w:t>
      </w:r>
      <w:r>
        <w:fldChar w:fldCharType="end"/>
      </w:r>
    </w:p>
    <w:p>
      <w:pPr>
        <w:pStyle w:val="TOC8"/>
        <w:rPr>
          <w:rFonts w:asciiTheme="minorHAnsi" w:eastAsiaTheme="minorEastAsia" w:hAnsiTheme="minorHAnsi" w:cstheme="minorBidi"/>
          <w:szCs w:val="22"/>
        </w:rPr>
      </w:pPr>
      <w:r>
        <w:t>84</w:t>
      </w:r>
      <w:r>
        <w:rPr>
          <w:snapToGrid w:val="0"/>
        </w:rPr>
        <w:t>.</w:t>
      </w:r>
      <w:r>
        <w:rPr>
          <w:snapToGrid w:val="0"/>
        </w:rPr>
        <w:tab/>
        <w:t>Restriction on exercise of powers</w:t>
      </w:r>
      <w:r>
        <w:tab/>
      </w:r>
      <w:r>
        <w:fldChar w:fldCharType="begin"/>
      </w:r>
      <w:r>
        <w:instrText xml:space="preserve"> PAGEREF _Toc417563725 \h </w:instrText>
      </w:r>
      <w:r>
        <w:fldChar w:fldCharType="separate"/>
      </w:r>
      <w:r>
        <w:t>55</w:t>
      </w:r>
      <w:r>
        <w:fldChar w:fldCharType="end"/>
      </w:r>
    </w:p>
    <w:p>
      <w:pPr>
        <w:pStyle w:val="TOC8"/>
        <w:rPr>
          <w:rFonts w:asciiTheme="minorHAnsi" w:eastAsiaTheme="minorEastAsia" w:hAnsiTheme="minorHAnsi" w:cstheme="minorBidi"/>
          <w:szCs w:val="22"/>
        </w:rPr>
      </w:pPr>
      <w:r>
        <w:t>85</w:t>
      </w:r>
      <w:r>
        <w:rPr>
          <w:snapToGrid w:val="0"/>
        </w:rPr>
        <w:t>.</w:t>
      </w:r>
      <w:r>
        <w:rPr>
          <w:snapToGrid w:val="0"/>
        </w:rPr>
        <w:tab/>
        <w:t>Refusal to renew licence</w:t>
      </w:r>
      <w:r>
        <w:tab/>
      </w:r>
      <w:r>
        <w:fldChar w:fldCharType="begin"/>
      </w:r>
      <w:r>
        <w:instrText xml:space="preserve"> PAGEREF _Toc417563726 \h </w:instrText>
      </w:r>
      <w:r>
        <w:fldChar w:fldCharType="separate"/>
      </w:r>
      <w:r>
        <w:t>57</w:t>
      </w:r>
      <w:r>
        <w:fldChar w:fldCharType="end"/>
      </w:r>
    </w:p>
    <w:p>
      <w:pPr>
        <w:pStyle w:val="TOC8"/>
        <w:rPr>
          <w:rFonts w:asciiTheme="minorHAnsi" w:eastAsiaTheme="minorEastAsia" w:hAnsiTheme="minorHAnsi" w:cstheme="minorBidi"/>
          <w:szCs w:val="22"/>
        </w:rPr>
      </w:pPr>
      <w:r>
        <w:t>86</w:t>
      </w:r>
      <w:r>
        <w:rPr>
          <w:snapToGrid w:val="0"/>
        </w:rPr>
        <w:t>.</w:t>
      </w:r>
      <w:r>
        <w:rPr>
          <w:snapToGrid w:val="0"/>
        </w:rPr>
        <w:tab/>
        <w:t xml:space="preserve">Cancellation or suspension of licence by </w:t>
      </w:r>
      <w:r>
        <w:t>CEO</w:t>
      </w:r>
      <w:r>
        <w:tab/>
      </w:r>
      <w:r>
        <w:fldChar w:fldCharType="begin"/>
      </w:r>
      <w:r>
        <w:instrText xml:space="preserve"> PAGEREF _Toc417563727 \h </w:instrText>
      </w:r>
      <w:r>
        <w:fldChar w:fldCharType="separate"/>
      </w:r>
      <w:r>
        <w:t>57</w:t>
      </w:r>
      <w:r>
        <w:fldChar w:fldCharType="end"/>
      </w:r>
    </w:p>
    <w:p>
      <w:pPr>
        <w:pStyle w:val="TOC8"/>
        <w:rPr>
          <w:rFonts w:asciiTheme="minorHAnsi" w:eastAsiaTheme="minorEastAsia" w:hAnsiTheme="minorHAnsi" w:cstheme="minorBidi"/>
          <w:szCs w:val="22"/>
        </w:rPr>
      </w:pPr>
      <w:r>
        <w:t>87</w:t>
      </w:r>
      <w:r>
        <w:rPr>
          <w:snapToGrid w:val="0"/>
        </w:rPr>
        <w:t>.</w:t>
      </w:r>
      <w:r>
        <w:rPr>
          <w:snapToGrid w:val="0"/>
        </w:rPr>
        <w:tab/>
        <w:t>Notice of proposed cancellation or suspension</w:t>
      </w:r>
      <w:r>
        <w:tab/>
      </w:r>
      <w:r>
        <w:fldChar w:fldCharType="begin"/>
      </w:r>
      <w:r>
        <w:instrText xml:space="preserve"> PAGEREF _Toc417563728 \h </w:instrText>
      </w:r>
      <w:r>
        <w:fldChar w:fldCharType="separate"/>
      </w:r>
      <w:r>
        <w:t>58</w:t>
      </w:r>
      <w:r>
        <w:fldChar w:fldCharType="end"/>
      </w:r>
    </w:p>
    <w:p>
      <w:pPr>
        <w:pStyle w:val="TOC8"/>
        <w:rPr>
          <w:rFonts w:asciiTheme="minorHAnsi" w:eastAsiaTheme="minorEastAsia" w:hAnsiTheme="minorHAnsi" w:cstheme="minorBidi"/>
          <w:szCs w:val="22"/>
        </w:rPr>
      </w:pPr>
      <w:r>
        <w:t>88</w:t>
      </w:r>
      <w:r>
        <w:rPr>
          <w:snapToGrid w:val="0"/>
        </w:rPr>
        <w:t>.</w:t>
      </w:r>
      <w:r>
        <w:rPr>
          <w:snapToGrid w:val="0"/>
        </w:rPr>
        <w:tab/>
        <w:t>Return of licence</w:t>
      </w:r>
      <w:r>
        <w:tab/>
      </w:r>
      <w:r>
        <w:fldChar w:fldCharType="begin"/>
      </w:r>
      <w:r>
        <w:instrText xml:space="preserve"> PAGEREF _Toc417563729 \h </w:instrText>
      </w:r>
      <w:r>
        <w:fldChar w:fldCharType="separate"/>
      </w:r>
      <w:r>
        <w:t>59</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xml:space="preserve"> — </w:t>
      </w:r>
      <w:r>
        <w:t>Scientific purposes licences</w:t>
      </w:r>
    </w:p>
    <w:p>
      <w:pPr>
        <w:pStyle w:val="TOC8"/>
        <w:rPr>
          <w:rFonts w:asciiTheme="minorHAnsi" w:eastAsiaTheme="minorEastAsia" w:hAnsiTheme="minorHAnsi" w:cstheme="minorBidi"/>
          <w:szCs w:val="22"/>
        </w:rPr>
      </w:pPr>
      <w:r>
        <w:t>89</w:t>
      </w:r>
      <w:r>
        <w:rPr>
          <w:snapToGrid w:val="0"/>
        </w:rPr>
        <w:t>.</w:t>
      </w:r>
      <w:r>
        <w:rPr>
          <w:snapToGrid w:val="0"/>
        </w:rPr>
        <w:tab/>
        <w:t>Scientific purposes licence</w:t>
      </w:r>
      <w:r>
        <w:tab/>
      </w:r>
      <w:r>
        <w:fldChar w:fldCharType="begin"/>
      </w:r>
      <w:r>
        <w:instrText xml:space="preserve"> PAGEREF _Toc417563731 \h </w:instrText>
      </w:r>
      <w:r>
        <w:fldChar w:fldCharType="separate"/>
      </w:r>
      <w:r>
        <w:t>59</w:t>
      </w:r>
      <w:r>
        <w:fldChar w:fldCharType="end"/>
      </w:r>
    </w:p>
    <w:p>
      <w:pPr>
        <w:pStyle w:val="TOC8"/>
        <w:rPr>
          <w:rFonts w:asciiTheme="minorHAnsi" w:eastAsiaTheme="minorEastAsia" w:hAnsiTheme="minorHAnsi" w:cstheme="minorBidi"/>
          <w:szCs w:val="22"/>
        </w:rPr>
      </w:pPr>
      <w:r>
        <w:t>90</w:t>
      </w:r>
      <w:r>
        <w:rPr>
          <w:snapToGrid w:val="0"/>
        </w:rPr>
        <w:t>.</w:t>
      </w:r>
      <w:r>
        <w:rPr>
          <w:snapToGrid w:val="0"/>
        </w:rPr>
        <w:tab/>
        <w:t>Application for scientific purposes licence</w:t>
      </w:r>
      <w:r>
        <w:tab/>
      </w:r>
      <w:r>
        <w:fldChar w:fldCharType="begin"/>
      </w:r>
      <w:r>
        <w:instrText xml:space="preserve"> PAGEREF _Toc417563732 \h </w:instrText>
      </w:r>
      <w:r>
        <w:fldChar w:fldCharType="separate"/>
      </w:r>
      <w:r>
        <w:t>59</w:t>
      </w:r>
      <w:r>
        <w:fldChar w:fldCharType="end"/>
      </w:r>
    </w:p>
    <w:p>
      <w:pPr>
        <w:pStyle w:val="TOC8"/>
        <w:rPr>
          <w:rFonts w:asciiTheme="minorHAnsi" w:eastAsiaTheme="minorEastAsia" w:hAnsiTheme="minorHAnsi" w:cstheme="minorBidi"/>
          <w:szCs w:val="22"/>
        </w:rPr>
      </w:pPr>
      <w:r>
        <w:t>91</w:t>
      </w:r>
      <w:r>
        <w:rPr>
          <w:snapToGrid w:val="0"/>
        </w:rPr>
        <w:t>.</w:t>
      </w:r>
      <w:r>
        <w:rPr>
          <w:snapToGrid w:val="0"/>
        </w:rPr>
        <w:tab/>
        <w:t>Duration of scientific purposes licence</w:t>
      </w:r>
      <w:r>
        <w:tab/>
      </w:r>
      <w:r>
        <w:fldChar w:fldCharType="begin"/>
      </w:r>
      <w:r>
        <w:instrText xml:space="preserve"> PAGEREF _Toc417563733 \h </w:instrText>
      </w:r>
      <w:r>
        <w:fldChar w:fldCharType="separate"/>
      </w:r>
      <w:r>
        <w:t>60</w:t>
      </w:r>
      <w:r>
        <w:fldChar w:fldCharType="end"/>
      </w:r>
    </w:p>
    <w:p>
      <w:pPr>
        <w:pStyle w:val="TOC8"/>
        <w:rPr>
          <w:rFonts w:asciiTheme="minorHAnsi" w:eastAsiaTheme="minorEastAsia" w:hAnsiTheme="minorHAnsi" w:cstheme="minorBidi"/>
          <w:szCs w:val="22"/>
        </w:rPr>
      </w:pPr>
      <w:r>
        <w:t>92</w:t>
      </w:r>
      <w:r>
        <w:rPr>
          <w:snapToGrid w:val="0"/>
        </w:rPr>
        <w:t>.</w:t>
      </w:r>
      <w:r>
        <w:rPr>
          <w:snapToGrid w:val="0"/>
        </w:rPr>
        <w:tab/>
        <w:t>Renewal of scientific purposes licence</w:t>
      </w:r>
      <w:r>
        <w:tab/>
      </w:r>
      <w:r>
        <w:fldChar w:fldCharType="begin"/>
      </w:r>
      <w:r>
        <w:instrText xml:space="preserve"> PAGEREF _Toc417563734 \h </w:instrText>
      </w:r>
      <w:r>
        <w:fldChar w:fldCharType="separate"/>
      </w:r>
      <w:r>
        <w:t>60</w:t>
      </w:r>
      <w:r>
        <w:fldChar w:fldCharType="end"/>
      </w:r>
    </w:p>
    <w:p>
      <w:pPr>
        <w:pStyle w:val="TOC8"/>
        <w:rPr>
          <w:rFonts w:asciiTheme="minorHAnsi" w:eastAsiaTheme="minorEastAsia" w:hAnsiTheme="minorHAnsi" w:cstheme="minorBidi"/>
          <w:szCs w:val="22"/>
        </w:rPr>
      </w:pPr>
      <w:r>
        <w:t>93</w:t>
      </w:r>
      <w:r>
        <w:rPr>
          <w:snapToGrid w:val="0"/>
        </w:rPr>
        <w:t>.</w:t>
      </w:r>
      <w:r>
        <w:rPr>
          <w:snapToGrid w:val="0"/>
        </w:rPr>
        <w:tab/>
        <w:t>Conditions and restrictions</w:t>
      </w:r>
      <w:r>
        <w:tab/>
      </w:r>
      <w:r>
        <w:fldChar w:fldCharType="begin"/>
      </w:r>
      <w:r>
        <w:instrText xml:space="preserve"> PAGEREF _Toc417563735 \h </w:instrText>
      </w:r>
      <w:r>
        <w:fldChar w:fldCharType="separate"/>
      </w:r>
      <w:r>
        <w:t>60</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xml:space="preserve"> — </w:t>
      </w:r>
      <w:r>
        <w:t>Commercial operations licences</w:t>
      </w:r>
    </w:p>
    <w:p>
      <w:pPr>
        <w:pStyle w:val="TOC8"/>
        <w:rPr>
          <w:rFonts w:asciiTheme="minorHAnsi" w:eastAsiaTheme="minorEastAsia" w:hAnsiTheme="minorHAnsi" w:cstheme="minorBidi"/>
          <w:szCs w:val="22"/>
        </w:rPr>
      </w:pPr>
      <w:r>
        <w:t>94</w:t>
      </w:r>
      <w:r>
        <w:rPr>
          <w:snapToGrid w:val="0"/>
        </w:rPr>
        <w:t>.</w:t>
      </w:r>
      <w:r>
        <w:rPr>
          <w:snapToGrid w:val="0"/>
        </w:rPr>
        <w:tab/>
        <w:t>Commercial operations licence</w:t>
      </w:r>
      <w:r>
        <w:tab/>
      </w:r>
      <w:r>
        <w:fldChar w:fldCharType="begin"/>
      </w:r>
      <w:r>
        <w:instrText xml:space="preserve"> PAGEREF _Toc417563737 \h </w:instrText>
      </w:r>
      <w:r>
        <w:fldChar w:fldCharType="separate"/>
      </w:r>
      <w:r>
        <w:t>61</w:t>
      </w:r>
      <w:r>
        <w:fldChar w:fldCharType="end"/>
      </w:r>
    </w:p>
    <w:p>
      <w:pPr>
        <w:pStyle w:val="TOC8"/>
        <w:rPr>
          <w:rFonts w:asciiTheme="minorHAnsi" w:eastAsiaTheme="minorEastAsia" w:hAnsiTheme="minorHAnsi" w:cstheme="minorBidi"/>
          <w:szCs w:val="22"/>
        </w:rPr>
      </w:pPr>
      <w:r>
        <w:t>95</w:t>
      </w:r>
      <w:r>
        <w:rPr>
          <w:snapToGrid w:val="0"/>
        </w:rPr>
        <w:t>.</w:t>
      </w:r>
      <w:r>
        <w:rPr>
          <w:snapToGrid w:val="0"/>
        </w:rPr>
        <w:tab/>
        <w:t>Application for commercial operations licence</w:t>
      </w:r>
      <w:r>
        <w:tab/>
      </w:r>
      <w:r>
        <w:fldChar w:fldCharType="begin"/>
      </w:r>
      <w:r>
        <w:instrText xml:space="preserve"> PAGEREF _Toc417563738 \h </w:instrText>
      </w:r>
      <w:r>
        <w:fldChar w:fldCharType="separate"/>
      </w:r>
      <w:r>
        <w:t>61</w:t>
      </w:r>
      <w:r>
        <w:fldChar w:fldCharType="end"/>
      </w:r>
    </w:p>
    <w:p>
      <w:pPr>
        <w:pStyle w:val="TOC8"/>
        <w:rPr>
          <w:rFonts w:asciiTheme="minorHAnsi" w:eastAsiaTheme="minorEastAsia" w:hAnsiTheme="minorHAnsi" w:cstheme="minorBidi"/>
          <w:szCs w:val="22"/>
        </w:rPr>
      </w:pPr>
      <w:r>
        <w:t>96</w:t>
      </w:r>
      <w:r>
        <w:rPr>
          <w:snapToGrid w:val="0"/>
        </w:rPr>
        <w:t>.</w:t>
      </w:r>
      <w:r>
        <w:rPr>
          <w:snapToGrid w:val="0"/>
        </w:rPr>
        <w:tab/>
        <w:t>Duration of commercial operations licence</w:t>
      </w:r>
      <w:r>
        <w:tab/>
      </w:r>
      <w:r>
        <w:fldChar w:fldCharType="begin"/>
      </w:r>
      <w:r>
        <w:instrText xml:space="preserve"> PAGEREF _Toc417563739 \h </w:instrText>
      </w:r>
      <w:r>
        <w:fldChar w:fldCharType="separate"/>
      </w:r>
      <w:r>
        <w:t>62</w:t>
      </w:r>
      <w:r>
        <w:fldChar w:fldCharType="end"/>
      </w:r>
    </w:p>
    <w:p>
      <w:pPr>
        <w:pStyle w:val="TOC8"/>
        <w:rPr>
          <w:rFonts w:asciiTheme="minorHAnsi" w:eastAsiaTheme="minorEastAsia" w:hAnsiTheme="minorHAnsi" w:cstheme="minorBidi"/>
          <w:szCs w:val="22"/>
        </w:rPr>
      </w:pPr>
      <w:r>
        <w:t>97</w:t>
      </w:r>
      <w:r>
        <w:rPr>
          <w:snapToGrid w:val="0"/>
        </w:rPr>
        <w:t>.</w:t>
      </w:r>
      <w:r>
        <w:rPr>
          <w:snapToGrid w:val="0"/>
        </w:rPr>
        <w:tab/>
        <w:t>Renewal of commercial operations licence</w:t>
      </w:r>
      <w:r>
        <w:tab/>
      </w:r>
      <w:r>
        <w:fldChar w:fldCharType="begin"/>
      </w:r>
      <w:r>
        <w:instrText xml:space="preserve"> PAGEREF _Toc417563740 \h </w:instrText>
      </w:r>
      <w:r>
        <w:fldChar w:fldCharType="separate"/>
      </w:r>
      <w:r>
        <w:t>62</w:t>
      </w:r>
      <w:r>
        <w:fldChar w:fldCharType="end"/>
      </w:r>
    </w:p>
    <w:p>
      <w:pPr>
        <w:pStyle w:val="TOC8"/>
        <w:rPr>
          <w:rFonts w:asciiTheme="minorHAnsi" w:eastAsiaTheme="minorEastAsia" w:hAnsiTheme="minorHAnsi" w:cstheme="minorBidi"/>
          <w:szCs w:val="22"/>
        </w:rPr>
      </w:pPr>
      <w:r>
        <w:t>98</w:t>
      </w:r>
      <w:r>
        <w:rPr>
          <w:snapToGrid w:val="0"/>
        </w:rPr>
        <w:t>.</w:t>
      </w:r>
      <w:r>
        <w:rPr>
          <w:snapToGrid w:val="0"/>
        </w:rPr>
        <w:tab/>
        <w:t>Conditions</w:t>
      </w:r>
      <w:r>
        <w:tab/>
      </w:r>
      <w:r>
        <w:fldChar w:fldCharType="begin"/>
      </w:r>
      <w:r>
        <w:instrText xml:space="preserve"> PAGEREF _Toc417563741 \h </w:instrText>
      </w:r>
      <w:r>
        <w:fldChar w:fldCharType="separate"/>
      </w:r>
      <w:r>
        <w:t>62</w:t>
      </w:r>
      <w:r>
        <w:fldChar w:fldCharType="end"/>
      </w:r>
    </w:p>
    <w:p>
      <w:pPr>
        <w:pStyle w:val="TOC4"/>
        <w:tabs>
          <w:tab w:val="right" w:leader="dot" w:pos="7077"/>
        </w:tabs>
        <w:rPr>
          <w:rFonts w:asciiTheme="minorHAnsi" w:eastAsiaTheme="minorEastAsia" w:hAnsiTheme="minorHAnsi" w:cstheme="minorBidi"/>
          <w:b w:val="0"/>
          <w:szCs w:val="22"/>
        </w:rPr>
      </w:pPr>
      <w:r>
        <w:t>Division 4 — Rental mooring licence</w:t>
      </w:r>
    </w:p>
    <w:p>
      <w:pPr>
        <w:pStyle w:val="TOC8"/>
        <w:rPr>
          <w:rFonts w:asciiTheme="minorHAnsi" w:eastAsiaTheme="minorEastAsia" w:hAnsiTheme="minorHAnsi" w:cstheme="minorBidi"/>
          <w:szCs w:val="22"/>
        </w:rPr>
      </w:pPr>
      <w:r>
        <w:t>98AA.</w:t>
      </w:r>
      <w:r>
        <w:tab/>
        <w:t>Terms used</w:t>
      </w:r>
      <w:r>
        <w:tab/>
      </w:r>
      <w:r>
        <w:fldChar w:fldCharType="begin"/>
      </w:r>
      <w:r>
        <w:instrText xml:space="preserve"> PAGEREF _Toc417563743 \h </w:instrText>
      </w:r>
      <w:r>
        <w:fldChar w:fldCharType="separate"/>
      </w:r>
      <w:r>
        <w:t>63</w:t>
      </w:r>
      <w:r>
        <w:fldChar w:fldCharType="end"/>
      </w:r>
    </w:p>
    <w:p>
      <w:pPr>
        <w:pStyle w:val="TOC8"/>
        <w:rPr>
          <w:rFonts w:asciiTheme="minorHAnsi" w:eastAsiaTheme="minorEastAsia" w:hAnsiTheme="minorHAnsi" w:cstheme="minorBidi"/>
          <w:szCs w:val="22"/>
        </w:rPr>
      </w:pPr>
      <w:r>
        <w:t>98AB.</w:t>
      </w:r>
      <w:r>
        <w:tab/>
        <w:t>CEO may designate rental mooring</w:t>
      </w:r>
      <w:r>
        <w:tab/>
      </w:r>
      <w:r>
        <w:fldChar w:fldCharType="begin"/>
      </w:r>
      <w:r>
        <w:instrText xml:space="preserve"> PAGEREF _Toc417563744 \h </w:instrText>
      </w:r>
      <w:r>
        <w:fldChar w:fldCharType="separate"/>
      </w:r>
      <w:r>
        <w:t>63</w:t>
      </w:r>
      <w:r>
        <w:fldChar w:fldCharType="end"/>
      </w:r>
    </w:p>
    <w:p>
      <w:pPr>
        <w:pStyle w:val="TOC8"/>
        <w:rPr>
          <w:rFonts w:asciiTheme="minorHAnsi" w:eastAsiaTheme="minorEastAsia" w:hAnsiTheme="minorHAnsi" w:cstheme="minorBidi"/>
          <w:szCs w:val="22"/>
        </w:rPr>
      </w:pPr>
      <w:r>
        <w:t>98AC.</w:t>
      </w:r>
      <w:r>
        <w:tab/>
        <w:t>Rental mooring licence</w:t>
      </w:r>
      <w:r>
        <w:tab/>
      </w:r>
      <w:r>
        <w:fldChar w:fldCharType="begin"/>
      </w:r>
      <w:r>
        <w:instrText xml:space="preserve"> PAGEREF _Toc417563745 \h </w:instrText>
      </w:r>
      <w:r>
        <w:fldChar w:fldCharType="separate"/>
      </w:r>
      <w:r>
        <w:t>64</w:t>
      </w:r>
      <w:r>
        <w:fldChar w:fldCharType="end"/>
      </w:r>
    </w:p>
    <w:p>
      <w:pPr>
        <w:pStyle w:val="TOC8"/>
        <w:rPr>
          <w:rFonts w:asciiTheme="minorHAnsi" w:eastAsiaTheme="minorEastAsia" w:hAnsiTheme="minorHAnsi" w:cstheme="minorBidi"/>
          <w:szCs w:val="22"/>
        </w:rPr>
      </w:pPr>
      <w:r>
        <w:t>98AD.</w:t>
      </w:r>
      <w:r>
        <w:tab/>
        <w:t>Application for rental mooring licence</w:t>
      </w:r>
      <w:r>
        <w:tab/>
      </w:r>
      <w:r>
        <w:fldChar w:fldCharType="begin"/>
      </w:r>
      <w:r>
        <w:instrText xml:space="preserve"> PAGEREF _Toc417563746 \h </w:instrText>
      </w:r>
      <w:r>
        <w:fldChar w:fldCharType="separate"/>
      </w:r>
      <w:r>
        <w:t>64</w:t>
      </w:r>
      <w:r>
        <w:fldChar w:fldCharType="end"/>
      </w:r>
    </w:p>
    <w:p>
      <w:pPr>
        <w:pStyle w:val="TOC8"/>
        <w:rPr>
          <w:rFonts w:asciiTheme="minorHAnsi" w:eastAsiaTheme="minorEastAsia" w:hAnsiTheme="minorHAnsi" w:cstheme="minorBidi"/>
          <w:szCs w:val="22"/>
        </w:rPr>
      </w:pPr>
      <w:r>
        <w:t>98AE.</w:t>
      </w:r>
      <w:r>
        <w:tab/>
        <w:t>Duration of rental mooring licence</w:t>
      </w:r>
      <w:r>
        <w:tab/>
      </w:r>
      <w:r>
        <w:fldChar w:fldCharType="begin"/>
      </w:r>
      <w:r>
        <w:instrText xml:space="preserve"> PAGEREF _Toc417563747 \h </w:instrText>
      </w:r>
      <w:r>
        <w:fldChar w:fldCharType="separate"/>
      </w:r>
      <w:r>
        <w:t>64</w:t>
      </w:r>
      <w:r>
        <w:fldChar w:fldCharType="end"/>
      </w:r>
    </w:p>
    <w:p>
      <w:pPr>
        <w:pStyle w:val="TOC8"/>
        <w:rPr>
          <w:rFonts w:asciiTheme="minorHAnsi" w:eastAsiaTheme="minorEastAsia" w:hAnsiTheme="minorHAnsi" w:cstheme="minorBidi"/>
          <w:szCs w:val="22"/>
        </w:rPr>
      </w:pPr>
      <w:r>
        <w:t>98AF.</w:t>
      </w:r>
      <w:r>
        <w:tab/>
        <w:t>Conditions</w:t>
      </w:r>
      <w:r>
        <w:tab/>
      </w:r>
      <w:r>
        <w:fldChar w:fldCharType="begin"/>
      </w:r>
      <w:r>
        <w:instrText xml:space="preserve"> PAGEREF _Toc417563748 \h </w:instrText>
      </w:r>
      <w:r>
        <w:fldChar w:fldCharType="separate"/>
      </w:r>
      <w:r>
        <w:t>64</w:t>
      </w:r>
      <w:r>
        <w:fldChar w:fldCharType="end"/>
      </w:r>
    </w:p>
    <w:p>
      <w:pPr>
        <w:pStyle w:val="TOC8"/>
        <w:rPr>
          <w:rFonts w:asciiTheme="minorHAnsi" w:eastAsiaTheme="minorEastAsia" w:hAnsiTheme="minorHAnsi" w:cstheme="minorBidi"/>
          <w:szCs w:val="22"/>
        </w:rPr>
      </w:pPr>
      <w:r>
        <w:t>98AG.</w:t>
      </w:r>
      <w:r>
        <w:tab/>
        <w:t>Cancellation of licence at request of licence holder</w:t>
      </w:r>
      <w:r>
        <w:tab/>
      </w:r>
      <w:r>
        <w:fldChar w:fldCharType="begin"/>
      </w:r>
      <w:r>
        <w:instrText xml:space="preserve"> PAGEREF _Toc417563749 \h </w:instrText>
      </w:r>
      <w:r>
        <w:fldChar w:fldCharType="separate"/>
      </w:r>
      <w:r>
        <w:t>65</w:t>
      </w:r>
      <w:r>
        <w:fldChar w:fldCharType="end"/>
      </w:r>
    </w:p>
    <w:p>
      <w:pPr>
        <w:pStyle w:val="TOC8"/>
        <w:rPr>
          <w:rFonts w:asciiTheme="minorHAnsi" w:eastAsiaTheme="minorEastAsia" w:hAnsiTheme="minorHAnsi" w:cstheme="minorBidi"/>
          <w:szCs w:val="22"/>
        </w:rPr>
      </w:pPr>
      <w:r>
        <w:t>98AH.</w:t>
      </w:r>
      <w:r>
        <w:tab/>
        <w:t>Damage to rental mooring</w:t>
      </w:r>
      <w:r>
        <w:tab/>
      </w:r>
      <w:r>
        <w:fldChar w:fldCharType="begin"/>
      </w:r>
      <w:r>
        <w:instrText xml:space="preserve"> PAGEREF _Toc417563750 \h </w:instrText>
      </w:r>
      <w:r>
        <w:fldChar w:fldCharType="separate"/>
      </w:r>
      <w:r>
        <w:t>65</w:t>
      </w:r>
      <w:r>
        <w:fldChar w:fldCharType="end"/>
      </w:r>
    </w:p>
    <w:p>
      <w:pPr>
        <w:pStyle w:val="TOC4"/>
        <w:tabs>
          <w:tab w:val="right" w:leader="dot" w:pos="7077"/>
        </w:tabs>
        <w:rPr>
          <w:rFonts w:asciiTheme="minorHAnsi" w:eastAsiaTheme="minorEastAsia" w:hAnsiTheme="minorHAnsi" w:cstheme="minorBidi"/>
          <w:b w:val="0"/>
          <w:szCs w:val="22"/>
        </w:rPr>
      </w:pPr>
      <w:r>
        <w:t>Division 5 — Private mooring licence</w:t>
      </w:r>
    </w:p>
    <w:p>
      <w:pPr>
        <w:pStyle w:val="TOC8"/>
        <w:rPr>
          <w:rFonts w:asciiTheme="minorHAnsi" w:eastAsiaTheme="minorEastAsia" w:hAnsiTheme="minorHAnsi" w:cstheme="minorBidi"/>
          <w:szCs w:val="22"/>
        </w:rPr>
      </w:pPr>
      <w:r>
        <w:t>98AI</w:t>
      </w:r>
      <w:r>
        <w:rPr>
          <w:snapToGrid w:val="0"/>
        </w:rPr>
        <w:t>.</w:t>
      </w:r>
      <w:r>
        <w:rPr>
          <w:snapToGrid w:val="0"/>
        </w:rPr>
        <w:tab/>
        <w:t>Terms used</w:t>
      </w:r>
      <w:r>
        <w:tab/>
      </w:r>
      <w:r>
        <w:fldChar w:fldCharType="begin"/>
      </w:r>
      <w:r>
        <w:instrText xml:space="preserve"> PAGEREF _Toc417563752 \h </w:instrText>
      </w:r>
      <w:r>
        <w:fldChar w:fldCharType="separate"/>
      </w:r>
      <w:r>
        <w:t>66</w:t>
      </w:r>
      <w:r>
        <w:fldChar w:fldCharType="end"/>
      </w:r>
    </w:p>
    <w:p>
      <w:pPr>
        <w:pStyle w:val="TOC8"/>
        <w:rPr>
          <w:rFonts w:asciiTheme="minorHAnsi" w:eastAsiaTheme="minorEastAsia" w:hAnsiTheme="minorHAnsi" w:cstheme="minorBidi"/>
          <w:szCs w:val="22"/>
        </w:rPr>
      </w:pPr>
      <w:r>
        <w:t>98AJ.</w:t>
      </w:r>
      <w:r>
        <w:tab/>
        <w:t>Mooring licence areas</w:t>
      </w:r>
      <w:r>
        <w:tab/>
      </w:r>
      <w:r>
        <w:fldChar w:fldCharType="begin"/>
      </w:r>
      <w:r>
        <w:instrText xml:space="preserve"> PAGEREF _Toc417563753 \h </w:instrText>
      </w:r>
      <w:r>
        <w:fldChar w:fldCharType="separate"/>
      </w:r>
      <w:r>
        <w:t>67</w:t>
      </w:r>
      <w:r>
        <w:fldChar w:fldCharType="end"/>
      </w:r>
    </w:p>
    <w:p>
      <w:pPr>
        <w:pStyle w:val="TOC8"/>
        <w:rPr>
          <w:rFonts w:asciiTheme="minorHAnsi" w:eastAsiaTheme="minorEastAsia" w:hAnsiTheme="minorHAnsi" w:cstheme="minorBidi"/>
          <w:szCs w:val="22"/>
        </w:rPr>
      </w:pPr>
      <w:r>
        <w:t>98AK.</w:t>
      </w:r>
      <w:r>
        <w:tab/>
        <w:t>Private mooring licence</w:t>
      </w:r>
      <w:r>
        <w:tab/>
      </w:r>
      <w:r>
        <w:fldChar w:fldCharType="begin"/>
      </w:r>
      <w:r>
        <w:instrText xml:space="preserve"> PAGEREF _Toc417563754 \h </w:instrText>
      </w:r>
      <w:r>
        <w:fldChar w:fldCharType="separate"/>
      </w:r>
      <w:r>
        <w:t>67</w:t>
      </w:r>
      <w:r>
        <w:fldChar w:fldCharType="end"/>
      </w:r>
    </w:p>
    <w:p>
      <w:pPr>
        <w:pStyle w:val="TOC8"/>
        <w:rPr>
          <w:rFonts w:asciiTheme="minorHAnsi" w:eastAsiaTheme="minorEastAsia" w:hAnsiTheme="minorHAnsi" w:cstheme="minorBidi"/>
          <w:szCs w:val="22"/>
        </w:rPr>
      </w:pPr>
      <w:r>
        <w:t>98AL.</w:t>
      </w:r>
      <w:r>
        <w:tab/>
        <w:t>Effect of private mooring licence</w:t>
      </w:r>
      <w:r>
        <w:tab/>
      </w:r>
      <w:r>
        <w:fldChar w:fldCharType="begin"/>
      </w:r>
      <w:r>
        <w:instrText xml:space="preserve"> PAGEREF _Toc417563755 \h </w:instrText>
      </w:r>
      <w:r>
        <w:fldChar w:fldCharType="separate"/>
      </w:r>
      <w:r>
        <w:t>67</w:t>
      </w:r>
      <w:r>
        <w:fldChar w:fldCharType="end"/>
      </w:r>
    </w:p>
    <w:p>
      <w:pPr>
        <w:pStyle w:val="TOC8"/>
        <w:rPr>
          <w:rFonts w:asciiTheme="minorHAnsi" w:eastAsiaTheme="minorEastAsia" w:hAnsiTheme="minorHAnsi" w:cstheme="minorBidi"/>
          <w:szCs w:val="22"/>
        </w:rPr>
      </w:pPr>
      <w:r>
        <w:t>98AM.</w:t>
      </w:r>
      <w:r>
        <w:tab/>
        <w:t>Application for private mooring licence</w:t>
      </w:r>
      <w:r>
        <w:tab/>
      </w:r>
      <w:r>
        <w:fldChar w:fldCharType="begin"/>
      </w:r>
      <w:r>
        <w:instrText xml:space="preserve"> PAGEREF _Toc417563756 \h </w:instrText>
      </w:r>
      <w:r>
        <w:fldChar w:fldCharType="separate"/>
      </w:r>
      <w:r>
        <w:t>68</w:t>
      </w:r>
      <w:r>
        <w:fldChar w:fldCharType="end"/>
      </w:r>
    </w:p>
    <w:p>
      <w:pPr>
        <w:pStyle w:val="TOC8"/>
        <w:rPr>
          <w:rFonts w:asciiTheme="minorHAnsi" w:eastAsiaTheme="minorEastAsia" w:hAnsiTheme="minorHAnsi" w:cstheme="minorBidi"/>
          <w:szCs w:val="22"/>
        </w:rPr>
      </w:pPr>
      <w:r>
        <w:t>98AN.</w:t>
      </w:r>
      <w:r>
        <w:tab/>
        <w:t>Grant of private mooring licence</w:t>
      </w:r>
      <w:r>
        <w:tab/>
      </w:r>
      <w:r>
        <w:fldChar w:fldCharType="begin"/>
      </w:r>
      <w:r>
        <w:instrText xml:space="preserve"> PAGEREF _Toc417563757 \h </w:instrText>
      </w:r>
      <w:r>
        <w:fldChar w:fldCharType="separate"/>
      </w:r>
      <w:r>
        <w:t>68</w:t>
      </w:r>
      <w:r>
        <w:fldChar w:fldCharType="end"/>
      </w:r>
    </w:p>
    <w:p>
      <w:pPr>
        <w:pStyle w:val="TOC8"/>
        <w:rPr>
          <w:rFonts w:asciiTheme="minorHAnsi" w:eastAsiaTheme="minorEastAsia" w:hAnsiTheme="minorHAnsi" w:cstheme="minorBidi"/>
          <w:szCs w:val="22"/>
        </w:rPr>
      </w:pPr>
      <w:r>
        <w:t>98AO.</w:t>
      </w:r>
      <w:r>
        <w:tab/>
        <w:t>Private mooring licence not transferable</w:t>
      </w:r>
      <w:r>
        <w:tab/>
      </w:r>
      <w:r>
        <w:fldChar w:fldCharType="begin"/>
      </w:r>
      <w:r>
        <w:instrText xml:space="preserve"> PAGEREF _Toc417563758 \h </w:instrText>
      </w:r>
      <w:r>
        <w:fldChar w:fldCharType="separate"/>
      </w:r>
      <w:r>
        <w:t>69</w:t>
      </w:r>
      <w:r>
        <w:fldChar w:fldCharType="end"/>
      </w:r>
    </w:p>
    <w:p>
      <w:pPr>
        <w:pStyle w:val="TOC8"/>
        <w:rPr>
          <w:rFonts w:asciiTheme="minorHAnsi" w:eastAsiaTheme="minorEastAsia" w:hAnsiTheme="minorHAnsi" w:cstheme="minorBidi"/>
          <w:szCs w:val="22"/>
        </w:rPr>
      </w:pPr>
      <w:r>
        <w:t>98AP.</w:t>
      </w:r>
      <w:r>
        <w:tab/>
        <w:t>Duration of private mooring licence</w:t>
      </w:r>
      <w:r>
        <w:tab/>
      </w:r>
      <w:r>
        <w:fldChar w:fldCharType="begin"/>
      </w:r>
      <w:r>
        <w:instrText xml:space="preserve"> PAGEREF _Toc417563759 \h </w:instrText>
      </w:r>
      <w:r>
        <w:fldChar w:fldCharType="separate"/>
      </w:r>
      <w:r>
        <w:t>69</w:t>
      </w:r>
      <w:r>
        <w:fldChar w:fldCharType="end"/>
      </w:r>
    </w:p>
    <w:p>
      <w:pPr>
        <w:pStyle w:val="TOC8"/>
        <w:rPr>
          <w:rFonts w:asciiTheme="minorHAnsi" w:eastAsiaTheme="minorEastAsia" w:hAnsiTheme="minorHAnsi" w:cstheme="minorBidi"/>
          <w:szCs w:val="22"/>
        </w:rPr>
      </w:pPr>
      <w:r>
        <w:t>98AQ.</w:t>
      </w:r>
      <w:r>
        <w:tab/>
        <w:t>Renewal of private mooring licence</w:t>
      </w:r>
      <w:r>
        <w:tab/>
      </w:r>
      <w:r>
        <w:fldChar w:fldCharType="begin"/>
      </w:r>
      <w:r>
        <w:instrText xml:space="preserve"> PAGEREF _Toc417563760 \h </w:instrText>
      </w:r>
      <w:r>
        <w:fldChar w:fldCharType="separate"/>
      </w:r>
      <w:r>
        <w:t>69</w:t>
      </w:r>
      <w:r>
        <w:fldChar w:fldCharType="end"/>
      </w:r>
    </w:p>
    <w:p>
      <w:pPr>
        <w:pStyle w:val="TOC8"/>
        <w:rPr>
          <w:rFonts w:asciiTheme="minorHAnsi" w:eastAsiaTheme="minorEastAsia" w:hAnsiTheme="minorHAnsi" w:cstheme="minorBidi"/>
          <w:szCs w:val="22"/>
        </w:rPr>
      </w:pPr>
      <w:r>
        <w:t>98AR.</w:t>
      </w:r>
      <w:r>
        <w:tab/>
        <w:t>Conditions</w:t>
      </w:r>
      <w:r>
        <w:tab/>
      </w:r>
      <w:r>
        <w:fldChar w:fldCharType="begin"/>
      </w:r>
      <w:r>
        <w:instrText xml:space="preserve"> PAGEREF _Toc417563761 \h </w:instrText>
      </w:r>
      <w:r>
        <w:fldChar w:fldCharType="separate"/>
      </w:r>
      <w:r>
        <w:t>69</w:t>
      </w:r>
      <w:r>
        <w:fldChar w:fldCharType="end"/>
      </w:r>
    </w:p>
    <w:p>
      <w:pPr>
        <w:pStyle w:val="TOC8"/>
        <w:rPr>
          <w:rFonts w:asciiTheme="minorHAnsi" w:eastAsiaTheme="minorEastAsia" w:hAnsiTheme="minorHAnsi" w:cstheme="minorBidi"/>
          <w:szCs w:val="22"/>
        </w:rPr>
      </w:pPr>
      <w:r>
        <w:t>98AS.</w:t>
      </w:r>
      <w:r>
        <w:tab/>
        <w:t>Form of licence</w:t>
      </w:r>
      <w:r>
        <w:tab/>
      </w:r>
      <w:r>
        <w:fldChar w:fldCharType="begin"/>
      </w:r>
      <w:r>
        <w:instrText xml:space="preserve"> PAGEREF _Toc417563762 \h </w:instrText>
      </w:r>
      <w:r>
        <w:fldChar w:fldCharType="separate"/>
      </w:r>
      <w:r>
        <w:t>70</w:t>
      </w:r>
      <w:r>
        <w:fldChar w:fldCharType="end"/>
      </w:r>
    </w:p>
    <w:p>
      <w:pPr>
        <w:pStyle w:val="TOC8"/>
        <w:rPr>
          <w:rFonts w:asciiTheme="minorHAnsi" w:eastAsiaTheme="minorEastAsia" w:hAnsiTheme="minorHAnsi" w:cstheme="minorBidi"/>
          <w:szCs w:val="22"/>
        </w:rPr>
      </w:pPr>
      <w:r>
        <w:t>98AT</w:t>
      </w:r>
      <w:r>
        <w:rPr>
          <w:snapToGrid w:val="0"/>
        </w:rPr>
        <w:t>.</w:t>
      </w:r>
      <w:r>
        <w:rPr>
          <w:snapToGrid w:val="0"/>
        </w:rPr>
        <w:tab/>
        <w:t>Private moorings to be maintained</w:t>
      </w:r>
      <w:r>
        <w:tab/>
      </w:r>
      <w:r>
        <w:fldChar w:fldCharType="begin"/>
      </w:r>
      <w:r>
        <w:instrText xml:space="preserve"> PAGEREF _Toc417563763 \h </w:instrText>
      </w:r>
      <w:r>
        <w:fldChar w:fldCharType="separate"/>
      </w:r>
      <w:r>
        <w:t>70</w:t>
      </w:r>
      <w:r>
        <w:fldChar w:fldCharType="end"/>
      </w:r>
    </w:p>
    <w:p>
      <w:pPr>
        <w:pStyle w:val="TOC8"/>
        <w:rPr>
          <w:rFonts w:asciiTheme="minorHAnsi" w:eastAsiaTheme="minorEastAsia" w:hAnsiTheme="minorHAnsi" w:cstheme="minorBidi"/>
          <w:szCs w:val="22"/>
        </w:rPr>
      </w:pPr>
      <w:r>
        <w:t>98AU</w:t>
      </w:r>
      <w:r>
        <w:rPr>
          <w:snapToGrid w:val="0"/>
        </w:rPr>
        <w:t>.</w:t>
      </w:r>
      <w:r>
        <w:rPr>
          <w:snapToGrid w:val="0"/>
        </w:rPr>
        <w:tab/>
        <w:t>Requirement to repair, relocate or remove private mooring</w:t>
      </w:r>
      <w:r>
        <w:tab/>
      </w:r>
      <w:r>
        <w:fldChar w:fldCharType="begin"/>
      </w:r>
      <w:r>
        <w:instrText xml:space="preserve"> PAGEREF _Toc417563764 \h </w:instrText>
      </w:r>
      <w:r>
        <w:fldChar w:fldCharType="separate"/>
      </w:r>
      <w:r>
        <w:t>71</w:t>
      </w:r>
      <w:r>
        <w:fldChar w:fldCharType="end"/>
      </w:r>
    </w:p>
    <w:p>
      <w:pPr>
        <w:pStyle w:val="TOC8"/>
        <w:rPr>
          <w:rFonts w:asciiTheme="minorHAnsi" w:eastAsiaTheme="minorEastAsia" w:hAnsiTheme="minorHAnsi" w:cstheme="minorBidi"/>
          <w:szCs w:val="22"/>
        </w:rPr>
      </w:pPr>
      <w:r>
        <w:t>98AV</w:t>
      </w:r>
      <w:r>
        <w:rPr>
          <w:snapToGrid w:val="0"/>
        </w:rPr>
        <w:t>.</w:t>
      </w:r>
      <w:r>
        <w:rPr>
          <w:snapToGrid w:val="0"/>
        </w:rPr>
        <w:tab/>
        <w:t>Cancellation of private mooring licence</w:t>
      </w:r>
      <w:r>
        <w:tab/>
      </w:r>
      <w:r>
        <w:fldChar w:fldCharType="begin"/>
      </w:r>
      <w:r>
        <w:instrText xml:space="preserve"> PAGEREF _Toc417563765 \h </w:instrText>
      </w:r>
      <w:r>
        <w:fldChar w:fldCharType="separate"/>
      </w:r>
      <w:r>
        <w:t>72</w:t>
      </w:r>
      <w:r>
        <w:fldChar w:fldCharType="end"/>
      </w:r>
    </w:p>
    <w:p>
      <w:pPr>
        <w:pStyle w:val="TOC8"/>
        <w:rPr>
          <w:rFonts w:asciiTheme="minorHAnsi" w:eastAsiaTheme="minorEastAsia" w:hAnsiTheme="minorHAnsi" w:cstheme="minorBidi"/>
          <w:szCs w:val="22"/>
        </w:rPr>
      </w:pPr>
      <w:r>
        <w:t>98AW</w:t>
      </w:r>
      <w:r>
        <w:rPr>
          <w:snapToGrid w:val="0"/>
        </w:rPr>
        <w:t>.</w:t>
      </w:r>
      <w:r>
        <w:rPr>
          <w:snapToGrid w:val="0"/>
        </w:rPr>
        <w:tab/>
        <w:t>Giving notice of change of registered particulars</w:t>
      </w:r>
      <w:r>
        <w:tab/>
      </w:r>
      <w:r>
        <w:fldChar w:fldCharType="begin"/>
      </w:r>
      <w:r>
        <w:instrText xml:space="preserve"> PAGEREF _Toc417563766 \h </w:instrText>
      </w:r>
      <w:r>
        <w:fldChar w:fldCharType="separate"/>
      </w:r>
      <w:r>
        <w:t>72</w:t>
      </w:r>
      <w:r>
        <w:fldChar w:fldCharType="end"/>
      </w:r>
    </w:p>
    <w:p>
      <w:pPr>
        <w:pStyle w:val="TOC8"/>
        <w:rPr>
          <w:rFonts w:asciiTheme="minorHAnsi" w:eastAsiaTheme="minorEastAsia" w:hAnsiTheme="minorHAnsi" w:cstheme="minorBidi"/>
          <w:szCs w:val="22"/>
        </w:rPr>
      </w:pPr>
      <w:r>
        <w:t>98AX</w:t>
      </w:r>
      <w:r>
        <w:rPr>
          <w:snapToGrid w:val="0"/>
        </w:rPr>
        <w:t>.</w:t>
      </w:r>
      <w:r>
        <w:rPr>
          <w:snapToGrid w:val="0"/>
        </w:rPr>
        <w:tab/>
        <w:t>Surrender of private mooring licence</w:t>
      </w:r>
      <w:r>
        <w:tab/>
      </w:r>
      <w:r>
        <w:fldChar w:fldCharType="begin"/>
      </w:r>
      <w:r>
        <w:instrText xml:space="preserve"> PAGEREF _Toc417563767 \h </w:instrText>
      </w:r>
      <w:r>
        <w:fldChar w:fldCharType="separate"/>
      </w:r>
      <w:r>
        <w:t>72</w:t>
      </w:r>
      <w:r>
        <w:fldChar w:fldCharType="end"/>
      </w:r>
    </w:p>
    <w:p>
      <w:pPr>
        <w:pStyle w:val="TOC2"/>
        <w:tabs>
          <w:tab w:val="right" w:leader="dot" w:pos="7077"/>
        </w:tabs>
        <w:rPr>
          <w:rFonts w:asciiTheme="minorHAnsi" w:eastAsiaTheme="minorEastAsia" w:hAnsiTheme="minorHAnsi" w:cstheme="minorBidi"/>
          <w:b w:val="0"/>
          <w:sz w:val="22"/>
          <w:szCs w:val="22"/>
        </w:rPr>
      </w:pPr>
      <w:r>
        <w:t>Part 8A — Apiary permits and licences</w:t>
      </w:r>
    </w:p>
    <w:p>
      <w:pPr>
        <w:pStyle w:val="TOC8"/>
        <w:rPr>
          <w:rFonts w:asciiTheme="minorHAnsi" w:eastAsiaTheme="minorEastAsia" w:hAnsiTheme="minorHAnsi" w:cstheme="minorBidi"/>
          <w:szCs w:val="22"/>
        </w:rPr>
      </w:pPr>
      <w:r>
        <w:t>98A.</w:t>
      </w:r>
      <w:r>
        <w:tab/>
        <w:t>Terms used</w:t>
      </w:r>
      <w:r>
        <w:tab/>
      </w:r>
      <w:r>
        <w:fldChar w:fldCharType="begin"/>
      </w:r>
      <w:r>
        <w:instrText xml:space="preserve"> PAGEREF _Toc417563769 \h </w:instrText>
      </w:r>
      <w:r>
        <w:fldChar w:fldCharType="separate"/>
      </w:r>
      <w:r>
        <w:t>74</w:t>
      </w:r>
      <w:r>
        <w:fldChar w:fldCharType="end"/>
      </w:r>
    </w:p>
    <w:p>
      <w:pPr>
        <w:pStyle w:val="TOC8"/>
        <w:rPr>
          <w:rFonts w:asciiTheme="minorHAnsi" w:eastAsiaTheme="minorEastAsia" w:hAnsiTheme="minorHAnsi" w:cstheme="minorBidi"/>
          <w:szCs w:val="22"/>
        </w:rPr>
      </w:pPr>
      <w:r>
        <w:t>98B.</w:t>
      </w:r>
      <w:r>
        <w:tab/>
        <w:t>Application of Part 8A</w:t>
      </w:r>
      <w:r>
        <w:tab/>
      </w:r>
      <w:r>
        <w:fldChar w:fldCharType="begin"/>
      </w:r>
      <w:r>
        <w:instrText xml:space="preserve"> PAGEREF _Toc417563770 \h </w:instrText>
      </w:r>
      <w:r>
        <w:fldChar w:fldCharType="separate"/>
      </w:r>
      <w:r>
        <w:t>74</w:t>
      </w:r>
      <w:r>
        <w:fldChar w:fldCharType="end"/>
      </w:r>
    </w:p>
    <w:p>
      <w:pPr>
        <w:pStyle w:val="TOC8"/>
        <w:rPr>
          <w:rFonts w:asciiTheme="minorHAnsi" w:eastAsiaTheme="minorEastAsia" w:hAnsiTheme="minorHAnsi" w:cstheme="minorBidi"/>
          <w:szCs w:val="22"/>
        </w:rPr>
      </w:pPr>
      <w:r>
        <w:t>98C.</w:t>
      </w:r>
      <w:r>
        <w:tab/>
        <w:t>Applications</w:t>
      </w:r>
      <w:r>
        <w:tab/>
      </w:r>
      <w:r>
        <w:fldChar w:fldCharType="begin"/>
      </w:r>
      <w:r>
        <w:instrText xml:space="preserve"> PAGEREF _Toc417563771 \h </w:instrText>
      </w:r>
      <w:r>
        <w:fldChar w:fldCharType="separate"/>
      </w:r>
      <w:r>
        <w:t>75</w:t>
      </w:r>
      <w:r>
        <w:fldChar w:fldCharType="end"/>
      </w:r>
    </w:p>
    <w:p>
      <w:pPr>
        <w:pStyle w:val="TOC8"/>
        <w:rPr>
          <w:rFonts w:asciiTheme="minorHAnsi" w:eastAsiaTheme="minorEastAsia" w:hAnsiTheme="minorHAnsi" w:cstheme="minorBidi"/>
          <w:szCs w:val="22"/>
        </w:rPr>
      </w:pPr>
      <w:r>
        <w:t>98D.</w:t>
      </w:r>
      <w:r>
        <w:tab/>
        <w:t>Maximum area of apiary site</w:t>
      </w:r>
      <w:r>
        <w:tab/>
      </w:r>
      <w:r>
        <w:fldChar w:fldCharType="begin"/>
      </w:r>
      <w:r>
        <w:instrText xml:space="preserve"> PAGEREF _Toc417563772 \h </w:instrText>
      </w:r>
      <w:r>
        <w:fldChar w:fldCharType="separate"/>
      </w:r>
      <w:r>
        <w:t>75</w:t>
      </w:r>
      <w:r>
        <w:fldChar w:fldCharType="end"/>
      </w:r>
    </w:p>
    <w:p>
      <w:pPr>
        <w:pStyle w:val="TOC8"/>
        <w:rPr>
          <w:rFonts w:asciiTheme="minorHAnsi" w:eastAsiaTheme="minorEastAsia" w:hAnsiTheme="minorHAnsi" w:cstheme="minorBidi"/>
          <w:szCs w:val="22"/>
        </w:rPr>
      </w:pPr>
      <w:r>
        <w:t>98E.</w:t>
      </w:r>
      <w:r>
        <w:tab/>
        <w:t>Form of apiary authority</w:t>
      </w:r>
      <w:r>
        <w:tab/>
      </w:r>
      <w:r>
        <w:fldChar w:fldCharType="begin"/>
      </w:r>
      <w:r>
        <w:instrText xml:space="preserve"> PAGEREF _Toc417563773 \h </w:instrText>
      </w:r>
      <w:r>
        <w:fldChar w:fldCharType="separate"/>
      </w:r>
      <w:r>
        <w:t>75</w:t>
      </w:r>
      <w:r>
        <w:fldChar w:fldCharType="end"/>
      </w:r>
    </w:p>
    <w:p>
      <w:pPr>
        <w:pStyle w:val="TOC8"/>
        <w:rPr>
          <w:rFonts w:asciiTheme="minorHAnsi" w:eastAsiaTheme="minorEastAsia" w:hAnsiTheme="minorHAnsi" w:cstheme="minorBidi"/>
          <w:szCs w:val="22"/>
        </w:rPr>
      </w:pPr>
      <w:r>
        <w:t>98F.</w:t>
      </w:r>
      <w:r>
        <w:tab/>
        <w:t>Duration of apiary authority</w:t>
      </w:r>
      <w:r>
        <w:tab/>
      </w:r>
      <w:r>
        <w:fldChar w:fldCharType="begin"/>
      </w:r>
      <w:r>
        <w:instrText xml:space="preserve"> PAGEREF _Toc417563774 \h </w:instrText>
      </w:r>
      <w:r>
        <w:fldChar w:fldCharType="separate"/>
      </w:r>
      <w:r>
        <w:t>76</w:t>
      </w:r>
      <w:r>
        <w:fldChar w:fldCharType="end"/>
      </w:r>
    </w:p>
    <w:p>
      <w:pPr>
        <w:pStyle w:val="TOC8"/>
        <w:rPr>
          <w:rFonts w:asciiTheme="minorHAnsi" w:eastAsiaTheme="minorEastAsia" w:hAnsiTheme="minorHAnsi" w:cstheme="minorBidi"/>
          <w:szCs w:val="22"/>
        </w:rPr>
      </w:pPr>
      <w:r>
        <w:t>98G.</w:t>
      </w:r>
      <w:r>
        <w:tab/>
        <w:t>Conditions</w:t>
      </w:r>
      <w:r>
        <w:tab/>
      </w:r>
      <w:r>
        <w:fldChar w:fldCharType="begin"/>
      </w:r>
      <w:r>
        <w:instrText xml:space="preserve"> PAGEREF _Toc417563775 \h </w:instrText>
      </w:r>
      <w:r>
        <w:fldChar w:fldCharType="separate"/>
      </w:r>
      <w:r>
        <w:t>76</w:t>
      </w:r>
      <w:r>
        <w:fldChar w:fldCharType="end"/>
      </w:r>
    </w:p>
    <w:p>
      <w:pPr>
        <w:pStyle w:val="TOC8"/>
        <w:rPr>
          <w:rFonts w:asciiTheme="minorHAnsi" w:eastAsiaTheme="minorEastAsia" w:hAnsiTheme="minorHAnsi" w:cstheme="minorBidi"/>
          <w:szCs w:val="22"/>
        </w:rPr>
      </w:pPr>
      <w:r>
        <w:t>98H.</w:t>
      </w:r>
      <w:r>
        <w:tab/>
        <w:t>Application of regulations to apiary sites that are not on CALM land</w:t>
      </w:r>
      <w:r>
        <w:tab/>
      </w:r>
      <w:r>
        <w:fldChar w:fldCharType="begin"/>
      </w:r>
      <w:r>
        <w:instrText xml:space="preserve"> PAGEREF _Toc417563776 \h </w:instrText>
      </w:r>
      <w:r>
        <w:fldChar w:fldCharType="separate"/>
      </w:r>
      <w:r>
        <w:t>77</w:t>
      </w:r>
      <w:r>
        <w:fldChar w:fldCharType="end"/>
      </w:r>
    </w:p>
    <w:p>
      <w:pPr>
        <w:pStyle w:val="TOC8"/>
        <w:rPr>
          <w:rFonts w:asciiTheme="minorHAnsi" w:eastAsiaTheme="minorEastAsia" w:hAnsiTheme="minorHAnsi" w:cstheme="minorBidi"/>
          <w:szCs w:val="22"/>
        </w:rPr>
      </w:pPr>
      <w:r>
        <w:t>98I.</w:t>
      </w:r>
      <w:r>
        <w:tab/>
        <w:t>Other operations not affected by apiary</w:t>
      </w:r>
      <w:r>
        <w:tab/>
      </w:r>
      <w:r>
        <w:fldChar w:fldCharType="begin"/>
      </w:r>
      <w:r>
        <w:instrText xml:space="preserve"> PAGEREF _Toc417563777 \h </w:instrText>
      </w:r>
      <w:r>
        <w:fldChar w:fldCharType="separate"/>
      </w:r>
      <w:r>
        <w:t>78</w:t>
      </w:r>
      <w:r>
        <w:fldChar w:fldCharType="end"/>
      </w:r>
    </w:p>
    <w:p>
      <w:pPr>
        <w:pStyle w:val="TOC8"/>
        <w:rPr>
          <w:rFonts w:asciiTheme="minorHAnsi" w:eastAsiaTheme="minorEastAsia" w:hAnsiTheme="minorHAnsi" w:cstheme="minorBidi"/>
          <w:szCs w:val="22"/>
        </w:rPr>
      </w:pPr>
      <w:r>
        <w:t>98J.</w:t>
      </w:r>
      <w:r>
        <w:tab/>
        <w:t>False or misleading information</w:t>
      </w:r>
      <w:r>
        <w:tab/>
      </w:r>
      <w:r>
        <w:fldChar w:fldCharType="begin"/>
      </w:r>
      <w:r>
        <w:instrText xml:space="preserve"> PAGEREF _Toc417563778 \h </w:instrText>
      </w:r>
      <w:r>
        <w:fldChar w:fldCharType="separate"/>
      </w:r>
      <w:r>
        <w:t>79</w:t>
      </w:r>
      <w:r>
        <w:fldChar w:fldCharType="end"/>
      </w:r>
    </w:p>
    <w:p>
      <w:pPr>
        <w:pStyle w:val="TOC8"/>
        <w:rPr>
          <w:rFonts w:asciiTheme="minorHAnsi" w:eastAsiaTheme="minorEastAsia" w:hAnsiTheme="minorHAnsi" w:cstheme="minorBidi"/>
          <w:szCs w:val="22"/>
        </w:rPr>
      </w:pPr>
      <w:r>
        <w:t>98K.</w:t>
      </w:r>
      <w:r>
        <w:tab/>
        <w:t>Rent for apiary sites</w:t>
      </w:r>
      <w:r>
        <w:tab/>
      </w:r>
      <w:r>
        <w:fldChar w:fldCharType="begin"/>
      </w:r>
      <w:r>
        <w:instrText xml:space="preserve"> PAGEREF _Toc417563779 \h </w:instrText>
      </w:r>
      <w:r>
        <w:fldChar w:fldCharType="separate"/>
      </w:r>
      <w:r>
        <w:t>79</w:t>
      </w:r>
      <w:r>
        <w:fldChar w:fldCharType="end"/>
      </w:r>
    </w:p>
    <w:p>
      <w:pPr>
        <w:pStyle w:val="TOC2"/>
        <w:tabs>
          <w:tab w:val="right" w:leader="dot" w:pos="7077"/>
        </w:tabs>
        <w:rPr>
          <w:rFonts w:asciiTheme="minorHAnsi" w:eastAsiaTheme="minorEastAsia" w:hAnsiTheme="minorHAnsi" w:cstheme="minorBidi"/>
          <w:b w:val="0"/>
          <w:sz w:val="22"/>
          <w:szCs w:val="22"/>
        </w:rPr>
      </w:pPr>
      <w:r>
        <w:t>Part 8 — Fees</w:t>
      </w:r>
    </w:p>
    <w:p>
      <w:pPr>
        <w:pStyle w:val="TOC8"/>
        <w:rPr>
          <w:rFonts w:asciiTheme="minorHAnsi" w:eastAsiaTheme="minorEastAsia" w:hAnsiTheme="minorHAnsi" w:cstheme="minorBidi"/>
          <w:szCs w:val="22"/>
        </w:rPr>
      </w:pPr>
      <w:r>
        <w:t>99</w:t>
      </w:r>
      <w:r>
        <w:rPr>
          <w:snapToGrid w:val="0"/>
        </w:rPr>
        <w:t>.</w:t>
      </w:r>
      <w:r>
        <w:rPr>
          <w:snapToGrid w:val="0"/>
        </w:rPr>
        <w:tab/>
        <w:t>Entrance fees</w:t>
      </w:r>
      <w:r>
        <w:t xml:space="preserve"> for motor vehicles</w:t>
      </w:r>
      <w:r>
        <w:tab/>
      </w:r>
      <w:r>
        <w:fldChar w:fldCharType="begin"/>
      </w:r>
      <w:r>
        <w:instrText xml:space="preserve"> PAGEREF _Toc417563781 \h </w:instrText>
      </w:r>
      <w:r>
        <w:fldChar w:fldCharType="separate"/>
      </w:r>
      <w:r>
        <w:t>80</w:t>
      </w:r>
      <w:r>
        <w:fldChar w:fldCharType="end"/>
      </w:r>
    </w:p>
    <w:p>
      <w:pPr>
        <w:pStyle w:val="TOC8"/>
        <w:rPr>
          <w:rFonts w:asciiTheme="minorHAnsi" w:eastAsiaTheme="minorEastAsia" w:hAnsiTheme="minorHAnsi" w:cstheme="minorBidi"/>
          <w:szCs w:val="22"/>
        </w:rPr>
      </w:pPr>
      <w:r>
        <w:t>99A.</w:t>
      </w:r>
      <w:r>
        <w:tab/>
        <w:t>Landing fees for aircraft</w:t>
      </w:r>
      <w:r>
        <w:tab/>
      </w:r>
      <w:r>
        <w:fldChar w:fldCharType="begin"/>
      </w:r>
      <w:r>
        <w:instrText xml:space="preserve"> PAGEREF _Toc417563782 \h </w:instrText>
      </w:r>
      <w:r>
        <w:fldChar w:fldCharType="separate"/>
      </w:r>
      <w:r>
        <w:t>81</w:t>
      </w:r>
      <w:r>
        <w:fldChar w:fldCharType="end"/>
      </w:r>
    </w:p>
    <w:p>
      <w:pPr>
        <w:pStyle w:val="TOC8"/>
        <w:rPr>
          <w:rFonts w:asciiTheme="minorHAnsi" w:eastAsiaTheme="minorEastAsia" w:hAnsiTheme="minorHAnsi" w:cstheme="minorBidi"/>
          <w:szCs w:val="22"/>
        </w:rPr>
      </w:pPr>
      <w:r>
        <w:t>99B.</w:t>
      </w:r>
      <w:r>
        <w:tab/>
        <w:t>Aircraft landing areas</w:t>
      </w:r>
      <w:r>
        <w:tab/>
      </w:r>
      <w:r>
        <w:fldChar w:fldCharType="begin"/>
      </w:r>
      <w:r>
        <w:instrText xml:space="preserve"> PAGEREF _Toc417563783 \h </w:instrText>
      </w:r>
      <w:r>
        <w:fldChar w:fldCharType="separate"/>
      </w:r>
      <w:r>
        <w:t>82</w:t>
      </w:r>
      <w:r>
        <w:fldChar w:fldCharType="end"/>
      </w:r>
    </w:p>
    <w:p>
      <w:pPr>
        <w:pStyle w:val="TOC8"/>
        <w:rPr>
          <w:rFonts w:asciiTheme="minorHAnsi" w:eastAsiaTheme="minorEastAsia" w:hAnsiTheme="minorHAnsi" w:cstheme="minorBidi"/>
          <w:szCs w:val="22"/>
        </w:rPr>
      </w:pPr>
      <w:r>
        <w:t>99C.</w:t>
      </w:r>
      <w:r>
        <w:tab/>
        <w:t>Entrance fees for Monkey Mia Conservation Park</w:t>
      </w:r>
      <w:r>
        <w:tab/>
      </w:r>
      <w:r>
        <w:fldChar w:fldCharType="begin"/>
      </w:r>
      <w:r>
        <w:instrText xml:space="preserve"> PAGEREF _Toc417563784 \h </w:instrText>
      </w:r>
      <w:r>
        <w:fldChar w:fldCharType="separate"/>
      </w:r>
      <w:r>
        <w:t>82</w:t>
      </w:r>
      <w:r>
        <w:fldChar w:fldCharType="end"/>
      </w:r>
    </w:p>
    <w:p>
      <w:pPr>
        <w:pStyle w:val="TOC8"/>
        <w:rPr>
          <w:rFonts w:asciiTheme="minorHAnsi" w:eastAsiaTheme="minorEastAsia" w:hAnsiTheme="minorHAnsi" w:cstheme="minorBidi"/>
          <w:szCs w:val="22"/>
        </w:rPr>
      </w:pPr>
      <w:r>
        <w:t>100</w:t>
      </w:r>
      <w:r>
        <w:rPr>
          <w:snapToGrid w:val="0"/>
        </w:rPr>
        <w:t>.</w:t>
      </w:r>
      <w:r>
        <w:rPr>
          <w:snapToGrid w:val="0"/>
        </w:rPr>
        <w:tab/>
        <w:t>Entrance fees for Tree Top Walk</w:t>
      </w:r>
      <w:r>
        <w:tab/>
      </w:r>
      <w:r>
        <w:fldChar w:fldCharType="begin"/>
      </w:r>
      <w:r>
        <w:instrText xml:space="preserve"> PAGEREF _Toc417563785 \h </w:instrText>
      </w:r>
      <w:r>
        <w:fldChar w:fldCharType="separate"/>
      </w:r>
      <w:r>
        <w:t>83</w:t>
      </w:r>
      <w:r>
        <w:fldChar w:fldCharType="end"/>
      </w:r>
    </w:p>
    <w:p>
      <w:pPr>
        <w:pStyle w:val="TOC8"/>
        <w:rPr>
          <w:rFonts w:asciiTheme="minorHAnsi" w:eastAsiaTheme="minorEastAsia" w:hAnsiTheme="minorHAnsi" w:cstheme="minorBidi"/>
          <w:szCs w:val="22"/>
        </w:rPr>
      </w:pPr>
      <w:r>
        <w:t>100A.</w:t>
      </w:r>
      <w:r>
        <w:tab/>
        <w:t>Entrance fees for Crystal Cave and Calgardup and Giants Caves</w:t>
      </w:r>
      <w:r>
        <w:tab/>
      </w:r>
      <w:r>
        <w:fldChar w:fldCharType="begin"/>
      </w:r>
      <w:r>
        <w:instrText xml:space="preserve"> PAGEREF _Toc417563786 \h </w:instrText>
      </w:r>
      <w:r>
        <w:fldChar w:fldCharType="separate"/>
      </w:r>
      <w:r>
        <w:t>84</w:t>
      </w:r>
      <w:r>
        <w:fldChar w:fldCharType="end"/>
      </w:r>
    </w:p>
    <w:p>
      <w:pPr>
        <w:pStyle w:val="TOC8"/>
        <w:rPr>
          <w:rFonts w:asciiTheme="minorHAnsi" w:eastAsiaTheme="minorEastAsia" w:hAnsiTheme="minorHAnsi" w:cstheme="minorBidi"/>
          <w:szCs w:val="22"/>
        </w:rPr>
      </w:pPr>
      <w:r>
        <w:t>101</w:t>
      </w:r>
      <w:r>
        <w:rPr>
          <w:snapToGrid w:val="0"/>
        </w:rPr>
        <w:t>.</w:t>
      </w:r>
      <w:r>
        <w:rPr>
          <w:snapToGrid w:val="0"/>
        </w:rPr>
        <w:tab/>
        <w:t>Fees for Geikie Gorge National Park Boat Trip</w:t>
      </w:r>
      <w:r>
        <w:tab/>
      </w:r>
      <w:r>
        <w:fldChar w:fldCharType="begin"/>
      </w:r>
      <w:r>
        <w:instrText xml:space="preserve"> PAGEREF _Toc417563787 \h </w:instrText>
      </w:r>
      <w:r>
        <w:fldChar w:fldCharType="separate"/>
      </w:r>
      <w:r>
        <w:t>84</w:t>
      </w:r>
      <w:r>
        <w:fldChar w:fldCharType="end"/>
      </w:r>
    </w:p>
    <w:p>
      <w:pPr>
        <w:pStyle w:val="TOC8"/>
        <w:rPr>
          <w:rFonts w:asciiTheme="minorHAnsi" w:eastAsiaTheme="minorEastAsia" w:hAnsiTheme="minorHAnsi" w:cstheme="minorBidi"/>
          <w:szCs w:val="22"/>
        </w:rPr>
      </w:pPr>
      <w:r>
        <w:t>102</w:t>
      </w:r>
      <w:r>
        <w:rPr>
          <w:snapToGrid w:val="0"/>
        </w:rPr>
        <w:t>.</w:t>
      </w:r>
      <w:r>
        <w:rPr>
          <w:snapToGrid w:val="0"/>
        </w:rPr>
        <w:tab/>
        <w:t>Fees for entry on horseback</w:t>
      </w:r>
      <w:r>
        <w:tab/>
      </w:r>
      <w:r>
        <w:fldChar w:fldCharType="begin"/>
      </w:r>
      <w:r>
        <w:instrText xml:space="preserve"> PAGEREF _Toc417563788 \h </w:instrText>
      </w:r>
      <w:r>
        <w:fldChar w:fldCharType="separate"/>
      </w:r>
      <w:r>
        <w:t>84</w:t>
      </w:r>
      <w:r>
        <w:fldChar w:fldCharType="end"/>
      </w:r>
    </w:p>
    <w:p>
      <w:pPr>
        <w:pStyle w:val="TOC8"/>
        <w:rPr>
          <w:rFonts w:asciiTheme="minorHAnsi" w:eastAsiaTheme="minorEastAsia" w:hAnsiTheme="minorHAnsi" w:cstheme="minorBidi"/>
          <w:szCs w:val="22"/>
        </w:rPr>
      </w:pPr>
      <w:r>
        <w:t>102A.</w:t>
      </w:r>
      <w:r>
        <w:tab/>
        <w:t>Abseiling fee</w:t>
      </w:r>
      <w:r>
        <w:tab/>
      </w:r>
      <w:r>
        <w:fldChar w:fldCharType="begin"/>
      </w:r>
      <w:r>
        <w:instrText xml:space="preserve"> PAGEREF _Toc417563789 \h </w:instrText>
      </w:r>
      <w:r>
        <w:fldChar w:fldCharType="separate"/>
      </w:r>
      <w:r>
        <w:t>85</w:t>
      </w:r>
      <w:r>
        <w:fldChar w:fldCharType="end"/>
      </w:r>
    </w:p>
    <w:p>
      <w:pPr>
        <w:pStyle w:val="TOC8"/>
        <w:rPr>
          <w:rFonts w:asciiTheme="minorHAnsi" w:eastAsiaTheme="minorEastAsia" w:hAnsiTheme="minorHAnsi" w:cstheme="minorBidi"/>
          <w:szCs w:val="22"/>
        </w:rPr>
      </w:pPr>
      <w:r>
        <w:t>103</w:t>
      </w:r>
      <w:r>
        <w:rPr>
          <w:snapToGrid w:val="0"/>
        </w:rPr>
        <w:t>.</w:t>
      </w:r>
      <w:r>
        <w:rPr>
          <w:snapToGrid w:val="0"/>
        </w:rPr>
        <w:tab/>
        <w:t>Camping fees</w:t>
      </w:r>
      <w:r>
        <w:tab/>
      </w:r>
      <w:r>
        <w:fldChar w:fldCharType="begin"/>
      </w:r>
      <w:r>
        <w:instrText xml:space="preserve"> PAGEREF _Toc417563790 \h </w:instrText>
      </w:r>
      <w:r>
        <w:fldChar w:fldCharType="separate"/>
      </w:r>
      <w:r>
        <w:t>85</w:t>
      </w:r>
      <w:r>
        <w:fldChar w:fldCharType="end"/>
      </w:r>
    </w:p>
    <w:p>
      <w:pPr>
        <w:pStyle w:val="TOC8"/>
        <w:rPr>
          <w:rFonts w:asciiTheme="minorHAnsi" w:eastAsiaTheme="minorEastAsia" w:hAnsiTheme="minorHAnsi" w:cstheme="minorBidi"/>
          <w:szCs w:val="22"/>
        </w:rPr>
      </w:pPr>
      <w:r>
        <w:t>103A.</w:t>
      </w:r>
      <w:r>
        <w:tab/>
        <w:t>Companion of Companion Card holder</w:t>
      </w:r>
      <w:r>
        <w:tab/>
      </w:r>
      <w:r>
        <w:fldChar w:fldCharType="begin"/>
      </w:r>
      <w:r>
        <w:instrText xml:space="preserve"> PAGEREF _Toc417563791 \h </w:instrText>
      </w:r>
      <w:r>
        <w:fldChar w:fldCharType="separate"/>
      </w:r>
      <w:r>
        <w:t>86</w:t>
      </w:r>
      <w:r>
        <w:fldChar w:fldCharType="end"/>
      </w:r>
    </w:p>
    <w:p>
      <w:pPr>
        <w:pStyle w:val="TOC8"/>
        <w:rPr>
          <w:rFonts w:asciiTheme="minorHAnsi" w:eastAsiaTheme="minorEastAsia" w:hAnsiTheme="minorHAnsi" w:cstheme="minorBidi"/>
          <w:szCs w:val="22"/>
        </w:rPr>
      </w:pPr>
      <w:r>
        <w:t>104</w:t>
      </w:r>
      <w:r>
        <w:rPr>
          <w:snapToGrid w:val="0"/>
        </w:rPr>
        <w:t>.</w:t>
      </w:r>
      <w:r>
        <w:rPr>
          <w:snapToGrid w:val="0"/>
        </w:rPr>
        <w:tab/>
        <w:t>Fees may be waived or reduced</w:t>
      </w:r>
      <w:r>
        <w:tab/>
      </w:r>
      <w:r>
        <w:fldChar w:fldCharType="begin"/>
      </w:r>
      <w:r>
        <w:instrText xml:space="preserve"> PAGEREF _Toc417563792 \h </w:instrText>
      </w:r>
      <w:r>
        <w:fldChar w:fldCharType="separate"/>
      </w:r>
      <w:r>
        <w:t>86</w:t>
      </w:r>
      <w:r>
        <w:fldChar w:fldCharType="end"/>
      </w:r>
    </w:p>
    <w:p>
      <w:pPr>
        <w:pStyle w:val="TOC2"/>
        <w:tabs>
          <w:tab w:val="right" w:leader="dot" w:pos="7077"/>
        </w:tabs>
        <w:rPr>
          <w:rFonts w:asciiTheme="minorHAnsi" w:eastAsiaTheme="minorEastAsia" w:hAnsiTheme="minorHAnsi" w:cstheme="minorBidi"/>
          <w:b w:val="0"/>
          <w:sz w:val="22"/>
          <w:szCs w:val="22"/>
        </w:rPr>
      </w:pPr>
      <w:r>
        <w:t>Part 9</w:t>
      </w:r>
      <w:r>
        <w:rPr>
          <w:b w:val="0"/>
        </w:rPr>
        <w:t> </w:t>
      </w:r>
      <w:r>
        <w:t>—</w:t>
      </w:r>
      <w:r>
        <w:rPr>
          <w:b w:val="0"/>
        </w:rPr>
        <w:t> </w:t>
      </w:r>
      <w:r>
        <w:t>Miscellaneous</w:t>
      </w:r>
    </w:p>
    <w:p>
      <w:pPr>
        <w:pStyle w:val="TOC8"/>
        <w:rPr>
          <w:rFonts w:asciiTheme="minorHAnsi" w:eastAsiaTheme="minorEastAsia" w:hAnsiTheme="minorHAnsi" w:cstheme="minorBidi"/>
          <w:szCs w:val="22"/>
        </w:rPr>
      </w:pPr>
      <w:r>
        <w:t>105</w:t>
      </w:r>
      <w:r>
        <w:rPr>
          <w:snapToGrid w:val="0"/>
        </w:rPr>
        <w:t>.</w:t>
      </w:r>
      <w:r>
        <w:rPr>
          <w:snapToGrid w:val="0"/>
        </w:rPr>
        <w:tab/>
        <w:t>Organised events and meetings</w:t>
      </w:r>
      <w:r>
        <w:tab/>
      </w:r>
      <w:r>
        <w:fldChar w:fldCharType="begin"/>
      </w:r>
      <w:r>
        <w:instrText xml:space="preserve"> PAGEREF _Toc417563794 \h </w:instrText>
      </w:r>
      <w:r>
        <w:fldChar w:fldCharType="separate"/>
      </w:r>
      <w:r>
        <w:t>87</w:t>
      </w:r>
      <w:r>
        <w:fldChar w:fldCharType="end"/>
      </w:r>
    </w:p>
    <w:p>
      <w:pPr>
        <w:pStyle w:val="TOC8"/>
        <w:rPr>
          <w:rFonts w:asciiTheme="minorHAnsi" w:eastAsiaTheme="minorEastAsia" w:hAnsiTheme="minorHAnsi" w:cstheme="minorBidi"/>
          <w:szCs w:val="22"/>
        </w:rPr>
      </w:pPr>
      <w:r>
        <w:t>106</w:t>
      </w:r>
      <w:r>
        <w:rPr>
          <w:snapToGrid w:val="0"/>
        </w:rPr>
        <w:t>.</w:t>
      </w:r>
      <w:r>
        <w:rPr>
          <w:snapToGrid w:val="0"/>
        </w:rPr>
        <w:tab/>
        <w:t>Unlawful commercial operations</w:t>
      </w:r>
      <w:r>
        <w:tab/>
      </w:r>
      <w:r>
        <w:fldChar w:fldCharType="begin"/>
      </w:r>
      <w:r>
        <w:instrText xml:space="preserve"> PAGEREF _Toc417563795 \h </w:instrText>
      </w:r>
      <w:r>
        <w:fldChar w:fldCharType="separate"/>
      </w:r>
      <w:r>
        <w:t>87</w:t>
      </w:r>
      <w:r>
        <w:fldChar w:fldCharType="end"/>
      </w:r>
    </w:p>
    <w:p>
      <w:pPr>
        <w:pStyle w:val="TOC8"/>
        <w:rPr>
          <w:rFonts w:asciiTheme="minorHAnsi" w:eastAsiaTheme="minorEastAsia" w:hAnsiTheme="minorHAnsi" w:cstheme="minorBidi"/>
          <w:szCs w:val="22"/>
        </w:rPr>
      </w:pPr>
      <w:r>
        <w:t>107.</w:t>
      </w:r>
      <w:r>
        <w:tab/>
        <w:t>Distribution of printed matter and advertising material</w:t>
      </w:r>
      <w:r>
        <w:tab/>
      </w:r>
      <w:r>
        <w:fldChar w:fldCharType="begin"/>
      </w:r>
      <w:r>
        <w:instrText xml:space="preserve"> PAGEREF _Toc417563796 \h </w:instrText>
      </w:r>
      <w:r>
        <w:fldChar w:fldCharType="separate"/>
      </w:r>
      <w:r>
        <w:t>87</w:t>
      </w:r>
      <w:r>
        <w:fldChar w:fldCharType="end"/>
      </w:r>
    </w:p>
    <w:p>
      <w:pPr>
        <w:pStyle w:val="TOC8"/>
        <w:rPr>
          <w:rFonts w:asciiTheme="minorHAnsi" w:eastAsiaTheme="minorEastAsia" w:hAnsiTheme="minorHAnsi" w:cstheme="minorBidi"/>
          <w:szCs w:val="22"/>
        </w:rPr>
      </w:pPr>
      <w:r>
        <w:t>108</w:t>
      </w:r>
      <w:r>
        <w:rPr>
          <w:snapToGrid w:val="0"/>
        </w:rPr>
        <w:t>.</w:t>
      </w:r>
      <w:r>
        <w:rPr>
          <w:snapToGrid w:val="0"/>
        </w:rPr>
        <w:tab/>
        <w:t>Photography for commercial purposes</w:t>
      </w:r>
      <w:r>
        <w:tab/>
      </w:r>
      <w:r>
        <w:fldChar w:fldCharType="begin"/>
      </w:r>
      <w:r>
        <w:instrText xml:space="preserve"> PAGEREF _Toc417563797 \h </w:instrText>
      </w:r>
      <w:r>
        <w:fldChar w:fldCharType="separate"/>
      </w:r>
      <w:r>
        <w:t>88</w:t>
      </w:r>
      <w:r>
        <w:fldChar w:fldCharType="end"/>
      </w:r>
    </w:p>
    <w:p>
      <w:pPr>
        <w:pStyle w:val="TOC8"/>
        <w:rPr>
          <w:rFonts w:asciiTheme="minorHAnsi" w:eastAsiaTheme="minorEastAsia" w:hAnsiTheme="minorHAnsi" w:cstheme="minorBidi"/>
          <w:szCs w:val="22"/>
        </w:rPr>
      </w:pPr>
      <w:r>
        <w:t>109</w:t>
      </w:r>
      <w:r>
        <w:rPr>
          <w:snapToGrid w:val="0"/>
        </w:rPr>
        <w:t>.</w:t>
      </w:r>
      <w:r>
        <w:rPr>
          <w:snapToGrid w:val="0"/>
        </w:rPr>
        <w:tab/>
        <w:t>Production of licences etc.</w:t>
      </w:r>
      <w:r>
        <w:tab/>
      </w:r>
      <w:r>
        <w:fldChar w:fldCharType="begin"/>
      </w:r>
      <w:r>
        <w:instrText xml:space="preserve"> PAGEREF _Toc417563798 \h </w:instrText>
      </w:r>
      <w:r>
        <w:fldChar w:fldCharType="separate"/>
      </w:r>
      <w:r>
        <w:t>88</w:t>
      </w:r>
      <w:r>
        <w:fldChar w:fldCharType="end"/>
      </w:r>
    </w:p>
    <w:p>
      <w:pPr>
        <w:pStyle w:val="TOC8"/>
        <w:rPr>
          <w:rFonts w:asciiTheme="minorHAnsi" w:eastAsiaTheme="minorEastAsia" w:hAnsiTheme="minorHAnsi" w:cstheme="minorBidi"/>
          <w:szCs w:val="22"/>
        </w:rPr>
      </w:pPr>
      <w:r>
        <w:t>110</w:t>
      </w:r>
      <w:r>
        <w:rPr>
          <w:snapToGrid w:val="0"/>
        </w:rPr>
        <w:t>.</w:t>
      </w:r>
      <w:r>
        <w:rPr>
          <w:snapToGrid w:val="0"/>
        </w:rPr>
        <w:tab/>
        <w:t>False or misleading information</w:t>
      </w:r>
      <w:r>
        <w:tab/>
      </w:r>
      <w:r>
        <w:fldChar w:fldCharType="begin"/>
      </w:r>
      <w:r>
        <w:instrText xml:space="preserve"> PAGEREF _Toc417563799 \h </w:instrText>
      </w:r>
      <w:r>
        <w:fldChar w:fldCharType="separate"/>
      </w:r>
      <w:r>
        <w:t>89</w:t>
      </w:r>
      <w:r>
        <w:fldChar w:fldCharType="end"/>
      </w:r>
    </w:p>
    <w:p>
      <w:pPr>
        <w:pStyle w:val="TOC8"/>
        <w:rPr>
          <w:rFonts w:asciiTheme="minorHAnsi" w:eastAsiaTheme="minorEastAsia" w:hAnsiTheme="minorHAnsi" w:cstheme="minorBidi"/>
          <w:szCs w:val="22"/>
        </w:rPr>
      </w:pPr>
      <w:r>
        <w:t>111</w:t>
      </w:r>
      <w:r>
        <w:rPr>
          <w:snapToGrid w:val="0"/>
        </w:rPr>
        <w:t>.</w:t>
      </w:r>
      <w:r>
        <w:rPr>
          <w:snapToGrid w:val="0"/>
        </w:rPr>
        <w:tab/>
        <w:t>Signs — presumption</w:t>
      </w:r>
      <w:r>
        <w:tab/>
      </w:r>
      <w:r>
        <w:fldChar w:fldCharType="begin"/>
      </w:r>
      <w:r>
        <w:instrText xml:space="preserve"> PAGEREF _Toc417563800 \h </w:instrText>
      </w:r>
      <w:r>
        <w:fldChar w:fldCharType="separate"/>
      </w:r>
      <w:r>
        <w:t>89</w:t>
      </w:r>
      <w:r>
        <w:fldChar w:fldCharType="end"/>
      </w:r>
    </w:p>
    <w:p>
      <w:pPr>
        <w:pStyle w:val="TOC8"/>
        <w:rPr>
          <w:rFonts w:asciiTheme="minorHAnsi" w:eastAsiaTheme="minorEastAsia" w:hAnsiTheme="minorHAnsi" w:cstheme="minorBidi"/>
          <w:szCs w:val="22"/>
        </w:rPr>
      </w:pPr>
      <w:r>
        <w:t>111A.</w:t>
      </w:r>
      <w:r>
        <w:tab/>
        <w:t>Reasons for decisions</w:t>
      </w:r>
      <w:r>
        <w:tab/>
      </w:r>
      <w:r>
        <w:fldChar w:fldCharType="begin"/>
      </w:r>
      <w:r>
        <w:instrText xml:space="preserve"> PAGEREF _Toc417563801 \h </w:instrText>
      </w:r>
      <w:r>
        <w:fldChar w:fldCharType="separate"/>
      </w:r>
      <w:r>
        <w:t>89</w:t>
      </w:r>
      <w:r>
        <w:fldChar w:fldCharType="end"/>
      </w:r>
    </w:p>
    <w:p>
      <w:pPr>
        <w:pStyle w:val="TOC8"/>
        <w:rPr>
          <w:rFonts w:asciiTheme="minorHAnsi" w:eastAsiaTheme="minorEastAsia" w:hAnsiTheme="minorHAnsi" w:cstheme="minorBidi"/>
          <w:szCs w:val="22"/>
        </w:rPr>
      </w:pPr>
      <w:r>
        <w:t>112</w:t>
      </w:r>
      <w:r>
        <w:rPr>
          <w:snapToGrid w:val="0"/>
        </w:rPr>
        <w:t>.</w:t>
      </w:r>
      <w:r>
        <w:rPr>
          <w:snapToGrid w:val="0"/>
        </w:rPr>
        <w:tab/>
        <w:t>Infringement notices</w:t>
      </w:r>
      <w:r>
        <w:tab/>
      </w:r>
      <w:r>
        <w:fldChar w:fldCharType="begin"/>
      </w:r>
      <w:r>
        <w:instrText xml:space="preserve"> PAGEREF _Toc417563802 \h </w:instrText>
      </w:r>
      <w:r>
        <w:fldChar w:fldCharType="separate"/>
      </w:r>
      <w:r>
        <w:t>89</w:t>
      </w:r>
      <w:r>
        <w:fldChar w:fldCharType="end"/>
      </w:r>
    </w:p>
    <w:p>
      <w:pPr>
        <w:pStyle w:val="TOC8"/>
        <w:rPr>
          <w:rFonts w:asciiTheme="minorHAnsi" w:eastAsiaTheme="minorEastAsia" w:hAnsiTheme="minorHAnsi" w:cstheme="minorBidi"/>
          <w:szCs w:val="22"/>
        </w:rPr>
      </w:pPr>
      <w:r>
        <w:t>113</w:t>
      </w:r>
      <w:r>
        <w:rPr>
          <w:snapToGrid w:val="0"/>
        </w:rPr>
        <w:t>.</w:t>
      </w:r>
      <w:r>
        <w:rPr>
          <w:snapToGrid w:val="0"/>
        </w:rPr>
        <w:tab/>
        <w:t>Evidence</w:t>
      </w:r>
      <w:r>
        <w:tab/>
      </w:r>
      <w:r>
        <w:fldChar w:fldCharType="begin"/>
      </w:r>
      <w:r>
        <w:instrText xml:space="preserve"> PAGEREF _Toc417563803 \h </w:instrText>
      </w:r>
      <w:r>
        <w:fldChar w:fldCharType="separate"/>
      </w:r>
      <w:r>
        <w:t>90</w:t>
      </w:r>
      <w:r>
        <w:fldChar w:fldCharType="end"/>
      </w:r>
    </w:p>
    <w:p>
      <w:pPr>
        <w:pStyle w:val="TOC2"/>
        <w:tabs>
          <w:tab w:val="right" w:leader="dot" w:pos="7077"/>
        </w:tabs>
        <w:rPr>
          <w:rFonts w:asciiTheme="minorHAnsi" w:eastAsiaTheme="minorEastAsia" w:hAnsiTheme="minorHAnsi" w:cstheme="minorBidi"/>
          <w:b w:val="0"/>
          <w:sz w:val="22"/>
          <w:szCs w:val="22"/>
        </w:rPr>
      </w:pPr>
      <w:r>
        <w:t>Part 10 — Exclusion of operation of section 103A(3)</w:t>
      </w:r>
    </w:p>
    <w:p>
      <w:pPr>
        <w:pStyle w:val="TOC8"/>
        <w:rPr>
          <w:rFonts w:asciiTheme="minorHAnsi" w:eastAsiaTheme="minorEastAsia" w:hAnsiTheme="minorHAnsi" w:cstheme="minorBidi"/>
          <w:szCs w:val="22"/>
        </w:rPr>
      </w:pPr>
      <w:r>
        <w:t>114.</w:t>
      </w:r>
      <w:r>
        <w:tab/>
        <w:t>Terms used</w:t>
      </w:r>
      <w:r>
        <w:tab/>
      </w:r>
      <w:r>
        <w:fldChar w:fldCharType="begin"/>
      </w:r>
      <w:r>
        <w:instrText xml:space="preserve"> PAGEREF _Toc417563805 \h </w:instrText>
      </w:r>
      <w:r>
        <w:fldChar w:fldCharType="separate"/>
      </w:r>
      <w:r>
        <w:t>91</w:t>
      </w:r>
      <w:r>
        <w:fldChar w:fldCharType="end"/>
      </w:r>
    </w:p>
    <w:p>
      <w:pPr>
        <w:pStyle w:val="TOC8"/>
        <w:rPr>
          <w:rFonts w:asciiTheme="minorHAnsi" w:eastAsiaTheme="minorEastAsia" w:hAnsiTheme="minorHAnsi" w:cstheme="minorBidi"/>
          <w:szCs w:val="22"/>
        </w:rPr>
      </w:pPr>
      <w:r>
        <w:t>115.</w:t>
      </w:r>
      <w:r>
        <w:tab/>
        <w:t>Exclusion of operation of section 103A(3) of the Act: animals</w:t>
      </w:r>
      <w:r>
        <w:tab/>
      </w:r>
      <w:r>
        <w:fldChar w:fldCharType="begin"/>
      </w:r>
      <w:r>
        <w:instrText xml:space="preserve"> PAGEREF _Toc417563806 \h </w:instrText>
      </w:r>
      <w:r>
        <w:fldChar w:fldCharType="separate"/>
      </w:r>
      <w:r>
        <w:t>92</w:t>
      </w:r>
      <w:r>
        <w:fldChar w:fldCharType="end"/>
      </w:r>
    </w:p>
    <w:p>
      <w:pPr>
        <w:pStyle w:val="TOC8"/>
        <w:rPr>
          <w:rFonts w:asciiTheme="minorHAnsi" w:eastAsiaTheme="minorEastAsia" w:hAnsiTheme="minorHAnsi" w:cstheme="minorBidi"/>
          <w:szCs w:val="22"/>
        </w:rPr>
      </w:pPr>
      <w:r>
        <w:t>116.</w:t>
      </w:r>
      <w:r>
        <w:tab/>
        <w:t>Exclusion of operation of section 103A(3) of the Act: vehicles</w:t>
      </w:r>
      <w:r>
        <w:tab/>
      </w:r>
      <w:r>
        <w:fldChar w:fldCharType="begin"/>
      </w:r>
      <w:r>
        <w:instrText xml:space="preserve"> PAGEREF _Toc417563807 \h </w:instrText>
      </w:r>
      <w:r>
        <w:fldChar w:fldCharType="separate"/>
      </w:r>
      <w:r>
        <w:t>93</w:t>
      </w:r>
      <w:r>
        <w:fldChar w:fldCharType="end"/>
      </w:r>
    </w:p>
    <w:p>
      <w:pPr>
        <w:pStyle w:val="TOC8"/>
        <w:rPr>
          <w:rFonts w:asciiTheme="minorHAnsi" w:eastAsiaTheme="minorEastAsia" w:hAnsiTheme="minorHAnsi" w:cstheme="minorBidi"/>
          <w:szCs w:val="22"/>
        </w:rPr>
      </w:pPr>
      <w:r>
        <w:t>117.</w:t>
      </w:r>
      <w:r>
        <w:tab/>
        <w:t>Exclusion of operation of section 103A(3) of the Act: vessel</w:t>
      </w:r>
      <w:r>
        <w:tab/>
      </w:r>
      <w:r>
        <w:fldChar w:fldCharType="begin"/>
      </w:r>
      <w:r>
        <w:instrText xml:space="preserve"> PAGEREF _Toc417563808 \h </w:instrText>
      </w:r>
      <w:r>
        <w:fldChar w:fldCharType="separate"/>
      </w:r>
      <w:r>
        <w:t>93</w:t>
      </w:r>
      <w:r>
        <w:fldChar w:fldCharType="end"/>
      </w:r>
    </w:p>
    <w:p>
      <w:pPr>
        <w:pStyle w:val="TOC8"/>
        <w:rPr>
          <w:rFonts w:asciiTheme="minorHAnsi" w:eastAsiaTheme="minorEastAsia" w:hAnsiTheme="minorHAnsi" w:cstheme="minorBidi"/>
          <w:szCs w:val="22"/>
        </w:rPr>
      </w:pPr>
      <w:r>
        <w:t>118.</w:t>
      </w:r>
      <w:r>
        <w:tab/>
        <w:t>Exclusion of operation of section 103A(3) of the Act: fire</w:t>
      </w:r>
      <w:r>
        <w:tab/>
      </w:r>
      <w:r>
        <w:fldChar w:fldCharType="begin"/>
      </w:r>
      <w:r>
        <w:instrText xml:space="preserve"> PAGEREF _Toc417563809 \h </w:instrText>
      </w:r>
      <w:r>
        <w:fldChar w:fldCharType="separate"/>
      </w:r>
      <w:r>
        <w:t>93</w:t>
      </w:r>
      <w:r>
        <w:fldChar w:fldCharType="end"/>
      </w:r>
    </w:p>
    <w:p>
      <w:pPr>
        <w:pStyle w:val="TOC8"/>
        <w:rPr>
          <w:rFonts w:asciiTheme="minorHAnsi" w:eastAsiaTheme="minorEastAsia" w:hAnsiTheme="minorHAnsi" w:cstheme="minorBidi"/>
          <w:szCs w:val="22"/>
        </w:rPr>
      </w:pPr>
      <w:r>
        <w:t>119.</w:t>
      </w:r>
      <w:r>
        <w:tab/>
        <w:t>Exclusion of operation of section 103A(3) of the Act: camping</w:t>
      </w:r>
      <w:r>
        <w:tab/>
      </w:r>
      <w:r>
        <w:fldChar w:fldCharType="begin"/>
      </w:r>
      <w:r>
        <w:instrText xml:space="preserve"> PAGEREF _Toc417563810 \h </w:instrText>
      </w:r>
      <w:r>
        <w:fldChar w:fldCharType="separate"/>
      </w:r>
      <w:r>
        <w:t>95</w:t>
      </w:r>
      <w:r>
        <w:fldChar w:fldCharType="end"/>
      </w:r>
    </w:p>
    <w:p>
      <w:pPr>
        <w:pStyle w:val="TOC8"/>
        <w:rPr>
          <w:rFonts w:asciiTheme="minorHAnsi" w:eastAsiaTheme="minorEastAsia" w:hAnsiTheme="minorHAnsi" w:cstheme="minorBidi"/>
          <w:szCs w:val="22"/>
        </w:rPr>
      </w:pPr>
      <w:r>
        <w:t>120.</w:t>
      </w:r>
      <w:r>
        <w:tab/>
        <w:t>Exclusion of operation of section 103A(3) of the Act: entering land</w:t>
      </w:r>
      <w:r>
        <w:tab/>
      </w:r>
      <w:r>
        <w:fldChar w:fldCharType="begin"/>
      </w:r>
      <w:r>
        <w:instrText xml:space="preserve"> PAGEREF _Toc417563811 \h </w:instrText>
      </w:r>
      <w:r>
        <w:fldChar w:fldCharType="separate"/>
      </w:r>
      <w:r>
        <w:t>96</w:t>
      </w:r>
      <w:r>
        <w:fldChar w:fldCharType="end"/>
      </w:r>
    </w:p>
    <w:p>
      <w:pPr>
        <w:pStyle w:val="TOC8"/>
        <w:rPr>
          <w:rFonts w:asciiTheme="minorHAnsi" w:eastAsiaTheme="minorEastAsia" w:hAnsiTheme="minorHAnsi" w:cstheme="minorBidi"/>
          <w:szCs w:val="22"/>
        </w:rPr>
      </w:pPr>
      <w:r>
        <w:t>121.</w:t>
      </w:r>
      <w:r>
        <w:tab/>
        <w:t>Exclusion of operation of section 103A(3) of the Act: protected thing</w:t>
      </w:r>
      <w:r>
        <w:tab/>
      </w:r>
      <w:r>
        <w:fldChar w:fldCharType="begin"/>
      </w:r>
      <w:r>
        <w:instrText xml:space="preserve"> PAGEREF _Toc417563812 \h </w:instrText>
      </w:r>
      <w:r>
        <w:fldChar w:fldCharType="separate"/>
      </w:r>
      <w:r>
        <w:t>96</w:t>
      </w:r>
      <w:r>
        <w:fldChar w:fldCharType="end"/>
      </w:r>
    </w:p>
    <w:p>
      <w:pPr>
        <w:pStyle w:val="TOC8"/>
        <w:rPr>
          <w:rFonts w:asciiTheme="minorHAnsi" w:eastAsiaTheme="minorEastAsia" w:hAnsiTheme="minorHAnsi" w:cstheme="minorBidi"/>
          <w:szCs w:val="22"/>
        </w:rPr>
      </w:pPr>
      <w:r>
        <w:t>122.</w:t>
      </w:r>
      <w:r>
        <w:tab/>
        <w:t>Permission of CEO</w:t>
      </w:r>
      <w:r>
        <w:tab/>
      </w:r>
      <w:r>
        <w:fldChar w:fldCharType="begin"/>
      </w:r>
      <w:r>
        <w:instrText xml:space="preserve"> PAGEREF _Toc417563813 \h </w:instrText>
      </w:r>
      <w:r>
        <w:fldChar w:fldCharType="separate"/>
      </w:r>
      <w:r>
        <w:t>99</w:t>
      </w:r>
      <w:r>
        <w:fldChar w:fldCharType="end"/>
      </w:r>
    </w:p>
    <w:p>
      <w:pPr>
        <w:pStyle w:val="TOC8"/>
        <w:rPr>
          <w:rFonts w:asciiTheme="minorHAnsi" w:eastAsiaTheme="minorEastAsia" w:hAnsiTheme="minorHAnsi" w:cstheme="minorBidi"/>
          <w:szCs w:val="22"/>
        </w:rPr>
      </w:pPr>
      <w:r>
        <w:t>123.</w:t>
      </w:r>
      <w:r>
        <w:tab/>
        <w:t>Variation and revocation of permission</w:t>
      </w:r>
      <w:r>
        <w:tab/>
      </w:r>
      <w:r>
        <w:fldChar w:fldCharType="begin"/>
      </w:r>
      <w:r>
        <w:instrText xml:space="preserve"> PAGEREF _Toc417563814 \h </w:instrText>
      </w:r>
      <w:r>
        <w:fldChar w:fldCharType="separate"/>
      </w:r>
      <w:r>
        <w:t>100</w:t>
      </w:r>
      <w:r>
        <w:fldChar w:fldCharType="end"/>
      </w:r>
    </w:p>
    <w:p>
      <w:pPr>
        <w:pStyle w:val="TOC2"/>
        <w:tabs>
          <w:tab w:val="right" w:leader="dot" w:pos="7077"/>
        </w:tabs>
        <w:rPr>
          <w:rFonts w:asciiTheme="minorHAnsi" w:eastAsiaTheme="minorEastAsia" w:hAnsiTheme="minorHAnsi" w:cstheme="minorBidi"/>
          <w:b w:val="0"/>
          <w:sz w:val="22"/>
          <w:szCs w:val="22"/>
        </w:rPr>
      </w:pPr>
      <w:r>
        <w:t>Schedule 1 — Fees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Daily entrance fees where an entrance fee is charged</w:t>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Fees for passes providing extended entrance to CALM land</w:t>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Daily entrance fees for Tree Top Walk</w:t>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Fees for Geikie Gorge National Park Boat Trip</w:t>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Horse riding</w:t>
      </w:r>
    </w:p>
    <w:p>
      <w:pPr>
        <w:pStyle w:val="TOC4"/>
        <w:tabs>
          <w:tab w:val="right" w:leader="dot" w:pos="7077"/>
        </w:tabs>
        <w:rPr>
          <w:rFonts w:asciiTheme="minorHAnsi" w:eastAsiaTheme="minorEastAsia" w:hAnsiTheme="minorHAnsi" w:cstheme="minorBidi"/>
          <w:b w:val="0"/>
          <w:szCs w:val="22"/>
        </w:rPr>
      </w:pPr>
      <w:r>
        <w:t>Division 6</w:t>
      </w:r>
      <w:r>
        <w:rPr>
          <w:snapToGrid w:val="0"/>
        </w:rPr>
        <w:t> — </w:t>
      </w:r>
      <w:r>
        <w:t>Camping site fees</w:t>
      </w:r>
    </w:p>
    <w:p>
      <w:pPr>
        <w:pStyle w:val="TOC4"/>
        <w:tabs>
          <w:tab w:val="right" w:leader="dot" w:pos="7077"/>
        </w:tabs>
        <w:rPr>
          <w:rFonts w:asciiTheme="minorHAnsi" w:eastAsiaTheme="minorEastAsia" w:hAnsiTheme="minorHAnsi" w:cstheme="minorBidi"/>
          <w:b w:val="0"/>
          <w:szCs w:val="22"/>
        </w:rPr>
      </w:pPr>
      <w:r>
        <w:t>Division 7 — Cave entrance fees</w:t>
      </w:r>
    </w:p>
    <w:p>
      <w:pPr>
        <w:pStyle w:val="TOC4"/>
        <w:tabs>
          <w:tab w:val="right" w:leader="dot" w:pos="7077"/>
        </w:tabs>
        <w:rPr>
          <w:rFonts w:asciiTheme="minorHAnsi" w:eastAsiaTheme="minorEastAsia" w:hAnsiTheme="minorHAnsi" w:cstheme="minorBidi"/>
          <w:b w:val="0"/>
          <w:szCs w:val="22"/>
        </w:rPr>
      </w:pPr>
      <w:r>
        <w:t>Division 8 — Licence and permit fees</w:t>
      </w:r>
    </w:p>
    <w:p>
      <w:pPr>
        <w:pStyle w:val="TOC4"/>
        <w:tabs>
          <w:tab w:val="right" w:leader="dot" w:pos="7077"/>
        </w:tabs>
        <w:rPr>
          <w:rFonts w:asciiTheme="minorHAnsi" w:eastAsiaTheme="minorEastAsia" w:hAnsiTheme="minorHAnsi" w:cstheme="minorBidi"/>
          <w:b w:val="0"/>
          <w:szCs w:val="22"/>
        </w:rPr>
      </w:pPr>
      <w:r>
        <w:t>Division 9 — Fees for abseiling</w:t>
      </w:r>
    </w:p>
    <w:p>
      <w:pPr>
        <w:pStyle w:val="TOC4"/>
        <w:tabs>
          <w:tab w:val="right" w:leader="dot" w:pos="7077"/>
        </w:tabs>
        <w:rPr>
          <w:rFonts w:asciiTheme="minorHAnsi" w:eastAsiaTheme="minorEastAsia" w:hAnsiTheme="minorHAnsi" w:cstheme="minorBidi"/>
          <w:b w:val="0"/>
          <w:szCs w:val="22"/>
        </w:rPr>
      </w:pPr>
      <w:r>
        <w:t>Division 10 — Entrance fees for Monkey Mia Conservation Park</w:t>
      </w:r>
    </w:p>
    <w:p>
      <w:pPr>
        <w:pStyle w:val="TOC4"/>
        <w:tabs>
          <w:tab w:val="right" w:leader="dot" w:pos="7077"/>
        </w:tabs>
        <w:rPr>
          <w:rFonts w:asciiTheme="minorHAnsi" w:eastAsiaTheme="minorEastAsia" w:hAnsiTheme="minorHAnsi" w:cstheme="minorBidi"/>
          <w:b w:val="0"/>
          <w:szCs w:val="22"/>
        </w:rPr>
      </w:pPr>
      <w:r>
        <w:t>Division 11</w:t>
      </w:r>
      <w:r>
        <w:rPr>
          <w:b w:val="0"/>
        </w:rPr>
        <w:t> — </w:t>
      </w:r>
      <w:r>
        <w:t>Apiary permit and licence fees</w:t>
      </w:r>
    </w:p>
    <w:p>
      <w:pPr>
        <w:pStyle w:val="TOC4"/>
        <w:tabs>
          <w:tab w:val="right" w:leader="dot" w:pos="7077"/>
        </w:tabs>
        <w:rPr>
          <w:rFonts w:asciiTheme="minorHAnsi" w:eastAsiaTheme="minorEastAsia" w:hAnsiTheme="minorHAnsi" w:cstheme="minorBidi"/>
          <w:b w:val="0"/>
          <w:szCs w:val="22"/>
        </w:rPr>
      </w:pPr>
      <w:r>
        <w:t>Division 12</w:t>
      </w:r>
      <w:r>
        <w:rPr>
          <w:b w:val="0"/>
        </w:rPr>
        <w:t> — </w:t>
      </w:r>
      <w:r>
        <w:t>Landing fees for aircraft</w:t>
      </w:r>
    </w:p>
    <w:p>
      <w:pPr>
        <w:pStyle w:val="TOC2"/>
        <w:tabs>
          <w:tab w:val="right" w:leader="dot" w:pos="7077"/>
        </w:tabs>
        <w:rPr>
          <w:rFonts w:asciiTheme="minorHAnsi" w:eastAsiaTheme="minorEastAsia" w:hAnsiTheme="minorHAnsi" w:cstheme="minorBidi"/>
          <w:b w:val="0"/>
          <w:sz w:val="22"/>
          <w:szCs w:val="22"/>
        </w:rPr>
      </w:pPr>
      <w:r>
        <w:t>Schedule 2 — Offences to which modified penalties apply</w:t>
      </w:r>
    </w:p>
    <w:p>
      <w:pPr>
        <w:pStyle w:val="TOC4"/>
        <w:tabs>
          <w:tab w:val="right" w:leader="dot" w:pos="7077"/>
        </w:tabs>
        <w:rPr>
          <w:rFonts w:asciiTheme="minorHAnsi" w:eastAsiaTheme="minorEastAsia" w:hAnsiTheme="minorHAnsi" w:cstheme="minorBidi"/>
          <w:b w:val="0"/>
          <w:szCs w:val="22"/>
        </w:rPr>
      </w:pPr>
      <w:r>
        <w:t>Division 1 — Offences under the Act</w:t>
      </w:r>
    </w:p>
    <w:p>
      <w:pPr>
        <w:pStyle w:val="TOC4"/>
        <w:tabs>
          <w:tab w:val="right" w:leader="dot" w:pos="7077"/>
        </w:tabs>
        <w:rPr>
          <w:rFonts w:asciiTheme="minorHAnsi" w:eastAsiaTheme="minorEastAsia" w:hAnsiTheme="minorHAnsi" w:cstheme="minorBidi"/>
          <w:b w:val="0"/>
          <w:szCs w:val="22"/>
        </w:rPr>
      </w:pPr>
      <w:r>
        <w:t>Division 2 — Offences under these regulations</w:t>
      </w:r>
    </w:p>
    <w:p>
      <w:pPr>
        <w:pStyle w:val="TOC4"/>
        <w:tabs>
          <w:tab w:val="right" w:leader="dot" w:pos="7077"/>
        </w:tabs>
        <w:rPr>
          <w:rFonts w:asciiTheme="minorHAnsi" w:eastAsiaTheme="minorEastAsia" w:hAnsiTheme="minorHAnsi" w:cstheme="minorBidi"/>
          <w:b w:val="0"/>
          <w:szCs w:val="22"/>
        </w:rPr>
      </w:pPr>
      <w:r>
        <w:t xml:space="preserve">Division 3 — Offences under </w:t>
      </w:r>
      <w:r>
        <w:rPr>
          <w:i/>
        </w:rPr>
        <w:t>Forest Management Regulations 1993</w:t>
      </w:r>
    </w:p>
    <w:p>
      <w:pPr>
        <w:pStyle w:val="TOC2"/>
        <w:tabs>
          <w:tab w:val="right" w:leader="dot" w:pos="7077"/>
        </w:tabs>
        <w:rPr>
          <w:rFonts w:asciiTheme="minorHAnsi" w:eastAsiaTheme="minorEastAsia" w:hAnsiTheme="minorHAnsi" w:cstheme="minorBidi"/>
          <w:b w:val="0"/>
          <w:sz w:val="22"/>
          <w:szCs w:val="22"/>
        </w:rPr>
      </w:pPr>
      <w:r>
        <w:t>Schedule 3 — Forms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_Toc417563834 \h </w:instrText>
      </w:r>
      <w:r>
        <w:fldChar w:fldCharType="separate"/>
      </w:r>
      <w:r>
        <w:t>122</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uppressLineNumbers/>
        <w:spacing w:before="120" w:after="480"/>
      </w:pPr>
      <w:r>
        <w:t>Western Australia</w:t>
      </w:r>
    </w:p>
    <w:p>
      <w:pPr>
        <w:pStyle w:val="PrincipalActReg"/>
      </w:pPr>
      <w:r>
        <w:t>Conservation and Land Management Act 1984</w:t>
      </w:r>
    </w:p>
    <w:p>
      <w:pPr>
        <w:pStyle w:val="NameofActReg"/>
      </w:pPr>
      <w:r>
        <w:t>Conservation and Land Management Regulations 2002</w:t>
      </w:r>
    </w:p>
    <w:p>
      <w:pPr>
        <w:pStyle w:val="Heading2"/>
        <w:pageBreakBefore w:val="0"/>
        <w:spacing w:before="240"/>
      </w:pPr>
      <w:bookmarkStart w:id="3" w:name="_Toc408498770"/>
      <w:bookmarkStart w:id="4" w:name="_Toc414889192"/>
      <w:bookmarkStart w:id="5" w:name="_Toc414975135"/>
      <w:bookmarkStart w:id="6" w:name="_Toc417563617"/>
      <w:r>
        <w:rPr>
          <w:rStyle w:val="CharPartNo"/>
        </w:rPr>
        <w:t>Part 1</w:t>
      </w:r>
      <w:r>
        <w:rPr>
          <w:rStyle w:val="CharDivNo"/>
        </w:rPr>
        <w:t xml:space="preserve"> </w:t>
      </w:r>
      <w:r>
        <w:t>—</w:t>
      </w:r>
      <w:r>
        <w:rPr>
          <w:rStyle w:val="CharDivText"/>
        </w:rPr>
        <w:t xml:space="preserve"> </w:t>
      </w:r>
      <w:r>
        <w:rPr>
          <w:rStyle w:val="CharPartText"/>
        </w:rPr>
        <w:t>Preliminary</w:t>
      </w:r>
      <w:bookmarkEnd w:id="3"/>
      <w:bookmarkEnd w:id="4"/>
      <w:bookmarkEnd w:id="5"/>
      <w:bookmarkEnd w:id="6"/>
      <w:r>
        <w:rPr>
          <w:rStyle w:val="CharPartText"/>
        </w:rPr>
        <w:t xml:space="preserve"> </w:t>
      </w:r>
    </w:p>
    <w:p>
      <w:pPr>
        <w:pStyle w:val="Heading5"/>
      </w:pPr>
      <w:bookmarkStart w:id="7" w:name="_Toc408498771"/>
      <w:bookmarkStart w:id="8" w:name="_Toc417563618"/>
      <w:r>
        <w:rPr>
          <w:rStyle w:val="CharSectno"/>
        </w:rPr>
        <w:t>1</w:t>
      </w:r>
      <w:r>
        <w:t>.</w:t>
      </w:r>
      <w:r>
        <w:tab/>
        <w:t>Citation</w:t>
      </w:r>
      <w:bookmarkEnd w:id="7"/>
      <w:bookmarkEnd w:id="8"/>
    </w:p>
    <w:p>
      <w:pPr>
        <w:pStyle w:val="Subsection"/>
        <w:rPr>
          <w:i/>
        </w:rPr>
      </w:pPr>
      <w:r>
        <w:tab/>
      </w:r>
      <w:r>
        <w:tab/>
      </w:r>
      <w:r>
        <w:rPr>
          <w:spacing w:val="-2"/>
        </w:rPr>
        <w:t>These</w:t>
      </w:r>
      <w:r>
        <w:t xml:space="preserve"> </w:t>
      </w:r>
      <w:r>
        <w:rPr>
          <w:spacing w:val="-2"/>
        </w:rPr>
        <w:t>regulations</w:t>
      </w:r>
      <w:r>
        <w:t xml:space="preserve"> may be cited as the </w:t>
      </w:r>
      <w:r>
        <w:rPr>
          <w:i/>
        </w:rPr>
        <w:t>Conservation and Land Management Regulations 2002</w:t>
      </w:r>
      <w:r>
        <w:rPr>
          <w:vertAlign w:val="superscript"/>
        </w:rPr>
        <w:t> 1</w:t>
      </w:r>
      <w:r>
        <w:rPr>
          <w:iCs/>
        </w:rPr>
        <w:t>.</w:t>
      </w:r>
    </w:p>
    <w:p>
      <w:pPr>
        <w:pStyle w:val="Heading5"/>
        <w:rPr>
          <w:snapToGrid w:val="0"/>
        </w:rPr>
      </w:pPr>
      <w:bookmarkStart w:id="9" w:name="_Toc408498772"/>
      <w:bookmarkStart w:id="10" w:name="_Toc417563619"/>
      <w:r>
        <w:rPr>
          <w:rStyle w:val="CharSectno"/>
        </w:rPr>
        <w:t>2</w:t>
      </w:r>
      <w:r>
        <w:rPr>
          <w:snapToGrid w:val="0"/>
        </w:rPr>
        <w:t>.</w:t>
      </w:r>
      <w:r>
        <w:rPr>
          <w:snapToGrid w:val="0"/>
        </w:rPr>
        <w:tab/>
        <w:t>Terms used</w:t>
      </w:r>
      <w:bookmarkEnd w:id="9"/>
      <w:bookmarkEnd w:id="10"/>
      <w:r>
        <w:rPr>
          <w:snapToGrid w:val="0"/>
        </w:rPr>
        <w:t xml:space="preserve"> </w:t>
      </w:r>
    </w:p>
    <w:p>
      <w:pPr>
        <w:pStyle w:val="Subsection"/>
        <w:rPr>
          <w:snapToGrid w:val="0"/>
        </w:rPr>
      </w:pPr>
      <w:r>
        <w:rPr>
          <w:snapToGrid w:val="0"/>
        </w:rPr>
        <w:tab/>
      </w:r>
      <w:r>
        <w:rPr>
          <w:snapToGrid w:val="0"/>
        </w:rPr>
        <w:tab/>
        <w:t>In these regulations, unless the contrary intention appears — </w:t>
      </w:r>
    </w:p>
    <w:p>
      <w:pPr>
        <w:pStyle w:val="Defstart"/>
      </w:pPr>
      <w:r>
        <w:rPr>
          <w:b/>
        </w:rPr>
        <w:tab/>
      </w:r>
      <w:r>
        <w:rPr>
          <w:rStyle w:val="CharDefText"/>
        </w:rPr>
        <w:t>Aboriginal artefact</w:t>
      </w:r>
      <w:r>
        <w:t xml:space="preserve"> means an object to which the </w:t>
      </w:r>
      <w:r>
        <w:rPr>
          <w:i/>
        </w:rPr>
        <w:t>Aboriginal Heritage Act 1972</w:t>
      </w:r>
      <w:r>
        <w:t xml:space="preserve"> applies;</w:t>
      </w:r>
    </w:p>
    <w:p>
      <w:pPr>
        <w:pStyle w:val="Defstart"/>
      </w:pPr>
      <w:r>
        <w:rPr>
          <w:b/>
        </w:rPr>
        <w:tab/>
      </w:r>
      <w:r>
        <w:rPr>
          <w:rStyle w:val="CharDefText"/>
        </w:rPr>
        <w:t>Aboriginal site</w:t>
      </w:r>
      <w:r>
        <w:t xml:space="preserve"> means a place to which the </w:t>
      </w:r>
      <w:r>
        <w:rPr>
          <w:i/>
        </w:rPr>
        <w:t>Aboriginal Heritage Act 1972</w:t>
      </w:r>
      <w:r>
        <w:t xml:space="preserve"> applies;</w:t>
      </w:r>
    </w:p>
    <w:p>
      <w:pPr>
        <w:pStyle w:val="Defstart"/>
      </w:pPr>
      <w:r>
        <w:tab/>
      </w:r>
      <w:r>
        <w:rPr>
          <w:rStyle w:val="CharDefText"/>
        </w:rPr>
        <w:t>abseiling area</w:t>
      </w:r>
      <w:r>
        <w:t xml:space="preserve"> means — </w:t>
      </w:r>
    </w:p>
    <w:p>
      <w:pPr>
        <w:pStyle w:val="Defpara"/>
      </w:pPr>
      <w:r>
        <w:tab/>
        <w:t>(a)</w:t>
      </w:r>
      <w:r>
        <w:tab/>
        <w:t>an area declared under regulation 6(1)(a) to be a designated area for the purposes of regulation 33; or</w:t>
      </w:r>
    </w:p>
    <w:p>
      <w:pPr>
        <w:pStyle w:val="Defpara"/>
      </w:pPr>
      <w:r>
        <w:tab/>
        <w:t>(b)</w:t>
      </w:r>
      <w:r>
        <w:tab/>
        <w:t>an area designated by sign as an abseiling area;</w:t>
      </w:r>
    </w:p>
    <w:p>
      <w:pPr>
        <w:pStyle w:val="Defstart"/>
      </w:pPr>
      <w:r>
        <w:tab/>
      </w:r>
      <w:r>
        <w:rPr>
          <w:rStyle w:val="CharDefText"/>
        </w:rPr>
        <w:t>aircraft</w:t>
      </w:r>
      <w:r>
        <w:t xml:space="preserve"> includes an ultra</w:t>
      </w:r>
      <w:r>
        <w:noBreakHyphen/>
        <w:t>light aircraft and a helicopter;</w:t>
      </w:r>
    </w:p>
    <w:p>
      <w:pPr>
        <w:pStyle w:val="Defstart"/>
      </w:pPr>
      <w:r>
        <w:tab/>
      </w:r>
      <w:r>
        <w:rPr>
          <w:rStyle w:val="CharDefText"/>
        </w:rPr>
        <w:t>authorised officer</w:t>
      </w:r>
      <w:r>
        <w:t xml:space="preserve"> means a wildlife officer, forest officer, ranger, conservation and land management officer and a person appointed to an honorary office under section 46 of the Act;</w:t>
      </w:r>
    </w:p>
    <w:p>
      <w:pPr>
        <w:pStyle w:val="Defstart"/>
      </w:pPr>
      <w:r>
        <w:rPr>
          <w:b/>
        </w:rPr>
        <w:tab/>
      </w:r>
      <w:r>
        <w:rPr>
          <w:rStyle w:val="CharDefText"/>
        </w:rPr>
        <w:t>bicycle</w:t>
      </w:r>
      <w:r>
        <w:t xml:space="preserve"> has the meaning given to that term in the </w:t>
      </w:r>
      <w:r>
        <w:rPr>
          <w:i/>
        </w:rPr>
        <w:t>Road Traffic Code 2000</w:t>
      </w:r>
      <w:r>
        <w:t xml:space="preserve"> regulation 3(1);</w:t>
      </w:r>
    </w:p>
    <w:p>
      <w:pPr>
        <w:pStyle w:val="Defstart"/>
      </w:pPr>
      <w:r>
        <w:tab/>
      </w:r>
      <w:r>
        <w:rPr>
          <w:rStyle w:val="CharDefText"/>
        </w:rPr>
        <w:t>CALM land</w:t>
      </w:r>
      <w:r>
        <w:rPr>
          <w:b/>
        </w:rPr>
        <w:t xml:space="preserve"> </w:t>
      </w:r>
      <w:r>
        <w:t>means land, or land and waters, to which these regulations apply, and includes caves and parts of caves on or under that land;</w:t>
      </w:r>
    </w:p>
    <w:p>
      <w:pPr>
        <w:pStyle w:val="Defstart"/>
      </w:pPr>
      <w:r>
        <w:tab/>
      </w:r>
      <w:r>
        <w:rPr>
          <w:rStyle w:val="CharDefText"/>
        </w:rPr>
        <w:t>camp</w:t>
      </w:r>
      <w:r>
        <w:t xml:space="preserve"> means — </w:t>
      </w:r>
    </w:p>
    <w:p>
      <w:pPr>
        <w:pStyle w:val="Defpara"/>
      </w:pPr>
      <w:r>
        <w:tab/>
        <w:t>(a)</w:t>
      </w:r>
      <w:r>
        <w:tab/>
        <w:t>to stay or lodge (whether in a camping unit or otherwise) during any period of the night after 9.00 p.m. and before 6.00 a.m.; or</w:t>
      </w:r>
    </w:p>
    <w:p>
      <w:pPr>
        <w:pStyle w:val="Defpara"/>
      </w:pPr>
      <w:r>
        <w:tab/>
        <w:t>(b)</w:t>
      </w:r>
      <w:r>
        <w:tab/>
        <w:t>to stay or lodge in a camping unit, building or structure during any period of the day after 6.00 a.m. and before 9.00 p.m.;</w:t>
      </w:r>
    </w:p>
    <w:p>
      <w:pPr>
        <w:pStyle w:val="Defstart"/>
      </w:pPr>
      <w:r>
        <w:tab/>
      </w:r>
      <w:r>
        <w:rPr>
          <w:rStyle w:val="CharDefText"/>
        </w:rPr>
        <w:t>camping area</w:t>
      </w:r>
      <w:r>
        <w:t xml:space="preserve"> means — </w:t>
      </w:r>
    </w:p>
    <w:p>
      <w:pPr>
        <w:pStyle w:val="Defpara"/>
      </w:pPr>
      <w:r>
        <w:tab/>
        <w:t>(a)</w:t>
      </w:r>
      <w:r>
        <w:tab/>
        <w:t>an area declared under regulation 6(1)(a) to be a designated area for the purposes of regulation 66; or</w:t>
      </w:r>
    </w:p>
    <w:p>
      <w:pPr>
        <w:pStyle w:val="Defpara"/>
      </w:pPr>
      <w:r>
        <w:tab/>
        <w:t>(b)</w:t>
      </w:r>
      <w:r>
        <w:tab/>
        <w:t>an area designated by sign as a camping area;</w:t>
      </w:r>
    </w:p>
    <w:p>
      <w:pPr>
        <w:pStyle w:val="Defstart"/>
      </w:pPr>
      <w:r>
        <w:tab/>
      </w:r>
      <w:r>
        <w:rPr>
          <w:rStyle w:val="CharDefText"/>
        </w:rPr>
        <w:t>camping unit</w:t>
      </w:r>
      <w:r>
        <w:t xml:space="preserve"> means a tent or other portable thing of any kind used or capable of being used for habitation, and includes a caravan or other vehicle;</w:t>
      </w:r>
    </w:p>
    <w:p>
      <w:pPr>
        <w:pStyle w:val="Defstart"/>
      </w:pPr>
      <w:r>
        <w:tab/>
      </w:r>
      <w:r>
        <w:rPr>
          <w:rStyle w:val="CharDefText"/>
        </w:rPr>
        <w:t>caravan</w:t>
      </w:r>
      <w:r>
        <w:t xml:space="preserve"> means a vehicle fitted or designed for habitation;</w:t>
      </w:r>
    </w:p>
    <w:p>
      <w:pPr>
        <w:pStyle w:val="Defstart"/>
      </w:pPr>
      <w:r>
        <w:tab/>
      </w:r>
      <w:r>
        <w:rPr>
          <w:rStyle w:val="CharDefText"/>
        </w:rPr>
        <w:t>commercial operations licence</w:t>
      </w:r>
      <w:r>
        <w:rPr>
          <w:b/>
        </w:rPr>
        <w:t xml:space="preserve"> </w:t>
      </w:r>
      <w:r>
        <w:t>means a licence issued under  regulation 94;</w:t>
      </w:r>
    </w:p>
    <w:p>
      <w:pPr>
        <w:pStyle w:val="Defstart"/>
      </w:pPr>
      <w:r>
        <w:rPr>
          <w:b/>
        </w:rPr>
        <w:tab/>
      </w:r>
      <w:r>
        <w:rPr>
          <w:rStyle w:val="CharDefText"/>
        </w:rPr>
        <w:t>commercial purpose</w:t>
      </w:r>
      <w:r>
        <w:t xml:space="preserve"> means the purpose of sale for profit or any other purpose that is directed to financial gain or reward;</w:t>
      </w:r>
    </w:p>
    <w:p>
      <w:pPr>
        <w:pStyle w:val="Defstart"/>
      </w:pPr>
      <w:r>
        <w:rPr>
          <w:b/>
        </w:rPr>
        <w:tab/>
      </w:r>
      <w:r>
        <w:rPr>
          <w:rStyle w:val="CharDefText"/>
        </w:rPr>
        <w:t>Companion Card</w:t>
      </w:r>
      <w:r>
        <w:t xml:space="preserve"> means a Companion Card issued by ACROD Limited (ACN 008 445 485);</w:t>
      </w:r>
    </w:p>
    <w:p>
      <w:pPr>
        <w:pStyle w:val="Defstart"/>
      </w:pPr>
      <w:r>
        <w:rPr>
          <w:b/>
        </w:rPr>
        <w:tab/>
      </w:r>
      <w:r>
        <w:rPr>
          <w:rStyle w:val="CharDefText"/>
        </w:rPr>
        <w:t>concession card</w:t>
      </w:r>
      <w:r>
        <w:t xml:space="preserve"> means — </w:t>
      </w:r>
    </w:p>
    <w:p>
      <w:pPr>
        <w:pStyle w:val="Defpara"/>
      </w:pPr>
      <w:r>
        <w:tab/>
        <w:t>(a)</w:t>
      </w:r>
      <w:r>
        <w:tab/>
        <w:t>a Seniors’ Card issued by the Office of Seniors’ Interests in this or another State or Territory; or</w:t>
      </w:r>
    </w:p>
    <w:p>
      <w:pPr>
        <w:pStyle w:val="Defpara"/>
      </w:pPr>
      <w:r>
        <w:tab/>
        <w:t>(b)</w:t>
      </w:r>
      <w:r>
        <w:tab/>
        <w:t>a Pensioner Concession Card issued by Centrelink on the basis of receipt of Aged Pension, Disability Support Pension or Carer Payment; or</w:t>
      </w:r>
    </w:p>
    <w:p>
      <w:pPr>
        <w:pStyle w:val="Defpara"/>
      </w:pPr>
      <w:r>
        <w:tab/>
        <w:t>(c)</w:t>
      </w:r>
      <w:r>
        <w:tab/>
        <w:t>any concession card issued by the Commonwealth Department of Veterans’ Affairs; or</w:t>
      </w:r>
    </w:p>
    <w:p>
      <w:pPr>
        <w:pStyle w:val="Defpara"/>
      </w:pPr>
      <w:r>
        <w:tab/>
        <w:t>(d)</w:t>
      </w:r>
      <w:r>
        <w:tab/>
        <w:t>a Companion Card;</w:t>
      </w:r>
    </w:p>
    <w:p>
      <w:pPr>
        <w:pStyle w:val="Defstart"/>
      </w:pPr>
      <w:r>
        <w:tab/>
      </w:r>
      <w:r>
        <w:rPr>
          <w:rStyle w:val="CharDefText"/>
        </w:rPr>
        <w:t>designated area</w:t>
      </w:r>
      <w:r>
        <w:rPr>
          <w:b/>
        </w:rPr>
        <w:t xml:space="preserve"> </w:t>
      </w:r>
      <w:r>
        <w:t xml:space="preserve">has the meaning given by regulation 6(6); </w:t>
      </w:r>
    </w:p>
    <w:p>
      <w:pPr>
        <w:pStyle w:val="Defstart"/>
      </w:pPr>
      <w:r>
        <w:tab/>
      </w:r>
      <w:r>
        <w:rPr>
          <w:rStyle w:val="CharDefText"/>
        </w:rPr>
        <w:t>dog area</w:t>
      </w:r>
      <w:r>
        <w:t xml:space="preserve"> means — </w:t>
      </w:r>
    </w:p>
    <w:p>
      <w:pPr>
        <w:pStyle w:val="Defpara"/>
      </w:pPr>
      <w:r>
        <w:tab/>
        <w:t>(a)</w:t>
      </w:r>
      <w:r>
        <w:tab/>
        <w:t>an area declared under regulation 6(1)(a) to be a designated area for the purposes of regulation 16; or</w:t>
      </w:r>
    </w:p>
    <w:p>
      <w:pPr>
        <w:pStyle w:val="Defpara"/>
      </w:pPr>
      <w:r>
        <w:tab/>
        <w:t>(b)</w:t>
      </w:r>
      <w:r>
        <w:tab/>
        <w:t>an area designated by sign as a dog area;</w:t>
      </w:r>
    </w:p>
    <w:p>
      <w:pPr>
        <w:pStyle w:val="Defstart"/>
      </w:pPr>
      <w:r>
        <w:tab/>
      </w:r>
      <w:r>
        <w:rPr>
          <w:rStyle w:val="CharDefText"/>
        </w:rPr>
        <w:t>horse area</w:t>
      </w:r>
      <w:r>
        <w:t xml:space="preserve"> means — </w:t>
      </w:r>
    </w:p>
    <w:p>
      <w:pPr>
        <w:pStyle w:val="Defpara"/>
      </w:pPr>
      <w:r>
        <w:tab/>
        <w:t>(a)</w:t>
      </w:r>
      <w:r>
        <w:tab/>
        <w:t>an area declared under regulation 6(1)(a) to be a designated area for the purposes of regulation 17; or</w:t>
      </w:r>
    </w:p>
    <w:p>
      <w:pPr>
        <w:pStyle w:val="Defpara"/>
      </w:pPr>
      <w:r>
        <w:tab/>
        <w:t>(b)</w:t>
      </w:r>
      <w:r>
        <w:tab/>
        <w:t>an area designated by sign as a horse area;</w:t>
      </w:r>
    </w:p>
    <w:p>
      <w:pPr>
        <w:pStyle w:val="Defstart"/>
      </w:pPr>
      <w:r>
        <w:rPr>
          <w:b/>
        </w:rPr>
        <w:tab/>
      </w:r>
      <w:r>
        <w:rPr>
          <w:rStyle w:val="CharDefText"/>
        </w:rPr>
        <w:t>mooring</w:t>
      </w:r>
      <w:r>
        <w:t xml:space="preserve"> means any structure or apparatus (other than a vessel’s anchor that is retrieved by the vessel when not in use) to which a floating vessel may be secured by a chain, cable, wire or rope, whether or not the structure or apparatus is itself beyond the shores of the water;</w:t>
      </w:r>
    </w:p>
    <w:p>
      <w:pPr>
        <w:pStyle w:val="Defstart"/>
      </w:pPr>
      <w:r>
        <w:rPr>
          <w:b/>
        </w:rPr>
        <w:tab/>
      </w:r>
      <w:r>
        <w:rPr>
          <w:rStyle w:val="CharDefText"/>
        </w:rPr>
        <w:t>non</w:t>
      </w:r>
      <w:r>
        <w:rPr>
          <w:rStyle w:val="CharDefText"/>
        </w:rPr>
        <w:noBreakHyphen/>
        <w:t>indigenous animal</w:t>
      </w:r>
      <w:r>
        <w:t>, in relation to a particular locality, means an animal that is not indigenous to that locality;</w:t>
      </w:r>
    </w:p>
    <w:p>
      <w:pPr>
        <w:pStyle w:val="Defstart"/>
      </w:pPr>
      <w:r>
        <w:tab/>
      </w:r>
      <w:r>
        <w:rPr>
          <w:rStyle w:val="CharDefText"/>
        </w:rPr>
        <w:t>public mooring</w:t>
      </w:r>
      <w:r>
        <w:t xml:space="preserve"> means a mooring designated as a public mooring under regulation 60A(1);</w:t>
      </w:r>
    </w:p>
    <w:p>
      <w:pPr>
        <w:pStyle w:val="Defstart"/>
      </w:pPr>
      <w:r>
        <w:tab/>
      </w:r>
      <w:r>
        <w:rPr>
          <w:rStyle w:val="CharDefText"/>
        </w:rPr>
        <w:t>restricted area</w:t>
      </w:r>
      <w:r>
        <w:rPr>
          <w:b/>
        </w:rPr>
        <w:t xml:space="preserve"> </w:t>
      </w:r>
      <w:r>
        <w:t>has the meaning given by regulation 5(6);</w:t>
      </w:r>
    </w:p>
    <w:p>
      <w:pPr>
        <w:pStyle w:val="Defstart"/>
      </w:pPr>
      <w:r>
        <w:rPr>
          <w:b/>
        </w:rPr>
        <w:tab/>
      </w:r>
      <w:r>
        <w:rPr>
          <w:rStyle w:val="CharDefText"/>
        </w:rPr>
        <w:t>school holidays</w:t>
      </w:r>
      <w:r>
        <w:t xml:space="preserve"> means the days between school terms determined for government schools under section 117 of the </w:t>
      </w:r>
      <w:r>
        <w:rPr>
          <w:i/>
        </w:rPr>
        <w:t>School Education Act 1999</w:t>
      </w:r>
      <w:r>
        <w:t>;</w:t>
      </w:r>
    </w:p>
    <w:p>
      <w:pPr>
        <w:pStyle w:val="Defstart"/>
      </w:pPr>
      <w:r>
        <w:tab/>
      </w:r>
      <w:r>
        <w:rPr>
          <w:rStyle w:val="CharDefText"/>
        </w:rPr>
        <w:t>scientific purposes licence</w:t>
      </w:r>
      <w:r>
        <w:rPr>
          <w:b/>
        </w:rPr>
        <w:t xml:space="preserve"> </w:t>
      </w:r>
      <w:r>
        <w:t>means a licence issued under regulation 89;</w:t>
      </w:r>
    </w:p>
    <w:p>
      <w:pPr>
        <w:pStyle w:val="Defstart"/>
      </w:pPr>
      <w:r>
        <w:tab/>
      </w:r>
      <w:r>
        <w:rPr>
          <w:rStyle w:val="CharDefText"/>
        </w:rPr>
        <w:t>sell</w:t>
      </w:r>
      <w:r>
        <w:t xml:space="preserve"> includes —</w:t>
      </w:r>
    </w:p>
    <w:p>
      <w:pPr>
        <w:pStyle w:val="Defpara"/>
      </w:pPr>
      <w:r>
        <w:tab/>
        <w:t>(a)</w:t>
      </w:r>
      <w:r>
        <w:tab/>
        <w:t>sell by wholesale or retail;</w:t>
      </w:r>
    </w:p>
    <w:p>
      <w:pPr>
        <w:pStyle w:val="Defpara"/>
      </w:pPr>
      <w:r>
        <w:tab/>
        <w:t>(b)</w:t>
      </w:r>
      <w:r>
        <w:tab/>
        <w:t>supply or perform for profit;</w:t>
      </w:r>
    </w:p>
    <w:p>
      <w:pPr>
        <w:pStyle w:val="Defpara"/>
      </w:pPr>
      <w:r>
        <w:tab/>
        <w:t>(c)</w:t>
      </w:r>
      <w:r>
        <w:tab/>
        <w:t>receive for sale;</w:t>
      </w:r>
    </w:p>
    <w:p>
      <w:pPr>
        <w:pStyle w:val="Defpara"/>
      </w:pPr>
      <w:r>
        <w:tab/>
        <w:t>(d)</w:t>
      </w:r>
      <w:r>
        <w:tab/>
        <w:t>have in possession for sale;</w:t>
      </w:r>
    </w:p>
    <w:p>
      <w:pPr>
        <w:pStyle w:val="Defpara"/>
      </w:pPr>
      <w:r>
        <w:tab/>
        <w:t>(e)</w:t>
      </w:r>
      <w:r>
        <w:tab/>
        <w:t>send, forward or deliver for sale;</w:t>
      </w:r>
    </w:p>
    <w:p>
      <w:pPr>
        <w:pStyle w:val="Defpara"/>
      </w:pPr>
      <w:r>
        <w:tab/>
        <w:t>(f)</w:t>
      </w:r>
      <w:r>
        <w:tab/>
        <w:t>cause or suffer or allow to be sold;</w:t>
      </w:r>
    </w:p>
    <w:p>
      <w:pPr>
        <w:pStyle w:val="Defpara"/>
      </w:pPr>
      <w:r>
        <w:tab/>
        <w:t>(g)</w:t>
      </w:r>
      <w:r>
        <w:tab/>
        <w:t>dispose or offer for disposal under an hire</w:t>
      </w:r>
      <w:r>
        <w:noBreakHyphen/>
        <w:t>purchase agreement;</w:t>
      </w:r>
    </w:p>
    <w:p>
      <w:pPr>
        <w:pStyle w:val="Defstart"/>
      </w:pPr>
      <w:r>
        <w:tab/>
      </w:r>
      <w:r>
        <w:rPr>
          <w:rStyle w:val="CharDefText"/>
        </w:rPr>
        <w:t>services</w:t>
      </w:r>
      <w:r>
        <w:rPr>
          <w:b/>
        </w:rPr>
        <w:t xml:space="preserve"> </w:t>
      </w:r>
      <w:r>
        <w:t>includes the supply of transport, information, instruction or supervision;</w:t>
      </w:r>
    </w:p>
    <w:p>
      <w:pPr>
        <w:pStyle w:val="Defstart"/>
        <w:spacing w:before="70"/>
      </w:pPr>
      <w:r>
        <w:tab/>
      </w:r>
      <w:r>
        <w:rPr>
          <w:rStyle w:val="CharDefText"/>
        </w:rPr>
        <w:t>sign</w:t>
      </w:r>
      <w:r>
        <w:rPr>
          <w:b/>
        </w:rPr>
        <w:t xml:space="preserve"> </w:t>
      </w:r>
      <w:r>
        <w:t>means a sign erected by authority of the CEO and includes lines or other markings on the ground made by authority of the CEO; and such a sign is taken to be a notice for the purposes of section 134 of the Act;</w:t>
      </w:r>
    </w:p>
    <w:p>
      <w:pPr>
        <w:pStyle w:val="Defstart"/>
        <w:spacing w:before="70"/>
      </w:pPr>
      <w:r>
        <w:tab/>
      </w:r>
      <w:r>
        <w:rPr>
          <w:rStyle w:val="CharDefText"/>
        </w:rPr>
        <w:t>take</w:t>
      </w:r>
      <w:r>
        <w:t xml:space="preserve"> includes — </w:t>
      </w:r>
    </w:p>
    <w:p>
      <w:pPr>
        <w:pStyle w:val="Defpara"/>
        <w:spacing w:before="60"/>
      </w:pPr>
      <w:r>
        <w:tab/>
        <w:t>(a)</w:t>
      </w:r>
      <w:r>
        <w:tab/>
        <w:t>to injure, destroy or otherwise interfere with, or cause or permit the doing of any of those things; and</w:t>
      </w:r>
    </w:p>
    <w:p>
      <w:pPr>
        <w:pStyle w:val="Defpara"/>
        <w:spacing w:before="60"/>
      </w:pPr>
      <w:r>
        <w:tab/>
        <w:t>(b)</w:t>
      </w:r>
      <w:r>
        <w:tab/>
        <w:t>to hunt any fauna even though no fauna is actually taken; and</w:t>
      </w:r>
    </w:p>
    <w:p>
      <w:pPr>
        <w:pStyle w:val="Defpara"/>
        <w:spacing w:before="60"/>
      </w:pPr>
      <w:r>
        <w:tab/>
        <w:t>(c)</w:t>
      </w:r>
      <w:r>
        <w:tab/>
        <w:t>an attempt to take;</w:t>
      </w:r>
    </w:p>
    <w:p>
      <w:pPr>
        <w:pStyle w:val="Defstart"/>
      </w:pPr>
      <w:r>
        <w:tab/>
      </w:r>
      <w:r>
        <w:rPr>
          <w:rStyle w:val="CharDefText"/>
        </w:rPr>
        <w:t>temporary mooring area</w:t>
      </w:r>
      <w:r>
        <w:t xml:space="preserve"> means — </w:t>
      </w:r>
    </w:p>
    <w:p>
      <w:pPr>
        <w:pStyle w:val="Defpara"/>
      </w:pPr>
      <w:r>
        <w:tab/>
        <w:t>(a)</w:t>
      </w:r>
      <w:r>
        <w:tab/>
        <w:t>an area declared under regulation 6(1)(a) to be a designated area for the purposes of regulation 60B; or</w:t>
      </w:r>
    </w:p>
    <w:p>
      <w:pPr>
        <w:pStyle w:val="Defpara"/>
      </w:pPr>
      <w:r>
        <w:tab/>
        <w:t>(b)</w:t>
      </w:r>
      <w:r>
        <w:tab/>
        <w:t>an area designated by sign as a temporary mooring area;</w:t>
      </w:r>
    </w:p>
    <w:p>
      <w:pPr>
        <w:pStyle w:val="Defstart"/>
      </w:pPr>
      <w:r>
        <w:tab/>
      </w:r>
      <w:r>
        <w:rPr>
          <w:rStyle w:val="CharDefText"/>
        </w:rPr>
        <w:t>tender</w:t>
      </w:r>
      <w:r>
        <w:t xml:space="preserve"> means an auxiliary vessel that is used as a life boat or means of transportation between the parent vessel and another location or for both those purposes;</w:t>
      </w:r>
    </w:p>
    <w:p>
      <w:pPr>
        <w:pStyle w:val="Defstart"/>
        <w:spacing w:before="70"/>
      </w:pPr>
      <w:r>
        <w:tab/>
      </w:r>
      <w:r>
        <w:rPr>
          <w:rStyle w:val="CharDefText"/>
        </w:rPr>
        <w:t>tree</w:t>
      </w:r>
      <w:r>
        <w:rPr>
          <w:b/>
        </w:rPr>
        <w:t xml:space="preserve"> </w:t>
      </w:r>
      <w:r>
        <w:t>includes a tree that is dead provided the tree is still standing;</w:t>
      </w:r>
    </w:p>
    <w:p>
      <w:pPr>
        <w:pStyle w:val="Defstart"/>
        <w:spacing w:before="70"/>
      </w:pPr>
      <w:r>
        <w:tab/>
      </w:r>
      <w:r>
        <w:rPr>
          <w:rStyle w:val="CharDefText"/>
        </w:rPr>
        <w:t>vehicle</w:t>
      </w:r>
      <w:r>
        <w:rPr>
          <w:b/>
        </w:rPr>
        <w:t xml:space="preserve"> </w:t>
      </w:r>
      <w:r>
        <w:t xml:space="preserve">has the meaning given in the </w:t>
      </w:r>
      <w:r>
        <w:rPr>
          <w:i/>
        </w:rPr>
        <w:t xml:space="preserve">Road Traffic (Administration) Act 2008 </w:t>
      </w:r>
      <w:r>
        <w:t>section 4;</w:t>
      </w:r>
    </w:p>
    <w:p>
      <w:pPr>
        <w:pStyle w:val="Defstart"/>
        <w:spacing w:before="70"/>
      </w:pPr>
      <w:r>
        <w:tab/>
      </w:r>
      <w:r>
        <w:rPr>
          <w:rStyle w:val="CharDefText"/>
        </w:rPr>
        <w:t>vessel</w:t>
      </w:r>
      <w:r>
        <w:t xml:space="preserve"> means any thing used, or capable of being used, to move people or things by water and it does not matter —</w:t>
      </w:r>
    </w:p>
    <w:p>
      <w:pPr>
        <w:pStyle w:val="Defpara"/>
        <w:spacing w:before="60"/>
      </w:pPr>
      <w:r>
        <w:tab/>
        <w:t>(a)</w:t>
      </w:r>
      <w:r>
        <w:tab/>
        <w:t>that such a thing is ordinarily stationary; or</w:t>
      </w:r>
    </w:p>
    <w:p>
      <w:pPr>
        <w:pStyle w:val="Defpara"/>
        <w:spacing w:before="60"/>
      </w:pPr>
      <w:r>
        <w:tab/>
        <w:t>(b)</w:t>
      </w:r>
      <w:r>
        <w:tab/>
        <w:t>how any such thing is moved or propelled.</w:t>
      </w:r>
    </w:p>
    <w:p>
      <w:pPr>
        <w:pStyle w:val="Footnotesection"/>
        <w:spacing w:before="100"/>
      </w:pPr>
      <w:r>
        <w:tab/>
        <w:t>[Regulation 2 amended in Gazette 29 Sep 2006 p. 4304</w:t>
      </w:r>
      <w:r>
        <w:noBreakHyphen/>
        <w:t>5 and 4334; 3 Dec 2010 p. 6045</w:t>
      </w:r>
      <w:r>
        <w:noBreakHyphen/>
        <w:t>6; 8 Jan 2015 p. 135</w:t>
      </w:r>
      <w:r>
        <w:noBreakHyphen/>
        <w:t>6; 24 Mar 2015 p. 1033</w:t>
      </w:r>
      <w:r>
        <w:noBreakHyphen/>
        <w:t>4.]</w:t>
      </w:r>
    </w:p>
    <w:p>
      <w:pPr>
        <w:pStyle w:val="Heading5"/>
        <w:rPr>
          <w:snapToGrid w:val="0"/>
        </w:rPr>
      </w:pPr>
      <w:bookmarkStart w:id="11" w:name="_Toc408498773"/>
      <w:bookmarkStart w:id="12" w:name="_Toc417563620"/>
      <w:r>
        <w:rPr>
          <w:rStyle w:val="CharSectno"/>
        </w:rPr>
        <w:t>3</w:t>
      </w:r>
      <w:r>
        <w:rPr>
          <w:snapToGrid w:val="0"/>
        </w:rPr>
        <w:t>.</w:t>
      </w:r>
      <w:r>
        <w:rPr>
          <w:snapToGrid w:val="0"/>
        </w:rPr>
        <w:tab/>
        <w:t>Application</w:t>
      </w:r>
      <w:bookmarkEnd w:id="11"/>
      <w:bookmarkEnd w:id="12"/>
      <w:r>
        <w:rPr>
          <w:snapToGrid w:val="0"/>
        </w:rPr>
        <w:t xml:space="preserve"> </w:t>
      </w:r>
    </w:p>
    <w:p>
      <w:pPr>
        <w:pStyle w:val="Subsection"/>
        <w:rPr>
          <w:snapToGrid w:val="0"/>
        </w:rPr>
      </w:pPr>
      <w:r>
        <w:tab/>
        <w:t>(1)</w:t>
      </w:r>
      <w:r>
        <w:tab/>
        <w:t>Unless</w:t>
      </w:r>
      <w:r>
        <w:rPr>
          <w:snapToGrid w:val="0"/>
        </w:rPr>
        <w:t xml:space="preserve"> otherwise stated, these regulations apply to — </w:t>
      </w:r>
    </w:p>
    <w:p>
      <w:pPr>
        <w:pStyle w:val="Indenta"/>
        <w:spacing w:before="60"/>
        <w:rPr>
          <w:snapToGrid w:val="0"/>
        </w:rPr>
      </w:pPr>
      <w:r>
        <w:rPr>
          <w:snapToGrid w:val="0"/>
        </w:rPr>
        <w:tab/>
        <w:t>(a)</w:t>
      </w:r>
      <w:r>
        <w:rPr>
          <w:snapToGrid w:val="0"/>
        </w:rPr>
        <w:tab/>
        <w:t>land, and land and waters, specified in section 5 of the Act; and</w:t>
      </w:r>
    </w:p>
    <w:p>
      <w:pPr>
        <w:pStyle w:val="Indenta"/>
        <w:spacing w:before="60"/>
      </w:pPr>
      <w:r>
        <w:tab/>
        <w:t>(b)</w:t>
      </w:r>
      <w:r>
        <w:tab/>
        <w:t>subject to section 130(2) of the Act, section 8A land; and</w:t>
      </w:r>
    </w:p>
    <w:p>
      <w:pPr>
        <w:pStyle w:val="Indenta"/>
        <w:spacing w:before="60"/>
      </w:pPr>
      <w:r>
        <w:tab/>
        <w:t>(c)</w:t>
      </w:r>
      <w:r>
        <w:tab/>
        <w:t>subject to subregulation (2), section 8C land; and</w:t>
      </w:r>
    </w:p>
    <w:p>
      <w:pPr>
        <w:pStyle w:val="Indenta"/>
        <w:spacing w:before="60"/>
        <w:rPr>
          <w:snapToGrid w:val="0"/>
        </w:rPr>
      </w:pPr>
      <w:r>
        <w:rPr>
          <w:snapToGrid w:val="0"/>
        </w:rPr>
        <w:tab/>
        <w:t>(d)</w:t>
      </w:r>
      <w:r>
        <w:rPr>
          <w:snapToGrid w:val="0"/>
        </w:rPr>
        <w:tab/>
        <w:t xml:space="preserve">land to which section 131 of the Act applies. </w:t>
      </w:r>
    </w:p>
    <w:p>
      <w:pPr>
        <w:pStyle w:val="Subsection"/>
      </w:pPr>
      <w:r>
        <w:tab/>
        <w:t>(2)</w:t>
      </w:r>
      <w:r>
        <w:tab/>
        <w:t>If the Governor, by order under section 8C(2)(b), has specified the CEO’s functions in relation to managing any section 8C land, a regulation does not apply to the land unless it prescribes a matter that is consistent with the functions that the CEO has in respect of the land.</w:t>
      </w:r>
    </w:p>
    <w:p>
      <w:pPr>
        <w:pStyle w:val="Footnotesection"/>
        <w:spacing w:before="100"/>
      </w:pPr>
      <w:r>
        <w:tab/>
        <w:t>[Regulation 3 amended in Gazette 29 Sep 2006 p. 4305; 7 Dec 2012 p. 5965.]</w:t>
      </w:r>
    </w:p>
    <w:p>
      <w:pPr>
        <w:pStyle w:val="Heading5"/>
        <w:rPr>
          <w:snapToGrid w:val="0"/>
        </w:rPr>
      </w:pPr>
      <w:bookmarkStart w:id="13" w:name="_Toc408498774"/>
      <w:bookmarkStart w:id="14" w:name="_Toc417563621"/>
      <w:r>
        <w:rPr>
          <w:rStyle w:val="CharSectno"/>
        </w:rPr>
        <w:t>4</w:t>
      </w:r>
      <w:r>
        <w:rPr>
          <w:snapToGrid w:val="0"/>
        </w:rPr>
        <w:t>.</w:t>
      </w:r>
      <w:r>
        <w:rPr>
          <w:snapToGrid w:val="0"/>
        </w:rPr>
        <w:tab/>
        <w:t>Lawful authority</w:t>
      </w:r>
      <w:bookmarkEnd w:id="13"/>
      <w:bookmarkEnd w:id="14"/>
      <w:r>
        <w:rPr>
          <w:snapToGrid w:val="0"/>
        </w:rPr>
        <w:t xml:space="preserve"> </w:t>
      </w:r>
    </w:p>
    <w:p>
      <w:pPr>
        <w:pStyle w:val="Subsection"/>
        <w:rPr>
          <w:snapToGrid w:val="0"/>
        </w:rPr>
      </w:pPr>
      <w:r>
        <w:rPr>
          <w:snapToGrid w:val="0"/>
        </w:rPr>
        <w:tab/>
        <w:t>(1)</w:t>
      </w:r>
      <w:r>
        <w:rPr>
          <w:snapToGrid w:val="0"/>
        </w:rPr>
        <w:tab/>
        <w:t xml:space="preserve">The </w:t>
      </w:r>
      <w:r>
        <w:t xml:space="preserve">CEO </w:t>
      </w:r>
      <w:r>
        <w:rPr>
          <w:snapToGrid w:val="0"/>
        </w:rPr>
        <w:t>may, by written notice, authorise a person to do an act that would, but for that notice, be unlawful under these regulations.</w:t>
      </w:r>
    </w:p>
    <w:p>
      <w:pPr>
        <w:pStyle w:val="Subsection"/>
      </w:pPr>
      <w:r>
        <w:tab/>
        <w:t>(2A)</w:t>
      </w:r>
      <w:r>
        <w:tab/>
        <w:t>The CEO is to specify in a notice under subregulation (1) the person or persons or group, body or association of persons to whom the authorisation applies.</w:t>
      </w:r>
    </w:p>
    <w:p>
      <w:pPr>
        <w:pStyle w:val="Subsection"/>
        <w:rPr>
          <w:snapToGrid w:val="0"/>
        </w:rPr>
      </w:pPr>
      <w:r>
        <w:rPr>
          <w:snapToGrid w:val="0"/>
        </w:rPr>
        <w:tab/>
        <w:t>(2)</w:t>
      </w:r>
      <w:r>
        <w:rPr>
          <w:snapToGrid w:val="0"/>
        </w:rPr>
        <w:tab/>
        <w:t>A notice under subregulation (1) may be expressed to operate in specified circumstances, for a specified period or subject to any specified condition and may be amended or revoked by the</w:t>
      </w:r>
      <w:r>
        <w:t xml:space="preserve"> CEO</w:t>
      </w:r>
      <w:r>
        <w:rPr>
          <w:snapToGrid w:val="0"/>
        </w:rPr>
        <w:t>.</w:t>
      </w:r>
    </w:p>
    <w:p>
      <w:pPr>
        <w:pStyle w:val="Subsection"/>
        <w:rPr>
          <w:snapToGrid w:val="0"/>
        </w:rPr>
      </w:pPr>
      <w:r>
        <w:rPr>
          <w:snapToGrid w:val="0"/>
        </w:rPr>
        <w:tab/>
        <w:t>(3)</w:t>
      </w:r>
      <w:r>
        <w:rPr>
          <w:snapToGrid w:val="0"/>
        </w:rPr>
        <w:tab/>
        <w:t>In order to avoid any doubt and without limiting the meaning of the expression “without lawful authority”, it is declared that, for the purposes of these regulations, an act is done without lawful authority if it is done — </w:t>
      </w:r>
    </w:p>
    <w:p>
      <w:pPr>
        <w:pStyle w:val="Indenta"/>
        <w:spacing w:before="60"/>
        <w:rPr>
          <w:snapToGrid w:val="0"/>
        </w:rPr>
      </w:pPr>
      <w:r>
        <w:rPr>
          <w:snapToGrid w:val="0"/>
        </w:rPr>
        <w:tab/>
        <w:t>(a)</w:t>
      </w:r>
      <w:r>
        <w:rPr>
          <w:snapToGrid w:val="0"/>
        </w:rPr>
        <w:tab/>
        <w:t>in contravention of any term or condition of a contract, permit, lease, licence, notice or other authority under the Act or these regulations; or</w:t>
      </w:r>
    </w:p>
    <w:p>
      <w:pPr>
        <w:pStyle w:val="Indenta"/>
        <w:spacing w:before="60"/>
        <w:rPr>
          <w:snapToGrid w:val="0"/>
        </w:rPr>
      </w:pPr>
      <w:r>
        <w:rPr>
          <w:snapToGrid w:val="0"/>
        </w:rPr>
        <w:tab/>
        <w:t>(b)</w:t>
      </w:r>
      <w:r>
        <w:rPr>
          <w:snapToGrid w:val="0"/>
        </w:rPr>
        <w:tab/>
        <w:t xml:space="preserve">in contravention of any term or condition of a licence or other authority under the </w:t>
      </w:r>
      <w:r>
        <w:rPr>
          <w:i/>
          <w:snapToGrid w:val="0"/>
        </w:rPr>
        <w:t>Wildlife Conservation Act 1950</w:t>
      </w:r>
      <w:r>
        <w:rPr>
          <w:snapToGrid w:val="0"/>
        </w:rPr>
        <w:t>; or</w:t>
      </w:r>
    </w:p>
    <w:p>
      <w:pPr>
        <w:pStyle w:val="Indenta"/>
        <w:spacing w:before="60"/>
      </w:pPr>
      <w:r>
        <w:tab/>
        <w:t>(c)</w:t>
      </w:r>
      <w:r>
        <w:tab/>
        <w:t xml:space="preserve">in contravention of a direction or authority under the </w:t>
      </w:r>
      <w:r>
        <w:rPr>
          <w:i/>
        </w:rPr>
        <w:t>Biosecurity and Agriculture Management Act 2007</w:t>
      </w:r>
      <w:r>
        <w:t>; or</w:t>
      </w:r>
    </w:p>
    <w:p>
      <w:pPr>
        <w:pStyle w:val="Indenta"/>
        <w:spacing w:before="60"/>
      </w:pPr>
      <w:r>
        <w:rPr>
          <w:snapToGrid w:val="0"/>
        </w:rPr>
        <w:tab/>
        <w:t>(d)</w:t>
      </w:r>
      <w:r>
        <w:rPr>
          <w:snapToGrid w:val="0"/>
        </w:rPr>
        <w:tab/>
      </w:r>
      <w:r>
        <w:t xml:space="preserve">in contravention of a direction or authority under the </w:t>
      </w:r>
      <w:r>
        <w:rPr>
          <w:i/>
        </w:rPr>
        <w:t>Fish Resources Management Act 1994</w:t>
      </w:r>
      <w:r>
        <w:t>; or</w:t>
      </w:r>
    </w:p>
    <w:p>
      <w:pPr>
        <w:pStyle w:val="Indenta"/>
        <w:spacing w:before="60"/>
      </w:pPr>
      <w:r>
        <w:tab/>
        <w:t>(e)</w:t>
      </w:r>
      <w:r>
        <w:tab/>
        <w:t>in contravention of a direction, or the terms and conditions of an authority (however described), under another written law; or</w:t>
      </w:r>
    </w:p>
    <w:p>
      <w:pPr>
        <w:pStyle w:val="Indenta"/>
        <w:keepNext/>
        <w:spacing w:before="60"/>
      </w:pPr>
      <w:r>
        <w:tab/>
        <w:t>(f)</w:t>
      </w:r>
      <w:r>
        <w:tab/>
        <w:t>where the person doing the act has entered the land upon which the act is done without lawful authority.</w:t>
      </w:r>
    </w:p>
    <w:p>
      <w:pPr>
        <w:pStyle w:val="Footnotesection"/>
        <w:spacing w:before="100"/>
      </w:pPr>
      <w:r>
        <w:tab/>
        <w:t>[Regulation 4 amended in Gazette 29 Sep 2006 p. 4305 and 4334; 5 Feb 2013 p. 834; 19 Sep 2014 p. 3330.]</w:t>
      </w:r>
    </w:p>
    <w:p>
      <w:pPr>
        <w:pStyle w:val="Heading5"/>
        <w:rPr>
          <w:snapToGrid w:val="0"/>
        </w:rPr>
      </w:pPr>
      <w:bookmarkStart w:id="15" w:name="_Toc408498775"/>
      <w:bookmarkStart w:id="16" w:name="_Toc417563622"/>
      <w:r>
        <w:rPr>
          <w:rStyle w:val="CharSectno"/>
        </w:rPr>
        <w:t>5</w:t>
      </w:r>
      <w:r>
        <w:rPr>
          <w:snapToGrid w:val="0"/>
        </w:rPr>
        <w:t>.</w:t>
      </w:r>
      <w:r>
        <w:rPr>
          <w:snapToGrid w:val="0"/>
        </w:rPr>
        <w:tab/>
        <w:t>Restricted areas</w:t>
      </w:r>
      <w:bookmarkEnd w:id="15"/>
      <w:bookmarkEnd w:id="16"/>
      <w:r>
        <w:rPr>
          <w:snapToGrid w:val="0"/>
        </w:rPr>
        <w:t xml:space="preserve"> </w:t>
      </w:r>
    </w:p>
    <w:p>
      <w:pPr>
        <w:pStyle w:val="Subsection"/>
        <w:rPr>
          <w:snapToGrid w:val="0"/>
        </w:rPr>
      </w:pPr>
      <w:r>
        <w:rPr>
          <w:snapToGrid w:val="0"/>
        </w:rPr>
        <w:tab/>
        <w:t>(1)</w:t>
      </w:r>
      <w:r>
        <w:rPr>
          <w:snapToGrid w:val="0"/>
        </w:rPr>
        <w:tab/>
        <w:t xml:space="preserve">The </w:t>
      </w:r>
      <w:r>
        <w:t xml:space="preserve">CEO </w:t>
      </w:r>
      <w:r>
        <w:rPr>
          <w:snapToGrid w:val="0"/>
        </w:rPr>
        <w:t xml:space="preserve">may, by notice published in the </w:t>
      </w:r>
      <w:r>
        <w:rPr>
          <w:i/>
          <w:snapToGrid w:val="0"/>
        </w:rPr>
        <w:t>Gazette</w:t>
      </w:r>
      <w:r>
        <w:rPr>
          <w:snapToGrid w:val="0"/>
        </w:rPr>
        <w:t xml:space="preserve"> — </w:t>
      </w:r>
    </w:p>
    <w:p>
      <w:pPr>
        <w:pStyle w:val="Indenta"/>
        <w:rPr>
          <w:snapToGrid w:val="0"/>
        </w:rPr>
      </w:pPr>
      <w:r>
        <w:rPr>
          <w:snapToGrid w:val="0"/>
        </w:rPr>
        <w:tab/>
        <w:t>(a)</w:t>
      </w:r>
      <w:r>
        <w:rPr>
          <w:snapToGrid w:val="0"/>
        </w:rPr>
        <w:tab/>
        <w:t xml:space="preserve">declare an area of CALM land to be a restricted area for the purposes of regulations 9 (fishing), 26 (glass), 28 (cleaning etc. fish), 39 (certain fires), </w:t>
      </w:r>
      <w:r>
        <w:t xml:space="preserve">51 (vehicles), 51A (bicycles), </w:t>
      </w:r>
      <w:r>
        <w:rPr>
          <w:snapToGrid w:val="0"/>
        </w:rPr>
        <w:t>60 (anchoring), 61 (operation of vessels) and 64 (launching etc. of vessels) or any of those regulations; and</w:t>
      </w:r>
    </w:p>
    <w:p>
      <w:pPr>
        <w:pStyle w:val="Indenta"/>
        <w:rPr>
          <w:snapToGrid w:val="0"/>
        </w:rPr>
      </w:pPr>
      <w:r>
        <w:rPr>
          <w:snapToGrid w:val="0"/>
        </w:rPr>
        <w:tab/>
        <w:t>(b)</w:t>
      </w:r>
      <w:r>
        <w:rPr>
          <w:snapToGrid w:val="0"/>
        </w:rPr>
        <w:tab/>
        <w:t>specify which activities are prohibited or restricted in the restricted area, and the nature of the restrictions.</w:t>
      </w:r>
    </w:p>
    <w:p>
      <w:pPr>
        <w:pStyle w:val="Subsection"/>
        <w:rPr>
          <w:snapToGrid w:val="0"/>
        </w:rPr>
      </w:pPr>
      <w:r>
        <w:rPr>
          <w:snapToGrid w:val="0"/>
        </w:rPr>
        <w:tab/>
        <w:t>(2)</w:t>
      </w:r>
      <w:r>
        <w:rPr>
          <w:snapToGrid w:val="0"/>
        </w:rPr>
        <w:tab/>
        <w:t>An area may be declared to be a restricted area at all times or during a period or periods specified in the notice.</w:t>
      </w:r>
    </w:p>
    <w:p>
      <w:pPr>
        <w:pStyle w:val="Subsection"/>
        <w:rPr>
          <w:snapToGrid w:val="0"/>
        </w:rPr>
      </w:pPr>
      <w:r>
        <w:rPr>
          <w:snapToGrid w:val="0"/>
        </w:rPr>
        <w:tab/>
        <w:t>(3)</w:t>
      </w:r>
      <w:r>
        <w:rPr>
          <w:snapToGrid w:val="0"/>
        </w:rPr>
        <w:tab/>
        <w:t xml:space="preserve">Where practicable, sufficient signs are to be erected and maintained by the </w:t>
      </w:r>
      <w:r>
        <w:t xml:space="preserve">CEO </w:t>
      </w:r>
      <w:r>
        <w:rPr>
          <w:snapToGrid w:val="0"/>
        </w:rPr>
        <w:t>in or in the vicinity of a restricted area indicating — </w:t>
      </w:r>
    </w:p>
    <w:p>
      <w:pPr>
        <w:pStyle w:val="Indenta"/>
        <w:rPr>
          <w:snapToGrid w:val="0"/>
        </w:rPr>
      </w:pPr>
      <w:r>
        <w:rPr>
          <w:snapToGrid w:val="0"/>
        </w:rPr>
        <w:tab/>
        <w:t>(a)</w:t>
      </w:r>
      <w:r>
        <w:rPr>
          <w:snapToGrid w:val="0"/>
        </w:rPr>
        <w:tab/>
        <w:t>that the area is a restricted area during the periods specified in the notice; and</w:t>
      </w:r>
    </w:p>
    <w:p>
      <w:pPr>
        <w:pStyle w:val="Indenta"/>
        <w:rPr>
          <w:snapToGrid w:val="0"/>
        </w:rPr>
      </w:pPr>
      <w:r>
        <w:rPr>
          <w:snapToGrid w:val="0"/>
        </w:rPr>
        <w:tab/>
        <w:t>(b)</w:t>
      </w:r>
      <w:r>
        <w:rPr>
          <w:snapToGrid w:val="0"/>
        </w:rPr>
        <w:tab/>
        <w:t>the activities in that area that are prohibited or restricted by reason of the area being a restricted area; and</w:t>
      </w:r>
    </w:p>
    <w:p>
      <w:pPr>
        <w:pStyle w:val="Indenta"/>
        <w:rPr>
          <w:snapToGrid w:val="0"/>
        </w:rPr>
      </w:pPr>
      <w:r>
        <w:rPr>
          <w:snapToGrid w:val="0"/>
        </w:rPr>
        <w:tab/>
        <w:t>(c)</w:t>
      </w:r>
      <w:r>
        <w:rPr>
          <w:snapToGrid w:val="0"/>
        </w:rPr>
        <w:tab/>
        <w:t>if activities in the restricted area are subject to restrictions, the nature of the restrictions.</w:t>
      </w:r>
    </w:p>
    <w:p>
      <w:pPr>
        <w:pStyle w:val="Subsection"/>
        <w:rPr>
          <w:snapToGrid w:val="0"/>
        </w:rPr>
      </w:pPr>
      <w:r>
        <w:rPr>
          <w:snapToGrid w:val="0"/>
        </w:rPr>
        <w:tab/>
        <w:t>(4)</w:t>
      </w:r>
      <w:r>
        <w:rPr>
          <w:snapToGrid w:val="0"/>
        </w:rPr>
        <w:tab/>
        <w:t xml:space="preserve">The </w:t>
      </w:r>
      <w:r>
        <w:t xml:space="preserve">CEO </w:t>
      </w:r>
      <w:r>
        <w:rPr>
          <w:snapToGrid w:val="0"/>
        </w:rPr>
        <w:t xml:space="preserve">may by notice published in the </w:t>
      </w:r>
      <w:r>
        <w:rPr>
          <w:i/>
          <w:snapToGrid w:val="0"/>
        </w:rPr>
        <w:t>Gazette</w:t>
      </w:r>
      <w:r>
        <w:rPr>
          <w:snapToGrid w:val="0"/>
        </w:rPr>
        <w:t xml:space="preserve"> amend or revoke any previous notice published under this regulation.</w:t>
      </w:r>
    </w:p>
    <w:p>
      <w:pPr>
        <w:pStyle w:val="Subsection"/>
        <w:rPr>
          <w:snapToGrid w:val="0"/>
        </w:rPr>
      </w:pPr>
      <w:r>
        <w:rPr>
          <w:snapToGrid w:val="0"/>
        </w:rPr>
        <w:tab/>
        <w:t>(5)</w:t>
      </w:r>
      <w:r>
        <w:rPr>
          <w:snapToGrid w:val="0"/>
        </w:rPr>
        <w:tab/>
        <w:t>A notice published under this regulation takes effect on such day after publication as is specified in the notice.</w:t>
      </w:r>
    </w:p>
    <w:p>
      <w:pPr>
        <w:pStyle w:val="Subsection"/>
        <w:rPr>
          <w:snapToGrid w:val="0"/>
        </w:rPr>
      </w:pPr>
      <w:r>
        <w:rPr>
          <w:snapToGrid w:val="0"/>
        </w:rPr>
        <w:tab/>
        <w:t>(6)</w:t>
      </w:r>
      <w:r>
        <w:rPr>
          <w:snapToGrid w:val="0"/>
        </w:rPr>
        <w:tab/>
        <w:t xml:space="preserve">Unless the contrary intention appears, a reference in a </w:t>
      </w:r>
      <w:r>
        <w:t xml:space="preserve">provision of these regulations </w:t>
      </w:r>
      <w:r>
        <w:rPr>
          <w:snapToGrid w:val="0"/>
        </w:rPr>
        <w:t>to a restricted area is a reference to an area declared to be a restricted area under subregulation (1) for the purposes of that</w:t>
      </w:r>
      <w:r>
        <w:t xml:space="preserve"> provision</w:t>
      </w:r>
      <w:r>
        <w:rPr>
          <w:snapToGrid w:val="0"/>
        </w:rPr>
        <w:t>.</w:t>
      </w:r>
    </w:p>
    <w:p>
      <w:pPr>
        <w:pStyle w:val="Footnotesection"/>
      </w:pPr>
      <w:r>
        <w:tab/>
        <w:t>[Regulation 5 amended in Gazette 29 Sep 2006 p. 4305</w:t>
      </w:r>
      <w:r>
        <w:noBreakHyphen/>
        <w:t>6 and 4334.]</w:t>
      </w:r>
    </w:p>
    <w:p>
      <w:pPr>
        <w:pStyle w:val="Heading5"/>
        <w:rPr>
          <w:snapToGrid w:val="0"/>
        </w:rPr>
      </w:pPr>
      <w:bookmarkStart w:id="17" w:name="_Toc408498776"/>
      <w:bookmarkStart w:id="18" w:name="_Toc417563623"/>
      <w:r>
        <w:rPr>
          <w:rStyle w:val="CharSectno"/>
        </w:rPr>
        <w:t>6</w:t>
      </w:r>
      <w:r>
        <w:rPr>
          <w:snapToGrid w:val="0"/>
        </w:rPr>
        <w:t>.</w:t>
      </w:r>
      <w:r>
        <w:rPr>
          <w:snapToGrid w:val="0"/>
        </w:rPr>
        <w:tab/>
        <w:t>Designated areas</w:t>
      </w:r>
      <w:bookmarkEnd w:id="17"/>
      <w:bookmarkEnd w:id="18"/>
      <w:r>
        <w:rPr>
          <w:snapToGrid w:val="0"/>
        </w:rPr>
        <w:t xml:space="preserve"> </w:t>
      </w:r>
    </w:p>
    <w:p>
      <w:pPr>
        <w:pStyle w:val="Subsection"/>
        <w:rPr>
          <w:snapToGrid w:val="0"/>
        </w:rPr>
      </w:pPr>
      <w:r>
        <w:rPr>
          <w:snapToGrid w:val="0"/>
        </w:rPr>
        <w:tab/>
        <w:t>(1)</w:t>
      </w:r>
      <w:r>
        <w:rPr>
          <w:snapToGrid w:val="0"/>
        </w:rPr>
        <w:tab/>
        <w:t xml:space="preserve">The </w:t>
      </w:r>
      <w:r>
        <w:t xml:space="preserve">CEO </w:t>
      </w:r>
      <w:r>
        <w:rPr>
          <w:snapToGrid w:val="0"/>
        </w:rPr>
        <w:t xml:space="preserve">may, by notice published in the </w:t>
      </w:r>
      <w:r>
        <w:rPr>
          <w:i/>
          <w:snapToGrid w:val="0"/>
        </w:rPr>
        <w:t>Gazette</w:t>
      </w:r>
      <w:r>
        <w:rPr>
          <w:snapToGrid w:val="0"/>
        </w:rPr>
        <w:t xml:space="preserve"> — </w:t>
      </w:r>
    </w:p>
    <w:p>
      <w:pPr>
        <w:pStyle w:val="Indenta"/>
      </w:pPr>
      <w:r>
        <w:tab/>
        <w:t>(a)</w:t>
      </w:r>
      <w:r>
        <w:tab/>
        <w:t>declare an area of CALM land to be a designated area for the purposes of any regulation listed in the Table relating to an activity listed opposite that regulation; and</w:t>
      </w:r>
    </w:p>
    <w:p>
      <w:pPr>
        <w:pStyle w:val="Indenta"/>
        <w:rPr>
          <w:snapToGrid w:val="0"/>
        </w:rPr>
      </w:pPr>
      <w:r>
        <w:rPr>
          <w:snapToGrid w:val="0"/>
        </w:rPr>
        <w:tab/>
        <w:t>(b)</w:t>
      </w:r>
      <w:r>
        <w:rPr>
          <w:snapToGrid w:val="0"/>
        </w:rPr>
        <w:tab/>
      </w:r>
      <w:r>
        <w:t>specify conditions which apply to the use of the designated area for those purposes</w:t>
      </w:r>
      <w:r>
        <w:rPr>
          <w:snapToGrid w:val="0"/>
        </w:rPr>
        <w:t>.</w:t>
      </w:r>
    </w:p>
    <w:p>
      <w:pPr>
        <w:pStyle w:val="THeadingNAm"/>
      </w:pPr>
      <w:r>
        <w:t>Table</w:t>
      </w:r>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984"/>
        <w:gridCol w:w="3686"/>
      </w:tblGrid>
      <w:tr>
        <w:trPr>
          <w:tblHeader/>
        </w:trPr>
        <w:tc>
          <w:tcPr>
            <w:tcW w:w="1984" w:type="dxa"/>
          </w:tcPr>
          <w:p>
            <w:pPr>
              <w:pStyle w:val="TableNAm"/>
            </w:pPr>
            <w:r>
              <w:rPr>
                <w:b/>
                <w:bCs/>
              </w:rPr>
              <w:t>Regulation</w:t>
            </w:r>
          </w:p>
        </w:tc>
        <w:tc>
          <w:tcPr>
            <w:tcW w:w="3686" w:type="dxa"/>
          </w:tcPr>
          <w:p>
            <w:pPr>
              <w:pStyle w:val="TableNAm"/>
            </w:pPr>
            <w:r>
              <w:rPr>
                <w:b/>
                <w:bCs/>
              </w:rPr>
              <w:t>Activity</w:t>
            </w:r>
          </w:p>
        </w:tc>
      </w:tr>
      <w:tr>
        <w:tc>
          <w:tcPr>
            <w:tcW w:w="1984" w:type="dxa"/>
          </w:tcPr>
          <w:p>
            <w:pPr>
              <w:pStyle w:val="TableNAm"/>
            </w:pPr>
            <w:r>
              <w:t>16</w:t>
            </w:r>
          </w:p>
        </w:tc>
        <w:tc>
          <w:tcPr>
            <w:tcW w:w="3686" w:type="dxa"/>
          </w:tcPr>
          <w:p>
            <w:pPr>
              <w:pStyle w:val="TableNAm"/>
            </w:pPr>
            <w:r>
              <w:t>bringing dogs onto land</w:t>
            </w:r>
          </w:p>
        </w:tc>
      </w:tr>
      <w:tr>
        <w:tc>
          <w:tcPr>
            <w:tcW w:w="1984" w:type="dxa"/>
          </w:tcPr>
          <w:p>
            <w:pPr>
              <w:pStyle w:val="TableNAm"/>
            </w:pPr>
            <w:r>
              <w:t>17</w:t>
            </w:r>
          </w:p>
        </w:tc>
        <w:tc>
          <w:tcPr>
            <w:tcW w:w="3686" w:type="dxa"/>
          </w:tcPr>
          <w:p>
            <w:pPr>
              <w:pStyle w:val="TableNAm"/>
            </w:pPr>
            <w:r>
              <w:t>bringing horses onto land</w:t>
            </w:r>
          </w:p>
        </w:tc>
      </w:tr>
      <w:tr>
        <w:tc>
          <w:tcPr>
            <w:tcW w:w="1984" w:type="dxa"/>
          </w:tcPr>
          <w:p>
            <w:pPr>
              <w:pStyle w:val="TableNAm"/>
            </w:pPr>
            <w:r>
              <w:t>21(3)</w:t>
            </w:r>
          </w:p>
        </w:tc>
        <w:tc>
          <w:tcPr>
            <w:tcW w:w="3686" w:type="dxa"/>
          </w:tcPr>
          <w:p>
            <w:pPr>
              <w:pStyle w:val="TableNAm"/>
            </w:pPr>
            <w:r>
              <w:t>discharging sewage from vessels</w:t>
            </w:r>
          </w:p>
        </w:tc>
      </w:tr>
      <w:tr>
        <w:tc>
          <w:tcPr>
            <w:tcW w:w="1984" w:type="dxa"/>
          </w:tcPr>
          <w:p>
            <w:pPr>
              <w:pStyle w:val="TableNAm"/>
            </w:pPr>
            <w:r>
              <w:t>33</w:t>
            </w:r>
          </w:p>
        </w:tc>
        <w:tc>
          <w:tcPr>
            <w:tcW w:w="3686" w:type="dxa"/>
          </w:tcPr>
          <w:p>
            <w:pPr>
              <w:pStyle w:val="TableNAm"/>
            </w:pPr>
            <w:r>
              <w:t>abseiling</w:t>
            </w:r>
          </w:p>
        </w:tc>
      </w:tr>
      <w:tr>
        <w:tc>
          <w:tcPr>
            <w:tcW w:w="1984" w:type="dxa"/>
          </w:tcPr>
          <w:p>
            <w:pPr>
              <w:pStyle w:val="TableNAm"/>
            </w:pPr>
            <w:r>
              <w:t>51</w:t>
            </w:r>
          </w:p>
        </w:tc>
        <w:tc>
          <w:tcPr>
            <w:tcW w:w="3686" w:type="dxa"/>
          </w:tcPr>
          <w:p>
            <w:pPr>
              <w:pStyle w:val="TableNAm"/>
            </w:pPr>
            <w:r>
              <w:t xml:space="preserve">driving or using vehicles </w:t>
            </w:r>
          </w:p>
        </w:tc>
      </w:tr>
      <w:tr>
        <w:tc>
          <w:tcPr>
            <w:tcW w:w="1984" w:type="dxa"/>
          </w:tcPr>
          <w:p>
            <w:pPr>
              <w:pStyle w:val="TableNAm"/>
            </w:pPr>
            <w:r>
              <w:t>51A</w:t>
            </w:r>
          </w:p>
        </w:tc>
        <w:tc>
          <w:tcPr>
            <w:tcW w:w="3686" w:type="dxa"/>
          </w:tcPr>
          <w:p>
            <w:pPr>
              <w:pStyle w:val="TableNAm"/>
            </w:pPr>
            <w:r>
              <w:t>riding bicycles</w:t>
            </w:r>
          </w:p>
        </w:tc>
      </w:tr>
      <w:tr>
        <w:tc>
          <w:tcPr>
            <w:tcW w:w="1984" w:type="dxa"/>
          </w:tcPr>
          <w:p>
            <w:pPr>
              <w:pStyle w:val="TableNAm"/>
            </w:pPr>
            <w:r>
              <w:t>60B</w:t>
            </w:r>
          </w:p>
        </w:tc>
        <w:tc>
          <w:tcPr>
            <w:tcW w:w="3686" w:type="dxa"/>
          </w:tcPr>
          <w:p>
            <w:pPr>
              <w:pStyle w:val="TableNAm"/>
            </w:pPr>
            <w:r>
              <w:t>mooring vessels</w:t>
            </w:r>
          </w:p>
        </w:tc>
      </w:tr>
      <w:tr>
        <w:tc>
          <w:tcPr>
            <w:tcW w:w="1984" w:type="dxa"/>
          </w:tcPr>
          <w:p>
            <w:pPr>
              <w:pStyle w:val="TableNAm"/>
            </w:pPr>
            <w:r>
              <w:t>61A</w:t>
            </w:r>
          </w:p>
        </w:tc>
        <w:tc>
          <w:tcPr>
            <w:tcW w:w="3686" w:type="dxa"/>
          </w:tcPr>
          <w:p>
            <w:pPr>
              <w:pStyle w:val="TableNAm"/>
            </w:pPr>
            <w:r>
              <w:t>operating vessels in nature reserves</w:t>
            </w:r>
          </w:p>
        </w:tc>
      </w:tr>
      <w:tr>
        <w:tc>
          <w:tcPr>
            <w:tcW w:w="1984" w:type="dxa"/>
          </w:tcPr>
          <w:p>
            <w:pPr>
              <w:pStyle w:val="TableNAm"/>
            </w:pPr>
            <w:r>
              <w:t>66</w:t>
            </w:r>
          </w:p>
        </w:tc>
        <w:tc>
          <w:tcPr>
            <w:tcW w:w="3686" w:type="dxa"/>
          </w:tcPr>
          <w:p>
            <w:pPr>
              <w:pStyle w:val="TableNAm"/>
            </w:pPr>
            <w:r>
              <w:t>camping</w:t>
            </w:r>
          </w:p>
        </w:tc>
      </w:tr>
    </w:tbl>
    <w:p>
      <w:pPr>
        <w:pStyle w:val="Subsection"/>
        <w:rPr>
          <w:snapToGrid w:val="0"/>
        </w:rPr>
      </w:pPr>
      <w:r>
        <w:rPr>
          <w:snapToGrid w:val="0"/>
        </w:rPr>
        <w:tab/>
        <w:t>(2)</w:t>
      </w:r>
      <w:r>
        <w:rPr>
          <w:snapToGrid w:val="0"/>
        </w:rPr>
        <w:tab/>
        <w:t>An area may be declared to be a designated area at all times or during a period or periods specified in the notice.</w:t>
      </w:r>
    </w:p>
    <w:p>
      <w:pPr>
        <w:pStyle w:val="Subsection"/>
        <w:rPr>
          <w:snapToGrid w:val="0"/>
        </w:rPr>
      </w:pPr>
      <w:r>
        <w:rPr>
          <w:snapToGrid w:val="0"/>
        </w:rPr>
        <w:tab/>
        <w:t>(3)</w:t>
      </w:r>
      <w:r>
        <w:rPr>
          <w:snapToGrid w:val="0"/>
        </w:rPr>
        <w:tab/>
        <w:t xml:space="preserve">Where practicable, sufficient signs are to be erected and maintained by the </w:t>
      </w:r>
      <w:r>
        <w:t>CEO</w:t>
      </w:r>
      <w:r>
        <w:rPr>
          <w:snapToGrid w:val="0"/>
        </w:rPr>
        <w:t xml:space="preserve"> in or in the vicinity of a designated area indicating — </w:t>
      </w:r>
    </w:p>
    <w:p>
      <w:pPr>
        <w:pStyle w:val="Indenta"/>
        <w:rPr>
          <w:snapToGrid w:val="0"/>
        </w:rPr>
      </w:pPr>
      <w:r>
        <w:rPr>
          <w:snapToGrid w:val="0"/>
        </w:rPr>
        <w:tab/>
        <w:t>(a)</w:t>
      </w:r>
      <w:r>
        <w:rPr>
          <w:snapToGrid w:val="0"/>
        </w:rPr>
        <w:tab/>
        <w:t>that the area is a designated area during the periods specified in the notice; and</w:t>
      </w:r>
    </w:p>
    <w:p>
      <w:pPr>
        <w:pStyle w:val="Indenta"/>
        <w:rPr>
          <w:snapToGrid w:val="0"/>
        </w:rPr>
      </w:pPr>
      <w:r>
        <w:rPr>
          <w:snapToGrid w:val="0"/>
        </w:rPr>
        <w:tab/>
        <w:t>(b)</w:t>
      </w:r>
      <w:r>
        <w:rPr>
          <w:snapToGrid w:val="0"/>
        </w:rPr>
        <w:tab/>
        <w:t>the activities in that area that are permitted by reason of the area being a designated area; and</w:t>
      </w:r>
    </w:p>
    <w:p>
      <w:pPr>
        <w:pStyle w:val="Indenta"/>
        <w:rPr>
          <w:b/>
          <w:i/>
          <w:snapToGrid w:val="0"/>
        </w:rPr>
      </w:pPr>
      <w:r>
        <w:rPr>
          <w:snapToGrid w:val="0"/>
        </w:rPr>
        <w:tab/>
        <w:t>(c)</w:t>
      </w:r>
      <w:r>
        <w:rPr>
          <w:snapToGrid w:val="0"/>
        </w:rPr>
        <w:tab/>
        <w:t>if activities are subject to conditions, the nature of the conditions.</w:t>
      </w:r>
    </w:p>
    <w:p>
      <w:pPr>
        <w:pStyle w:val="Subsection"/>
        <w:rPr>
          <w:snapToGrid w:val="0"/>
        </w:rPr>
      </w:pPr>
      <w:r>
        <w:rPr>
          <w:snapToGrid w:val="0"/>
        </w:rPr>
        <w:tab/>
        <w:t>(4)</w:t>
      </w:r>
      <w:r>
        <w:rPr>
          <w:snapToGrid w:val="0"/>
        </w:rPr>
        <w:tab/>
        <w:t xml:space="preserve">The </w:t>
      </w:r>
      <w:r>
        <w:t xml:space="preserve">CEO </w:t>
      </w:r>
      <w:r>
        <w:rPr>
          <w:snapToGrid w:val="0"/>
        </w:rPr>
        <w:t xml:space="preserve">may by notice published in the </w:t>
      </w:r>
      <w:r>
        <w:rPr>
          <w:i/>
          <w:snapToGrid w:val="0"/>
        </w:rPr>
        <w:t>Gazette</w:t>
      </w:r>
      <w:r>
        <w:rPr>
          <w:snapToGrid w:val="0"/>
        </w:rPr>
        <w:t xml:space="preserve"> amend or revoke any previous notice published under this regulation.</w:t>
      </w:r>
    </w:p>
    <w:p>
      <w:pPr>
        <w:pStyle w:val="Subsection"/>
        <w:rPr>
          <w:snapToGrid w:val="0"/>
        </w:rPr>
      </w:pPr>
      <w:r>
        <w:rPr>
          <w:snapToGrid w:val="0"/>
        </w:rPr>
        <w:tab/>
        <w:t>(5)</w:t>
      </w:r>
      <w:r>
        <w:rPr>
          <w:snapToGrid w:val="0"/>
        </w:rPr>
        <w:tab/>
        <w:t>A notice published under this regulation takes effect on such day after publication as is specified in the notice.</w:t>
      </w:r>
    </w:p>
    <w:p>
      <w:pPr>
        <w:pStyle w:val="Subsection"/>
        <w:rPr>
          <w:snapToGrid w:val="0"/>
        </w:rPr>
      </w:pPr>
      <w:r>
        <w:rPr>
          <w:snapToGrid w:val="0"/>
        </w:rPr>
        <w:tab/>
        <w:t>(6)</w:t>
      </w:r>
      <w:r>
        <w:rPr>
          <w:snapToGrid w:val="0"/>
        </w:rPr>
        <w:tab/>
        <w:t xml:space="preserve">A reference in a </w:t>
      </w:r>
      <w:r>
        <w:t xml:space="preserve">provision of these regulations </w:t>
      </w:r>
      <w:r>
        <w:rPr>
          <w:snapToGrid w:val="0"/>
        </w:rPr>
        <w:t>to a designated area is a reference to an area declared to be a designated area under subregulation (1) for the purposes of that</w:t>
      </w:r>
      <w:r>
        <w:t xml:space="preserve"> provision</w:t>
      </w:r>
      <w:r>
        <w:rPr>
          <w:snapToGrid w:val="0"/>
        </w:rPr>
        <w:t>.</w:t>
      </w:r>
    </w:p>
    <w:p>
      <w:pPr>
        <w:pStyle w:val="Footnotesection"/>
      </w:pPr>
      <w:r>
        <w:tab/>
        <w:t>[Regulation 6 amended in Gazette 29 Sep 2006 p. 4306 and 4334; 24 Mar 2015 p. 1034.]</w:t>
      </w:r>
    </w:p>
    <w:p>
      <w:pPr>
        <w:pStyle w:val="Heading2"/>
      </w:pPr>
      <w:bookmarkStart w:id="19" w:name="_Toc408498777"/>
      <w:bookmarkStart w:id="20" w:name="_Toc414889199"/>
      <w:bookmarkStart w:id="21" w:name="_Toc414975142"/>
      <w:bookmarkStart w:id="22" w:name="_Toc417563624"/>
      <w:r>
        <w:rPr>
          <w:rStyle w:val="CharPartNo"/>
        </w:rPr>
        <w:t>Part 2</w:t>
      </w:r>
      <w:r>
        <w:t xml:space="preserve"> — </w:t>
      </w:r>
      <w:r>
        <w:rPr>
          <w:rStyle w:val="CharPartText"/>
        </w:rPr>
        <w:t>Protection of the environment</w:t>
      </w:r>
      <w:bookmarkEnd w:id="19"/>
      <w:bookmarkEnd w:id="20"/>
      <w:bookmarkEnd w:id="21"/>
      <w:bookmarkEnd w:id="22"/>
    </w:p>
    <w:p>
      <w:pPr>
        <w:pStyle w:val="Heading3"/>
        <w:spacing w:before="220"/>
      </w:pPr>
      <w:bookmarkStart w:id="23" w:name="_Toc408498778"/>
      <w:bookmarkStart w:id="24" w:name="_Toc414889200"/>
      <w:bookmarkStart w:id="25" w:name="_Toc414975143"/>
      <w:bookmarkStart w:id="26" w:name="_Toc417563625"/>
      <w:r>
        <w:rPr>
          <w:rStyle w:val="CharDivNo"/>
        </w:rPr>
        <w:t>Division 1</w:t>
      </w:r>
      <w:r>
        <w:t xml:space="preserve"> — </w:t>
      </w:r>
      <w:r>
        <w:rPr>
          <w:rStyle w:val="CharDivText"/>
        </w:rPr>
        <w:t>Protection of flora and fauna</w:t>
      </w:r>
      <w:bookmarkEnd w:id="23"/>
      <w:bookmarkEnd w:id="24"/>
      <w:bookmarkEnd w:id="25"/>
      <w:bookmarkEnd w:id="26"/>
    </w:p>
    <w:p>
      <w:pPr>
        <w:pStyle w:val="Heading5"/>
      </w:pPr>
      <w:bookmarkStart w:id="27" w:name="_Toc408498779"/>
      <w:bookmarkStart w:id="28" w:name="_Toc417563626"/>
      <w:r>
        <w:rPr>
          <w:rStyle w:val="CharSectno"/>
        </w:rPr>
        <w:t>7</w:t>
      </w:r>
      <w:r>
        <w:t>.</w:t>
      </w:r>
      <w:r>
        <w:tab/>
        <w:t>Limitation on restriction</w:t>
      </w:r>
      <w:bookmarkEnd w:id="27"/>
      <w:bookmarkEnd w:id="28"/>
    </w:p>
    <w:p>
      <w:pPr>
        <w:pStyle w:val="Subsection"/>
      </w:pPr>
      <w:r>
        <w:tab/>
      </w:r>
      <w:r>
        <w:tab/>
        <w:t xml:space="preserve">Nothing in these regulations imposes any restriction on the taking, in a marine park or marine management area — </w:t>
      </w:r>
    </w:p>
    <w:p>
      <w:pPr>
        <w:pStyle w:val="Indenta"/>
        <w:spacing w:before="60"/>
      </w:pPr>
      <w:r>
        <w:tab/>
        <w:t>(a)</w:t>
      </w:r>
      <w:r>
        <w:tab/>
        <w:t xml:space="preserve">of fish within the meaning of the </w:t>
      </w:r>
      <w:r>
        <w:rPr>
          <w:i/>
        </w:rPr>
        <w:t>Fish Resources Management Act 1994</w:t>
      </w:r>
      <w:r>
        <w:t>, in accordance with the provisions of that Act relating to aquaculture or commercial or recreational fishing; or</w:t>
      </w:r>
    </w:p>
    <w:p>
      <w:pPr>
        <w:pStyle w:val="Indenta"/>
        <w:spacing w:before="60"/>
      </w:pPr>
      <w:r>
        <w:tab/>
        <w:t>(b)</w:t>
      </w:r>
      <w:r>
        <w:tab/>
        <w:t xml:space="preserve">of pearl oyster within the meaning of the </w:t>
      </w:r>
      <w:r>
        <w:rPr>
          <w:i/>
        </w:rPr>
        <w:t>Pearling Act 1990</w:t>
      </w:r>
      <w:r>
        <w:t>, in accordance with that Act,</w:t>
      </w:r>
    </w:p>
    <w:p>
      <w:pPr>
        <w:pStyle w:val="Subsection"/>
        <w:spacing w:before="120"/>
      </w:pPr>
      <w:r>
        <w:tab/>
      </w:r>
      <w:r>
        <w:tab/>
        <w:t>except to the extent that the restriction relates to conduct or activity other than the taking of fish but that incidentally affects the taking of fish.</w:t>
      </w:r>
    </w:p>
    <w:p>
      <w:pPr>
        <w:pStyle w:val="Heading5"/>
        <w:rPr>
          <w:snapToGrid w:val="0"/>
        </w:rPr>
      </w:pPr>
      <w:bookmarkStart w:id="29" w:name="_Toc408498780"/>
      <w:bookmarkStart w:id="30" w:name="_Toc417563627"/>
      <w:r>
        <w:rPr>
          <w:rStyle w:val="CharSectno"/>
        </w:rPr>
        <w:t>8</w:t>
      </w:r>
      <w:r>
        <w:rPr>
          <w:snapToGrid w:val="0"/>
        </w:rPr>
        <w:t>.</w:t>
      </w:r>
      <w:r>
        <w:rPr>
          <w:snapToGrid w:val="0"/>
        </w:rPr>
        <w:tab/>
        <w:t>Unlawful taking of flora and fauna other than fish</w:t>
      </w:r>
      <w:bookmarkEnd w:id="29"/>
      <w:bookmarkEnd w:id="30"/>
    </w:p>
    <w:p>
      <w:pPr>
        <w:pStyle w:val="Subsection"/>
        <w:spacing w:before="150"/>
        <w:rPr>
          <w:snapToGrid w:val="0"/>
        </w:rPr>
      </w:pPr>
      <w:r>
        <w:rPr>
          <w:snapToGrid w:val="0"/>
        </w:rPr>
        <w:tab/>
        <w:t>(1)</w:t>
      </w:r>
      <w:r>
        <w:rPr>
          <w:snapToGrid w:val="0"/>
        </w:rPr>
        <w:tab/>
        <w:t>Without limiting section 106(b), a person must not, without lawful authority, take any flora or fauna on CALM land.</w:t>
      </w:r>
    </w:p>
    <w:p>
      <w:pPr>
        <w:pStyle w:val="Penstart"/>
        <w:rPr>
          <w:snapToGrid w:val="0"/>
        </w:rPr>
      </w:pPr>
      <w:r>
        <w:rPr>
          <w:snapToGrid w:val="0"/>
        </w:rPr>
        <w:tab/>
        <w:t xml:space="preserve">Penalty: </w:t>
      </w:r>
      <w:r>
        <w:t>a fine of</w:t>
      </w:r>
      <w:r>
        <w:rPr>
          <w:snapToGrid w:val="0"/>
        </w:rPr>
        <w:t xml:space="preserve"> $2 000.</w:t>
      </w:r>
    </w:p>
    <w:p>
      <w:pPr>
        <w:pStyle w:val="Subsection"/>
        <w:spacing w:before="150"/>
        <w:rPr>
          <w:snapToGrid w:val="0"/>
        </w:rPr>
      </w:pPr>
      <w:r>
        <w:rPr>
          <w:snapToGrid w:val="0"/>
        </w:rPr>
        <w:tab/>
        <w:t>(2)</w:t>
      </w:r>
      <w:r>
        <w:rPr>
          <w:snapToGrid w:val="0"/>
        </w:rPr>
        <w:tab/>
        <w:t>Section 101C of the Act applies to the taking of flora or fauna in a marine reserve.</w:t>
      </w:r>
    </w:p>
    <w:p>
      <w:pPr>
        <w:pStyle w:val="Subsection"/>
        <w:spacing w:before="150"/>
        <w:rPr>
          <w:snapToGrid w:val="0"/>
        </w:rPr>
      </w:pPr>
      <w:r>
        <w:rPr>
          <w:snapToGrid w:val="0"/>
        </w:rPr>
        <w:tab/>
        <w:t>(3)</w:t>
      </w:r>
      <w:r>
        <w:rPr>
          <w:snapToGrid w:val="0"/>
        </w:rPr>
        <w:tab/>
        <w:t>In subregulation (1) — </w:t>
      </w:r>
    </w:p>
    <w:p>
      <w:pPr>
        <w:pStyle w:val="Defstart"/>
      </w:pPr>
      <w:r>
        <w:tab/>
      </w:r>
      <w:r>
        <w:rPr>
          <w:rStyle w:val="CharDefText"/>
        </w:rPr>
        <w:t>CALM land</w:t>
      </w:r>
      <w:r>
        <w:rPr>
          <w:b/>
        </w:rPr>
        <w:t xml:space="preserve"> </w:t>
      </w:r>
      <w:r>
        <w:t>does not include a marine reserve;</w:t>
      </w:r>
    </w:p>
    <w:p>
      <w:pPr>
        <w:pStyle w:val="Defstart"/>
      </w:pPr>
      <w:r>
        <w:tab/>
      </w:r>
      <w:r>
        <w:rPr>
          <w:rStyle w:val="CharDefText"/>
        </w:rPr>
        <w:t>fauna</w:t>
      </w:r>
      <w:r>
        <w:rPr>
          <w:b/>
        </w:rPr>
        <w:t xml:space="preserve"> </w:t>
      </w:r>
      <w:r>
        <w:t>does not include fish.</w:t>
      </w:r>
    </w:p>
    <w:p>
      <w:pPr>
        <w:pStyle w:val="Footnotesection"/>
        <w:spacing w:before="100"/>
      </w:pPr>
      <w:r>
        <w:tab/>
        <w:t>[Regulation 8 amended in Gazette 3 Dec 2010 p. 6052.]</w:t>
      </w:r>
    </w:p>
    <w:p>
      <w:pPr>
        <w:pStyle w:val="Heading5"/>
        <w:rPr>
          <w:snapToGrid w:val="0"/>
        </w:rPr>
      </w:pPr>
      <w:bookmarkStart w:id="31" w:name="_Toc408498781"/>
      <w:bookmarkStart w:id="32" w:name="_Toc417563628"/>
      <w:r>
        <w:rPr>
          <w:rStyle w:val="CharSectno"/>
        </w:rPr>
        <w:t>9</w:t>
      </w:r>
      <w:r>
        <w:rPr>
          <w:snapToGrid w:val="0"/>
        </w:rPr>
        <w:t>.</w:t>
      </w:r>
      <w:r>
        <w:rPr>
          <w:snapToGrid w:val="0"/>
        </w:rPr>
        <w:tab/>
        <w:t>Fishing in restricted areas</w:t>
      </w:r>
      <w:bookmarkEnd w:id="31"/>
      <w:bookmarkEnd w:id="32"/>
    </w:p>
    <w:p>
      <w:pPr>
        <w:pStyle w:val="Subsection"/>
        <w:spacing w:before="150"/>
        <w:rPr>
          <w:snapToGrid w:val="0"/>
        </w:rPr>
      </w:pPr>
      <w:r>
        <w:rPr>
          <w:snapToGrid w:val="0"/>
        </w:rPr>
        <w:tab/>
        <w:t>(1)</w:t>
      </w:r>
      <w:r>
        <w:rPr>
          <w:snapToGrid w:val="0"/>
        </w:rPr>
        <w:tab/>
        <w:t>A person must not, without lawful authority, in a restricted area — </w:t>
      </w:r>
    </w:p>
    <w:p>
      <w:pPr>
        <w:pStyle w:val="Indenta"/>
        <w:spacing w:before="60"/>
        <w:rPr>
          <w:snapToGrid w:val="0"/>
        </w:rPr>
      </w:pPr>
      <w:r>
        <w:rPr>
          <w:snapToGrid w:val="0"/>
        </w:rPr>
        <w:tab/>
        <w:t>(a)</w:t>
      </w:r>
      <w:r>
        <w:rPr>
          <w:snapToGrid w:val="0"/>
        </w:rPr>
        <w:tab/>
        <w:t>engage in a fishing activity prohibited in that area under regulation 5; or</w:t>
      </w:r>
    </w:p>
    <w:p>
      <w:pPr>
        <w:pStyle w:val="Indenta"/>
        <w:rPr>
          <w:snapToGrid w:val="0"/>
        </w:rPr>
      </w:pPr>
      <w:r>
        <w:rPr>
          <w:snapToGrid w:val="0"/>
        </w:rPr>
        <w:tab/>
        <w:t>(b)</w:t>
      </w:r>
      <w:r>
        <w:rPr>
          <w:snapToGrid w:val="0"/>
        </w:rPr>
        <w:tab/>
        <w:t>contravene a restriction imposed on a fishing activity in that area under regulation 5.</w:t>
      </w:r>
    </w:p>
    <w:p>
      <w:pPr>
        <w:pStyle w:val="Penstart"/>
        <w:spacing w:before="70"/>
        <w:rPr>
          <w:snapToGrid w:val="0"/>
        </w:rPr>
      </w:pPr>
      <w:r>
        <w:rPr>
          <w:snapToGrid w:val="0"/>
        </w:rPr>
        <w:tab/>
        <w:t xml:space="preserve">Penalty: </w:t>
      </w:r>
      <w:r>
        <w:t>a fine of</w:t>
      </w:r>
      <w:r>
        <w:rPr>
          <w:snapToGrid w:val="0"/>
        </w:rPr>
        <w:t xml:space="preserve"> $1 000.</w:t>
      </w:r>
    </w:p>
    <w:p>
      <w:pPr>
        <w:pStyle w:val="Subsection"/>
        <w:spacing w:before="140"/>
        <w:rPr>
          <w:snapToGrid w:val="0"/>
        </w:rPr>
      </w:pPr>
      <w:r>
        <w:rPr>
          <w:snapToGrid w:val="0"/>
        </w:rPr>
        <w:tab/>
        <w:t>(2)</w:t>
      </w:r>
      <w:r>
        <w:rPr>
          <w:snapToGrid w:val="0"/>
        </w:rPr>
        <w:tab/>
        <w:t>In this regulation — </w:t>
      </w:r>
    </w:p>
    <w:p>
      <w:pPr>
        <w:pStyle w:val="Defstart"/>
      </w:pPr>
      <w:r>
        <w:tab/>
      </w:r>
      <w:r>
        <w:rPr>
          <w:rStyle w:val="CharDefText"/>
        </w:rPr>
        <w:t>fishing activity</w:t>
      </w:r>
      <w:r>
        <w:rPr>
          <w:b/>
        </w:rPr>
        <w:t xml:space="preserve"> </w:t>
      </w:r>
      <w:r>
        <w:t xml:space="preserve">has the same meaning as in the </w:t>
      </w:r>
      <w:r>
        <w:rPr>
          <w:i/>
        </w:rPr>
        <w:t>Fish Resources Management Act 1994</w:t>
      </w:r>
      <w:r>
        <w:t>.</w:t>
      </w:r>
    </w:p>
    <w:p>
      <w:pPr>
        <w:pStyle w:val="Footnotesection"/>
        <w:spacing w:before="100"/>
      </w:pPr>
      <w:r>
        <w:tab/>
        <w:t>[Regulation 9 amended in Gazette 3 Dec 2010 p. 6052.]</w:t>
      </w:r>
    </w:p>
    <w:p>
      <w:pPr>
        <w:pStyle w:val="Heading5"/>
        <w:spacing w:before="200"/>
        <w:rPr>
          <w:snapToGrid w:val="0"/>
        </w:rPr>
      </w:pPr>
      <w:bookmarkStart w:id="33" w:name="_Toc408498782"/>
      <w:bookmarkStart w:id="34" w:name="_Toc417563629"/>
      <w:r>
        <w:rPr>
          <w:rStyle w:val="CharSectno"/>
        </w:rPr>
        <w:t>10</w:t>
      </w:r>
      <w:r>
        <w:rPr>
          <w:snapToGrid w:val="0"/>
        </w:rPr>
        <w:t>.</w:t>
      </w:r>
      <w:r>
        <w:rPr>
          <w:snapToGrid w:val="0"/>
        </w:rPr>
        <w:tab/>
        <w:t>Feeding of fauna</w:t>
      </w:r>
      <w:bookmarkEnd w:id="33"/>
      <w:bookmarkEnd w:id="34"/>
      <w:r>
        <w:rPr>
          <w:snapToGrid w:val="0"/>
        </w:rPr>
        <w:t xml:space="preserve"> </w:t>
      </w:r>
    </w:p>
    <w:p>
      <w:pPr>
        <w:pStyle w:val="Subsection"/>
        <w:spacing w:before="140"/>
        <w:rPr>
          <w:snapToGrid w:val="0"/>
        </w:rPr>
      </w:pPr>
      <w:r>
        <w:rPr>
          <w:snapToGrid w:val="0"/>
        </w:rPr>
        <w:tab/>
      </w:r>
      <w:r>
        <w:rPr>
          <w:snapToGrid w:val="0"/>
        </w:rPr>
        <w:tab/>
        <w:t>A person must not, without lawful authority, feed fauna, or entice fauna with food, on CALM land.</w:t>
      </w:r>
    </w:p>
    <w:p>
      <w:pPr>
        <w:pStyle w:val="Penstart"/>
        <w:spacing w:before="70"/>
        <w:rPr>
          <w:snapToGrid w:val="0"/>
        </w:rPr>
      </w:pPr>
      <w:r>
        <w:rPr>
          <w:snapToGrid w:val="0"/>
        </w:rPr>
        <w:tab/>
        <w:t xml:space="preserve">Penalty: </w:t>
      </w:r>
      <w:r>
        <w:t>a fine of</w:t>
      </w:r>
      <w:r>
        <w:rPr>
          <w:snapToGrid w:val="0"/>
        </w:rPr>
        <w:t xml:space="preserve"> </w:t>
      </w:r>
      <w:r>
        <w:t>$1 000</w:t>
      </w:r>
      <w:r>
        <w:rPr>
          <w:snapToGrid w:val="0"/>
        </w:rPr>
        <w:t>.</w:t>
      </w:r>
    </w:p>
    <w:p>
      <w:pPr>
        <w:pStyle w:val="Footnotesection"/>
        <w:spacing w:before="100"/>
      </w:pPr>
      <w:r>
        <w:tab/>
        <w:t>[Regulation 10 amended in Gazette 3 Dec 2010 p. 6052; 19 Sep 2014 p. 3335.]</w:t>
      </w:r>
    </w:p>
    <w:p>
      <w:pPr>
        <w:pStyle w:val="Heading5"/>
        <w:spacing w:before="200"/>
        <w:rPr>
          <w:snapToGrid w:val="0"/>
        </w:rPr>
      </w:pPr>
      <w:bookmarkStart w:id="35" w:name="_Toc408498783"/>
      <w:bookmarkStart w:id="36" w:name="_Toc417563630"/>
      <w:r>
        <w:rPr>
          <w:rStyle w:val="CharSectno"/>
        </w:rPr>
        <w:t>11</w:t>
      </w:r>
      <w:r>
        <w:rPr>
          <w:snapToGrid w:val="0"/>
        </w:rPr>
        <w:t>.</w:t>
      </w:r>
      <w:r>
        <w:rPr>
          <w:snapToGrid w:val="0"/>
        </w:rPr>
        <w:tab/>
        <w:t>Restrictions on approaching certain marine fauna</w:t>
      </w:r>
      <w:bookmarkEnd w:id="35"/>
      <w:bookmarkEnd w:id="36"/>
      <w:r>
        <w:rPr>
          <w:snapToGrid w:val="0"/>
        </w:rPr>
        <w:t xml:space="preserve"> </w:t>
      </w:r>
    </w:p>
    <w:p>
      <w:pPr>
        <w:pStyle w:val="Subsection"/>
        <w:spacing w:before="140"/>
        <w:rPr>
          <w:snapToGrid w:val="0"/>
        </w:rPr>
      </w:pPr>
      <w:r>
        <w:rPr>
          <w:snapToGrid w:val="0"/>
        </w:rPr>
        <w:tab/>
        <w:t>(1)</w:t>
      </w:r>
      <w:r>
        <w:rPr>
          <w:snapToGrid w:val="0"/>
        </w:rPr>
        <w:tab/>
        <w:t>A person in a vessel or aircraft must not, without lawful authority, herd, chase, interfere with the movement of, or otherwise prevent the free movement of, a whale, dolphin, dugong, seal, sea lion, whale shark, manta ray, marine turtle or any other marine fauna in a marine reserve.</w:t>
      </w:r>
    </w:p>
    <w:p>
      <w:pPr>
        <w:pStyle w:val="Penstart"/>
        <w:spacing w:before="70"/>
        <w:rPr>
          <w:snapToGrid w:val="0"/>
        </w:rPr>
      </w:pPr>
      <w:r>
        <w:rPr>
          <w:snapToGrid w:val="0"/>
        </w:rPr>
        <w:tab/>
        <w:t xml:space="preserve">Penalty: </w:t>
      </w:r>
      <w:r>
        <w:t>a fine of</w:t>
      </w:r>
      <w:r>
        <w:rPr>
          <w:snapToGrid w:val="0"/>
        </w:rPr>
        <w:t xml:space="preserve"> $2 000.</w:t>
      </w:r>
    </w:p>
    <w:p>
      <w:pPr>
        <w:pStyle w:val="Subsection"/>
        <w:spacing w:before="140"/>
        <w:rPr>
          <w:snapToGrid w:val="0"/>
        </w:rPr>
      </w:pPr>
      <w:r>
        <w:rPr>
          <w:snapToGrid w:val="0"/>
        </w:rPr>
        <w:tab/>
        <w:t>(2)</w:t>
      </w:r>
      <w:r>
        <w:rPr>
          <w:snapToGrid w:val="0"/>
        </w:rPr>
        <w:tab/>
        <w:t>A person does not contravene subregulation (1) if the person is in a vessel that is underway and fauna are riding in or on the bow wave of the vessel.</w:t>
      </w:r>
    </w:p>
    <w:p>
      <w:pPr>
        <w:pStyle w:val="Footnotesection"/>
        <w:spacing w:before="100"/>
      </w:pPr>
      <w:r>
        <w:tab/>
        <w:t>[Regulation 11 amended in Gazette 3 Dec 2010 p. 6052.]</w:t>
      </w:r>
    </w:p>
    <w:p>
      <w:pPr>
        <w:pStyle w:val="Heading5"/>
        <w:spacing w:before="200"/>
        <w:rPr>
          <w:snapToGrid w:val="0"/>
        </w:rPr>
      </w:pPr>
      <w:bookmarkStart w:id="37" w:name="_Toc408498784"/>
      <w:bookmarkStart w:id="38" w:name="_Toc417563631"/>
      <w:r>
        <w:rPr>
          <w:rStyle w:val="CharSectno"/>
        </w:rPr>
        <w:t>12</w:t>
      </w:r>
      <w:r>
        <w:rPr>
          <w:snapToGrid w:val="0"/>
        </w:rPr>
        <w:t>.</w:t>
      </w:r>
      <w:r>
        <w:rPr>
          <w:snapToGrid w:val="0"/>
        </w:rPr>
        <w:tab/>
        <w:t>Possession or use of firearms, spears, restricted devices etc.</w:t>
      </w:r>
      <w:bookmarkEnd w:id="37"/>
      <w:bookmarkEnd w:id="38"/>
    </w:p>
    <w:p>
      <w:pPr>
        <w:pStyle w:val="Subsection"/>
        <w:spacing w:before="140"/>
        <w:rPr>
          <w:snapToGrid w:val="0"/>
        </w:rPr>
      </w:pPr>
      <w:r>
        <w:rPr>
          <w:snapToGrid w:val="0"/>
        </w:rPr>
        <w:tab/>
        <w:t>(1)</w:t>
      </w:r>
      <w:r>
        <w:rPr>
          <w:snapToGrid w:val="0"/>
        </w:rPr>
        <w:tab/>
        <w:t xml:space="preserve">A person must not, without lawful authority, have in his or her possession on CALM land a firearm or ammunition unless that thing — </w:t>
      </w:r>
    </w:p>
    <w:p>
      <w:pPr>
        <w:pStyle w:val="Indenta"/>
        <w:spacing w:before="60"/>
        <w:rPr>
          <w:snapToGrid w:val="0"/>
        </w:rPr>
      </w:pPr>
      <w:r>
        <w:rPr>
          <w:snapToGrid w:val="0"/>
        </w:rPr>
        <w:tab/>
        <w:t>(a)</w:t>
      </w:r>
      <w:r>
        <w:rPr>
          <w:snapToGrid w:val="0"/>
        </w:rPr>
        <w:tab/>
        <w:t>is completely stowed within a vehicle or vessel; and</w:t>
      </w:r>
    </w:p>
    <w:p>
      <w:pPr>
        <w:pStyle w:val="Indenta"/>
        <w:keepNext/>
        <w:spacing w:before="60"/>
        <w:rPr>
          <w:snapToGrid w:val="0"/>
        </w:rPr>
      </w:pPr>
      <w:r>
        <w:rPr>
          <w:snapToGrid w:val="0"/>
        </w:rPr>
        <w:tab/>
        <w:t>(b)</w:t>
      </w:r>
      <w:r>
        <w:rPr>
          <w:snapToGrid w:val="0"/>
        </w:rPr>
        <w:tab/>
      </w:r>
      <w:r>
        <w:t>in the case of a firearm, is unloaded and disassembled</w:t>
      </w:r>
      <w:r>
        <w:rPr>
          <w:snapToGrid w:val="0"/>
        </w:rPr>
        <w:t>.</w:t>
      </w:r>
    </w:p>
    <w:p>
      <w:pPr>
        <w:pStyle w:val="Penstart"/>
        <w:rPr>
          <w:snapToGrid w:val="0"/>
        </w:rPr>
      </w:pPr>
      <w:r>
        <w:rPr>
          <w:snapToGrid w:val="0"/>
        </w:rPr>
        <w:tab/>
        <w:t xml:space="preserve">Penalty: </w:t>
      </w:r>
      <w:r>
        <w:t>a fine of</w:t>
      </w:r>
      <w:r>
        <w:rPr>
          <w:snapToGrid w:val="0"/>
        </w:rPr>
        <w:t xml:space="preserve"> </w:t>
      </w:r>
      <w:r>
        <w:t>$2 000</w:t>
      </w:r>
      <w:r>
        <w:rPr>
          <w:snapToGrid w:val="0"/>
        </w:rPr>
        <w:t>.</w:t>
      </w:r>
    </w:p>
    <w:p>
      <w:pPr>
        <w:pStyle w:val="Subsection"/>
        <w:keepNext/>
        <w:rPr>
          <w:snapToGrid w:val="0"/>
        </w:rPr>
      </w:pPr>
      <w:r>
        <w:rPr>
          <w:snapToGrid w:val="0"/>
        </w:rPr>
        <w:tab/>
        <w:t>(2)</w:t>
      </w:r>
      <w:r>
        <w:rPr>
          <w:snapToGrid w:val="0"/>
        </w:rPr>
        <w:tab/>
        <w:t xml:space="preserve">A person must not, without lawful authority, have a spear, speargun, gidgie or Hawaiian sling in his or her possession in — </w:t>
      </w:r>
    </w:p>
    <w:p>
      <w:pPr>
        <w:pStyle w:val="Indenta"/>
        <w:rPr>
          <w:snapToGrid w:val="0"/>
        </w:rPr>
      </w:pPr>
      <w:r>
        <w:rPr>
          <w:snapToGrid w:val="0"/>
        </w:rPr>
        <w:tab/>
        <w:t>(a)</w:t>
      </w:r>
      <w:r>
        <w:rPr>
          <w:snapToGrid w:val="0"/>
        </w:rPr>
        <w:tab/>
        <w:t xml:space="preserve">a restricted area declared for the purposes of regulation 9; or </w:t>
      </w:r>
    </w:p>
    <w:p>
      <w:pPr>
        <w:pStyle w:val="Indenta"/>
        <w:rPr>
          <w:snapToGrid w:val="0"/>
        </w:rPr>
      </w:pPr>
      <w:r>
        <w:rPr>
          <w:snapToGrid w:val="0"/>
        </w:rPr>
        <w:tab/>
        <w:t>(b)</w:t>
      </w:r>
      <w:r>
        <w:rPr>
          <w:snapToGrid w:val="0"/>
        </w:rPr>
        <w:tab/>
        <w:t>an area classified under section 62(1a) of the Act as a sanctuary area,</w:t>
      </w:r>
    </w:p>
    <w:p>
      <w:pPr>
        <w:pStyle w:val="Subsection"/>
        <w:spacing w:before="120"/>
        <w:rPr>
          <w:snapToGrid w:val="0"/>
        </w:rPr>
      </w:pPr>
      <w:r>
        <w:rPr>
          <w:snapToGrid w:val="0"/>
        </w:rPr>
        <w:tab/>
      </w:r>
      <w:r>
        <w:rPr>
          <w:snapToGrid w:val="0"/>
        </w:rPr>
        <w:tab/>
        <w:t>unless that thing is completely stowed within a vehicle or vessel and, if it is practicable to do so, is unloaded and disassembled.</w:t>
      </w:r>
    </w:p>
    <w:p>
      <w:pPr>
        <w:pStyle w:val="Penstart"/>
        <w:rPr>
          <w:snapToGrid w:val="0"/>
        </w:rPr>
      </w:pPr>
      <w:r>
        <w:rPr>
          <w:snapToGrid w:val="0"/>
        </w:rPr>
        <w:tab/>
        <w:t xml:space="preserve">Penalty: </w:t>
      </w:r>
      <w:r>
        <w:t>a fine of</w:t>
      </w:r>
      <w:r>
        <w:rPr>
          <w:snapToGrid w:val="0"/>
        </w:rPr>
        <w:t xml:space="preserve"> </w:t>
      </w:r>
      <w:r>
        <w:t>$2 000</w:t>
      </w:r>
      <w:r>
        <w:rPr>
          <w:snapToGrid w:val="0"/>
        </w:rPr>
        <w:t>.</w:t>
      </w:r>
    </w:p>
    <w:p>
      <w:pPr>
        <w:pStyle w:val="Subsection"/>
        <w:rPr>
          <w:snapToGrid w:val="0"/>
        </w:rPr>
      </w:pPr>
      <w:r>
        <w:rPr>
          <w:snapToGrid w:val="0"/>
        </w:rPr>
        <w:tab/>
        <w:t>(3)</w:t>
      </w:r>
      <w:r>
        <w:rPr>
          <w:snapToGrid w:val="0"/>
        </w:rPr>
        <w:tab/>
        <w:t xml:space="preserve">A person must not, without lawful authority, have in his or her possession on CALM land any restricted device that is intended to be used for the taking of fauna or that constitutes a danger to the public. </w:t>
      </w:r>
    </w:p>
    <w:p>
      <w:pPr>
        <w:pStyle w:val="Penstart"/>
        <w:rPr>
          <w:snapToGrid w:val="0"/>
        </w:rPr>
      </w:pPr>
      <w:r>
        <w:rPr>
          <w:snapToGrid w:val="0"/>
        </w:rPr>
        <w:tab/>
        <w:t xml:space="preserve">Penalty: </w:t>
      </w:r>
      <w:r>
        <w:t>a fine of</w:t>
      </w:r>
      <w:r>
        <w:rPr>
          <w:snapToGrid w:val="0"/>
        </w:rPr>
        <w:t xml:space="preserve"> </w:t>
      </w:r>
      <w:r>
        <w:t>$2 000</w:t>
      </w:r>
      <w:r>
        <w:rPr>
          <w:snapToGrid w:val="0"/>
        </w:rPr>
        <w:t>.</w:t>
      </w:r>
    </w:p>
    <w:p>
      <w:pPr>
        <w:pStyle w:val="Subsection"/>
      </w:pPr>
      <w:r>
        <w:tab/>
        <w:t>(3a)</w:t>
      </w:r>
      <w:r>
        <w:tab/>
        <w:t xml:space="preserve">A person must not, without lawful authority — </w:t>
      </w:r>
    </w:p>
    <w:p>
      <w:pPr>
        <w:pStyle w:val="Indenta"/>
      </w:pPr>
      <w:r>
        <w:tab/>
        <w:t>(a)</w:t>
      </w:r>
      <w:r>
        <w:tab/>
        <w:t>discharge a firearm on CALM land; or</w:t>
      </w:r>
    </w:p>
    <w:p>
      <w:pPr>
        <w:pStyle w:val="Indenta"/>
      </w:pPr>
      <w:r>
        <w:tab/>
        <w:t>(b)</w:t>
      </w:r>
      <w:r>
        <w:tab/>
        <w:t xml:space="preserve">use a spear, speargun, gidgie or Hawaiian sling in — </w:t>
      </w:r>
    </w:p>
    <w:p>
      <w:pPr>
        <w:pStyle w:val="Indenti"/>
      </w:pPr>
      <w:r>
        <w:tab/>
        <w:t>(i)</w:t>
      </w:r>
      <w:r>
        <w:tab/>
        <w:t>a restricted area declared for the purposes of regulation 9; or</w:t>
      </w:r>
    </w:p>
    <w:p>
      <w:pPr>
        <w:pStyle w:val="Indenti"/>
      </w:pPr>
      <w:r>
        <w:tab/>
        <w:t>(ii)</w:t>
      </w:r>
      <w:r>
        <w:tab/>
        <w:t>an area classified under section 62(1a) of the Act as a sanctuary area;</w:t>
      </w:r>
    </w:p>
    <w:p>
      <w:pPr>
        <w:pStyle w:val="Indenta"/>
      </w:pPr>
      <w:r>
        <w:tab/>
      </w:r>
      <w:r>
        <w:tab/>
        <w:t>or</w:t>
      </w:r>
    </w:p>
    <w:p>
      <w:pPr>
        <w:pStyle w:val="Indenta"/>
      </w:pPr>
      <w:r>
        <w:tab/>
        <w:t>(c)</w:t>
      </w:r>
      <w:r>
        <w:tab/>
        <w:t>use a restricted device on CALM land for taking fauna or in a manner that constitutes a danger to the public.</w:t>
      </w:r>
    </w:p>
    <w:p>
      <w:pPr>
        <w:pStyle w:val="Penstart"/>
      </w:pPr>
      <w:r>
        <w:tab/>
        <w:t>Penalty: a fine of $2 000.</w:t>
      </w:r>
    </w:p>
    <w:p>
      <w:pPr>
        <w:pStyle w:val="Subsection"/>
      </w:pPr>
      <w:r>
        <w:rPr>
          <w:snapToGrid w:val="0"/>
        </w:rPr>
        <w:tab/>
        <w:t>(4)</w:t>
      </w:r>
      <w:r>
        <w:rPr>
          <w:snapToGrid w:val="0"/>
        </w:rPr>
        <w:tab/>
      </w:r>
      <w:r>
        <w:t>Nothing in this regulation prohibits a person from having or using a thing in his or her possession on CALM land where that person has lawful authority to take fauna using that thing.</w:t>
      </w:r>
    </w:p>
    <w:p>
      <w:pPr>
        <w:pStyle w:val="Subsection"/>
        <w:rPr>
          <w:snapToGrid w:val="0"/>
        </w:rPr>
      </w:pPr>
      <w:r>
        <w:rPr>
          <w:snapToGrid w:val="0"/>
        </w:rPr>
        <w:tab/>
        <w:t>(5)</w:t>
      </w:r>
      <w:r>
        <w:rPr>
          <w:snapToGrid w:val="0"/>
        </w:rPr>
        <w:tab/>
        <w:t xml:space="preserve">In this regulation — </w:t>
      </w:r>
    </w:p>
    <w:p>
      <w:pPr>
        <w:pStyle w:val="Defstart"/>
      </w:pPr>
      <w:r>
        <w:tab/>
      </w:r>
      <w:r>
        <w:rPr>
          <w:rStyle w:val="CharDefText"/>
        </w:rPr>
        <w:t>restricted device</w:t>
      </w:r>
      <w:r>
        <w:t xml:space="preserve"> means — </w:t>
      </w:r>
    </w:p>
    <w:p>
      <w:pPr>
        <w:pStyle w:val="Defpara"/>
      </w:pPr>
      <w:r>
        <w:tab/>
        <w:t>(a)</w:t>
      </w:r>
      <w:r>
        <w:tab/>
        <w:t>a bow or cross</w:t>
      </w:r>
      <w:r>
        <w:noBreakHyphen/>
        <w:t>bow; or</w:t>
      </w:r>
    </w:p>
    <w:p>
      <w:pPr>
        <w:pStyle w:val="Defpara"/>
        <w:spacing w:before="60"/>
      </w:pPr>
      <w:r>
        <w:tab/>
        <w:t>(b)</w:t>
      </w:r>
      <w:r>
        <w:tab/>
        <w:t>an explosive, poisonous, noxious or narcotising substance; or</w:t>
      </w:r>
    </w:p>
    <w:p>
      <w:pPr>
        <w:pStyle w:val="Defpara"/>
        <w:spacing w:before="60"/>
      </w:pPr>
      <w:r>
        <w:tab/>
        <w:t>(c)</w:t>
      </w:r>
      <w:r>
        <w:tab/>
        <w:t>a snare, trap or net; or</w:t>
      </w:r>
    </w:p>
    <w:p>
      <w:pPr>
        <w:pStyle w:val="Defpara"/>
        <w:spacing w:before="60"/>
      </w:pPr>
      <w:r>
        <w:tab/>
        <w:t>(d)</w:t>
      </w:r>
      <w:r>
        <w:tab/>
        <w:t>any other equipment, implement, device, apparatus or other thing that is used, capable of being used, or designed or adapted for use for, or in connection with, taking fauna, and is not referred to in subregulation (1) or (2).</w:t>
      </w:r>
    </w:p>
    <w:p>
      <w:pPr>
        <w:pStyle w:val="Footnotesection"/>
        <w:spacing w:before="80"/>
      </w:pPr>
      <w:r>
        <w:tab/>
        <w:t>[Regulation 12 amended in Gazette 29 Sep 2006 p. 4306</w:t>
      </w:r>
      <w:r>
        <w:noBreakHyphen/>
        <w:t>7; 27 Feb 2007 p. 625; 3 Dec 2010 p. 6052; 19 Sep 2014 p. 3335.]</w:t>
      </w:r>
    </w:p>
    <w:p>
      <w:pPr>
        <w:pStyle w:val="Heading5"/>
        <w:spacing w:before="200"/>
        <w:rPr>
          <w:snapToGrid w:val="0"/>
        </w:rPr>
      </w:pPr>
      <w:bookmarkStart w:id="39" w:name="_Toc408498785"/>
      <w:bookmarkStart w:id="40" w:name="_Toc417563632"/>
      <w:r>
        <w:rPr>
          <w:rStyle w:val="CharSectno"/>
        </w:rPr>
        <w:t>13</w:t>
      </w:r>
      <w:r>
        <w:rPr>
          <w:snapToGrid w:val="0"/>
        </w:rPr>
        <w:t>.</w:t>
      </w:r>
      <w:r>
        <w:rPr>
          <w:snapToGrid w:val="0"/>
        </w:rPr>
        <w:tab/>
        <w:t>Cultivation etc. prohibited</w:t>
      </w:r>
      <w:bookmarkEnd w:id="39"/>
      <w:bookmarkEnd w:id="40"/>
      <w:r>
        <w:rPr>
          <w:snapToGrid w:val="0"/>
        </w:rPr>
        <w:t xml:space="preserve"> </w:t>
      </w:r>
    </w:p>
    <w:p>
      <w:pPr>
        <w:pStyle w:val="Subsection"/>
        <w:spacing w:before="120"/>
        <w:rPr>
          <w:snapToGrid w:val="0"/>
        </w:rPr>
      </w:pPr>
      <w:r>
        <w:rPr>
          <w:snapToGrid w:val="0"/>
        </w:rPr>
        <w:tab/>
        <w:t>(1)</w:t>
      </w:r>
      <w:r>
        <w:rPr>
          <w:snapToGrid w:val="0"/>
        </w:rPr>
        <w:tab/>
        <w:t>A person must not, without lawful authority, plant, cultivate or abandon any plant on CALM land.</w:t>
      </w:r>
    </w:p>
    <w:p>
      <w:pPr>
        <w:pStyle w:val="Penstart"/>
        <w:spacing w:before="70"/>
        <w:rPr>
          <w:snapToGrid w:val="0"/>
        </w:rPr>
      </w:pPr>
      <w:r>
        <w:rPr>
          <w:snapToGrid w:val="0"/>
        </w:rPr>
        <w:tab/>
        <w:t xml:space="preserve">Penalty: </w:t>
      </w:r>
      <w:r>
        <w:t>a fine of</w:t>
      </w:r>
      <w:r>
        <w:rPr>
          <w:snapToGrid w:val="0"/>
        </w:rPr>
        <w:t xml:space="preserve"> </w:t>
      </w:r>
      <w:r>
        <w:t>$2 000</w:t>
      </w:r>
      <w:r>
        <w:rPr>
          <w:snapToGrid w:val="0"/>
        </w:rPr>
        <w:t>.</w:t>
      </w:r>
    </w:p>
    <w:p>
      <w:pPr>
        <w:pStyle w:val="Subsection"/>
        <w:spacing w:before="140"/>
        <w:rPr>
          <w:snapToGrid w:val="0"/>
        </w:rPr>
      </w:pPr>
      <w:r>
        <w:rPr>
          <w:snapToGrid w:val="0"/>
        </w:rPr>
        <w:tab/>
        <w:t>(2)</w:t>
      </w:r>
      <w:r>
        <w:rPr>
          <w:snapToGrid w:val="0"/>
        </w:rPr>
        <w:tab/>
        <w:t xml:space="preserve">In subregulation (1) </w:t>
      </w:r>
      <w:r>
        <w:rPr>
          <w:rStyle w:val="CharDefText"/>
        </w:rPr>
        <w:t>plant</w:t>
      </w:r>
      <w:r>
        <w:rPr>
          <w:snapToGrid w:val="0"/>
        </w:rPr>
        <w:t xml:space="preserve"> includes any part of a plant.</w:t>
      </w:r>
    </w:p>
    <w:p>
      <w:pPr>
        <w:pStyle w:val="Footnotesection"/>
        <w:spacing w:before="80"/>
      </w:pPr>
      <w:r>
        <w:tab/>
        <w:t>[Regulation 13 amended in Gazette 3 Dec 2010 p. 6052; 19 Sep 2014 p. 3335.]</w:t>
      </w:r>
    </w:p>
    <w:p>
      <w:pPr>
        <w:pStyle w:val="Heading5"/>
        <w:spacing w:before="200"/>
        <w:rPr>
          <w:snapToGrid w:val="0"/>
        </w:rPr>
      </w:pPr>
      <w:bookmarkStart w:id="41" w:name="_Toc408498786"/>
      <w:bookmarkStart w:id="42" w:name="_Toc417563633"/>
      <w:r>
        <w:rPr>
          <w:rStyle w:val="CharSectno"/>
        </w:rPr>
        <w:t>14</w:t>
      </w:r>
      <w:r>
        <w:rPr>
          <w:snapToGrid w:val="0"/>
        </w:rPr>
        <w:t>.</w:t>
      </w:r>
      <w:r>
        <w:rPr>
          <w:snapToGrid w:val="0"/>
        </w:rPr>
        <w:tab/>
        <w:t>Removal of plants</w:t>
      </w:r>
      <w:bookmarkEnd w:id="41"/>
      <w:bookmarkEnd w:id="42"/>
      <w:r>
        <w:rPr>
          <w:snapToGrid w:val="0"/>
        </w:rPr>
        <w:t xml:space="preserve"> </w:t>
      </w:r>
    </w:p>
    <w:p>
      <w:pPr>
        <w:pStyle w:val="Subsection"/>
        <w:spacing w:before="120"/>
        <w:rPr>
          <w:snapToGrid w:val="0"/>
        </w:rPr>
      </w:pPr>
      <w:r>
        <w:rPr>
          <w:snapToGrid w:val="0"/>
        </w:rPr>
        <w:tab/>
        <w:t>(1)</w:t>
      </w:r>
      <w:r>
        <w:rPr>
          <w:snapToGrid w:val="0"/>
        </w:rPr>
        <w:tab/>
        <w:t>An authorised officer who finds a person contravening regulation 13 may direct that person then and there to remove the plant the subject of the offence, and any equipment likely to be used in the cultivation of the plant, from the land.</w:t>
      </w:r>
    </w:p>
    <w:p>
      <w:pPr>
        <w:pStyle w:val="Subsection"/>
        <w:spacing w:before="120"/>
        <w:rPr>
          <w:snapToGrid w:val="0"/>
        </w:rPr>
      </w:pPr>
      <w:r>
        <w:rPr>
          <w:snapToGrid w:val="0"/>
        </w:rPr>
        <w:tab/>
        <w:t>(2)</w:t>
      </w:r>
      <w:r>
        <w:rPr>
          <w:snapToGrid w:val="0"/>
        </w:rPr>
        <w:tab/>
        <w:t>A person must comply with a direction under subregulation (1).</w:t>
      </w:r>
    </w:p>
    <w:p>
      <w:pPr>
        <w:pStyle w:val="Penstart"/>
        <w:spacing w:before="70"/>
        <w:rPr>
          <w:snapToGrid w:val="0"/>
        </w:rPr>
      </w:pPr>
      <w:r>
        <w:rPr>
          <w:snapToGrid w:val="0"/>
        </w:rPr>
        <w:tab/>
        <w:t xml:space="preserve">Penalty: </w:t>
      </w:r>
      <w:r>
        <w:t>a fine of</w:t>
      </w:r>
      <w:r>
        <w:rPr>
          <w:snapToGrid w:val="0"/>
        </w:rPr>
        <w:t xml:space="preserve"> $2 000.</w:t>
      </w:r>
    </w:p>
    <w:p>
      <w:pPr>
        <w:pStyle w:val="Footnotesection"/>
        <w:spacing w:before="80"/>
      </w:pPr>
      <w:r>
        <w:tab/>
        <w:t>[Regulation 14 amended in Gazette 3 Dec 2010 p. 6052.]</w:t>
      </w:r>
    </w:p>
    <w:p>
      <w:pPr>
        <w:pStyle w:val="Heading3"/>
        <w:keepLines/>
        <w:spacing w:before="220"/>
      </w:pPr>
      <w:bookmarkStart w:id="43" w:name="_Toc408498787"/>
      <w:bookmarkStart w:id="44" w:name="_Toc414889209"/>
      <w:bookmarkStart w:id="45" w:name="_Toc414975152"/>
      <w:bookmarkStart w:id="46" w:name="_Toc417563634"/>
      <w:r>
        <w:rPr>
          <w:rStyle w:val="CharDivNo"/>
        </w:rPr>
        <w:t>Division 2</w:t>
      </w:r>
      <w:r>
        <w:rPr>
          <w:snapToGrid w:val="0"/>
        </w:rPr>
        <w:t xml:space="preserve"> — </w:t>
      </w:r>
      <w:r>
        <w:rPr>
          <w:rStyle w:val="CharDivText"/>
        </w:rPr>
        <w:t>Animals on CALM land</w:t>
      </w:r>
      <w:bookmarkEnd w:id="43"/>
      <w:bookmarkEnd w:id="44"/>
      <w:bookmarkEnd w:id="45"/>
      <w:bookmarkEnd w:id="46"/>
    </w:p>
    <w:p>
      <w:pPr>
        <w:pStyle w:val="Footnoteheading"/>
        <w:keepNext/>
        <w:keepLines/>
        <w:spacing w:before="80"/>
      </w:pPr>
      <w:r>
        <w:tab/>
        <w:t>[Heading amended in Gazette 29 Sep 2006 p. 4307.]</w:t>
      </w:r>
    </w:p>
    <w:p>
      <w:pPr>
        <w:pStyle w:val="Heading5"/>
        <w:keepNext w:val="0"/>
        <w:spacing w:before="190"/>
        <w:rPr>
          <w:snapToGrid w:val="0"/>
        </w:rPr>
      </w:pPr>
      <w:bookmarkStart w:id="47" w:name="_Toc408498788"/>
      <w:bookmarkStart w:id="48" w:name="_Toc417563635"/>
      <w:r>
        <w:rPr>
          <w:rStyle w:val="CharSectno"/>
        </w:rPr>
        <w:t>15</w:t>
      </w:r>
      <w:r>
        <w:rPr>
          <w:snapToGrid w:val="0"/>
        </w:rPr>
        <w:t>.</w:t>
      </w:r>
      <w:r>
        <w:rPr>
          <w:snapToGrid w:val="0"/>
        </w:rPr>
        <w:tab/>
        <w:t>Bringing animal on to CALM land</w:t>
      </w:r>
      <w:bookmarkEnd w:id="47"/>
      <w:bookmarkEnd w:id="48"/>
      <w:r>
        <w:rPr>
          <w:snapToGrid w:val="0"/>
        </w:rPr>
        <w:t xml:space="preserve"> </w:t>
      </w:r>
    </w:p>
    <w:p>
      <w:pPr>
        <w:pStyle w:val="Subsection"/>
        <w:spacing w:before="120"/>
        <w:rPr>
          <w:snapToGrid w:val="0"/>
        </w:rPr>
      </w:pPr>
      <w:r>
        <w:rPr>
          <w:snapToGrid w:val="0"/>
        </w:rPr>
        <w:tab/>
      </w:r>
      <w:r>
        <w:rPr>
          <w:snapToGrid w:val="0"/>
        </w:rPr>
        <w:tab/>
        <w:t>Without limiting section 106(a), and subject to regulations 16 and 17, a person must not, without lawful authority — </w:t>
      </w:r>
    </w:p>
    <w:p>
      <w:pPr>
        <w:pStyle w:val="Indenta"/>
        <w:spacing w:before="60"/>
        <w:rPr>
          <w:snapToGrid w:val="0"/>
        </w:rPr>
      </w:pPr>
      <w:r>
        <w:rPr>
          <w:snapToGrid w:val="0"/>
        </w:rPr>
        <w:tab/>
        <w:t>(a)</w:t>
      </w:r>
      <w:r>
        <w:rPr>
          <w:snapToGrid w:val="0"/>
        </w:rPr>
        <w:tab/>
        <w:t>bring an animal on to CALM land; or</w:t>
      </w:r>
    </w:p>
    <w:p>
      <w:pPr>
        <w:pStyle w:val="Indenta"/>
        <w:keepNext/>
        <w:rPr>
          <w:snapToGrid w:val="0"/>
        </w:rPr>
      </w:pPr>
      <w:r>
        <w:rPr>
          <w:snapToGrid w:val="0"/>
        </w:rPr>
        <w:tab/>
        <w:t>(b)</w:t>
      </w:r>
      <w:r>
        <w:rPr>
          <w:snapToGrid w:val="0"/>
        </w:rPr>
        <w:tab/>
        <w:t>allow an animal to enter or remain on CALM land.</w:t>
      </w:r>
    </w:p>
    <w:p>
      <w:pPr>
        <w:pStyle w:val="Penstart"/>
        <w:spacing w:before="60"/>
        <w:rPr>
          <w:snapToGrid w:val="0"/>
        </w:rPr>
      </w:pPr>
      <w:r>
        <w:rPr>
          <w:snapToGrid w:val="0"/>
        </w:rPr>
        <w:tab/>
        <w:t xml:space="preserve">Penalty: </w:t>
      </w:r>
      <w:r>
        <w:t>a fine of</w:t>
      </w:r>
      <w:r>
        <w:rPr>
          <w:snapToGrid w:val="0"/>
        </w:rPr>
        <w:t xml:space="preserve"> </w:t>
      </w:r>
      <w:r>
        <w:t>$2 000</w:t>
      </w:r>
      <w:r>
        <w:rPr>
          <w:snapToGrid w:val="0"/>
        </w:rPr>
        <w:t>.</w:t>
      </w:r>
    </w:p>
    <w:p>
      <w:pPr>
        <w:pStyle w:val="Footnotesection"/>
        <w:spacing w:before="80"/>
      </w:pPr>
      <w:r>
        <w:tab/>
        <w:t>[Regulation 15 amended in Gazette 3 Dec 2010 p. 6052; 19 Sep 2014 p. 3335.]</w:t>
      </w:r>
    </w:p>
    <w:p>
      <w:pPr>
        <w:pStyle w:val="Heading5"/>
        <w:spacing w:before="180"/>
        <w:rPr>
          <w:snapToGrid w:val="0"/>
        </w:rPr>
      </w:pPr>
      <w:bookmarkStart w:id="49" w:name="_Toc408498789"/>
      <w:bookmarkStart w:id="50" w:name="_Toc417563636"/>
      <w:r>
        <w:rPr>
          <w:rStyle w:val="CharSectno"/>
        </w:rPr>
        <w:t>16</w:t>
      </w:r>
      <w:r>
        <w:rPr>
          <w:snapToGrid w:val="0"/>
        </w:rPr>
        <w:t>.</w:t>
      </w:r>
      <w:r>
        <w:rPr>
          <w:snapToGrid w:val="0"/>
        </w:rPr>
        <w:tab/>
        <w:t>Dogs on CALM land</w:t>
      </w:r>
      <w:bookmarkEnd w:id="49"/>
      <w:bookmarkEnd w:id="50"/>
      <w:r>
        <w:rPr>
          <w:snapToGrid w:val="0"/>
        </w:rPr>
        <w:t xml:space="preserve"> </w:t>
      </w:r>
    </w:p>
    <w:p>
      <w:pPr>
        <w:pStyle w:val="Subsection"/>
        <w:spacing w:before="110"/>
        <w:rPr>
          <w:snapToGrid w:val="0"/>
        </w:rPr>
      </w:pPr>
      <w:r>
        <w:rPr>
          <w:snapToGrid w:val="0"/>
        </w:rPr>
        <w:tab/>
        <w:t>(1)</w:t>
      </w:r>
      <w:r>
        <w:rPr>
          <w:snapToGrid w:val="0"/>
        </w:rPr>
        <w:tab/>
        <w:t>A person may bring a dog on to a dog area.</w:t>
      </w:r>
    </w:p>
    <w:p>
      <w:pPr>
        <w:pStyle w:val="Subsection"/>
        <w:spacing w:before="110"/>
      </w:pPr>
      <w:r>
        <w:tab/>
        <w:t>(2)</w:t>
      </w:r>
      <w:r>
        <w:tab/>
        <w:t>A person must control and manage a dog in a dog area in accordance with conditions specified on signs erected in or in the vicinity of that area for the purposes of regulation 6(3) or signs designating that area as a dog area.</w:t>
      </w:r>
    </w:p>
    <w:p>
      <w:pPr>
        <w:pStyle w:val="Penstart"/>
        <w:spacing w:before="60"/>
      </w:pPr>
      <w:r>
        <w:tab/>
        <w:t>Penalty: a fine of $2 000.</w:t>
      </w:r>
    </w:p>
    <w:p>
      <w:pPr>
        <w:pStyle w:val="Footnotesection"/>
        <w:spacing w:before="80"/>
      </w:pPr>
      <w:r>
        <w:tab/>
        <w:t>[Regulation 16 amended in Gazette 3 Dec 2010 p. 6046; 19 Sep 2014 p. 3335.]</w:t>
      </w:r>
    </w:p>
    <w:p>
      <w:pPr>
        <w:pStyle w:val="Heading5"/>
        <w:spacing w:before="180"/>
        <w:rPr>
          <w:snapToGrid w:val="0"/>
        </w:rPr>
      </w:pPr>
      <w:bookmarkStart w:id="51" w:name="_Toc408498790"/>
      <w:bookmarkStart w:id="52" w:name="_Toc417563637"/>
      <w:r>
        <w:rPr>
          <w:rStyle w:val="CharSectno"/>
        </w:rPr>
        <w:t>17</w:t>
      </w:r>
      <w:r>
        <w:rPr>
          <w:snapToGrid w:val="0"/>
        </w:rPr>
        <w:t>.</w:t>
      </w:r>
      <w:r>
        <w:rPr>
          <w:snapToGrid w:val="0"/>
        </w:rPr>
        <w:tab/>
        <w:t>Horses on CALM land</w:t>
      </w:r>
      <w:bookmarkEnd w:id="51"/>
      <w:bookmarkEnd w:id="52"/>
      <w:r>
        <w:rPr>
          <w:snapToGrid w:val="0"/>
        </w:rPr>
        <w:t xml:space="preserve"> </w:t>
      </w:r>
    </w:p>
    <w:p>
      <w:pPr>
        <w:pStyle w:val="Subsection"/>
        <w:spacing w:before="110"/>
        <w:rPr>
          <w:snapToGrid w:val="0"/>
        </w:rPr>
      </w:pPr>
      <w:r>
        <w:rPr>
          <w:snapToGrid w:val="0"/>
        </w:rPr>
        <w:tab/>
        <w:t>(1)</w:t>
      </w:r>
      <w:r>
        <w:rPr>
          <w:snapToGrid w:val="0"/>
        </w:rPr>
        <w:tab/>
        <w:t>A person may bring a horse on to a horse area.</w:t>
      </w:r>
    </w:p>
    <w:p>
      <w:pPr>
        <w:pStyle w:val="Subsection"/>
        <w:spacing w:before="110"/>
      </w:pPr>
      <w:r>
        <w:tab/>
        <w:t>(2)</w:t>
      </w:r>
      <w:r>
        <w:tab/>
        <w:t>A person must control and manage a horse in a horse area in accordance with conditions specified on signs erected in or in the vicinity of that area for the purposes of regulation 6(3) or signs designating that area as a horse area.</w:t>
      </w:r>
    </w:p>
    <w:p>
      <w:pPr>
        <w:pStyle w:val="Penstart"/>
        <w:spacing w:before="70"/>
      </w:pPr>
      <w:r>
        <w:tab/>
        <w:t>Penalty: a fine of $2 000.</w:t>
      </w:r>
    </w:p>
    <w:p>
      <w:pPr>
        <w:pStyle w:val="Footnotesection"/>
        <w:spacing w:before="80"/>
      </w:pPr>
      <w:r>
        <w:tab/>
        <w:t>[Regulation 17 amended in Gazette 3 Dec 2010 p. 6046; 19 Sep 2014 p. 3335.]</w:t>
      </w:r>
    </w:p>
    <w:p>
      <w:pPr>
        <w:pStyle w:val="Heading5"/>
        <w:spacing w:before="180"/>
        <w:rPr>
          <w:snapToGrid w:val="0"/>
        </w:rPr>
      </w:pPr>
      <w:bookmarkStart w:id="53" w:name="_Toc408498791"/>
      <w:bookmarkStart w:id="54" w:name="_Toc417563638"/>
      <w:r>
        <w:rPr>
          <w:rStyle w:val="CharSectno"/>
        </w:rPr>
        <w:t>18</w:t>
      </w:r>
      <w:r>
        <w:rPr>
          <w:snapToGrid w:val="0"/>
        </w:rPr>
        <w:t>.</w:t>
      </w:r>
      <w:r>
        <w:rPr>
          <w:snapToGrid w:val="0"/>
        </w:rPr>
        <w:tab/>
        <w:t>Unlawful taking of non</w:t>
      </w:r>
      <w:r>
        <w:rPr>
          <w:snapToGrid w:val="0"/>
        </w:rPr>
        <w:noBreakHyphen/>
        <w:t>indigenous animals</w:t>
      </w:r>
      <w:bookmarkEnd w:id="53"/>
      <w:bookmarkEnd w:id="54"/>
      <w:r>
        <w:rPr>
          <w:snapToGrid w:val="0"/>
        </w:rPr>
        <w:t xml:space="preserve"> </w:t>
      </w:r>
    </w:p>
    <w:p>
      <w:pPr>
        <w:pStyle w:val="Subsection"/>
        <w:spacing w:before="110"/>
        <w:rPr>
          <w:snapToGrid w:val="0"/>
        </w:rPr>
      </w:pPr>
      <w:r>
        <w:rPr>
          <w:snapToGrid w:val="0"/>
        </w:rPr>
        <w:tab/>
      </w:r>
      <w:r>
        <w:rPr>
          <w:snapToGrid w:val="0"/>
        </w:rPr>
        <w:tab/>
        <w:t>A person must not, without lawful authority, take any non</w:t>
      </w:r>
      <w:r>
        <w:rPr>
          <w:snapToGrid w:val="0"/>
        </w:rPr>
        <w:noBreakHyphen/>
        <w:t>indigenous animal on CALM land.</w:t>
      </w:r>
    </w:p>
    <w:p>
      <w:pPr>
        <w:pStyle w:val="Penstart"/>
        <w:spacing w:before="60"/>
        <w:rPr>
          <w:snapToGrid w:val="0"/>
        </w:rPr>
      </w:pPr>
      <w:r>
        <w:rPr>
          <w:snapToGrid w:val="0"/>
        </w:rPr>
        <w:tab/>
        <w:t xml:space="preserve">Penalty: </w:t>
      </w:r>
      <w:r>
        <w:t>a fine of</w:t>
      </w:r>
      <w:r>
        <w:rPr>
          <w:snapToGrid w:val="0"/>
        </w:rPr>
        <w:t xml:space="preserve"> </w:t>
      </w:r>
      <w:r>
        <w:t>$2 000</w:t>
      </w:r>
      <w:r>
        <w:rPr>
          <w:snapToGrid w:val="0"/>
        </w:rPr>
        <w:t>.</w:t>
      </w:r>
    </w:p>
    <w:p>
      <w:pPr>
        <w:pStyle w:val="Footnotesection"/>
        <w:spacing w:before="80"/>
      </w:pPr>
      <w:r>
        <w:tab/>
        <w:t>[Regulation 18 amended in Gazette 3 Dec 2010 p. 6052</w:t>
      </w:r>
      <w:r>
        <w:noBreakHyphen/>
        <w:t>3; 19 Sep 2014 p. 3335.]</w:t>
      </w:r>
    </w:p>
    <w:p>
      <w:pPr>
        <w:pStyle w:val="Heading5"/>
        <w:spacing w:before="180"/>
        <w:rPr>
          <w:snapToGrid w:val="0"/>
        </w:rPr>
      </w:pPr>
      <w:bookmarkStart w:id="55" w:name="_Toc408498792"/>
      <w:bookmarkStart w:id="56" w:name="_Toc417563639"/>
      <w:r>
        <w:rPr>
          <w:rStyle w:val="CharSectno"/>
        </w:rPr>
        <w:t>19</w:t>
      </w:r>
      <w:r>
        <w:rPr>
          <w:snapToGrid w:val="0"/>
        </w:rPr>
        <w:t>.</w:t>
      </w:r>
      <w:r>
        <w:rPr>
          <w:snapToGrid w:val="0"/>
        </w:rPr>
        <w:tab/>
        <w:t>Removal of animal by owner or person in charge</w:t>
      </w:r>
      <w:bookmarkEnd w:id="55"/>
      <w:bookmarkEnd w:id="56"/>
      <w:r>
        <w:rPr>
          <w:snapToGrid w:val="0"/>
        </w:rPr>
        <w:t xml:space="preserve"> </w:t>
      </w:r>
    </w:p>
    <w:p>
      <w:pPr>
        <w:pStyle w:val="Subsection"/>
        <w:spacing w:before="110"/>
        <w:rPr>
          <w:snapToGrid w:val="0"/>
        </w:rPr>
      </w:pPr>
      <w:r>
        <w:rPr>
          <w:snapToGrid w:val="0"/>
        </w:rPr>
        <w:tab/>
      </w:r>
      <w:r>
        <w:rPr>
          <w:snapToGrid w:val="0"/>
        </w:rPr>
        <w:tab/>
        <w:t>An owner or person in charge of an animal on CALM land in contravention of regulation 15 must remove the animal from the land when required to do so by an authorised officer.</w:t>
      </w:r>
    </w:p>
    <w:p>
      <w:pPr>
        <w:pStyle w:val="Penstart"/>
        <w:spacing w:before="60"/>
        <w:rPr>
          <w:snapToGrid w:val="0"/>
        </w:rPr>
      </w:pPr>
      <w:r>
        <w:rPr>
          <w:snapToGrid w:val="0"/>
        </w:rPr>
        <w:tab/>
        <w:t xml:space="preserve">Penalty: </w:t>
      </w:r>
      <w:r>
        <w:t>a fine of</w:t>
      </w:r>
      <w:r>
        <w:rPr>
          <w:snapToGrid w:val="0"/>
        </w:rPr>
        <w:t xml:space="preserve"> </w:t>
      </w:r>
      <w:r>
        <w:t>$2 000</w:t>
      </w:r>
      <w:r>
        <w:rPr>
          <w:snapToGrid w:val="0"/>
        </w:rPr>
        <w:t>.</w:t>
      </w:r>
    </w:p>
    <w:p>
      <w:pPr>
        <w:pStyle w:val="Footnotesection"/>
        <w:spacing w:before="80"/>
      </w:pPr>
      <w:r>
        <w:tab/>
        <w:t>[Regulation 19 amended in Gazette 3 Dec 2010 p. 6052</w:t>
      </w:r>
      <w:r>
        <w:noBreakHyphen/>
        <w:t>3; 19 Sep 2014 p. 3335.]</w:t>
      </w:r>
    </w:p>
    <w:p>
      <w:pPr>
        <w:pStyle w:val="Heading5"/>
        <w:keepNext w:val="0"/>
        <w:keepLines w:val="0"/>
        <w:rPr>
          <w:snapToGrid w:val="0"/>
        </w:rPr>
      </w:pPr>
      <w:bookmarkStart w:id="57" w:name="_Toc408498793"/>
      <w:bookmarkStart w:id="58" w:name="_Toc417563640"/>
      <w:r>
        <w:rPr>
          <w:rStyle w:val="CharSectno"/>
        </w:rPr>
        <w:t>20</w:t>
      </w:r>
      <w:r>
        <w:rPr>
          <w:snapToGrid w:val="0"/>
        </w:rPr>
        <w:t>.</w:t>
      </w:r>
      <w:r>
        <w:rPr>
          <w:snapToGrid w:val="0"/>
        </w:rPr>
        <w:tab/>
        <w:t>Removal of animals by authorised officer</w:t>
      </w:r>
      <w:bookmarkEnd w:id="57"/>
      <w:bookmarkEnd w:id="58"/>
      <w:r>
        <w:rPr>
          <w:snapToGrid w:val="0"/>
        </w:rPr>
        <w:t xml:space="preserve"> </w:t>
      </w:r>
    </w:p>
    <w:p>
      <w:pPr>
        <w:pStyle w:val="Subsection"/>
        <w:rPr>
          <w:snapToGrid w:val="0"/>
        </w:rPr>
      </w:pPr>
      <w:r>
        <w:rPr>
          <w:snapToGrid w:val="0"/>
        </w:rPr>
        <w:tab/>
      </w:r>
      <w:r>
        <w:rPr>
          <w:snapToGrid w:val="0"/>
        </w:rPr>
        <w:tab/>
        <w:t xml:space="preserve">An authorised officer may seize and remove any animal found on CALM land </w:t>
      </w:r>
      <w:r>
        <w:t xml:space="preserve">in contravention of regulation 15 </w:t>
      </w:r>
      <w:r>
        <w:rPr>
          <w:snapToGrid w:val="0"/>
        </w:rPr>
        <w:t>if the authorised officer is unable to find the owner or person in charge of the animal.</w:t>
      </w:r>
    </w:p>
    <w:p>
      <w:pPr>
        <w:pStyle w:val="Footnotesection"/>
        <w:keepLines w:val="0"/>
        <w:ind w:left="890" w:hanging="890"/>
      </w:pPr>
      <w:r>
        <w:tab/>
        <w:t>[Regulation 20 amended in Gazette 29 Sep 2006 p. 4307.]</w:t>
      </w:r>
    </w:p>
    <w:p>
      <w:pPr>
        <w:pStyle w:val="Heading3"/>
      </w:pPr>
      <w:bookmarkStart w:id="59" w:name="_Toc408498794"/>
      <w:bookmarkStart w:id="60" w:name="_Toc414889216"/>
      <w:bookmarkStart w:id="61" w:name="_Toc414975159"/>
      <w:bookmarkStart w:id="62" w:name="_Toc417563641"/>
      <w:r>
        <w:rPr>
          <w:rStyle w:val="CharDivNo"/>
        </w:rPr>
        <w:t>Division 3</w:t>
      </w:r>
      <w:r>
        <w:rPr>
          <w:snapToGrid w:val="0"/>
        </w:rPr>
        <w:t xml:space="preserve"> — </w:t>
      </w:r>
      <w:r>
        <w:rPr>
          <w:rStyle w:val="CharDivText"/>
        </w:rPr>
        <w:t>Pollution and litter</w:t>
      </w:r>
      <w:bookmarkEnd w:id="59"/>
      <w:bookmarkEnd w:id="60"/>
      <w:bookmarkEnd w:id="61"/>
      <w:bookmarkEnd w:id="62"/>
      <w:r>
        <w:rPr>
          <w:rStyle w:val="CharDivText"/>
        </w:rPr>
        <w:t xml:space="preserve"> </w:t>
      </w:r>
    </w:p>
    <w:p>
      <w:pPr>
        <w:pStyle w:val="Heading5"/>
        <w:rPr>
          <w:snapToGrid w:val="0"/>
        </w:rPr>
      </w:pPr>
      <w:bookmarkStart w:id="63" w:name="_Toc408498795"/>
      <w:bookmarkStart w:id="64" w:name="_Toc417563642"/>
      <w:r>
        <w:rPr>
          <w:rStyle w:val="CharSectno"/>
        </w:rPr>
        <w:t>21</w:t>
      </w:r>
      <w:r>
        <w:rPr>
          <w:snapToGrid w:val="0"/>
        </w:rPr>
        <w:t>.</w:t>
      </w:r>
      <w:r>
        <w:rPr>
          <w:snapToGrid w:val="0"/>
        </w:rPr>
        <w:tab/>
        <w:t>Discharging or depositing waste</w:t>
      </w:r>
      <w:bookmarkEnd w:id="63"/>
      <w:bookmarkEnd w:id="64"/>
      <w:r>
        <w:rPr>
          <w:snapToGrid w:val="0"/>
        </w:rPr>
        <w:t xml:space="preserve"> </w:t>
      </w:r>
    </w:p>
    <w:p>
      <w:pPr>
        <w:pStyle w:val="Subsection"/>
        <w:rPr>
          <w:snapToGrid w:val="0"/>
        </w:rPr>
      </w:pPr>
      <w:r>
        <w:rPr>
          <w:snapToGrid w:val="0"/>
        </w:rPr>
        <w:tab/>
        <w:t>(1)</w:t>
      </w:r>
      <w:r>
        <w:rPr>
          <w:snapToGrid w:val="0"/>
        </w:rPr>
        <w:tab/>
        <w:t>Subject to subregulations (2) and (3), a person must not, without lawful authority, cause or allow waste to be discharged or placed on CALM land.</w:t>
      </w:r>
    </w:p>
    <w:p>
      <w:pPr>
        <w:pStyle w:val="Penstart"/>
        <w:rPr>
          <w:snapToGrid w:val="0"/>
        </w:rPr>
      </w:pPr>
      <w:r>
        <w:rPr>
          <w:snapToGrid w:val="0"/>
        </w:rPr>
        <w:tab/>
        <w:t xml:space="preserve">Penalty: </w:t>
      </w:r>
      <w:r>
        <w:t xml:space="preserve">a fine of </w:t>
      </w:r>
      <w:r>
        <w:rPr>
          <w:snapToGrid w:val="0"/>
        </w:rPr>
        <w:t>$2 000.</w:t>
      </w:r>
    </w:p>
    <w:p>
      <w:pPr>
        <w:pStyle w:val="Subsection"/>
        <w:rPr>
          <w:snapToGrid w:val="0"/>
        </w:rPr>
      </w:pPr>
      <w:r>
        <w:rPr>
          <w:snapToGrid w:val="0"/>
        </w:rPr>
        <w:tab/>
        <w:t>(2)</w:t>
      </w:r>
      <w:r>
        <w:rPr>
          <w:snapToGrid w:val="0"/>
        </w:rPr>
        <w:tab/>
        <w:t>Subregulation (1) does not apply to fuel discharged during the normal operation of 2 stroke outboard motors on vessels.</w:t>
      </w:r>
    </w:p>
    <w:p>
      <w:pPr>
        <w:pStyle w:val="Subsection"/>
      </w:pPr>
      <w:r>
        <w:rPr>
          <w:snapToGrid w:val="0"/>
        </w:rPr>
        <w:tab/>
        <w:t>(3)</w:t>
      </w:r>
      <w:r>
        <w:rPr>
          <w:snapToGrid w:val="0"/>
        </w:rPr>
        <w:tab/>
      </w:r>
      <w:r>
        <w:t>A person may discharge sewage from a vessel in a designated area.</w:t>
      </w:r>
    </w:p>
    <w:p>
      <w:pPr>
        <w:pStyle w:val="Subsection"/>
      </w:pPr>
      <w:r>
        <w:tab/>
        <w:t>(4)</w:t>
      </w:r>
      <w:r>
        <w:tab/>
        <w:t>A person must discharge sewage in a designated area in accordance with any conditions specified in respect of that discharge in the notice published under regulation 6(1) designating that area for the purposes of this regulation.</w:t>
      </w:r>
    </w:p>
    <w:p>
      <w:pPr>
        <w:pStyle w:val="Penstart"/>
      </w:pPr>
      <w:r>
        <w:tab/>
        <w:t>Penalty: a fine of $2 000.</w:t>
      </w:r>
    </w:p>
    <w:p>
      <w:pPr>
        <w:pStyle w:val="Subsection"/>
        <w:rPr>
          <w:snapToGrid w:val="0"/>
        </w:rPr>
      </w:pPr>
      <w:r>
        <w:rPr>
          <w:snapToGrid w:val="0"/>
        </w:rPr>
        <w:tab/>
        <w:t>(5)</w:t>
      </w:r>
      <w:r>
        <w:rPr>
          <w:snapToGrid w:val="0"/>
        </w:rPr>
        <w:tab/>
        <w:t>In subregulation (1) — </w:t>
      </w:r>
    </w:p>
    <w:p>
      <w:pPr>
        <w:pStyle w:val="Defstart"/>
      </w:pPr>
      <w:r>
        <w:tab/>
      </w:r>
      <w:r>
        <w:rPr>
          <w:rStyle w:val="CharDefText"/>
        </w:rPr>
        <w:t>waste</w:t>
      </w:r>
      <w:r>
        <w:rPr>
          <w:b/>
        </w:rPr>
        <w:t xml:space="preserve"> </w:t>
      </w:r>
      <w:r>
        <w:t xml:space="preserve">means any waste which could reasonably be expected to significantly and adversely affect the land on which it is discharged or placed, and includes liquid, solid, gaseous and radioactive matter, whether useful or useless. </w:t>
      </w:r>
    </w:p>
    <w:p>
      <w:pPr>
        <w:pStyle w:val="Footnotesection"/>
      </w:pPr>
      <w:r>
        <w:tab/>
        <w:t>[Regulation 21 amended in Gazette 3 Dec 2010 p. 6052</w:t>
      </w:r>
      <w:r>
        <w:noBreakHyphen/>
        <w:t>3.]</w:t>
      </w:r>
    </w:p>
    <w:p>
      <w:pPr>
        <w:pStyle w:val="Heading5"/>
      </w:pPr>
      <w:bookmarkStart w:id="65" w:name="_Toc408498796"/>
      <w:bookmarkStart w:id="66" w:name="_Toc417563643"/>
      <w:r>
        <w:rPr>
          <w:rStyle w:val="CharSectno"/>
        </w:rPr>
        <w:t>22</w:t>
      </w:r>
      <w:r>
        <w:t>.</w:t>
      </w:r>
      <w:r>
        <w:tab/>
        <w:t>Painting or treating vessels</w:t>
      </w:r>
      <w:bookmarkEnd w:id="65"/>
      <w:bookmarkEnd w:id="66"/>
    </w:p>
    <w:p>
      <w:pPr>
        <w:pStyle w:val="Subsection"/>
      </w:pPr>
      <w:r>
        <w:tab/>
      </w:r>
      <w:r>
        <w:tab/>
        <w:t>A person must not, without lawful authority, paint or chemically treat, or cause to be painted or chemically treated, the hull or keel of a vessel on CALM land.</w:t>
      </w:r>
    </w:p>
    <w:p>
      <w:pPr>
        <w:pStyle w:val="Penstart"/>
        <w:rPr>
          <w:snapToGrid w:val="0"/>
        </w:rPr>
      </w:pPr>
      <w:r>
        <w:rPr>
          <w:snapToGrid w:val="0"/>
        </w:rPr>
        <w:tab/>
        <w:t xml:space="preserve">Penalty: </w:t>
      </w:r>
      <w:r>
        <w:t>a fine of</w:t>
      </w:r>
      <w:r>
        <w:rPr>
          <w:snapToGrid w:val="0"/>
        </w:rPr>
        <w:t xml:space="preserve"> $2 000.</w:t>
      </w:r>
    </w:p>
    <w:p>
      <w:pPr>
        <w:pStyle w:val="Footnotesection"/>
      </w:pPr>
      <w:r>
        <w:tab/>
        <w:t>[Regulation 22 amended in Gazette 3 Dec 2010 p. 6052</w:t>
      </w:r>
      <w:r>
        <w:noBreakHyphen/>
        <w:t>3.]</w:t>
      </w:r>
    </w:p>
    <w:p>
      <w:pPr>
        <w:pStyle w:val="Heading5"/>
        <w:rPr>
          <w:snapToGrid w:val="0"/>
        </w:rPr>
      </w:pPr>
      <w:bookmarkStart w:id="67" w:name="_Toc408498797"/>
      <w:bookmarkStart w:id="68" w:name="_Toc417563644"/>
      <w:r>
        <w:rPr>
          <w:rStyle w:val="CharSectno"/>
        </w:rPr>
        <w:t>23</w:t>
      </w:r>
      <w:r>
        <w:rPr>
          <w:snapToGrid w:val="0"/>
        </w:rPr>
        <w:t>.</w:t>
      </w:r>
      <w:r>
        <w:rPr>
          <w:snapToGrid w:val="0"/>
        </w:rPr>
        <w:tab/>
        <w:t>Pollution of water supply</w:t>
      </w:r>
      <w:bookmarkEnd w:id="67"/>
      <w:bookmarkEnd w:id="68"/>
      <w:r>
        <w:rPr>
          <w:snapToGrid w:val="0"/>
        </w:rPr>
        <w:t xml:space="preserve"> </w:t>
      </w:r>
    </w:p>
    <w:p>
      <w:pPr>
        <w:pStyle w:val="Subsection"/>
        <w:rPr>
          <w:snapToGrid w:val="0"/>
        </w:rPr>
      </w:pPr>
      <w:r>
        <w:rPr>
          <w:snapToGrid w:val="0"/>
        </w:rPr>
        <w:tab/>
        <w:t>(1)</w:t>
      </w:r>
      <w:r>
        <w:rPr>
          <w:snapToGrid w:val="0"/>
        </w:rPr>
        <w:tab/>
        <w:t>A person must not discharge or place any refuse or any poisonous, noxious or polluting matter, or cause any refuse or poisonous, noxious or polluting matter to be discharged or placed — </w:t>
      </w:r>
    </w:p>
    <w:p>
      <w:pPr>
        <w:pStyle w:val="Indenta"/>
        <w:rPr>
          <w:snapToGrid w:val="0"/>
        </w:rPr>
      </w:pPr>
      <w:r>
        <w:rPr>
          <w:snapToGrid w:val="0"/>
        </w:rPr>
        <w:tab/>
        <w:t>(a)</w:t>
      </w:r>
      <w:r>
        <w:rPr>
          <w:snapToGrid w:val="0"/>
        </w:rPr>
        <w:tab/>
        <w:t>in any — </w:t>
      </w:r>
    </w:p>
    <w:p>
      <w:pPr>
        <w:pStyle w:val="Indenti"/>
        <w:rPr>
          <w:snapToGrid w:val="0"/>
        </w:rPr>
      </w:pPr>
      <w:r>
        <w:rPr>
          <w:snapToGrid w:val="0"/>
        </w:rPr>
        <w:tab/>
        <w:t>(i)</w:t>
      </w:r>
      <w:r>
        <w:rPr>
          <w:snapToGrid w:val="0"/>
        </w:rPr>
        <w:tab/>
        <w:t>reservoir or tank that holds or is intended to hold water for human consumption or use on CALM land, or in any area on CALM land where the matter is likely to pass to such a reservoir or tank; or</w:t>
      </w:r>
    </w:p>
    <w:p>
      <w:pPr>
        <w:pStyle w:val="Indenti"/>
        <w:rPr>
          <w:snapToGrid w:val="0"/>
        </w:rPr>
      </w:pPr>
      <w:r>
        <w:rPr>
          <w:snapToGrid w:val="0"/>
        </w:rPr>
        <w:tab/>
        <w:t>(ii)</w:t>
      </w:r>
      <w:r>
        <w:rPr>
          <w:snapToGrid w:val="0"/>
        </w:rPr>
        <w:tab/>
        <w:t>pipe, conduit or fitting through which such water is passed or intended to be passed; or</w:t>
      </w:r>
    </w:p>
    <w:p>
      <w:pPr>
        <w:pStyle w:val="Indenti"/>
        <w:rPr>
          <w:snapToGrid w:val="0"/>
        </w:rPr>
      </w:pPr>
      <w:r>
        <w:rPr>
          <w:snapToGrid w:val="0"/>
        </w:rPr>
        <w:tab/>
        <w:t>(iii)</w:t>
      </w:r>
      <w:r>
        <w:rPr>
          <w:snapToGrid w:val="0"/>
        </w:rPr>
        <w:tab/>
        <w:t xml:space="preserve">pit, manhole or other structure containing valves, meters, fittings or connections for the distribution of such water;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in any public water catchment area on CALM land, or in any area on CALM land where the matter is likely to pass to a public water catchment area; or</w:t>
      </w:r>
    </w:p>
    <w:p>
      <w:pPr>
        <w:pStyle w:val="Indenta"/>
        <w:rPr>
          <w:snapToGrid w:val="0"/>
        </w:rPr>
      </w:pPr>
      <w:r>
        <w:rPr>
          <w:snapToGrid w:val="0"/>
        </w:rPr>
        <w:tab/>
        <w:t>(c)</w:t>
      </w:r>
      <w:r>
        <w:rPr>
          <w:snapToGrid w:val="0"/>
        </w:rPr>
        <w:tab/>
        <w:t>except as permitted under regulation 21, in any naturally occurring water course or water body on CALM land, or in any area on CALM land where the matter is likely to pass to a naturally occurring water course or water body.</w:t>
      </w:r>
    </w:p>
    <w:p>
      <w:pPr>
        <w:pStyle w:val="Penstart"/>
        <w:rPr>
          <w:snapToGrid w:val="0"/>
        </w:rPr>
      </w:pPr>
      <w:r>
        <w:rPr>
          <w:snapToGrid w:val="0"/>
        </w:rPr>
        <w:tab/>
        <w:t xml:space="preserve">Penalty: </w:t>
      </w:r>
      <w:r>
        <w:t>a fine of</w:t>
      </w:r>
      <w:r>
        <w:rPr>
          <w:snapToGrid w:val="0"/>
        </w:rPr>
        <w:t xml:space="preserve"> $2 000.</w:t>
      </w:r>
    </w:p>
    <w:p>
      <w:pPr>
        <w:pStyle w:val="Subsection"/>
      </w:pPr>
      <w:r>
        <w:tab/>
        <w:t>(1a)</w:t>
      </w:r>
      <w:r>
        <w:tab/>
        <w:t>Subregulation (1) does not apply to swimming or bathing in a water course or water body that is not used for storing water for human consumption.</w:t>
      </w:r>
    </w:p>
    <w:p>
      <w:pPr>
        <w:pStyle w:val="Subsection"/>
        <w:spacing w:before="150"/>
        <w:rPr>
          <w:snapToGrid w:val="0"/>
        </w:rPr>
      </w:pPr>
      <w:r>
        <w:rPr>
          <w:snapToGrid w:val="0"/>
        </w:rPr>
        <w:tab/>
        <w:t>(2)</w:t>
      </w:r>
      <w:r>
        <w:rPr>
          <w:snapToGrid w:val="0"/>
        </w:rPr>
        <w:tab/>
        <w:t>A person must not swim, bathe or wash in any reservoir or tank containing water stored for human consumption or use on CALM land.</w:t>
      </w:r>
    </w:p>
    <w:p>
      <w:pPr>
        <w:pStyle w:val="Penstart"/>
        <w:rPr>
          <w:snapToGrid w:val="0"/>
        </w:rPr>
      </w:pPr>
      <w:r>
        <w:rPr>
          <w:snapToGrid w:val="0"/>
        </w:rPr>
        <w:tab/>
        <w:t xml:space="preserve">Penalty: </w:t>
      </w:r>
      <w:r>
        <w:t>a fine of</w:t>
      </w:r>
      <w:r>
        <w:rPr>
          <w:snapToGrid w:val="0"/>
        </w:rPr>
        <w:t xml:space="preserve"> </w:t>
      </w:r>
      <w:r>
        <w:t>$2 000</w:t>
      </w:r>
      <w:r>
        <w:rPr>
          <w:snapToGrid w:val="0"/>
        </w:rPr>
        <w:t>.</w:t>
      </w:r>
    </w:p>
    <w:p>
      <w:pPr>
        <w:pStyle w:val="Footnotesection"/>
        <w:spacing w:before="100"/>
      </w:pPr>
      <w:r>
        <w:tab/>
        <w:t>[Regulation 23 amended in Gazette 29 Sep 2006 p. 4308; 3 Dec 2010 p. 6052</w:t>
      </w:r>
      <w:r>
        <w:noBreakHyphen/>
        <w:t>3; 19 Sep 2014 p. 3335.]</w:t>
      </w:r>
    </w:p>
    <w:p>
      <w:pPr>
        <w:pStyle w:val="Heading5"/>
        <w:rPr>
          <w:snapToGrid w:val="0"/>
        </w:rPr>
      </w:pPr>
      <w:bookmarkStart w:id="69" w:name="_Toc408498798"/>
      <w:bookmarkStart w:id="70" w:name="_Toc417563645"/>
      <w:r>
        <w:rPr>
          <w:rStyle w:val="CharSectno"/>
        </w:rPr>
        <w:t>24</w:t>
      </w:r>
      <w:r>
        <w:rPr>
          <w:snapToGrid w:val="0"/>
        </w:rPr>
        <w:t>.</w:t>
      </w:r>
      <w:r>
        <w:rPr>
          <w:snapToGrid w:val="0"/>
        </w:rPr>
        <w:tab/>
        <w:t>Litter</w:t>
      </w:r>
      <w:bookmarkEnd w:id="69"/>
      <w:bookmarkEnd w:id="70"/>
      <w:r>
        <w:rPr>
          <w:snapToGrid w:val="0"/>
        </w:rPr>
        <w:t xml:space="preserve"> </w:t>
      </w:r>
    </w:p>
    <w:p>
      <w:pPr>
        <w:pStyle w:val="Subsection"/>
        <w:spacing w:before="150"/>
        <w:rPr>
          <w:snapToGrid w:val="0"/>
        </w:rPr>
      </w:pPr>
      <w:r>
        <w:rPr>
          <w:snapToGrid w:val="0"/>
        </w:rPr>
        <w:tab/>
        <w:t>(1)</w:t>
      </w:r>
      <w:r>
        <w:rPr>
          <w:snapToGrid w:val="0"/>
        </w:rPr>
        <w:tab/>
        <w:t xml:space="preserve">A person must not deposit litter, or cause litter to be deposited, on CALM land (unless the person deposits the litter in a place or receptacle set aside or provided by the </w:t>
      </w:r>
      <w:r>
        <w:t xml:space="preserve">CEO </w:t>
      </w:r>
      <w:r>
        <w:rPr>
          <w:snapToGrid w:val="0"/>
        </w:rPr>
        <w:t>for that purpose).</w:t>
      </w:r>
    </w:p>
    <w:p>
      <w:pPr>
        <w:pStyle w:val="Penstart"/>
        <w:rPr>
          <w:snapToGrid w:val="0"/>
        </w:rPr>
      </w:pPr>
      <w:r>
        <w:rPr>
          <w:snapToGrid w:val="0"/>
        </w:rPr>
        <w:tab/>
        <w:t xml:space="preserve">Penalty: </w:t>
      </w:r>
      <w:r>
        <w:t>a fine of</w:t>
      </w:r>
      <w:r>
        <w:rPr>
          <w:snapToGrid w:val="0"/>
        </w:rPr>
        <w:t xml:space="preserve"> </w:t>
      </w:r>
      <w:r>
        <w:t>$2 000</w:t>
      </w:r>
      <w:r>
        <w:rPr>
          <w:snapToGrid w:val="0"/>
        </w:rPr>
        <w:t>.</w:t>
      </w:r>
    </w:p>
    <w:p>
      <w:pPr>
        <w:pStyle w:val="Subsection"/>
        <w:spacing w:before="150"/>
        <w:rPr>
          <w:snapToGrid w:val="0"/>
        </w:rPr>
      </w:pPr>
      <w:r>
        <w:rPr>
          <w:snapToGrid w:val="0"/>
        </w:rPr>
        <w:tab/>
        <w:t>(2)</w:t>
      </w:r>
      <w:r>
        <w:rPr>
          <w:snapToGrid w:val="0"/>
        </w:rPr>
        <w:tab/>
        <w:t>In this regulation — </w:t>
      </w:r>
    </w:p>
    <w:p>
      <w:pPr>
        <w:pStyle w:val="Defstart"/>
      </w:pPr>
      <w:r>
        <w:tab/>
      </w:r>
      <w:r>
        <w:rPr>
          <w:rStyle w:val="CharDefText"/>
        </w:rPr>
        <w:t>litter</w:t>
      </w:r>
      <w:r>
        <w:rPr>
          <w:b/>
        </w:rPr>
        <w:t xml:space="preserve"> </w:t>
      </w:r>
      <w:r>
        <w:t xml:space="preserve">has the same meaning as in the </w:t>
      </w:r>
      <w:r>
        <w:rPr>
          <w:i/>
        </w:rPr>
        <w:t>Litter Act 1979</w:t>
      </w:r>
      <w:r>
        <w:t>.</w:t>
      </w:r>
    </w:p>
    <w:p>
      <w:pPr>
        <w:pStyle w:val="Footnotesection"/>
        <w:spacing w:before="100"/>
      </w:pPr>
      <w:r>
        <w:tab/>
        <w:t>[Regulation 24 amended in Gazette 29 Sep 2006 p. 4334; 3 Dec 2010 p. 6052</w:t>
      </w:r>
      <w:r>
        <w:noBreakHyphen/>
        <w:t>3; 19 Sep 2014 p. 3335.]</w:t>
      </w:r>
    </w:p>
    <w:p>
      <w:pPr>
        <w:pStyle w:val="Heading5"/>
        <w:rPr>
          <w:snapToGrid w:val="0"/>
        </w:rPr>
      </w:pPr>
      <w:bookmarkStart w:id="71" w:name="_Toc408498799"/>
      <w:bookmarkStart w:id="72" w:name="_Toc417563646"/>
      <w:r>
        <w:rPr>
          <w:rStyle w:val="CharSectno"/>
        </w:rPr>
        <w:t>25</w:t>
      </w:r>
      <w:r>
        <w:rPr>
          <w:snapToGrid w:val="0"/>
        </w:rPr>
        <w:t>.</w:t>
      </w:r>
      <w:r>
        <w:rPr>
          <w:snapToGrid w:val="0"/>
        </w:rPr>
        <w:tab/>
        <w:t>Building materials and other matter</w:t>
      </w:r>
      <w:bookmarkEnd w:id="71"/>
      <w:bookmarkEnd w:id="72"/>
      <w:r>
        <w:rPr>
          <w:snapToGrid w:val="0"/>
        </w:rPr>
        <w:t xml:space="preserve"> </w:t>
      </w:r>
    </w:p>
    <w:p>
      <w:pPr>
        <w:pStyle w:val="Subsection"/>
        <w:spacing w:before="150"/>
        <w:rPr>
          <w:snapToGrid w:val="0"/>
        </w:rPr>
      </w:pPr>
      <w:r>
        <w:rPr>
          <w:snapToGrid w:val="0"/>
        </w:rPr>
        <w:tab/>
      </w:r>
      <w:r>
        <w:rPr>
          <w:snapToGrid w:val="0"/>
        </w:rPr>
        <w:tab/>
        <w:t>A person must not discharge or place building materials, soil, rocks, sand, rubble, over</w:t>
      </w:r>
      <w:r>
        <w:rPr>
          <w:snapToGrid w:val="0"/>
        </w:rPr>
        <w:noBreakHyphen/>
        <w:t>burden or waste products from any industry, or cause building materials, soil, rocks, sand, rubble, over</w:t>
      </w:r>
      <w:r>
        <w:rPr>
          <w:snapToGrid w:val="0"/>
        </w:rPr>
        <w:noBreakHyphen/>
        <w:t>burden or waste products from any industry to be discharged or placed, on CALM land.</w:t>
      </w:r>
    </w:p>
    <w:p>
      <w:pPr>
        <w:pStyle w:val="Penstart"/>
        <w:rPr>
          <w:snapToGrid w:val="0"/>
        </w:rPr>
      </w:pPr>
      <w:r>
        <w:rPr>
          <w:snapToGrid w:val="0"/>
        </w:rPr>
        <w:tab/>
        <w:t xml:space="preserve">Penalty: </w:t>
      </w:r>
      <w:r>
        <w:t>a fine of</w:t>
      </w:r>
      <w:r>
        <w:rPr>
          <w:snapToGrid w:val="0"/>
        </w:rPr>
        <w:t xml:space="preserve"> $2 000.</w:t>
      </w:r>
    </w:p>
    <w:p>
      <w:pPr>
        <w:pStyle w:val="Footnotesection"/>
        <w:spacing w:before="100"/>
      </w:pPr>
      <w:r>
        <w:tab/>
        <w:t>[Regulation 25 amended in Gazette 3 Dec 2010 p. 6052</w:t>
      </w:r>
      <w:r>
        <w:noBreakHyphen/>
        <w:t>3.]</w:t>
      </w:r>
    </w:p>
    <w:p>
      <w:pPr>
        <w:pStyle w:val="Heading5"/>
        <w:rPr>
          <w:snapToGrid w:val="0"/>
        </w:rPr>
      </w:pPr>
      <w:bookmarkStart w:id="73" w:name="_Toc408498800"/>
      <w:bookmarkStart w:id="74" w:name="_Toc417563647"/>
      <w:r>
        <w:rPr>
          <w:rStyle w:val="CharSectno"/>
        </w:rPr>
        <w:t>26</w:t>
      </w:r>
      <w:r>
        <w:rPr>
          <w:snapToGrid w:val="0"/>
        </w:rPr>
        <w:t>.</w:t>
      </w:r>
      <w:r>
        <w:rPr>
          <w:snapToGrid w:val="0"/>
        </w:rPr>
        <w:tab/>
        <w:t>Glass in restricted areas</w:t>
      </w:r>
      <w:bookmarkEnd w:id="73"/>
      <w:bookmarkEnd w:id="74"/>
      <w:r>
        <w:rPr>
          <w:snapToGrid w:val="0"/>
        </w:rPr>
        <w:t xml:space="preserve"> </w:t>
      </w:r>
    </w:p>
    <w:p>
      <w:pPr>
        <w:pStyle w:val="Subsection"/>
        <w:spacing w:before="150"/>
        <w:rPr>
          <w:snapToGrid w:val="0"/>
        </w:rPr>
      </w:pPr>
      <w:r>
        <w:rPr>
          <w:snapToGrid w:val="0"/>
        </w:rPr>
        <w:tab/>
      </w:r>
      <w:r>
        <w:rPr>
          <w:snapToGrid w:val="0"/>
        </w:rPr>
        <w:tab/>
        <w:t>A person must not — </w:t>
      </w:r>
    </w:p>
    <w:p>
      <w:pPr>
        <w:pStyle w:val="Indenta"/>
        <w:spacing w:before="60"/>
        <w:rPr>
          <w:snapToGrid w:val="0"/>
        </w:rPr>
      </w:pPr>
      <w:r>
        <w:rPr>
          <w:snapToGrid w:val="0"/>
        </w:rPr>
        <w:tab/>
        <w:t>(a)</w:t>
      </w:r>
      <w:r>
        <w:rPr>
          <w:snapToGrid w:val="0"/>
        </w:rPr>
        <w:tab/>
        <w:t>take, or have in his or her possession, any drinking glass, glass bottle or glass drinking implement in a restricted area where taking or possession of that item is prohibited under regulation 5; or</w:t>
      </w:r>
    </w:p>
    <w:p>
      <w:pPr>
        <w:pStyle w:val="Indenta"/>
        <w:spacing w:before="60"/>
        <w:rPr>
          <w:snapToGrid w:val="0"/>
        </w:rPr>
      </w:pPr>
      <w:r>
        <w:rPr>
          <w:snapToGrid w:val="0"/>
        </w:rPr>
        <w:tab/>
        <w:t>(b)</w:t>
      </w:r>
      <w:r>
        <w:rPr>
          <w:snapToGrid w:val="0"/>
        </w:rPr>
        <w:tab/>
        <w:t>contravene a restriction on taking or possession of glass in a restricted area imposed under regulation 5.</w:t>
      </w:r>
    </w:p>
    <w:p>
      <w:pPr>
        <w:pStyle w:val="Penstart"/>
        <w:rPr>
          <w:snapToGrid w:val="0"/>
        </w:rPr>
      </w:pPr>
      <w:r>
        <w:rPr>
          <w:snapToGrid w:val="0"/>
        </w:rPr>
        <w:tab/>
        <w:t xml:space="preserve">Penalty: </w:t>
      </w:r>
      <w:r>
        <w:t>a fine of</w:t>
      </w:r>
      <w:r>
        <w:rPr>
          <w:snapToGrid w:val="0"/>
        </w:rPr>
        <w:t xml:space="preserve"> </w:t>
      </w:r>
      <w:r>
        <w:t>$1 000</w:t>
      </w:r>
      <w:r>
        <w:rPr>
          <w:snapToGrid w:val="0"/>
        </w:rPr>
        <w:t>.</w:t>
      </w:r>
    </w:p>
    <w:p>
      <w:pPr>
        <w:pStyle w:val="Footnotesection"/>
        <w:spacing w:before="100"/>
      </w:pPr>
      <w:r>
        <w:tab/>
        <w:t>[Regulation 26 amended in Gazette 3 Dec 2010 p. 6052</w:t>
      </w:r>
      <w:r>
        <w:noBreakHyphen/>
        <w:t>3; 19 Sep 2014 p. 3335.]</w:t>
      </w:r>
    </w:p>
    <w:p>
      <w:pPr>
        <w:pStyle w:val="Heading5"/>
        <w:spacing w:before="200"/>
        <w:rPr>
          <w:snapToGrid w:val="0"/>
        </w:rPr>
      </w:pPr>
      <w:bookmarkStart w:id="75" w:name="_Toc408498801"/>
      <w:bookmarkStart w:id="76" w:name="_Toc417563648"/>
      <w:r>
        <w:rPr>
          <w:rStyle w:val="CharSectno"/>
        </w:rPr>
        <w:t>27</w:t>
      </w:r>
      <w:r>
        <w:rPr>
          <w:snapToGrid w:val="0"/>
        </w:rPr>
        <w:t>.</w:t>
      </w:r>
      <w:r>
        <w:rPr>
          <w:snapToGrid w:val="0"/>
        </w:rPr>
        <w:tab/>
        <w:t>Removal of litter etc.</w:t>
      </w:r>
      <w:bookmarkEnd w:id="75"/>
      <w:bookmarkEnd w:id="76"/>
      <w:r>
        <w:rPr>
          <w:snapToGrid w:val="0"/>
        </w:rPr>
        <w:t xml:space="preserve"> </w:t>
      </w:r>
    </w:p>
    <w:p>
      <w:pPr>
        <w:pStyle w:val="Subsection"/>
        <w:spacing w:before="140"/>
        <w:rPr>
          <w:snapToGrid w:val="0"/>
        </w:rPr>
      </w:pPr>
      <w:r>
        <w:rPr>
          <w:snapToGrid w:val="0"/>
        </w:rPr>
        <w:tab/>
        <w:t>(1)</w:t>
      </w:r>
      <w:r>
        <w:rPr>
          <w:snapToGrid w:val="0"/>
        </w:rPr>
        <w:tab/>
        <w:t>An authorised officer who finds a person contravening regulation 24, 25 or 26 may direct that person then and there — </w:t>
      </w:r>
    </w:p>
    <w:p>
      <w:pPr>
        <w:pStyle w:val="Indenta"/>
        <w:spacing w:before="60"/>
        <w:rPr>
          <w:snapToGrid w:val="0"/>
        </w:rPr>
      </w:pPr>
      <w:r>
        <w:rPr>
          <w:snapToGrid w:val="0"/>
        </w:rPr>
        <w:tab/>
        <w:t>(a)</w:t>
      </w:r>
      <w:r>
        <w:rPr>
          <w:snapToGrid w:val="0"/>
        </w:rPr>
        <w:tab/>
        <w:t>to remove the thing the subject of the offence from the land; or</w:t>
      </w:r>
    </w:p>
    <w:p>
      <w:pPr>
        <w:pStyle w:val="Indenta"/>
        <w:spacing w:before="60"/>
        <w:rPr>
          <w:snapToGrid w:val="0"/>
        </w:rPr>
      </w:pPr>
      <w:r>
        <w:rPr>
          <w:snapToGrid w:val="0"/>
        </w:rPr>
        <w:tab/>
        <w:t>(b)</w:t>
      </w:r>
      <w:r>
        <w:rPr>
          <w:snapToGrid w:val="0"/>
        </w:rPr>
        <w:tab/>
        <w:t>to deposit the thing the subject of the offence in the nearest place or receptacle set aside or provided for the deposit of litter.</w:t>
      </w:r>
    </w:p>
    <w:p>
      <w:pPr>
        <w:pStyle w:val="Subsection"/>
        <w:spacing w:before="140"/>
        <w:rPr>
          <w:snapToGrid w:val="0"/>
        </w:rPr>
      </w:pPr>
      <w:r>
        <w:rPr>
          <w:snapToGrid w:val="0"/>
        </w:rPr>
        <w:tab/>
        <w:t>(2)</w:t>
      </w:r>
      <w:r>
        <w:rPr>
          <w:snapToGrid w:val="0"/>
        </w:rPr>
        <w:tab/>
        <w:t>A person must comply with a direction under subregulation (1).</w:t>
      </w:r>
    </w:p>
    <w:p>
      <w:pPr>
        <w:pStyle w:val="Penstart"/>
        <w:rPr>
          <w:snapToGrid w:val="0"/>
        </w:rPr>
      </w:pPr>
      <w:r>
        <w:rPr>
          <w:snapToGrid w:val="0"/>
        </w:rPr>
        <w:tab/>
        <w:t xml:space="preserve">Penalty: </w:t>
      </w:r>
      <w:r>
        <w:t>a fine of</w:t>
      </w:r>
      <w:r>
        <w:rPr>
          <w:snapToGrid w:val="0"/>
        </w:rPr>
        <w:t xml:space="preserve"> $2 000.</w:t>
      </w:r>
    </w:p>
    <w:p>
      <w:pPr>
        <w:pStyle w:val="Footnotesection"/>
        <w:spacing w:before="100"/>
      </w:pPr>
      <w:r>
        <w:tab/>
        <w:t>[Regulation 27 amended in Gazette 3 Dec 2010 p. 6052</w:t>
      </w:r>
      <w:r>
        <w:noBreakHyphen/>
        <w:t>3.]</w:t>
      </w:r>
    </w:p>
    <w:p>
      <w:pPr>
        <w:pStyle w:val="Heading5"/>
        <w:spacing w:before="200"/>
        <w:rPr>
          <w:snapToGrid w:val="0"/>
        </w:rPr>
      </w:pPr>
      <w:bookmarkStart w:id="77" w:name="_Toc408498802"/>
      <w:bookmarkStart w:id="78" w:name="_Toc417563649"/>
      <w:r>
        <w:rPr>
          <w:rStyle w:val="CharSectno"/>
        </w:rPr>
        <w:t>28</w:t>
      </w:r>
      <w:r>
        <w:rPr>
          <w:snapToGrid w:val="0"/>
        </w:rPr>
        <w:t>.</w:t>
      </w:r>
      <w:r>
        <w:rPr>
          <w:snapToGrid w:val="0"/>
        </w:rPr>
        <w:tab/>
        <w:t>Cleaning, scaling etc. fish</w:t>
      </w:r>
      <w:bookmarkEnd w:id="77"/>
      <w:bookmarkEnd w:id="78"/>
      <w:r>
        <w:rPr>
          <w:snapToGrid w:val="0"/>
        </w:rPr>
        <w:t xml:space="preserve"> </w:t>
      </w:r>
    </w:p>
    <w:p>
      <w:pPr>
        <w:pStyle w:val="Subsection"/>
        <w:spacing w:before="140"/>
        <w:rPr>
          <w:snapToGrid w:val="0"/>
        </w:rPr>
      </w:pPr>
      <w:r>
        <w:rPr>
          <w:snapToGrid w:val="0"/>
        </w:rPr>
        <w:tab/>
      </w:r>
      <w:r>
        <w:rPr>
          <w:snapToGrid w:val="0"/>
        </w:rPr>
        <w:tab/>
        <w:t>A person must not, without lawful authority, in a restricted area — </w:t>
      </w:r>
    </w:p>
    <w:p>
      <w:pPr>
        <w:pStyle w:val="Indenta"/>
        <w:spacing w:before="60"/>
        <w:rPr>
          <w:snapToGrid w:val="0"/>
        </w:rPr>
      </w:pPr>
      <w:r>
        <w:rPr>
          <w:snapToGrid w:val="0"/>
        </w:rPr>
        <w:tab/>
        <w:t>(a)</w:t>
      </w:r>
      <w:r>
        <w:rPr>
          <w:snapToGrid w:val="0"/>
        </w:rPr>
        <w:tab/>
        <w:t>clean, scale, gut or fillet fish if that activity is prohibited in that area under regulation 5; or</w:t>
      </w:r>
    </w:p>
    <w:p>
      <w:pPr>
        <w:pStyle w:val="Indenta"/>
        <w:spacing w:before="60"/>
        <w:rPr>
          <w:snapToGrid w:val="0"/>
        </w:rPr>
      </w:pPr>
      <w:r>
        <w:rPr>
          <w:snapToGrid w:val="0"/>
        </w:rPr>
        <w:tab/>
        <w:t>(b)</w:t>
      </w:r>
      <w:r>
        <w:rPr>
          <w:snapToGrid w:val="0"/>
        </w:rPr>
        <w:tab/>
        <w:t>contravene a restriction imposed on cleaning, scaling, gutting or filleting fish in that area under regulation 5.</w:t>
      </w:r>
    </w:p>
    <w:p>
      <w:pPr>
        <w:pStyle w:val="Penstart"/>
        <w:rPr>
          <w:snapToGrid w:val="0"/>
        </w:rPr>
      </w:pPr>
      <w:r>
        <w:rPr>
          <w:snapToGrid w:val="0"/>
        </w:rPr>
        <w:tab/>
        <w:t xml:space="preserve">Penalty: </w:t>
      </w:r>
      <w:r>
        <w:t>a fine of</w:t>
      </w:r>
      <w:r>
        <w:rPr>
          <w:snapToGrid w:val="0"/>
        </w:rPr>
        <w:t xml:space="preserve"> </w:t>
      </w:r>
      <w:r>
        <w:t>$1 000</w:t>
      </w:r>
      <w:r>
        <w:rPr>
          <w:snapToGrid w:val="0"/>
        </w:rPr>
        <w:t>.</w:t>
      </w:r>
    </w:p>
    <w:p>
      <w:pPr>
        <w:pStyle w:val="Footnotesection"/>
        <w:spacing w:before="100"/>
      </w:pPr>
      <w:r>
        <w:tab/>
        <w:t>[Regulation 28 amended in Gazette 3 Dec 2010 p. 6052</w:t>
      </w:r>
      <w:r>
        <w:noBreakHyphen/>
        <w:t>3; 19 Sep 2014 p. 3335.]</w:t>
      </w:r>
    </w:p>
    <w:p>
      <w:pPr>
        <w:pStyle w:val="Heading5"/>
        <w:spacing w:before="200"/>
        <w:rPr>
          <w:snapToGrid w:val="0"/>
        </w:rPr>
      </w:pPr>
      <w:bookmarkStart w:id="79" w:name="_Toc408498803"/>
      <w:bookmarkStart w:id="80" w:name="_Toc417563650"/>
      <w:r>
        <w:rPr>
          <w:rStyle w:val="CharSectno"/>
        </w:rPr>
        <w:t>29</w:t>
      </w:r>
      <w:r>
        <w:rPr>
          <w:snapToGrid w:val="0"/>
        </w:rPr>
        <w:t>.</w:t>
      </w:r>
      <w:r>
        <w:rPr>
          <w:snapToGrid w:val="0"/>
        </w:rPr>
        <w:tab/>
        <w:t>Fires and smoking in caves</w:t>
      </w:r>
      <w:bookmarkEnd w:id="79"/>
      <w:bookmarkEnd w:id="80"/>
      <w:r>
        <w:rPr>
          <w:snapToGrid w:val="0"/>
        </w:rPr>
        <w:t xml:space="preserve"> </w:t>
      </w:r>
    </w:p>
    <w:p>
      <w:pPr>
        <w:pStyle w:val="Subsection"/>
        <w:spacing w:before="140"/>
        <w:rPr>
          <w:snapToGrid w:val="0"/>
        </w:rPr>
      </w:pPr>
      <w:r>
        <w:rPr>
          <w:snapToGrid w:val="0"/>
        </w:rPr>
        <w:tab/>
        <w:t>(1)</w:t>
      </w:r>
      <w:r>
        <w:rPr>
          <w:snapToGrid w:val="0"/>
        </w:rPr>
        <w:tab/>
        <w:t>A person must not smoke a cigarette, cigar or pipe in any cave or part of a cave which is on or under CALM land.</w:t>
      </w:r>
    </w:p>
    <w:p>
      <w:pPr>
        <w:pStyle w:val="Penstart"/>
        <w:rPr>
          <w:snapToGrid w:val="0"/>
        </w:rPr>
      </w:pPr>
      <w:r>
        <w:rPr>
          <w:snapToGrid w:val="0"/>
        </w:rPr>
        <w:tab/>
        <w:t xml:space="preserve">Penalty: </w:t>
      </w:r>
      <w:r>
        <w:t>a fine of</w:t>
      </w:r>
      <w:r>
        <w:rPr>
          <w:snapToGrid w:val="0"/>
        </w:rPr>
        <w:t xml:space="preserve"> $500.</w:t>
      </w:r>
    </w:p>
    <w:p>
      <w:pPr>
        <w:pStyle w:val="Subsection"/>
        <w:rPr>
          <w:snapToGrid w:val="0"/>
        </w:rPr>
      </w:pPr>
      <w:r>
        <w:rPr>
          <w:snapToGrid w:val="0"/>
        </w:rPr>
        <w:tab/>
        <w:t>(2)</w:t>
      </w:r>
      <w:r>
        <w:rPr>
          <w:snapToGrid w:val="0"/>
        </w:rPr>
        <w:tab/>
        <w:t>A person must not light a fire in any cave or part of a cave which is on or under CALM land.</w:t>
      </w:r>
    </w:p>
    <w:p>
      <w:pPr>
        <w:pStyle w:val="Penstart"/>
        <w:rPr>
          <w:snapToGrid w:val="0"/>
        </w:rPr>
      </w:pPr>
      <w:r>
        <w:rPr>
          <w:snapToGrid w:val="0"/>
        </w:rPr>
        <w:tab/>
        <w:t xml:space="preserve">Penalty: </w:t>
      </w:r>
      <w:r>
        <w:t>a fine of</w:t>
      </w:r>
      <w:r>
        <w:rPr>
          <w:snapToGrid w:val="0"/>
        </w:rPr>
        <w:t xml:space="preserve"> $2 000.</w:t>
      </w:r>
    </w:p>
    <w:p>
      <w:pPr>
        <w:pStyle w:val="Footnotesection"/>
      </w:pPr>
      <w:r>
        <w:tab/>
        <w:t>[Regulation 29 amended in Gazette 3 Dec 2010 p. 6052</w:t>
      </w:r>
      <w:r>
        <w:noBreakHyphen/>
        <w:t>3.]</w:t>
      </w:r>
    </w:p>
    <w:p>
      <w:pPr>
        <w:pStyle w:val="Heading3"/>
      </w:pPr>
      <w:bookmarkStart w:id="81" w:name="_Toc408498804"/>
      <w:bookmarkStart w:id="82" w:name="_Toc414889226"/>
      <w:bookmarkStart w:id="83" w:name="_Toc414975169"/>
      <w:bookmarkStart w:id="84" w:name="_Toc417563651"/>
      <w:r>
        <w:rPr>
          <w:rStyle w:val="CharDivNo"/>
        </w:rPr>
        <w:t>Division 4</w:t>
      </w:r>
      <w:r>
        <w:rPr>
          <w:snapToGrid w:val="0"/>
        </w:rPr>
        <w:t xml:space="preserve"> — </w:t>
      </w:r>
      <w:r>
        <w:rPr>
          <w:rStyle w:val="CharDivText"/>
        </w:rPr>
        <w:t>Disturbance of the landscape</w:t>
      </w:r>
      <w:bookmarkEnd w:id="81"/>
      <w:bookmarkEnd w:id="82"/>
      <w:bookmarkEnd w:id="83"/>
      <w:bookmarkEnd w:id="84"/>
      <w:r>
        <w:rPr>
          <w:rStyle w:val="CharDivText"/>
        </w:rPr>
        <w:t xml:space="preserve"> </w:t>
      </w:r>
    </w:p>
    <w:p>
      <w:pPr>
        <w:pStyle w:val="Heading5"/>
        <w:rPr>
          <w:snapToGrid w:val="0"/>
        </w:rPr>
      </w:pPr>
      <w:bookmarkStart w:id="85" w:name="_Toc408498805"/>
      <w:bookmarkStart w:id="86" w:name="_Toc417563652"/>
      <w:r>
        <w:rPr>
          <w:rStyle w:val="CharSectno"/>
        </w:rPr>
        <w:t>30</w:t>
      </w:r>
      <w:r>
        <w:rPr>
          <w:snapToGrid w:val="0"/>
        </w:rPr>
        <w:t>.</w:t>
      </w:r>
      <w:r>
        <w:rPr>
          <w:snapToGrid w:val="0"/>
        </w:rPr>
        <w:tab/>
        <w:t>Water</w:t>
      </w:r>
      <w:bookmarkEnd w:id="85"/>
      <w:bookmarkEnd w:id="86"/>
      <w:r>
        <w:rPr>
          <w:snapToGrid w:val="0"/>
        </w:rPr>
        <w:t xml:space="preserve"> </w:t>
      </w:r>
    </w:p>
    <w:p>
      <w:pPr>
        <w:pStyle w:val="Subsection"/>
        <w:rPr>
          <w:snapToGrid w:val="0"/>
        </w:rPr>
      </w:pPr>
      <w:r>
        <w:rPr>
          <w:snapToGrid w:val="0"/>
        </w:rPr>
        <w:tab/>
        <w:t>(1)</w:t>
      </w:r>
      <w:r>
        <w:rPr>
          <w:snapToGrid w:val="0"/>
        </w:rPr>
        <w:tab/>
        <w:t>A person must not, without lawful authority — </w:t>
      </w:r>
    </w:p>
    <w:p>
      <w:pPr>
        <w:pStyle w:val="Indenta"/>
        <w:rPr>
          <w:snapToGrid w:val="0"/>
        </w:rPr>
      </w:pPr>
      <w:r>
        <w:rPr>
          <w:snapToGrid w:val="0"/>
        </w:rPr>
        <w:tab/>
        <w:t>(a)</w:t>
      </w:r>
      <w:r>
        <w:rPr>
          <w:snapToGrid w:val="0"/>
        </w:rPr>
        <w:tab/>
        <w:t>take water from, or interfere with water on, CALM land; or</w:t>
      </w:r>
    </w:p>
    <w:p>
      <w:pPr>
        <w:pStyle w:val="Indenta"/>
        <w:rPr>
          <w:snapToGrid w:val="0"/>
        </w:rPr>
      </w:pPr>
      <w:r>
        <w:rPr>
          <w:snapToGrid w:val="0"/>
        </w:rPr>
        <w:tab/>
        <w:t>(b)</w:t>
      </w:r>
      <w:r>
        <w:rPr>
          <w:snapToGrid w:val="0"/>
        </w:rPr>
        <w:tab/>
        <w:t>drain any part of CALM land; or</w:t>
      </w:r>
    </w:p>
    <w:p>
      <w:pPr>
        <w:pStyle w:val="Indenta"/>
        <w:rPr>
          <w:snapToGrid w:val="0"/>
        </w:rPr>
      </w:pPr>
      <w:r>
        <w:rPr>
          <w:snapToGrid w:val="0"/>
        </w:rPr>
        <w:tab/>
        <w:t>(c)</w:t>
      </w:r>
      <w:r>
        <w:rPr>
          <w:snapToGrid w:val="0"/>
        </w:rPr>
        <w:tab/>
      </w:r>
      <w:r>
        <w:t>interfere with any drain on CALM land; or</w:t>
      </w:r>
    </w:p>
    <w:p>
      <w:pPr>
        <w:pStyle w:val="Indenta"/>
        <w:rPr>
          <w:snapToGrid w:val="0"/>
        </w:rPr>
      </w:pPr>
      <w:r>
        <w:rPr>
          <w:snapToGrid w:val="0"/>
        </w:rPr>
        <w:tab/>
        <w:t>(d)</w:t>
      </w:r>
      <w:r>
        <w:rPr>
          <w:snapToGrid w:val="0"/>
        </w:rPr>
        <w:tab/>
        <w:t>divert water on or onto CALM land; or</w:t>
      </w:r>
    </w:p>
    <w:p>
      <w:pPr>
        <w:pStyle w:val="Indenta"/>
        <w:rPr>
          <w:snapToGrid w:val="0"/>
        </w:rPr>
      </w:pPr>
      <w:r>
        <w:rPr>
          <w:snapToGrid w:val="0"/>
        </w:rPr>
        <w:tab/>
        <w:t>(e)</w:t>
      </w:r>
      <w:r>
        <w:rPr>
          <w:snapToGrid w:val="0"/>
        </w:rPr>
        <w:tab/>
        <w:t>make any construction</w:t>
      </w:r>
      <w:r>
        <w:t xml:space="preserve"> for a purpose referred to in paragraph (a), (b), (c) or (d)</w:t>
      </w:r>
      <w:r>
        <w:rPr>
          <w:snapToGrid w:val="0"/>
        </w:rPr>
        <w:t>.</w:t>
      </w:r>
    </w:p>
    <w:p>
      <w:pPr>
        <w:pStyle w:val="Penstart"/>
        <w:rPr>
          <w:snapToGrid w:val="0"/>
        </w:rPr>
      </w:pPr>
      <w:r>
        <w:rPr>
          <w:snapToGrid w:val="0"/>
        </w:rPr>
        <w:tab/>
        <w:t xml:space="preserve">Penalty: </w:t>
      </w:r>
      <w:r>
        <w:t>a fine of</w:t>
      </w:r>
      <w:r>
        <w:rPr>
          <w:snapToGrid w:val="0"/>
        </w:rPr>
        <w:t xml:space="preserve"> $2 000.</w:t>
      </w:r>
    </w:p>
    <w:p>
      <w:pPr>
        <w:pStyle w:val="Subsection"/>
      </w:pPr>
      <w:r>
        <w:tab/>
        <w:t>(2)</w:t>
      </w:r>
      <w:r>
        <w:tab/>
        <w:t>Subregulation (1)(a) does not apply to an individual who takes water for the personal needs of the individual or others associated with the individual.</w:t>
      </w:r>
    </w:p>
    <w:p>
      <w:pPr>
        <w:pStyle w:val="Footnotesection"/>
      </w:pPr>
      <w:r>
        <w:tab/>
        <w:t>[Regulation 30 amended in Gazette 29 Sep 2006 p. 4308; 3 Dec 2010 p. 6052</w:t>
      </w:r>
      <w:r>
        <w:noBreakHyphen/>
        <w:t>3.]</w:t>
      </w:r>
    </w:p>
    <w:p>
      <w:pPr>
        <w:pStyle w:val="Heading5"/>
        <w:rPr>
          <w:snapToGrid w:val="0"/>
        </w:rPr>
      </w:pPr>
      <w:bookmarkStart w:id="87" w:name="_Toc408498806"/>
      <w:bookmarkStart w:id="88" w:name="_Toc417563653"/>
      <w:r>
        <w:rPr>
          <w:rStyle w:val="CharSectno"/>
        </w:rPr>
        <w:t>31</w:t>
      </w:r>
      <w:r>
        <w:rPr>
          <w:snapToGrid w:val="0"/>
        </w:rPr>
        <w:t>.</w:t>
      </w:r>
      <w:r>
        <w:rPr>
          <w:snapToGrid w:val="0"/>
        </w:rPr>
        <w:tab/>
        <w:t>Damage etc. to naturally occurring features</w:t>
      </w:r>
      <w:bookmarkEnd w:id="87"/>
      <w:bookmarkEnd w:id="88"/>
      <w:r>
        <w:rPr>
          <w:snapToGrid w:val="0"/>
        </w:rPr>
        <w:t xml:space="preserve"> </w:t>
      </w:r>
    </w:p>
    <w:p>
      <w:pPr>
        <w:pStyle w:val="Subsection"/>
        <w:rPr>
          <w:snapToGrid w:val="0"/>
        </w:rPr>
      </w:pPr>
      <w:r>
        <w:rPr>
          <w:snapToGrid w:val="0"/>
        </w:rPr>
        <w:tab/>
        <w:t>(1)</w:t>
      </w:r>
      <w:r>
        <w:rPr>
          <w:snapToGrid w:val="0"/>
        </w:rPr>
        <w:tab/>
        <w:t>A person must not, without lawful authority — </w:t>
      </w:r>
    </w:p>
    <w:p>
      <w:pPr>
        <w:pStyle w:val="Indenta"/>
      </w:pPr>
      <w:r>
        <w:rPr>
          <w:snapToGrid w:val="0"/>
        </w:rPr>
        <w:tab/>
        <w:t>(a)</w:t>
      </w:r>
      <w:r>
        <w:rPr>
          <w:snapToGrid w:val="0"/>
        </w:rPr>
        <w:tab/>
      </w:r>
      <w:r>
        <w:t>cause any significant damage or disturbance to a naturally occurring feature on CALM land; or</w:t>
      </w:r>
    </w:p>
    <w:p>
      <w:pPr>
        <w:pStyle w:val="Indenta"/>
        <w:rPr>
          <w:snapToGrid w:val="0"/>
        </w:rPr>
      </w:pPr>
      <w:r>
        <w:rPr>
          <w:snapToGrid w:val="0"/>
        </w:rPr>
        <w:tab/>
        <w:t>(b)</w:t>
      </w:r>
      <w:r>
        <w:rPr>
          <w:snapToGrid w:val="0"/>
        </w:rPr>
        <w:tab/>
        <w:t>damage or disturb any naturally occurring feature on CALM land in a way that causes, or creates a potential for, adverse consequences to or in relation to CALM land; or</w:t>
      </w:r>
    </w:p>
    <w:p>
      <w:pPr>
        <w:pStyle w:val="Indenta"/>
        <w:rPr>
          <w:snapToGrid w:val="0"/>
        </w:rPr>
      </w:pPr>
      <w:r>
        <w:rPr>
          <w:snapToGrid w:val="0"/>
        </w:rPr>
        <w:tab/>
        <w:t>(c)</w:t>
      </w:r>
      <w:r>
        <w:rPr>
          <w:snapToGrid w:val="0"/>
        </w:rPr>
        <w:tab/>
        <w:t>remove any naturally occurring feature from CALM land.</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(2)</w:t>
      </w:r>
      <w:r>
        <w:rPr>
          <w:snapToGrid w:val="0"/>
        </w:rPr>
        <w:tab/>
        <w:t>An authorised officer who believes on reasonable grounds that a naturally occurring feature found in the possession of a person is involved in the commission of an offence against subregulation (1) may direct that person to surrender the naturally occurring feature to the authorised officer immediately.</w:t>
      </w:r>
    </w:p>
    <w:p>
      <w:pPr>
        <w:pStyle w:val="Subsection"/>
        <w:rPr>
          <w:snapToGrid w:val="0"/>
        </w:rPr>
      </w:pPr>
      <w:r>
        <w:rPr>
          <w:snapToGrid w:val="0"/>
        </w:rPr>
        <w:tab/>
        <w:t>(3)</w:t>
      </w:r>
      <w:r>
        <w:rPr>
          <w:snapToGrid w:val="0"/>
        </w:rPr>
        <w:tab/>
        <w:t>A person must comply with a direction under subregulation (2).</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(4)</w:t>
      </w:r>
      <w:r>
        <w:rPr>
          <w:snapToGrid w:val="0"/>
        </w:rPr>
        <w:tab/>
        <w:t>In this regulation — </w:t>
      </w:r>
    </w:p>
    <w:p>
      <w:pPr>
        <w:pStyle w:val="Defstart"/>
      </w:pPr>
      <w:r>
        <w:tab/>
      </w:r>
      <w:r>
        <w:rPr>
          <w:rStyle w:val="CharDefText"/>
        </w:rPr>
        <w:t>naturally occurring feature</w:t>
      </w:r>
      <w:r>
        <w:t xml:space="preserve"> includes —</w:t>
      </w:r>
    </w:p>
    <w:p>
      <w:pPr>
        <w:pStyle w:val="Defpara"/>
      </w:pPr>
      <w:r>
        <w:tab/>
        <w:t>(a)</w:t>
      </w:r>
      <w:r>
        <w:tab/>
        <w:t>a fossil; and</w:t>
      </w:r>
    </w:p>
    <w:p>
      <w:pPr>
        <w:pStyle w:val="Defpara"/>
      </w:pPr>
      <w:r>
        <w:tab/>
        <w:t>(b)</w:t>
      </w:r>
      <w:r>
        <w:tab/>
        <w:t>a mineral specimen, meteorite and tektite; and</w:t>
      </w:r>
    </w:p>
    <w:p>
      <w:pPr>
        <w:pStyle w:val="Defpara"/>
      </w:pPr>
      <w:r>
        <w:tab/>
        <w:t>(c)</w:t>
      </w:r>
      <w:r>
        <w:tab/>
        <w:t>a speleotherm and speleogen; and</w:t>
      </w:r>
    </w:p>
    <w:p>
      <w:pPr>
        <w:pStyle w:val="Defpara"/>
      </w:pPr>
      <w:r>
        <w:tab/>
        <w:t>(d)</w:t>
      </w:r>
      <w:r>
        <w:tab/>
        <w:t>a termite mound; and</w:t>
      </w:r>
    </w:p>
    <w:p>
      <w:pPr>
        <w:pStyle w:val="Defpara"/>
      </w:pPr>
      <w:r>
        <w:tab/>
        <w:t>(e)</w:t>
      </w:r>
      <w:r>
        <w:tab/>
        <w:t>guano; and</w:t>
      </w:r>
    </w:p>
    <w:p>
      <w:pPr>
        <w:pStyle w:val="Defpara"/>
      </w:pPr>
      <w:r>
        <w:tab/>
        <w:t>(f)</w:t>
      </w:r>
      <w:r>
        <w:tab/>
        <w:t>a stromatolite, sedimentary deposit associated with stromatolites or other sedimentary deposit, and cyano</w:t>
      </w:r>
      <w:r>
        <w:noBreakHyphen/>
        <w:t>bacteria responsible for building stromatolites which are present in stromatolites; and</w:t>
      </w:r>
    </w:p>
    <w:p>
      <w:pPr>
        <w:pStyle w:val="Defpara"/>
      </w:pPr>
      <w:r>
        <w:tab/>
        <w:t>(g)</w:t>
      </w:r>
      <w:r>
        <w:tab/>
        <w:t>dead marine shell, dead coral, dead sea urchin, coralline algae and live coral organisms living in dead coral.</w:t>
      </w:r>
    </w:p>
    <w:p>
      <w:pPr>
        <w:pStyle w:val="Footnotesection"/>
      </w:pPr>
      <w:r>
        <w:tab/>
        <w:t>[Regulation 31 amended in Gazette 3 Dec 2010 p. 6052</w:t>
      </w:r>
      <w:r>
        <w:noBreakHyphen/>
        <w:t>3.]</w:t>
      </w:r>
    </w:p>
    <w:p>
      <w:pPr>
        <w:pStyle w:val="Heading5"/>
        <w:rPr>
          <w:snapToGrid w:val="0"/>
        </w:rPr>
      </w:pPr>
      <w:bookmarkStart w:id="89" w:name="_Toc408498807"/>
      <w:bookmarkStart w:id="90" w:name="_Toc417563654"/>
      <w:r>
        <w:rPr>
          <w:rStyle w:val="CharSectno"/>
        </w:rPr>
        <w:t>32</w:t>
      </w:r>
      <w:r>
        <w:rPr>
          <w:snapToGrid w:val="0"/>
        </w:rPr>
        <w:t>.</w:t>
      </w:r>
      <w:r>
        <w:rPr>
          <w:snapToGrid w:val="0"/>
        </w:rPr>
        <w:tab/>
        <w:t>Sandboarding</w:t>
      </w:r>
      <w:bookmarkEnd w:id="89"/>
      <w:bookmarkEnd w:id="90"/>
      <w:r>
        <w:rPr>
          <w:snapToGrid w:val="0"/>
        </w:rPr>
        <w:t xml:space="preserve"> </w:t>
      </w:r>
    </w:p>
    <w:p>
      <w:pPr>
        <w:pStyle w:val="Subsection"/>
        <w:rPr>
          <w:snapToGrid w:val="0"/>
        </w:rPr>
      </w:pPr>
      <w:r>
        <w:rPr>
          <w:snapToGrid w:val="0"/>
        </w:rPr>
        <w:tab/>
      </w:r>
      <w:r>
        <w:rPr>
          <w:snapToGrid w:val="0"/>
        </w:rPr>
        <w:tab/>
        <w:t>A person must not, without lawful authority, on CALM land use a board or other object to slide down a slope.</w:t>
      </w:r>
    </w:p>
    <w:p>
      <w:pPr>
        <w:pStyle w:val="Penstart"/>
        <w:rPr>
          <w:snapToGrid w:val="0"/>
        </w:rPr>
      </w:pPr>
      <w:r>
        <w:rPr>
          <w:snapToGrid w:val="0"/>
        </w:rPr>
        <w:tab/>
        <w:t xml:space="preserve">Penalty: </w:t>
      </w:r>
      <w:r>
        <w:t>a fine of</w:t>
      </w:r>
      <w:r>
        <w:rPr>
          <w:snapToGrid w:val="0"/>
        </w:rPr>
        <w:t xml:space="preserve"> </w:t>
      </w:r>
      <w:r>
        <w:t>$1 000</w:t>
      </w:r>
      <w:r>
        <w:rPr>
          <w:snapToGrid w:val="0"/>
        </w:rPr>
        <w:t>.</w:t>
      </w:r>
    </w:p>
    <w:p>
      <w:pPr>
        <w:pStyle w:val="Footnotesection"/>
      </w:pPr>
      <w:r>
        <w:tab/>
        <w:t>[Regulation 32 amended in Gazette 3 Dec 2010 p. 6052</w:t>
      </w:r>
      <w:r>
        <w:noBreakHyphen/>
        <w:t>3; 19 Sep 2014 p. 3335.]</w:t>
      </w:r>
    </w:p>
    <w:p>
      <w:pPr>
        <w:pStyle w:val="Heading5"/>
      </w:pPr>
      <w:bookmarkStart w:id="91" w:name="_Toc408498808"/>
      <w:bookmarkStart w:id="92" w:name="_Toc417563655"/>
      <w:r>
        <w:rPr>
          <w:rStyle w:val="CharSectno"/>
        </w:rPr>
        <w:t>33</w:t>
      </w:r>
      <w:r>
        <w:t>.</w:t>
      </w:r>
      <w:r>
        <w:tab/>
        <w:t>Abseiling</w:t>
      </w:r>
      <w:bookmarkEnd w:id="91"/>
      <w:bookmarkEnd w:id="92"/>
    </w:p>
    <w:p>
      <w:pPr>
        <w:pStyle w:val="Subsection"/>
      </w:pPr>
      <w:r>
        <w:tab/>
        <w:t>(1)</w:t>
      </w:r>
      <w:r>
        <w:tab/>
        <w:t>A person must not, without lawful authority, abseil on CALM land except in an abseiling area.</w:t>
      </w:r>
    </w:p>
    <w:p>
      <w:pPr>
        <w:pStyle w:val="Penstart"/>
      </w:pPr>
      <w:r>
        <w:tab/>
        <w:t>Penalty: a fine of $1 000.</w:t>
      </w:r>
    </w:p>
    <w:p>
      <w:pPr>
        <w:pStyle w:val="Subsection"/>
      </w:pPr>
      <w:r>
        <w:tab/>
        <w:t>(2)</w:t>
      </w:r>
      <w:r>
        <w:tab/>
        <w:t>A person abseiling in an abseiling area must comply with conditions specified on signs erected in or in the vicinity of that area for the purposes of regulation 6(3) or signs designating the area as an abseiling area.</w:t>
      </w:r>
    </w:p>
    <w:p>
      <w:pPr>
        <w:pStyle w:val="Penstart"/>
      </w:pPr>
      <w:r>
        <w:tab/>
        <w:t>Penalty: a fine of $1 000.</w:t>
      </w:r>
    </w:p>
    <w:p>
      <w:pPr>
        <w:pStyle w:val="Footnotesection"/>
      </w:pPr>
      <w:r>
        <w:tab/>
        <w:t>[Regulation 33 inserted in Gazette 3 Dec 2010 p. 6047; amended in Gazette 19 Sep 2014 p. 3335.]</w:t>
      </w:r>
    </w:p>
    <w:p>
      <w:pPr>
        <w:pStyle w:val="Heading5"/>
        <w:rPr>
          <w:snapToGrid w:val="0"/>
        </w:rPr>
      </w:pPr>
      <w:bookmarkStart w:id="93" w:name="_Toc408498809"/>
      <w:bookmarkStart w:id="94" w:name="_Toc417563656"/>
      <w:r>
        <w:rPr>
          <w:rStyle w:val="CharSectno"/>
        </w:rPr>
        <w:t>34</w:t>
      </w:r>
      <w:r>
        <w:rPr>
          <w:snapToGrid w:val="0"/>
        </w:rPr>
        <w:t>.</w:t>
      </w:r>
      <w:r>
        <w:rPr>
          <w:snapToGrid w:val="0"/>
        </w:rPr>
        <w:tab/>
        <w:t>Unauthorised buildings etc.</w:t>
      </w:r>
      <w:bookmarkEnd w:id="93"/>
      <w:bookmarkEnd w:id="94"/>
      <w:r>
        <w:rPr>
          <w:snapToGrid w:val="0"/>
        </w:rPr>
        <w:t xml:space="preserve"> </w:t>
      </w:r>
    </w:p>
    <w:p>
      <w:pPr>
        <w:pStyle w:val="Subsection"/>
        <w:rPr>
          <w:snapToGrid w:val="0"/>
        </w:rPr>
      </w:pPr>
      <w:r>
        <w:rPr>
          <w:snapToGrid w:val="0"/>
        </w:rPr>
        <w:tab/>
        <w:t>(1)</w:t>
      </w:r>
      <w:r>
        <w:rPr>
          <w:snapToGrid w:val="0"/>
        </w:rPr>
        <w:tab/>
        <w:t>A person must not, without lawful authority, erect or place any structure on CALM land.</w:t>
      </w:r>
    </w:p>
    <w:p>
      <w:pPr>
        <w:pStyle w:val="Penstart"/>
        <w:rPr>
          <w:snapToGrid w:val="0"/>
        </w:rPr>
      </w:pPr>
      <w:r>
        <w:rPr>
          <w:snapToGrid w:val="0"/>
        </w:rPr>
        <w:tab/>
        <w:t xml:space="preserve">Penalty: </w:t>
      </w:r>
      <w:r>
        <w:t>a fine of</w:t>
      </w:r>
      <w:r>
        <w:rPr>
          <w:snapToGrid w:val="0"/>
        </w:rPr>
        <w:t xml:space="preserve"> $2 000.</w:t>
      </w:r>
    </w:p>
    <w:p>
      <w:pPr>
        <w:pStyle w:val="Subsection"/>
      </w:pPr>
      <w:r>
        <w:tab/>
        <w:t>(2)</w:t>
      </w:r>
      <w:r>
        <w:tab/>
        <w:t xml:space="preserve">In subregulation (1) — </w:t>
      </w:r>
    </w:p>
    <w:p>
      <w:pPr>
        <w:pStyle w:val="Defstart"/>
      </w:pPr>
      <w:r>
        <w:tab/>
      </w:r>
      <w:r>
        <w:rPr>
          <w:rStyle w:val="CharDefText"/>
        </w:rPr>
        <w:t>structure</w:t>
      </w:r>
      <w:r>
        <w:t xml:space="preserve"> — </w:t>
      </w:r>
    </w:p>
    <w:p>
      <w:pPr>
        <w:pStyle w:val="Defpara"/>
      </w:pPr>
      <w:r>
        <w:tab/>
        <w:t>(a)</w:t>
      </w:r>
      <w:r>
        <w:tab/>
        <w:t>includes any building, tramline, fence, post, pipeline, jetty, pontoon, cairn, memorial, ramp, barrier or gate;</w:t>
      </w:r>
    </w:p>
    <w:p>
      <w:pPr>
        <w:pStyle w:val="Defpara"/>
      </w:pPr>
      <w:r>
        <w:tab/>
        <w:t>(b)</w:t>
      </w:r>
      <w:r>
        <w:tab/>
        <w:t>does not include a mooring.</w:t>
      </w:r>
    </w:p>
    <w:p>
      <w:pPr>
        <w:pStyle w:val="Subsection"/>
      </w:pPr>
      <w:r>
        <w:tab/>
        <w:t>(3)</w:t>
      </w:r>
      <w:r>
        <w:tab/>
        <w:t>An authorised officer may direct a person who has contravened subregulation (1) to pull down, take apart or remove the structure.</w:t>
      </w:r>
    </w:p>
    <w:p>
      <w:pPr>
        <w:pStyle w:val="Subsection"/>
        <w:keepNext/>
      </w:pPr>
      <w:r>
        <w:tab/>
        <w:t>(4)</w:t>
      </w:r>
      <w:r>
        <w:tab/>
        <w:t>The person must comply with the direction.</w:t>
      </w:r>
    </w:p>
    <w:p>
      <w:pPr>
        <w:pStyle w:val="Penstart"/>
      </w:pPr>
      <w:r>
        <w:tab/>
        <w:t>Penalty: a fine of $2 000.</w:t>
      </w:r>
    </w:p>
    <w:p>
      <w:pPr>
        <w:pStyle w:val="Footnotesection"/>
      </w:pPr>
      <w:r>
        <w:tab/>
        <w:t>[Regulation 34 amended in Gazette 29 Sep 2006 p. 4308</w:t>
      </w:r>
      <w:r>
        <w:noBreakHyphen/>
        <w:t>9; 3 Dec 2010 p. 6047 and 6052</w:t>
      </w:r>
      <w:r>
        <w:noBreakHyphen/>
        <w:t>3.]</w:t>
      </w:r>
    </w:p>
    <w:p>
      <w:pPr>
        <w:pStyle w:val="Heading5"/>
        <w:rPr>
          <w:snapToGrid w:val="0"/>
        </w:rPr>
      </w:pPr>
      <w:bookmarkStart w:id="95" w:name="_Toc408498810"/>
      <w:bookmarkStart w:id="96" w:name="_Toc417563657"/>
      <w:r>
        <w:rPr>
          <w:rStyle w:val="CharSectno"/>
        </w:rPr>
        <w:t>35</w:t>
      </w:r>
      <w:r>
        <w:rPr>
          <w:snapToGrid w:val="0"/>
        </w:rPr>
        <w:t>.</w:t>
      </w:r>
      <w:r>
        <w:rPr>
          <w:snapToGrid w:val="0"/>
        </w:rPr>
        <w:tab/>
        <w:t>Unauthorised clearing</w:t>
      </w:r>
      <w:bookmarkEnd w:id="95"/>
      <w:bookmarkEnd w:id="96"/>
      <w:r>
        <w:rPr>
          <w:snapToGrid w:val="0"/>
        </w:rPr>
        <w:t xml:space="preserve"> </w:t>
      </w:r>
    </w:p>
    <w:p>
      <w:pPr>
        <w:pStyle w:val="Subsection"/>
        <w:rPr>
          <w:snapToGrid w:val="0"/>
        </w:rPr>
      </w:pPr>
      <w:r>
        <w:rPr>
          <w:snapToGrid w:val="0"/>
        </w:rPr>
        <w:tab/>
      </w:r>
      <w:r>
        <w:rPr>
          <w:snapToGrid w:val="0"/>
        </w:rPr>
        <w:tab/>
        <w:t>A person must not, without lawful authority, construct or mark out any road, track, fire break, landing strip, parking area, vessel launching area or pad or platform for building or machinery on CALM land.</w:t>
      </w:r>
    </w:p>
    <w:p>
      <w:pPr>
        <w:pStyle w:val="Penstart"/>
        <w:rPr>
          <w:snapToGrid w:val="0"/>
        </w:rPr>
      </w:pPr>
      <w:r>
        <w:rPr>
          <w:snapToGrid w:val="0"/>
        </w:rPr>
        <w:tab/>
        <w:t xml:space="preserve">Penalty: </w:t>
      </w:r>
      <w:r>
        <w:t>a fine of</w:t>
      </w:r>
      <w:r>
        <w:rPr>
          <w:snapToGrid w:val="0"/>
        </w:rPr>
        <w:t xml:space="preserve"> $2 000.</w:t>
      </w:r>
    </w:p>
    <w:p>
      <w:pPr>
        <w:pStyle w:val="Footnotesection"/>
      </w:pPr>
      <w:r>
        <w:tab/>
        <w:t>[Regulation 35 amended in Gazette 3 Dec 2010 p. 6052</w:t>
      </w:r>
      <w:r>
        <w:noBreakHyphen/>
        <w:t>3.]</w:t>
      </w:r>
    </w:p>
    <w:p>
      <w:pPr>
        <w:pStyle w:val="Heading5"/>
      </w:pPr>
      <w:bookmarkStart w:id="97" w:name="_Toc408498811"/>
      <w:bookmarkStart w:id="98" w:name="_Toc417563658"/>
      <w:r>
        <w:rPr>
          <w:rStyle w:val="CharSectno"/>
        </w:rPr>
        <w:t>35A</w:t>
      </w:r>
      <w:r>
        <w:t>.</w:t>
      </w:r>
      <w:r>
        <w:tab/>
        <w:t>Quarrying, removing or disturbing soil etc.</w:t>
      </w:r>
      <w:bookmarkEnd w:id="97"/>
      <w:bookmarkEnd w:id="98"/>
    </w:p>
    <w:p>
      <w:pPr>
        <w:pStyle w:val="Subsection"/>
      </w:pPr>
      <w:r>
        <w:tab/>
        <w:t>(1)</w:t>
      </w:r>
      <w:r>
        <w:tab/>
        <w:t>A person must not, without lawful authority, disturb or remove leaf mould, rotting vegetation, humus, soil, stone or gravel on or in CALM land.</w:t>
      </w:r>
    </w:p>
    <w:p>
      <w:pPr>
        <w:pStyle w:val="Penstart"/>
      </w:pPr>
      <w:r>
        <w:tab/>
        <w:t>Penalty: a fine of $2 000.</w:t>
      </w:r>
    </w:p>
    <w:p>
      <w:pPr>
        <w:pStyle w:val="Subsection"/>
      </w:pPr>
      <w:r>
        <w:tab/>
        <w:t>(2)</w:t>
      </w:r>
      <w:r>
        <w:tab/>
        <w:t xml:space="preserve">In this regulation — </w:t>
      </w:r>
    </w:p>
    <w:p>
      <w:pPr>
        <w:pStyle w:val="Defstart"/>
      </w:pPr>
      <w:r>
        <w:rPr>
          <w:b/>
        </w:rPr>
        <w:tab/>
      </w:r>
      <w:r>
        <w:rPr>
          <w:rStyle w:val="CharDefText"/>
        </w:rPr>
        <w:t>soil</w:t>
      </w:r>
      <w:r>
        <w:t xml:space="preserve"> includes sand, shale, clay and evaporites.</w:t>
      </w:r>
    </w:p>
    <w:p>
      <w:pPr>
        <w:pStyle w:val="Footnotesection"/>
      </w:pPr>
      <w:r>
        <w:tab/>
        <w:t>[Regulation 35A inserted in Gazette 29 Sep 2006 p. 4309; amended in Gazette 3 Dec 2010 p. 6052</w:t>
      </w:r>
      <w:r>
        <w:noBreakHyphen/>
        <w:t>3.]</w:t>
      </w:r>
    </w:p>
    <w:p>
      <w:pPr>
        <w:pStyle w:val="Heading5"/>
        <w:rPr>
          <w:snapToGrid w:val="0"/>
        </w:rPr>
      </w:pPr>
      <w:bookmarkStart w:id="99" w:name="_Toc408498812"/>
      <w:bookmarkStart w:id="100" w:name="_Toc417563659"/>
      <w:r>
        <w:rPr>
          <w:rStyle w:val="CharSectno"/>
        </w:rPr>
        <w:t>36</w:t>
      </w:r>
      <w:r>
        <w:rPr>
          <w:snapToGrid w:val="0"/>
        </w:rPr>
        <w:t>.</w:t>
      </w:r>
      <w:r>
        <w:rPr>
          <w:snapToGrid w:val="0"/>
        </w:rPr>
        <w:tab/>
        <w:t>Dumping</w:t>
      </w:r>
      <w:bookmarkEnd w:id="99"/>
      <w:bookmarkEnd w:id="100"/>
      <w:r>
        <w:rPr>
          <w:snapToGrid w:val="0"/>
        </w:rPr>
        <w:t xml:space="preserve"> </w:t>
      </w:r>
    </w:p>
    <w:p>
      <w:pPr>
        <w:pStyle w:val="Subsection"/>
        <w:rPr>
          <w:snapToGrid w:val="0"/>
        </w:rPr>
      </w:pPr>
      <w:r>
        <w:rPr>
          <w:snapToGrid w:val="0"/>
        </w:rPr>
        <w:tab/>
      </w:r>
      <w:r>
        <w:rPr>
          <w:snapToGrid w:val="0"/>
        </w:rPr>
        <w:tab/>
        <w:t>A person must not, without lawful authority, abandon any vehicle, vessel, machinery or any part of a vehicle, vessel or machinery, on CALM land.</w:t>
      </w:r>
    </w:p>
    <w:p>
      <w:pPr>
        <w:pStyle w:val="Penstart"/>
        <w:rPr>
          <w:snapToGrid w:val="0"/>
        </w:rPr>
      </w:pPr>
      <w:r>
        <w:rPr>
          <w:snapToGrid w:val="0"/>
        </w:rPr>
        <w:tab/>
        <w:t xml:space="preserve">Penalty: </w:t>
      </w:r>
      <w:r>
        <w:t>a fine of</w:t>
      </w:r>
      <w:r>
        <w:rPr>
          <w:snapToGrid w:val="0"/>
        </w:rPr>
        <w:t xml:space="preserve"> $2 000.</w:t>
      </w:r>
    </w:p>
    <w:p>
      <w:pPr>
        <w:pStyle w:val="Footnotesection"/>
      </w:pPr>
      <w:r>
        <w:tab/>
        <w:t>[Regulation 36 amended in Gazette 3 Dec 2010 p. 6052</w:t>
      </w:r>
      <w:r>
        <w:noBreakHyphen/>
        <w:t>3.]</w:t>
      </w:r>
    </w:p>
    <w:p>
      <w:pPr>
        <w:pStyle w:val="Heading5"/>
        <w:rPr>
          <w:snapToGrid w:val="0"/>
        </w:rPr>
      </w:pPr>
      <w:bookmarkStart w:id="101" w:name="_Toc408498813"/>
      <w:bookmarkStart w:id="102" w:name="_Toc417563660"/>
      <w:r>
        <w:rPr>
          <w:rStyle w:val="CharSectno"/>
        </w:rPr>
        <w:t>37</w:t>
      </w:r>
      <w:r>
        <w:rPr>
          <w:snapToGrid w:val="0"/>
        </w:rPr>
        <w:t>.</w:t>
      </w:r>
      <w:r>
        <w:rPr>
          <w:snapToGrid w:val="0"/>
        </w:rPr>
        <w:tab/>
        <w:t>Damage to property</w:t>
      </w:r>
      <w:bookmarkEnd w:id="101"/>
      <w:bookmarkEnd w:id="102"/>
      <w:r>
        <w:rPr>
          <w:snapToGrid w:val="0"/>
        </w:rPr>
        <w:t xml:space="preserve"> </w:t>
      </w:r>
    </w:p>
    <w:p>
      <w:pPr>
        <w:pStyle w:val="Subsection"/>
        <w:rPr>
          <w:snapToGrid w:val="0"/>
        </w:rPr>
      </w:pPr>
      <w:r>
        <w:rPr>
          <w:snapToGrid w:val="0"/>
        </w:rPr>
        <w:tab/>
        <w:t>(1)</w:t>
      </w:r>
      <w:r>
        <w:rPr>
          <w:snapToGrid w:val="0"/>
        </w:rPr>
        <w:tab/>
        <w:t>A person must not, without lawful authority — </w:t>
      </w:r>
    </w:p>
    <w:p>
      <w:pPr>
        <w:pStyle w:val="Indenta"/>
        <w:rPr>
          <w:snapToGrid w:val="0"/>
        </w:rPr>
      </w:pPr>
      <w:r>
        <w:rPr>
          <w:snapToGrid w:val="0"/>
        </w:rPr>
        <w:tab/>
        <w:t>(a)</w:t>
      </w:r>
      <w:r>
        <w:rPr>
          <w:snapToGrid w:val="0"/>
        </w:rPr>
        <w:tab/>
        <w:t>post, stick, stamp, stencil or otherwise affix any notice, handbill, placard, advertisement, paper or other document on or to any thing or structure that is part of the landscape or property on CALM land; or</w:t>
      </w:r>
    </w:p>
    <w:p>
      <w:pPr>
        <w:pStyle w:val="Indenta"/>
        <w:rPr>
          <w:snapToGrid w:val="0"/>
        </w:rPr>
      </w:pPr>
      <w:r>
        <w:rPr>
          <w:snapToGrid w:val="0"/>
        </w:rPr>
        <w:tab/>
        <w:t>(b)</w:t>
      </w:r>
      <w:r>
        <w:rPr>
          <w:snapToGrid w:val="0"/>
        </w:rPr>
        <w:tab/>
        <w:t xml:space="preserve">write, draw or paint on or deface any thing or structure that is part of the landscape or property on CALM land. </w:t>
      </w:r>
    </w:p>
    <w:p>
      <w:pPr>
        <w:pStyle w:val="Penstart"/>
        <w:rPr>
          <w:snapToGrid w:val="0"/>
        </w:rPr>
      </w:pPr>
      <w:r>
        <w:rPr>
          <w:snapToGrid w:val="0"/>
        </w:rPr>
        <w:tab/>
        <w:t xml:space="preserve">Penalty: </w:t>
      </w:r>
      <w:r>
        <w:t>a fine of</w:t>
      </w:r>
      <w:r>
        <w:rPr>
          <w:snapToGrid w:val="0"/>
        </w:rPr>
        <w:t xml:space="preserve"> $500.</w:t>
      </w:r>
    </w:p>
    <w:p>
      <w:pPr>
        <w:pStyle w:val="Subsection"/>
        <w:rPr>
          <w:snapToGrid w:val="0"/>
        </w:rPr>
      </w:pPr>
      <w:r>
        <w:rPr>
          <w:snapToGrid w:val="0"/>
        </w:rPr>
        <w:tab/>
        <w:t>(2)</w:t>
      </w:r>
      <w:r>
        <w:rPr>
          <w:snapToGrid w:val="0"/>
        </w:rPr>
        <w:tab/>
        <w:t>A person must not, without lawful authority, cause any damage or disturbance to, or interfere with, any ticket vending machine, sign</w:t>
      </w:r>
      <w:r>
        <w:t xml:space="preserve">, Aboriginal site or artefact, </w:t>
      </w:r>
      <w:r>
        <w:rPr>
          <w:snapToGrid w:val="0"/>
        </w:rPr>
        <w:t>or other thing or structure that is part of the landscape or property on CALM land.</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(3)</w:t>
      </w:r>
      <w:r>
        <w:rPr>
          <w:snapToGrid w:val="0"/>
        </w:rPr>
        <w:tab/>
        <w:t xml:space="preserve">Nothing in subregulation (1)(a) applies to the use of a notice board set up with the authority of the </w:t>
      </w:r>
      <w:r>
        <w:t xml:space="preserve">CEO </w:t>
      </w:r>
      <w:r>
        <w:rPr>
          <w:snapToGrid w:val="0"/>
        </w:rPr>
        <w:t>for public use.</w:t>
      </w:r>
    </w:p>
    <w:p>
      <w:pPr>
        <w:pStyle w:val="Footnotesection"/>
      </w:pPr>
      <w:r>
        <w:tab/>
        <w:t>[Regulation 37 amended in Gazette 29 Sep 2006 p. 4309 and 4334; 3 Dec 2010 p. 6052</w:t>
      </w:r>
      <w:r>
        <w:noBreakHyphen/>
        <w:t>3.]</w:t>
      </w:r>
    </w:p>
    <w:p>
      <w:pPr>
        <w:pStyle w:val="Heading5"/>
        <w:rPr>
          <w:snapToGrid w:val="0"/>
        </w:rPr>
      </w:pPr>
      <w:bookmarkStart w:id="103" w:name="_Toc408498814"/>
      <w:bookmarkStart w:id="104" w:name="_Toc417563661"/>
      <w:r>
        <w:rPr>
          <w:rStyle w:val="CharSectno"/>
        </w:rPr>
        <w:t>38</w:t>
      </w:r>
      <w:r>
        <w:rPr>
          <w:snapToGrid w:val="0"/>
        </w:rPr>
        <w:t>.</w:t>
      </w:r>
      <w:r>
        <w:rPr>
          <w:snapToGrid w:val="0"/>
        </w:rPr>
        <w:tab/>
        <w:t>Unauthorised signs</w:t>
      </w:r>
      <w:bookmarkEnd w:id="103"/>
      <w:bookmarkEnd w:id="104"/>
      <w:r>
        <w:rPr>
          <w:snapToGrid w:val="0"/>
        </w:rPr>
        <w:t xml:space="preserve"> </w:t>
      </w:r>
    </w:p>
    <w:p>
      <w:pPr>
        <w:pStyle w:val="Subsection"/>
        <w:rPr>
          <w:snapToGrid w:val="0"/>
        </w:rPr>
      </w:pPr>
      <w:r>
        <w:rPr>
          <w:snapToGrid w:val="0"/>
        </w:rPr>
        <w:tab/>
        <w:t>(1)</w:t>
      </w:r>
      <w:r>
        <w:rPr>
          <w:snapToGrid w:val="0"/>
        </w:rPr>
        <w:tab/>
        <w:t>A person must not, without lawful authority, erect any sign or notice on CALM land.</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(2)</w:t>
      </w:r>
      <w:r>
        <w:rPr>
          <w:snapToGrid w:val="0"/>
        </w:rPr>
        <w:tab/>
        <w:t>An authorised officer may remove any sign or notice erected without lawful authority on CALM land.</w:t>
      </w:r>
    </w:p>
    <w:p>
      <w:pPr>
        <w:pStyle w:val="Footnotesection"/>
      </w:pPr>
      <w:r>
        <w:tab/>
        <w:t>[Regulation 38 amended in Gazette 3 Dec 2010 p. 6052</w:t>
      </w:r>
      <w:r>
        <w:noBreakHyphen/>
        <w:t>3.]</w:t>
      </w:r>
    </w:p>
    <w:p>
      <w:pPr>
        <w:pStyle w:val="Heading5"/>
        <w:rPr>
          <w:snapToGrid w:val="0"/>
        </w:rPr>
      </w:pPr>
      <w:bookmarkStart w:id="105" w:name="_Toc408498815"/>
      <w:bookmarkStart w:id="106" w:name="_Toc417563662"/>
      <w:r>
        <w:rPr>
          <w:rStyle w:val="CharSectno"/>
        </w:rPr>
        <w:t>39</w:t>
      </w:r>
      <w:r>
        <w:rPr>
          <w:snapToGrid w:val="0"/>
        </w:rPr>
        <w:t>.</w:t>
      </w:r>
      <w:r>
        <w:rPr>
          <w:snapToGrid w:val="0"/>
        </w:rPr>
        <w:tab/>
        <w:t>Unlawful lighting of campfires etc.</w:t>
      </w:r>
      <w:bookmarkEnd w:id="105"/>
      <w:bookmarkEnd w:id="106"/>
      <w:r>
        <w:rPr>
          <w:snapToGrid w:val="0"/>
        </w:rPr>
        <w:t xml:space="preserve"> </w:t>
      </w:r>
    </w:p>
    <w:p>
      <w:pPr>
        <w:pStyle w:val="Subsection"/>
        <w:rPr>
          <w:snapToGrid w:val="0"/>
        </w:rPr>
      </w:pPr>
      <w:r>
        <w:rPr>
          <w:snapToGrid w:val="0"/>
        </w:rPr>
        <w:tab/>
        <w:t>(1)</w:t>
      </w:r>
      <w:r>
        <w:rPr>
          <w:snapToGrid w:val="0"/>
        </w:rPr>
        <w:tab/>
        <w:t xml:space="preserve">A person must not, without lawful authority, </w:t>
      </w:r>
      <w:r>
        <w:t>light, kindle, maintain or use, or assist another person in lighting, kindling or maintaining</w:t>
      </w:r>
      <w:r>
        <w:rPr>
          <w:snapToGrid w:val="0"/>
        </w:rPr>
        <w:t>, a campfire, barbecue or portable stove on CALM land —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 xml:space="preserve">in a restricted area where that activity — </w:t>
      </w:r>
    </w:p>
    <w:p>
      <w:pPr>
        <w:pStyle w:val="Indenti"/>
        <w:rPr>
          <w:snapToGrid w:val="0"/>
        </w:rPr>
      </w:pPr>
      <w:r>
        <w:rPr>
          <w:snapToGrid w:val="0"/>
        </w:rPr>
        <w:tab/>
        <w:t>(i)</w:t>
      </w:r>
      <w:r>
        <w:rPr>
          <w:snapToGrid w:val="0"/>
        </w:rPr>
        <w:tab/>
        <w:t>is prohibited under regulation 5; or</w:t>
      </w:r>
    </w:p>
    <w:p>
      <w:pPr>
        <w:pStyle w:val="Indenti"/>
        <w:rPr>
          <w:snapToGrid w:val="0"/>
        </w:rPr>
      </w:pPr>
      <w:r>
        <w:rPr>
          <w:snapToGrid w:val="0"/>
        </w:rPr>
        <w:tab/>
        <w:t>(ii)</w:t>
      </w:r>
      <w:r>
        <w:rPr>
          <w:snapToGrid w:val="0"/>
        </w:rPr>
        <w:tab/>
        <w:t>contravenes a restriction imposed on that activity under regulation 5;</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where flora and forest produce is in danger of being burnt or</w:t>
      </w:r>
      <w:r>
        <w:t xml:space="preserve"> injured; or</w:t>
      </w:r>
    </w:p>
    <w:p>
      <w:pPr>
        <w:pStyle w:val="Indenta"/>
        <w:rPr>
          <w:rStyle w:val="DraftersNotes"/>
          <w:b w:val="0"/>
          <w:i w:val="0"/>
        </w:rPr>
      </w:pPr>
      <w:r>
        <w:tab/>
        <w:t>(d)</w:t>
      </w:r>
      <w:r>
        <w:tab/>
        <w:t>contrary to any direction on a sign relating to that CALM land or an area of that land specified in the sign; or</w:t>
      </w:r>
    </w:p>
    <w:p>
      <w:pPr>
        <w:pStyle w:val="Indenta"/>
      </w:pPr>
      <w:r>
        <w:tab/>
        <w:t>(e)</w:t>
      </w:r>
      <w:r>
        <w:tab/>
        <w:t>where there is in force a fire danger forecast issued by the Bureau of Meteorology of “high”, “very high”, “severe”, “extreme” or “catastrophic” that relates to, or includes, that CALM land.</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tab/>
        <w:t>(2)</w:t>
      </w:r>
      <w:r>
        <w:tab/>
      </w:r>
      <w:r>
        <w:rPr>
          <w:snapToGrid w:val="0"/>
        </w:rPr>
        <w:t>A person must not, without lawful authority — </w:t>
      </w:r>
    </w:p>
    <w:p>
      <w:pPr>
        <w:pStyle w:val="Indenta"/>
        <w:rPr>
          <w:snapToGrid w:val="0"/>
        </w:rPr>
      </w:pPr>
      <w:r>
        <w:rPr>
          <w:snapToGrid w:val="0"/>
        </w:rPr>
        <w:tab/>
        <w:t>(a)</w:t>
      </w:r>
      <w:r>
        <w:rPr>
          <w:snapToGrid w:val="0"/>
        </w:rPr>
        <w:tab/>
        <w:t>light, kindle, maintain or use, or assist another person in lighting, kindling or maintaining, any fire within the boundaries or within 20 m of any boundary of CALM land; or</w:t>
      </w:r>
    </w:p>
    <w:p>
      <w:pPr>
        <w:pStyle w:val="Indenta"/>
        <w:rPr>
          <w:snapToGrid w:val="0"/>
        </w:rPr>
      </w:pPr>
      <w:r>
        <w:rPr>
          <w:snapToGrid w:val="0"/>
        </w:rPr>
        <w:tab/>
        <w:t>(b)</w:t>
      </w:r>
      <w:r>
        <w:rPr>
          <w:snapToGrid w:val="0"/>
        </w:rPr>
        <w:tab/>
        <w:t>leave a fire described in paragraph (a) without taking due precaution against its spreading or causing injury,</w:t>
      </w:r>
    </w:p>
    <w:p>
      <w:pPr>
        <w:pStyle w:val="Subsection"/>
        <w:rPr>
          <w:snapToGrid w:val="0"/>
        </w:rPr>
      </w:pPr>
      <w:r>
        <w:rPr>
          <w:snapToGrid w:val="0"/>
        </w:rPr>
        <w:tab/>
      </w:r>
      <w:r>
        <w:rPr>
          <w:snapToGrid w:val="0"/>
        </w:rPr>
        <w:tab/>
        <w:t>if in either case any flora or forest produce is in danger of being burnt or injured.</w:t>
      </w:r>
    </w:p>
    <w:p>
      <w:pPr>
        <w:pStyle w:val="Penstart"/>
        <w:rPr>
          <w:snapToGrid w:val="0"/>
        </w:rPr>
      </w:pPr>
      <w:r>
        <w:rPr>
          <w:snapToGrid w:val="0"/>
        </w:rPr>
        <w:tab/>
        <w:t xml:space="preserve">Penalty: </w:t>
      </w:r>
      <w:r>
        <w:t>a fine of</w:t>
      </w:r>
      <w:r>
        <w:rPr>
          <w:snapToGrid w:val="0"/>
        </w:rPr>
        <w:t xml:space="preserve"> $2 000.</w:t>
      </w:r>
    </w:p>
    <w:p>
      <w:pPr>
        <w:pStyle w:val="Subsection"/>
      </w:pPr>
      <w:r>
        <w:tab/>
        <w:t>(3)</w:t>
      </w:r>
      <w:r>
        <w:tab/>
        <w:t>Subregulation (2) does not apply to a campfire, barbecue or portable stove on CALM land.</w:t>
      </w:r>
    </w:p>
    <w:p>
      <w:pPr>
        <w:pStyle w:val="Subsection"/>
      </w:pPr>
      <w:r>
        <w:tab/>
        <w:t>(4)</w:t>
      </w:r>
      <w:r>
        <w:tab/>
        <w:t xml:space="preserve">Nothing in this regulation affects the application of section 104 of the Act or regulation 29(2), or section 25 of the </w:t>
      </w:r>
      <w:r>
        <w:rPr>
          <w:i/>
        </w:rPr>
        <w:t>Bush Fires Act 1954</w:t>
      </w:r>
      <w:r>
        <w:t>.</w:t>
      </w:r>
    </w:p>
    <w:p>
      <w:pPr>
        <w:pStyle w:val="Footnotesection"/>
      </w:pPr>
      <w:r>
        <w:tab/>
        <w:t>[Regulation 39 amended in Gazette 29 Sep 2006 p. 4309</w:t>
      </w:r>
      <w:r>
        <w:noBreakHyphen/>
        <w:t>10; 3 Dec 2010 p. 6052</w:t>
      </w:r>
      <w:r>
        <w:noBreakHyphen/>
        <w:t>3; 19 Sep 2014 p. 3330</w:t>
      </w:r>
      <w:r>
        <w:noBreakHyphen/>
        <w:t>1.]</w:t>
      </w:r>
    </w:p>
    <w:p>
      <w:pPr>
        <w:pStyle w:val="Heading5"/>
      </w:pPr>
      <w:bookmarkStart w:id="107" w:name="_Toc408498816"/>
      <w:bookmarkStart w:id="108" w:name="_Toc417563663"/>
      <w:r>
        <w:rPr>
          <w:rStyle w:val="CharSectno"/>
        </w:rPr>
        <w:t>40</w:t>
      </w:r>
      <w:r>
        <w:t>.</w:t>
      </w:r>
      <w:r>
        <w:tab/>
        <w:t>Extinguishment of camp fires, barbeques and portable stoves</w:t>
      </w:r>
      <w:bookmarkEnd w:id="107"/>
      <w:bookmarkEnd w:id="108"/>
    </w:p>
    <w:p>
      <w:pPr>
        <w:pStyle w:val="Subsection"/>
      </w:pPr>
      <w:r>
        <w:tab/>
        <w:t>(1)</w:t>
      </w:r>
      <w:r>
        <w:tab/>
        <w:t xml:space="preserve">An authorised officer may direct any person to extinguish a camp fire, barbeque or portable stove on CALM land if the authorised officer considers that the camp fire, barbeque or stove constitutes — </w:t>
      </w:r>
    </w:p>
    <w:p>
      <w:pPr>
        <w:pStyle w:val="Indenta"/>
      </w:pPr>
      <w:r>
        <w:tab/>
        <w:t>(a)</w:t>
      </w:r>
      <w:r>
        <w:tab/>
        <w:t>a fire risk to any part of that land; or</w:t>
      </w:r>
    </w:p>
    <w:p>
      <w:pPr>
        <w:pStyle w:val="Indenta"/>
      </w:pPr>
      <w:r>
        <w:tab/>
        <w:t>(b)</w:t>
      </w:r>
      <w:r>
        <w:tab/>
        <w:t>a danger to the public.</w:t>
      </w:r>
    </w:p>
    <w:p>
      <w:pPr>
        <w:pStyle w:val="Subsection"/>
      </w:pPr>
      <w:r>
        <w:tab/>
        <w:t>(2)</w:t>
      </w:r>
      <w:r>
        <w:tab/>
        <w:t xml:space="preserve">An authorised officer may direct a person directed under subregulation (1) to extinguish a camp fire to take such other steps as the authorised officer considers reasonably necessary — </w:t>
      </w:r>
    </w:p>
    <w:p>
      <w:pPr>
        <w:pStyle w:val="Indenta"/>
      </w:pPr>
      <w:r>
        <w:tab/>
        <w:t>(a)</w:t>
      </w:r>
      <w:r>
        <w:tab/>
        <w:t>to prevent the camp fire from reigniting after it is extinguished; or</w:t>
      </w:r>
    </w:p>
    <w:p>
      <w:pPr>
        <w:pStyle w:val="Indenta"/>
      </w:pPr>
      <w:r>
        <w:tab/>
        <w:t>(b)</w:t>
      </w:r>
      <w:r>
        <w:tab/>
        <w:t>to prevent anything in or in the vicinity of the camp fire from constituting a danger to the public after it is extinguished.</w:t>
      </w:r>
    </w:p>
    <w:p>
      <w:pPr>
        <w:pStyle w:val="Subsection"/>
      </w:pPr>
      <w:r>
        <w:tab/>
        <w:t>(3)</w:t>
      </w:r>
      <w:r>
        <w:tab/>
        <w:t>A person must comply with a direction under subregulation (1) or (2).</w:t>
      </w:r>
    </w:p>
    <w:p>
      <w:pPr>
        <w:pStyle w:val="Penstart"/>
      </w:pPr>
      <w:r>
        <w:tab/>
        <w:t>Penalty: a fine of $2 000.</w:t>
      </w:r>
    </w:p>
    <w:p>
      <w:pPr>
        <w:pStyle w:val="Footnotesection"/>
      </w:pPr>
      <w:r>
        <w:tab/>
        <w:t>[Regulation 40 inserted in Gazette 3 Dec 2010 p. 6047</w:t>
      </w:r>
      <w:r>
        <w:noBreakHyphen/>
        <w:t>8.]</w:t>
      </w:r>
    </w:p>
    <w:p>
      <w:pPr>
        <w:pStyle w:val="Heading5"/>
      </w:pPr>
      <w:bookmarkStart w:id="109" w:name="_Toc408498817"/>
      <w:bookmarkStart w:id="110" w:name="_Toc417563664"/>
      <w:r>
        <w:rPr>
          <w:rStyle w:val="CharSectno"/>
        </w:rPr>
        <w:t>40A</w:t>
      </w:r>
      <w:r>
        <w:t>.</w:t>
      </w:r>
      <w:r>
        <w:tab/>
        <w:t>Unlawful lighting of fires — only one conviction</w:t>
      </w:r>
      <w:bookmarkEnd w:id="109"/>
      <w:bookmarkEnd w:id="110"/>
    </w:p>
    <w:p>
      <w:pPr>
        <w:pStyle w:val="Subsection"/>
      </w:pPr>
      <w:r>
        <w:tab/>
      </w:r>
      <w:r>
        <w:tab/>
        <w:t xml:space="preserve">A person cannot be convicted of more than one offence arising from the one act or omission that contravenes 2 or more of the following provisions — </w:t>
      </w:r>
    </w:p>
    <w:p>
      <w:pPr>
        <w:pStyle w:val="Indenta"/>
      </w:pPr>
      <w:r>
        <w:tab/>
        <w:t>(a)</w:t>
      </w:r>
      <w:r>
        <w:tab/>
        <w:t>section 104(1) of the Act;</w:t>
      </w:r>
    </w:p>
    <w:p>
      <w:pPr>
        <w:pStyle w:val="Indenta"/>
      </w:pPr>
      <w:r>
        <w:tab/>
        <w:t>(b)</w:t>
      </w:r>
      <w:r>
        <w:tab/>
        <w:t>regulation 29(2);</w:t>
      </w:r>
    </w:p>
    <w:p>
      <w:pPr>
        <w:pStyle w:val="Indenta"/>
      </w:pPr>
      <w:r>
        <w:tab/>
        <w:t>(c)</w:t>
      </w:r>
      <w:r>
        <w:tab/>
        <w:t>regulation 39(1);</w:t>
      </w:r>
    </w:p>
    <w:p>
      <w:pPr>
        <w:pStyle w:val="Indenta"/>
      </w:pPr>
      <w:r>
        <w:tab/>
        <w:t>(d)</w:t>
      </w:r>
      <w:r>
        <w:tab/>
        <w:t>regulation 39(2).</w:t>
      </w:r>
    </w:p>
    <w:p>
      <w:pPr>
        <w:pStyle w:val="Footnotesection"/>
      </w:pPr>
      <w:r>
        <w:tab/>
        <w:t>[Regulation 40A inserted in Gazette 29 Sep 2006 p. 4310</w:t>
      </w:r>
      <w:r>
        <w:noBreakHyphen/>
        <w:t>11.]</w:t>
      </w:r>
    </w:p>
    <w:p>
      <w:pPr>
        <w:pStyle w:val="Heading2"/>
      </w:pPr>
      <w:bookmarkStart w:id="111" w:name="_Toc408498818"/>
      <w:bookmarkStart w:id="112" w:name="_Toc414889240"/>
      <w:bookmarkStart w:id="113" w:name="_Toc414975183"/>
      <w:bookmarkStart w:id="114" w:name="_Toc417563665"/>
      <w:r>
        <w:rPr>
          <w:rStyle w:val="CharPartNo"/>
        </w:rPr>
        <w:t>Part 3</w:t>
      </w:r>
      <w:r>
        <w:t xml:space="preserve"> — </w:t>
      </w:r>
      <w:r>
        <w:rPr>
          <w:rStyle w:val="CharPartText"/>
        </w:rPr>
        <w:t>Access to CALM land</w:t>
      </w:r>
      <w:bookmarkEnd w:id="111"/>
      <w:bookmarkEnd w:id="112"/>
      <w:bookmarkEnd w:id="113"/>
      <w:bookmarkEnd w:id="114"/>
    </w:p>
    <w:p>
      <w:pPr>
        <w:pStyle w:val="Heading3"/>
      </w:pPr>
      <w:bookmarkStart w:id="115" w:name="_Toc408498819"/>
      <w:bookmarkStart w:id="116" w:name="_Toc414889241"/>
      <w:bookmarkStart w:id="117" w:name="_Toc414975184"/>
      <w:bookmarkStart w:id="118" w:name="_Toc417563666"/>
      <w:r>
        <w:rPr>
          <w:rStyle w:val="CharDivNo"/>
        </w:rPr>
        <w:t>Division 1</w:t>
      </w:r>
      <w:r>
        <w:rPr>
          <w:snapToGrid w:val="0"/>
        </w:rPr>
        <w:t xml:space="preserve"> — </w:t>
      </w:r>
      <w:r>
        <w:rPr>
          <w:rStyle w:val="CharDivText"/>
        </w:rPr>
        <w:t>General</w:t>
      </w:r>
      <w:bookmarkEnd w:id="115"/>
      <w:bookmarkEnd w:id="116"/>
      <w:bookmarkEnd w:id="117"/>
      <w:bookmarkEnd w:id="118"/>
    </w:p>
    <w:p>
      <w:pPr>
        <w:pStyle w:val="Heading5"/>
        <w:spacing w:before="180"/>
        <w:rPr>
          <w:snapToGrid w:val="0"/>
        </w:rPr>
      </w:pPr>
      <w:bookmarkStart w:id="119" w:name="_Toc408498820"/>
      <w:bookmarkStart w:id="120" w:name="_Toc417563667"/>
      <w:r>
        <w:rPr>
          <w:rStyle w:val="CharSectno"/>
        </w:rPr>
        <w:t>41</w:t>
      </w:r>
      <w:r>
        <w:rPr>
          <w:snapToGrid w:val="0"/>
        </w:rPr>
        <w:t>.</w:t>
      </w:r>
      <w:r>
        <w:rPr>
          <w:snapToGrid w:val="0"/>
        </w:rPr>
        <w:tab/>
        <w:t>Access to certain classified areas</w:t>
      </w:r>
      <w:bookmarkEnd w:id="119"/>
      <w:bookmarkEnd w:id="120"/>
    </w:p>
    <w:p>
      <w:pPr>
        <w:pStyle w:val="Subsection"/>
        <w:spacing w:before="120"/>
        <w:rPr>
          <w:snapToGrid w:val="0"/>
        </w:rPr>
      </w:pPr>
      <w:r>
        <w:rPr>
          <w:snapToGrid w:val="0"/>
        </w:rPr>
        <w:tab/>
      </w:r>
      <w:r>
        <w:rPr>
          <w:snapToGrid w:val="0"/>
        </w:rPr>
        <w:tab/>
        <w:t>A person must not, without lawful authority, enter any land or waters classified — </w:t>
      </w:r>
    </w:p>
    <w:p>
      <w:pPr>
        <w:pStyle w:val="Indenta"/>
        <w:spacing w:before="60"/>
        <w:rPr>
          <w:snapToGrid w:val="0"/>
        </w:rPr>
      </w:pPr>
      <w:r>
        <w:rPr>
          <w:snapToGrid w:val="0"/>
        </w:rPr>
        <w:tab/>
        <w:t>(a)</w:t>
      </w:r>
      <w:r>
        <w:rPr>
          <w:snapToGrid w:val="0"/>
        </w:rPr>
        <w:tab/>
        <w:t>under section 62(1)(b) of the Act as a prohibited area; or</w:t>
      </w:r>
    </w:p>
    <w:p>
      <w:pPr>
        <w:pStyle w:val="Indenta"/>
        <w:spacing w:before="60"/>
        <w:rPr>
          <w:snapToGrid w:val="0"/>
        </w:rPr>
      </w:pPr>
      <w:r>
        <w:rPr>
          <w:snapToGrid w:val="0"/>
        </w:rPr>
        <w:tab/>
        <w:t>(b)</w:t>
      </w:r>
      <w:r>
        <w:rPr>
          <w:snapToGrid w:val="0"/>
        </w:rPr>
        <w:tab/>
        <w:t>under section 62(1)(d) of the Act as a temporary</w:t>
      </w:r>
      <w:r>
        <w:t xml:space="preserve"> control area for a purpose referred to in section 62(2)(a)(i) or (ii) of the Act; or</w:t>
      </w:r>
    </w:p>
    <w:p>
      <w:pPr>
        <w:pStyle w:val="Indenta"/>
        <w:spacing w:before="60"/>
      </w:pPr>
      <w:r>
        <w:tab/>
        <w:t>(ca)</w:t>
      </w:r>
      <w:r>
        <w:tab/>
        <w:t>under section 62(1)(d) of the Act as a temporary control area for a purpose referred to in section 62(2)(a)(iii) of the Act; or</w:t>
      </w:r>
    </w:p>
    <w:p>
      <w:pPr>
        <w:pStyle w:val="Indenta"/>
        <w:spacing w:before="60"/>
      </w:pPr>
      <w:r>
        <w:rPr>
          <w:snapToGrid w:val="0"/>
        </w:rPr>
        <w:tab/>
        <w:t>(c)</w:t>
      </w:r>
      <w:r>
        <w:rPr>
          <w:snapToGrid w:val="0"/>
        </w:rPr>
        <w:tab/>
        <w:t xml:space="preserve">under section 62(1)(f) of the Act as </w:t>
      </w:r>
      <w:r>
        <w:t>a plant disease management area.</w:t>
      </w:r>
    </w:p>
    <w:p>
      <w:pPr>
        <w:pStyle w:val="Penstart"/>
        <w:rPr>
          <w:snapToGrid w:val="0"/>
        </w:rPr>
      </w:pPr>
      <w:r>
        <w:rPr>
          <w:snapToGrid w:val="0"/>
        </w:rPr>
        <w:tab/>
        <w:t xml:space="preserve">Penalty: </w:t>
      </w:r>
      <w:r>
        <w:t>a fine of</w:t>
      </w:r>
      <w:r>
        <w:rPr>
          <w:snapToGrid w:val="0"/>
        </w:rPr>
        <w:t xml:space="preserve"> $2 000.</w:t>
      </w:r>
    </w:p>
    <w:p>
      <w:pPr>
        <w:pStyle w:val="Footnotesection"/>
      </w:pPr>
      <w:r>
        <w:tab/>
        <w:t>[Regulation 41 amended in Gazette 3 Dec 2010 p. 6052</w:t>
      </w:r>
      <w:r>
        <w:noBreakHyphen/>
        <w:t>3; 7 Dec 2012 p. 5965-6.]</w:t>
      </w:r>
    </w:p>
    <w:p>
      <w:pPr>
        <w:pStyle w:val="Heading5"/>
        <w:spacing w:before="180"/>
      </w:pPr>
      <w:bookmarkStart w:id="121" w:name="_Toc408498821"/>
      <w:bookmarkStart w:id="122" w:name="_Toc417563668"/>
      <w:r>
        <w:rPr>
          <w:rStyle w:val="CharSectno"/>
        </w:rPr>
        <w:t>42</w:t>
      </w:r>
      <w:r>
        <w:t>.</w:t>
      </w:r>
      <w:r>
        <w:tab/>
        <w:t>Access to limited access areas</w:t>
      </w:r>
      <w:bookmarkEnd w:id="121"/>
      <w:bookmarkEnd w:id="122"/>
    </w:p>
    <w:p>
      <w:pPr>
        <w:pStyle w:val="Subsection"/>
        <w:spacing w:before="120"/>
      </w:pPr>
      <w:r>
        <w:tab/>
      </w:r>
      <w:r>
        <w:tab/>
        <w:t>A person must not, without lawful authority, enter otherwise than on foot or by vessel any land classified under section 62(1)(c) of the Act as a limited access area.</w:t>
      </w:r>
    </w:p>
    <w:p>
      <w:pPr>
        <w:pStyle w:val="Penstart"/>
      </w:pPr>
      <w:r>
        <w:tab/>
        <w:t>Penalty: a fine of $2 000.</w:t>
      </w:r>
    </w:p>
    <w:p>
      <w:pPr>
        <w:pStyle w:val="Footnotesection"/>
      </w:pPr>
      <w:r>
        <w:tab/>
        <w:t>[Regulation 42 inserted in Gazette 7 Dec 2012 p. 5966.]</w:t>
      </w:r>
    </w:p>
    <w:p>
      <w:pPr>
        <w:pStyle w:val="Heading5"/>
        <w:spacing w:before="180"/>
        <w:rPr>
          <w:snapToGrid w:val="0"/>
        </w:rPr>
      </w:pPr>
      <w:bookmarkStart w:id="123" w:name="_Toc408498822"/>
      <w:bookmarkStart w:id="124" w:name="_Toc417563669"/>
      <w:r>
        <w:rPr>
          <w:rStyle w:val="CharSectno"/>
        </w:rPr>
        <w:t>43</w:t>
      </w:r>
      <w:r>
        <w:rPr>
          <w:snapToGrid w:val="0"/>
        </w:rPr>
        <w:t>.</w:t>
      </w:r>
      <w:r>
        <w:rPr>
          <w:snapToGrid w:val="0"/>
        </w:rPr>
        <w:tab/>
        <w:t>Access to wilderness areas (Act s. 62(1)(a))</w:t>
      </w:r>
      <w:bookmarkEnd w:id="123"/>
      <w:bookmarkEnd w:id="124"/>
    </w:p>
    <w:p>
      <w:pPr>
        <w:pStyle w:val="Subsection"/>
        <w:keepNext/>
        <w:spacing w:before="120"/>
        <w:rPr>
          <w:snapToGrid w:val="0"/>
        </w:rPr>
      </w:pPr>
      <w:r>
        <w:rPr>
          <w:snapToGrid w:val="0"/>
        </w:rPr>
        <w:tab/>
      </w:r>
      <w:r>
        <w:rPr>
          <w:snapToGrid w:val="0"/>
        </w:rPr>
        <w:tab/>
        <w:t>A person must not, without lawful authority, enter by vehicle, powered vessel or animal any land or waters classified under section 62(1)(a) of the Act as a wilderness area.</w:t>
      </w:r>
    </w:p>
    <w:p>
      <w:pPr>
        <w:pStyle w:val="Penstart"/>
        <w:rPr>
          <w:snapToGrid w:val="0"/>
        </w:rPr>
      </w:pPr>
      <w:r>
        <w:rPr>
          <w:snapToGrid w:val="0"/>
        </w:rPr>
        <w:tab/>
        <w:t xml:space="preserve">Penalty: </w:t>
      </w:r>
      <w:r>
        <w:t>a fine of</w:t>
      </w:r>
      <w:r>
        <w:rPr>
          <w:snapToGrid w:val="0"/>
        </w:rPr>
        <w:t xml:space="preserve"> </w:t>
      </w:r>
      <w:r>
        <w:t>$2 000</w:t>
      </w:r>
      <w:r>
        <w:rPr>
          <w:snapToGrid w:val="0"/>
        </w:rPr>
        <w:t>.</w:t>
      </w:r>
    </w:p>
    <w:p>
      <w:pPr>
        <w:pStyle w:val="Footnotesection"/>
      </w:pPr>
      <w:r>
        <w:tab/>
        <w:t>[Regulation 43 amended in Gazette 3 Dec 2010 p. 6052</w:t>
      </w:r>
      <w:r>
        <w:noBreakHyphen/>
        <w:t>3; 19 Sep 2014 p. 3335.]</w:t>
      </w:r>
    </w:p>
    <w:p>
      <w:pPr>
        <w:pStyle w:val="Heading5"/>
        <w:rPr>
          <w:snapToGrid w:val="0"/>
        </w:rPr>
      </w:pPr>
      <w:bookmarkStart w:id="125" w:name="_Toc408498823"/>
      <w:bookmarkStart w:id="126" w:name="_Toc417563670"/>
      <w:r>
        <w:rPr>
          <w:rStyle w:val="CharSectno"/>
        </w:rPr>
        <w:t>44</w:t>
      </w:r>
      <w:r>
        <w:rPr>
          <w:snapToGrid w:val="0"/>
        </w:rPr>
        <w:t>.</w:t>
      </w:r>
      <w:r>
        <w:rPr>
          <w:snapToGrid w:val="0"/>
        </w:rPr>
        <w:tab/>
        <w:t>Direction to close area</w:t>
      </w:r>
      <w:bookmarkEnd w:id="125"/>
      <w:bookmarkEnd w:id="126"/>
      <w:r>
        <w:rPr>
          <w:snapToGrid w:val="0"/>
        </w:rPr>
        <w:t xml:space="preserve"> </w:t>
      </w:r>
    </w:p>
    <w:p>
      <w:pPr>
        <w:pStyle w:val="Subsection"/>
      </w:pPr>
      <w:r>
        <w:rPr>
          <w:snapToGrid w:val="0"/>
        </w:rPr>
        <w:tab/>
        <w:t>(1)</w:t>
      </w:r>
      <w:r>
        <w:rPr>
          <w:snapToGrid w:val="0"/>
        </w:rPr>
        <w:tab/>
        <w:t>If the CEO is satisfied that there is a significant and imminent threat of loss or harm to the safety or health of persons or fauna, or of damage to property or any part of the environment, the CEO may direct a named authorised officer to close as much CALM land as the officer thinks necessary to reduce or remove the threat.</w:t>
      </w:r>
    </w:p>
    <w:p>
      <w:pPr>
        <w:pStyle w:val="Subsection"/>
        <w:rPr>
          <w:snapToGrid w:val="0"/>
        </w:rPr>
      </w:pPr>
      <w:r>
        <w:rPr>
          <w:snapToGrid w:val="0"/>
        </w:rPr>
        <w:tab/>
        <w:t>(2)</w:t>
      </w:r>
      <w:r>
        <w:rPr>
          <w:snapToGrid w:val="0"/>
        </w:rPr>
        <w:tab/>
        <w:t xml:space="preserve">If the </w:t>
      </w:r>
      <w:r>
        <w:t xml:space="preserve">CEO </w:t>
      </w:r>
      <w:r>
        <w:rPr>
          <w:snapToGrid w:val="0"/>
        </w:rPr>
        <w:t xml:space="preserve">gives an oral direction for a closure under subregulation (1), the direction is to be confirmed by the </w:t>
      </w:r>
      <w:r>
        <w:t xml:space="preserve">CEO </w:t>
      </w:r>
      <w:r>
        <w:rPr>
          <w:snapToGrid w:val="0"/>
        </w:rPr>
        <w:t>in writing as soon as is reasonably practicable.</w:t>
      </w:r>
    </w:p>
    <w:p>
      <w:pPr>
        <w:pStyle w:val="Subsection"/>
        <w:rPr>
          <w:snapToGrid w:val="0"/>
        </w:rPr>
      </w:pPr>
      <w:r>
        <w:rPr>
          <w:snapToGrid w:val="0"/>
        </w:rPr>
        <w:tab/>
        <w:t>(3)</w:t>
      </w:r>
      <w:r>
        <w:rPr>
          <w:snapToGrid w:val="0"/>
        </w:rPr>
        <w:tab/>
        <w:t xml:space="preserve">The </w:t>
      </w:r>
      <w:r>
        <w:t xml:space="preserve">CEO </w:t>
      </w:r>
      <w:r>
        <w:rPr>
          <w:snapToGrid w:val="0"/>
        </w:rPr>
        <w:t>may vary or revoke a direction under subregulation (1) and is to revoke a direction as soon as practicable after being satisfied that the circumstances that gave rise to the direction no longer exist.</w:t>
      </w:r>
    </w:p>
    <w:p>
      <w:pPr>
        <w:pStyle w:val="Subsection"/>
      </w:pPr>
      <w:r>
        <w:tab/>
        <w:t>(4)</w:t>
      </w:r>
      <w:r>
        <w:tab/>
        <w:t>The closure of an area in a marine park or marine management area does not operate so as to prohibit a person entering or remaining in the area for the purpose of activities authorised in the area by an authorisation, licence, permit, lease, management plan or notice to which section 13D or 13E of the Act applies.</w:t>
      </w:r>
    </w:p>
    <w:p>
      <w:pPr>
        <w:pStyle w:val="Footnotesection"/>
      </w:pPr>
      <w:r>
        <w:tab/>
        <w:t>[Regulation 44 amended in Gazette 29 Sep 2006 p. 4311 and 4334.]</w:t>
      </w:r>
    </w:p>
    <w:p>
      <w:pPr>
        <w:pStyle w:val="Heading5"/>
        <w:rPr>
          <w:snapToGrid w:val="0"/>
        </w:rPr>
      </w:pPr>
      <w:bookmarkStart w:id="127" w:name="_Toc408498824"/>
      <w:bookmarkStart w:id="128" w:name="_Toc417563671"/>
      <w:r>
        <w:rPr>
          <w:rStyle w:val="CharSectno"/>
        </w:rPr>
        <w:t>45</w:t>
      </w:r>
      <w:r>
        <w:rPr>
          <w:snapToGrid w:val="0"/>
        </w:rPr>
        <w:t>.</w:t>
      </w:r>
      <w:r>
        <w:rPr>
          <w:snapToGrid w:val="0"/>
        </w:rPr>
        <w:tab/>
        <w:t>Closed area</w:t>
      </w:r>
      <w:bookmarkEnd w:id="127"/>
      <w:bookmarkEnd w:id="128"/>
      <w:r>
        <w:rPr>
          <w:snapToGrid w:val="0"/>
        </w:rPr>
        <w:t xml:space="preserve"> </w:t>
      </w:r>
    </w:p>
    <w:p>
      <w:pPr>
        <w:pStyle w:val="Subsection"/>
        <w:rPr>
          <w:snapToGrid w:val="0"/>
        </w:rPr>
      </w:pPr>
      <w:r>
        <w:rPr>
          <w:snapToGrid w:val="0"/>
        </w:rPr>
        <w:tab/>
        <w:t>(1)</w:t>
      </w:r>
      <w:r>
        <w:rPr>
          <w:snapToGrid w:val="0"/>
        </w:rPr>
        <w:tab/>
        <w:t>While a direction is in force under regulation 44, any authorised officer may by placement of signs, markings, barriers, or buoys mark out any area (whether one or more) that is for the time being closed for the purposes of that regulation.</w:t>
      </w:r>
    </w:p>
    <w:p>
      <w:pPr>
        <w:pStyle w:val="Subsection"/>
        <w:rPr>
          <w:snapToGrid w:val="0"/>
        </w:rPr>
      </w:pPr>
      <w:r>
        <w:rPr>
          <w:snapToGrid w:val="0"/>
        </w:rPr>
        <w:tab/>
        <w:t>(2)</w:t>
      </w:r>
      <w:r>
        <w:rPr>
          <w:snapToGrid w:val="0"/>
        </w:rPr>
        <w:tab/>
        <w:t>The dimensions of any closed area are not to be greater than is reasonably required for the purposes of regulation 44(1).</w:t>
      </w:r>
    </w:p>
    <w:p>
      <w:pPr>
        <w:pStyle w:val="Subsection"/>
        <w:rPr>
          <w:snapToGrid w:val="0"/>
        </w:rPr>
      </w:pPr>
      <w:r>
        <w:rPr>
          <w:snapToGrid w:val="0"/>
        </w:rPr>
        <w:tab/>
        <w:t>(3)</w:t>
      </w:r>
      <w:r>
        <w:rPr>
          <w:snapToGrid w:val="0"/>
        </w:rPr>
        <w:tab/>
        <w:t>Sufficient signs, markings, barriers or buoys are to be erected and maintained in or in the vicinity of a closed area indicating that entry to that area is prohibited without permission of an authorised officer.</w:t>
      </w:r>
    </w:p>
    <w:p>
      <w:pPr>
        <w:pStyle w:val="Subsection"/>
        <w:rPr>
          <w:snapToGrid w:val="0"/>
        </w:rPr>
      </w:pPr>
      <w:r>
        <w:rPr>
          <w:snapToGrid w:val="0"/>
        </w:rPr>
        <w:tab/>
        <w:t>(4)</w:t>
      </w:r>
      <w:r>
        <w:rPr>
          <w:snapToGrid w:val="0"/>
        </w:rPr>
        <w:tab/>
        <w:t>A sign, marking, barrier or buoy placed in the vicinity of any land or waters to which a direction under regulation 44 applies is to be presumed, in the absence of evidence to the contrary, to be a sign, marking, barrier or buoy placed by an authorised officer under subregulation (1).</w:t>
      </w:r>
    </w:p>
    <w:p>
      <w:pPr>
        <w:pStyle w:val="Footnotesection"/>
        <w:spacing w:before="100"/>
      </w:pPr>
      <w:r>
        <w:tab/>
        <w:t>[Regulation 45 amended in Gazette 29 Sep 2006 p. 4311.]</w:t>
      </w:r>
    </w:p>
    <w:p>
      <w:pPr>
        <w:pStyle w:val="Heading5"/>
        <w:rPr>
          <w:snapToGrid w:val="0"/>
        </w:rPr>
      </w:pPr>
      <w:bookmarkStart w:id="129" w:name="_Toc408498825"/>
      <w:bookmarkStart w:id="130" w:name="_Toc417563672"/>
      <w:r>
        <w:rPr>
          <w:rStyle w:val="CharSectno"/>
        </w:rPr>
        <w:t>46</w:t>
      </w:r>
      <w:r>
        <w:rPr>
          <w:snapToGrid w:val="0"/>
        </w:rPr>
        <w:t>.</w:t>
      </w:r>
      <w:r>
        <w:rPr>
          <w:snapToGrid w:val="0"/>
        </w:rPr>
        <w:tab/>
        <w:t>Offences relating to closed areas</w:t>
      </w:r>
      <w:bookmarkEnd w:id="129"/>
      <w:bookmarkEnd w:id="130"/>
      <w:r>
        <w:rPr>
          <w:snapToGrid w:val="0"/>
        </w:rPr>
        <w:t xml:space="preserve"> </w:t>
      </w:r>
    </w:p>
    <w:p>
      <w:pPr>
        <w:pStyle w:val="Subsection"/>
        <w:spacing w:before="140"/>
        <w:rPr>
          <w:snapToGrid w:val="0"/>
        </w:rPr>
      </w:pPr>
      <w:r>
        <w:rPr>
          <w:snapToGrid w:val="0"/>
        </w:rPr>
        <w:tab/>
        <w:t>(1)</w:t>
      </w:r>
      <w:r>
        <w:rPr>
          <w:snapToGrid w:val="0"/>
        </w:rPr>
        <w:tab/>
        <w:t>Subject to regulation 44(4), a person must not, without permission of an authorised officer, enter or remain in an area closed under regulation 45.</w:t>
      </w:r>
    </w:p>
    <w:p>
      <w:pPr>
        <w:pStyle w:val="Penstart"/>
        <w:rPr>
          <w:snapToGrid w:val="0"/>
        </w:rPr>
      </w:pPr>
      <w:r>
        <w:rPr>
          <w:snapToGrid w:val="0"/>
        </w:rPr>
        <w:tab/>
        <w:t xml:space="preserve">Penalty: </w:t>
      </w:r>
      <w:r>
        <w:t>a fine of</w:t>
      </w:r>
      <w:r>
        <w:rPr>
          <w:snapToGrid w:val="0"/>
        </w:rPr>
        <w:t xml:space="preserve"> </w:t>
      </w:r>
      <w:r>
        <w:t>$2 000</w:t>
      </w:r>
      <w:r>
        <w:rPr>
          <w:snapToGrid w:val="0"/>
        </w:rPr>
        <w:t>.</w:t>
      </w:r>
    </w:p>
    <w:p>
      <w:pPr>
        <w:pStyle w:val="Subsection"/>
        <w:spacing w:before="120"/>
        <w:rPr>
          <w:snapToGrid w:val="0"/>
        </w:rPr>
      </w:pPr>
      <w:r>
        <w:rPr>
          <w:snapToGrid w:val="0"/>
        </w:rPr>
        <w:tab/>
        <w:t>(2)</w:t>
      </w:r>
      <w:r>
        <w:rPr>
          <w:snapToGrid w:val="0"/>
        </w:rPr>
        <w:tab/>
        <w:t>An authorised officer may revoke a permission given to a person for the purposes of subregulation (1) in which case if the person is in a closed area he or she must leave the area immediately.</w:t>
      </w:r>
    </w:p>
    <w:p>
      <w:pPr>
        <w:pStyle w:val="Penstart"/>
        <w:rPr>
          <w:snapToGrid w:val="0"/>
        </w:rPr>
      </w:pPr>
      <w:r>
        <w:rPr>
          <w:snapToGrid w:val="0"/>
        </w:rPr>
        <w:tab/>
        <w:t xml:space="preserve">Penalty: </w:t>
      </w:r>
      <w:r>
        <w:t>a fine of</w:t>
      </w:r>
      <w:r>
        <w:rPr>
          <w:snapToGrid w:val="0"/>
        </w:rPr>
        <w:t xml:space="preserve"> </w:t>
      </w:r>
      <w:r>
        <w:t>$2 000</w:t>
      </w:r>
      <w:r>
        <w:rPr>
          <w:snapToGrid w:val="0"/>
        </w:rPr>
        <w:t>.</w:t>
      </w:r>
    </w:p>
    <w:p>
      <w:pPr>
        <w:pStyle w:val="Subsection"/>
        <w:spacing w:before="130"/>
        <w:rPr>
          <w:snapToGrid w:val="0"/>
        </w:rPr>
      </w:pPr>
      <w:r>
        <w:rPr>
          <w:snapToGrid w:val="0"/>
        </w:rPr>
        <w:tab/>
        <w:t>(3)</w:t>
      </w:r>
      <w:r>
        <w:rPr>
          <w:snapToGrid w:val="0"/>
        </w:rPr>
        <w:tab/>
        <w:t>An authorised officer may grant permission for the purposes of subregulation (1) subject to any condition, and during any period when the condition is not observed or performed by that person the permission is to be treated as having been revoked.</w:t>
      </w:r>
    </w:p>
    <w:p>
      <w:pPr>
        <w:pStyle w:val="Subsection"/>
        <w:spacing w:before="130"/>
        <w:rPr>
          <w:snapToGrid w:val="0"/>
        </w:rPr>
      </w:pPr>
      <w:r>
        <w:rPr>
          <w:snapToGrid w:val="0"/>
        </w:rPr>
        <w:tab/>
        <w:t>(4)</w:t>
      </w:r>
      <w:r>
        <w:rPr>
          <w:snapToGrid w:val="0"/>
        </w:rPr>
        <w:tab/>
        <w:t>It is a defence to a charge of contravening subregulation (1) or (2) for a person to show that his or her presence in a closed area without permission was necessary to prevent or mitigate injury to a person or damage to property.</w:t>
      </w:r>
    </w:p>
    <w:p>
      <w:pPr>
        <w:pStyle w:val="Footnotesection"/>
        <w:spacing w:before="100"/>
      </w:pPr>
      <w:r>
        <w:tab/>
        <w:t>[Regulation 46 amended in Gazette 3 Dec 2010 p. 6052</w:t>
      </w:r>
      <w:r>
        <w:noBreakHyphen/>
        <w:t>3; 19 Sep 2014 p. 3335.]</w:t>
      </w:r>
    </w:p>
    <w:p>
      <w:pPr>
        <w:pStyle w:val="Heading5"/>
      </w:pPr>
      <w:bookmarkStart w:id="131" w:name="_Toc408498826"/>
      <w:bookmarkStart w:id="132" w:name="_Toc417563673"/>
      <w:r>
        <w:rPr>
          <w:rStyle w:val="CharSectno"/>
        </w:rPr>
        <w:t>47</w:t>
      </w:r>
      <w:r>
        <w:t>.</w:t>
      </w:r>
      <w:r>
        <w:tab/>
        <w:t>Entering CALM land via gates etc.</w:t>
      </w:r>
      <w:bookmarkEnd w:id="131"/>
      <w:bookmarkEnd w:id="132"/>
    </w:p>
    <w:p>
      <w:pPr>
        <w:pStyle w:val="Subsection"/>
        <w:spacing w:before="130"/>
      </w:pPr>
      <w:r>
        <w:tab/>
        <w:t>(1)</w:t>
      </w:r>
      <w:r>
        <w:tab/>
        <w:t>If an entrance to an area of CALM land (other than land covered by subregulation (2)) is controlled by a gate or other barrier a person must not, without lawful authority, enter or cause a vehicle or animal to enter that area other than through that gate or barrier.</w:t>
      </w:r>
    </w:p>
    <w:p>
      <w:pPr>
        <w:pStyle w:val="Penstart"/>
      </w:pPr>
      <w:r>
        <w:tab/>
        <w:t>Penalty: a fine of $500.</w:t>
      </w:r>
    </w:p>
    <w:p>
      <w:pPr>
        <w:pStyle w:val="Subsection"/>
      </w:pPr>
      <w:r>
        <w:tab/>
        <w:t>(2)</w:t>
      </w:r>
      <w:r>
        <w:tab/>
        <w:t>A person must not, without lawful authority, unlock, dismantle or break down a locked gate or locked barrier controlling an entrance to an area of CALM land.</w:t>
      </w:r>
    </w:p>
    <w:p>
      <w:pPr>
        <w:pStyle w:val="Penstart"/>
      </w:pPr>
      <w:r>
        <w:tab/>
        <w:t>Penalty: a fine of $500.</w:t>
      </w:r>
    </w:p>
    <w:p>
      <w:pPr>
        <w:pStyle w:val="Subsection"/>
      </w:pPr>
      <w:r>
        <w:tab/>
        <w:t>(3)</w:t>
      </w:r>
      <w:r>
        <w:tab/>
        <w:t>A person must not, without lawful authority, open, remove, dismantle or breakdown a gate or barrier controlling an entrance to an area of CALM land if it is clear, by signs on or near the gate or barrier, that the gate or barrier is not meant to be opened or removed.</w:t>
      </w:r>
    </w:p>
    <w:p>
      <w:pPr>
        <w:pStyle w:val="Penstart"/>
      </w:pPr>
      <w:r>
        <w:tab/>
        <w:t>Penalty: a fine of $500.</w:t>
      </w:r>
    </w:p>
    <w:p>
      <w:pPr>
        <w:pStyle w:val="Footnotesection"/>
      </w:pPr>
      <w:r>
        <w:tab/>
        <w:t>[Regulation 47 inserted in Gazette 29 Sep 2006 p. 4311</w:t>
      </w:r>
      <w:r>
        <w:noBreakHyphen/>
        <w:t>12; amended in Gazette 3 Dec 2010 p. 6052</w:t>
      </w:r>
      <w:r>
        <w:noBreakHyphen/>
        <w:t>3.]</w:t>
      </w:r>
    </w:p>
    <w:p>
      <w:pPr>
        <w:pStyle w:val="Heading5"/>
        <w:rPr>
          <w:snapToGrid w:val="0"/>
        </w:rPr>
      </w:pPr>
      <w:bookmarkStart w:id="133" w:name="_Toc408498827"/>
      <w:bookmarkStart w:id="134" w:name="_Toc417563674"/>
      <w:r>
        <w:rPr>
          <w:rStyle w:val="CharSectno"/>
        </w:rPr>
        <w:t>48</w:t>
      </w:r>
      <w:r>
        <w:rPr>
          <w:snapToGrid w:val="0"/>
        </w:rPr>
        <w:t>.</w:t>
      </w:r>
      <w:r>
        <w:rPr>
          <w:snapToGrid w:val="0"/>
        </w:rPr>
        <w:tab/>
        <w:t xml:space="preserve">Areas set aside </w:t>
      </w:r>
      <w:r>
        <w:t>for purposes of CEO</w:t>
      </w:r>
      <w:bookmarkEnd w:id="133"/>
      <w:bookmarkEnd w:id="134"/>
    </w:p>
    <w:p>
      <w:pPr>
        <w:pStyle w:val="Subsection"/>
        <w:rPr>
          <w:snapToGrid w:val="0"/>
        </w:rPr>
      </w:pPr>
      <w:r>
        <w:rPr>
          <w:snapToGrid w:val="0"/>
        </w:rPr>
        <w:tab/>
      </w:r>
      <w:r>
        <w:rPr>
          <w:snapToGrid w:val="0"/>
        </w:rPr>
        <w:tab/>
        <w:t xml:space="preserve">A person must not, without lawful authority, enter or remain in any area of CALM land set aside for cultivation, gardens, animal enclosures, housing, education facilities or machinery sheds or any other property or facilities which are established </w:t>
      </w:r>
      <w:r>
        <w:t xml:space="preserve">for the purposes of the CEO </w:t>
      </w:r>
      <w:r>
        <w:rPr>
          <w:snapToGrid w:val="0"/>
        </w:rPr>
        <w:t>and which are not open to the public.</w:t>
      </w:r>
    </w:p>
    <w:p>
      <w:pPr>
        <w:pStyle w:val="Penstart"/>
        <w:rPr>
          <w:snapToGrid w:val="0"/>
        </w:rPr>
      </w:pPr>
      <w:r>
        <w:rPr>
          <w:snapToGrid w:val="0"/>
        </w:rPr>
        <w:tab/>
        <w:t xml:space="preserve">Penalty: </w:t>
      </w:r>
      <w:r>
        <w:t>a fine of</w:t>
      </w:r>
      <w:r>
        <w:rPr>
          <w:snapToGrid w:val="0"/>
        </w:rPr>
        <w:t xml:space="preserve"> $500.</w:t>
      </w:r>
    </w:p>
    <w:p>
      <w:pPr>
        <w:pStyle w:val="Footnotesection"/>
      </w:pPr>
      <w:r>
        <w:tab/>
        <w:t>[Regulation 48 amended in Gazette 29 Sep 2006 p. 4312; 3 Dec 2010 p. 6052</w:t>
      </w:r>
      <w:r>
        <w:noBreakHyphen/>
        <w:t>3.]</w:t>
      </w:r>
    </w:p>
    <w:p>
      <w:pPr>
        <w:pStyle w:val="Heading5"/>
        <w:rPr>
          <w:snapToGrid w:val="0"/>
        </w:rPr>
      </w:pPr>
      <w:bookmarkStart w:id="135" w:name="_Toc408498828"/>
      <w:bookmarkStart w:id="136" w:name="_Toc417563675"/>
      <w:r>
        <w:rPr>
          <w:rStyle w:val="CharSectno"/>
        </w:rPr>
        <w:t>49</w:t>
      </w:r>
      <w:r>
        <w:rPr>
          <w:snapToGrid w:val="0"/>
        </w:rPr>
        <w:t>.</w:t>
      </w:r>
      <w:r>
        <w:rPr>
          <w:snapToGrid w:val="0"/>
        </w:rPr>
        <w:tab/>
        <w:t>Caves</w:t>
      </w:r>
      <w:bookmarkEnd w:id="135"/>
      <w:bookmarkEnd w:id="136"/>
      <w:r>
        <w:rPr>
          <w:snapToGrid w:val="0"/>
        </w:rPr>
        <w:t xml:space="preserve"> </w:t>
      </w:r>
    </w:p>
    <w:p>
      <w:pPr>
        <w:pStyle w:val="Subsection"/>
        <w:rPr>
          <w:snapToGrid w:val="0"/>
        </w:rPr>
      </w:pPr>
      <w:r>
        <w:rPr>
          <w:snapToGrid w:val="0"/>
        </w:rPr>
        <w:tab/>
        <w:t>(1)</w:t>
      </w:r>
      <w:r>
        <w:rPr>
          <w:snapToGrid w:val="0"/>
        </w:rPr>
        <w:tab/>
        <w:t>In this regulation — </w:t>
      </w:r>
    </w:p>
    <w:p>
      <w:pPr>
        <w:pStyle w:val="Defstart"/>
      </w:pPr>
      <w:r>
        <w:tab/>
      </w:r>
      <w:r>
        <w:rPr>
          <w:rStyle w:val="CharDefText"/>
        </w:rPr>
        <w:t>cave</w:t>
      </w:r>
      <w:r>
        <w:rPr>
          <w:b/>
        </w:rPr>
        <w:t xml:space="preserve"> </w:t>
      </w:r>
      <w:r>
        <w:t>means a cave or part of a cave which is on or under CALM land.</w:t>
      </w:r>
    </w:p>
    <w:p>
      <w:pPr>
        <w:pStyle w:val="Subsection"/>
        <w:rPr>
          <w:snapToGrid w:val="0"/>
        </w:rPr>
      </w:pPr>
      <w:r>
        <w:rPr>
          <w:snapToGrid w:val="0"/>
        </w:rPr>
        <w:tab/>
        <w:t>(2)</w:t>
      </w:r>
      <w:r>
        <w:rPr>
          <w:snapToGrid w:val="0"/>
        </w:rPr>
        <w:tab/>
        <w:t xml:space="preserve">The </w:t>
      </w:r>
      <w:r>
        <w:t xml:space="preserve">CEO </w:t>
      </w:r>
      <w:r>
        <w:rPr>
          <w:snapToGrid w:val="0"/>
        </w:rPr>
        <w:t xml:space="preserve">may, on payment of the </w:t>
      </w:r>
      <w:r>
        <w:t xml:space="preserve">appropriate </w:t>
      </w:r>
      <w:r>
        <w:rPr>
          <w:snapToGrid w:val="0"/>
        </w:rPr>
        <w:t>fee specified in Schedule 1</w:t>
      </w:r>
      <w:r>
        <w:t xml:space="preserve"> Division 8 item 1</w:t>
      </w:r>
      <w:r>
        <w:rPr>
          <w:snapToGrid w:val="0"/>
        </w:rPr>
        <w:t>, grant to any person a permit in an approved form to be in a cave.</w:t>
      </w:r>
    </w:p>
    <w:p>
      <w:pPr>
        <w:pStyle w:val="Subsection"/>
        <w:keepNext/>
        <w:rPr>
          <w:snapToGrid w:val="0"/>
        </w:rPr>
      </w:pPr>
      <w:r>
        <w:rPr>
          <w:snapToGrid w:val="0"/>
        </w:rPr>
        <w:tab/>
        <w:t>(3)</w:t>
      </w:r>
      <w:r>
        <w:rPr>
          <w:snapToGrid w:val="0"/>
        </w:rPr>
        <w:tab/>
        <w:t>A permit — </w:t>
      </w:r>
    </w:p>
    <w:p>
      <w:pPr>
        <w:pStyle w:val="Indenta"/>
        <w:rPr>
          <w:snapToGrid w:val="0"/>
        </w:rPr>
      </w:pPr>
      <w:r>
        <w:rPr>
          <w:snapToGrid w:val="0"/>
        </w:rPr>
        <w:tab/>
        <w:t>(a)</w:t>
      </w:r>
      <w:r>
        <w:rPr>
          <w:snapToGrid w:val="0"/>
        </w:rPr>
        <w:tab/>
        <w:t>authorises a person to be in a cave for the period specified in the permit; and</w:t>
      </w:r>
    </w:p>
    <w:p>
      <w:pPr>
        <w:pStyle w:val="Indenta"/>
        <w:rPr>
          <w:snapToGrid w:val="0"/>
        </w:rPr>
      </w:pPr>
      <w:r>
        <w:rPr>
          <w:snapToGrid w:val="0"/>
        </w:rPr>
        <w:tab/>
        <w:t>(b)</w:t>
      </w:r>
      <w:r>
        <w:rPr>
          <w:snapToGrid w:val="0"/>
        </w:rPr>
        <w:tab/>
        <w:t>is subject to such conditions and restrictions as are specified on the permit.</w:t>
      </w:r>
    </w:p>
    <w:p>
      <w:pPr>
        <w:pStyle w:val="Subsection"/>
      </w:pPr>
      <w:r>
        <w:tab/>
        <w:t>(3a)</w:t>
      </w:r>
      <w:r>
        <w:tab/>
        <w:t>If a person who holds a permit to be in a cave notifies the CEO more than 2 weeks before the period specified in the permit that the person is not going to use the permit, the CEO may refund the fee for the permit.</w:t>
      </w:r>
    </w:p>
    <w:p>
      <w:pPr>
        <w:pStyle w:val="Subsection"/>
        <w:rPr>
          <w:snapToGrid w:val="0"/>
        </w:rPr>
      </w:pPr>
      <w:r>
        <w:rPr>
          <w:snapToGrid w:val="0"/>
        </w:rPr>
        <w:tab/>
        <w:t>(4)</w:t>
      </w:r>
      <w:r>
        <w:rPr>
          <w:snapToGrid w:val="0"/>
        </w:rPr>
        <w:tab/>
        <w:t>A person must not, without lawful authority, enter or remain in a cave.</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(5)</w:t>
      </w:r>
      <w:r>
        <w:rPr>
          <w:snapToGrid w:val="0"/>
        </w:rPr>
        <w:tab/>
        <w:t>A person in a cave must comply with the conditions and restrictions subject to which that person was given permission to be in the cave.</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(6)</w:t>
      </w:r>
      <w:r>
        <w:rPr>
          <w:snapToGrid w:val="0"/>
        </w:rPr>
        <w:tab/>
        <w:t>Nothing in this regulation prohibits persons entering or remaining in a cave under the control of a person licensed under a commercial operations licence to take those persons into the cave.</w:t>
      </w:r>
    </w:p>
    <w:p>
      <w:pPr>
        <w:pStyle w:val="Footnotesection"/>
      </w:pPr>
      <w:r>
        <w:tab/>
        <w:t>[Regulation 49 amended in Gazette 29 Sep 2006 p. 4312 and 4334; 3 Dec 2010 p. 6052</w:t>
      </w:r>
      <w:r>
        <w:noBreakHyphen/>
        <w:t>3.]</w:t>
      </w:r>
    </w:p>
    <w:p>
      <w:pPr>
        <w:pStyle w:val="Heading5"/>
        <w:rPr>
          <w:snapToGrid w:val="0"/>
        </w:rPr>
      </w:pPr>
      <w:bookmarkStart w:id="137" w:name="_Toc408498829"/>
      <w:bookmarkStart w:id="138" w:name="_Toc417563676"/>
      <w:r>
        <w:rPr>
          <w:rStyle w:val="CharSectno"/>
        </w:rPr>
        <w:t>50</w:t>
      </w:r>
      <w:r>
        <w:rPr>
          <w:snapToGrid w:val="0"/>
        </w:rPr>
        <w:t>.</w:t>
      </w:r>
      <w:r>
        <w:rPr>
          <w:snapToGrid w:val="0"/>
        </w:rPr>
        <w:tab/>
        <w:t>Cross country and other events</w:t>
      </w:r>
      <w:bookmarkEnd w:id="137"/>
      <w:bookmarkEnd w:id="138"/>
      <w:r>
        <w:rPr>
          <w:snapToGrid w:val="0"/>
        </w:rPr>
        <w:t xml:space="preserve"> </w:t>
      </w:r>
    </w:p>
    <w:p>
      <w:pPr>
        <w:pStyle w:val="Subsection"/>
        <w:rPr>
          <w:snapToGrid w:val="0"/>
        </w:rPr>
      </w:pPr>
      <w:r>
        <w:rPr>
          <w:snapToGrid w:val="0"/>
        </w:rPr>
        <w:tab/>
      </w:r>
      <w:r>
        <w:rPr>
          <w:snapToGrid w:val="0"/>
        </w:rPr>
        <w:tab/>
        <w:t>A person must not, without lawful authority, organise, promote or conduct any event involving cross country running, orienteering, rogaining, cross country navigation exercises or equestrian events on CALM land.</w:t>
      </w:r>
    </w:p>
    <w:p>
      <w:pPr>
        <w:pStyle w:val="Penstart"/>
        <w:rPr>
          <w:snapToGrid w:val="0"/>
        </w:rPr>
      </w:pPr>
      <w:r>
        <w:rPr>
          <w:snapToGrid w:val="0"/>
        </w:rPr>
        <w:tab/>
        <w:t xml:space="preserve">Penalty: </w:t>
      </w:r>
      <w:r>
        <w:t>a fine of</w:t>
      </w:r>
      <w:r>
        <w:rPr>
          <w:snapToGrid w:val="0"/>
        </w:rPr>
        <w:t xml:space="preserve"> $1 000.</w:t>
      </w:r>
    </w:p>
    <w:p>
      <w:pPr>
        <w:pStyle w:val="Footnotesection"/>
      </w:pPr>
      <w:r>
        <w:tab/>
        <w:t>[Regulation 50 amended in Gazette 3 Dec 2010 p. 6052</w:t>
      </w:r>
      <w:r>
        <w:noBreakHyphen/>
        <w:t>3.]</w:t>
      </w:r>
    </w:p>
    <w:p>
      <w:pPr>
        <w:pStyle w:val="Heading3"/>
        <w:spacing w:before="200"/>
      </w:pPr>
      <w:bookmarkStart w:id="139" w:name="_Toc408498830"/>
      <w:bookmarkStart w:id="140" w:name="_Toc414889252"/>
      <w:bookmarkStart w:id="141" w:name="_Toc414975195"/>
      <w:bookmarkStart w:id="142" w:name="_Toc417563677"/>
      <w:r>
        <w:rPr>
          <w:rStyle w:val="CharDivNo"/>
        </w:rPr>
        <w:t>Division 2</w:t>
      </w:r>
      <w:r>
        <w:rPr>
          <w:snapToGrid w:val="0"/>
        </w:rPr>
        <w:t xml:space="preserve"> — </w:t>
      </w:r>
      <w:r>
        <w:rPr>
          <w:rStyle w:val="CharDivText"/>
        </w:rPr>
        <w:t>Vehicles</w:t>
      </w:r>
      <w:bookmarkEnd w:id="139"/>
      <w:bookmarkEnd w:id="140"/>
      <w:bookmarkEnd w:id="141"/>
      <w:bookmarkEnd w:id="142"/>
    </w:p>
    <w:p>
      <w:pPr>
        <w:pStyle w:val="Heading5"/>
        <w:spacing w:before="180"/>
        <w:rPr>
          <w:snapToGrid w:val="0"/>
        </w:rPr>
      </w:pPr>
      <w:bookmarkStart w:id="143" w:name="_Toc408498831"/>
      <w:bookmarkStart w:id="144" w:name="_Toc417563678"/>
      <w:r>
        <w:rPr>
          <w:rStyle w:val="CharSectno"/>
        </w:rPr>
        <w:t>51</w:t>
      </w:r>
      <w:r>
        <w:rPr>
          <w:snapToGrid w:val="0"/>
        </w:rPr>
        <w:t>.</w:t>
      </w:r>
      <w:r>
        <w:rPr>
          <w:snapToGrid w:val="0"/>
        </w:rPr>
        <w:tab/>
        <w:t>Vehicles</w:t>
      </w:r>
      <w:bookmarkEnd w:id="143"/>
      <w:bookmarkEnd w:id="144"/>
      <w:r>
        <w:rPr>
          <w:snapToGrid w:val="0"/>
        </w:rPr>
        <w:t xml:space="preserve"> </w:t>
      </w:r>
    </w:p>
    <w:p>
      <w:pPr>
        <w:pStyle w:val="Subsection"/>
        <w:spacing w:before="120"/>
        <w:rPr>
          <w:snapToGrid w:val="0"/>
        </w:rPr>
      </w:pPr>
      <w:r>
        <w:rPr>
          <w:snapToGrid w:val="0"/>
        </w:rPr>
        <w:tab/>
        <w:t>(1)</w:t>
      </w:r>
      <w:r>
        <w:rPr>
          <w:snapToGrid w:val="0"/>
        </w:rPr>
        <w:tab/>
        <w:t>A person must not, without lawful authority, drive or use a vehicle (other than a bicycle) on CALM land other than on a road</w:t>
      </w:r>
      <w:r>
        <w:t xml:space="preserve"> or in a designated area</w:t>
      </w:r>
      <w:r>
        <w:rPr>
          <w:snapToGrid w:val="0"/>
        </w:rPr>
        <w:t>.</w:t>
      </w:r>
    </w:p>
    <w:p>
      <w:pPr>
        <w:pStyle w:val="Penstart"/>
        <w:spacing w:before="70"/>
        <w:rPr>
          <w:snapToGrid w:val="0"/>
        </w:rPr>
      </w:pPr>
      <w:r>
        <w:rPr>
          <w:snapToGrid w:val="0"/>
        </w:rPr>
        <w:tab/>
        <w:t xml:space="preserve">Penalty: </w:t>
      </w:r>
      <w:r>
        <w:t>a fine of</w:t>
      </w:r>
      <w:r>
        <w:rPr>
          <w:snapToGrid w:val="0"/>
        </w:rPr>
        <w:t xml:space="preserve"> </w:t>
      </w:r>
      <w:r>
        <w:t>$2 000</w:t>
      </w:r>
      <w:r>
        <w:rPr>
          <w:snapToGrid w:val="0"/>
        </w:rPr>
        <w:t>.</w:t>
      </w:r>
    </w:p>
    <w:p>
      <w:pPr>
        <w:pStyle w:val="Subsection"/>
        <w:spacing w:before="140"/>
      </w:pPr>
      <w:r>
        <w:tab/>
        <w:t>(2)</w:t>
      </w:r>
      <w:r>
        <w:tab/>
        <w:t>Subregulation (1) does not apply in respect of a road that is in a restricted area.</w:t>
      </w:r>
    </w:p>
    <w:p>
      <w:pPr>
        <w:pStyle w:val="Subsection"/>
        <w:spacing w:before="140"/>
      </w:pPr>
      <w:r>
        <w:tab/>
        <w:t>(3)</w:t>
      </w:r>
      <w:r>
        <w:tab/>
        <w:t xml:space="preserve">A person must not, without lawful authority, on a road that is in a restricted area — </w:t>
      </w:r>
    </w:p>
    <w:p>
      <w:pPr>
        <w:pStyle w:val="Indenta"/>
        <w:spacing w:before="60"/>
      </w:pPr>
      <w:r>
        <w:tab/>
        <w:t>(a)</w:t>
      </w:r>
      <w:r>
        <w:tab/>
        <w:t>drive or use a vehicle if that activity is prohibited in the area under regulation 5; or</w:t>
      </w:r>
    </w:p>
    <w:p>
      <w:pPr>
        <w:pStyle w:val="Indenta"/>
        <w:spacing w:before="60"/>
      </w:pPr>
      <w:r>
        <w:tab/>
        <w:t>(b)</w:t>
      </w:r>
      <w:r>
        <w:tab/>
        <w:t>contravene a restriction imposed on driving or using a vehicle in the area under regulation 5.</w:t>
      </w:r>
    </w:p>
    <w:p>
      <w:pPr>
        <w:pStyle w:val="Penstart"/>
        <w:spacing w:before="70"/>
      </w:pPr>
      <w:r>
        <w:tab/>
        <w:t>Penalty: a fine of $2 000.</w:t>
      </w:r>
    </w:p>
    <w:p>
      <w:pPr>
        <w:pStyle w:val="Footnotesection"/>
        <w:spacing w:before="100"/>
      </w:pPr>
      <w:r>
        <w:tab/>
        <w:t>[Regulation 51 amended in Gazette 29 Sep 2006 p. 4313; 3 Dec 2010 p. 6052</w:t>
      </w:r>
      <w:r>
        <w:noBreakHyphen/>
        <w:t>3; 19 Sep 2014 p. 3335.]</w:t>
      </w:r>
    </w:p>
    <w:p>
      <w:pPr>
        <w:pStyle w:val="Heading5"/>
        <w:spacing w:before="200"/>
      </w:pPr>
      <w:bookmarkStart w:id="145" w:name="_Toc408498832"/>
      <w:bookmarkStart w:id="146" w:name="_Toc417563679"/>
      <w:r>
        <w:rPr>
          <w:rStyle w:val="CharSectno"/>
        </w:rPr>
        <w:t>51A</w:t>
      </w:r>
      <w:r>
        <w:t>.</w:t>
      </w:r>
      <w:r>
        <w:tab/>
        <w:t>Bicycles</w:t>
      </w:r>
      <w:bookmarkEnd w:id="145"/>
      <w:bookmarkEnd w:id="146"/>
    </w:p>
    <w:p>
      <w:pPr>
        <w:pStyle w:val="Subsection"/>
        <w:spacing w:before="130"/>
      </w:pPr>
      <w:r>
        <w:tab/>
        <w:t>(1)</w:t>
      </w:r>
      <w:r>
        <w:tab/>
        <w:t>A person must not, without lawful authority, ride a bicycle on CALM land other than on a road or bicycle path or in a designated area.</w:t>
      </w:r>
    </w:p>
    <w:p>
      <w:pPr>
        <w:pStyle w:val="Penstart"/>
        <w:spacing w:before="70"/>
      </w:pPr>
      <w:r>
        <w:tab/>
        <w:t>Penalty: a fine of $500.</w:t>
      </w:r>
    </w:p>
    <w:p>
      <w:pPr>
        <w:pStyle w:val="Subsection"/>
        <w:spacing w:before="130"/>
      </w:pPr>
      <w:r>
        <w:tab/>
        <w:t>(2)</w:t>
      </w:r>
      <w:r>
        <w:tab/>
        <w:t>Subregulation (1) does not apply in respect of a road that is in a restricted area.</w:t>
      </w:r>
    </w:p>
    <w:p>
      <w:pPr>
        <w:pStyle w:val="Subsection"/>
        <w:spacing w:before="130"/>
      </w:pPr>
      <w:r>
        <w:tab/>
        <w:t>(3)</w:t>
      </w:r>
      <w:r>
        <w:tab/>
        <w:t xml:space="preserve">A person must not, without lawful authority, on a road that is in a restricted area — </w:t>
      </w:r>
    </w:p>
    <w:p>
      <w:pPr>
        <w:pStyle w:val="Indenta"/>
        <w:spacing w:before="60"/>
      </w:pPr>
      <w:r>
        <w:tab/>
        <w:t>(a)</w:t>
      </w:r>
      <w:r>
        <w:tab/>
        <w:t>ride a bicycle if that activity is prohibited in the area under regulation 5; or</w:t>
      </w:r>
    </w:p>
    <w:p>
      <w:pPr>
        <w:pStyle w:val="Indenta"/>
        <w:spacing w:before="60"/>
      </w:pPr>
      <w:r>
        <w:tab/>
        <w:t>(b)</w:t>
      </w:r>
      <w:r>
        <w:tab/>
        <w:t>contravene a restriction imposed on riding a bicycle in the area under regulation 5.</w:t>
      </w:r>
    </w:p>
    <w:p>
      <w:pPr>
        <w:pStyle w:val="Penstart"/>
        <w:spacing w:before="70"/>
      </w:pPr>
      <w:r>
        <w:tab/>
        <w:t>Penalty: a fine of $1 000.</w:t>
      </w:r>
    </w:p>
    <w:p>
      <w:pPr>
        <w:pStyle w:val="Subsection"/>
      </w:pPr>
      <w:r>
        <w:tab/>
        <w:t>(4)</w:t>
      </w:r>
      <w:r>
        <w:tab/>
        <w:t xml:space="preserve">In this regulation — </w:t>
      </w:r>
    </w:p>
    <w:p>
      <w:pPr>
        <w:pStyle w:val="Defstart"/>
        <w:spacing w:before="70"/>
      </w:pPr>
      <w:r>
        <w:rPr>
          <w:b/>
        </w:rPr>
        <w:tab/>
      </w:r>
      <w:r>
        <w:rPr>
          <w:rStyle w:val="CharDefText"/>
        </w:rPr>
        <w:t>bicycle path</w:t>
      </w:r>
      <w:r>
        <w:t xml:space="preserve"> means a path, or length of a path, at both ends of which are signs indicating that persons may ride bicycles on the path or the length between those signs.</w:t>
      </w:r>
    </w:p>
    <w:p>
      <w:pPr>
        <w:pStyle w:val="Footnotesection"/>
        <w:spacing w:before="100"/>
      </w:pPr>
      <w:r>
        <w:tab/>
        <w:t>[Regulation 51A inserted in Gazette 29 Sep 2006 p. 4313</w:t>
      </w:r>
      <w:r>
        <w:noBreakHyphen/>
        <w:t>14; amended in Gazette 3 Dec 2010 p. 6052</w:t>
      </w:r>
      <w:r>
        <w:noBreakHyphen/>
        <w:t>3.]</w:t>
      </w:r>
    </w:p>
    <w:p>
      <w:pPr>
        <w:pStyle w:val="Heading5"/>
        <w:spacing w:before="200"/>
        <w:rPr>
          <w:snapToGrid w:val="0"/>
        </w:rPr>
      </w:pPr>
      <w:bookmarkStart w:id="147" w:name="_Toc408498833"/>
      <w:bookmarkStart w:id="148" w:name="_Toc417563680"/>
      <w:r>
        <w:rPr>
          <w:rStyle w:val="CharSectno"/>
        </w:rPr>
        <w:t>52</w:t>
      </w:r>
      <w:r>
        <w:rPr>
          <w:snapToGrid w:val="0"/>
        </w:rPr>
        <w:t>.</w:t>
      </w:r>
      <w:r>
        <w:rPr>
          <w:snapToGrid w:val="0"/>
        </w:rPr>
        <w:tab/>
        <w:t>Off</w:t>
      </w:r>
      <w:r>
        <w:rPr>
          <w:snapToGrid w:val="0"/>
        </w:rPr>
        <w:noBreakHyphen/>
        <w:t>road vehicles</w:t>
      </w:r>
      <w:bookmarkEnd w:id="147"/>
      <w:bookmarkEnd w:id="148"/>
      <w:r>
        <w:rPr>
          <w:snapToGrid w:val="0"/>
        </w:rPr>
        <w:t xml:space="preserve"> </w:t>
      </w:r>
    </w:p>
    <w:p>
      <w:pPr>
        <w:pStyle w:val="Subsection"/>
        <w:spacing w:before="120"/>
        <w:rPr>
          <w:snapToGrid w:val="0"/>
        </w:rPr>
      </w:pPr>
      <w:r>
        <w:rPr>
          <w:snapToGrid w:val="0"/>
        </w:rPr>
        <w:tab/>
        <w:t>(1)</w:t>
      </w:r>
      <w:r>
        <w:rPr>
          <w:snapToGrid w:val="0"/>
        </w:rPr>
        <w:tab/>
        <w:t>A person must not drive into or within, or bring into or have within, CALM land an off</w:t>
      </w:r>
      <w:r>
        <w:rPr>
          <w:snapToGrid w:val="0"/>
        </w:rPr>
        <w:noBreakHyphen/>
        <w:t xml:space="preserve">road vehicle within the meaning of the </w:t>
      </w:r>
      <w:r>
        <w:rPr>
          <w:i/>
          <w:snapToGrid w:val="0"/>
        </w:rPr>
        <w:t>Control of Vehicles (Off</w:t>
      </w:r>
      <w:r>
        <w:rPr>
          <w:i/>
          <w:snapToGrid w:val="0"/>
        </w:rPr>
        <w:noBreakHyphen/>
        <w:t>road Areas) Act 1978</w:t>
      </w:r>
      <w:r>
        <w:rPr>
          <w:snapToGrid w:val="0"/>
        </w:rPr>
        <w:t xml:space="preserve"> unless that person — </w:t>
      </w:r>
    </w:p>
    <w:p>
      <w:pPr>
        <w:pStyle w:val="Indenta"/>
        <w:spacing w:before="60"/>
        <w:rPr>
          <w:snapToGrid w:val="0"/>
        </w:rPr>
      </w:pPr>
      <w:r>
        <w:rPr>
          <w:snapToGrid w:val="0"/>
        </w:rPr>
        <w:tab/>
        <w:t>(a)</w:t>
      </w:r>
      <w:r>
        <w:rPr>
          <w:snapToGrid w:val="0"/>
        </w:rPr>
        <w:tab/>
        <w:t>is the holder of a permit — </w:t>
      </w:r>
    </w:p>
    <w:p>
      <w:pPr>
        <w:pStyle w:val="Indenti"/>
        <w:spacing w:before="60"/>
        <w:rPr>
          <w:snapToGrid w:val="0"/>
        </w:rPr>
      </w:pPr>
      <w:r>
        <w:rPr>
          <w:snapToGrid w:val="0"/>
        </w:rPr>
        <w:tab/>
        <w:t>(i)</w:t>
      </w:r>
      <w:r>
        <w:rPr>
          <w:snapToGrid w:val="0"/>
        </w:rPr>
        <w:tab/>
        <w:t>granted under section 8(4) of that Act; and</w:t>
      </w:r>
    </w:p>
    <w:p>
      <w:pPr>
        <w:pStyle w:val="Indenti"/>
        <w:spacing w:before="60"/>
        <w:rPr>
          <w:snapToGrid w:val="0"/>
        </w:rPr>
      </w:pPr>
      <w:r>
        <w:rPr>
          <w:snapToGrid w:val="0"/>
        </w:rPr>
        <w:tab/>
        <w:t>(ii)</w:t>
      </w:r>
      <w:r>
        <w:rPr>
          <w:snapToGrid w:val="0"/>
        </w:rPr>
        <w:tab/>
        <w:t>authorising that person so to drive, bring or have that off</w:t>
      </w:r>
      <w:r>
        <w:rPr>
          <w:snapToGrid w:val="0"/>
        </w:rPr>
        <w:noBreakHyphen/>
        <w:t xml:space="preserve">road vehicle; </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(b)</w:t>
      </w:r>
      <w:r>
        <w:rPr>
          <w:snapToGrid w:val="0"/>
        </w:rPr>
        <w:tab/>
        <w:t>that person so drives, brings or has that off</w:t>
      </w:r>
      <w:r>
        <w:rPr>
          <w:snapToGrid w:val="0"/>
        </w:rPr>
        <w:noBreakHyphen/>
        <w:t>road vehicle in accordance with any restrictions, limitations or conditions to which that permit is subject.</w:t>
      </w:r>
    </w:p>
    <w:p>
      <w:pPr>
        <w:pStyle w:val="Penstart"/>
        <w:spacing w:before="70"/>
        <w:rPr>
          <w:snapToGrid w:val="0"/>
        </w:rPr>
      </w:pPr>
      <w:r>
        <w:rPr>
          <w:snapToGrid w:val="0"/>
        </w:rPr>
        <w:tab/>
        <w:t xml:space="preserve">Penalty: </w:t>
      </w:r>
      <w:r>
        <w:t>a fine of</w:t>
      </w:r>
      <w:r>
        <w:rPr>
          <w:snapToGrid w:val="0"/>
        </w:rPr>
        <w:t xml:space="preserve"> </w:t>
      </w:r>
      <w:r>
        <w:t>$2 000</w:t>
      </w:r>
      <w:r>
        <w:rPr>
          <w:snapToGrid w:val="0"/>
        </w:rPr>
        <w:t>.</w:t>
      </w:r>
    </w:p>
    <w:p>
      <w:pPr>
        <w:pStyle w:val="Subsection"/>
        <w:spacing w:before="120"/>
      </w:pPr>
      <w:r>
        <w:tab/>
        <w:t>(2)</w:t>
      </w:r>
      <w:r>
        <w:tab/>
        <w:t xml:space="preserve">Subregulation (1) does not apply to private land (as defined in the </w:t>
      </w:r>
      <w:r>
        <w:rPr>
          <w:i/>
        </w:rPr>
        <w:t>Control of Vehicles (Off</w:t>
      </w:r>
      <w:r>
        <w:rPr>
          <w:i/>
        </w:rPr>
        <w:noBreakHyphen/>
        <w:t>road Areas) Act 1978</w:t>
      </w:r>
      <w:r>
        <w:t>) or permitted areas (as defined in that Act).</w:t>
      </w:r>
    </w:p>
    <w:p>
      <w:pPr>
        <w:pStyle w:val="Footnotesection"/>
        <w:spacing w:before="80"/>
      </w:pPr>
      <w:r>
        <w:tab/>
        <w:t>[Regulation 52 amended in Gazette 29 Sep 2006 p. 4314; 3 Dec 2010 p. 6052</w:t>
      </w:r>
      <w:r>
        <w:noBreakHyphen/>
        <w:t>3; 19 Sep 2014 p. 3335.]</w:t>
      </w:r>
    </w:p>
    <w:p>
      <w:pPr>
        <w:pStyle w:val="Heading5"/>
        <w:spacing w:before="200"/>
        <w:rPr>
          <w:snapToGrid w:val="0"/>
        </w:rPr>
      </w:pPr>
      <w:bookmarkStart w:id="149" w:name="_Toc408498834"/>
      <w:bookmarkStart w:id="150" w:name="_Toc417563681"/>
      <w:r>
        <w:rPr>
          <w:rStyle w:val="CharSectno"/>
        </w:rPr>
        <w:t>53</w:t>
      </w:r>
      <w:r>
        <w:rPr>
          <w:snapToGrid w:val="0"/>
        </w:rPr>
        <w:t>.</w:t>
      </w:r>
      <w:r>
        <w:rPr>
          <w:snapToGrid w:val="0"/>
        </w:rPr>
        <w:tab/>
        <w:t>Car rallies etc.</w:t>
      </w:r>
      <w:bookmarkEnd w:id="149"/>
      <w:bookmarkEnd w:id="150"/>
      <w:r>
        <w:rPr>
          <w:snapToGrid w:val="0"/>
        </w:rPr>
        <w:t xml:space="preserve"> </w:t>
      </w:r>
    </w:p>
    <w:p>
      <w:pPr>
        <w:pStyle w:val="Subsection"/>
        <w:spacing w:before="120"/>
        <w:rPr>
          <w:snapToGrid w:val="0"/>
        </w:rPr>
      </w:pPr>
      <w:r>
        <w:rPr>
          <w:snapToGrid w:val="0"/>
        </w:rPr>
        <w:tab/>
      </w:r>
      <w:r>
        <w:rPr>
          <w:snapToGrid w:val="0"/>
        </w:rPr>
        <w:tab/>
        <w:t>A person must not, without lawful authority, organise, promote or conduct a car rally, associated navigation exercise, mountain bike event or other race involving vehicles on or through CALM land.</w:t>
      </w:r>
    </w:p>
    <w:p>
      <w:pPr>
        <w:pStyle w:val="Penstart"/>
        <w:spacing w:before="70"/>
        <w:rPr>
          <w:snapToGrid w:val="0"/>
        </w:rPr>
      </w:pPr>
      <w:r>
        <w:rPr>
          <w:snapToGrid w:val="0"/>
        </w:rPr>
        <w:tab/>
        <w:t xml:space="preserve">Penalty: </w:t>
      </w:r>
      <w:r>
        <w:t>a fine of</w:t>
      </w:r>
      <w:r>
        <w:rPr>
          <w:snapToGrid w:val="0"/>
        </w:rPr>
        <w:t xml:space="preserve"> $2 000.</w:t>
      </w:r>
    </w:p>
    <w:p>
      <w:pPr>
        <w:pStyle w:val="Footnotesection"/>
        <w:spacing w:before="80"/>
      </w:pPr>
      <w:r>
        <w:tab/>
        <w:t>[Regulation 53 amended in Gazette 3 Dec 2010 p. 6052</w:t>
      </w:r>
      <w:r>
        <w:noBreakHyphen/>
        <w:t>3.]</w:t>
      </w:r>
    </w:p>
    <w:p>
      <w:pPr>
        <w:pStyle w:val="Heading5"/>
        <w:rPr>
          <w:snapToGrid w:val="0"/>
        </w:rPr>
      </w:pPr>
      <w:bookmarkStart w:id="151" w:name="_Toc408498835"/>
      <w:bookmarkStart w:id="152" w:name="_Toc417563682"/>
      <w:r>
        <w:rPr>
          <w:rStyle w:val="CharSectno"/>
        </w:rPr>
        <w:t>54</w:t>
      </w:r>
      <w:r>
        <w:rPr>
          <w:snapToGrid w:val="0"/>
        </w:rPr>
        <w:t>.</w:t>
      </w:r>
      <w:r>
        <w:rPr>
          <w:snapToGrid w:val="0"/>
        </w:rPr>
        <w:tab/>
        <w:t>Traffic laws apply</w:t>
      </w:r>
      <w:bookmarkEnd w:id="151"/>
      <w:bookmarkEnd w:id="152"/>
      <w:r>
        <w:rPr>
          <w:snapToGrid w:val="0"/>
        </w:rPr>
        <w:t xml:space="preserve"> </w:t>
      </w:r>
    </w:p>
    <w:p>
      <w:pPr>
        <w:pStyle w:val="Subsection"/>
        <w:rPr>
          <w:snapToGrid w:val="0"/>
        </w:rPr>
      </w:pPr>
      <w:r>
        <w:rPr>
          <w:snapToGrid w:val="0"/>
        </w:rPr>
        <w:tab/>
        <w:t>(1)</w:t>
      </w:r>
      <w:r>
        <w:rPr>
          <w:snapToGrid w:val="0"/>
        </w:rPr>
        <w:tab/>
        <w:t>A person driving or in charge of a vehicle on a road or track on CALM land must not, without lawful authority, do any act that would be a breach of a</w:t>
      </w:r>
      <w:r>
        <w:t xml:space="preserve"> road law, as defined in the </w:t>
      </w:r>
      <w:r>
        <w:rPr>
          <w:i/>
        </w:rPr>
        <w:t xml:space="preserve">Road Traffic (Administration) Act 2008 </w:t>
      </w:r>
      <w:r>
        <w:t>section 4, if that road or track were a road as defined in that section.</w:t>
      </w:r>
    </w:p>
    <w:p>
      <w:pPr>
        <w:pStyle w:val="Penstart"/>
        <w:rPr>
          <w:snapToGrid w:val="0"/>
        </w:rPr>
      </w:pPr>
      <w:r>
        <w:rPr>
          <w:snapToGrid w:val="0"/>
        </w:rPr>
        <w:tab/>
        <w:t>Penalty:</w:t>
      </w:r>
      <w:r>
        <w:t xml:space="preserve"> a fine of</w:t>
      </w:r>
      <w:r>
        <w:rPr>
          <w:snapToGrid w:val="0"/>
        </w:rPr>
        <w:t xml:space="preserve"> </w:t>
      </w:r>
      <w:r>
        <w:t>$1 000</w:t>
      </w:r>
      <w:r>
        <w:rPr>
          <w:snapToGrid w:val="0"/>
        </w:rPr>
        <w:t>.</w:t>
      </w:r>
    </w:p>
    <w:p>
      <w:pPr>
        <w:pStyle w:val="Subsection"/>
        <w:rPr>
          <w:snapToGrid w:val="0"/>
        </w:rPr>
      </w:pPr>
      <w:r>
        <w:rPr>
          <w:snapToGrid w:val="0"/>
        </w:rPr>
        <w:tab/>
        <w:t>(2)</w:t>
      </w:r>
      <w:r>
        <w:rPr>
          <w:snapToGrid w:val="0"/>
        </w:rPr>
        <w:tab/>
        <w:t>A person must not drive a vehicle on CALM land in a dangerous or careless manner or without all reasonable consideration for other persons, vehicles and animals in the vicinity.</w:t>
      </w:r>
    </w:p>
    <w:p>
      <w:pPr>
        <w:pStyle w:val="Penstart"/>
        <w:rPr>
          <w:snapToGrid w:val="0"/>
        </w:rPr>
      </w:pPr>
      <w:r>
        <w:rPr>
          <w:snapToGrid w:val="0"/>
        </w:rPr>
        <w:tab/>
        <w:t xml:space="preserve">Penalty: </w:t>
      </w:r>
      <w:r>
        <w:t>a fine of $1 000</w:t>
      </w:r>
      <w:r>
        <w:rPr>
          <w:snapToGrid w:val="0"/>
        </w:rPr>
        <w:t>.</w:t>
      </w:r>
    </w:p>
    <w:p>
      <w:pPr>
        <w:pStyle w:val="Footnotesection"/>
      </w:pPr>
      <w:r>
        <w:tab/>
        <w:t>[Regulation 54 amended in Gazette 29 Sep 2006 p. 4314; 3 Dec 2010 p. 6052</w:t>
      </w:r>
      <w:r>
        <w:noBreakHyphen/>
        <w:t>3; 19 Sep 2014 p. 3335; 8 Jan 2015 p. 136.]</w:t>
      </w:r>
    </w:p>
    <w:p>
      <w:pPr>
        <w:pStyle w:val="Heading5"/>
        <w:keepNext w:val="0"/>
        <w:keepLines w:val="0"/>
        <w:spacing w:before="200"/>
        <w:rPr>
          <w:snapToGrid w:val="0"/>
        </w:rPr>
      </w:pPr>
      <w:bookmarkStart w:id="153" w:name="_Toc408498836"/>
      <w:bookmarkStart w:id="154" w:name="_Toc417563683"/>
      <w:r>
        <w:rPr>
          <w:rStyle w:val="CharSectno"/>
        </w:rPr>
        <w:t>55</w:t>
      </w:r>
      <w:r>
        <w:rPr>
          <w:snapToGrid w:val="0"/>
        </w:rPr>
        <w:t>.</w:t>
      </w:r>
      <w:r>
        <w:rPr>
          <w:snapToGrid w:val="0"/>
        </w:rPr>
        <w:tab/>
        <w:t>Driver to obey reasonable direction</w:t>
      </w:r>
      <w:bookmarkEnd w:id="153"/>
      <w:bookmarkEnd w:id="154"/>
      <w:r>
        <w:rPr>
          <w:snapToGrid w:val="0"/>
        </w:rPr>
        <w:t xml:space="preserve"> </w:t>
      </w:r>
    </w:p>
    <w:p>
      <w:pPr>
        <w:pStyle w:val="Subsection"/>
        <w:rPr>
          <w:snapToGrid w:val="0"/>
          <w:spacing w:val="-4"/>
        </w:rPr>
      </w:pPr>
      <w:r>
        <w:rPr>
          <w:snapToGrid w:val="0"/>
          <w:spacing w:val="-4"/>
        </w:rPr>
        <w:tab/>
      </w:r>
      <w:r>
        <w:rPr>
          <w:snapToGrid w:val="0"/>
          <w:spacing w:val="-4"/>
        </w:rPr>
        <w:tab/>
        <w:t>The driver or person in charge of a vehicle must obey any reasonable direction given to him or her by an authorised officer in relation to the parking or movement of the vehicle on CALM land.</w:t>
      </w:r>
    </w:p>
    <w:p>
      <w:pPr>
        <w:pStyle w:val="Penstart"/>
        <w:rPr>
          <w:snapToGrid w:val="0"/>
        </w:rPr>
      </w:pPr>
      <w:r>
        <w:rPr>
          <w:snapToGrid w:val="0"/>
        </w:rPr>
        <w:tab/>
        <w:t xml:space="preserve">Penalty: </w:t>
      </w:r>
      <w:r>
        <w:t>a fine of</w:t>
      </w:r>
      <w:r>
        <w:rPr>
          <w:snapToGrid w:val="0"/>
        </w:rPr>
        <w:t xml:space="preserve"> </w:t>
      </w:r>
      <w:r>
        <w:t>$1 000</w:t>
      </w:r>
      <w:r>
        <w:rPr>
          <w:snapToGrid w:val="0"/>
        </w:rPr>
        <w:t>.</w:t>
      </w:r>
    </w:p>
    <w:p>
      <w:pPr>
        <w:pStyle w:val="Footnotesection"/>
      </w:pPr>
      <w:r>
        <w:tab/>
        <w:t>[Regulation 55 amended in Gazette 3 Dec 2010 p. 6052</w:t>
      </w:r>
      <w:r>
        <w:noBreakHyphen/>
        <w:t>3; 19 Sep 2014 p. 3336.]</w:t>
      </w:r>
    </w:p>
    <w:p>
      <w:pPr>
        <w:pStyle w:val="Heading5"/>
        <w:rPr>
          <w:snapToGrid w:val="0"/>
        </w:rPr>
      </w:pPr>
      <w:bookmarkStart w:id="155" w:name="_Toc408498837"/>
      <w:bookmarkStart w:id="156" w:name="_Toc417563684"/>
      <w:r>
        <w:rPr>
          <w:rStyle w:val="CharSectno"/>
        </w:rPr>
        <w:t>56</w:t>
      </w:r>
      <w:r>
        <w:rPr>
          <w:snapToGrid w:val="0"/>
        </w:rPr>
        <w:t>.</w:t>
      </w:r>
      <w:r>
        <w:rPr>
          <w:snapToGrid w:val="0"/>
        </w:rPr>
        <w:tab/>
        <w:t>Signs to be obeyed</w:t>
      </w:r>
      <w:bookmarkEnd w:id="155"/>
      <w:bookmarkEnd w:id="156"/>
    </w:p>
    <w:p>
      <w:pPr>
        <w:pStyle w:val="Subsection"/>
        <w:rPr>
          <w:snapToGrid w:val="0"/>
        </w:rPr>
      </w:pPr>
      <w:r>
        <w:rPr>
          <w:snapToGrid w:val="0"/>
        </w:rPr>
        <w:tab/>
        <w:t>(1)</w:t>
      </w:r>
      <w:r>
        <w:rPr>
          <w:snapToGrid w:val="0"/>
        </w:rPr>
        <w:tab/>
        <w:t>A person must not park or stand a vehicle on CALM land contrary to any direction on a sign.</w:t>
      </w:r>
    </w:p>
    <w:p>
      <w:pPr>
        <w:pStyle w:val="Penstart"/>
        <w:rPr>
          <w:snapToGrid w:val="0"/>
        </w:rPr>
      </w:pPr>
      <w:r>
        <w:rPr>
          <w:snapToGrid w:val="0"/>
        </w:rPr>
        <w:tab/>
        <w:t xml:space="preserve">Penalty: </w:t>
      </w:r>
      <w:r>
        <w:t>a fine of</w:t>
      </w:r>
      <w:r>
        <w:rPr>
          <w:snapToGrid w:val="0"/>
        </w:rPr>
        <w:t xml:space="preserve"> $500.</w:t>
      </w:r>
    </w:p>
    <w:p>
      <w:pPr>
        <w:pStyle w:val="Subsection"/>
        <w:rPr>
          <w:snapToGrid w:val="0"/>
        </w:rPr>
      </w:pPr>
      <w:r>
        <w:rPr>
          <w:snapToGrid w:val="0"/>
        </w:rPr>
        <w:tab/>
        <w:t>(2)</w:t>
      </w:r>
      <w:r>
        <w:rPr>
          <w:snapToGrid w:val="0"/>
        </w:rPr>
        <w:tab/>
        <w:t>A sign may direct that an area of CALM land is set aside — </w:t>
      </w:r>
    </w:p>
    <w:p>
      <w:pPr>
        <w:pStyle w:val="Indenta"/>
        <w:rPr>
          <w:snapToGrid w:val="0"/>
        </w:rPr>
      </w:pPr>
      <w:r>
        <w:rPr>
          <w:snapToGrid w:val="0"/>
        </w:rPr>
        <w:tab/>
        <w:t>(a)</w:t>
      </w:r>
      <w:r>
        <w:rPr>
          <w:snapToGrid w:val="0"/>
        </w:rPr>
        <w:tab/>
        <w:t>for the parking of a specified vehicle or specified class of vehicles;</w:t>
      </w:r>
    </w:p>
    <w:p>
      <w:pPr>
        <w:pStyle w:val="Indenta"/>
        <w:rPr>
          <w:snapToGrid w:val="0"/>
        </w:rPr>
      </w:pPr>
      <w:r>
        <w:rPr>
          <w:snapToGrid w:val="0"/>
        </w:rPr>
        <w:tab/>
        <w:t>(b)</w:t>
      </w:r>
      <w:r>
        <w:rPr>
          <w:snapToGrid w:val="0"/>
        </w:rPr>
        <w:tab/>
        <w:t>for the parking of a vehicle of a specified person or specified class of persons;</w:t>
      </w:r>
    </w:p>
    <w:p>
      <w:pPr>
        <w:pStyle w:val="Indenta"/>
        <w:rPr>
          <w:snapToGrid w:val="0"/>
        </w:rPr>
      </w:pPr>
      <w:r>
        <w:rPr>
          <w:snapToGrid w:val="0"/>
        </w:rPr>
        <w:tab/>
        <w:t>(c)</w:t>
      </w:r>
      <w:r>
        <w:rPr>
          <w:snapToGrid w:val="0"/>
        </w:rPr>
        <w:tab/>
        <w:t>for the parking of vehicles for a specified maximum period of time;</w:t>
      </w:r>
    </w:p>
    <w:p>
      <w:pPr>
        <w:pStyle w:val="Indenta"/>
        <w:spacing w:before="60"/>
        <w:rPr>
          <w:snapToGrid w:val="0"/>
        </w:rPr>
      </w:pPr>
      <w:r>
        <w:rPr>
          <w:snapToGrid w:val="0"/>
        </w:rPr>
        <w:tab/>
        <w:t>(d)</w:t>
      </w:r>
      <w:r>
        <w:rPr>
          <w:snapToGrid w:val="0"/>
        </w:rPr>
        <w:tab/>
        <w:t>for the parking of vehicles only within specified parking bays;</w:t>
      </w:r>
    </w:p>
    <w:p>
      <w:pPr>
        <w:pStyle w:val="Indenta"/>
        <w:spacing w:before="60"/>
        <w:rPr>
          <w:snapToGrid w:val="0"/>
        </w:rPr>
      </w:pPr>
      <w:r>
        <w:rPr>
          <w:snapToGrid w:val="0"/>
        </w:rPr>
        <w:tab/>
        <w:t>(e)</w:t>
      </w:r>
      <w:r>
        <w:rPr>
          <w:snapToGrid w:val="0"/>
        </w:rPr>
        <w:tab/>
        <w:t>as a “no standing” or “no parking” area.</w:t>
      </w:r>
    </w:p>
    <w:p>
      <w:pPr>
        <w:pStyle w:val="Subsection"/>
        <w:spacing w:before="120"/>
        <w:rPr>
          <w:snapToGrid w:val="0"/>
        </w:rPr>
      </w:pPr>
      <w:r>
        <w:rPr>
          <w:snapToGrid w:val="0"/>
        </w:rPr>
        <w:tab/>
        <w:t>(3)</w:t>
      </w:r>
      <w:r>
        <w:rPr>
          <w:snapToGrid w:val="0"/>
        </w:rPr>
        <w:tab/>
        <w:t>A sign may direct that an area of CALM land may be used for parking subject to the payment of a specified charge.</w:t>
      </w:r>
    </w:p>
    <w:p>
      <w:pPr>
        <w:pStyle w:val="Subsection"/>
        <w:keepNext/>
        <w:keepLines/>
        <w:spacing w:before="120"/>
        <w:rPr>
          <w:snapToGrid w:val="0"/>
        </w:rPr>
      </w:pPr>
      <w:r>
        <w:rPr>
          <w:snapToGrid w:val="0"/>
        </w:rPr>
        <w:tab/>
        <w:t>(4)</w:t>
      </w:r>
      <w:r>
        <w:rPr>
          <w:snapToGrid w:val="0"/>
        </w:rPr>
        <w:tab/>
        <w:t>A person must not park a vehicle in an area that is subject to subregulation (3) at any time when the charge applies unless — </w:t>
      </w:r>
    </w:p>
    <w:p>
      <w:pPr>
        <w:pStyle w:val="Indenta"/>
        <w:spacing w:before="56"/>
        <w:rPr>
          <w:snapToGrid w:val="0"/>
        </w:rPr>
      </w:pPr>
      <w:r>
        <w:rPr>
          <w:snapToGrid w:val="0"/>
        </w:rPr>
        <w:tab/>
        <w:t>(a)</w:t>
      </w:r>
      <w:r>
        <w:rPr>
          <w:snapToGrid w:val="0"/>
        </w:rPr>
        <w:tab/>
        <w:t>the specified charge has been paid into a ticket vending machine; and</w:t>
      </w:r>
    </w:p>
    <w:p>
      <w:pPr>
        <w:pStyle w:val="Indenta"/>
        <w:spacing w:before="56"/>
        <w:rPr>
          <w:snapToGrid w:val="0"/>
        </w:rPr>
      </w:pPr>
      <w:r>
        <w:rPr>
          <w:snapToGrid w:val="0"/>
        </w:rPr>
        <w:tab/>
        <w:t>(b)</w:t>
      </w:r>
      <w:r>
        <w:rPr>
          <w:snapToGrid w:val="0"/>
        </w:rPr>
        <w:tab/>
        <w:t>there is displayed in the vehicle at that time a parking ticket issued from a ticket vending machine that shows — </w:t>
      </w:r>
    </w:p>
    <w:p>
      <w:pPr>
        <w:pStyle w:val="Indenti"/>
        <w:spacing w:before="56"/>
        <w:rPr>
          <w:snapToGrid w:val="0"/>
        </w:rPr>
      </w:pPr>
      <w:r>
        <w:rPr>
          <w:snapToGrid w:val="0"/>
        </w:rPr>
        <w:tab/>
        <w:t>(i)</w:t>
      </w:r>
      <w:r>
        <w:rPr>
          <w:snapToGrid w:val="0"/>
        </w:rPr>
        <w:tab/>
        <w:t>the amount paid; and</w:t>
      </w:r>
    </w:p>
    <w:p>
      <w:pPr>
        <w:pStyle w:val="Indenti"/>
        <w:spacing w:before="56"/>
        <w:rPr>
          <w:snapToGrid w:val="0"/>
        </w:rPr>
      </w:pPr>
      <w:r>
        <w:rPr>
          <w:snapToGrid w:val="0"/>
        </w:rPr>
        <w:tab/>
        <w:t>(ii)</w:t>
      </w:r>
      <w:r>
        <w:rPr>
          <w:snapToGrid w:val="0"/>
        </w:rPr>
        <w:tab/>
        <w:t>the date; and</w:t>
      </w:r>
    </w:p>
    <w:p>
      <w:pPr>
        <w:pStyle w:val="Indenti"/>
        <w:spacing w:before="56"/>
        <w:rPr>
          <w:snapToGrid w:val="0"/>
        </w:rPr>
      </w:pPr>
      <w:r>
        <w:rPr>
          <w:snapToGrid w:val="0"/>
        </w:rPr>
        <w:tab/>
        <w:t>(iii)</w:t>
      </w:r>
      <w:r>
        <w:rPr>
          <w:snapToGrid w:val="0"/>
        </w:rPr>
        <w:tab/>
        <w:t>an expiry time for permitted parking that is after that time;</w:t>
      </w:r>
    </w:p>
    <w:p>
      <w:pPr>
        <w:pStyle w:val="Indenta"/>
        <w:spacing w:before="56"/>
        <w:rPr>
          <w:snapToGrid w:val="0"/>
        </w:rPr>
      </w:pPr>
      <w:r>
        <w:rPr>
          <w:snapToGrid w:val="0"/>
        </w:rPr>
        <w:tab/>
      </w:r>
      <w:r>
        <w:rPr>
          <w:snapToGrid w:val="0"/>
        </w:rPr>
        <w:tab/>
        <w:t>and</w:t>
      </w:r>
    </w:p>
    <w:p>
      <w:pPr>
        <w:pStyle w:val="Indenta"/>
        <w:spacing w:before="56"/>
        <w:rPr>
          <w:snapToGrid w:val="0"/>
        </w:rPr>
      </w:pPr>
      <w:r>
        <w:rPr>
          <w:snapToGrid w:val="0"/>
        </w:rPr>
        <w:tab/>
        <w:t>(c)</w:t>
      </w:r>
      <w:r>
        <w:rPr>
          <w:snapToGrid w:val="0"/>
        </w:rPr>
        <w:tab/>
        <w:t>the parking ticket issued from the ticket vending machine is displayed in the vehicle in such a manner that an authorised officer is able to read it from outside the vehicle.</w:t>
      </w:r>
    </w:p>
    <w:p>
      <w:pPr>
        <w:pStyle w:val="Penstart"/>
        <w:spacing w:before="60"/>
        <w:rPr>
          <w:snapToGrid w:val="0"/>
        </w:rPr>
      </w:pPr>
      <w:r>
        <w:rPr>
          <w:snapToGrid w:val="0"/>
        </w:rPr>
        <w:tab/>
        <w:t xml:space="preserve">Penalty: </w:t>
      </w:r>
      <w:r>
        <w:t>a fine of</w:t>
      </w:r>
      <w:r>
        <w:rPr>
          <w:snapToGrid w:val="0"/>
        </w:rPr>
        <w:t xml:space="preserve"> $500.</w:t>
      </w:r>
    </w:p>
    <w:p>
      <w:pPr>
        <w:pStyle w:val="Subsection"/>
        <w:spacing w:before="110"/>
        <w:rPr>
          <w:snapToGrid w:val="0"/>
        </w:rPr>
      </w:pPr>
      <w:r>
        <w:rPr>
          <w:snapToGrid w:val="0"/>
        </w:rPr>
        <w:tab/>
        <w:t>(5)</w:t>
      </w:r>
      <w:r>
        <w:rPr>
          <w:snapToGrid w:val="0"/>
        </w:rPr>
        <w:tab/>
        <w:t xml:space="preserve">The charge specified for the purposes of subregulation (3) is not to exceed — </w:t>
      </w:r>
    </w:p>
    <w:p>
      <w:pPr>
        <w:pStyle w:val="Indenta"/>
      </w:pPr>
      <w:r>
        <w:tab/>
        <w:t>(a)</w:t>
      </w:r>
      <w:r>
        <w:tab/>
        <w:t>$1.50 for every hour or part of an hour; and</w:t>
      </w:r>
    </w:p>
    <w:p>
      <w:pPr>
        <w:pStyle w:val="Indenta"/>
      </w:pPr>
      <w:r>
        <w:tab/>
        <w:t>(b)</w:t>
      </w:r>
      <w:r>
        <w:tab/>
        <w:t>$10.00 for any day or part of a day.</w:t>
      </w:r>
    </w:p>
    <w:p>
      <w:pPr>
        <w:pStyle w:val="Subsection"/>
        <w:spacing w:before="110"/>
        <w:rPr>
          <w:snapToGrid w:val="0"/>
        </w:rPr>
      </w:pPr>
      <w:r>
        <w:rPr>
          <w:snapToGrid w:val="0"/>
        </w:rPr>
        <w:tab/>
        <w:t>(6)</w:t>
      </w:r>
      <w:r>
        <w:rPr>
          <w:snapToGrid w:val="0"/>
        </w:rPr>
        <w:tab/>
        <w:t>In this regulation — </w:t>
      </w:r>
    </w:p>
    <w:p>
      <w:pPr>
        <w:pStyle w:val="Defstart"/>
        <w:spacing w:before="60"/>
      </w:pPr>
      <w:r>
        <w:tab/>
      </w:r>
      <w:r>
        <w:rPr>
          <w:rStyle w:val="CharDefText"/>
        </w:rPr>
        <w:t>specified</w:t>
      </w:r>
      <w:r>
        <w:rPr>
          <w:b/>
        </w:rPr>
        <w:t xml:space="preserve"> </w:t>
      </w:r>
      <w:r>
        <w:t xml:space="preserve">means specified by a sign; </w:t>
      </w:r>
    </w:p>
    <w:p>
      <w:pPr>
        <w:pStyle w:val="Defstart"/>
        <w:spacing w:before="60"/>
      </w:pPr>
      <w:r>
        <w:tab/>
      </w:r>
      <w:r>
        <w:rPr>
          <w:rStyle w:val="CharDefText"/>
        </w:rPr>
        <w:t>ticket vending machine</w:t>
      </w:r>
      <w:r>
        <w:rPr>
          <w:b/>
        </w:rPr>
        <w:t xml:space="preserve"> </w:t>
      </w:r>
      <w:r>
        <w:t>means a machine situated on CALM land which, following the insertion of a coin or coins, issues a parking ticket.</w:t>
      </w:r>
    </w:p>
    <w:p>
      <w:pPr>
        <w:pStyle w:val="Footnotesection"/>
        <w:spacing w:before="60"/>
      </w:pPr>
      <w:r>
        <w:tab/>
        <w:t>[Regulation 56 amended in Gazette 29 Sep 2006 p. 4315; 3 Dec 2010 p. 6048 and 6052</w:t>
      </w:r>
      <w:r>
        <w:noBreakHyphen/>
        <w:t>3; 27 Sep 2013 p. 4525.]</w:t>
      </w:r>
    </w:p>
    <w:p>
      <w:pPr>
        <w:pStyle w:val="Heading5"/>
        <w:spacing w:before="180"/>
        <w:rPr>
          <w:snapToGrid w:val="0"/>
        </w:rPr>
      </w:pPr>
      <w:bookmarkStart w:id="157" w:name="_Toc408498838"/>
      <w:bookmarkStart w:id="158" w:name="_Toc417563685"/>
      <w:r>
        <w:rPr>
          <w:rStyle w:val="CharSectno"/>
        </w:rPr>
        <w:t>57</w:t>
      </w:r>
      <w:r>
        <w:rPr>
          <w:snapToGrid w:val="0"/>
        </w:rPr>
        <w:t>.</w:t>
      </w:r>
      <w:r>
        <w:rPr>
          <w:snapToGrid w:val="0"/>
        </w:rPr>
        <w:tab/>
        <w:t>Obstructing other vehicles etc.</w:t>
      </w:r>
      <w:bookmarkEnd w:id="157"/>
      <w:bookmarkEnd w:id="158"/>
      <w:r>
        <w:rPr>
          <w:snapToGrid w:val="0"/>
        </w:rPr>
        <w:t xml:space="preserve"> </w:t>
      </w:r>
    </w:p>
    <w:p>
      <w:pPr>
        <w:pStyle w:val="Subsection"/>
        <w:spacing w:before="120"/>
        <w:rPr>
          <w:snapToGrid w:val="0"/>
        </w:rPr>
      </w:pPr>
      <w:r>
        <w:rPr>
          <w:snapToGrid w:val="0"/>
        </w:rPr>
        <w:tab/>
      </w:r>
      <w:r>
        <w:rPr>
          <w:snapToGrid w:val="0"/>
        </w:rPr>
        <w:tab/>
        <w:t>A person must not park or stand a vehicle on CALM land in such a manner as to obstruct — </w:t>
      </w:r>
    </w:p>
    <w:p>
      <w:pPr>
        <w:pStyle w:val="Indenta"/>
        <w:rPr>
          <w:snapToGrid w:val="0"/>
        </w:rPr>
      </w:pPr>
      <w:r>
        <w:rPr>
          <w:snapToGrid w:val="0"/>
        </w:rPr>
        <w:tab/>
        <w:t>(a)</w:t>
      </w:r>
      <w:r>
        <w:rPr>
          <w:snapToGrid w:val="0"/>
        </w:rPr>
        <w:tab/>
        <w:t>any other vehicle on the land; or</w:t>
      </w:r>
    </w:p>
    <w:p>
      <w:pPr>
        <w:pStyle w:val="Indenta"/>
        <w:rPr>
          <w:snapToGrid w:val="0"/>
        </w:rPr>
      </w:pPr>
      <w:r>
        <w:rPr>
          <w:snapToGrid w:val="0"/>
        </w:rPr>
        <w:tab/>
        <w:t>(b)</w:t>
      </w:r>
      <w:r>
        <w:rPr>
          <w:snapToGrid w:val="0"/>
        </w:rPr>
        <w:tab/>
        <w:t>a footpath; or</w:t>
      </w:r>
    </w:p>
    <w:p>
      <w:pPr>
        <w:pStyle w:val="Indenta"/>
        <w:rPr>
          <w:snapToGrid w:val="0"/>
        </w:rPr>
      </w:pPr>
      <w:r>
        <w:rPr>
          <w:snapToGrid w:val="0"/>
        </w:rPr>
        <w:tab/>
        <w:t>(c)</w:t>
      </w:r>
      <w:r>
        <w:rPr>
          <w:snapToGrid w:val="0"/>
        </w:rPr>
        <w:tab/>
        <w:t>access to a ticket vending machine within the meaning of regulation 56(6); or</w:t>
      </w:r>
    </w:p>
    <w:p>
      <w:pPr>
        <w:pStyle w:val="Indenta"/>
        <w:rPr>
          <w:snapToGrid w:val="0"/>
        </w:rPr>
      </w:pPr>
      <w:r>
        <w:rPr>
          <w:snapToGrid w:val="0"/>
        </w:rPr>
        <w:tab/>
        <w:t>(d)</w:t>
      </w:r>
      <w:r>
        <w:rPr>
          <w:snapToGrid w:val="0"/>
        </w:rPr>
        <w:tab/>
        <w:t>access to a facility on the land.</w:t>
      </w:r>
    </w:p>
    <w:p>
      <w:pPr>
        <w:pStyle w:val="Penstart"/>
        <w:rPr>
          <w:snapToGrid w:val="0"/>
        </w:rPr>
      </w:pPr>
      <w:r>
        <w:rPr>
          <w:snapToGrid w:val="0"/>
        </w:rPr>
        <w:tab/>
        <w:t xml:space="preserve">Penalty: </w:t>
      </w:r>
      <w:r>
        <w:t>a fine of</w:t>
      </w:r>
      <w:r>
        <w:rPr>
          <w:snapToGrid w:val="0"/>
        </w:rPr>
        <w:t xml:space="preserve"> $500.</w:t>
      </w:r>
    </w:p>
    <w:p>
      <w:pPr>
        <w:pStyle w:val="Footnotesection"/>
      </w:pPr>
      <w:r>
        <w:tab/>
        <w:t>[Regulation 57 amended in Gazette 3 Dec 2010 p. 6052</w:t>
      </w:r>
      <w:r>
        <w:noBreakHyphen/>
        <w:t>3.]</w:t>
      </w:r>
    </w:p>
    <w:p>
      <w:pPr>
        <w:pStyle w:val="Heading3"/>
      </w:pPr>
      <w:bookmarkStart w:id="159" w:name="_Toc408498839"/>
      <w:bookmarkStart w:id="160" w:name="_Toc414889261"/>
      <w:bookmarkStart w:id="161" w:name="_Toc414975204"/>
      <w:bookmarkStart w:id="162" w:name="_Toc417563686"/>
      <w:r>
        <w:rPr>
          <w:rStyle w:val="CharDivNo"/>
        </w:rPr>
        <w:t>Division 3</w:t>
      </w:r>
      <w:r>
        <w:rPr>
          <w:snapToGrid w:val="0"/>
        </w:rPr>
        <w:t xml:space="preserve"> — </w:t>
      </w:r>
      <w:r>
        <w:rPr>
          <w:rStyle w:val="CharDivText"/>
        </w:rPr>
        <w:t>Vessels</w:t>
      </w:r>
      <w:bookmarkEnd w:id="159"/>
      <w:bookmarkEnd w:id="160"/>
      <w:bookmarkEnd w:id="161"/>
      <w:bookmarkEnd w:id="162"/>
    </w:p>
    <w:p>
      <w:pPr>
        <w:pStyle w:val="Heading5"/>
        <w:rPr>
          <w:snapToGrid w:val="0"/>
        </w:rPr>
      </w:pPr>
      <w:bookmarkStart w:id="163" w:name="_Toc408498840"/>
      <w:bookmarkStart w:id="164" w:name="_Toc417563687"/>
      <w:r>
        <w:rPr>
          <w:rStyle w:val="CharSectno"/>
        </w:rPr>
        <w:t>58</w:t>
      </w:r>
      <w:r>
        <w:rPr>
          <w:snapToGrid w:val="0"/>
        </w:rPr>
        <w:t>.</w:t>
      </w:r>
      <w:r>
        <w:rPr>
          <w:snapToGrid w:val="0"/>
        </w:rPr>
        <w:tab/>
        <w:t>Races</w:t>
      </w:r>
      <w:bookmarkEnd w:id="163"/>
      <w:bookmarkEnd w:id="164"/>
      <w:r>
        <w:rPr>
          <w:snapToGrid w:val="0"/>
        </w:rPr>
        <w:t xml:space="preserve"> </w:t>
      </w:r>
    </w:p>
    <w:p>
      <w:pPr>
        <w:pStyle w:val="Subsection"/>
        <w:rPr>
          <w:snapToGrid w:val="0"/>
        </w:rPr>
      </w:pPr>
      <w:r>
        <w:rPr>
          <w:snapToGrid w:val="0"/>
        </w:rPr>
        <w:tab/>
      </w:r>
      <w:r>
        <w:rPr>
          <w:snapToGrid w:val="0"/>
        </w:rPr>
        <w:tab/>
        <w:t>A person must not, without lawful authority, organise, promote or conduct a race involving vessels on or through CALM land.</w:t>
      </w:r>
    </w:p>
    <w:p>
      <w:pPr>
        <w:pStyle w:val="Penstart"/>
        <w:rPr>
          <w:snapToGrid w:val="0"/>
        </w:rPr>
      </w:pPr>
      <w:r>
        <w:rPr>
          <w:snapToGrid w:val="0"/>
        </w:rPr>
        <w:tab/>
        <w:t xml:space="preserve">Penalty: </w:t>
      </w:r>
      <w:r>
        <w:t>a fine of</w:t>
      </w:r>
      <w:r>
        <w:rPr>
          <w:snapToGrid w:val="0"/>
        </w:rPr>
        <w:t xml:space="preserve"> $2 000.</w:t>
      </w:r>
    </w:p>
    <w:p>
      <w:pPr>
        <w:pStyle w:val="Footnotesection"/>
      </w:pPr>
      <w:r>
        <w:tab/>
        <w:t>[Regulation 58 amended in Gazette 3 Dec 2010 p. 6052</w:t>
      </w:r>
      <w:r>
        <w:noBreakHyphen/>
        <w:t>3.]</w:t>
      </w:r>
    </w:p>
    <w:p>
      <w:pPr>
        <w:pStyle w:val="Heading5"/>
        <w:rPr>
          <w:snapToGrid w:val="0"/>
        </w:rPr>
      </w:pPr>
      <w:bookmarkStart w:id="165" w:name="_Toc408498841"/>
      <w:bookmarkStart w:id="166" w:name="_Toc417563688"/>
      <w:r>
        <w:rPr>
          <w:rStyle w:val="CharSectno"/>
        </w:rPr>
        <w:t>59</w:t>
      </w:r>
      <w:r>
        <w:rPr>
          <w:snapToGrid w:val="0"/>
        </w:rPr>
        <w:t>.</w:t>
      </w:r>
      <w:r>
        <w:rPr>
          <w:snapToGrid w:val="0"/>
        </w:rPr>
        <w:tab/>
        <w:t>Moorings</w:t>
      </w:r>
      <w:bookmarkEnd w:id="165"/>
      <w:bookmarkEnd w:id="166"/>
      <w:r>
        <w:rPr>
          <w:snapToGrid w:val="0"/>
        </w:rPr>
        <w:t xml:space="preserve"> </w:t>
      </w:r>
    </w:p>
    <w:p>
      <w:pPr>
        <w:pStyle w:val="Subsection"/>
      </w:pPr>
      <w:r>
        <w:tab/>
        <w:t>(1)</w:t>
      </w:r>
      <w:r>
        <w:tab/>
        <w:t xml:space="preserve">A person must not, without lawful authority — </w:t>
      </w:r>
    </w:p>
    <w:p>
      <w:pPr>
        <w:pStyle w:val="Indenta"/>
      </w:pPr>
      <w:r>
        <w:tab/>
        <w:t>(a)</w:t>
      </w:r>
      <w:r>
        <w:tab/>
        <w:t>install a mooring on CALM land; or</w:t>
      </w:r>
    </w:p>
    <w:p>
      <w:pPr>
        <w:pStyle w:val="Indenta"/>
      </w:pPr>
      <w:r>
        <w:tab/>
        <w:t>(b)</w:t>
      </w:r>
      <w:r>
        <w:tab/>
        <w:t>allow a mooring which the person owns or apparently controls to remain on CALM land.</w:t>
      </w:r>
    </w:p>
    <w:p>
      <w:pPr>
        <w:pStyle w:val="Penstart"/>
      </w:pPr>
      <w:r>
        <w:tab/>
        <w:t>Penalty: a fine of $2 000.</w:t>
      </w:r>
    </w:p>
    <w:p>
      <w:pPr>
        <w:pStyle w:val="Subsection"/>
      </w:pPr>
      <w:r>
        <w:tab/>
        <w:t>(2)</w:t>
      </w:r>
      <w:r>
        <w:tab/>
        <w:t>A person must not secure a vessel, or allow it to remain secured, to a mooring that is on CALM land without lawful authority.</w:t>
      </w:r>
    </w:p>
    <w:p>
      <w:pPr>
        <w:pStyle w:val="Penstart"/>
      </w:pPr>
      <w:r>
        <w:tab/>
        <w:t>Penalty: a fine of $1 000.</w:t>
      </w:r>
    </w:p>
    <w:p>
      <w:pPr>
        <w:pStyle w:val="Subsection"/>
      </w:pPr>
      <w:r>
        <w:rPr>
          <w:snapToGrid w:val="0"/>
        </w:rPr>
        <w:tab/>
        <w:t>(3A)</w:t>
      </w:r>
      <w:r>
        <w:rPr>
          <w:snapToGrid w:val="0"/>
        </w:rPr>
        <w:tab/>
        <w:t>A person must not, without lawful authority, allow a moored vessel to be on CALM land.</w:t>
      </w:r>
    </w:p>
    <w:p>
      <w:pPr>
        <w:pStyle w:val="Penstart"/>
      </w:pPr>
      <w:r>
        <w:tab/>
        <w:t>Penalty: a fine of $1 000.</w:t>
      </w:r>
    </w:p>
    <w:p>
      <w:pPr>
        <w:pStyle w:val="Subsection"/>
        <w:rPr>
          <w:snapToGrid w:val="0"/>
        </w:rPr>
      </w:pPr>
      <w:r>
        <w:rPr>
          <w:snapToGrid w:val="0"/>
        </w:rPr>
        <w:tab/>
        <w:t>(3)</w:t>
      </w:r>
      <w:r>
        <w:rPr>
          <w:snapToGrid w:val="0"/>
        </w:rPr>
        <w:tab/>
        <w:t>A person must not secure a vessel, or allow it to remain secured, to — </w:t>
      </w:r>
    </w:p>
    <w:p>
      <w:pPr>
        <w:pStyle w:val="Indenta"/>
      </w:pPr>
      <w:r>
        <w:rPr>
          <w:snapToGrid w:val="0"/>
        </w:rPr>
        <w:tab/>
        <w:t>(a)</w:t>
      </w:r>
      <w:r>
        <w:rPr>
          <w:snapToGrid w:val="0"/>
        </w:rPr>
        <w:tab/>
      </w:r>
      <w:r>
        <w:t>a mooring on CALM land, without lawful authority; or</w:t>
      </w:r>
    </w:p>
    <w:p>
      <w:pPr>
        <w:pStyle w:val="Indenta"/>
        <w:rPr>
          <w:snapToGrid w:val="0"/>
        </w:rPr>
      </w:pPr>
      <w:r>
        <w:rPr>
          <w:snapToGrid w:val="0"/>
        </w:rPr>
        <w:tab/>
        <w:t>(b)</w:t>
      </w:r>
      <w:r>
        <w:rPr>
          <w:snapToGrid w:val="0"/>
        </w:rPr>
        <w:tab/>
        <w:t>a mooring on CALM land to which a vessel is already secured; or</w:t>
      </w:r>
    </w:p>
    <w:p>
      <w:pPr>
        <w:pStyle w:val="Indenta"/>
        <w:rPr>
          <w:snapToGrid w:val="0"/>
        </w:rPr>
      </w:pPr>
      <w:r>
        <w:rPr>
          <w:snapToGrid w:val="0"/>
        </w:rPr>
        <w:tab/>
        <w:t>(c)</w:t>
      </w:r>
      <w:r>
        <w:rPr>
          <w:snapToGrid w:val="0"/>
        </w:rPr>
        <w:tab/>
        <w:t>a vessel that is secured to a mooring on CALM land.</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(4)</w:t>
      </w:r>
      <w:r>
        <w:rPr>
          <w:snapToGrid w:val="0"/>
        </w:rPr>
        <w:tab/>
        <w:t>Subregulation (3) does not apply so as to prohibit a tender being attached to a vessel.</w:t>
      </w:r>
    </w:p>
    <w:p>
      <w:pPr>
        <w:pStyle w:val="Subsection"/>
        <w:rPr>
          <w:snapToGrid w:val="0"/>
        </w:rPr>
      </w:pPr>
      <w:r>
        <w:rPr>
          <w:snapToGrid w:val="0"/>
        </w:rPr>
        <w:tab/>
        <w:t>(5)</w:t>
      </w:r>
      <w:r>
        <w:rPr>
          <w:snapToGrid w:val="0"/>
        </w:rPr>
        <w:tab/>
        <w:t>For the purposes of this regulation, a person who is on a vessel that is secured to a mooring</w:t>
      </w:r>
      <w:r>
        <w:rPr>
          <w:spacing w:val="-6"/>
          <w:kern w:val="24"/>
        </w:rPr>
        <w:t>, or secured to a vessel that is secured to a mooring,</w:t>
      </w:r>
      <w:r>
        <w:t xml:space="preserve"> </w:t>
      </w:r>
      <w:r>
        <w:rPr>
          <w:snapToGrid w:val="0"/>
        </w:rPr>
        <w:t>is taken to allow it to remain secured to that mooring</w:t>
      </w:r>
      <w:r>
        <w:t xml:space="preserve"> or that vessel</w:t>
      </w:r>
      <w:r>
        <w:rPr>
          <w:snapToGrid w:val="0"/>
        </w:rPr>
        <w:t>.</w:t>
      </w:r>
    </w:p>
    <w:p>
      <w:pPr>
        <w:pStyle w:val="Footnotesection"/>
      </w:pPr>
      <w:r>
        <w:tab/>
        <w:t>[Regulation 59 amended in Gazette 29 Sep 2006 p. 4315; 3 Dec 2010 p. 6052</w:t>
      </w:r>
      <w:r>
        <w:noBreakHyphen/>
        <w:t>3; 24 Mar 2015 p. 1034</w:t>
      </w:r>
      <w:r>
        <w:noBreakHyphen/>
        <w:t>5.]</w:t>
      </w:r>
    </w:p>
    <w:p>
      <w:pPr>
        <w:pStyle w:val="Heading5"/>
      </w:pPr>
      <w:bookmarkStart w:id="167" w:name="_Toc417563689"/>
      <w:bookmarkStart w:id="168" w:name="_Toc408498842"/>
      <w:r>
        <w:rPr>
          <w:rStyle w:val="CharSectno"/>
        </w:rPr>
        <w:t>60A</w:t>
      </w:r>
      <w:r>
        <w:t>.</w:t>
      </w:r>
      <w:r>
        <w:tab/>
        <w:t>Public moorings</w:t>
      </w:r>
      <w:bookmarkEnd w:id="167"/>
    </w:p>
    <w:p>
      <w:pPr>
        <w:pStyle w:val="Subsection"/>
      </w:pPr>
      <w:r>
        <w:tab/>
        <w:t>(1)</w:t>
      </w:r>
      <w:r>
        <w:tab/>
        <w:t xml:space="preserve">The CEO may designate a mooring as a public mooring by a sign attached to the mooring. </w:t>
      </w:r>
    </w:p>
    <w:p>
      <w:pPr>
        <w:pStyle w:val="Subsection"/>
      </w:pPr>
      <w:r>
        <w:tab/>
        <w:t>(2)</w:t>
      </w:r>
      <w:r>
        <w:tab/>
        <w:t>A mooring may be designated as a public mooring at all times or during a period or periods specified on the sign.</w:t>
      </w:r>
    </w:p>
    <w:p>
      <w:pPr>
        <w:pStyle w:val="Subsection"/>
      </w:pPr>
      <w:r>
        <w:tab/>
        <w:t>(3)</w:t>
      </w:r>
      <w:r>
        <w:tab/>
        <w:t xml:space="preserve">The sign that is attached to a public mooring must indicate — </w:t>
      </w:r>
    </w:p>
    <w:p>
      <w:pPr>
        <w:pStyle w:val="Indenta"/>
      </w:pPr>
      <w:r>
        <w:tab/>
        <w:t>(a)</w:t>
      </w:r>
      <w:r>
        <w:tab/>
        <w:t>the period or periods during which the mooring is a public mooring; and</w:t>
      </w:r>
    </w:p>
    <w:p>
      <w:pPr>
        <w:pStyle w:val="Indenta"/>
      </w:pPr>
      <w:r>
        <w:tab/>
        <w:t>(b)</w:t>
      </w:r>
      <w:r>
        <w:tab/>
        <w:t>the conditions, if any, that apply to the use of the mooring.</w:t>
      </w:r>
    </w:p>
    <w:p>
      <w:pPr>
        <w:pStyle w:val="Subsection"/>
      </w:pPr>
      <w:r>
        <w:tab/>
        <w:t>(4)</w:t>
      </w:r>
      <w:r>
        <w:tab/>
        <w:t>A person has lawful authority to secure a vessel, or allow it to remain secured, to a public mooring if the person complies with the conditions specified on a sign attached to the mooring.</w:t>
      </w:r>
    </w:p>
    <w:p>
      <w:pPr>
        <w:pStyle w:val="Penstart"/>
      </w:pPr>
      <w:r>
        <w:tab/>
        <w:t>Penalty: a fine of $2 000.</w:t>
      </w:r>
    </w:p>
    <w:p>
      <w:pPr>
        <w:pStyle w:val="Footnotesection"/>
      </w:pPr>
      <w:r>
        <w:tab/>
        <w:t>[Regulation 60A inserted in Gazette 24 Mar 2015 p. 1035.]</w:t>
      </w:r>
    </w:p>
    <w:p>
      <w:pPr>
        <w:pStyle w:val="Heading5"/>
      </w:pPr>
      <w:bookmarkStart w:id="169" w:name="_Toc417563690"/>
      <w:r>
        <w:rPr>
          <w:rStyle w:val="CharSectno"/>
        </w:rPr>
        <w:t>60B</w:t>
      </w:r>
      <w:r>
        <w:t>.</w:t>
      </w:r>
      <w:r>
        <w:tab/>
        <w:t>Temporary mooring areas</w:t>
      </w:r>
      <w:bookmarkEnd w:id="169"/>
    </w:p>
    <w:p>
      <w:pPr>
        <w:pStyle w:val="Subsection"/>
      </w:pPr>
      <w:r>
        <w:tab/>
      </w:r>
      <w:r>
        <w:tab/>
        <w:t>A person has lawful authority to moor a vessel in a temporary mooring area in accordance with conditions specified on signs erected in or in the vicinity of that area for the purposes of regulation 6(3) or signs designating the area as a temporary mooring area.</w:t>
      </w:r>
    </w:p>
    <w:p>
      <w:pPr>
        <w:pStyle w:val="Footnotesection"/>
      </w:pPr>
      <w:r>
        <w:tab/>
        <w:t>[Regulation 60B inserted in Gazette 24 Mar 2015 p. 1035.]</w:t>
      </w:r>
    </w:p>
    <w:p>
      <w:pPr>
        <w:pStyle w:val="Heading5"/>
      </w:pPr>
      <w:bookmarkStart w:id="170" w:name="_Toc417563691"/>
      <w:r>
        <w:rPr>
          <w:rStyle w:val="CharSectno"/>
        </w:rPr>
        <w:t>60</w:t>
      </w:r>
      <w:r>
        <w:rPr>
          <w:snapToGrid w:val="0"/>
        </w:rPr>
        <w:t>.</w:t>
      </w:r>
      <w:r>
        <w:rPr>
          <w:snapToGrid w:val="0"/>
        </w:rPr>
        <w:tab/>
        <w:t>Anchoring vessels</w:t>
      </w:r>
      <w:bookmarkEnd w:id="168"/>
      <w:bookmarkEnd w:id="170"/>
    </w:p>
    <w:p>
      <w:pPr>
        <w:pStyle w:val="Subsection"/>
        <w:ind w:left="0" w:firstLine="0"/>
        <w:rPr>
          <w:snapToGrid w:val="0"/>
        </w:rPr>
      </w:pPr>
      <w:r>
        <w:rPr>
          <w:snapToGrid w:val="0"/>
        </w:rPr>
        <w:tab/>
        <w:t>(1)</w:t>
      </w:r>
      <w:r>
        <w:rPr>
          <w:snapToGrid w:val="0"/>
        </w:rPr>
        <w:tab/>
        <w:t>A person must not, without lawful authority — </w:t>
      </w:r>
    </w:p>
    <w:p>
      <w:pPr>
        <w:pStyle w:val="Indenta"/>
        <w:rPr>
          <w:snapToGrid w:val="0"/>
        </w:rPr>
      </w:pPr>
      <w:r>
        <w:rPr>
          <w:snapToGrid w:val="0"/>
        </w:rPr>
        <w:tab/>
        <w:t>(a)</w:t>
      </w:r>
      <w:r>
        <w:rPr>
          <w:snapToGrid w:val="0"/>
        </w:rPr>
        <w:tab/>
        <w:t>anchor a vessel in a restricted area if that activity is prohibited under regulation 5; or</w:t>
      </w:r>
    </w:p>
    <w:p>
      <w:pPr>
        <w:pStyle w:val="Indenta"/>
        <w:rPr>
          <w:snapToGrid w:val="0"/>
        </w:rPr>
      </w:pPr>
      <w:r>
        <w:rPr>
          <w:snapToGrid w:val="0"/>
        </w:rPr>
        <w:tab/>
        <w:t>(b)</w:t>
      </w:r>
      <w:r>
        <w:rPr>
          <w:snapToGrid w:val="0"/>
        </w:rPr>
        <w:tab/>
        <w:t>contravene a restriction on the anchoring of vessels in a restricted area imposed under regulation 5.</w:t>
      </w:r>
    </w:p>
    <w:p>
      <w:pPr>
        <w:pStyle w:val="Penstart"/>
        <w:rPr>
          <w:snapToGrid w:val="0"/>
        </w:rPr>
      </w:pPr>
      <w:r>
        <w:rPr>
          <w:snapToGrid w:val="0"/>
        </w:rPr>
        <w:tab/>
        <w:t xml:space="preserve">Penalty: </w:t>
      </w:r>
      <w:r>
        <w:t>a fine of</w:t>
      </w:r>
      <w:r>
        <w:rPr>
          <w:snapToGrid w:val="0"/>
        </w:rPr>
        <w:t xml:space="preserve"> $1 000.</w:t>
      </w:r>
    </w:p>
    <w:p>
      <w:pPr>
        <w:pStyle w:val="Subsection"/>
      </w:pPr>
      <w:r>
        <w:tab/>
        <w:t>(2A)</w:t>
      </w:r>
      <w:r>
        <w:tab/>
        <w:t>A person must not anchor a vessel, or allow a vessel to remain anchored, on CALM land if the vessel lies in a position where part of the vessel, or a tender attached to it, is closer than 50 metres to a mooring that is on CALM land.</w:t>
      </w:r>
    </w:p>
    <w:p>
      <w:pPr>
        <w:pStyle w:val="Penstart"/>
      </w:pPr>
      <w:r>
        <w:tab/>
        <w:t>Penalty: a fine of $1 000.</w:t>
      </w:r>
    </w:p>
    <w:p>
      <w:pPr>
        <w:pStyle w:val="Subsection"/>
        <w:rPr>
          <w:snapToGrid w:val="0"/>
        </w:rPr>
      </w:pPr>
      <w:r>
        <w:rPr>
          <w:snapToGrid w:val="0"/>
        </w:rPr>
        <w:tab/>
        <w:t>(2)</w:t>
      </w:r>
      <w:r>
        <w:rPr>
          <w:snapToGrid w:val="0"/>
        </w:rPr>
        <w:tab/>
      </w:r>
      <w:r>
        <w:t>Subregulations (1) and (2A) do</w:t>
      </w:r>
      <w:r>
        <w:rPr>
          <w:snapToGrid w:val="0"/>
        </w:rPr>
        <w:t xml:space="preserve"> not apply to a vessel that is required to anchor contrary to that subregulation to avoid or mitigate danger to human life or significant damage to property.</w:t>
      </w:r>
    </w:p>
    <w:p>
      <w:pPr>
        <w:pStyle w:val="Footnotesection"/>
      </w:pPr>
      <w:r>
        <w:tab/>
        <w:t>[Regulation 60 amended in Gazette 3 Dec 2010 p. 6052</w:t>
      </w:r>
      <w:r>
        <w:noBreakHyphen/>
        <w:t>3; 24 Mar 2015 p. 1035</w:t>
      </w:r>
      <w:r>
        <w:noBreakHyphen/>
        <w:t>6.]</w:t>
      </w:r>
    </w:p>
    <w:p>
      <w:pPr>
        <w:pStyle w:val="Heading5"/>
        <w:rPr>
          <w:snapToGrid w:val="0"/>
        </w:rPr>
      </w:pPr>
      <w:bookmarkStart w:id="171" w:name="_Toc408498843"/>
      <w:bookmarkStart w:id="172" w:name="_Toc417563692"/>
      <w:r>
        <w:rPr>
          <w:rStyle w:val="CharSectno"/>
        </w:rPr>
        <w:t>61</w:t>
      </w:r>
      <w:r>
        <w:rPr>
          <w:snapToGrid w:val="0"/>
        </w:rPr>
        <w:t>.</w:t>
      </w:r>
      <w:r>
        <w:rPr>
          <w:snapToGrid w:val="0"/>
        </w:rPr>
        <w:tab/>
        <w:t>Operation of certain vessel in restricted area</w:t>
      </w:r>
      <w:bookmarkEnd w:id="171"/>
      <w:bookmarkEnd w:id="172"/>
    </w:p>
    <w:p>
      <w:pPr>
        <w:pStyle w:val="Subsection"/>
      </w:pPr>
      <w:r>
        <w:rPr>
          <w:snapToGrid w:val="0"/>
        </w:rPr>
        <w:tab/>
      </w:r>
      <w:r>
        <w:rPr>
          <w:snapToGrid w:val="0"/>
        </w:rPr>
        <w:tab/>
      </w:r>
      <w:r>
        <w:t xml:space="preserve">A person must not, without lawful authority, in a restricted area — </w:t>
      </w:r>
    </w:p>
    <w:p>
      <w:pPr>
        <w:pStyle w:val="Indenta"/>
      </w:pPr>
      <w:r>
        <w:tab/>
        <w:t>(a)</w:t>
      </w:r>
      <w:r>
        <w:tab/>
        <w:t>operate a vessel if the operation of a vessel of that kind is prohibited in that area under regulation 5; or</w:t>
      </w:r>
    </w:p>
    <w:p>
      <w:pPr>
        <w:pStyle w:val="Indenta"/>
      </w:pPr>
      <w:r>
        <w:tab/>
        <w:t>(b)</w:t>
      </w:r>
      <w:r>
        <w:tab/>
        <w:t>contravene a restriction imposed on the operation of a vessel in that area under regulation 5.</w:t>
      </w:r>
    </w:p>
    <w:p>
      <w:pPr>
        <w:pStyle w:val="Penstart"/>
        <w:rPr>
          <w:snapToGrid w:val="0"/>
        </w:rPr>
      </w:pPr>
      <w:r>
        <w:rPr>
          <w:snapToGrid w:val="0"/>
        </w:rPr>
        <w:tab/>
        <w:t xml:space="preserve">Penalty: </w:t>
      </w:r>
      <w:r>
        <w:t>a fine of</w:t>
      </w:r>
      <w:r>
        <w:rPr>
          <w:snapToGrid w:val="0"/>
        </w:rPr>
        <w:t xml:space="preserve"> </w:t>
      </w:r>
      <w:r>
        <w:t>$1 000</w:t>
      </w:r>
      <w:r>
        <w:rPr>
          <w:snapToGrid w:val="0"/>
        </w:rPr>
        <w:t>.</w:t>
      </w:r>
    </w:p>
    <w:p>
      <w:pPr>
        <w:pStyle w:val="Footnotesection"/>
        <w:spacing w:before="100"/>
      </w:pPr>
      <w:r>
        <w:tab/>
        <w:t>[Regulation 61 amended in Gazette 3 Dec 2010 p. 6052</w:t>
      </w:r>
      <w:r>
        <w:noBreakHyphen/>
        <w:t>3; 19 Sep 2014 p. 3336.]</w:t>
      </w:r>
    </w:p>
    <w:p>
      <w:pPr>
        <w:pStyle w:val="Heading5"/>
      </w:pPr>
      <w:bookmarkStart w:id="173" w:name="_Toc408498844"/>
      <w:bookmarkStart w:id="174" w:name="_Toc417563693"/>
      <w:r>
        <w:rPr>
          <w:rStyle w:val="CharSectno"/>
        </w:rPr>
        <w:t>61A</w:t>
      </w:r>
      <w:r>
        <w:t>.</w:t>
      </w:r>
      <w:r>
        <w:tab/>
        <w:t>Operation of vessels in nature reserves</w:t>
      </w:r>
      <w:bookmarkEnd w:id="173"/>
      <w:bookmarkEnd w:id="174"/>
    </w:p>
    <w:p>
      <w:pPr>
        <w:pStyle w:val="Subsection"/>
      </w:pPr>
      <w:r>
        <w:tab/>
      </w:r>
      <w:r>
        <w:tab/>
        <w:t>A person must not, without lawful authority, operate a vessel in a nature reserve, except in a designated area of the reserve.</w:t>
      </w:r>
    </w:p>
    <w:p>
      <w:pPr>
        <w:pStyle w:val="Penstart"/>
      </w:pPr>
      <w:r>
        <w:tab/>
        <w:t>Penalty: a fine of $1 000.</w:t>
      </w:r>
    </w:p>
    <w:p>
      <w:pPr>
        <w:pStyle w:val="Footnotesection"/>
        <w:spacing w:before="100"/>
      </w:pPr>
      <w:r>
        <w:tab/>
        <w:t>[Regulation 61A inserted in Gazette 29 Sep 2006 p. 4315; amended in Gazette 3 Dec 2010 p. 6052</w:t>
      </w:r>
      <w:r>
        <w:noBreakHyphen/>
        <w:t>3.]</w:t>
      </w:r>
    </w:p>
    <w:p>
      <w:pPr>
        <w:pStyle w:val="Heading5"/>
      </w:pPr>
      <w:bookmarkStart w:id="175" w:name="_Toc417563694"/>
      <w:bookmarkStart w:id="176" w:name="_Toc408498845"/>
      <w:r>
        <w:rPr>
          <w:rStyle w:val="CharSectno"/>
        </w:rPr>
        <w:t>61B</w:t>
      </w:r>
      <w:r>
        <w:t>.</w:t>
      </w:r>
      <w:r>
        <w:tab/>
        <w:t>CEO may limit speed of vessels</w:t>
      </w:r>
      <w:bookmarkEnd w:id="175"/>
    </w:p>
    <w:p>
      <w:pPr>
        <w:pStyle w:val="Subsection"/>
      </w:pPr>
      <w:r>
        <w:tab/>
        <w:t>(1)</w:t>
      </w:r>
      <w:r>
        <w:tab/>
        <w:t xml:space="preserve">In this regulation — </w:t>
      </w:r>
    </w:p>
    <w:p>
      <w:pPr>
        <w:pStyle w:val="Defstart"/>
      </w:pPr>
      <w:r>
        <w:tab/>
      </w:r>
      <w:r>
        <w:rPr>
          <w:rStyle w:val="CharDefText"/>
        </w:rPr>
        <w:t>specified</w:t>
      </w:r>
      <w:r>
        <w:t xml:space="preserve"> means specified in a notice referred to in subregulation (2).</w:t>
      </w:r>
    </w:p>
    <w:p>
      <w:pPr>
        <w:pStyle w:val="Subsection"/>
      </w:pPr>
      <w:r>
        <w:tab/>
        <w:t>(2)</w:t>
      </w:r>
      <w:r>
        <w:tab/>
        <w:t xml:space="preserve">The CEO may, by notice published in the </w:t>
      </w:r>
      <w:r>
        <w:rPr>
          <w:i/>
          <w:iCs/>
        </w:rPr>
        <w:t>Gazette</w:t>
      </w:r>
      <w:r>
        <w:t>, limit the speed of any specified class or classes of vessel in any specified area of waters on CALM land.</w:t>
      </w:r>
    </w:p>
    <w:p>
      <w:pPr>
        <w:pStyle w:val="Subsection"/>
      </w:pPr>
      <w:r>
        <w:tab/>
        <w:t>(3)</w:t>
      </w:r>
      <w:r>
        <w:tab/>
        <w:t>The CEO is to ensure that signs are erected in, or in the vicinity of, each specified area indicating the speed limits that apply in the area and the class or classes of vessel to which the speed limits apply.</w:t>
      </w:r>
    </w:p>
    <w:p>
      <w:pPr>
        <w:pStyle w:val="Subsection"/>
      </w:pPr>
      <w:r>
        <w:tab/>
        <w:t>(4)</w:t>
      </w:r>
      <w:r>
        <w:tab/>
        <w:t>A person must not operate a vessel in a specified area at a speed exceeding the specified limit for a vessel of that class.</w:t>
      </w:r>
    </w:p>
    <w:p>
      <w:pPr>
        <w:pStyle w:val="Penstart"/>
      </w:pPr>
      <w:r>
        <w:tab/>
        <w:t>Penalty: a fine of $2 000.</w:t>
      </w:r>
    </w:p>
    <w:p>
      <w:pPr>
        <w:pStyle w:val="Footnotesection"/>
      </w:pPr>
      <w:r>
        <w:tab/>
        <w:t>[Regulation 61B inserted in Gazette 24 Mar 2015 p. 1036.]</w:t>
      </w:r>
    </w:p>
    <w:p>
      <w:pPr>
        <w:pStyle w:val="Heading5"/>
        <w:rPr>
          <w:snapToGrid w:val="0"/>
        </w:rPr>
      </w:pPr>
      <w:bookmarkStart w:id="177" w:name="_Toc417563695"/>
      <w:r>
        <w:rPr>
          <w:rStyle w:val="CharSectno"/>
        </w:rPr>
        <w:t>62</w:t>
      </w:r>
      <w:r>
        <w:rPr>
          <w:snapToGrid w:val="0"/>
        </w:rPr>
        <w:t>.</w:t>
      </w:r>
      <w:r>
        <w:rPr>
          <w:snapToGrid w:val="0"/>
        </w:rPr>
        <w:tab/>
        <w:t>Safe navigation of vessels</w:t>
      </w:r>
      <w:bookmarkEnd w:id="176"/>
      <w:bookmarkEnd w:id="177"/>
      <w:r>
        <w:rPr>
          <w:snapToGrid w:val="0"/>
        </w:rPr>
        <w:t xml:space="preserve"> </w:t>
      </w:r>
    </w:p>
    <w:p>
      <w:pPr>
        <w:pStyle w:val="Subsection"/>
        <w:rPr>
          <w:snapToGrid w:val="0"/>
        </w:rPr>
      </w:pPr>
      <w:r>
        <w:rPr>
          <w:snapToGrid w:val="0"/>
        </w:rPr>
        <w:tab/>
        <w:t>(1)</w:t>
      </w:r>
      <w:r>
        <w:rPr>
          <w:snapToGrid w:val="0"/>
        </w:rPr>
        <w:tab/>
        <w:t>A person must not navigate a vessel on waters on CALM land in such a manner as to — </w:t>
      </w:r>
    </w:p>
    <w:p>
      <w:pPr>
        <w:pStyle w:val="Indenta"/>
        <w:spacing w:before="60"/>
        <w:rPr>
          <w:snapToGrid w:val="0"/>
        </w:rPr>
      </w:pPr>
      <w:r>
        <w:rPr>
          <w:snapToGrid w:val="0"/>
        </w:rPr>
        <w:tab/>
        <w:t>(a)</w:t>
      </w:r>
      <w:r>
        <w:rPr>
          <w:snapToGrid w:val="0"/>
        </w:rPr>
        <w:tab/>
        <w:t>endanger the safety of that or any other vessel or any person; or</w:t>
      </w:r>
    </w:p>
    <w:p>
      <w:pPr>
        <w:pStyle w:val="Indenta"/>
        <w:spacing w:before="60"/>
        <w:rPr>
          <w:snapToGrid w:val="0"/>
        </w:rPr>
      </w:pPr>
      <w:r>
        <w:rPr>
          <w:snapToGrid w:val="0"/>
        </w:rPr>
        <w:tab/>
        <w:t>(b)</w:t>
      </w:r>
      <w:r>
        <w:rPr>
          <w:snapToGrid w:val="0"/>
        </w:rPr>
        <w:tab/>
        <w:t>cause damage to any person or to any other vessel; or</w:t>
      </w:r>
    </w:p>
    <w:p>
      <w:pPr>
        <w:pStyle w:val="Ednotepara"/>
        <w:spacing w:before="60"/>
        <w:rPr>
          <w:snapToGrid w:val="0"/>
        </w:rPr>
      </w:pPr>
      <w:r>
        <w:rPr>
          <w:snapToGrid w:val="0"/>
        </w:rPr>
        <w:tab/>
        <w:t>[(c)</w:t>
      </w:r>
      <w:r>
        <w:rPr>
          <w:snapToGrid w:val="0"/>
        </w:rPr>
        <w:tab/>
        <w:t>deleted]</w:t>
      </w:r>
    </w:p>
    <w:p>
      <w:pPr>
        <w:pStyle w:val="Indenta"/>
        <w:spacing w:before="60"/>
        <w:rPr>
          <w:snapToGrid w:val="0"/>
        </w:rPr>
      </w:pPr>
      <w:r>
        <w:rPr>
          <w:snapToGrid w:val="0"/>
        </w:rPr>
        <w:tab/>
        <w:t>(d)</w:t>
      </w:r>
      <w:r>
        <w:rPr>
          <w:snapToGrid w:val="0"/>
        </w:rPr>
        <w:tab/>
        <w:t>damage vegetation, coral, shoals, sandbanks, mudflats or the bed or banks of any body of water; or</w:t>
      </w:r>
    </w:p>
    <w:p>
      <w:pPr>
        <w:pStyle w:val="Indenta"/>
        <w:spacing w:before="60"/>
        <w:rPr>
          <w:snapToGrid w:val="0"/>
        </w:rPr>
      </w:pPr>
      <w:r>
        <w:rPr>
          <w:snapToGrid w:val="0"/>
        </w:rPr>
        <w:tab/>
        <w:t>(e)</w:t>
      </w:r>
      <w:r>
        <w:rPr>
          <w:snapToGrid w:val="0"/>
        </w:rPr>
        <w:tab/>
      </w:r>
      <w:r>
        <w:t>endanger or harm any fauna</w:t>
      </w:r>
      <w:r>
        <w:rPr>
          <w:snapToGrid w:val="0"/>
        </w:rPr>
        <w:t>.</w:t>
      </w:r>
    </w:p>
    <w:p>
      <w:pPr>
        <w:pStyle w:val="Penstart"/>
        <w:rPr>
          <w:snapToGrid w:val="0"/>
        </w:rPr>
      </w:pPr>
      <w:r>
        <w:rPr>
          <w:snapToGrid w:val="0"/>
        </w:rPr>
        <w:tab/>
        <w:t xml:space="preserve">Penalty: </w:t>
      </w:r>
      <w:r>
        <w:t>a fine of</w:t>
      </w:r>
      <w:r>
        <w:rPr>
          <w:snapToGrid w:val="0"/>
        </w:rPr>
        <w:t xml:space="preserve"> </w:t>
      </w:r>
      <w:r>
        <w:t>$1 000</w:t>
      </w:r>
      <w:r>
        <w:rPr>
          <w:snapToGrid w:val="0"/>
        </w:rPr>
        <w:t>.</w:t>
      </w:r>
    </w:p>
    <w:p>
      <w:pPr>
        <w:pStyle w:val="Subsection"/>
        <w:rPr>
          <w:snapToGrid w:val="0"/>
        </w:rPr>
      </w:pPr>
      <w:r>
        <w:tab/>
        <w:t>(2)</w:t>
      </w:r>
      <w:r>
        <w:tab/>
      </w:r>
      <w:r>
        <w:rPr>
          <w:snapToGrid w:val="0"/>
        </w:rPr>
        <w:t xml:space="preserve">A person must not navigate a vessel on waters on CALM land in such a manner as to — </w:t>
      </w:r>
    </w:p>
    <w:p>
      <w:pPr>
        <w:pStyle w:val="Indenta"/>
        <w:spacing w:before="70"/>
        <w:rPr>
          <w:snapToGrid w:val="0"/>
        </w:rPr>
      </w:pPr>
      <w:r>
        <w:tab/>
        <w:t>(a)</w:t>
      </w:r>
      <w:r>
        <w:tab/>
      </w:r>
      <w:r>
        <w:rPr>
          <w:snapToGrid w:val="0"/>
        </w:rPr>
        <w:t>cause nuisance to any person or to any other vessel; or</w:t>
      </w:r>
    </w:p>
    <w:p>
      <w:pPr>
        <w:pStyle w:val="Indenta"/>
        <w:spacing w:before="70"/>
        <w:rPr>
          <w:snapToGrid w:val="0"/>
        </w:rPr>
      </w:pPr>
      <w:r>
        <w:rPr>
          <w:snapToGrid w:val="0"/>
        </w:rPr>
        <w:tab/>
        <w:t>(b)</w:t>
      </w:r>
      <w:r>
        <w:rPr>
          <w:snapToGrid w:val="0"/>
        </w:rPr>
        <w:tab/>
        <w:t>obstruct, impede or otherwise interfere with any other vessel; or</w:t>
      </w:r>
    </w:p>
    <w:p>
      <w:pPr>
        <w:pStyle w:val="Indenta"/>
        <w:spacing w:before="70"/>
        <w:rPr>
          <w:snapToGrid w:val="0"/>
        </w:rPr>
      </w:pPr>
      <w:r>
        <w:rPr>
          <w:snapToGrid w:val="0"/>
        </w:rPr>
        <w:tab/>
        <w:t>(c)</w:t>
      </w:r>
      <w:r>
        <w:rPr>
          <w:snapToGrid w:val="0"/>
        </w:rPr>
        <w:tab/>
      </w:r>
      <w:r>
        <w:t>disturb any fauna</w:t>
      </w:r>
      <w:r>
        <w:rPr>
          <w:snapToGrid w:val="0"/>
        </w:rPr>
        <w:t>.</w:t>
      </w:r>
    </w:p>
    <w:p>
      <w:pPr>
        <w:pStyle w:val="Penstart"/>
        <w:rPr>
          <w:snapToGrid w:val="0"/>
        </w:rPr>
      </w:pPr>
      <w:r>
        <w:rPr>
          <w:snapToGrid w:val="0"/>
        </w:rPr>
        <w:tab/>
        <w:t xml:space="preserve">Penalty: </w:t>
      </w:r>
      <w:r>
        <w:t>a fine of</w:t>
      </w:r>
      <w:r>
        <w:rPr>
          <w:snapToGrid w:val="0"/>
        </w:rPr>
        <w:t xml:space="preserve"> </w:t>
      </w:r>
      <w:r>
        <w:t>$1 000</w:t>
      </w:r>
      <w:r>
        <w:rPr>
          <w:snapToGrid w:val="0"/>
        </w:rPr>
        <w:t>.</w:t>
      </w:r>
    </w:p>
    <w:p>
      <w:pPr>
        <w:pStyle w:val="Footnotesection"/>
        <w:spacing w:before="100"/>
      </w:pPr>
      <w:r>
        <w:tab/>
        <w:t>[Regulation 62 amended in Gazette 29 Sep 2006 p. 4315</w:t>
      </w:r>
      <w:r>
        <w:noBreakHyphen/>
        <w:t>16; 3 Dec 2010 p. 6052</w:t>
      </w:r>
      <w:r>
        <w:noBreakHyphen/>
        <w:t>3; 19 Sep 2014 p. 3336.]</w:t>
      </w:r>
    </w:p>
    <w:p>
      <w:pPr>
        <w:pStyle w:val="Heading5"/>
        <w:rPr>
          <w:snapToGrid w:val="0"/>
        </w:rPr>
      </w:pPr>
      <w:bookmarkStart w:id="178" w:name="_Toc408498846"/>
      <w:bookmarkStart w:id="179" w:name="_Toc417563696"/>
      <w:r>
        <w:rPr>
          <w:rStyle w:val="CharSectno"/>
        </w:rPr>
        <w:t>63</w:t>
      </w:r>
      <w:r>
        <w:rPr>
          <w:snapToGrid w:val="0"/>
        </w:rPr>
        <w:t>.</w:t>
      </w:r>
      <w:r>
        <w:rPr>
          <w:snapToGrid w:val="0"/>
        </w:rPr>
        <w:tab/>
        <w:t>Owner to obey reasonable direction</w:t>
      </w:r>
      <w:bookmarkEnd w:id="178"/>
      <w:bookmarkEnd w:id="179"/>
      <w:r>
        <w:rPr>
          <w:snapToGrid w:val="0"/>
        </w:rPr>
        <w:t xml:space="preserve"> </w:t>
      </w:r>
    </w:p>
    <w:p>
      <w:pPr>
        <w:pStyle w:val="Subsection"/>
        <w:rPr>
          <w:snapToGrid w:val="0"/>
        </w:rPr>
      </w:pPr>
      <w:r>
        <w:rPr>
          <w:snapToGrid w:val="0"/>
        </w:rPr>
        <w:tab/>
      </w:r>
      <w:r>
        <w:rPr>
          <w:snapToGrid w:val="0"/>
        </w:rPr>
        <w:tab/>
        <w:t>The owner or person in charge of a vessel must obey any reasonable direction given to him or her by an authorised officer in relation to the anchoring, mooring or movement of the vessel on CALM land.</w:t>
      </w:r>
    </w:p>
    <w:p>
      <w:pPr>
        <w:pStyle w:val="Penstart"/>
        <w:rPr>
          <w:snapToGrid w:val="0"/>
        </w:rPr>
      </w:pPr>
      <w:r>
        <w:rPr>
          <w:snapToGrid w:val="0"/>
        </w:rPr>
        <w:tab/>
        <w:t xml:space="preserve">Penalty: </w:t>
      </w:r>
      <w:r>
        <w:t>a fine of</w:t>
      </w:r>
      <w:r>
        <w:rPr>
          <w:snapToGrid w:val="0"/>
        </w:rPr>
        <w:t xml:space="preserve"> $1 000.</w:t>
      </w:r>
    </w:p>
    <w:p>
      <w:pPr>
        <w:pStyle w:val="Footnotesection"/>
        <w:spacing w:before="100"/>
      </w:pPr>
      <w:r>
        <w:tab/>
        <w:t>[Regulation 63 amended in Gazette 3 Dec 2010 p. 6052</w:t>
      </w:r>
      <w:r>
        <w:noBreakHyphen/>
        <w:t>3; 24 Mar 2015 p. 1036.]</w:t>
      </w:r>
    </w:p>
    <w:p>
      <w:pPr>
        <w:pStyle w:val="Heading5"/>
        <w:rPr>
          <w:snapToGrid w:val="0"/>
        </w:rPr>
      </w:pPr>
      <w:bookmarkStart w:id="180" w:name="_Toc408498847"/>
      <w:bookmarkStart w:id="181" w:name="_Toc417563697"/>
      <w:r>
        <w:rPr>
          <w:rStyle w:val="CharSectno"/>
        </w:rPr>
        <w:t>64</w:t>
      </w:r>
      <w:r>
        <w:rPr>
          <w:snapToGrid w:val="0"/>
        </w:rPr>
        <w:t>.</w:t>
      </w:r>
      <w:r>
        <w:rPr>
          <w:snapToGrid w:val="0"/>
        </w:rPr>
        <w:tab/>
        <w:t>Launching, beaching and retrieving</w:t>
      </w:r>
      <w:bookmarkEnd w:id="180"/>
      <w:bookmarkEnd w:id="181"/>
      <w:r>
        <w:rPr>
          <w:snapToGrid w:val="0"/>
        </w:rPr>
        <w:t xml:space="preserve"> </w:t>
      </w:r>
    </w:p>
    <w:p>
      <w:pPr>
        <w:pStyle w:val="Subsection"/>
        <w:rPr>
          <w:snapToGrid w:val="0"/>
        </w:rPr>
      </w:pPr>
      <w:r>
        <w:rPr>
          <w:snapToGrid w:val="0"/>
        </w:rPr>
        <w:tab/>
        <w:t>(1)</w:t>
      </w:r>
      <w:r>
        <w:rPr>
          <w:snapToGrid w:val="0"/>
        </w:rPr>
        <w:tab/>
        <w:t>A person must not, without lawful authority, in a restricted area — </w:t>
      </w:r>
    </w:p>
    <w:p>
      <w:pPr>
        <w:pStyle w:val="Indenta"/>
        <w:spacing w:before="60"/>
        <w:rPr>
          <w:snapToGrid w:val="0"/>
        </w:rPr>
      </w:pPr>
      <w:r>
        <w:rPr>
          <w:snapToGrid w:val="0"/>
        </w:rPr>
        <w:tab/>
        <w:t>(a)</w:t>
      </w:r>
      <w:r>
        <w:rPr>
          <w:snapToGrid w:val="0"/>
        </w:rPr>
        <w:tab/>
        <w:t>launch or beach a vessel; or</w:t>
      </w:r>
    </w:p>
    <w:p>
      <w:pPr>
        <w:pStyle w:val="Indenta"/>
        <w:spacing w:before="60"/>
        <w:rPr>
          <w:snapToGrid w:val="0"/>
        </w:rPr>
      </w:pPr>
      <w:r>
        <w:rPr>
          <w:snapToGrid w:val="0"/>
        </w:rPr>
        <w:tab/>
        <w:t>(b)</w:t>
      </w:r>
      <w:r>
        <w:rPr>
          <w:snapToGrid w:val="0"/>
        </w:rPr>
        <w:tab/>
        <w:t>anchor a vessel by placing the anchor on a beach; or</w:t>
      </w:r>
    </w:p>
    <w:p>
      <w:pPr>
        <w:pStyle w:val="Indenta"/>
        <w:spacing w:before="60"/>
        <w:rPr>
          <w:snapToGrid w:val="0"/>
        </w:rPr>
      </w:pPr>
      <w:r>
        <w:rPr>
          <w:snapToGrid w:val="0"/>
        </w:rPr>
        <w:tab/>
        <w:t>(c)</w:t>
      </w:r>
      <w:r>
        <w:rPr>
          <w:snapToGrid w:val="0"/>
        </w:rPr>
        <w:tab/>
        <w:t>access, operate or retrieve a vessel,</w:t>
      </w:r>
    </w:p>
    <w:p>
      <w:pPr>
        <w:pStyle w:val="Subsection"/>
        <w:spacing w:before="120"/>
        <w:rPr>
          <w:snapToGrid w:val="0"/>
        </w:rPr>
      </w:pPr>
      <w:r>
        <w:rPr>
          <w:snapToGrid w:val="0"/>
        </w:rPr>
        <w:tab/>
      </w:r>
      <w:r>
        <w:rPr>
          <w:snapToGrid w:val="0"/>
        </w:rPr>
        <w:tab/>
        <w:t>if that activity is prohibited under regulation 5.</w:t>
      </w:r>
    </w:p>
    <w:p>
      <w:pPr>
        <w:pStyle w:val="Penstart"/>
        <w:rPr>
          <w:snapToGrid w:val="0"/>
        </w:rPr>
      </w:pPr>
      <w:r>
        <w:rPr>
          <w:snapToGrid w:val="0"/>
        </w:rPr>
        <w:tab/>
        <w:t xml:space="preserve">Penalty: </w:t>
      </w:r>
      <w:r>
        <w:t>a fine of</w:t>
      </w:r>
      <w:r>
        <w:rPr>
          <w:snapToGrid w:val="0"/>
        </w:rPr>
        <w:t xml:space="preserve"> $1 000.</w:t>
      </w:r>
    </w:p>
    <w:p>
      <w:pPr>
        <w:pStyle w:val="Subsection"/>
        <w:spacing w:before="140"/>
        <w:rPr>
          <w:snapToGrid w:val="0"/>
        </w:rPr>
      </w:pPr>
      <w:r>
        <w:rPr>
          <w:snapToGrid w:val="0"/>
        </w:rPr>
        <w:tab/>
        <w:t>(2)</w:t>
      </w:r>
      <w:r>
        <w:rPr>
          <w:snapToGrid w:val="0"/>
        </w:rPr>
        <w:tab/>
        <w:t>A person must not, without lawful authority, in a restricted area, contravene a restriction imposed under regulation 5 in respect of — </w:t>
      </w:r>
    </w:p>
    <w:p>
      <w:pPr>
        <w:pStyle w:val="Indenta"/>
        <w:spacing w:before="60"/>
        <w:rPr>
          <w:snapToGrid w:val="0"/>
        </w:rPr>
      </w:pPr>
      <w:r>
        <w:rPr>
          <w:snapToGrid w:val="0"/>
        </w:rPr>
        <w:tab/>
        <w:t>(a)</w:t>
      </w:r>
      <w:r>
        <w:rPr>
          <w:snapToGrid w:val="0"/>
        </w:rPr>
        <w:tab/>
        <w:t>launching or beaching a vessel; or</w:t>
      </w:r>
    </w:p>
    <w:p>
      <w:pPr>
        <w:pStyle w:val="Indenta"/>
        <w:spacing w:before="60"/>
        <w:rPr>
          <w:snapToGrid w:val="0"/>
        </w:rPr>
      </w:pPr>
      <w:r>
        <w:rPr>
          <w:snapToGrid w:val="0"/>
        </w:rPr>
        <w:tab/>
        <w:t>(b)</w:t>
      </w:r>
      <w:r>
        <w:rPr>
          <w:snapToGrid w:val="0"/>
        </w:rPr>
        <w:tab/>
        <w:t>anchoring a vessel by placing the anchor on a beach; or</w:t>
      </w:r>
    </w:p>
    <w:p>
      <w:pPr>
        <w:pStyle w:val="Indenta"/>
        <w:spacing w:before="60"/>
        <w:rPr>
          <w:snapToGrid w:val="0"/>
        </w:rPr>
      </w:pPr>
      <w:r>
        <w:rPr>
          <w:snapToGrid w:val="0"/>
        </w:rPr>
        <w:tab/>
        <w:t>(c)</w:t>
      </w:r>
      <w:r>
        <w:rPr>
          <w:snapToGrid w:val="0"/>
        </w:rPr>
        <w:tab/>
        <w:t>accessing, operating or retrieving a vessel.</w:t>
      </w:r>
    </w:p>
    <w:p>
      <w:pPr>
        <w:pStyle w:val="Penstart"/>
        <w:rPr>
          <w:snapToGrid w:val="0"/>
        </w:rPr>
      </w:pPr>
      <w:r>
        <w:tab/>
        <w:t>Penalty: a fine of $1 000.</w:t>
      </w:r>
    </w:p>
    <w:p>
      <w:pPr>
        <w:pStyle w:val="Subsection"/>
        <w:spacing w:before="140"/>
        <w:rPr>
          <w:snapToGrid w:val="0"/>
        </w:rPr>
      </w:pPr>
      <w:r>
        <w:rPr>
          <w:snapToGrid w:val="0"/>
        </w:rPr>
        <w:tab/>
        <w:t>(3)</w:t>
      </w:r>
      <w:r>
        <w:rPr>
          <w:snapToGrid w:val="0"/>
        </w:rPr>
        <w:tab/>
        <w:t>An authorised officer may direct a person in charge of a vessel in a restricted area to remove the vessel from the restricted area.</w:t>
      </w:r>
    </w:p>
    <w:p>
      <w:pPr>
        <w:pStyle w:val="Subsection"/>
        <w:spacing w:before="140"/>
        <w:rPr>
          <w:snapToGrid w:val="0"/>
        </w:rPr>
      </w:pPr>
      <w:r>
        <w:rPr>
          <w:snapToGrid w:val="0"/>
        </w:rPr>
        <w:tab/>
        <w:t>(4)</w:t>
      </w:r>
      <w:r>
        <w:rPr>
          <w:snapToGrid w:val="0"/>
        </w:rPr>
        <w:tab/>
        <w:t>A person must comply with a direction under subregulation (3).</w:t>
      </w:r>
    </w:p>
    <w:p>
      <w:pPr>
        <w:pStyle w:val="Penstart"/>
        <w:rPr>
          <w:snapToGrid w:val="0"/>
        </w:rPr>
      </w:pPr>
      <w:r>
        <w:rPr>
          <w:snapToGrid w:val="0"/>
        </w:rPr>
        <w:tab/>
        <w:t xml:space="preserve">Penalty: </w:t>
      </w:r>
      <w:r>
        <w:t>a fine of</w:t>
      </w:r>
      <w:r>
        <w:rPr>
          <w:snapToGrid w:val="0"/>
        </w:rPr>
        <w:t xml:space="preserve"> $1 000.</w:t>
      </w:r>
    </w:p>
    <w:p>
      <w:pPr>
        <w:pStyle w:val="Subsection"/>
        <w:keepNext/>
        <w:spacing w:before="140"/>
        <w:rPr>
          <w:snapToGrid w:val="0"/>
        </w:rPr>
      </w:pPr>
      <w:r>
        <w:rPr>
          <w:snapToGrid w:val="0"/>
        </w:rPr>
        <w:tab/>
        <w:t>(5)</w:t>
      </w:r>
      <w:r>
        <w:rPr>
          <w:snapToGrid w:val="0"/>
        </w:rPr>
        <w:tab/>
        <w:t xml:space="preserve">If — </w:t>
      </w:r>
    </w:p>
    <w:p>
      <w:pPr>
        <w:pStyle w:val="Indenta"/>
        <w:spacing w:before="60"/>
        <w:rPr>
          <w:snapToGrid w:val="0"/>
        </w:rPr>
      </w:pPr>
      <w:r>
        <w:rPr>
          <w:snapToGrid w:val="0"/>
        </w:rPr>
        <w:tab/>
        <w:t>(a)</w:t>
      </w:r>
      <w:r>
        <w:rPr>
          <w:snapToGrid w:val="0"/>
        </w:rPr>
        <w:tab/>
        <w:t>the person in charge of a vessel does not comply with a direction under subregulation (3) within a period that the authorised officer considers reasonable; or</w:t>
      </w:r>
    </w:p>
    <w:p>
      <w:pPr>
        <w:pStyle w:val="Indenta"/>
        <w:spacing w:before="60"/>
      </w:pPr>
      <w:r>
        <w:rPr>
          <w:snapToGrid w:val="0"/>
        </w:rPr>
        <w:tab/>
        <w:t>(b)</w:t>
      </w:r>
      <w:r>
        <w:rPr>
          <w:snapToGrid w:val="0"/>
        </w:rPr>
        <w:tab/>
      </w:r>
      <w:r>
        <w:t>the authorised officer is unable to find a person who has, or appears to the authorised officer to have, possession or control of the vessel,</w:t>
      </w:r>
    </w:p>
    <w:p>
      <w:pPr>
        <w:pStyle w:val="Subsection"/>
        <w:rPr>
          <w:snapToGrid w:val="0"/>
        </w:rPr>
      </w:pPr>
      <w:r>
        <w:rPr>
          <w:snapToGrid w:val="0"/>
        </w:rPr>
        <w:tab/>
      </w:r>
      <w:r>
        <w:rPr>
          <w:snapToGrid w:val="0"/>
        </w:rPr>
        <w:tab/>
        <w:t>the authorised officer may move the vessel or cause the vessel to be moved.</w:t>
      </w:r>
    </w:p>
    <w:p>
      <w:pPr>
        <w:pStyle w:val="Subsection"/>
        <w:rPr>
          <w:snapToGrid w:val="0"/>
        </w:rPr>
      </w:pPr>
      <w:r>
        <w:rPr>
          <w:snapToGrid w:val="0"/>
        </w:rPr>
        <w:tab/>
        <w:t>(6)</w:t>
      </w:r>
      <w:r>
        <w:rPr>
          <w:snapToGrid w:val="0"/>
        </w:rPr>
        <w:tab/>
        <w:t>Nothing in subregulation (5) affects the liability of a person under subregulations (1) and (4).</w:t>
      </w:r>
    </w:p>
    <w:p>
      <w:pPr>
        <w:pStyle w:val="Subsection"/>
        <w:rPr>
          <w:snapToGrid w:val="0"/>
        </w:rPr>
      </w:pPr>
      <w:r>
        <w:rPr>
          <w:snapToGrid w:val="0"/>
        </w:rPr>
        <w:tab/>
        <w:t>(7)</w:t>
      </w:r>
      <w:r>
        <w:rPr>
          <w:snapToGrid w:val="0"/>
        </w:rPr>
        <w:tab/>
        <w:t>In this regulation — </w:t>
      </w:r>
    </w:p>
    <w:p>
      <w:pPr>
        <w:pStyle w:val="Defstart"/>
      </w:pPr>
      <w:r>
        <w:tab/>
      </w:r>
      <w:r>
        <w:rPr>
          <w:rStyle w:val="CharDefText"/>
        </w:rPr>
        <w:t>beach</w:t>
      </w:r>
      <w:r>
        <w:rPr>
          <w:b/>
        </w:rPr>
        <w:t xml:space="preserve"> </w:t>
      </w:r>
      <w:r>
        <w:t>includes any part of the foreshore that is above the low water mark whether it is covered by water or not.</w:t>
      </w:r>
    </w:p>
    <w:p>
      <w:pPr>
        <w:pStyle w:val="Footnotesection"/>
        <w:spacing w:before="100"/>
        <w:ind w:left="890" w:hanging="890"/>
      </w:pPr>
      <w:r>
        <w:tab/>
        <w:t>[Regulation 64 amended in Gazette 29 Sep 2006 p. 4316; 3 Dec 2010 p. 6052</w:t>
      </w:r>
      <w:r>
        <w:noBreakHyphen/>
        <w:t>3.]</w:t>
      </w:r>
    </w:p>
    <w:p>
      <w:pPr>
        <w:pStyle w:val="Heading5"/>
      </w:pPr>
      <w:bookmarkStart w:id="182" w:name="_Toc408498848"/>
      <w:bookmarkStart w:id="183" w:name="_Toc417563698"/>
      <w:r>
        <w:rPr>
          <w:rStyle w:val="CharSectno"/>
        </w:rPr>
        <w:t>65A</w:t>
      </w:r>
      <w:r>
        <w:t>.</w:t>
      </w:r>
      <w:r>
        <w:tab/>
        <w:t>Unlawful use of vessel storage facility</w:t>
      </w:r>
      <w:bookmarkEnd w:id="182"/>
      <w:bookmarkEnd w:id="183"/>
    </w:p>
    <w:p>
      <w:pPr>
        <w:pStyle w:val="Subsection"/>
        <w:keepNext/>
      </w:pPr>
      <w:r>
        <w:tab/>
        <w:t>(1)</w:t>
      </w:r>
      <w:r>
        <w:tab/>
        <w:t xml:space="preserve">In subregulation (2) — </w:t>
      </w:r>
    </w:p>
    <w:p>
      <w:pPr>
        <w:pStyle w:val="Defstart"/>
      </w:pPr>
      <w:r>
        <w:tab/>
      </w:r>
      <w:r>
        <w:rPr>
          <w:rStyle w:val="CharDefText"/>
        </w:rPr>
        <w:t>vessel storage facility</w:t>
      </w:r>
      <w:r>
        <w:t xml:space="preserve"> means a rack or other structure erected and maintained by the CEO for the storage of vessels but does not include a mooring.</w:t>
      </w:r>
    </w:p>
    <w:p>
      <w:pPr>
        <w:pStyle w:val="Subsection"/>
      </w:pPr>
      <w:r>
        <w:tab/>
        <w:t>(2)</w:t>
      </w:r>
      <w:r>
        <w:tab/>
        <w:t>A person must not, without lawful authority, place a vessel in or on a vessel storage facility on CALM land.</w:t>
      </w:r>
    </w:p>
    <w:p>
      <w:pPr>
        <w:pStyle w:val="Penstart"/>
      </w:pPr>
      <w:r>
        <w:tab/>
        <w:t>Penalty: a fine of $2 000.</w:t>
      </w:r>
    </w:p>
    <w:p>
      <w:pPr>
        <w:pStyle w:val="Footnotesection"/>
        <w:spacing w:before="100"/>
        <w:rPr>
          <w:b/>
          <w:i w:val="0"/>
        </w:rPr>
      </w:pPr>
      <w:r>
        <w:tab/>
        <w:t>[Regulation 65A inserted in Gazette 3 Dec 2010 p. 6048.]</w:t>
      </w:r>
    </w:p>
    <w:p>
      <w:pPr>
        <w:pStyle w:val="Heading3"/>
        <w:spacing w:before="280"/>
      </w:pPr>
      <w:bookmarkStart w:id="184" w:name="_Toc408498849"/>
      <w:bookmarkStart w:id="185" w:name="_Toc414889271"/>
      <w:bookmarkStart w:id="186" w:name="_Toc414975217"/>
      <w:bookmarkStart w:id="187" w:name="_Toc417563699"/>
      <w:r>
        <w:rPr>
          <w:rStyle w:val="CharDivNo"/>
        </w:rPr>
        <w:t>Division 4</w:t>
      </w:r>
      <w:r>
        <w:rPr>
          <w:snapToGrid w:val="0"/>
        </w:rPr>
        <w:t xml:space="preserve"> — </w:t>
      </w:r>
      <w:r>
        <w:rPr>
          <w:rStyle w:val="CharDivText"/>
        </w:rPr>
        <w:t>Aircraft</w:t>
      </w:r>
      <w:bookmarkEnd w:id="184"/>
      <w:bookmarkEnd w:id="185"/>
      <w:bookmarkEnd w:id="186"/>
      <w:bookmarkEnd w:id="187"/>
    </w:p>
    <w:p>
      <w:pPr>
        <w:pStyle w:val="Heading5"/>
        <w:rPr>
          <w:snapToGrid w:val="0"/>
        </w:rPr>
      </w:pPr>
      <w:bookmarkStart w:id="188" w:name="_Toc408498850"/>
      <w:bookmarkStart w:id="189" w:name="_Toc417563700"/>
      <w:r>
        <w:rPr>
          <w:rStyle w:val="CharSectno"/>
        </w:rPr>
        <w:t>65</w:t>
      </w:r>
      <w:r>
        <w:rPr>
          <w:snapToGrid w:val="0"/>
        </w:rPr>
        <w:t>.</w:t>
      </w:r>
      <w:r>
        <w:rPr>
          <w:snapToGrid w:val="0"/>
        </w:rPr>
        <w:tab/>
        <w:t>Launching or landing of aircraft</w:t>
      </w:r>
      <w:bookmarkEnd w:id="188"/>
      <w:bookmarkEnd w:id="189"/>
      <w:r>
        <w:rPr>
          <w:snapToGrid w:val="0"/>
        </w:rPr>
        <w:t xml:space="preserve"> </w:t>
      </w:r>
    </w:p>
    <w:p>
      <w:pPr>
        <w:pStyle w:val="Subsection"/>
        <w:rPr>
          <w:snapToGrid w:val="0"/>
        </w:rPr>
      </w:pPr>
      <w:r>
        <w:rPr>
          <w:snapToGrid w:val="0"/>
        </w:rPr>
        <w:tab/>
        <w:t>(1)</w:t>
      </w:r>
      <w:r>
        <w:rPr>
          <w:snapToGrid w:val="0"/>
        </w:rPr>
        <w:tab/>
      </w:r>
      <w:r>
        <w:t>A</w:t>
      </w:r>
      <w:r>
        <w:rPr>
          <w:snapToGrid w:val="0"/>
        </w:rPr>
        <w:t xml:space="preserve"> person must not, without lawful authority, launch, land or make a touch down in an aircraft on CALM land.</w:t>
      </w:r>
    </w:p>
    <w:p>
      <w:pPr>
        <w:pStyle w:val="Penstart"/>
        <w:rPr>
          <w:snapToGrid w:val="0"/>
        </w:rPr>
      </w:pPr>
      <w:r>
        <w:rPr>
          <w:snapToGrid w:val="0"/>
        </w:rPr>
        <w:tab/>
        <w:t xml:space="preserve">Penalty: </w:t>
      </w:r>
      <w:r>
        <w:t>a fine of</w:t>
      </w:r>
      <w:r>
        <w:rPr>
          <w:snapToGrid w:val="0"/>
        </w:rPr>
        <w:t xml:space="preserve"> $1 000.</w:t>
      </w:r>
    </w:p>
    <w:p>
      <w:pPr>
        <w:pStyle w:val="Subsection"/>
        <w:keepNext/>
        <w:keepLines/>
        <w:rPr>
          <w:snapToGrid w:val="0"/>
        </w:rPr>
      </w:pPr>
      <w:r>
        <w:rPr>
          <w:snapToGrid w:val="0"/>
        </w:rPr>
        <w:tab/>
        <w:t>(2)</w:t>
      </w:r>
      <w:r>
        <w:rPr>
          <w:snapToGrid w:val="0"/>
        </w:rPr>
        <w:tab/>
        <w:t>Subregulation (1) does not apply to an aircraft that is required to launch, land or touch down contrary to that subregulation to avoid or mitigate danger to human life or significant damage to property.</w:t>
      </w:r>
    </w:p>
    <w:p>
      <w:pPr>
        <w:pStyle w:val="Footnotesection"/>
      </w:pPr>
      <w:r>
        <w:tab/>
        <w:t>[Regulation 65 amended in Gazette 4 Oct 2002 p. 5065; 3 Dec 2010 p. 6048 and 6052</w:t>
      </w:r>
      <w:r>
        <w:noBreakHyphen/>
        <w:t>3.]</w:t>
      </w:r>
    </w:p>
    <w:p>
      <w:pPr>
        <w:pStyle w:val="Heading2"/>
      </w:pPr>
      <w:bookmarkStart w:id="190" w:name="_Toc408498851"/>
      <w:bookmarkStart w:id="191" w:name="_Toc414889273"/>
      <w:bookmarkStart w:id="192" w:name="_Toc414975219"/>
      <w:bookmarkStart w:id="193" w:name="_Toc417563701"/>
      <w:r>
        <w:rPr>
          <w:rStyle w:val="CharPartNo"/>
        </w:rPr>
        <w:t>Part 4</w:t>
      </w:r>
      <w:r>
        <w:rPr>
          <w:rStyle w:val="CharDivNo"/>
        </w:rPr>
        <w:t xml:space="preserve"> </w:t>
      </w:r>
      <w:r>
        <w:t>—</w:t>
      </w:r>
      <w:r>
        <w:rPr>
          <w:rStyle w:val="CharDivText"/>
        </w:rPr>
        <w:t xml:space="preserve"> </w:t>
      </w:r>
      <w:r>
        <w:rPr>
          <w:rStyle w:val="CharPartText"/>
        </w:rPr>
        <w:t>Camping</w:t>
      </w:r>
      <w:bookmarkEnd w:id="190"/>
      <w:bookmarkEnd w:id="191"/>
      <w:bookmarkEnd w:id="192"/>
      <w:bookmarkEnd w:id="193"/>
      <w:r>
        <w:rPr>
          <w:rStyle w:val="CharPartText"/>
        </w:rPr>
        <w:t xml:space="preserve"> </w:t>
      </w:r>
    </w:p>
    <w:p>
      <w:pPr>
        <w:pStyle w:val="Heading5"/>
        <w:spacing w:before="240"/>
        <w:rPr>
          <w:snapToGrid w:val="0"/>
        </w:rPr>
      </w:pPr>
      <w:bookmarkStart w:id="194" w:name="_Toc408498852"/>
      <w:bookmarkStart w:id="195" w:name="_Toc417563702"/>
      <w:r>
        <w:rPr>
          <w:rStyle w:val="CharSectno"/>
        </w:rPr>
        <w:t>66</w:t>
      </w:r>
      <w:r>
        <w:rPr>
          <w:snapToGrid w:val="0"/>
        </w:rPr>
        <w:t>.</w:t>
      </w:r>
      <w:r>
        <w:rPr>
          <w:snapToGrid w:val="0"/>
        </w:rPr>
        <w:tab/>
        <w:t>Camping controlled</w:t>
      </w:r>
      <w:bookmarkEnd w:id="194"/>
      <w:bookmarkEnd w:id="195"/>
      <w:r>
        <w:rPr>
          <w:snapToGrid w:val="0"/>
        </w:rPr>
        <w:t xml:space="preserve"> </w:t>
      </w:r>
    </w:p>
    <w:p>
      <w:pPr>
        <w:pStyle w:val="Subsection"/>
        <w:spacing w:before="180"/>
        <w:rPr>
          <w:snapToGrid w:val="0"/>
        </w:rPr>
      </w:pPr>
      <w:r>
        <w:rPr>
          <w:snapToGrid w:val="0"/>
        </w:rPr>
        <w:tab/>
        <w:t>(1)</w:t>
      </w:r>
      <w:r>
        <w:rPr>
          <w:snapToGrid w:val="0"/>
        </w:rPr>
        <w:tab/>
        <w:t>A person must not, without lawful authority, camp on CALM land except in a camping area or on a vessel that is moored or anchored in accordance with these regulations.</w:t>
      </w:r>
    </w:p>
    <w:p>
      <w:pPr>
        <w:pStyle w:val="Penstart"/>
        <w:rPr>
          <w:snapToGrid w:val="0"/>
        </w:rPr>
      </w:pPr>
      <w:r>
        <w:rPr>
          <w:snapToGrid w:val="0"/>
        </w:rPr>
        <w:tab/>
        <w:t xml:space="preserve">Penalty: </w:t>
      </w:r>
      <w:r>
        <w:t>a fine of</w:t>
      </w:r>
      <w:r>
        <w:rPr>
          <w:snapToGrid w:val="0"/>
        </w:rPr>
        <w:t xml:space="preserve"> </w:t>
      </w:r>
      <w:r>
        <w:t>$1 000</w:t>
      </w:r>
      <w:r>
        <w:rPr>
          <w:snapToGrid w:val="0"/>
        </w:rPr>
        <w:t>.</w:t>
      </w:r>
    </w:p>
    <w:p>
      <w:pPr>
        <w:pStyle w:val="Subsection"/>
        <w:spacing w:before="180"/>
        <w:rPr>
          <w:snapToGrid w:val="0"/>
        </w:rPr>
      </w:pPr>
      <w:r>
        <w:rPr>
          <w:snapToGrid w:val="0"/>
        </w:rPr>
        <w:tab/>
        <w:t>(2)</w:t>
      </w:r>
      <w:r>
        <w:rPr>
          <w:snapToGrid w:val="0"/>
        </w:rPr>
        <w:tab/>
        <w:t>A person camping in a camping area must comply with conditions specified on signs erected in or in the vicinity of that area for the purposes of regulation 6(3) or signs designating that area as a camping area.</w:t>
      </w:r>
    </w:p>
    <w:p>
      <w:pPr>
        <w:pStyle w:val="Penstart"/>
        <w:rPr>
          <w:snapToGrid w:val="0"/>
        </w:rPr>
      </w:pPr>
      <w:r>
        <w:rPr>
          <w:snapToGrid w:val="0"/>
        </w:rPr>
        <w:tab/>
        <w:t xml:space="preserve">Penalty: </w:t>
      </w:r>
      <w:r>
        <w:t>a fine of</w:t>
      </w:r>
      <w:r>
        <w:rPr>
          <w:snapToGrid w:val="0"/>
        </w:rPr>
        <w:t xml:space="preserve"> </w:t>
      </w:r>
      <w:r>
        <w:t>$1 000</w:t>
      </w:r>
      <w:r>
        <w:rPr>
          <w:snapToGrid w:val="0"/>
        </w:rPr>
        <w:t>.</w:t>
      </w:r>
    </w:p>
    <w:p>
      <w:pPr>
        <w:pStyle w:val="Footnotesection"/>
      </w:pPr>
      <w:r>
        <w:tab/>
        <w:t>[Regulation 66 amended in Gazette 3 Dec 2010 p. 6052</w:t>
      </w:r>
      <w:r>
        <w:noBreakHyphen/>
        <w:t>3; 19 Sep 2014 p. 3336.]</w:t>
      </w:r>
    </w:p>
    <w:p>
      <w:pPr>
        <w:pStyle w:val="Heading5"/>
        <w:spacing w:before="240"/>
        <w:rPr>
          <w:snapToGrid w:val="0"/>
        </w:rPr>
      </w:pPr>
      <w:bookmarkStart w:id="196" w:name="_Toc408498853"/>
      <w:bookmarkStart w:id="197" w:name="_Toc417563703"/>
      <w:r>
        <w:rPr>
          <w:rStyle w:val="CharSectno"/>
        </w:rPr>
        <w:t>67</w:t>
      </w:r>
      <w:r>
        <w:rPr>
          <w:snapToGrid w:val="0"/>
        </w:rPr>
        <w:t>.</w:t>
      </w:r>
      <w:r>
        <w:rPr>
          <w:snapToGrid w:val="0"/>
        </w:rPr>
        <w:tab/>
        <w:t>Direction to vacate camp</w:t>
      </w:r>
      <w:bookmarkEnd w:id="196"/>
      <w:bookmarkEnd w:id="197"/>
      <w:r>
        <w:rPr>
          <w:snapToGrid w:val="0"/>
        </w:rPr>
        <w:t xml:space="preserve"> </w:t>
      </w:r>
    </w:p>
    <w:p>
      <w:pPr>
        <w:pStyle w:val="Subsection"/>
        <w:spacing w:before="180"/>
        <w:rPr>
          <w:snapToGrid w:val="0"/>
        </w:rPr>
      </w:pPr>
      <w:r>
        <w:rPr>
          <w:snapToGrid w:val="0"/>
        </w:rPr>
        <w:tab/>
        <w:t>(1)</w:t>
      </w:r>
      <w:r>
        <w:rPr>
          <w:snapToGrid w:val="0"/>
        </w:rPr>
        <w:tab/>
        <w:t>An authorised officer may direct a person who — </w:t>
      </w:r>
    </w:p>
    <w:p>
      <w:pPr>
        <w:pStyle w:val="Indenta"/>
        <w:rPr>
          <w:snapToGrid w:val="0"/>
        </w:rPr>
      </w:pPr>
      <w:r>
        <w:rPr>
          <w:snapToGrid w:val="0"/>
        </w:rPr>
        <w:tab/>
        <w:t>(a)</w:t>
      </w:r>
      <w:r>
        <w:rPr>
          <w:snapToGrid w:val="0"/>
        </w:rPr>
        <w:tab/>
        <w:t>without lawful authority is camped on a site that is not in a camping area; or</w:t>
      </w:r>
    </w:p>
    <w:p>
      <w:pPr>
        <w:pStyle w:val="Indenta"/>
      </w:pPr>
      <w:r>
        <w:rPr>
          <w:snapToGrid w:val="0"/>
        </w:rPr>
        <w:tab/>
        <w:t>(b)</w:t>
      </w:r>
      <w:r>
        <w:rPr>
          <w:snapToGrid w:val="0"/>
        </w:rPr>
        <w:tab/>
        <w:t>has occupied a site in a camping area for more than 28 consecutive days</w:t>
      </w:r>
      <w:r>
        <w:t>; or</w:t>
      </w:r>
    </w:p>
    <w:p>
      <w:pPr>
        <w:pStyle w:val="Indenta"/>
      </w:pPr>
      <w:r>
        <w:tab/>
        <w:t>(c)</w:t>
      </w:r>
      <w:r>
        <w:tab/>
        <w:t>is occupying a site in a camping area during the school holidays and has occupied that site for more than 14 consecutive days (whether or not all of those days occur during the school holidays); or</w:t>
      </w:r>
    </w:p>
    <w:p>
      <w:pPr>
        <w:pStyle w:val="Indenta"/>
      </w:pPr>
      <w:r>
        <w:tab/>
        <w:t>(d)</w:t>
      </w:r>
      <w:r>
        <w:tab/>
        <w:t>is occupying a site in a camping area and, in the opinion of the authorised officer, has contravened a provision of the Act or these regulations; or</w:t>
      </w:r>
    </w:p>
    <w:p>
      <w:pPr>
        <w:pStyle w:val="Indenta"/>
        <w:rPr>
          <w:snapToGrid w:val="0"/>
        </w:rPr>
      </w:pPr>
      <w:r>
        <w:tab/>
        <w:t>(e)</w:t>
      </w:r>
      <w:r>
        <w:tab/>
        <w:t>is occupying a site in a camping area and, in the opinion of the authorised officer, is causing or has caused damage to the camping area,</w:t>
      </w:r>
    </w:p>
    <w:p>
      <w:pPr>
        <w:pStyle w:val="Subsection"/>
        <w:spacing w:before="180"/>
        <w:rPr>
          <w:snapToGrid w:val="0"/>
        </w:rPr>
      </w:pPr>
      <w:r>
        <w:rPr>
          <w:snapToGrid w:val="0"/>
        </w:rPr>
        <w:tab/>
      </w:r>
      <w:r>
        <w:rPr>
          <w:snapToGrid w:val="0"/>
        </w:rPr>
        <w:tab/>
        <w:t>to vacate that site.</w:t>
      </w:r>
    </w:p>
    <w:p>
      <w:pPr>
        <w:pStyle w:val="Subsection"/>
      </w:pPr>
      <w:r>
        <w:tab/>
        <w:t>(2A)</w:t>
      </w:r>
      <w:r>
        <w:tab/>
        <w:t xml:space="preserve">An authorised officer may direct a person directed to vacate a site under subregulation (1) not to camp within the park or reserve in which the site is situated during a period — </w:t>
      </w:r>
    </w:p>
    <w:p>
      <w:pPr>
        <w:pStyle w:val="Indenta"/>
      </w:pPr>
      <w:r>
        <w:tab/>
        <w:t>(a)</w:t>
      </w:r>
      <w:r>
        <w:tab/>
        <w:t>beginning on the day on which the direction is given; and</w:t>
      </w:r>
    </w:p>
    <w:p>
      <w:pPr>
        <w:pStyle w:val="Indenta"/>
      </w:pPr>
      <w:r>
        <w:tab/>
        <w:t>(b)</w:t>
      </w:r>
      <w:r>
        <w:tab/>
        <w:t>not exceeding 14 days.</w:t>
      </w:r>
    </w:p>
    <w:p>
      <w:pPr>
        <w:pStyle w:val="Subsection"/>
        <w:keepNext/>
        <w:keepLines/>
        <w:spacing w:before="180"/>
        <w:rPr>
          <w:snapToGrid w:val="0"/>
        </w:rPr>
      </w:pPr>
      <w:r>
        <w:rPr>
          <w:snapToGrid w:val="0"/>
        </w:rPr>
        <w:tab/>
        <w:t>(2)</w:t>
      </w:r>
      <w:r>
        <w:rPr>
          <w:snapToGrid w:val="0"/>
        </w:rPr>
        <w:tab/>
        <w:t>A person must comply with a direction under subregulation (1) or (2A).</w:t>
      </w:r>
    </w:p>
    <w:p>
      <w:pPr>
        <w:pStyle w:val="Penstart"/>
        <w:keepNext/>
        <w:keepLines/>
        <w:rPr>
          <w:snapToGrid w:val="0"/>
        </w:rPr>
      </w:pPr>
      <w:r>
        <w:rPr>
          <w:snapToGrid w:val="0"/>
        </w:rPr>
        <w:tab/>
        <w:t xml:space="preserve">Penalty: </w:t>
      </w:r>
      <w:r>
        <w:t>a fine of</w:t>
      </w:r>
      <w:r>
        <w:rPr>
          <w:snapToGrid w:val="0"/>
        </w:rPr>
        <w:t xml:space="preserve"> $1 000.</w:t>
      </w:r>
    </w:p>
    <w:p>
      <w:pPr>
        <w:pStyle w:val="Footnotesection"/>
        <w:keepLines w:val="0"/>
        <w:ind w:left="890" w:hanging="890"/>
      </w:pPr>
      <w:r>
        <w:tab/>
        <w:t>[Regulation 67 amended in Gazette 29 Sep 2006 p. 4316</w:t>
      </w:r>
      <w:r>
        <w:noBreakHyphen/>
        <w:t>17; 3 Dec 2010 p. 6052</w:t>
      </w:r>
      <w:r>
        <w:noBreakHyphen/>
        <w:t>3; 19 Sep 2014 p. 3331.]</w:t>
      </w:r>
    </w:p>
    <w:p>
      <w:pPr>
        <w:pStyle w:val="Heading5"/>
        <w:rPr>
          <w:snapToGrid w:val="0"/>
        </w:rPr>
      </w:pPr>
      <w:bookmarkStart w:id="198" w:name="_Toc408498854"/>
      <w:bookmarkStart w:id="199" w:name="_Toc417563704"/>
      <w:r>
        <w:rPr>
          <w:rStyle w:val="CharSectno"/>
        </w:rPr>
        <w:t>68</w:t>
      </w:r>
      <w:r>
        <w:rPr>
          <w:snapToGrid w:val="0"/>
        </w:rPr>
        <w:t>.</w:t>
      </w:r>
      <w:r>
        <w:rPr>
          <w:snapToGrid w:val="0"/>
        </w:rPr>
        <w:tab/>
        <w:t>Unauthorised persons not to enter camping unit</w:t>
      </w:r>
      <w:bookmarkEnd w:id="198"/>
      <w:bookmarkEnd w:id="199"/>
      <w:r>
        <w:rPr>
          <w:snapToGrid w:val="0"/>
        </w:rPr>
        <w:t xml:space="preserve"> </w:t>
      </w:r>
    </w:p>
    <w:p>
      <w:pPr>
        <w:pStyle w:val="Subsection"/>
        <w:rPr>
          <w:snapToGrid w:val="0"/>
        </w:rPr>
      </w:pPr>
      <w:r>
        <w:rPr>
          <w:snapToGrid w:val="0"/>
        </w:rPr>
        <w:tab/>
      </w:r>
      <w:r>
        <w:rPr>
          <w:snapToGrid w:val="0"/>
        </w:rPr>
        <w:tab/>
        <w:t>A person, other than a ranger</w:t>
      </w:r>
      <w:r>
        <w:t xml:space="preserve"> or wildlife officer</w:t>
      </w:r>
      <w:r>
        <w:rPr>
          <w:snapToGrid w:val="0"/>
        </w:rPr>
        <w:t>, must not enter or remain on a camping unit without the consent of the person occupying that camping unit.</w:t>
      </w:r>
    </w:p>
    <w:p>
      <w:pPr>
        <w:pStyle w:val="Penstart"/>
        <w:rPr>
          <w:snapToGrid w:val="0"/>
        </w:rPr>
      </w:pPr>
      <w:r>
        <w:rPr>
          <w:snapToGrid w:val="0"/>
        </w:rPr>
        <w:tab/>
        <w:t xml:space="preserve">Penalty: </w:t>
      </w:r>
      <w:r>
        <w:t>a fine of</w:t>
      </w:r>
      <w:r>
        <w:rPr>
          <w:snapToGrid w:val="0"/>
        </w:rPr>
        <w:t xml:space="preserve"> $500.</w:t>
      </w:r>
    </w:p>
    <w:p>
      <w:pPr>
        <w:pStyle w:val="Footnotesection"/>
      </w:pPr>
      <w:r>
        <w:tab/>
        <w:t>[Regulation 68 amended in Gazette 29 Sep 2006 p. 4317; 3 Dec 2010 p. 6052</w:t>
      </w:r>
      <w:r>
        <w:noBreakHyphen/>
        <w:t>3.]</w:t>
      </w:r>
    </w:p>
    <w:p>
      <w:pPr>
        <w:pStyle w:val="Heading5"/>
        <w:rPr>
          <w:snapToGrid w:val="0"/>
        </w:rPr>
      </w:pPr>
      <w:bookmarkStart w:id="200" w:name="_Toc408498855"/>
      <w:bookmarkStart w:id="201" w:name="_Toc417563705"/>
      <w:r>
        <w:rPr>
          <w:rStyle w:val="CharSectno"/>
        </w:rPr>
        <w:t>69</w:t>
      </w:r>
      <w:r>
        <w:rPr>
          <w:snapToGrid w:val="0"/>
        </w:rPr>
        <w:t>.</w:t>
      </w:r>
      <w:r>
        <w:rPr>
          <w:snapToGrid w:val="0"/>
        </w:rPr>
        <w:tab/>
        <w:t>Construction and positioning of camping units</w:t>
      </w:r>
      <w:bookmarkEnd w:id="200"/>
      <w:bookmarkEnd w:id="201"/>
      <w:r>
        <w:rPr>
          <w:snapToGrid w:val="0"/>
        </w:rPr>
        <w:t xml:space="preserve"> </w:t>
      </w:r>
    </w:p>
    <w:p>
      <w:pPr>
        <w:pStyle w:val="Subsection"/>
        <w:rPr>
          <w:snapToGrid w:val="0"/>
        </w:rPr>
      </w:pPr>
      <w:r>
        <w:rPr>
          <w:snapToGrid w:val="0"/>
        </w:rPr>
        <w:tab/>
        <w:t>(1)</w:t>
      </w:r>
      <w:r>
        <w:rPr>
          <w:snapToGrid w:val="0"/>
        </w:rPr>
        <w:tab/>
        <w:t>A person must not construct a camping unit — </w:t>
      </w:r>
    </w:p>
    <w:p>
      <w:pPr>
        <w:pStyle w:val="Indenta"/>
        <w:rPr>
          <w:snapToGrid w:val="0"/>
        </w:rPr>
      </w:pPr>
      <w:r>
        <w:rPr>
          <w:snapToGrid w:val="0"/>
        </w:rPr>
        <w:tab/>
        <w:t>(a)</w:t>
      </w:r>
      <w:r>
        <w:rPr>
          <w:snapToGrid w:val="0"/>
        </w:rPr>
        <w:tab/>
        <w:t>in a manner likely to be offensive or dangerous to other persons; or</w:t>
      </w:r>
    </w:p>
    <w:p>
      <w:pPr>
        <w:pStyle w:val="Indenta"/>
        <w:rPr>
          <w:snapToGrid w:val="0"/>
        </w:rPr>
      </w:pPr>
      <w:r>
        <w:rPr>
          <w:snapToGrid w:val="0"/>
        </w:rPr>
        <w:tab/>
        <w:t>(b)</w:t>
      </w:r>
      <w:r>
        <w:rPr>
          <w:snapToGrid w:val="0"/>
        </w:rPr>
        <w:tab/>
        <w:t>of a permanent or semi</w:t>
      </w:r>
      <w:r>
        <w:rPr>
          <w:snapToGrid w:val="0"/>
        </w:rPr>
        <w:noBreakHyphen/>
        <w:t>permanent nature.</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(2)</w:t>
      </w:r>
      <w:r>
        <w:rPr>
          <w:snapToGrid w:val="0"/>
        </w:rPr>
        <w:tab/>
        <w:t>A person must not position a camping unit so as to — </w:t>
      </w:r>
    </w:p>
    <w:p>
      <w:pPr>
        <w:pStyle w:val="Indenta"/>
        <w:rPr>
          <w:snapToGrid w:val="0"/>
        </w:rPr>
      </w:pPr>
      <w:r>
        <w:rPr>
          <w:snapToGrid w:val="0"/>
        </w:rPr>
        <w:tab/>
        <w:t>(a)</w:t>
      </w:r>
      <w:r>
        <w:rPr>
          <w:snapToGrid w:val="0"/>
        </w:rPr>
        <w:tab/>
        <w:t>cause inconvenience, discomfort or danger to other vehicles or to users of CALM land; or</w:t>
      </w:r>
    </w:p>
    <w:p>
      <w:pPr>
        <w:pStyle w:val="Indenta"/>
        <w:rPr>
          <w:snapToGrid w:val="0"/>
        </w:rPr>
      </w:pPr>
      <w:r>
        <w:rPr>
          <w:snapToGrid w:val="0"/>
        </w:rPr>
        <w:tab/>
        <w:t>(b)</w:t>
      </w:r>
      <w:r>
        <w:rPr>
          <w:snapToGrid w:val="0"/>
        </w:rPr>
        <w:tab/>
        <w:t>damage flora or interfere with the movement of fauna.</w:t>
      </w:r>
    </w:p>
    <w:p>
      <w:pPr>
        <w:pStyle w:val="Penstart"/>
        <w:rPr>
          <w:snapToGrid w:val="0"/>
        </w:rPr>
      </w:pPr>
      <w:r>
        <w:rPr>
          <w:snapToGrid w:val="0"/>
        </w:rPr>
        <w:tab/>
        <w:t>Penalty:</w:t>
      </w:r>
      <w:r>
        <w:t xml:space="preserve"> a fine of</w:t>
      </w:r>
      <w:r>
        <w:rPr>
          <w:snapToGrid w:val="0"/>
        </w:rPr>
        <w:t xml:space="preserve"> $500.</w:t>
      </w:r>
    </w:p>
    <w:p>
      <w:pPr>
        <w:pStyle w:val="Subsection"/>
        <w:rPr>
          <w:snapToGrid w:val="0"/>
        </w:rPr>
      </w:pPr>
      <w:r>
        <w:rPr>
          <w:snapToGrid w:val="0"/>
        </w:rPr>
        <w:tab/>
        <w:t>(3)</w:t>
      </w:r>
      <w:r>
        <w:rPr>
          <w:snapToGrid w:val="0"/>
        </w:rPr>
        <w:tab/>
        <w:t>A person must maintain the site on which that person camps in a clean and sanitary condition at all times.</w:t>
      </w:r>
    </w:p>
    <w:p>
      <w:pPr>
        <w:pStyle w:val="Penstart"/>
        <w:rPr>
          <w:snapToGrid w:val="0"/>
        </w:rPr>
      </w:pPr>
      <w:r>
        <w:rPr>
          <w:snapToGrid w:val="0"/>
        </w:rPr>
        <w:tab/>
        <w:t xml:space="preserve">Penalty: </w:t>
      </w:r>
      <w:r>
        <w:t>a fine of</w:t>
      </w:r>
      <w:r>
        <w:rPr>
          <w:snapToGrid w:val="0"/>
        </w:rPr>
        <w:t xml:space="preserve"> $500.</w:t>
      </w:r>
    </w:p>
    <w:p>
      <w:pPr>
        <w:pStyle w:val="Subsection"/>
        <w:rPr>
          <w:snapToGrid w:val="0"/>
        </w:rPr>
      </w:pPr>
      <w:r>
        <w:rPr>
          <w:snapToGrid w:val="0"/>
        </w:rPr>
        <w:tab/>
        <w:t>(4)</w:t>
      </w:r>
      <w:r>
        <w:rPr>
          <w:snapToGrid w:val="0"/>
        </w:rPr>
        <w:tab/>
        <w:t>An authorised officer may allot or define the site to be used by a person in a camping area and the person must confine the camp to that site.</w:t>
      </w:r>
    </w:p>
    <w:p>
      <w:pPr>
        <w:pStyle w:val="Penstart"/>
        <w:rPr>
          <w:snapToGrid w:val="0"/>
        </w:rPr>
      </w:pPr>
      <w:r>
        <w:rPr>
          <w:snapToGrid w:val="0"/>
        </w:rPr>
        <w:tab/>
        <w:t xml:space="preserve">Penalty: </w:t>
      </w:r>
      <w:r>
        <w:t>a fine of</w:t>
      </w:r>
      <w:r>
        <w:rPr>
          <w:snapToGrid w:val="0"/>
        </w:rPr>
        <w:t xml:space="preserve"> $500.</w:t>
      </w:r>
    </w:p>
    <w:p>
      <w:pPr>
        <w:pStyle w:val="Subsection"/>
        <w:rPr>
          <w:snapToGrid w:val="0"/>
        </w:rPr>
      </w:pPr>
      <w:r>
        <w:rPr>
          <w:snapToGrid w:val="0"/>
        </w:rPr>
        <w:tab/>
        <w:t>(5)</w:t>
      </w:r>
      <w:r>
        <w:rPr>
          <w:snapToGrid w:val="0"/>
        </w:rPr>
        <w:tab/>
        <w:t>An authorised officer may direct a person to vacate a site and move to another site in a camping area.</w:t>
      </w:r>
    </w:p>
    <w:p>
      <w:pPr>
        <w:pStyle w:val="Subsection"/>
        <w:rPr>
          <w:snapToGrid w:val="0"/>
        </w:rPr>
      </w:pPr>
      <w:r>
        <w:rPr>
          <w:snapToGrid w:val="0"/>
        </w:rPr>
        <w:tab/>
        <w:t>(6)</w:t>
      </w:r>
      <w:r>
        <w:rPr>
          <w:snapToGrid w:val="0"/>
        </w:rPr>
        <w:tab/>
        <w:t>A person must comply with a direction of an authorised officer under subregulation (5).</w:t>
      </w:r>
    </w:p>
    <w:p>
      <w:pPr>
        <w:pStyle w:val="Penstart"/>
        <w:rPr>
          <w:snapToGrid w:val="0"/>
        </w:rPr>
      </w:pPr>
      <w:r>
        <w:rPr>
          <w:snapToGrid w:val="0"/>
        </w:rPr>
        <w:tab/>
        <w:t xml:space="preserve">Penalty: </w:t>
      </w:r>
      <w:r>
        <w:t>a fine of</w:t>
      </w:r>
      <w:r>
        <w:rPr>
          <w:snapToGrid w:val="0"/>
        </w:rPr>
        <w:t xml:space="preserve"> $1 000.</w:t>
      </w:r>
    </w:p>
    <w:p>
      <w:pPr>
        <w:pStyle w:val="Footnotesection"/>
      </w:pPr>
      <w:r>
        <w:tab/>
        <w:t>[Regulation 69 amended in Gazette 29 Sep 2006 p. 4317; 3 Dec 2010 p. 6052</w:t>
      </w:r>
      <w:r>
        <w:noBreakHyphen/>
        <w:t>3.]</w:t>
      </w:r>
    </w:p>
    <w:p>
      <w:pPr>
        <w:pStyle w:val="Heading5"/>
        <w:rPr>
          <w:snapToGrid w:val="0"/>
        </w:rPr>
      </w:pPr>
      <w:bookmarkStart w:id="202" w:name="_Toc408498856"/>
      <w:bookmarkStart w:id="203" w:name="_Toc417563706"/>
      <w:r>
        <w:rPr>
          <w:rStyle w:val="CharSectno"/>
        </w:rPr>
        <w:t>70</w:t>
      </w:r>
      <w:r>
        <w:rPr>
          <w:snapToGrid w:val="0"/>
        </w:rPr>
        <w:t>.</w:t>
      </w:r>
      <w:r>
        <w:rPr>
          <w:snapToGrid w:val="0"/>
        </w:rPr>
        <w:tab/>
        <w:t>Power generating devices</w:t>
      </w:r>
      <w:bookmarkEnd w:id="202"/>
      <w:bookmarkEnd w:id="203"/>
      <w:r>
        <w:rPr>
          <w:snapToGrid w:val="0"/>
        </w:rPr>
        <w:t xml:space="preserve"> </w:t>
      </w:r>
    </w:p>
    <w:p>
      <w:pPr>
        <w:pStyle w:val="Subsection"/>
        <w:rPr>
          <w:snapToGrid w:val="0"/>
        </w:rPr>
      </w:pPr>
      <w:r>
        <w:rPr>
          <w:snapToGrid w:val="0"/>
        </w:rPr>
        <w:tab/>
        <w:t>(1)</w:t>
      </w:r>
      <w:r>
        <w:rPr>
          <w:snapToGrid w:val="0"/>
        </w:rPr>
        <w:tab/>
        <w:t>An authorised officer may direct a person — </w:t>
      </w:r>
    </w:p>
    <w:p>
      <w:pPr>
        <w:pStyle w:val="Indenta"/>
        <w:rPr>
          <w:snapToGrid w:val="0"/>
        </w:rPr>
      </w:pPr>
      <w:r>
        <w:rPr>
          <w:snapToGrid w:val="0"/>
        </w:rPr>
        <w:tab/>
        <w:t>(a)</w:t>
      </w:r>
      <w:r>
        <w:rPr>
          <w:snapToGrid w:val="0"/>
        </w:rPr>
        <w:tab/>
        <w:t>not to use a power generating device other than in an area directed by the authorised officer; or</w:t>
      </w:r>
    </w:p>
    <w:p>
      <w:pPr>
        <w:pStyle w:val="Indenta"/>
        <w:rPr>
          <w:snapToGrid w:val="0"/>
        </w:rPr>
      </w:pPr>
      <w:r>
        <w:rPr>
          <w:snapToGrid w:val="0"/>
        </w:rPr>
        <w:tab/>
        <w:t>(b)</w:t>
      </w:r>
      <w:r>
        <w:rPr>
          <w:snapToGrid w:val="0"/>
        </w:rPr>
        <w:tab/>
        <w:t>to stop using a power generating device in a camping area; or</w:t>
      </w:r>
    </w:p>
    <w:p>
      <w:pPr>
        <w:pStyle w:val="Indenta"/>
        <w:rPr>
          <w:snapToGrid w:val="0"/>
        </w:rPr>
      </w:pPr>
      <w:r>
        <w:rPr>
          <w:snapToGrid w:val="0"/>
        </w:rPr>
        <w:tab/>
        <w:t>(c)</w:t>
      </w:r>
      <w:r>
        <w:rPr>
          <w:snapToGrid w:val="0"/>
        </w:rPr>
        <w:tab/>
        <w:t>to use a power generating device in accordance with the directions of the authorised officer.</w:t>
      </w:r>
    </w:p>
    <w:p>
      <w:pPr>
        <w:pStyle w:val="Subsection"/>
        <w:rPr>
          <w:snapToGrid w:val="0"/>
        </w:rPr>
      </w:pPr>
      <w:r>
        <w:rPr>
          <w:snapToGrid w:val="0"/>
        </w:rPr>
        <w:tab/>
        <w:t>(2)</w:t>
      </w:r>
      <w:r>
        <w:rPr>
          <w:snapToGrid w:val="0"/>
        </w:rPr>
        <w:tab/>
        <w:t>A person must comply with a direction of an authorised officer under this regulation.</w:t>
      </w:r>
    </w:p>
    <w:p>
      <w:pPr>
        <w:pStyle w:val="Penstart"/>
        <w:rPr>
          <w:snapToGrid w:val="0"/>
        </w:rPr>
      </w:pPr>
      <w:r>
        <w:rPr>
          <w:snapToGrid w:val="0"/>
        </w:rPr>
        <w:tab/>
        <w:t xml:space="preserve">Penalty: </w:t>
      </w:r>
      <w:r>
        <w:t>a fine of</w:t>
      </w:r>
      <w:r>
        <w:rPr>
          <w:snapToGrid w:val="0"/>
        </w:rPr>
        <w:t xml:space="preserve"> $1 000.</w:t>
      </w:r>
    </w:p>
    <w:p>
      <w:pPr>
        <w:pStyle w:val="Footnotesection"/>
      </w:pPr>
      <w:r>
        <w:tab/>
        <w:t>[Regulation 70 amended in Gazette 3 Dec 2010 p. 6052</w:t>
      </w:r>
      <w:r>
        <w:noBreakHyphen/>
        <w:t>3.]</w:t>
      </w:r>
    </w:p>
    <w:p>
      <w:pPr>
        <w:pStyle w:val="Heading5"/>
        <w:rPr>
          <w:snapToGrid w:val="0"/>
        </w:rPr>
      </w:pPr>
      <w:bookmarkStart w:id="204" w:name="_Toc408498857"/>
      <w:bookmarkStart w:id="205" w:name="_Toc417563707"/>
      <w:r>
        <w:rPr>
          <w:rStyle w:val="CharSectno"/>
        </w:rPr>
        <w:t>71</w:t>
      </w:r>
      <w:r>
        <w:rPr>
          <w:snapToGrid w:val="0"/>
        </w:rPr>
        <w:t>.</w:t>
      </w:r>
      <w:r>
        <w:rPr>
          <w:snapToGrid w:val="0"/>
        </w:rPr>
        <w:tab/>
        <w:t>Firewood</w:t>
      </w:r>
      <w:bookmarkEnd w:id="204"/>
      <w:bookmarkEnd w:id="205"/>
      <w:r>
        <w:rPr>
          <w:snapToGrid w:val="0"/>
        </w:rPr>
        <w:t xml:space="preserve"> </w:t>
      </w:r>
    </w:p>
    <w:p>
      <w:pPr>
        <w:pStyle w:val="Subsection"/>
        <w:keepNext/>
        <w:rPr>
          <w:snapToGrid w:val="0"/>
        </w:rPr>
      </w:pPr>
      <w:r>
        <w:rPr>
          <w:snapToGrid w:val="0"/>
        </w:rPr>
        <w:tab/>
        <w:t>(1)</w:t>
      </w:r>
      <w:r>
        <w:rPr>
          <w:snapToGrid w:val="0"/>
        </w:rPr>
        <w:tab/>
        <w:t>A person may collect firewood from the immediate vicinity of a camping area if — </w:t>
      </w:r>
    </w:p>
    <w:p>
      <w:pPr>
        <w:pStyle w:val="Indenta"/>
        <w:rPr>
          <w:snapToGrid w:val="0"/>
        </w:rPr>
      </w:pPr>
      <w:r>
        <w:rPr>
          <w:snapToGrid w:val="0"/>
        </w:rPr>
        <w:tab/>
        <w:t>(a)</w:t>
      </w:r>
      <w:r>
        <w:rPr>
          <w:snapToGrid w:val="0"/>
        </w:rPr>
        <w:tab/>
        <w:t>there is a sign erected authorising the collection of firewood; and</w:t>
      </w:r>
    </w:p>
    <w:p>
      <w:pPr>
        <w:pStyle w:val="Indenta"/>
        <w:rPr>
          <w:snapToGrid w:val="0"/>
        </w:rPr>
      </w:pPr>
      <w:r>
        <w:rPr>
          <w:snapToGrid w:val="0"/>
        </w:rPr>
        <w:tab/>
        <w:t>(b)</w:t>
      </w:r>
      <w:r>
        <w:rPr>
          <w:snapToGrid w:val="0"/>
        </w:rPr>
        <w:tab/>
        <w:t>the firewood is intended for use on a campfire or barbecue in the area.</w:t>
      </w:r>
    </w:p>
    <w:p>
      <w:pPr>
        <w:pStyle w:val="Subsection"/>
        <w:rPr>
          <w:snapToGrid w:val="0"/>
        </w:rPr>
      </w:pPr>
      <w:r>
        <w:rPr>
          <w:snapToGrid w:val="0"/>
        </w:rPr>
        <w:tab/>
        <w:t>(2)</w:t>
      </w:r>
      <w:r>
        <w:rPr>
          <w:snapToGrid w:val="0"/>
        </w:rPr>
        <w:tab/>
        <w:t>Nothing in subregulation (1) is to be taken as authorising any person to fell, cut, injure or destroy any tree, shrub or bush.</w:t>
      </w:r>
    </w:p>
    <w:p>
      <w:pPr>
        <w:pStyle w:val="Subsection"/>
        <w:keepNext/>
      </w:pPr>
      <w:r>
        <w:tab/>
        <w:t>(2a)</w:t>
      </w:r>
      <w:r>
        <w:tab/>
        <w:t xml:space="preserve">If — </w:t>
      </w:r>
    </w:p>
    <w:p>
      <w:pPr>
        <w:pStyle w:val="Indenta"/>
      </w:pPr>
      <w:r>
        <w:tab/>
        <w:t>(a)</w:t>
      </w:r>
      <w:r>
        <w:tab/>
        <w:t>a person collects firewood from the immediate vicinity of a camping area on CALM land; and</w:t>
      </w:r>
    </w:p>
    <w:p>
      <w:pPr>
        <w:pStyle w:val="Indenta"/>
      </w:pPr>
      <w:r>
        <w:tab/>
        <w:t>(b)</w:t>
      </w:r>
      <w:r>
        <w:tab/>
        <w:t>the firewood is intended for use on a campfire or barbecue in the area; and</w:t>
      </w:r>
    </w:p>
    <w:p>
      <w:pPr>
        <w:pStyle w:val="Indenta"/>
      </w:pPr>
      <w:r>
        <w:tab/>
        <w:t>(c)</w:t>
      </w:r>
      <w:r>
        <w:tab/>
        <w:t>there are no signs authorising the collection of firewood; and</w:t>
      </w:r>
    </w:p>
    <w:p>
      <w:pPr>
        <w:pStyle w:val="Indenta"/>
      </w:pPr>
      <w:r>
        <w:tab/>
        <w:t>(d)</w:t>
      </w:r>
      <w:r>
        <w:tab/>
        <w:t>the person is not otherwise authorised to collect the firewood,</w:t>
      </w:r>
    </w:p>
    <w:p>
      <w:pPr>
        <w:pStyle w:val="Subsection"/>
      </w:pPr>
      <w:r>
        <w:tab/>
      </w:r>
      <w:r>
        <w:tab/>
        <w:t>the person commits an offence.</w:t>
      </w:r>
    </w:p>
    <w:p>
      <w:pPr>
        <w:pStyle w:val="Penstart"/>
      </w:pPr>
      <w:r>
        <w:tab/>
        <w:t>Penalty: a fine of $1 000.</w:t>
      </w:r>
    </w:p>
    <w:p>
      <w:pPr>
        <w:pStyle w:val="Subsection"/>
        <w:rPr>
          <w:snapToGrid w:val="0"/>
        </w:rPr>
      </w:pPr>
      <w:r>
        <w:rPr>
          <w:snapToGrid w:val="0"/>
        </w:rPr>
        <w:tab/>
        <w:t>(3)</w:t>
      </w:r>
      <w:r>
        <w:rPr>
          <w:snapToGrid w:val="0"/>
        </w:rPr>
        <w:tab/>
        <w:t xml:space="preserve">Part 15 of the </w:t>
      </w:r>
      <w:smartTag w:uri="urn:schemas-microsoft-com:office:smarttags" w:element="place">
        <w:r>
          <w:rPr>
            <w:i/>
            <w:snapToGrid w:val="0"/>
          </w:rPr>
          <w:t>Forest</w:t>
        </w:r>
      </w:smartTag>
      <w:r>
        <w:rPr>
          <w:i/>
          <w:snapToGrid w:val="0"/>
        </w:rPr>
        <w:t xml:space="preserve"> Management Regulations 1993</w:t>
      </w:r>
      <w:r>
        <w:rPr>
          <w:snapToGrid w:val="0"/>
        </w:rPr>
        <w:t xml:space="preserve"> applies to the collection of firewood in public firewood areas.</w:t>
      </w:r>
    </w:p>
    <w:p>
      <w:pPr>
        <w:pStyle w:val="Subsection"/>
        <w:rPr>
          <w:snapToGrid w:val="0"/>
        </w:rPr>
      </w:pPr>
      <w:r>
        <w:rPr>
          <w:snapToGrid w:val="0"/>
        </w:rPr>
        <w:tab/>
        <w:t>(4)</w:t>
      </w:r>
      <w:r>
        <w:rPr>
          <w:snapToGrid w:val="0"/>
        </w:rPr>
        <w:tab/>
        <w:t>In this regulation — </w:t>
      </w:r>
    </w:p>
    <w:p>
      <w:pPr>
        <w:pStyle w:val="Defstart"/>
      </w:pPr>
      <w:r>
        <w:tab/>
      </w:r>
      <w:r>
        <w:rPr>
          <w:rStyle w:val="CharDefText"/>
        </w:rPr>
        <w:t>firewood</w:t>
      </w:r>
      <w:r>
        <w:rPr>
          <w:b/>
        </w:rPr>
        <w:t xml:space="preserve"> </w:t>
      </w:r>
      <w:r>
        <w:t>means dead wood lying on the ground.</w:t>
      </w:r>
    </w:p>
    <w:p>
      <w:pPr>
        <w:pStyle w:val="Footnotesection"/>
      </w:pPr>
      <w:r>
        <w:tab/>
        <w:t>[Regulation 71 amended in Gazette 29 Sep 2006 p. 4317</w:t>
      </w:r>
      <w:r>
        <w:noBreakHyphen/>
        <w:t>18; 3 Dec 2010 p. 6052</w:t>
      </w:r>
      <w:r>
        <w:noBreakHyphen/>
        <w:t>3; 19 Sep 2014 p. 3336.]</w:t>
      </w:r>
    </w:p>
    <w:p>
      <w:pPr>
        <w:pStyle w:val="Heading2"/>
      </w:pPr>
      <w:bookmarkStart w:id="206" w:name="_Toc408498858"/>
      <w:bookmarkStart w:id="207" w:name="_Toc414889280"/>
      <w:bookmarkStart w:id="208" w:name="_Toc414975226"/>
      <w:bookmarkStart w:id="209" w:name="_Toc417563708"/>
      <w:r>
        <w:rPr>
          <w:rStyle w:val="CharPartNo"/>
        </w:rPr>
        <w:t>Part 5</w:t>
      </w:r>
      <w:r>
        <w:rPr>
          <w:rStyle w:val="CharDivNo"/>
        </w:rPr>
        <w:t xml:space="preserve"> </w:t>
      </w:r>
      <w:r>
        <w:t>—</w:t>
      </w:r>
      <w:r>
        <w:rPr>
          <w:rStyle w:val="CharDivText"/>
        </w:rPr>
        <w:t xml:space="preserve"> </w:t>
      </w:r>
      <w:r>
        <w:rPr>
          <w:rStyle w:val="CharPartText"/>
        </w:rPr>
        <w:t>Offensive and dangerous behaviour</w:t>
      </w:r>
      <w:bookmarkEnd w:id="206"/>
      <w:bookmarkEnd w:id="207"/>
      <w:bookmarkEnd w:id="208"/>
      <w:bookmarkEnd w:id="209"/>
      <w:r>
        <w:rPr>
          <w:rStyle w:val="CharPartText"/>
        </w:rPr>
        <w:t xml:space="preserve"> </w:t>
      </w:r>
    </w:p>
    <w:p>
      <w:pPr>
        <w:pStyle w:val="Heading5"/>
        <w:spacing w:before="240"/>
        <w:rPr>
          <w:snapToGrid w:val="0"/>
        </w:rPr>
      </w:pPr>
      <w:bookmarkStart w:id="210" w:name="_Toc408498859"/>
      <w:bookmarkStart w:id="211" w:name="_Toc417563709"/>
      <w:r>
        <w:rPr>
          <w:rStyle w:val="CharSectno"/>
        </w:rPr>
        <w:t>72</w:t>
      </w:r>
      <w:r>
        <w:rPr>
          <w:snapToGrid w:val="0"/>
        </w:rPr>
        <w:t>.</w:t>
      </w:r>
      <w:r>
        <w:rPr>
          <w:snapToGrid w:val="0"/>
        </w:rPr>
        <w:tab/>
        <w:t>Authorised officer may direct person to stop activity</w:t>
      </w:r>
      <w:bookmarkEnd w:id="210"/>
      <w:bookmarkEnd w:id="211"/>
      <w:r>
        <w:rPr>
          <w:snapToGrid w:val="0"/>
        </w:rPr>
        <w:t xml:space="preserve"> </w:t>
      </w:r>
    </w:p>
    <w:p>
      <w:pPr>
        <w:pStyle w:val="Subsection"/>
        <w:rPr>
          <w:snapToGrid w:val="0"/>
        </w:rPr>
      </w:pPr>
      <w:r>
        <w:rPr>
          <w:snapToGrid w:val="0"/>
        </w:rPr>
        <w:tab/>
        <w:t>(1)</w:t>
      </w:r>
      <w:r>
        <w:rPr>
          <w:snapToGrid w:val="0"/>
        </w:rPr>
        <w:tab/>
        <w:t>An authorised officer may direct a person on CALM land to cease any behaviour which is — </w:t>
      </w:r>
    </w:p>
    <w:p>
      <w:pPr>
        <w:pStyle w:val="Indenta"/>
        <w:rPr>
          <w:snapToGrid w:val="0"/>
        </w:rPr>
      </w:pPr>
      <w:r>
        <w:rPr>
          <w:snapToGrid w:val="0"/>
        </w:rPr>
        <w:tab/>
        <w:t>(a)</w:t>
      </w:r>
      <w:r>
        <w:rPr>
          <w:snapToGrid w:val="0"/>
        </w:rPr>
        <w:tab/>
        <w:t>contrary to the lawful use of the land; or</w:t>
      </w:r>
    </w:p>
    <w:p>
      <w:pPr>
        <w:pStyle w:val="Indenta"/>
        <w:rPr>
          <w:snapToGrid w:val="0"/>
        </w:rPr>
      </w:pPr>
      <w:r>
        <w:rPr>
          <w:snapToGrid w:val="0"/>
        </w:rPr>
        <w:tab/>
        <w:t>(b)</w:t>
      </w:r>
      <w:r>
        <w:rPr>
          <w:snapToGrid w:val="0"/>
        </w:rPr>
        <w:tab/>
        <w:t>causing a disturbance or annoyance to other persons or, in the opinion of the authorised officer, disorderly or offensive; or</w:t>
      </w:r>
    </w:p>
    <w:p>
      <w:pPr>
        <w:pStyle w:val="Indenta"/>
        <w:rPr>
          <w:snapToGrid w:val="0"/>
        </w:rPr>
      </w:pPr>
      <w:r>
        <w:rPr>
          <w:snapToGrid w:val="0"/>
        </w:rPr>
        <w:tab/>
        <w:t>(c)</w:t>
      </w:r>
      <w:r>
        <w:rPr>
          <w:snapToGrid w:val="0"/>
        </w:rPr>
        <w:tab/>
        <w:t>in the opinion of the authorised officer, dangerous.</w:t>
      </w:r>
    </w:p>
    <w:p>
      <w:pPr>
        <w:pStyle w:val="Subsection"/>
        <w:rPr>
          <w:snapToGrid w:val="0"/>
        </w:rPr>
      </w:pPr>
      <w:r>
        <w:rPr>
          <w:snapToGrid w:val="0"/>
        </w:rPr>
        <w:tab/>
        <w:t>(2)</w:t>
      </w:r>
      <w:r>
        <w:rPr>
          <w:snapToGrid w:val="0"/>
        </w:rPr>
        <w:tab/>
        <w:t>A person must comply with a direction of an authorised officer under this regulation.</w:t>
      </w:r>
    </w:p>
    <w:p>
      <w:pPr>
        <w:pStyle w:val="Penstart"/>
        <w:rPr>
          <w:snapToGrid w:val="0"/>
        </w:rPr>
      </w:pPr>
      <w:r>
        <w:rPr>
          <w:snapToGrid w:val="0"/>
        </w:rPr>
        <w:tab/>
        <w:t xml:space="preserve">Penalty: </w:t>
      </w:r>
      <w:r>
        <w:t>a fine of</w:t>
      </w:r>
      <w:r>
        <w:rPr>
          <w:snapToGrid w:val="0"/>
        </w:rPr>
        <w:t xml:space="preserve"> </w:t>
      </w:r>
      <w:r>
        <w:t>$1 000</w:t>
      </w:r>
      <w:r>
        <w:rPr>
          <w:snapToGrid w:val="0"/>
        </w:rPr>
        <w:t>.</w:t>
      </w:r>
    </w:p>
    <w:p>
      <w:pPr>
        <w:pStyle w:val="Footnotesection"/>
      </w:pPr>
      <w:r>
        <w:tab/>
        <w:t>[Regulation 72 amended in Gazette 3 Dec 2010 p. 6052</w:t>
      </w:r>
      <w:r>
        <w:noBreakHyphen/>
        <w:t>3; 19 Sep 2014 p. 3336.]</w:t>
      </w:r>
    </w:p>
    <w:p>
      <w:pPr>
        <w:pStyle w:val="Heading5"/>
        <w:spacing w:before="240"/>
        <w:rPr>
          <w:snapToGrid w:val="0"/>
        </w:rPr>
      </w:pPr>
      <w:bookmarkStart w:id="212" w:name="_Toc408498860"/>
      <w:bookmarkStart w:id="213" w:name="_Toc417563710"/>
      <w:r>
        <w:rPr>
          <w:rStyle w:val="CharSectno"/>
        </w:rPr>
        <w:t>73</w:t>
      </w:r>
      <w:r>
        <w:rPr>
          <w:snapToGrid w:val="0"/>
        </w:rPr>
        <w:t>.</w:t>
      </w:r>
      <w:r>
        <w:rPr>
          <w:snapToGrid w:val="0"/>
        </w:rPr>
        <w:tab/>
        <w:t>Conduct generally</w:t>
      </w:r>
      <w:bookmarkEnd w:id="212"/>
      <w:bookmarkEnd w:id="213"/>
      <w:r>
        <w:rPr>
          <w:snapToGrid w:val="0"/>
        </w:rPr>
        <w:t xml:space="preserve"> </w:t>
      </w:r>
    </w:p>
    <w:p>
      <w:pPr>
        <w:pStyle w:val="Subsection"/>
        <w:rPr>
          <w:snapToGrid w:val="0"/>
        </w:rPr>
      </w:pPr>
      <w:r>
        <w:rPr>
          <w:snapToGrid w:val="0"/>
        </w:rPr>
        <w:tab/>
        <w:t>(1)</w:t>
      </w:r>
      <w:r>
        <w:rPr>
          <w:snapToGrid w:val="0"/>
        </w:rPr>
        <w:tab/>
        <w:t>A person must not, on CALM land — </w:t>
      </w:r>
    </w:p>
    <w:p>
      <w:pPr>
        <w:pStyle w:val="Indenta"/>
        <w:rPr>
          <w:snapToGrid w:val="0"/>
        </w:rPr>
      </w:pPr>
      <w:r>
        <w:rPr>
          <w:snapToGrid w:val="0"/>
        </w:rPr>
        <w:tab/>
        <w:t>(a)</w:t>
      </w:r>
      <w:r>
        <w:rPr>
          <w:snapToGrid w:val="0"/>
        </w:rPr>
        <w:tab/>
        <w:t>create or commit any nuisance; or</w:t>
      </w:r>
    </w:p>
    <w:p>
      <w:pPr>
        <w:pStyle w:val="Indenta"/>
        <w:rPr>
          <w:snapToGrid w:val="0"/>
        </w:rPr>
      </w:pPr>
      <w:r>
        <w:rPr>
          <w:snapToGrid w:val="0"/>
        </w:rPr>
        <w:tab/>
        <w:t>(b)</w:t>
      </w:r>
      <w:r>
        <w:rPr>
          <w:snapToGrid w:val="0"/>
        </w:rPr>
        <w:tab/>
        <w:t>behave in a disorderly or offensive manner; or</w:t>
      </w:r>
    </w:p>
    <w:p>
      <w:pPr>
        <w:pStyle w:val="Indenta"/>
        <w:rPr>
          <w:snapToGrid w:val="0"/>
        </w:rPr>
      </w:pPr>
      <w:r>
        <w:rPr>
          <w:snapToGrid w:val="0"/>
        </w:rPr>
        <w:tab/>
        <w:t>(c)</w:t>
      </w:r>
      <w:r>
        <w:rPr>
          <w:snapToGrid w:val="0"/>
        </w:rPr>
        <w:tab/>
        <w:t>use abusive, offensive or insulting language; or</w:t>
      </w:r>
    </w:p>
    <w:p>
      <w:pPr>
        <w:pStyle w:val="Indenta"/>
        <w:rPr>
          <w:snapToGrid w:val="0"/>
        </w:rPr>
      </w:pPr>
      <w:r>
        <w:rPr>
          <w:snapToGrid w:val="0"/>
        </w:rPr>
        <w:tab/>
        <w:t>(d)</w:t>
      </w:r>
      <w:r>
        <w:rPr>
          <w:snapToGrid w:val="0"/>
        </w:rPr>
        <w:tab/>
        <w:t>otherwise act in such a way as to cause or be likely to cause a nuisance or annoyance to other persons on the land.</w:t>
      </w:r>
    </w:p>
    <w:p>
      <w:pPr>
        <w:pStyle w:val="Penstart"/>
        <w:rPr>
          <w:snapToGrid w:val="0"/>
        </w:rPr>
      </w:pPr>
      <w:r>
        <w:rPr>
          <w:snapToGrid w:val="0"/>
        </w:rPr>
        <w:tab/>
        <w:t xml:space="preserve">Penalty: </w:t>
      </w:r>
      <w:r>
        <w:t>a fine of</w:t>
      </w:r>
      <w:r>
        <w:rPr>
          <w:snapToGrid w:val="0"/>
        </w:rPr>
        <w:t xml:space="preserve"> </w:t>
      </w:r>
      <w:r>
        <w:t>$1 000</w:t>
      </w:r>
      <w:r>
        <w:rPr>
          <w:snapToGrid w:val="0"/>
        </w:rPr>
        <w:t>.</w:t>
      </w:r>
    </w:p>
    <w:p>
      <w:pPr>
        <w:pStyle w:val="Subsection"/>
        <w:spacing w:before="180"/>
        <w:rPr>
          <w:snapToGrid w:val="0"/>
        </w:rPr>
      </w:pPr>
      <w:r>
        <w:rPr>
          <w:snapToGrid w:val="0"/>
        </w:rPr>
        <w:tab/>
        <w:t>(2)</w:t>
      </w:r>
      <w:r>
        <w:rPr>
          <w:snapToGrid w:val="0"/>
        </w:rPr>
        <w:tab/>
        <w:t xml:space="preserve">A person must, on CALM land, comply with any direction on a sign on that land regarding </w:t>
      </w:r>
      <w:r>
        <w:t xml:space="preserve">any </w:t>
      </w:r>
      <w:r>
        <w:rPr>
          <w:snapToGrid w:val="0"/>
        </w:rPr>
        <w:t>activity or behaviour that is prohibited on CALM land.</w:t>
      </w:r>
    </w:p>
    <w:p>
      <w:pPr>
        <w:pStyle w:val="Penstart"/>
        <w:rPr>
          <w:snapToGrid w:val="0"/>
        </w:rPr>
      </w:pPr>
      <w:r>
        <w:rPr>
          <w:snapToGrid w:val="0"/>
        </w:rPr>
        <w:tab/>
        <w:t xml:space="preserve">Penalty: </w:t>
      </w:r>
      <w:r>
        <w:t>a fine of</w:t>
      </w:r>
      <w:r>
        <w:rPr>
          <w:snapToGrid w:val="0"/>
        </w:rPr>
        <w:t xml:space="preserve"> </w:t>
      </w:r>
      <w:r>
        <w:t>$1 000</w:t>
      </w:r>
      <w:r>
        <w:rPr>
          <w:snapToGrid w:val="0"/>
        </w:rPr>
        <w:t>.</w:t>
      </w:r>
    </w:p>
    <w:p>
      <w:pPr>
        <w:pStyle w:val="Footnotesection"/>
      </w:pPr>
      <w:r>
        <w:tab/>
        <w:t>[Regulation 73 amended in Gazette 3 Dec 2010 p. 6052</w:t>
      </w:r>
      <w:r>
        <w:noBreakHyphen/>
        <w:t>3; 19 Sep 2014 p. 3331 and 3336.]</w:t>
      </w:r>
    </w:p>
    <w:p>
      <w:pPr>
        <w:pStyle w:val="Heading5"/>
        <w:spacing w:before="240"/>
        <w:rPr>
          <w:snapToGrid w:val="0"/>
        </w:rPr>
      </w:pPr>
      <w:bookmarkStart w:id="214" w:name="_Toc408498861"/>
      <w:bookmarkStart w:id="215" w:name="_Toc417563711"/>
      <w:r>
        <w:rPr>
          <w:rStyle w:val="CharSectno"/>
        </w:rPr>
        <w:t>74</w:t>
      </w:r>
      <w:r>
        <w:rPr>
          <w:snapToGrid w:val="0"/>
        </w:rPr>
        <w:t>.</w:t>
      </w:r>
      <w:r>
        <w:rPr>
          <w:snapToGrid w:val="0"/>
        </w:rPr>
        <w:tab/>
        <w:t>Offensive noise</w:t>
      </w:r>
      <w:bookmarkEnd w:id="214"/>
      <w:bookmarkEnd w:id="215"/>
      <w:r>
        <w:rPr>
          <w:snapToGrid w:val="0"/>
        </w:rPr>
        <w:t xml:space="preserve"> </w:t>
      </w:r>
    </w:p>
    <w:p>
      <w:pPr>
        <w:pStyle w:val="Subsection"/>
        <w:spacing w:before="180"/>
        <w:rPr>
          <w:snapToGrid w:val="0"/>
        </w:rPr>
      </w:pPr>
      <w:r>
        <w:rPr>
          <w:snapToGrid w:val="0"/>
        </w:rPr>
        <w:tab/>
      </w:r>
      <w:r>
        <w:rPr>
          <w:snapToGrid w:val="0"/>
        </w:rPr>
        <w:tab/>
        <w:t>A person must not, while on CALM land, by the use of any electronic, mechanical or other instrument or thing or by natural means cause or produce a noise that unreasonably interferes with the convenience, comfort or amenity of any other person.</w:t>
      </w:r>
    </w:p>
    <w:p>
      <w:pPr>
        <w:pStyle w:val="Penstart"/>
        <w:rPr>
          <w:snapToGrid w:val="0"/>
        </w:rPr>
      </w:pPr>
      <w:r>
        <w:rPr>
          <w:snapToGrid w:val="0"/>
        </w:rPr>
        <w:tab/>
        <w:t xml:space="preserve">Penalty: </w:t>
      </w:r>
      <w:r>
        <w:t>a fine of</w:t>
      </w:r>
      <w:r>
        <w:rPr>
          <w:snapToGrid w:val="0"/>
        </w:rPr>
        <w:t xml:space="preserve"> $500.</w:t>
      </w:r>
    </w:p>
    <w:p>
      <w:pPr>
        <w:pStyle w:val="Footnotesection"/>
      </w:pPr>
      <w:r>
        <w:tab/>
        <w:t>[Regulation 74 amended in Gazette 3 Dec 2010 p. 6052</w:t>
      </w:r>
      <w:r>
        <w:noBreakHyphen/>
        <w:t>4.]</w:t>
      </w:r>
    </w:p>
    <w:p>
      <w:pPr>
        <w:pStyle w:val="Heading5"/>
        <w:rPr>
          <w:snapToGrid w:val="0"/>
        </w:rPr>
      </w:pPr>
      <w:bookmarkStart w:id="216" w:name="_Toc408498862"/>
      <w:bookmarkStart w:id="217" w:name="_Toc417563712"/>
      <w:r>
        <w:rPr>
          <w:rStyle w:val="CharSectno"/>
        </w:rPr>
        <w:t>75</w:t>
      </w:r>
      <w:r>
        <w:rPr>
          <w:snapToGrid w:val="0"/>
        </w:rPr>
        <w:t>.</w:t>
      </w:r>
      <w:r>
        <w:rPr>
          <w:snapToGrid w:val="0"/>
        </w:rPr>
        <w:tab/>
        <w:t>Alcohol and drugs</w:t>
      </w:r>
      <w:bookmarkEnd w:id="216"/>
      <w:bookmarkEnd w:id="217"/>
      <w:r>
        <w:rPr>
          <w:snapToGrid w:val="0"/>
        </w:rPr>
        <w:t xml:space="preserve"> </w:t>
      </w:r>
    </w:p>
    <w:p>
      <w:pPr>
        <w:pStyle w:val="Subsection"/>
        <w:rPr>
          <w:snapToGrid w:val="0"/>
        </w:rPr>
      </w:pPr>
      <w:r>
        <w:rPr>
          <w:snapToGrid w:val="0"/>
        </w:rPr>
        <w:tab/>
        <w:t>(1)</w:t>
      </w:r>
      <w:r>
        <w:rPr>
          <w:snapToGrid w:val="0"/>
        </w:rPr>
        <w:tab/>
        <w:t>A person must not enter or remain on CALM land when seriously affected apparently by alcohol, drugs or other intoxicating substance, or any combination of those things.</w:t>
      </w:r>
    </w:p>
    <w:p>
      <w:pPr>
        <w:pStyle w:val="Penstart"/>
        <w:rPr>
          <w:snapToGrid w:val="0"/>
        </w:rPr>
      </w:pPr>
      <w:r>
        <w:rPr>
          <w:snapToGrid w:val="0"/>
        </w:rPr>
        <w:tab/>
        <w:t xml:space="preserve">Penalty: </w:t>
      </w:r>
      <w:r>
        <w:t>a fine of</w:t>
      </w:r>
      <w:r>
        <w:rPr>
          <w:snapToGrid w:val="0"/>
        </w:rPr>
        <w:t xml:space="preserve"> </w:t>
      </w:r>
      <w:r>
        <w:t>$1 000</w:t>
      </w:r>
      <w:r>
        <w:rPr>
          <w:snapToGrid w:val="0"/>
        </w:rPr>
        <w:t>.</w:t>
      </w:r>
    </w:p>
    <w:p>
      <w:pPr>
        <w:pStyle w:val="Subsection"/>
        <w:rPr>
          <w:snapToGrid w:val="0"/>
        </w:rPr>
      </w:pPr>
      <w:r>
        <w:rPr>
          <w:snapToGrid w:val="0"/>
        </w:rPr>
        <w:tab/>
        <w:t>(2)</w:t>
      </w:r>
      <w:r>
        <w:rPr>
          <w:snapToGrid w:val="0"/>
        </w:rPr>
        <w:tab/>
        <w:t>A person must not without lawful authority take alcohol or any other intoxicating substance into a cave or part of a cave which is on or under CALM land.</w:t>
      </w:r>
    </w:p>
    <w:p>
      <w:pPr>
        <w:pStyle w:val="Penstart"/>
        <w:rPr>
          <w:snapToGrid w:val="0"/>
        </w:rPr>
      </w:pPr>
      <w:r>
        <w:rPr>
          <w:snapToGrid w:val="0"/>
        </w:rPr>
        <w:tab/>
        <w:t xml:space="preserve">Penalty: </w:t>
      </w:r>
      <w:r>
        <w:t>a fine of</w:t>
      </w:r>
      <w:r>
        <w:rPr>
          <w:snapToGrid w:val="0"/>
        </w:rPr>
        <w:t xml:space="preserve"> </w:t>
      </w:r>
      <w:r>
        <w:t>$1 000</w:t>
      </w:r>
      <w:r>
        <w:rPr>
          <w:snapToGrid w:val="0"/>
        </w:rPr>
        <w:t>.</w:t>
      </w:r>
    </w:p>
    <w:p>
      <w:pPr>
        <w:pStyle w:val="Subsection"/>
        <w:rPr>
          <w:snapToGrid w:val="0"/>
        </w:rPr>
      </w:pPr>
      <w:r>
        <w:rPr>
          <w:snapToGrid w:val="0"/>
        </w:rPr>
        <w:tab/>
        <w:t>(3)</w:t>
      </w:r>
      <w:r>
        <w:rPr>
          <w:snapToGrid w:val="0"/>
        </w:rPr>
        <w:tab/>
        <w:t>Where an authorised officer is of the opinion that the consumption of alcohol or other intoxicating substance may give rise to offensive or dangerous behaviour, the authorised officer may direct a person not to bring the alcohol or intoxicating substance on to CALM land.</w:t>
      </w:r>
    </w:p>
    <w:p>
      <w:pPr>
        <w:pStyle w:val="Subsection"/>
        <w:rPr>
          <w:snapToGrid w:val="0"/>
        </w:rPr>
      </w:pPr>
      <w:r>
        <w:rPr>
          <w:snapToGrid w:val="0"/>
        </w:rPr>
        <w:tab/>
        <w:t>(4)</w:t>
      </w:r>
      <w:r>
        <w:rPr>
          <w:snapToGrid w:val="0"/>
        </w:rPr>
        <w:tab/>
        <w:t>A person must comply with a direction of an authorised officer under subregulation (3).</w:t>
      </w:r>
    </w:p>
    <w:p>
      <w:pPr>
        <w:pStyle w:val="Penstart"/>
        <w:rPr>
          <w:snapToGrid w:val="0"/>
        </w:rPr>
      </w:pPr>
      <w:r>
        <w:rPr>
          <w:snapToGrid w:val="0"/>
        </w:rPr>
        <w:tab/>
        <w:t xml:space="preserve">Penalty: </w:t>
      </w:r>
      <w:r>
        <w:t>a fine of</w:t>
      </w:r>
      <w:r>
        <w:rPr>
          <w:snapToGrid w:val="0"/>
        </w:rPr>
        <w:t xml:space="preserve"> </w:t>
      </w:r>
      <w:r>
        <w:t>$1 000</w:t>
      </w:r>
      <w:r>
        <w:rPr>
          <w:snapToGrid w:val="0"/>
        </w:rPr>
        <w:t>.</w:t>
      </w:r>
    </w:p>
    <w:p>
      <w:pPr>
        <w:pStyle w:val="Footnotesection"/>
      </w:pPr>
      <w:r>
        <w:tab/>
        <w:t>[Regulation 75 amended in Gazette 3 Dec 2010 p. 6052</w:t>
      </w:r>
      <w:r>
        <w:noBreakHyphen/>
        <w:t>4; 19 Sep 2014 p. 3336.]</w:t>
      </w:r>
    </w:p>
    <w:p>
      <w:pPr>
        <w:pStyle w:val="Heading5"/>
        <w:rPr>
          <w:snapToGrid w:val="0"/>
        </w:rPr>
      </w:pPr>
      <w:bookmarkStart w:id="218" w:name="_Toc408498863"/>
      <w:bookmarkStart w:id="219" w:name="_Toc417563713"/>
      <w:r>
        <w:rPr>
          <w:rStyle w:val="CharSectno"/>
        </w:rPr>
        <w:t>76</w:t>
      </w:r>
      <w:r>
        <w:rPr>
          <w:snapToGrid w:val="0"/>
        </w:rPr>
        <w:t>.</w:t>
      </w:r>
      <w:r>
        <w:rPr>
          <w:snapToGrid w:val="0"/>
        </w:rPr>
        <w:tab/>
        <w:t>Removal of CALM property</w:t>
      </w:r>
      <w:bookmarkEnd w:id="218"/>
      <w:bookmarkEnd w:id="219"/>
    </w:p>
    <w:p>
      <w:pPr>
        <w:pStyle w:val="Subsection"/>
        <w:rPr>
          <w:snapToGrid w:val="0"/>
        </w:rPr>
      </w:pPr>
      <w:r>
        <w:rPr>
          <w:snapToGrid w:val="0"/>
        </w:rPr>
        <w:tab/>
        <w:t>(1)</w:t>
      </w:r>
      <w:r>
        <w:rPr>
          <w:snapToGrid w:val="0"/>
        </w:rPr>
        <w:tab/>
        <w:t>A person must not, without lawful authority, remove any or any part of, a building, fence, facility, sign, notice, device, machinery or other object on CALM land.</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(2)</w:t>
      </w:r>
      <w:r>
        <w:rPr>
          <w:snapToGrid w:val="0"/>
        </w:rPr>
        <w:tab/>
        <w:t>If an authorised officer finds a person on CALM land in possession of an object removed in contravention of subregulation (1), the authorised officer may direct the person to leave the object</w:t>
      </w:r>
      <w:r>
        <w:t xml:space="preserve"> at a place on the CALM land specified by the officer</w:t>
      </w:r>
      <w:r>
        <w:rPr>
          <w:snapToGrid w:val="0"/>
        </w:rPr>
        <w:t>.</w:t>
      </w:r>
    </w:p>
    <w:p>
      <w:pPr>
        <w:pStyle w:val="Subsection"/>
        <w:rPr>
          <w:snapToGrid w:val="0"/>
        </w:rPr>
      </w:pPr>
      <w:r>
        <w:rPr>
          <w:snapToGrid w:val="0"/>
        </w:rPr>
        <w:tab/>
        <w:t>(3)</w:t>
      </w:r>
      <w:r>
        <w:rPr>
          <w:snapToGrid w:val="0"/>
        </w:rPr>
        <w:tab/>
        <w:t>A person must comply with a direction of an authorised officer under subregulation (2).</w:t>
      </w:r>
    </w:p>
    <w:p>
      <w:pPr>
        <w:pStyle w:val="Penstart"/>
        <w:rPr>
          <w:snapToGrid w:val="0"/>
        </w:rPr>
      </w:pPr>
      <w:r>
        <w:rPr>
          <w:snapToGrid w:val="0"/>
        </w:rPr>
        <w:tab/>
        <w:t xml:space="preserve">Penalty: </w:t>
      </w:r>
      <w:r>
        <w:t>a fine of</w:t>
      </w:r>
      <w:r>
        <w:rPr>
          <w:snapToGrid w:val="0"/>
        </w:rPr>
        <w:t xml:space="preserve"> $1 000.</w:t>
      </w:r>
    </w:p>
    <w:p>
      <w:pPr>
        <w:pStyle w:val="Footnotesection"/>
      </w:pPr>
      <w:r>
        <w:tab/>
        <w:t>[Regulation 76 amended in Gazette 29 Sep 2006 p. 4318; 3 Dec 2010 p. 6052</w:t>
      </w:r>
      <w:r>
        <w:noBreakHyphen/>
        <w:t>4.]</w:t>
      </w:r>
    </w:p>
    <w:p>
      <w:pPr>
        <w:pStyle w:val="Heading2"/>
      </w:pPr>
      <w:bookmarkStart w:id="220" w:name="_Toc408498864"/>
      <w:bookmarkStart w:id="221" w:name="_Toc414889286"/>
      <w:bookmarkStart w:id="222" w:name="_Toc414975232"/>
      <w:bookmarkStart w:id="223" w:name="_Toc417563714"/>
      <w:r>
        <w:rPr>
          <w:rStyle w:val="CharPartNo"/>
        </w:rPr>
        <w:t>Part 6</w:t>
      </w:r>
      <w:r>
        <w:rPr>
          <w:rStyle w:val="CharDivNo"/>
        </w:rPr>
        <w:t xml:space="preserve"> </w:t>
      </w:r>
      <w:r>
        <w:t>—</w:t>
      </w:r>
      <w:r>
        <w:rPr>
          <w:rStyle w:val="CharDivText"/>
        </w:rPr>
        <w:t xml:space="preserve"> </w:t>
      </w:r>
      <w:r>
        <w:rPr>
          <w:rStyle w:val="CharPartText"/>
        </w:rPr>
        <w:t>Removal and forfeiture of unauthorised property on CALM land</w:t>
      </w:r>
      <w:bookmarkEnd w:id="220"/>
      <w:bookmarkEnd w:id="221"/>
      <w:bookmarkEnd w:id="222"/>
      <w:bookmarkEnd w:id="223"/>
    </w:p>
    <w:p>
      <w:pPr>
        <w:pStyle w:val="Heading5"/>
      </w:pPr>
      <w:bookmarkStart w:id="224" w:name="_Toc408498865"/>
      <w:bookmarkStart w:id="225" w:name="_Toc417563715"/>
      <w:r>
        <w:rPr>
          <w:rStyle w:val="CharSectno"/>
        </w:rPr>
        <w:t>77</w:t>
      </w:r>
      <w:r>
        <w:t>.</w:t>
      </w:r>
      <w:r>
        <w:tab/>
        <w:t>Term used: property</w:t>
      </w:r>
      <w:bookmarkEnd w:id="224"/>
      <w:bookmarkEnd w:id="225"/>
    </w:p>
    <w:p>
      <w:pPr>
        <w:pStyle w:val="Subsection"/>
      </w:pPr>
      <w:r>
        <w:tab/>
        <w:t>(1)</w:t>
      </w:r>
      <w:r>
        <w:tab/>
        <w:t xml:space="preserve">In this Part — </w:t>
      </w:r>
    </w:p>
    <w:p>
      <w:pPr>
        <w:pStyle w:val="Defstart"/>
      </w:pPr>
      <w:r>
        <w:tab/>
      </w:r>
      <w:r>
        <w:rPr>
          <w:rStyle w:val="CharDefText"/>
        </w:rPr>
        <w:t>property</w:t>
      </w:r>
      <w:r>
        <w:t xml:space="preserve"> — </w:t>
      </w:r>
    </w:p>
    <w:p>
      <w:pPr>
        <w:pStyle w:val="Defpara"/>
      </w:pPr>
      <w:r>
        <w:tab/>
        <w:t>(a)</w:t>
      </w:r>
      <w:r>
        <w:tab/>
        <w:t>includes a vehicle, caravan, vessel, mooring, pontoon, platform (including a platform on water), tent or other thing related to camping, tarpaulin, tripod, log, post, picket, spike, pipe, rope, cable, chain, wire and any kind of lock or locking device;</w:t>
      </w:r>
    </w:p>
    <w:p>
      <w:pPr>
        <w:pStyle w:val="Defpara"/>
      </w:pPr>
      <w:r>
        <w:tab/>
        <w:t>(b)</w:t>
      </w:r>
      <w:r>
        <w:tab/>
        <w:t>does not include anything to which section 108A(1) of the Act applies.</w:t>
      </w:r>
    </w:p>
    <w:p>
      <w:pPr>
        <w:pStyle w:val="Subsection"/>
      </w:pPr>
      <w:r>
        <w:tab/>
        <w:t>(2)</w:t>
      </w:r>
      <w:r>
        <w:tab/>
        <w:t>Subject to subregulation (1)(b), a thing may be property for the purposes of this Part whether or not it is attached to CALM land.</w:t>
      </w:r>
    </w:p>
    <w:p>
      <w:pPr>
        <w:pStyle w:val="Footnotesection"/>
      </w:pPr>
      <w:r>
        <w:tab/>
        <w:t>[Regulation 77 amended in Gazette 3 Dec 2010 p. 6048.]</w:t>
      </w:r>
    </w:p>
    <w:p>
      <w:pPr>
        <w:pStyle w:val="Heading5"/>
      </w:pPr>
      <w:bookmarkStart w:id="226" w:name="_Toc408498866"/>
      <w:bookmarkStart w:id="227" w:name="_Toc417563716"/>
      <w:r>
        <w:rPr>
          <w:rStyle w:val="CharSectno"/>
        </w:rPr>
        <w:t>78</w:t>
      </w:r>
      <w:r>
        <w:t>.</w:t>
      </w:r>
      <w:r>
        <w:tab/>
        <w:t>Authorised officers may seize and remove unauthorised property</w:t>
      </w:r>
      <w:bookmarkEnd w:id="226"/>
      <w:bookmarkEnd w:id="227"/>
    </w:p>
    <w:p>
      <w:pPr>
        <w:pStyle w:val="Subsection"/>
      </w:pPr>
      <w:r>
        <w:tab/>
        <w:t>(1)</w:t>
      </w:r>
      <w:r>
        <w:tab/>
        <w:t>An authorised officer who finds on CALM land any property that the officer reasonably believes is not authorised under a written law to be on the land may order or request a person who has, or appears to the officer to have, possession or control of the property to remove it from the land.</w:t>
      </w:r>
    </w:p>
    <w:p>
      <w:pPr>
        <w:pStyle w:val="Subsection"/>
      </w:pPr>
      <w:r>
        <w:tab/>
        <w:t>(1a)</w:t>
      </w:r>
      <w:r>
        <w:tab/>
        <w:t>A person must comply with an order given to the person under subregulation (1).</w:t>
      </w:r>
    </w:p>
    <w:p>
      <w:pPr>
        <w:pStyle w:val="Penstart"/>
      </w:pPr>
      <w:r>
        <w:tab/>
        <w:t>Penalty: a fine of $2 000.</w:t>
      </w:r>
    </w:p>
    <w:p>
      <w:pPr>
        <w:pStyle w:val="Subsection"/>
        <w:keepNext/>
      </w:pPr>
      <w:r>
        <w:tab/>
        <w:t>(2)</w:t>
      </w:r>
      <w:r>
        <w:tab/>
        <w:t xml:space="preserve">If — </w:t>
      </w:r>
    </w:p>
    <w:p>
      <w:pPr>
        <w:pStyle w:val="Indenta"/>
      </w:pPr>
      <w:r>
        <w:tab/>
        <w:t>(a)</w:t>
      </w:r>
      <w:r>
        <w:tab/>
        <w:t>a person does not comply with an order or request under subregulation (1) within a period that the authorised officer considers reasonable; or</w:t>
      </w:r>
    </w:p>
    <w:p>
      <w:pPr>
        <w:pStyle w:val="Indenta"/>
      </w:pPr>
      <w:r>
        <w:tab/>
        <w:t>(b)</w:t>
      </w:r>
      <w:r>
        <w:tab/>
        <w:t>the officer is unable to find a person who has, or appears to the officer to have, possession or control of the property,</w:t>
      </w:r>
    </w:p>
    <w:p>
      <w:pPr>
        <w:pStyle w:val="Subsection"/>
      </w:pPr>
      <w:r>
        <w:tab/>
      </w:r>
      <w:r>
        <w:tab/>
        <w:t>the officer may seize the property and remove it from CALM land.</w:t>
      </w:r>
    </w:p>
    <w:p>
      <w:pPr>
        <w:pStyle w:val="Subsection"/>
      </w:pPr>
      <w:r>
        <w:tab/>
        <w:t>(3)</w:t>
      </w:r>
      <w:r>
        <w:tab/>
        <w:t>Property seized and removed under subregulation (2) shall be held at an office of the Department until it is collected under regulation 79 or destroyed, sold or otherwise disposed of under regulation 80.</w:t>
      </w:r>
    </w:p>
    <w:p>
      <w:pPr>
        <w:pStyle w:val="Footnotesection"/>
      </w:pPr>
      <w:r>
        <w:tab/>
        <w:t>[Regulation 78 amended in Gazette 29 Sep 2006 p. 4318</w:t>
      </w:r>
      <w:r>
        <w:noBreakHyphen/>
        <w:t>19; 3 Dec 2010 p. 6048.]</w:t>
      </w:r>
    </w:p>
    <w:p>
      <w:pPr>
        <w:pStyle w:val="Heading5"/>
      </w:pPr>
      <w:bookmarkStart w:id="228" w:name="_Toc408498867"/>
      <w:bookmarkStart w:id="229" w:name="_Toc417563717"/>
      <w:r>
        <w:rPr>
          <w:rStyle w:val="CharSectno"/>
        </w:rPr>
        <w:t>79</w:t>
      </w:r>
      <w:r>
        <w:t>.</w:t>
      </w:r>
      <w:r>
        <w:tab/>
        <w:t>Seized property may be claimed</w:t>
      </w:r>
      <w:bookmarkEnd w:id="228"/>
      <w:bookmarkEnd w:id="229"/>
    </w:p>
    <w:p>
      <w:pPr>
        <w:pStyle w:val="Subsection"/>
      </w:pPr>
      <w:r>
        <w:tab/>
        <w:t>(1)</w:t>
      </w:r>
      <w:r>
        <w:tab/>
        <w:t>A person may claim property that is seized and removed under regulation 78 if the claim is made to an authorised officer within 6 months after the property is seized and removed.</w:t>
      </w:r>
    </w:p>
    <w:p>
      <w:pPr>
        <w:pStyle w:val="Subsection"/>
      </w:pPr>
      <w:r>
        <w:tab/>
        <w:t>(2)</w:t>
      </w:r>
      <w:r>
        <w:tab/>
        <w:t>If an authorised officer is satisfied that a person who claims property under subregulation (1) is the owner of the property or is entitled to possession of the property, the officer is to make the property available to be collected by the person at a time and a place notified in writing to the person.</w:t>
      </w:r>
    </w:p>
    <w:p>
      <w:pPr>
        <w:pStyle w:val="Subsection"/>
      </w:pPr>
      <w:r>
        <w:tab/>
        <w:t>(3)</w:t>
      </w:r>
      <w:r>
        <w:tab/>
        <w:t>The time referred to in subregulation (2) is to be within 21 days after the authorised officer is satisfied in relation to the matters referred to in that subregulation.</w:t>
      </w:r>
    </w:p>
    <w:p>
      <w:pPr>
        <w:pStyle w:val="Footnotesection"/>
      </w:pPr>
      <w:r>
        <w:tab/>
        <w:t>[Regulation 79 amended in Gazette 29 Sep 2006 p. 4319.]</w:t>
      </w:r>
    </w:p>
    <w:p>
      <w:pPr>
        <w:pStyle w:val="Heading5"/>
      </w:pPr>
      <w:bookmarkStart w:id="230" w:name="_Toc408498868"/>
      <w:bookmarkStart w:id="231" w:name="_Toc417563718"/>
      <w:r>
        <w:rPr>
          <w:rStyle w:val="CharSectno"/>
        </w:rPr>
        <w:t>80</w:t>
      </w:r>
      <w:r>
        <w:t>.</w:t>
      </w:r>
      <w:r>
        <w:tab/>
        <w:t>Unclaimed property may be forfeited</w:t>
      </w:r>
      <w:bookmarkEnd w:id="230"/>
      <w:bookmarkEnd w:id="231"/>
    </w:p>
    <w:p>
      <w:pPr>
        <w:pStyle w:val="Subsection"/>
      </w:pPr>
      <w:r>
        <w:tab/>
        <w:t>(1)</w:t>
      </w:r>
      <w:r>
        <w:tab/>
        <w:t>If property is not claimed by a person who an authorised officer is satisfied is the owner of the property or is entitled to possession of the property within 6 months after the property is seized and removed under regulation 78, the property is, on the expiry of that period, forfeited to the Crown and may be destroyed, sold or otherwise disposed of as directed by the CEO.</w:t>
      </w:r>
    </w:p>
    <w:p>
      <w:pPr>
        <w:pStyle w:val="Ednotesubsection"/>
      </w:pPr>
      <w:r>
        <w:tab/>
        <w:t>[(2)</w:t>
      </w:r>
      <w:r>
        <w:tab/>
        <w:t>deleted]</w:t>
      </w:r>
    </w:p>
    <w:p>
      <w:pPr>
        <w:pStyle w:val="Footnotesection"/>
      </w:pPr>
      <w:r>
        <w:tab/>
        <w:t>[Regulation 80 amended in Gazette 29 Sep 2006 p. 4319 and 4334; 3 Dec 2010 p. 6049.]</w:t>
      </w:r>
    </w:p>
    <w:p>
      <w:pPr>
        <w:pStyle w:val="Heading2"/>
      </w:pPr>
      <w:bookmarkStart w:id="232" w:name="_Toc408498869"/>
      <w:bookmarkStart w:id="233" w:name="_Toc414889291"/>
      <w:bookmarkStart w:id="234" w:name="_Toc414975237"/>
      <w:bookmarkStart w:id="235" w:name="_Toc417563719"/>
      <w:r>
        <w:rPr>
          <w:rStyle w:val="CharPartNo"/>
        </w:rPr>
        <w:t>Part 6A</w:t>
      </w:r>
      <w:r>
        <w:rPr>
          <w:rStyle w:val="CharDivNo"/>
        </w:rPr>
        <w:t> </w:t>
      </w:r>
      <w:r>
        <w:t>—</w:t>
      </w:r>
      <w:r>
        <w:rPr>
          <w:rStyle w:val="CharDivText"/>
        </w:rPr>
        <w:t> </w:t>
      </w:r>
      <w:r>
        <w:rPr>
          <w:rStyle w:val="CharPartText"/>
        </w:rPr>
        <w:t>Management plans</w:t>
      </w:r>
      <w:bookmarkEnd w:id="232"/>
      <w:bookmarkEnd w:id="233"/>
      <w:bookmarkEnd w:id="234"/>
      <w:bookmarkEnd w:id="235"/>
    </w:p>
    <w:p>
      <w:pPr>
        <w:pStyle w:val="Footnoteheading"/>
        <w:tabs>
          <w:tab w:val="left" w:pos="851"/>
        </w:tabs>
      </w:pPr>
      <w:r>
        <w:tab/>
        <w:t>[Heading inserted in Gazette 4 May 2004 p. 1383.]</w:t>
      </w:r>
    </w:p>
    <w:p>
      <w:pPr>
        <w:pStyle w:val="Heading5"/>
      </w:pPr>
      <w:bookmarkStart w:id="236" w:name="_Toc408498870"/>
      <w:bookmarkStart w:id="237" w:name="_Toc417563720"/>
      <w:r>
        <w:rPr>
          <w:rStyle w:val="CharSectno"/>
        </w:rPr>
        <w:t>81</w:t>
      </w:r>
      <w:r>
        <w:t>.</w:t>
      </w:r>
      <w:r>
        <w:tab/>
        <w:t>Purposes of reserves (Act s. 55(1a))</w:t>
      </w:r>
      <w:bookmarkEnd w:id="236"/>
      <w:bookmarkEnd w:id="237"/>
    </w:p>
    <w:p>
      <w:pPr>
        <w:pStyle w:val="Subsection"/>
      </w:pPr>
      <w:r>
        <w:tab/>
      </w:r>
      <w:r>
        <w:tab/>
        <w:t xml:space="preserve">For the purposes of section 55(1a) of the Act, the other purposes for which an indigenous State forest or timber reserve may be reserved include any of the following — </w:t>
      </w:r>
    </w:p>
    <w:p>
      <w:pPr>
        <w:pStyle w:val="Indenta"/>
      </w:pPr>
      <w:r>
        <w:tab/>
        <w:t>(a)</w:t>
      </w:r>
      <w:r>
        <w:tab/>
        <w:t>the removal of water from the reserved land;</w:t>
      </w:r>
    </w:p>
    <w:p>
      <w:pPr>
        <w:pStyle w:val="Indenta"/>
      </w:pPr>
      <w:r>
        <w:tab/>
        <w:t>(b)</w:t>
      </w:r>
      <w:r>
        <w:tab/>
        <w:t>the storage of water on the reserve;</w:t>
      </w:r>
    </w:p>
    <w:p>
      <w:pPr>
        <w:pStyle w:val="Indenta"/>
      </w:pPr>
      <w:r>
        <w:tab/>
        <w:t>(c)</w:t>
      </w:r>
      <w:r>
        <w:tab/>
        <w:t>the removal of water from the reserve;</w:t>
      </w:r>
    </w:p>
    <w:p>
      <w:pPr>
        <w:pStyle w:val="Indenta"/>
      </w:pPr>
      <w:r>
        <w:tab/>
        <w:t>(d)</w:t>
      </w:r>
      <w:r>
        <w:tab/>
        <w:t>the location of infrastructure, and other similar facilities, that serve the public interest, to the extent to which locating such infrastructure and facilities is not inconsistent with achieving the other purposes for which the forest or reserve is reserved.</w:t>
      </w:r>
    </w:p>
    <w:p>
      <w:pPr>
        <w:pStyle w:val="Footnotesection"/>
      </w:pPr>
      <w:r>
        <w:tab/>
        <w:t>[Regulation 81 inserted in Gazette 4 May 2004 p. 1383; amended in Gazette 29 Jan 2008 p. 241</w:t>
      </w:r>
      <w:r>
        <w:noBreakHyphen/>
        <w:t>2.]</w:t>
      </w:r>
    </w:p>
    <w:p>
      <w:pPr>
        <w:pStyle w:val="Heading2"/>
      </w:pPr>
      <w:bookmarkStart w:id="238" w:name="_Toc408498871"/>
      <w:bookmarkStart w:id="239" w:name="_Toc414889293"/>
      <w:bookmarkStart w:id="240" w:name="_Toc414975239"/>
      <w:bookmarkStart w:id="241" w:name="_Toc417563721"/>
      <w:r>
        <w:rPr>
          <w:rStyle w:val="CharPartNo"/>
        </w:rPr>
        <w:t>Part 7</w:t>
      </w:r>
      <w:r>
        <w:t xml:space="preserve"> — </w:t>
      </w:r>
      <w:r>
        <w:rPr>
          <w:rStyle w:val="CharPartText"/>
        </w:rPr>
        <w:t>Licences</w:t>
      </w:r>
      <w:bookmarkEnd w:id="238"/>
      <w:bookmarkEnd w:id="239"/>
      <w:bookmarkEnd w:id="240"/>
      <w:bookmarkEnd w:id="241"/>
    </w:p>
    <w:p>
      <w:pPr>
        <w:pStyle w:val="Heading3"/>
      </w:pPr>
      <w:bookmarkStart w:id="242" w:name="_Toc408498872"/>
      <w:bookmarkStart w:id="243" w:name="_Toc414889294"/>
      <w:bookmarkStart w:id="244" w:name="_Toc414975240"/>
      <w:bookmarkStart w:id="245" w:name="_Toc417563722"/>
      <w:r>
        <w:rPr>
          <w:rStyle w:val="CharDivNo"/>
        </w:rPr>
        <w:t>Division 1</w:t>
      </w:r>
      <w:r>
        <w:rPr>
          <w:snapToGrid w:val="0"/>
        </w:rPr>
        <w:t xml:space="preserve"> — </w:t>
      </w:r>
      <w:r>
        <w:rPr>
          <w:rStyle w:val="CharDivText"/>
        </w:rPr>
        <w:t>General</w:t>
      </w:r>
      <w:bookmarkEnd w:id="242"/>
      <w:bookmarkEnd w:id="243"/>
      <w:bookmarkEnd w:id="244"/>
      <w:bookmarkEnd w:id="245"/>
    </w:p>
    <w:p>
      <w:pPr>
        <w:pStyle w:val="Heading5"/>
        <w:rPr>
          <w:snapToGrid w:val="0"/>
        </w:rPr>
      </w:pPr>
      <w:bookmarkStart w:id="246" w:name="_Toc408498873"/>
      <w:bookmarkStart w:id="247" w:name="_Toc417563723"/>
      <w:r>
        <w:rPr>
          <w:rStyle w:val="CharSectno"/>
        </w:rPr>
        <w:t>82</w:t>
      </w:r>
      <w:r>
        <w:rPr>
          <w:snapToGrid w:val="0"/>
        </w:rPr>
        <w:t>.</w:t>
      </w:r>
      <w:r>
        <w:rPr>
          <w:snapToGrid w:val="0"/>
        </w:rPr>
        <w:tab/>
        <w:t>Term used: licence</w:t>
      </w:r>
      <w:bookmarkEnd w:id="246"/>
      <w:bookmarkEnd w:id="247"/>
      <w:r>
        <w:rPr>
          <w:snapToGrid w:val="0"/>
        </w:rPr>
        <w:t xml:space="preserve"> </w:t>
      </w:r>
    </w:p>
    <w:p>
      <w:pPr>
        <w:pStyle w:val="Subsection"/>
        <w:rPr>
          <w:snapToGrid w:val="0"/>
        </w:rPr>
      </w:pPr>
      <w:r>
        <w:rPr>
          <w:snapToGrid w:val="0"/>
        </w:rPr>
        <w:tab/>
      </w:r>
      <w:r>
        <w:rPr>
          <w:snapToGrid w:val="0"/>
        </w:rPr>
        <w:tab/>
        <w:t>In this Part — </w:t>
      </w:r>
    </w:p>
    <w:p>
      <w:pPr>
        <w:pStyle w:val="Defstart"/>
      </w:pPr>
      <w:r>
        <w:tab/>
      </w:r>
      <w:r>
        <w:rPr>
          <w:rStyle w:val="CharDefText"/>
        </w:rPr>
        <w:t>licence</w:t>
      </w:r>
      <w:r>
        <w:rPr>
          <w:b/>
        </w:rPr>
        <w:t xml:space="preserve"> </w:t>
      </w:r>
      <w:r>
        <w:t>means a licence granted under these regulations.</w:t>
      </w:r>
    </w:p>
    <w:p>
      <w:pPr>
        <w:pStyle w:val="Heading5"/>
        <w:rPr>
          <w:snapToGrid w:val="0"/>
        </w:rPr>
      </w:pPr>
      <w:bookmarkStart w:id="248" w:name="_Toc408498874"/>
      <w:bookmarkStart w:id="249" w:name="_Toc417563724"/>
      <w:r>
        <w:rPr>
          <w:rStyle w:val="CharSectno"/>
        </w:rPr>
        <w:t>83</w:t>
      </w:r>
      <w:r>
        <w:rPr>
          <w:snapToGrid w:val="0"/>
        </w:rPr>
        <w:t>.</w:t>
      </w:r>
      <w:r>
        <w:rPr>
          <w:snapToGrid w:val="0"/>
        </w:rPr>
        <w:tab/>
        <w:t>Application for licence</w:t>
      </w:r>
      <w:bookmarkEnd w:id="248"/>
      <w:bookmarkEnd w:id="249"/>
      <w:r>
        <w:rPr>
          <w:snapToGrid w:val="0"/>
        </w:rPr>
        <w:t xml:space="preserve"> </w:t>
      </w:r>
    </w:p>
    <w:p>
      <w:pPr>
        <w:pStyle w:val="Subsection"/>
        <w:rPr>
          <w:snapToGrid w:val="0"/>
        </w:rPr>
      </w:pPr>
      <w:r>
        <w:rPr>
          <w:snapToGrid w:val="0"/>
        </w:rPr>
        <w:tab/>
        <w:t>(1)</w:t>
      </w:r>
      <w:r>
        <w:rPr>
          <w:snapToGrid w:val="0"/>
        </w:rPr>
        <w:tab/>
        <w:t>An application for a licence is to be — </w:t>
      </w:r>
    </w:p>
    <w:p>
      <w:pPr>
        <w:pStyle w:val="Indenta"/>
        <w:rPr>
          <w:snapToGrid w:val="0"/>
        </w:rPr>
      </w:pPr>
      <w:r>
        <w:rPr>
          <w:snapToGrid w:val="0"/>
        </w:rPr>
        <w:tab/>
        <w:t>(a)</w:t>
      </w:r>
      <w:r>
        <w:rPr>
          <w:snapToGrid w:val="0"/>
        </w:rPr>
        <w:tab/>
        <w:t xml:space="preserve">made to the </w:t>
      </w:r>
      <w:r>
        <w:t xml:space="preserve">CEO </w:t>
      </w:r>
      <w:r>
        <w:rPr>
          <w:snapToGrid w:val="0"/>
        </w:rPr>
        <w:t>in a form approved by the</w:t>
      </w:r>
      <w:r>
        <w:t xml:space="preserve"> CEO</w:t>
      </w:r>
      <w:r>
        <w:rPr>
          <w:snapToGrid w:val="0"/>
        </w:rPr>
        <w:t>; and</w:t>
      </w:r>
    </w:p>
    <w:p>
      <w:pPr>
        <w:pStyle w:val="Indenta"/>
        <w:rPr>
          <w:snapToGrid w:val="0"/>
        </w:rPr>
      </w:pPr>
      <w:r>
        <w:rPr>
          <w:snapToGrid w:val="0"/>
        </w:rPr>
        <w:tab/>
        <w:t>(b)</w:t>
      </w:r>
      <w:r>
        <w:rPr>
          <w:snapToGrid w:val="0"/>
        </w:rPr>
        <w:tab/>
        <w:t>accompanied by the appropriate fee specified in Schedule 1 Division 8.</w:t>
      </w:r>
    </w:p>
    <w:p>
      <w:pPr>
        <w:pStyle w:val="Subsection"/>
        <w:rPr>
          <w:snapToGrid w:val="0"/>
        </w:rPr>
      </w:pPr>
      <w:r>
        <w:rPr>
          <w:snapToGrid w:val="0"/>
        </w:rPr>
        <w:tab/>
        <w:t>(2)</w:t>
      </w:r>
      <w:r>
        <w:rPr>
          <w:snapToGrid w:val="0"/>
        </w:rPr>
        <w:tab/>
        <w:t xml:space="preserve">The applicant is to provide the </w:t>
      </w:r>
      <w:r>
        <w:t xml:space="preserve">CEO </w:t>
      </w:r>
      <w:r>
        <w:rPr>
          <w:snapToGrid w:val="0"/>
        </w:rPr>
        <w:t xml:space="preserve">with such further information as the </w:t>
      </w:r>
      <w:r>
        <w:t xml:space="preserve">CEO </w:t>
      </w:r>
      <w:r>
        <w:rPr>
          <w:snapToGrid w:val="0"/>
        </w:rPr>
        <w:t>may require in any particular case.</w:t>
      </w:r>
    </w:p>
    <w:p>
      <w:pPr>
        <w:pStyle w:val="Footnotesection"/>
      </w:pPr>
      <w:r>
        <w:tab/>
        <w:t>[Regulation 83 amended in Gazette 29 Sep 2006 p. 4334.]</w:t>
      </w:r>
    </w:p>
    <w:p>
      <w:pPr>
        <w:pStyle w:val="Heading5"/>
      </w:pPr>
      <w:bookmarkStart w:id="250" w:name="_Toc408498875"/>
      <w:bookmarkStart w:id="251" w:name="_Toc417563725"/>
      <w:r>
        <w:rPr>
          <w:rStyle w:val="CharSectno"/>
        </w:rPr>
        <w:t>84</w:t>
      </w:r>
      <w:r>
        <w:rPr>
          <w:snapToGrid w:val="0"/>
        </w:rPr>
        <w:t>.</w:t>
      </w:r>
      <w:r>
        <w:rPr>
          <w:snapToGrid w:val="0"/>
        </w:rPr>
        <w:tab/>
        <w:t>Restriction on exercise of powers</w:t>
      </w:r>
      <w:bookmarkEnd w:id="250"/>
      <w:bookmarkEnd w:id="251"/>
    </w:p>
    <w:p>
      <w:pPr>
        <w:pStyle w:val="Subsection"/>
      </w:pPr>
      <w:r>
        <w:tab/>
        <w:t>(1)</w:t>
      </w:r>
      <w:r>
        <w:tab/>
        <w:t xml:space="preserve">Subject to subregulation (2), the powers conferred on the CEO by this Part to grant or renew a licence are exercisable only — </w:t>
      </w:r>
    </w:p>
    <w:p>
      <w:pPr>
        <w:pStyle w:val="Indenta"/>
      </w:pPr>
      <w:r>
        <w:tab/>
        <w:t>(a)</w:t>
      </w:r>
      <w:r>
        <w:tab/>
        <w:t>with the approval of the Minister; and</w:t>
      </w:r>
    </w:p>
    <w:p>
      <w:pPr>
        <w:pStyle w:val="Indenta"/>
      </w:pPr>
      <w:r>
        <w:tab/>
        <w:t>(b)</w:t>
      </w:r>
      <w:r>
        <w:tab/>
        <w:t>in the case of land vested in the Conservation Commission, after consultation with the Conservation Commission and, where applicable, an associated body; and</w:t>
      </w:r>
    </w:p>
    <w:p>
      <w:pPr>
        <w:pStyle w:val="Indenta"/>
      </w:pPr>
      <w:r>
        <w:tab/>
        <w:t>(c)</w:t>
      </w:r>
      <w:r>
        <w:tab/>
        <w:t>in the case of land classified under Part V Division 2 of the Act as a forest conservation area, consistently with any management plan for the land concerned; and</w:t>
      </w:r>
    </w:p>
    <w:p>
      <w:pPr>
        <w:pStyle w:val="Indenta"/>
      </w:pPr>
      <w:r>
        <w:tab/>
        <w:t>(d)</w:t>
      </w:r>
      <w:r>
        <w:tab/>
        <w:t>in the case of land vested in the Marine Authority, after consultation with the Marine Authority; and</w:t>
      </w:r>
    </w:p>
    <w:p>
      <w:pPr>
        <w:pStyle w:val="Indenta"/>
      </w:pPr>
      <w:r>
        <w:tab/>
        <w:t>(e)</w:t>
      </w:r>
      <w:r>
        <w:tab/>
        <w:t xml:space="preserve">in the case of land that is in the management area of the Swan River Trust within the meaning of the </w:t>
      </w:r>
      <w:smartTag w:uri="urn:schemas-microsoft-com:office:smarttags" w:element="place">
        <w:smartTag w:uri="urn:schemas-microsoft-com:office:smarttags" w:element="PlaceName">
          <w:r>
            <w:rPr>
              <w:i/>
            </w:rPr>
            <w:t>Swan</w:t>
          </w:r>
        </w:smartTag>
        <w:r>
          <w:rPr>
            <w:i/>
          </w:rPr>
          <w:t xml:space="preserve"> </w:t>
        </w:r>
        <w:smartTag w:uri="urn:schemas-microsoft-com:office:smarttags" w:element="PlaceType">
          <w:r>
            <w:rPr>
              <w:i/>
            </w:rPr>
            <w:t>River</w:t>
          </w:r>
        </w:smartTag>
      </w:smartTag>
      <w:r>
        <w:rPr>
          <w:i/>
        </w:rPr>
        <w:t xml:space="preserve"> Trust Act 1988</w:t>
      </w:r>
      <w:r>
        <w:rPr>
          <w:iCs/>
          <w:vertAlign w:val="superscript"/>
        </w:rPr>
        <w:t> 2</w:t>
      </w:r>
      <w:r>
        <w:t>, after consultation with the Swan River Trust; and</w:t>
      </w:r>
    </w:p>
    <w:p>
      <w:pPr>
        <w:pStyle w:val="Indenta"/>
      </w:pPr>
      <w:r>
        <w:tab/>
        <w:t>(f)</w:t>
      </w:r>
      <w:r>
        <w:tab/>
        <w:t>in the case of land for the management of which an agreement is entered into under section 16</w:t>
      </w:r>
      <w:r>
        <w:rPr>
          <w:vertAlign w:val="superscript"/>
        </w:rPr>
        <w:t> 3</w:t>
      </w:r>
      <w:r>
        <w:t xml:space="preserve"> of the Act, consistently with the agreement; and</w:t>
      </w:r>
    </w:p>
    <w:p>
      <w:pPr>
        <w:pStyle w:val="Indenta"/>
      </w:pPr>
      <w:r>
        <w:tab/>
        <w:t>(g)</w:t>
      </w:r>
      <w:r>
        <w:tab/>
        <w:t xml:space="preserve">in the case of land in a public water catchment area, consistently with the provisions of the </w:t>
      </w:r>
      <w:r>
        <w:rPr>
          <w:i/>
        </w:rPr>
        <w:t>Country Areas Water Supply Act 1947</w:t>
      </w:r>
      <w:r>
        <w:t xml:space="preserve"> and the </w:t>
      </w:r>
      <w:r>
        <w:rPr>
          <w:i/>
        </w:rPr>
        <w:t>Metropolitan Water Supply, Sewerage, and Drainage Act 1909</w:t>
      </w:r>
      <w:r>
        <w:t xml:space="preserve"> relating to the protection of water quality; and</w:t>
      </w:r>
    </w:p>
    <w:p>
      <w:pPr>
        <w:pStyle w:val="Indenta"/>
      </w:pPr>
      <w:r>
        <w:tab/>
        <w:t>(h)</w:t>
      </w:r>
      <w:r>
        <w:tab/>
        <w:t>in conformity with section 33(3) of the Act.</w:t>
      </w:r>
    </w:p>
    <w:p>
      <w:pPr>
        <w:pStyle w:val="Subsection"/>
      </w:pPr>
      <w:r>
        <w:tab/>
        <w:t>(2)</w:t>
      </w:r>
      <w:r>
        <w:tab/>
        <w:t xml:space="preserve">In the case of land other than land classified under Part V Division 2 of the Act as a forest conservation area, subregulation (1)(a), (b) and (d) do not apply to the grant or renewal of a licence under this Part where — </w:t>
      </w:r>
    </w:p>
    <w:p>
      <w:pPr>
        <w:pStyle w:val="Indenta"/>
      </w:pPr>
      <w:r>
        <w:tab/>
        <w:t>(a)</w:t>
      </w:r>
      <w:r>
        <w:tab/>
        <w:t xml:space="preserve">the appropriate approval has been given under subregulation (1)(a) and, if applicable, the appropriate consultation has taken place under subregulation (1)(b) or (1)(d) for — </w:t>
      </w:r>
    </w:p>
    <w:p>
      <w:pPr>
        <w:pStyle w:val="Indenti"/>
      </w:pPr>
      <w:r>
        <w:tab/>
        <w:t>(i)</w:t>
      </w:r>
      <w:r>
        <w:tab/>
        <w:t>the grant under this Part of certain kinds of licences or certain numbers of licences; or</w:t>
      </w:r>
    </w:p>
    <w:p>
      <w:pPr>
        <w:pStyle w:val="Indenti"/>
      </w:pPr>
      <w:r>
        <w:tab/>
        <w:t>(ii)</w:t>
      </w:r>
      <w:r>
        <w:tab/>
        <w:t>the renewal, cancellation or suspension of, or the imposition or variation of terms or conditions attached to, a licence granted under this Part,</w:t>
      </w:r>
    </w:p>
    <w:p>
      <w:pPr>
        <w:pStyle w:val="Indenta"/>
      </w:pPr>
      <w:r>
        <w:tab/>
      </w:r>
      <w:r>
        <w:tab/>
        <w:t>and the licence granted or renewed is covered by the terms of that approval and, if applicable, that consultation; or</w:t>
      </w:r>
    </w:p>
    <w:p>
      <w:pPr>
        <w:pStyle w:val="Indenta"/>
      </w:pPr>
      <w:r>
        <w:tab/>
        <w:t>(b)</w:t>
      </w:r>
      <w:r>
        <w:tab/>
        <w:t xml:space="preserve">in the case of the renewal of a licence, the licence was granted under Part 5 of the </w:t>
      </w:r>
      <w:r>
        <w:rPr>
          <w:i/>
        </w:rPr>
        <w:t>Conservation and Land Management Regulations 1992</w:t>
      </w:r>
      <w:r>
        <w:rPr>
          <w:i/>
          <w:vertAlign w:val="superscript"/>
        </w:rPr>
        <w:t> </w:t>
      </w:r>
      <w:r>
        <w:rPr>
          <w:iCs/>
          <w:vertAlign w:val="superscript"/>
        </w:rPr>
        <w:t>4</w:t>
      </w:r>
      <w:r>
        <w:t>.</w:t>
      </w:r>
    </w:p>
    <w:p>
      <w:pPr>
        <w:pStyle w:val="Footnotesection"/>
      </w:pPr>
      <w:r>
        <w:tab/>
        <w:t>[Regulation 84 amended in Gazette 29 Sep 2006 p. 4319 and 4334.]</w:t>
      </w:r>
    </w:p>
    <w:p>
      <w:pPr>
        <w:pStyle w:val="Heading5"/>
        <w:spacing w:before="600"/>
      </w:pPr>
      <w:bookmarkStart w:id="252" w:name="_Toc408498876"/>
      <w:bookmarkStart w:id="253" w:name="_Toc417563726"/>
      <w:r>
        <w:rPr>
          <w:rStyle w:val="CharSectno"/>
        </w:rPr>
        <w:t>85</w:t>
      </w:r>
      <w:r>
        <w:rPr>
          <w:snapToGrid w:val="0"/>
        </w:rPr>
        <w:t>.</w:t>
      </w:r>
      <w:r>
        <w:rPr>
          <w:snapToGrid w:val="0"/>
        </w:rPr>
        <w:tab/>
        <w:t>Refusal to renew licence</w:t>
      </w:r>
      <w:bookmarkEnd w:id="252"/>
      <w:bookmarkEnd w:id="253"/>
    </w:p>
    <w:p>
      <w:pPr>
        <w:pStyle w:val="Subsection"/>
      </w:pPr>
      <w:r>
        <w:tab/>
        <w:t>(1)</w:t>
      </w:r>
      <w:r>
        <w:tab/>
        <w:t>A licence is not renewable as of right.</w:t>
      </w:r>
    </w:p>
    <w:p>
      <w:pPr>
        <w:pStyle w:val="Subsection"/>
      </w:pPr>
      <w:r>
        <w:tab/>
        <w:t>(2)</w:t>
      </w:r>
      <w:r>
        <w:tab/>
        <w:t xml:space="preserve">The CEO may, by written notice given to the person who held the licence, refuse to renew a licence on the grounds that — </w:t>
      </w:r>
    </w:p>
    <w:p>
      <w:pPr>
        <w:pStyle w:val="Indenta"/>
      </w:pPr>
      <w:r>
        <w:tab/>
        <w:t>(a)</w:t>
      </w:r>
      <w:r>
        <w:tab/>
        <w:t xml:space="preserve">the holder of the licence has been convicted of an offence against the Act or these regulations or the </w:t>
      </w:r>
      <w:r>
        <w:rPr>
          <w:i/>
        </w:rPr>
        <w:t>Wildlife Conservation Act 1950</w:t>
      </w:r>
      <w:r>
        <w:t xml:space="preserve"> or regulations made under that Act; or</w:t>
      </w:r>
    </w:p>
    <w:p>
      <w:pPr>
        <w:pStyle w:val="Indenta"/>
      </w:pPr>
      <w:r>
        <w:tab/>
        <w:t>(b)</w:t>
      </w:r>
      <w:r>
        <w:tab/>
        <w:t>a condition imposed upon the licence has been contravened; or</w:t>
      </w:r>
    </w:p>
    <w:p>
      <w:pPr>
        <w:pStyle w:val="Indenta"/>
      </w:pPr>
      <w:r>
        <w:tab/>
        <w:t>(c)</w:t>
      </w:r>
      <w:r>
        <w:tab/>
        <w:t>the licence was obtained by fraud or misrepresentation; or</w:t>
      </w:r>
    </w:p>
    <w:p>
      <w:pPr>
        <w:pStyle w:val="Indenta"/>
      </w:pPr>
      <w:r>
        <w:tab/>
        <w:t>(d)</w:t>
      </w:r>
      <w:r>
        <w:tab/>
        <w:t xml:space="preserve">in the interests of — </w:t>
      </w:r>
    </w:p>
    <w:p>
      <w:pPr>
        <w:pStyle w:val="Indenti"/>
      </w:pPr>
      <w:r>
        <w:tab/>
        <w:t>(i)</w:t>
      </w:r>
      <w:r>
        <w:tab/>
        <w:t>the protection, management or control of CALM land or assets on CALM land; or</w:t>
      </w:r>
    </w:p>
    <w:p>
      <w:pPr>
        <w:pStyle w:val="Indenti"/>
      </w:pPr>
      <w:r>
        <w:tab/>
        <w:t>(ii)</w:t>
      </w:r>
      <w:r>
        <w:tab/>
        <w:t>the protection of persons using CALM land; or</w:t>
      </w:r>
    </w:p>
    <w:p>
      <w:pPr>
        <w:pStyle w:val="Indenti"/>
      </w:pPr>
      <w:r>
        <w:tab/>
        <w:t>(iii)</w:t>
      </w:r>
      <w:r>
        <w:tab/>
        <w:t>the conservation, protection or proper management of fauna or flora,</w:t>
      </w:r>
    </w:p>
    <w:p>
      <w:pPr>
        <w:pStyle w:val="Indenta"/>
      </w:pPr>
      <w:r>
        <w:tab/>
      </w:r>
      <w:r>
        <w:tab/>
        <w:t>the operation of the licence should not be permitted to continue.</w:t>
      </w:r>
    </w:p>
    <w:p>
      <w:pPr>
        <w:pStyle w:val="Footnotesection"/>
      </w:pPr>
      <w:r>
        <w:tab/>
        <w:t>[Regulation 85 amended in Gazette 29 Sep 2006 p. 4334.]</w:t>
      </w:r>
    </w:p>
    <w:p>
      <w:pPr>
        <w:pStyle w:val="Heading5"/>
        <w:rPr>
          <w:snapToGrid w:val="0"/>
        </w:rPr>
      </w:pPr>
      <w:bookmarkStart w:id="254" w:name="_Toc408498877"/>
      <w:bookmarkStart w:id="255" w:name="_Toc417563727"/>
      <w:r>
        <w:rPr>
          <w:rStyle w:val="CharSectno"/>
        </w:rPr>
        <w:t>86</w:t>
      </w:r>
      <w:r>
        <w:rPr>
          <w:snapToGrid w:val="0"/>
        </w:rPr>
        <w:t>.</w:t>
      </w:r>
      <w:r>
        <w:rPr>
          <w:snapToGrid w:val="0"/>
        </w:rPr>
        <w:tab/>
        <w:t xml:space="preserve">Cancellation or suspension of licence by </w:t>
      </w:r>
      <w:r>
        <w:t>CEO</w:t>
      </w:r>
      <w:bookmarkEnd w:id="254"/>
      <w:bookmarkEnd w:id="255"/>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the person who holds a licence — </w:t>
      </w:r>
    </w:p>
    <w:p>
      <w:pPr>
        <w:pStyle w:val="Indenti"/>
        <w:rPr>
          <w:snapToGrid w:val="0"/>
        </w:rPr>
      </w:pPr>
      <w:r>
        <w:rPr>
          <w:snapToGrid w:val="0"/>
        </w:rPr>
        <w:tab/>
        <w:t>(i)</w:t>
      </w:r>
      <w:r>
        <w:rPr>
          <w:snapToGrid w:val="0"/>
        </w:rPr>
        <w:tab/>
        <w:t>contravenes a provision of the Act or these regulations or a condition or restriction to which the licence was subject; or</w:t>
      </w:r>
    </w:p>
    <w:p>
      <w:pPr>
        <w:pStyle w:val="Indenti"/>
        <w:rPr>
          <w:snapToGrid w:val="0"/>
        </w:rPr>
      </w:pPr>
      <w:r>
        <w:rPr>
          <w:snapToGrid w:val="0"/>
        </w:rPr>
        <w:tab/>
        <w:t>(ii)</w:t>
      </w:r>
      <w:r>
        <w:rPr>
          <w:snapToGrid w:val="0"/>
        </w:rPr>
        <w:tab/>
      </w:r>
      <w:r>
        <w:t xml:space="preserve">contravenes a provision of the </w:t>
      </w:r>
      <w:r>
        <w:rPr>
          <w:i/>
        </w:rPr>
        <w:t>Wildlife Conservation Act 1950</w:t>
      </w:r>
      <w:r>
        <w:t xml:space="preserve"> or regulations made under that Act;</w:t>
      </w:r>
      <w:r>
        <w:rPr>
          <w:snapToGrid w:val="0"/>
        </w:rPr>
        <w:t xml:space="preserve"> or</w:t>
      </w:r>
    </w:p>
    <w:p>
      <w:pPr>
        <w:pStyle w:val="Indenti"/>
        <w:rPr>
          <w:snapToGrid w:val="0"/>
        </w:rPr>
      </w:pPr>
      <w:r>
        <w:rPr>
          <w:snapToGrid w:val="0"/>
        </w:rPr>
        <w:tab/>
        <w:t>(iii)</w:t>
      </w:r>
      <w:r>
        <w:rPr>
          <w:snapToGrid w:val="0"/>
        </w:rPr>
        <w:tab/>
      </w:r>
      <w:r>
        <w:t xml:space="preserve">is otherwise in the opinion of the CEO </w:t>
      </w:r>
      <w:r>
        <w:rPr>
          <w:snapToGrid w:val="0"/>
        </w:rPr>
        <w:t xml:space="preserve">no longer a fit and proper person or otherwise suitable to hold the licence;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the </w:t>
      </w:r>
      <w:r>
        <w:t xml:space="preserve">CEO </w:t>
      </w:r>
      <w:r>
        <w:rPr>
          <w:snapToGrid w:val="0"/>
        </w:rPr>
        <w:t>considers that in the interests of — </w:t>
      </w:r>
    </w:p>
    <w:p>
      <w:pPr>
        <w:pStyle w:val="Indenti"/>
        <w:rPr>
          <w:snapToGrid w:val="0"/>
        </w:rPr>
      </w:pPr>
      <w:r>
        <w:rPr>
          <w:snapToGrid w:val="0"/>
        </w:rPr>
        <w:tab/>
        <w:t>(i)</w:t>
      </w:r>
      <w:r>
        <w:rPr>
          <w:snapToGrid w:val="0"/>
        </w:rPr>
        <w:tab/>
        <w:t>the protection, management or control of CALM land or assets on CALM land; or</w:t>
      </w:r>
    </w:p>
    <w:p>
      <w:pPr>
        <w:pStyle w:val="Indenti"/>
        <w:rPr>
          <w:snapToGrid w:val="0"/>
        </w:rPr>
      </w:pPr>
      <w:r>
        <w:rPr>
          <w:snapToGrid w:val="0"/>
        </w:rPr>
        <w:tab/>
        <w:t>(ii)</w:t>
      </w:r>
      <w:r>
        <w:rPr>
          <w:snapToGrid w:val="0"/>
        </w:rPr>
        <w:tab/>
        <w:t>the protection or management of persons using CALM land; or</w:t>
      </w:r>
    </w:p>
    <w:p>
      <w:pPr>
        <w:pStyle w:val="Indenti"/>
        <w:rPr>
          <w:snapToGrid w:val="0"/>
        </w:rPr>
      </w:pPr>
      <w:r>
        <w:rPr>
          <w:snapToGrid w:val="0"/>
        </w:rPr>
        <w:tab/>
        <w:t>(iii)</w:t>
      </w:r>
      <w:r>
        <w:rPr>
          <w:snapToGrid w:val="0"/>
        </w:rPr>
        <w:tab/>
        <w:t xml:space="preserve">the conservation, protection or proper management of fauna or flora, </w:t>
      </w:r>
    </w:p>
    <w:p>
      <w:pPr>
        <w:pStyle w:val="Indenta"/>
        <w:rPr>
          <w:snapToGrid w:val="0"/>
        </w:rPr>
      </w:pPr>
      <w:r>
        <w:rPr>
          <w:snapToGrid w:val="0"/>
        </w:rPr>
        <w:tab/>
      </w:r>
      <w:r>
        <w:rPr>
          <w:snapToGrid w:val="0"/>
        </w:rPr>
        <w:tab/>
        <w:t>a licence should be suspended or cancelled,</w:t>
      </w:r>
    </w:p>
    <w:p>
      <w:pPr>
        <w:pStyle w:val="Subsection"/>
        <w:rPr>
          <w:snapToGrid w:val="0"/>
        </w:rPr>
      </w:pPr>
      <w:r>
        <w:rPr>
          <w:snapToGrid w:val="0"/>
        </w:rPr>
        <w:tab/>
      </w:r>
      <w:r>
        <w:rPr>
          <w:snapToGrid w:val="0"/>
        </w:rPr>
        <w:tab/>
        <w:t xml:space="preserve">the </w:t>
      </w:r>
      <w:r>
        <w:t xml:space="preserve">CEO </w:t>
      </w:r>
      <w:r>
        <w:rPr>
          <w:snapToGrid w:val="0"/>
        </w:rPr>
        <w:t xml:space="preserve">may, by written notice given to the person, cancel the licence or suspend it for such period as the </w:t>
      </w:r>
      <w:r>
        <w:t xml:space="preserve">CEO </w:t>
      </w:r>
      <w:r>
        <w:rPr>
          <w:snapToGrid w:val="0"/>
        </w:rPr>
        <w:t>thinks fit.</w:t>
      </w:r>
    </w:p>
    <w:p>
      <w:pPr>
        <w:pStyle w:val="Subsection"/>
        <w:rPr>
          <w:snapToGrid w:val="0"/>
        </w:rPr>
      </w:pPr>
      <w:r>
        <w:rPr>
          <w:snapToGrid w:val="0"/>
        </w:rPr>
        <w:tab/>
        <w:t>(2)</w:t>
      </w:r>
      <w:r>
        <w:rPr>
          <w:snapToGrid w:val="0"/>
        </w:rPr>
        <w:tab/>
        <w:t>A suspension of a licence may relate to the doing of some, but not all, of the things authorised by the licence.</w:t>
      </w:r>
    </w:p>
    <w:p>
      <w:pPr>
        <w:pStyle w:val="Footnotesection"/>
      </w:pPr>
      <w:r>
        <w:tab/>
        <w:t>[Regulation 86 amended in Gazette 29 Sep 2006 p. 4334.]</w:t>
      </w:r>
    </w:p>
    <w:p>
      <w:pPr>
        <w:pStyle w:val="Heading5"/>
        <w:rPr>
          <w:snapToGrid w:val="0"/>
        </w:rPr>
      </w:pPr>
      <w:bookmarkStart w:id="256" w:name="_Toc408498878"/>
      <w:bookmarkStart w:id="257" w:name="_Toc417563728"/>
      <w:r>
        <w:rPr>
          <w:rStyle w:val="CharSectno"/>
        </w:rPr>
        <w:t>87</w:t>
      </w:r>
      <w:r>
        <w:rPr>
          <w:snapToGrid w:val="0"/>
        </w:rPr>
        <w:t>.</w:t>
      </w:r>
      <w:r>
        <w:rPr>
          <w:snapToGrid w:val="0"/>
        </w:rPr>
        <w:tab/>
        <w:t>Notice of proposed cancellation or suspension</w:t>
      </w:r>
      <w:bookmarkEnd w:id="256"/>
      <w:bookmarkEnd w:id="257"/>
      <w:r>
        <w:rPr>
          <w:snapToGrid w:val="0"/>
        </w:rPr>
        <w:t xml:space="preserve"> </w:t>
      </w:r>
    </w:p>
    <w:p>
      <w:pPr>
        <w:pStyle w:val="Subsection"/>
        <w:rPr>
          <w:snapToGrid w:val="0"/>
        </w:rPr>
      </w:pPr>
      <w:r>
        <w:rPr>
          <w:snapToGrid w:val="0"/>
        </w:rPr>
        <w:tab/>
        <w:t>(1)</w:t>
      </w:r>
      <w:r>
        <w:rPr>
          <w:snapToGrid w:val="0"/>
        </w:rPr>
        <w:tab/>
        <w:t xml:space="preserve">If the </w:t>
      </w:r>
      <w:r>
        <w:t xml:space="preserve">CEO </w:t>
      </w:r>
      <w:r>
        <w:rPr>
          <w:snapToGrid w:val="0"/>
        </w:rPr>
        <w:t xml:space="preserve">proposes to cancel or suspend a licence, the </w:t>
      </w:r>
      <w:r>
        <w:t xml:space="preserve">CEO </w:t>
      </w:r>
      <w:r>
        <w:rPr>
          <w:snapToGrid w:val="0"/>
        </w:rPr>
        <w:t>is to give to the holder of the licence written notice of the proposal and the CEO’s reasons for the proposal.</w:t>
      </w:r>
    </w:p>
    <w:p>
      <w:pPr>
        <w:pStyle w:val="Subsection"/>
        <w:rPr>
          <w:snapToGrid w:val="0"/>
        </w:rPr>
      </w:pPr>
      <w:r>
        <w:rPr>
          <w:snapToGrid w:val="0"/>
        </w:rPr>
        <w:tab/>
        <w:t>(2)</w:t>
      </w:r>
      <w:r>
        <w:rPr>
          <w:snapToGrid w:val="0"/>
        </w:rPr>
        <w:tab/>
        <w:t xml:space="preserve">A notice given under subregulation (1) is to state that within a specified number of days after the notice is given, the person to whom it is given may make written representations to the </w:t>
      </w:r>
      <w:r>
        <w:t xml:space="preserve">CEO </w:t>
      </w:r>
      <w:r>
        <w:rPr>
          <w:snapToGrid w:val="0"/>
        </w:rPr>
        <w:t xml:space="preserve">concerning the proposal and the </w:t>
      </w:r>
      <w:r>
        <w:t xml:space="preserve">CEO </w:t>
      </w:r>
      <w:r>
        <w:rPr>
          <w:snapToGrid w:val="0"/>
        </w:rPr>
        <w:t>is not to give effect to the proposal without considering any representations received within that period.</w:t>
      </w:r>
    </w:p>
    <w:p>
      <w:pPr>
        <w:pStyle w:val="Subsection"/>
        <w:rPr>
          <w:snapToGrid w:val="0"/>
        </w:rPr>
      </w:pPr>
      <w:r>
        <w:rPr>
          <w:snapToGrid w:val="0"/>
        </w:rPr>
        <w:tab/>
        <w:t>(3)</w:t>
      </w:r>
      <w:r>
        <w:rPr>
          <w:snapToGrid w:val="0"/>
        </w:rPr>
        <w:tab/>
        <w:t>The number of days to be specified in a notice under subregulation (2) is to be not less than — </w:t>
      </w:r>
    </w:p>
    <w:p>
      <w:pPr>
        <w:pStyle w:val="Indenta"/>
        <w:rPr>
          <w:snapToGrid w:val="0"/>
        </w:rPr>
      </w:pPr>
      <w:r>
        <w:rPr>
          <w:snapToGrid w:val="0"/>
        </w:rPr>
        <w:tab/>
        <w:t>(a)</w:t>
      </w:r>
      <w:r>
        <w:rPr>
          <w:snapToGrid w:val="0"/>
        </w:rPr>
        <w:tab/>
        <w:t>21 days in the case of a proposal to cancel a licence; or</w:t>
      </w:r>
    </w:p>
    <w:p>
      <w:pPr>
        <w:pStyle w:val="Indenta"/>
        <w:rPr>
          <w:snapToGrid w:val="0"/>
        </w:rPr>
      </w:pPr>
      <w:r>
        <w:rPr>
          <w:snapToGrid w:val="0"/>
        </w:rPr>
        <w:tab/>
        <w:t>(b)</w:t>
      </w:r>
      <w:r>
        <w:rPr>
          <w:snapToGrid w:val="0"/>
        </w:rPr>
        <w:tab/>
        <w:t>7 days in the case of a proposal to suspend a licence.</w:t>
      </w:r>
    </w:p>
    <w:p>
      <w:pPr>
        <w:pStyle w:val="Subsection"/>
        <w:rPr>
          <w:snapToGrid w:val="0"/>
        </w:rPr>
      </w:pPr>
      <w:r>
        <w:rPr>
          <w:snapToGrid w:val="0"/>
        </w:rPr>
        <w:tab/>
        <w:t>(4)</w:t>
      </w:r>
      <w:r>
        <w:rPr>
          <w:snapToGrid w:val="0"/>
        </w:rPr>
        <w:tab/>
        <w:t xml:space="preserve">If for any reason a notice cannot be given to a person under subregulation (1), when read with section 76 of the </w:t>
      </w:r>
      <w:r>
        <w:rPr>
          <w:i/>
          <w:snapToGrid w:val="0"/>
        </w:rPr>
        <w:t>Interpretation Act 1984</w:t>
      </w:r>
      <w:r>
        <w:rPr>
          <w:snapToGrid w:val="0"/>
        </w:rPr>
        <w:t>,</w:t>
      </w:r>
      <w:r>
        <w:rPr>
          <w:i/>
          <w:snapToGrid w:val="0"/>
        </w:rPr>
        <w:t xml:space="preserve"> </w:t>
      </w:r>
      <w:r>
        <w:rPr>
          <w:snapToGrid w:val="0"/>
        </w:rPr>
        <w:t xml:space="preserve">the </w:t>
      </w:r>
      <w:r>
        <w:t xml:space="preserve">CEO </w:t>
      </w:r>
      <w:r>
        <w:rPr>
          <w:snapToGrid w:val="0"/>
        </w:rPr>
        <w:t>may give the notice to that person by publishing a copy of the notice addressed to that person in a newspaper circulating in the area in which the person was last known to be.</w:t>
      </w:r>
    </w:p>
    <w:p>
      <w:pPr>
        <w:pStyle w:val="Footnotesection"/>
        <w:spacing w:before="100"/>
      </w:pPr>
      <w:r>
        <w:tab/>
        <w:t>[Regulation 87 amended in Gazette 29 Sep 2006 p. 4319 and 4334.]</w:t>
      </w:r>
    </w:p>
    <w:p>
      <w:pPr>
        <w:pStyle w:val="Heading5"/>
        <w:spacing w:before="240"/>
        <w:rPr>
          <w:snapToGrid w:val="0"/>
        </w:rPr>
      </w:pPr>
      <w:bookmarkStart w:id="258" w:name="_Toc408498879"/>
      <w:bookmarkStart w:id="259" w:name="_Toc417563729"/>
      <w:r>
        <w:rPr>
          <w:rStyle w:val="CharSectno"/>
        </w:rPr>
        <w:t>88</w:t>
      </w:r>
      <w:r>
        <w:rPr>
          <w:snapToGrid w:val="0"/>
        </w:rPr>
        <w:t>.</w:t>
      </w:r>
      <w:r>
        <w:rPr>
          <w:snapToGrid w:val="0"/>
        </w:rPr>
        <w:tab/>
        <w:t>Return of licence</w:t>
      </w:r>
      <w:bookmarkEnd w:id="258"/>
      <w:bookmarkEnd w:id="259"/>
      <w:r>
        <w:rPr>
          <w:snapToGrid w:val="0"/>
        </w:rPr>
        <w:t xml:space="preserve"> </w:t>
      </w:r>
    </w:p>
    <w:p>
      <w:pPr>
        <w:pStyle w:val="Subsection"/>
        <w:spacing w:before="150"/>
        <w:rPr>
          <w:snapToGrid w:val="0"/>
        </w:rPr>
      </w:pPr>
      <w:r>
        <w:rPr>
          <w:snapToGrid w:val="0"/>
        </w:rPr>
        <w:tab/>
        <w:t>(1)</w:t>
      </w:r>
      <w:r>
        <w:rPr>
          <w:snapToGrid w:val="0"/>
        </w:rPr>
        <w:tab/>
        <w:t xml:space="preserve">The </w:t>
      </w:r>
      <w:r>
        <w:t xml:space="preserve">CEO </w:t>
      </w:r>
      <w:r>
        <w:rPr>
          <w:snapToGrid w:val="0"/>
        </w:rPr>
        <w:t xml:space="preserve">may require the holder of a licence to return the licence to the </w:t>
      </w:r>
      <w:r>
        <w:t xml:space="preserve">CEO </w:t>
      </w:r>
      <w:r>
        <w:rPr>
          <w:snapToGrid w:val="0"/>
        </w:rPr>
        <w:t>where the licence has been cancelled, suspended or has not been renewed.</w:t>
      </w:r>
    </w:p>
    <w:p>
      <w:pPr>
        <w:pStyle w:val="Subsection"/>
        <w:spacing w:before="150"/>
        <w:rPr>
          <w:snapToGrid w:val="0"/>
        </w:rPr>
      </w:pPr>
      <w:r>
        <w:rPr>
          <w:snapToGrid w:val="0"/>
        </w:rPr>
        <w:tab/>
        <w:t>(2)</w:t>
      </w:r>
      <w:r>
        <w:rPr>
          <w:snapToGrid w:val="0"/>
        </w:rPr>
        <w:tab/>
        <w:t xml:space="preserve">A person must comply with a requirement made of that person by the </w:t>
      </w:r>
      <w:r>
        <w:t xml:space="preserve">CEO </w:t>
      </w:r>
      <w:r>
        <w:rPr>
          <w:snapToGrid w:val="0"/>
        </w:rPr>
        <w:t>under subregulation (1).</w:t>
      </w:r>
    </w:p>
    <w:p>
      <w:pPr>
        <w:pStyle w:val="Penstart"/>
        <w:rPr>
          <w:snapToGrid w:val="0"/>
        </w:rPr>
      </w:pPr>
      <w:r>
        <w:rPr>
          <w:snapToGrid w:val="0"/>
        </w:rPr>
        <w:tab/>
        <w:t>Penalty:</w:t>
      </w:r>
      <w:r>
        <w:t xml:space="preserve"> a fine of</w:t>
      </w:r>
      <w:r>
        <w:rPr>
          <w:snapToGrid w:val="0"/>
        </w:rPr>
        <w:t xml:space="preserve"> $500.</w:t>
      </w:r>
    </w:p>
    <w:p>
      <w:pPr>
        <w:pStyle w:val="Footnotesection"/>
        <w:spacing w:before="100"/>
      </w:pPr>
      <w:r>
        <w:tab/>
        <w:t>[Regulation 88 amended in Gazette 29 Sep 2006 p. 4334; 3 Dec 2010 p. 6052</w:t>
      </w:r>
      <w:r>
        <w:noBreakHyphen/>
        <w:t>4.]</w:t>
      </w:r>
    </w:p>
    <w:p>
      <w:pPr>
        <w:pStyle w:val="Heading3"/>
      </w:pPr>
      <w:bookmarkStart w:id="260" w:name="_Toc408498880"/>
      <w:bookmarkStart w:id="261" w:name="_Toc414889302"/>
      <w:bookmarkStart w:id="262" w:name="_Toc414975248"/>
      <w:bookmarkStart w:id="263" w:name="_Toc417563730"/>
      <w:r>
        <w:rPr>
          <w:rStyle w:val="CharDivNo"/>
        </w:rPr>
        <w:t>Division 2</w:t>
      </w:r>
      <w:r>
        <w:rPr>
          <w:snapToGrid w:val="0"/>
        </w:rPr>
        <w:t xml:space="preserve"> — </w:t>
      </w:r>
      <w:r>
        <w:rPr>
          <w:rStyle w:val="CharDivText"/>
        </w:rPr>
        <w:t>Scientific purposes licences</w:t>
      </w:r>
      <w:bookmarkEnd w:id="260"/>
      <w:bookmarkEnd w:id="261"/>
      <w:bookmarkEnd w:id="262"/>
      <w:bookmarkEnd w:id="263"/>
      <w:r>
        <w:rPr>
          <w:rStyle w:val="CharDivText"/>
        </w:rPr>
        <w:t xml:space="preserve"> </w:t>
      </w:r>
    </w:p>
    <w:p>
      <w:pPr>
        <w:pStyle w:val="Heading5"/>
        <w:spacing w:before="240"/>
        <w:rPr>
          <w:snapToGrid w:val="0"/>
        </w:rPr>
      </w:pPr>
      <w:bookmarkStart w:id="264" w:name="_Toc408498881"/>
      <w:bookmarkStart w:id="265" w:name="_Toc417563731"/>
      <w:r>
        <w:rPr>
          <w:rStyle w:val="CharSectno"/>
        </w:rPr>
        <w:t>89</w:t>
      </w:r>
      <w:r>
        <w:rPr>
          <w:snapToGrid w:val="0"/>
        </w:rPr>
        <w:t>.</w:t>
      </w:r>
      <w:r>
        <w:rPr>
          <w:snapToGrid w:val="0"/>
        </w:rPr>
        <w:tab/>
        <w:t>Scientific purposes licence</w:t>
      </w:r>
      <w:bookmarkEnd w:id="264"/>
      <w:bookmarkEnd w:id="265"/>
      <w:r>
        <w:rPr>
          <w:snapToGrid w:val="0"/>
        </w:rPr>
        <w:t xml:space="preserve"> </w:t>
      </w:r>
    </w:p>
    <w:p>
      <w:pPr>
        <w:pStyle w:val="Subsection"/>
        <w:spacing w:before="150"/>
        <w:rPr>
          <w:snapToGrid w:val="0"/>
        </w:rPr>
      </w:pPr>
      <w:r>
        <w:rPr>
          <w:snapToGrid w:val="0"/>
        </w:rPr>
        <w:tab/>
      </w:r>
      <w:r>
        <w:rPr>
          <w:snapToGrid w:val="0"/>
        </w:rPr>
        <w:tab/>
        <w:t xml:space="preserve">The </w:t>
      </w:r>
      <w:r>
        <w:t xml:space="preserve">CEO </w:t>
      </w:r>
      <w:r>
        <w:rPr>
          <w:snapToGrid w:val="0"/>
        </w:rPr>
        <w:t>may grant a licence to take flora and fauna (including fish and pearl oyster) in a marine nature reserve, marine park or marine management area for scientific purposes.</w:t>
      </w:r>
    </w:p>
    <w:p>
      <w:pPr>
        <w:pStyle w:val="Footnotesection"/>
        <w:spacing w:before="100"/>
      </w:pPr>
      <w:r>
        <w:tab/>
        <w:t>[Regulation 89 amended in Gazette 29 Sep 2006 p. 4334.]</w:t>
      </w:r>
    </w:p>
    <w:p>
      <w:pPr>
        <w:pStyle w:val="Heading5"/>
        <w:spacing w:before="240"/>
        <w:rPr>
          <w:snapToGrid w:val="0"/>
        </w:rPr>
      </w:pPr>
      <w:bookmarkStart w:id="266" w:name="_Toc408498882"/>
      <w:bookmarkStart w:id="267" w:name="_Toc417563732"/>
      <w:r>
        <w:rPr>
          <w:rStyle w:val="CharSectno"/>
        </w:rPr>
        <w:t>90</w:t>
      </w:r>
      <w:r>
        <w:rPr>
          <w:snapToGrid w:val="0"/>
        </w:rPr>
        <w:t>.</w:t>
      </w:r>
      <w:r>
        <w:rPr>
          <w:snapToGrid w:val="0"/>
        </w:rPr>
        <w:tab/>
        <w:t>Application for scientific purposes licence</w:t>
      </w:r>
      <w:bookmarkEnd w:id="266"/>
      <w:bookmarkEnd w:id="267"/>
      <w:r>
        <w:rPr>
          <w:snapToGrid w:val="0"/>
        </w:rPr>
        <w:t xml:space="preserve"> </w:t>
      </w:r>
    </w:p>
    <w:p>
      <w:pPr>
        <w:pStyle w:val="Subsection"/>
        <w:rPr>
          <w:snapToGrid w:val="0"/>
        </w:rPr>
      </w:pPr>
      <w:r>
        <w:rPr>
          <w:snapToGrid w:val="0"/>
        </w:rPr>
        <w:tab/>
      </w:r>
      <w:r>
        <w:rPr>
          <w:snapToGrid w:val="0"/>
        </w:rPr>
        <w:tab/>
        <w:t xml:space="preserve">An application for a scientific purposes licence is to specify the flora and fauna the applicant proposes to take. </w:t>
      </w:r>
    </w:p>
    <w:p>
      <w:pPr>
        <w:pStyle w:val="Heading5"/>
        <w:spacing w:before="240"/>
        <w:rPr>
          <w:snapToGrid w:val="0"/>
        </w:rPr>
      </w:pPr>
      <w:bookmarkStart w:id="268" w:name="_Toc408498883"/>
      <w:bookmarkStart w:id="269" w:name="_Toc417563733"/>
      <w:r>
        <w:rPr>
          <w:rStyle w:val="CharSectno"/>
        </w:rPr>
        <w:t>91</w:t>
      </w:r>
      <w:r>
        <w:rPr>
          <w:snapToGrid w:val="0"/>
        </w:rPr>
        <w:t>.</w:t>
      </w:r>
      <w:r>
        <w:rPr>
          <w:snapToGrid w:val="0"/>
        </w:rPr>
        <w:tab/>
        <w:t>Duration of scientific purposes licence</w:t>
      </w:r>
      <w:bookmarkEnd w:id="268"/>
      <w:bookmarkEnd w:id="269"/>
      <w:r>
        <w:rPr>
          <w:snapToGrid w:val="0"/>
        </w:rPr>
        <w:t xml:space="preserve"> </w:t>
      </w:r>
    </w:p>
    <w:p>
      <w:pPr>
        <w:pStyle w:val="Subsection"/>
        <w:rPr>
          <w:snapToGrid w:val="0"/>
        </w:rPr>
      </w:pPr>
      <w:r>
        <w:rPr>
          <w:snapToGrid w:val="0"/>
        </w:rPr>
        <w:tab/>
      </w:r>
      <w:r>
        <w:rPr>
          <w:snapToGrid w:val="0"/>
        </w:rPr>
        <w:tab/>
        <w:t>Subject to this Part, a scientific purposes licence remains current for the period specified in the licence.</w:t>
      </w:r>
    </w:p>
    <w:p>
      <w:pPr>
        <w:pStyle w:val="Heading5"/>
        <w:rPr>
          <w:snapToGrid w:val="0"/>
        </w:rPr>
      </w:pPr>
      <w:bookmarkStart w:id="270" w:name="_Toc408498884"/>
      <w:bookmarkStart w:id="271" w:name="_Toc417563734"/>
      <w:r>
        <w:rPr>
          <w:rStyle w:val="CharSectno"/>
        </w:rPr>
        <w:t>92</w:t>
      </w:r>
      <w:r>
        <w:rPr>
          <w:snapToGrid w:val="0"/>
        </w:rPr>
        <w:t>.</w:t>
      </w:r>
      <w:r>
        <w:rPr>
          <w:snapToGrid w:val="0"/>
        </w:rPr>
        <w:tab/>
        <w:t>Renewal of scientific purposes licence</w:t>
      </w:r>
      <w:bookmarkEnd w:id="270"/>
      <w:bookmarkEnd w:id="271"/>
    </w:p>
    <w:p>
      <w:pPr>
        <w:pStyle w:val="Subsection"/>
        <w:spacing w:before="180"/>
      </w:pPr>
      <w:r>
        <w:tab/>
      </w:r>
      <w:r>
        <w:tab/>
        <w:t>The CEO may, on payment of the appropriate fee specified in Schedule 1 Division 8, renew the scientific purposes licence of any person for a further period determined by the CEO.</w:t>
      </w:r>
    </w:p>
    <w:p>
      <w:pPr>
        <w:pStyle w:val="Footnotesection"/>
      </w:pPr>
      <w:r>
        <w:tab/>
        <w:t>[Regulation 92 amended in Gazette 29 Sep 2006 p. 4334.]</w:t>
      </w:r>
    </w:p>
    <w:p>
      <w:pPr>
        <w:pStyle w:val="Heading5"/>
        <w:spacing w:before="240"/>
        <w:rPr>
          <w:snapToGrid w:val="0"/>
        </w:rPr>
      </w:pPr>
      <w:bookmarkStart w:id="272" w:name="_Toc408498885"/>
      <w:bookmarkStart w:id="273" w:name="_Toc417563735"/>
      <w:r>
        <w:rPr>
          <w:rStyle w:val="CharSectno"/>
        </w:rPr>
        <w:t>93</w:t>
      </w:r>
      <w:r>
        <w:rPr>
          <w:snapToGrid w:val="0"/>
        </w:rPr>
        <w:t>.</w:t>
      </w:r>
      <w:r>
        <w:rPr>
          <w:snapToGrid w:val="0"/>
        </w:rPr>
        <w:tab/>
        <w:t>Conditions and restrictions</w:t>
      </w:r>
      <w:bookmarkEnd w:id="272"/>
      <w:bookmarkEnd w:id="273"/>
      <w:r>
        <w:rPr>
          <w:snapToGrid w:val="0"/>
        </w:rPr>
        <w:t xml:space="preserve"> </w:t>
      </w:r>
    </w:p>
    <w:p>
      <w:pPr>
        <w:pStyle w:val="Subsection"/>
        <w:spacing w:before="180"/>
        <w:rPr>
          <w:snapToGrid w:val="0"/>
        </w:rPr>
      </w:pPr>
      <w:r>
        <w:rPr>
          <w:snapToGrid w:val="0"/>
        </w:rPr>
        <w:tab/>
        <w:t>(1)</w:t>
      </w:r>
      <w:r>
        <w:rPr>
          <w:snapToGrid w:val="0"/>
        </w:rPr>
        <w:tab/>
        <w:t xml:space="preserve">A scientific purposes licence may be granted subject to such conditions and restrictions as the </w:t>
      </w:r>
      <w:r>
        <w:t xml:space="preserve">CEO </w:t>
      </w:r>
      <w:r>
        <w:rPr>
          <w:snapToGrid w:val="0"/>
        </w:rPr>
        <w:t>thinks fit, including conditions and restrictions as to — </w:t>
      </w:r>
    </w:p>
    <w:p>
      <w:pPr>
        <w:pStyle w:val="Indenta"/>
        <w:rPr>
          <w:snapToGrid w:val="0"/>
        </w:rPr>
      </w:pPr>
      <w:r>
        <w:rPr>
          <w:snapToGrid w:val="0"/>
        </w:rPr>
        <w:tab/>
        <w:t>(a)</w:t>
      </w:r>
      <w:r>
        <w:rPr>
          <w:snapToGrid w:val="0"/>
        </w:rPr>
        <w:tab/>
        <w:t>the marine nature reserves, marine parks and marine management areas in which the holder of the licence may take flora and fauna for scientific purposes; and</w:t>
      </w:r>
    </w:p>
    <w:p>
      <w:pPr>
        <w:pStyle w:val="Indenta"/>
        <w:rPr>
          <w:snapToGrid w:val="0"/>
        </w:rPr>
      </w:pPr>
      <w:r>
        <w:rPr>
          <w:snapToGrid w:val="0"/>
        </w:rPr>
        <w:tab/>
        <w:t>(b)</w:t>
      </w:r>
      <w:r>
        <w:rPr>
          <w:snapToGrid w:val="0"/>
        </w:rPr>
        <w:tab/>
        <w:t>the scientific purposes for which the flora and fauna may be used; and</w:t>
      </w:r>
    </w:p>
    <w:p>
      <w:pPr>
        <w:pStyle w:val="Indenta"/>
        <w:rPr>
          <w:snapToGrid w:val="0"/>
        </w:rPr>
      </w:pPr>
      <w:r>
        <w:rPr>
          <w:snapToGrid w:val="0"/>
        </w:rPr>
        <w:tab/>
        <w:t>(c)</w:t>
      </w:r>
      <w:r>
        <w:rPr>
          <w:snapToGrid w:val="0"/>
        </w:rPr>
        <w:tab/>
        <w:t>the species, and the greatest number of each or any species, that may be taken, held or disposed of; and</w:t>
      </w:r>
    </w:p>
    <w:p>
      <w:pPr>
        <w:pStyle w:val="Indenta"/>
        <w:rPr>
          <w:snapToGrid w:val="0"/>
        </w:rPr>
      </w:pPr>
      <w:r>
        <w:rPr>
          <w:snapToGrid w:val="0"/>
        </w:rPr>
        <w:tab/>
        <w:t>(d)</w:t>
      </w:r>
      <w:r>
        <w:rPr>
          <w:snapToGrid w:val="0"/>
        </w:rPr>
        <w:tab/>
        <w:t>the part or parts of the State in which the flora or fauna may be taken, held or released.</w:t>
      </w:r>
    </w:p>
    <w:p>
      <w:pPr>
        <w:pStyle w:val="Subsection"/>
        <w:spacing w:before="180"/>
        <w:rPr>
          <w:snapToGrid w:val="0"/>
        </w:rPr>
      </w:pPr>
      <w:r>
        <w:rPr>
          <w:snapToGrid w:val="0"/>
        </w:rPr>
        <w:tab/>
        <w:t>(2)</w:t>
      </w:r>
      <w:r>
        <w:rPr>
          <w:snapToGrid w:val="0"/>
        </w:rPr>
        <w:tab/>
        <w:t xml:space="preserve">The </w:t>
      </w:r>
      <w:r>
        <w:t xml:space="preserve">CEO </w:t>
      </w:r>
      <w:r>
        <w:rPr>
          <w:snapToGrid w:val="0"/>
        </w:rPr>
        <w:t xml:space="preserve">is not to impose any restrictions on the taking, in a marine park or marine management area — </w:t>
      </w:r>
    </w:p>
    <w:p>
      <w:pPr>
        <w:pStyle w:val="Indenta"/>
      </w:pPr>
      <w:r>
        <w:tab/>
        <w:t>(a)</w:t>
      </w:r>
      <w:r>
        <w:tab/>
        <w:t xml:space="preserve">of fish within the meaning of the </w:t>
      </w:r>
      <w:r>
        <w:rPr>
          <w:i/>
        </w:rPr>
        <w:t>Fish Resources Management Act 1994</w:t>
      </w:r>
      <w:r>
        <w:t>, in accordance with the provisions of that Act relating to aquaculture or commercial or recreational fishing; or</w:t>
      </w:r>
    </w:p>
    <w:p>
      <w:pPr>
        <w:pStyle w:val="Indenta"/>
      </w:pPr>
      <w:r>
        <w:tab/>
        <w:t>(b)</w:t>
      </w:r>
      <w:r>
        <w:tab/>
        <w:t xml:space="preserve">of pearl oyster, within the meaning of the </w:t>
      </w:r>
      <w:r>
        <w:rPr>
          <w:i/>
        </w:rPr>
        <w:t>Pearling Act 1990</w:t>
      </w:r>
      <w:r>
        <w:t xml:space="preserve">, in accordance with that Act. </w:t>
      </w:r>
    </w:p>
    <w:p>
      <w:pPr>
        <w:pStyle w:val="Subsection"/>
      </w:pPr>
      <w:r>
        <w:tab/>
        <w:t>(3)</w:t>
      </w:r>
      <w:r>
        <w:tab/>
        <w:t>The prohibition in subregulation (2)(a) does not include a restriction that relates to conduct or activity other than the taking of fish but that incidentally affects the taking of fish.</w:t>
      </w:r>
    </w:p>
    <w:p>
      <w:pPr>
        <w:pStyle w:val="Subsection"/>
        <w:keepNext/>
        <w:rPr>
          <w:snapToGrid w:val="0"/>
        </w:rPr>
      </w:pPr>
      <w:r>
        <w:rPr>
          <w:snapToGrid w:val="0"/>
        </w:rPr>
        <w:tab/>
        <w:t>(4)</w:t>
      </w:r>
      <w:r>
        <w:rPr>
          <w:snapToGrid w:val="0"/>
        </w:rPr>
        <w:tab/>
        <w:t>Where a scientific purposes licence is granted subject to conditions or restrictions, those conditions or restrictions — </w:t>
      </w:r>
    </w:p>
    <w:p>
      <w:pPr>
        <w:pStyle w:val="Indenta"/>
        <w:rPr>
          <w:snapToGrid w:val="0"/>
        </w:rPr>
      </w:pPr>
      <w:r>
        <w:rPr>
          <w:snapToGrid w:val="0"/>
        </w:rPr>
        <w:tab/>
        <w:t>(a)</w:t>
      </w:r>
      <w:r>
        <w:rPr>
          <w:snapToGrid w:val="0"/>
        </w:rPr>
        <w:tab/>
        <w:t>are to be endorsed upon or attached to the licence when granted; and</w:t>
      </w:r>
    </w:p>
    <w:p>
      <w:pPr>
        <w:pStyle w:val="Indenta"/>
        <w:rPr>
          <w:snapToGrid w:val="0"/>
        </w:rPr>
      </w:pPr>
      <w:r>
        <w:rPr>
          <w:snapToGrid w:val="0"/>
        </w:rPr>
        <w:tab/>
        <w:t>(b)</w:t>
      </w:r>
      <w:r>
        <w:rPr>
          <w:snapToGrid w:val="0"/>
        </w:rPr>
        <w:tab/>
        <w:t xml:space="preserve">may be added to, cancelled, suspended and otherwise varied by the </w:t>
      </w:r>
      <w:r>
        <w:t xml:space="preserve">CEO </w:t>
      </w:r>
      <w:r>
        <w:rPr>
          <w:snapToGrid w:val="0"/>
        </w:rPr>
        <w:t>from time to time during the operation of the licence.</w:t>
      </w:r>
    </w:p>
    <w:p>
      <w:pPr>
        <w:pStyle w:val="Subsection"/>
        <w:rPr>
          <w:snapToGrid w:val="0"/>
        </w:rPr>
      </w:pPr>
      <w:r>
        <w:rPr>
          <w:snapToGrid w:val="0"/>
        </w:rPr>
        <w:tab/>
        <w:t>(5)</w:t>
      </w:r>
      <w:r>
        <w:rPr>
          <w:snapToGrid w:val="0"/>
        </w:rPr>
        <w:tab/>
        <w:t>The holder of a scientific purposes licence must not contravene a condition or restriction endorsed upon or attached to the licence.</w:t>
      </w:r>
    </w:p>
    <w:p>
      <w:pPr>
        <w:pStyle w:val="Penstart"/>
        <w:rPr>
          <w:snapToGrid w:val="0"/>
        </w:rPr>
      </w:pPr>
      <w:r>
        <w:rPr>
          <w:snapToGrid w:val="0"/>
        </w:rPr>
        <w:tab/>
        <w:t xml:space="preserve">Penalty: </w:t>
      </w:r>
      <w:r>
        <w:t>a fine of</w:t>
      </w:r>
      <w:r>
        <w:rPr>
          <w:snapToGrid w:val="0"/>
        </w:rPr>
        <w:t xml:space="preserve"> </w:t>
      </w:r>
      <w:r>
        <w:t>$1 000</w:t>
      </w:r>
      <w:r>
        <w:rPr>
          <w:snapToGrid w:val="0"/>
        </w:rPr>
        <w:t>.</w:t>
      </w:r>
    </w:p>
    <w:p>
      <w:pPr>
        <w:pStyle w:val="Footnotesection"/>
      </w:pPr>
      <w:r>
        <w:tab/>
        <w:t>[Regulation 93 amended in Gazette 4 Oct 2002 p. 5065; 29 Sep 2006 p. 4334; 3 Dec 2010 p. 6052</w:t>
      </w:r>
      <w:r>
        <w:noBreakHyphen/>
        <w:t>4; 19 Sep 2014 p. 3336.]</w:t>
      </w:r>
    </w:p>
    <w:p>
      <w:pPr>
        <w:pStyle w:val="Heading3"/>
      </w:pPr>
      <w:bookmarkStart w:id="274" w:name="_Toc408498886"/>
      <w:bookmarkStart w:id="275" w:name="_Toc414889308"/>
      <w:bookmarkStart w:id="276" w:name="_Toc414975254"/>
      <w:bookmarkStart w:id="277" w:name="_Toc417563736"/>
      <w:r>
        <w:rPr>
          <w:rStyle w:val="CharDivNo"/>
        </w:rPr>
        <w:t>Division 3</w:t>
      </w:r>
      <w:r>
        <w:rPr>
          <w:snapToGrid w:val="0"/>
        </w:rPr>
        <w:t xml:space="preserve"> — </w:t>
      </w:r>
      <w:r>
        <w:rPr>
          <w:rStyle w:val="CharDivText"/>
        </w:rPr>
        <w:t>Commercial operations licences</w:t>
      </w:r>
      <w:bookmarkEnd w:id="274"/>
      <w:bookmarkEnd w:id="275"/>
      <w:bookmarkEnd w:id="276"/>
      <w:bookmarkEnd w:id="277"/>
      <w:r>
        <w:rPr>
          <w:rStyle w:val="CharDivText"/>
        </w:rPr>
        <w:t xml:space="preserve"> </w:t>
      </w:r>
    </w:p>
    <w:p>
      <w:pPr>
        <w:pStyle w:val="Heading5"/>
        <w:rPr>
          <w:snapToGrid w:val="0"/>
        </w:rPr>
      </w:pPr>
      <w:bookmarkStart w:id="278" w:name="_Toc408498887"/>
      <w:bookmarkStart w:id="279" w:name="_Toc417563737"/>
      <w:r>
        <w:rPr>
          <w:rStyle w:val="CharSectno"/>
        </w:rPr>
        <w:t>94</w:t>
      </w:r>
      <w:r>
        <w:rPr>
          <w:snapToGrid w:val="0"/>
        </w:rPr>
        <w:t>.</w:t>
      </w:r>
      <w:r>
        <w:rPr>
          <w:snapToGrid w:val="0"/>
        </w:rPr>
        <w:tab/>
        <w:t>Commercial operations licence</w:t>
      </w:r>
      <w:bookmarkEnd w:id="278"/>
      <w:bookmarkEnd w:id="279"/>
      <w:r>
        <w:rPr>
          <w:snapToGrid w:val="0"/>
        </w:rPr>
        <w:t xml:space="preserve"> </w:t>
      </w:r>
    </w:p>
    <w:p>
      <w:pPr>
        <w:pStyle w:val="Subsection"/>
        <w:rPr>
          <w:snapToGrid w:val="0"/>
        </w:rPr>
      </w:pPr>
      <w:r>
        <w:rPr>
          <w:snapToGrid w:val="0"/>
        </w:rPr>
        <w:tab/>
        <w:t>(1)</w:t>
      </w:r>
      <w:r>
        <w:rPr>
          <w:snapToGrid w:val="0"/>
        </w:rPr>
        <w:tab/>
        <w:t xml:space="preserve">The </w:t>
      </w:r>
      <w:r>
        <w:t xml:space="preserve">CEO </w:t>
      </w:r>
      <w:r>
        <w:rPr>
          <w:snapToGrid w:val="0"/>
        </w:rPr>
        <w:t>may grant a licence to any person to sell goods or services, or to undertake an activity for a commercial purpose, on an area of CALM land.</w:t>
      </w:r>
    </w:p>
    <w:p>
      <w:pPr>
        <w:pStyle w:val="Subsection"/>
      </w:pPr>
      <w:r>
        <w:rPr>
          <w:snapToGrid w:val="0"/>
        </w:rPr>
        <w:tab/>
        <w:t>(2)</w:t>
      </w:r>
      <w:r>
        <w:rPr>
          <w:snapToGrid w:val="0"/>
        </w:rPr>
        <w:tab/>
      </w:r>
      <w:r>
        <w:t>The CEO may not grant a licence under this regulation to take or remove forest produce or other flora from land to which Part VIII Division 2 of the Act applies and which is vested in the Conservation Commission.</w:t>
      </w:r>
    </w:p>
    <w:p>
      <w:pPr>
        <w:pStyle w:val="Footnotesection"/>
      </w:pPr>
      <w:r>
        <w:tab/>
        <w:t>[Regulation 94 amended in Gazette 29 Sep 2006 p. 4334.]</w:t>
      </w:r>
    </w:p>
    <w:p>
      <w:pPr>
        <w:pStyle w:val="Heading5"/>
        <w:rPr>
          <w:snapToGrid w:val="0"/>
        </w:rPr>
      </w:pPr>
      <w:bookmarkStart w:id="280" w:name="_Toc408498888"/>
      <w:bookmarkStart w:id="281" w:name="_Toc417563738"/>
      <w:r>
        <w:rPr>
          <w:rStyle w:val="CharSectno"/>
        </w:rPr>
        <w:t>95</w:t>
      </w:r>
      <w:r>
        <w:rPr>
          <w:snapToGrid w:val="0"/>
        </w:rPr>
        <w:t>.</w:t>
      </w:r>
      <w:r>
        <w:rPr>
          <w:snapToGrid w:val="0"/>
        </w:rPr>
        <w:tab/>
        <w:t>Application for commercial operations licence</w:t>
      </w:r>
      <w:bookmarkEnd w:id="280"/>
      <w:bookmarkEnd w:id="281"/>
      <w:r>
        <w:rPr>
          <w:snapToGrid w:val="0"/>
        </w:rPr>
        <w:t xml:space="preserve"> </w:t>
      </w:r>
    </w:p>
    <w:p>
      <w:pPr>
        <w:pStyle w:val="Subsection"/>
        <w:rPr>
          <w:snapToGrid w:val="0"/>
        </w:rPr>
      </w:pPr>
      <w:r>
        <w:rPr>
          <w:snapToGrid w:val="0"/>
        </w:rPr>
        <w:tab/>
      </w:r>
      <w:r>
        <w:rPr>
          <w:snapToGrid w:val="0"/>
        </w:rPr>
        <w:tab/>
        <w:t>An application for a commercial operations licence is to specify — </w:t>
      </w:r>
    </w:p>
    <w:p>
      <w:pPr>
        <w:pStyle w:val="Indenta"/>
        <w:rPr>
          <w:snapToGrid w:val="0"/>
        </w:rPr>
      </w:pPr>
      <w:r>
        <w:rPr>
          <w:snapToGrid w:val="0"/>
        </w:rPr>
        <w:tab/>
        <w:t>(a)</w:t>
      </w:r>
      <w:r>
        <w:rPr>
          <w:snapToGrid w:val="0"/>
        </w:rPr>
        <w:tab/>
        <w:t>the goods or services the applicant proposes to sell or the activity the applicant proposes to undertake; and</w:t>
      </w:r>
    </w:p>
    <w:p>
      <w:pPr>
        <w:pStyle w:val="Indenta"/>
        <w:rPr>
          <w:snapToGrid w:val="0"/>
        </w:rPr>
      </w:pPr>
      <w:r>
        <w:rPr>
          <w:snapToGrid w:val="0"/>
        </w:rPr>
        <w:tab/>
        <w:t>(b)</w:t>
      </w:r>
      <w:r>
        <w:rPr>
          <w:snapToGrid w:val="0"/>
        </w:rPr>
        <w:tab/>
        <w:t>the places where it is proposed to sell the goods or services or undertake the activity.</w:t>
      </w:r>
    </w:p>
    <w:p>
      <w:pPr>
        <w:pStyle w:val="Heading5"/>
        <w:rPr>
          <w:snapToGrid w:val="0"/>
        </w:rPr>
      </w:pPr>
      <w:bookmarkStart w:id="282" w:name="_Toc408498889"/>
      <w:bookmarkStart w:id="283" w:name="_Toc417563739"/>
      <w:r>
        <w:rPr>
          <w:rStyle w:val="CharSectno"/>
        </w:rPr>
        <w:t>96</w:t>
      </w:r>
      <w:r>
        <w:rPr>
          <w:snapToGrid w:val="0"/>
        </w:rPr>
        <w:t>.</w:t>
      </w:r>
      <w:r>
        <w:rPr>
          <w:snapToGrid w:val="0"/>
        </w:rPr>
        <w:tab/>
        <w:t>Duration of commercial operations licence</w:t>
      </w:r>
      <w:bookmarkEnd w:id="282"/>
      <w:bookmarkEnd w:id="283"/>
      <w:r>
        <w:rPr>
          <w:snapToGrid w:val="0"/>
        </w:rPr>
        <w:t xml:space="preserve"> </w:t>
      </w:r>
    </w:p>
    <w:p>
      <w:pPr>
        <w:pStyle w:val="Subsection"/>
        <w:rPr>
          <w:snapToGrid w:val="0"/>
        </w:rPr>
      </w:pPr>
      <w:r>
        <w:rPr>
          <w:snapToGrid w:val="0"/>
        </w:rPr>
        <w:tab/>
      </w:r>
      <w:r>
        <w:rPr>
          <w:snapToGrid w:val="0"/>
        </w:rPr>
        <w:tab/>
        <w:t>Subject to this Part, a commercial operations licence is valid for such period, not exceeding 10 years, as is specified in the licence.</w:t>
      </w:r>
    </w:p>
    <w:p>
      <w:pPr>
        <w:pStyle w:val="Footnotesection"/>
      </w:pPr>
      <w:r>
        <w:tab/>
        <w:t>[Regulation 96 amended in Gazette 3 Dec 2010 p. 6049.]</w:t>
      </w:r>
    </w:p>
    <w:p>
      <w:pPr>
        <w:pStyle w:val="Heading5"/>
        <w:rPr>
          <w:snapToGrid w:val="0"/>
        </w:rPr>
      </w:pPr>
      <w:bookmarkStart w:id="284" w:name="_Toc408498890"/>
      <w:bookmarkStart w:id="285" w:name="_Toc417563740"/>
      <w:r>
        <w:rPr>
          <w:rStyle w:val="CharSectno"/>
        </w:rPr>
        <w:t>97</w:t>
      </w:r>
      <w:r>
        <w:rPr>
          <w:snapToGrid w:val="0"/>
        </w:rPr>
        <w:t>.</w:t>
      </w:r>
      <w:r>
        <w:rPr>
          <w:snapToGrid w:val="0"/>
        </w:rPr>
        <w:tab/>
        <w:t>Renewal of commercial operations licence</w:t>
      </w:r>
      <w:bookmarkEnd w:id="284"/>
      <w:bookmarkEnd w:id="285"/>
    </w:p>
    <w:p>
      <w:pPr>
        <w:pStyle w:val="Subsection"/>
        <w:rPr>
          <w:snapToGrid w:val="0"/>
        </w:rPr>
      </w:pPr>
      <w:r>
        <w:rPr>
          <w:snapToGrid w:val="0"/>
        </w:rPr>
        <w:tab/>
      </w:r>
      <w:r>
        <w:rPr>
          <w:snapToGrid w:val="0"/>
        </w:rPr>
        <w:tab/>
        <w:t xml:space="preserve">The </w:t>
      </w:r>
      <w:r>
        <w:t xml:space="preserve">CEO </w:t>
      </w:r>
      <w:r>
        <w:rPr>
          <w:snapToGrid w:val="0"/>
        </w:rPr>
        <w:t>may, on payment of the appropriate fee specified in Schedule 1 Division 8, renew the commercial operations licence of any person for a further period not exceeding 5 years.</w:t>
      </w:r>
    </w:p>
    <w:p>
      <w:pPr>
        <w:pStyle w:val="Footnotesection"/>
      </w:pPr>
      <w:r>
        <w:tab/>
        <w:t>[Regulation 97 amended in Gazette 29 Sep 2006 p. 4334.]</w:t>
      </w:r>
    </w:p>
    <w:p>
      <w:pPr>
        <w:pStyle w:val="Heading5"/>
        <w:rPr>
          <w:snapToGrid w:val="0"/>
        </w:rPr>
      </w:pPr>
      <w:bookmarkStart w:id="286" w:name="_Toc408498891"/>
      <w:bookmarkStart w:id="287" w:name="_Toc417563741"/>
      <w:r>
        <w:rPr>
          <w:rStyle w:val="CharSectno"/>
        </w:rPr>
        <w:t>98</w:t>
      </w:r>
      <w:r>
        <w:rPr>
          <w:snapToGrid w:val="0"/>
        </w:rPr>
        <w:t>.</w:t>
      </w:r>
      <w:r>
        <w:rPr>
          <w:snapToGrid w:val="0"/>
        </w:rPr>
        <w:tab/>
        <w:t>Conditions</w:t>
      </w:r>
      <w:bookmarkEnd w:id="286"/>
      <w:bookmarkEnd w:id="287"/>
      <w:r>
        <w:rPr>
          <w:snapToGrid w:val="0"/>
        </w:rPr>
        <w:t xml:space="preserve"> </w:t>
      </w:r>
    </w:p>
    <w:p>
      <w:pPr>
        <w:pStyle w:val="Subsection"/>
        <w:rPr>
          <w:snapToGrid w:val="0"/>
        </w:rPr>
      </w:pPr>
      <w:r>
        <w:rPr>
          <w:snapToGrid w:val="0"/>
        </w:rPr>
        <w:tab/>
        <w:t>(1)</w:t>
      </w:r>
      <w:r>
        <w:rPr>
          <w:snapToGrid w:val="0"/>
        </w:rPr>
        <w:tab/>
        <w:t xml:space="preserve">A commercial operations licence may be granted or renewed subject to such conditions as the </w:t>
      </w:r>
      <w:r>
        <w:t xml:space="preserve">CEO </w:t>
      </w:r>
      <w:r>
        <w:rPr>
          <w:snapToGrid w:val="0"/>
        </w:rPr>
        <w:t>thinks fit, including conditions as to — </w:t>
      </w:r>
    </w:p>
    <w:p>
      <w:pPr>
        <w:pStyle w:val="Indenta"/>
        <w:rPr>
          <w:snapToGrid w:val="0"/>
        </w:rPr>
      </w:pPr>
      <w:r>
        <w:rPr>
          <w:snapToGrid w:val="0"/>
        </w:rPr>
        <w:tab/>
        <w:t>(a)</w:t>
      </w:r>
      <w:r>
        <w:rPr>
          <w:snapToGrid w:val="0"/>
        </w:rPr>
        <w:tab/>
        <w:t>the land to which the licence applies; and</w:t>
      </w:r>
    </w:p>
    <w:p>
      <w:pPr>
        <w:pStyle w:val="Indenta"/>
        <w:rPr>
          <w:snapToGrid w:val="0"/>
        </w:rPr>
      </w:pPr>
      <w:r>
        <w:rPr>
          <w:snapToGrid w:val="0"/>
        </w:rPr>
        <w:tab/>
        <w:t>(b)</w:t>
      </w:r>
      <w:r>
        <w:rPr>
          <w:snapToGrid w:val="0"/>
        </w:rPr>
        <w:tab/>
        <w:t>the class or description of goods, services or activity to which the licence applies; and</w:t>
      </w:r>
    </w:p>
    <w:p>
      <w:pPr>
        <w:pStyle w:val="Indenta"/>
        <w:rPr>
          <w:snapToGrid w:val="0"/>
        </w:rPr>
      </w:pPr>
      <w:r>
        <w:rPr>
          <w:snapToGrid w:val="0"/>
        </w:rPr>
        <w:tab/>
        <w:t>(c)</w:t>
      </w:r>
      <w:r>
        <w:rPr>
          <w:snapToGrid w:val="0"/>
        </w:rPr>
        <w:tab/>
        <w:t>the manner in which the goods or services are to be supplied (including conditions as to the viewing and feeding of fauna) or the activity is to be undertaken; and</w:t>
      </w:r>
    </w:p>
    <w:p>
      <w:pPr>
        <w:pStyle w:val="Indenta"/>
        <w:rPr>
          <w:snapToGrid w:val="0"/>
        </w:rPr>
      </w:pPr>
      <w:r>
        <w:rPr>
          <w:snapToGrid w:val="0"/>
        </w:rPr>
        <w:tab/>
        <w:t>(d)</w:t>
      </w:r>
      <w:r>
        <w:rPr>
          <w:snapToGrid w:val="0"/>
        </w:rPr>
        <w:tab/>
        <w:t>the payment of any charge in relation to the use of land to which these regulations apply and the equipment, services and facilities of the Department.</w:t>
      </w:r>
    </w:p>
    <w:p>
      <w:pPr>
        <w:pStyle w:val="Subsection"/>
        <w:rPr>
          <w:snapToGrid w:val="0"/>
        </w:rPr>
      </w:pPr>
      <w:r>
        <w:rPr>
          <w:snapToGrid w:val="0"/>
        </w:rPr>
        <w:tab/>
        <w:t>(2)</w:t>
      </w:r>
      <w:r>
        <w:rPr>
          <w:snapToGrid w:val="0"/>
        </w:rPr>
        <w:tab/>
        <w:t>Where a commercial operations licence is granted or renewed subject to conditions, those conditions — </w:t>
      </w:r>
    </w:p>
    <w:p>
      <w:pPr>
        <w:pStyle w:val="Indenta"/>
        <w:rPr>
          <w:snapToGrid w:val="0"/>
        </w:rPr>
      </w:pPr>
      <w:r>
        <w:rPr>
          <w:snapToGrid w:val="0"/>
        </w:rPr>
        <w:tab/>
        <w:t>(a)</w:t>
      </w:r>
      <w:r>
        <w:rPr>
          <w:snapToGrid w:val="0"/>
        </w:rPr>
        <w:tab/>
        <w:t>are to be endorsed upon or attached to the licence when granted or renewed, as the case may be; and</w:t>
      </w:r>
    </w:p>
    <w:p>
      <w:pPr>
        <w:pStyle w:val="Indenta"/>
        <w:rPr>
          <w:snapToGrid w:val="0"/>
        </w:rPr>
      </w:pPr>
      <w:r>
        <w:rPr>
          <w:snapToGrid w:val="0"/>
        </w:rPr>
        <w:tab/>
        <w:t>(b)</w:t>
      </w:r>
      <w:r>
        <w:rPr>
          <w:snapToGrid w:val="0"/>
        </w:rPr>
        <w:tab/>
        <w:t xml:space="preserve">may be added to, cancelled, suspended and otherwise varied by the </w:t>
      </w:r>
      <w:r>
        <w:t xml:space="preserve">CEO </w:t>
      </w:r>
      <w:r>
        <w:rPr>
          <w:snapToGrid w:val="0"/>
        </w:rPr>
        <w:t>from time to time during the operation of the licence.</w:t>
      </w:r>
    </w:p>
    <w:p>
      <w:pPr>
        <w:pStyle w:val="Subsection"/>
        <w:rPr>
          <w:snapToGrid w:val="0"/>
        </w:rPr>
      </w:pPr>
      <w:r>
        <w:rPr>
          <w:snapToGrid w:val="0"/>
        </w:rPr>
        <w:tab/>
        <w:t>(3)</w:t>
      </w:r>
      <w:r>
        <w:rPr>
          <w:snapToGrid w:val="0"/>
        </w:rPr>
        <w:tab/>
        <w:t>The holder of a commercial operations licence must not contravene a condition endorsed upon or attached to the licence.</w:t>
      </w:r>
    </w:p>
    <w:p>
      <w:pPr>
        <w:pStyle w:val="Penstart"/>
        <w:rPr>
          <w:snapToGrid w:val="0"/>
        </w:rPr>
      </w:pPr>
      <w:r>
        <w:rPr>
          <w:snapToGrid w:val="0"/>
        </w:rPr>
        <w:tab/>
        <w:t xml:space="preserve">Penalty: </w:t>
      </w:r>
      <w:r>
        <w:t>a fine of</w:t>
      </w:r>
      <w:r>
        <w:rPr>
          <w:snapToGrid w:val="0"/>
        </w:rPr>
        <w:t xml:space="preserve"> </w:t>
      </w:r>
      <w:r>
        <w:t>$2 000</w:t>
      </w:r>
      <w:r>
        <w:rPr>
          <w:snapToGrid w:val="0"/>
        </w:rPr>
        <w:t>.</w:t>
      </w:r>
    </w:p>
    <w:p>
      <w:pPr>
        <w:pStyle w:val="Footnotesection"/>
      </w:pPr>
      <w:r>
        <w:tab/>
        <w:t>[Regulation 98 amended in Gazette 29 Sep 2006 p. 4334; 3 Dec 2010 p. 6052</w:t>
      </w:r>
      <w:r>
        <w:noBreakHyphen/>
        <w:t>4; 19 Sep 2014 p. 3336.]</w:t>
      </w:r>
    </w:p>
    <w:p>
      <w:pPr>
        <w:pStyle w:val="Heading3"/>
      </w:pPr>
      <w:bookmarkStart w:id="288" w:name="_Toc414975260"/>
      <w:bookmarkStart w:id="289" w:name="_Toc417563742"/>
      <w:r>
        <w:rPr>
          <w:rStyle w:val="CharDivNo"/>
        </w:rPr>
        <w:t>Division 4</w:t>
      </w:r>
      <w:r>
        <w:t> — </w:t>
      </w:r>
      <w:r>
        <w:rPr>
          <w:rStyle w:val="CharDivText"/>
        </w:rPr>
        <w:t>Rental mooring licence</w:t>
      </w:r>
      <w:bookmarkEnd w:id="288"/>
      <w:bookmarkEnd w:id="289"/>
    </w:p>
    <w:p>
      <w:pPr>
        <w:pStyle w:val="Footnoteheading"/>
      </w:pPr>
      <w:r>
        <w:tab/>
        <w:t>[Heading inserted in Gazette 24 Mar 2015 p. 1036.]</w:t>
      </w:r>
    </w:p>
    <w:p>
      <w:pPr>
        <w:pStyle w:val="Heading5"/>
      </w:pPr>
      <w:bookmarkStart w:id="290" w:name="_Toc417563743"/>
      <w:r>
        <w:rPr>
          <w:rStyle w:val="CharSectno"/>
        </w:rPr>
        <w:t>98AA</w:t>
      </w:r>
      <w:r>
        <w:t>.</w:t>
      </w:r>
      <w:r>
        <w:tab/>
        <w:t>Terms used</w:t>
      </w:r>
      <w:bookmarkEnd w:id="290"/>
    </w:p>
    <w:p>
      <w:pPr>
        <w:pStyle w:val="Subsection"/>
      </w:pPr>
      <w:r>
        <w:tab/>
      </w:r>
      <w:r>
        <w:tab/>
        <w:t xml:space="preserve">In this Division — </w:t>
      </w:r>
    </w:p>
    <w:p>
      <w:pPr>
        <w:pStyle w:val="Defstart"/>
      </w:pPr>
      <w:r>
        <w:tab/>
      </w:r>
      <w:r>
        <w:rPr>
          <w:rStyle w:val="CharDefText"/>
        </w:rPr>
        <w:t>licence holder</w:t>
      </w:r>
      <w:r>
        <w:t xml:space="preserve"> means the holder of a licence granted under regulation 98AC;</w:t>
      </w:r>
    </w:p>
    <w:p>
      <w:pPr>
        <w:pStyle w:val="Defstart"/>
      </w:pPr>
      <w:r>
        <w:tab/>
      </w:r>
      <w:r>
        <w:rPr>
          <w:rStyle w:val="CharDefText"/>
        </w:rPr>
        <w:t>rental mooring</w:t>
      </w:r>
      <w:r>
        <w:t xml:space="preserve"> means a mooring designated as a rental mooring under regulation 98AB;</w:t>
      </w:r>
    </w:p>
    <w:p>
      <w:pPr>
        <w:pStyle w:val="Defstart"/>
      </w:pPr>
      <w:r>
        <w:tab/>
      </w:r>
      <w:r>
        <w:rPr>
          <w:rStyle w:val="CharDefText"/>
        </w:rPr>
        <w:t>rental mooring licence</w:t>
      </w:r>
      <w:r>
        <w:t xml:space="preserve"> means a licence granted under regulation 98AC.</w:t>
      </w:r>
    </w:p>
    <w:p>
      <w:pPr>
        <w:pStyle w:val="Footnotesection"/>
      </w:pPr>
      <w:r>
        <w:tab/>
        <w:t>[Regulation 98AA inserted in Gazette 24 Mar 2015 p. 1036</w:t>
      </w:r>
      <w:r>
        <w:noBreakHyphen/>
        <w:t>7.]</w:t>
      </w:r>
    </w:p>
    <w:p>
      <w:pPr>
        <w:pStyle w:val="Heading5"/>
      </w:pPr>
      <w:bookmarkStart w:id="291" w:name="_Toc417563744"/>
      <w:r>
        <w:t>98AB.</w:t>
      </w:r>
      <w:r>
        <w:tab/>
        <w:t>CEO may designate rental mooring</w:t>
      </w:r>
      <w:bookmarkEnd w:id="291"/>
    </w:p>
    <w:p>
      <w:pPr>
        <w:pStyle w:val="Subsection"/>
      </w:pPr>
      <w:r>
        <w:tab/>
        <w:t>(1)</w:t>
      </w:r>
      <w:r>
        <w:tab/>
        <w:t xml:space="preserve">The CEO may, by notice published in the </w:t>
      </w:r>
      <w:r>
        <w:rPr>
          <w:i/>
        </w:rPr>
        <w:t>Gazette</w:t>
      </w:r>
      <w:r>
        <w:t>, designate a mooring (other than a public mooring) that is on CALM land as a rental mooring.</w:t>
      </w:r>
    </w:p>
    <w:p>
      <w:pPr>
        <w:pStyle w:val="Subsection"/>
      </w:pPr>
      <w:r>
        <w:tab/>
        <w:t>(2)</w:t>
      </w:r>
      <w:r>
        <w:tab/>
        <w:t>A mooring may be declared to be a rental mooring at all times or during a period or periods specified in the notice.</w:t>
      </w:r>
    </w:p>
    <w:p>
      <w:pPr>
        <w:pStyle w:val="Subsection"/>
      </w:pPr>
      <w:r>
        <w:tab/>
        <w:t>(3)</w:t>
      </w:r>
      <w:r>
        <w:tab/>
        <w:t xml:space="preserve">The CEO may, by notice published in the </w:t>
      </w:r>
      <w:r>
        <w:rPr>
          <w:i/>
        </w:rPr>
        <w:t>Gazette</w:t>
      </w:r>
      <w:r>
        <w:t>, amend or revoke any previous notice published under this regulation.</w:t>
      </w:r>
    </w:p>
    <w:p>
      <w:pPr>
        <w:pStyle w:val="Subsection"/>
      </w:pPr>
      <w:r>
        <w:tab/>
        <w:t>(4)</w:t>
      </w:r>
      <w:r>
        <w:tab/>
        <w:t>A notice published under this regulation takes effect on such day after publication as is specified in the notice.</w:t>
      </w:r>
    </w:p>
    <w:p>
      <w:pPr>
        <w:pStyle w:val="Footnotesection"/>
      </w:pPr>
      <w:r>
        <w:tab/>
        <w:t>[Regulation 98AB inserted in Gazette 24 Mar 2015 p. 1037.]</w:t>
      </w:r>
    </w:p>
    <w:p>
      <w:pPr>
        <w:pStyle w:val="Heading5"/>
      </w:pPr>
      <w:bookmarkStart w:id="292" w:name="_Toc417563745"/>
      <w:r>
        <w:rPr>
          <w:rStyle w:val="CharSectno"/>
        </w:rPr>
        <w:t>98AC</w:t>
      </w:r>
      <w:r>
        <w:t>.</w:t>
      </w:r>
      <w:r>
        <w:tab/>
        <w:t>Rental mooring licence</w:t>
      </w:r>
      <w:bookmarkEnd w:id="292"/>
    </w:p>
    <w:p>
      <w:pPr>
        <w:pStyle w:val="Subsection"/>
      </w:pPr>
      <w:r>
        <w:tab/>
        <w:t>(1)</w:t>
      </w:r>
      <w:r>
        <w:tab/>
        <w:t xml:space="preserve">In this regulation — </w:t>
      </w:r>
    </w:p>
    <w:p>
      <w:pPr>
        <w:pStyle w:val="Defstart"/>
      </w:pPr>
      <w:r>
        <w:tab/>
      </w:r>
      <w:r>
        <w:rPr>
          <w:rStyle w:val="CharDefText"/>
        </w:rPr>
        <w:t>specified</w:t>
      </w:r>
      <w:r>
        <w:t xml:space="preserve"> means specified in a licence.</w:t>
      </w:r>
    </w:p>
    <w:p>
      <w:pPr>
        <w:pStyle w:val="Subsection"/>
      </w:pPr>
      <w:r>
        <w:tab/>
        <w:t>(2)</w:t>
      </w:r>
      <w:r>
        <w:tab/>
        <w:t>The CEO may grant a licence authorising the use of a specified rental mooring by a specified vessel for a specified period.</w:t>
      </w:r>
    </w:p>
    <w:p>
      <w:pPr>
        <w:pStyle w:val="Footnotesection"/>
      </w:pPr>
      <w:r>
        <w:tab/>
        <w:t>[Regulation 98AC inserted in Gazette 24 Mar 2015 p. 1037.]</w:t>
      </w:r>
    </w:p>
    <w:p>
      <w:pPr>
        <w:pStyle w:val="Heading5"/>
      </w:pPr>
      <w:bookmarkStart w:id="293" w:name="_Toc417563746"/>
      <w:r>
        <w:rPr>
          <w:rStyle w:val="CharSectno"/>
        </w:rPr>
        <w:t>98AD</w:t>
      </w:r>
      <w:r>
        <w:t>.</w:t>
      </w:r>
      <w:r>
        <w:tab/>
        <w:t>Application for rental mooring licence</w:t>
      </w:r>
      <w:bookmarkEnd w:id="293"/>
    </w:p>
    <w:p>
      <w:pPr>
        <w:pStyle w:val="Subsection"/>
      </w:pPr>
      <w:r>
        <w:rPr>
          <w:snapToGrid w:val="0"/>
        </w:rPr>
        <w:tab/>
      </w:r>
      <w:r>
        <w:rPr>
          <w:snapToGrid w:val="0"/>
        </w:rPr>
        <w:tab/>
        <w:t xml:space="preserve">An </w:t>
      </w:r>
      <w:r>
        <w:t xml:space="preserve">application for a rental mooring licence must specify — </w:t>
      </w:r>
    </w:p>
    <w:p>
      <w:pPr>
        <w:pStyle w:val="Indenta"/>
        <w:rPr>
          <w:snapToGrid w:val="0"/>
        </w:rPr>
      </w:pPr>
      <w:r>
        <w:tab/>
        <w:t>(a)</w:t>
      </w:r>
      <w:r>
        <w:tab/>
        <w:t>the rental mooring to which the application relates</w:t>
      </w:r>
      <w:r>
        <w:rPr>
          <w:snapToGrid w:val="0"/>
        </w:rPr>
        <w:t>; and</w:t>
      </w:r>
    </w:p>
    <w:p>
      <w:pPr>
        <w:pStyle w:val="Indenta"/>
        <w:rPr>
          <w:snapToGrid w:val="0"/>
        </w:rPr>
      </w:pPr>
      <w:r>
        <w:rPr>
          <w:snapToGrid w:val="0"/>
        </w:rPr>
        <w:tab/>
        <w:t>(b)</w:t>
      </w:r>
      <w:r>
        <w:rPr>
          <w:snapToGrid w:val="0"/>
        </w:rPr>
        <w:tab/>
        <w:t>particulars of the vessel to which the application relates; and</w:t>
      </w:r>
    </w:p>
    <w:p>
      <w:pPr>
        <w:pStyle w:val="Indenta"/>
        <w:rPr>
          <w:snapToGrid w:val="0"/>
        </w:rPr>
      </w:pPr>
      <w:r>
        <w:rPr>
          <w:snapToGrid w:val="0"/>
        </w:rPr>
        <w:tab/>
        <w:t>(c)</w:t>
      </w:r>
      <w:r>
        <w:rPr>
          <w:snapToGrid w:val="0"/>
        </w:rPr>
        <w:tab/>
        <w:t>the period for which the licence is sought.</w:t>
      </w:r>
    </w:p>
    <w:p>
      <w:pPr>
        <w:pStyle w:val="Footnotesection"/>
      </w:pPr>
      <w:r>
        <w:tab/>
        <w:t>[Regulation 98AD inserted in Gazette 24 Mar 2015 p. 1037.]</w:t>
      </w:r>
    </w:p>
    <w:p>
      <w:pPr>
        <w:pStyle w:val="Heading5"/>
      </w:pPr>
      <w:bookmarkStart w:id="294" w:name="_Toc417563747"/>
      <w:r>
        <w:rPr>
          <w:rStyle w:val="CharSectno"/>
        </w:rPr>
        <w:t>98AE</w:t>
      </w:r>
      <w:r>
        <w:t>.</w:t>
      </w:r>
      <w:r>
        <w:tab/>
        <w:t>Duration of rental mooring licence</w:t>
      </w:r>
      <w:bookmarkEnd w:id="294"/>
    </w:p>
    <w:p>
      <w:pPr>
        <w:pStyle w:val="Subsection"/>
      </w:pPr>
      <w:r>
        <w:tab/>
      </w:r>
      <w:r>
        <w:tab/>
        <w:t>Subject to this Part, a rental mooring licence remains in force for the period specified in the licence.</w:t>
      </w:r>
    </w:p>
    <w:p>
      <w:pPr>
        <w:pStyle w:val="Footnotesection"/>
      </w:pPr>
      <w:r>
        <w:tab/>
        <w:t>[Regulation 98AE inserted in Gazette 24 Mar 2015 p. 1037.]</w:t>
      </w:r>
    </w:p>
    <w:p>
      <w:pPr>
        <w:pStyle w:val="Heading5"/>
      </w:pPr>
      <w:bookmarkStart w:id="295" w:name="_Toc417563748"/>
      <w:r>
        <w:rPr>
          <w:rStyle w:val="CharSectno"/>
        </w:rPr>
        <w:t>98AF</w:t>
      </w:r>
      <w:r>
        <w:t>.</w:t>
      </w:r>
      <w:r>
        <w:tab/>
        <w:t>Conditions</w:t>
      </w:r>
      <w:bookmarkEnd w:id="295"/>
    </w:p>
    <w:p>
      <w:pPr>
        <w:pStyle w:val="Subsection"/>
      </w:pPr>
      <w:r>
        <w:tab/>
        <w:t>(1)</w:t>
      </w:r>
      <w:r>
        <w:tab/>
        <w:t xml:space="preserve">A rental mooring licence may be granted subject to such conditions as the CEO thinks fit including conditions as to — </w:t>
      </w:r>
    </w:p>
    <w:p>
      <w:pPr>
        <w:pStyle w:val="Indenta"/>
      </w:pPr>
      <w:r>
        <w:tab/>
        <w:t>(a)</w:t>
      </w:r>
      <w:r>
        <w:tab/>
        <w:t>the manner in which the specified vessel may be secured to the mooring; and</w:t>
      </w:r>
    </w:p>
    <w:p>
      <w:pPr>
        <w:pStyle w:val="Indenta"/>
      </w:pPr>
      <w:r>
        <w:tab/>
        <w:t>(b)</w:t>
      </w:r>
      <w:r>
        <w:tab/>
        <w:t>the payment of any charge in respect of the use of the land on which the mooring is located.</w:t>
      </w:r>
    </w:p>
    <w:p>
      <w:pPr>
        <w:pStyle w:val="Subsection"/>
      </w:pPr>
      <w:r>
        <w:tab/>
        <w:t>(2)</w:t>
      </w:r>
      <w:r>
        <w:tab/>
        <w:t xml:space="preserve">If a rental mooring licence is granted subject to conditions, those conditions — </w:t>
      </w:r>
    </w:p>
    <w:p>
      <w:pPr>
        <w:pStyle w:val="Indenta"/>
      </w:pPr>
      <w:r>
        <w:tab/>
        <w:t>(a)</w:t>
      </w:r>
      <w:r>
        <w:tab/>
        <w:t>are to be endorsed upon or attached to the licence when granted; and</w:t>
      </w:r>
    </w:p>
    <w:p>
      <w:pPr>
        <w:pStyle w:val="Indenta"/>
      </w:pPr>
      <w:r>
        <w:tab/>
        <w:t>(b)</w:t>
      </w:r>
      <w:r>
        <w:tab/>
        <w:t>may be added to, cancelled, suspended and otherwise varied by the CEO from time to time during the operation of the licence.</w:t>
      </w:r>
    </w:p>
    <w:p>
      <w:pPr>
        <w:pStyle w:val="Subsection"/>
      </w:pPr>
      <w:r>
        <w:tab/>
        <w:t>(3)</w:t>
      </w:r>
      <w:r>
        <w:tab/>
        <w:t>A licence holder must not contravene a condition endorsed upon or attached to the licence.</w:t>
      </w:r>
    </w:p>
    <w:p>
      <w:pPr>
        <w:pStyle w:val="Penstart"/>
      </w:pPr>
      <w:r>
        <w:tab/>
        <w:t>Penalty: a fine of $1 000.</w:t>
      </w:r>
    </w:p>
    <w:p>
      <w:pPr>
        <w:pStyle w:val="Footnotesection"/>
      </w:pPr>
      <w:r>
        <w:tab/>
        <w:t>[Regulation 98AF inserted in Gazette 24 Mar 2015 p. 1037</w:t>
      </w:r>
      <w:r>
        <w:noBreakHyphen/>
        <w:t>8.]</w:t>
      </w:r>
    </w:p>
    <w:p>
      <w:pPr>
        <w:pStyle w:val="Heading5"/>
      </w:pPr>
      <w:bookmarkStart w:id="296" w:name="_Toc417563749"/>
      <w:r>
        <w:rPr>
          <w:rStyle w:val="CharSectno"/>
        </w:rPr>
        <w:t>98AG</w:t>
      </w:r>
      <w:r>
        <w:t>.</w:t>
      </w:r>
      <w:r>
        <w:tab/>
        <w:t>Cancellation of licence at request of licence holder</w:t>
      </w:r>
      <w:bookmarkEnd w:id="296"/>
    </w:p>
    <w:p>
      <w:pPr>
        <w:pStyle w:val="Subsection"/>
      </w:pPr>
      <w:r>
        <w:tab/>
        <w:t>(1)</w:t>
      </w:r>
      <w:r>
        <w:tab/>
        <w:t>The licence holder may request the CEO to cancel a rental mooring licence.</w:t>
      </w:r>
    </w:p>
    <w:p>
      <w:pPr>
        <w:pStyle w:val="Subsection"/>
      </w:pPr>
      <w:r>
        <w:tab/>
        <w:t>(2)</w:t>
      </w:r>
      <w:r>
        <w:tab/>
        <w:t xml:space="preserve">On a request made under subregulation (1) the CEO must cancel the licence and may refund to the licence holder, in whole or in part, the charge paid in respect of the licence if the CEO considers it appropriate to do so in the circumstances. </w:t>
      </w:r>
    </w:p>
    <w:p>
      <w:pPr>
        <w:pStyle w:val="Footnotesection"/>
      </w:pPr>
      <w:r>
        <w:tab/>
        <w:t>[Regulation 98AG inserted in Gazette 24 Mar 2015 p. 1038.]</w:t>
      </w:r>
    </w:p>
    <w:p>
      <w:pPr>
        <w:pStyle w:val="Heading5"/>
      </w:pPr>
      <w:bookmarkStart w:id="297" w:name="_Toc417563750"/>
      <w:r>
        <w:rPr>
          <w:rStyle w:val="CharSectno"/>
        </w:rPr>
        <w:t>98AH</w:t>
      </w:r>
      <w:r>
        <w:t>.</w:t>
      </w:r>
      <w:r>
        <w:tab/>
        <w:t>Damage to rental mooring</w:t>
      </w:r>
      <w:bookmarkEnd w:id="297"/>
    </w:p>
    <w:p>
      <w:pPr>
        <w:pStyle w:val="Subsection"/>
      </w:pPr>
      <w:r>
        <w:tab/>
        <w:t>(1)</w:t>
      </w:r>
      <w:r>
        <w:tab/>
        <w:t xml:space="preserve">If a rental mooring is damaged or destroyed (the </w:t>
      </w:r>
      <w:r>
        <w:rPr>
          <w:rStyle w:val="CharDefText"/>
        </w:rPr>
        <w:t>loss</w:t>
      </w:r>
      <w:r>
        <w:t xml:space="preserve">) during the period specified in a rental mooring licence in respect of that rental mooring, the cost of repair or replacement is a debt due to the State by the licence holder and is recoverable in a court of competent jurisdiction unless the person can show that — </w:t>
      </w:r>
    </w:p>
    <w:p>
      <w:pPr>
        <w:pStyle w:val="Indenta"/>
      </w:pPr>
      <w:r>
        <w:tab/>
        <w:t>(a)</w:t>
      </w:r>
      <w:r>
        <w:tab/>
        <w:t>the loss was caused by the act or omission of some other person; and</w:t>
      </w:r>
    </w:p>
    <w:p>
      <w:pPr>
        <w:pStyle w:val="Indenta"/>
      </w:pPr>
      <w:r>
        <w:tab/>
        <w:t>(b)</w:t>
      </w:r>
      <w:r>
        <w:tab/>
        <w:t>the licence holder could not have prevented the loss by the exercise of responsible care.</w:t>
      </w:r>
    </w:p>
    <w:p>
      <w:pPr>
        <w:pStyle w:val="Subsection"/>
      </w:pPr>
      <w:r>
        <w:tab/>
        <w:t>(2)</w:t>
      </w:r>
      <w:r>
        <w:tab/>
        <w:t xml:space="preserve">For the purposes of subregulation (1), the loss is taken to have occurred during the period specified in the licence if — </w:t>
      </w:r>
    </w:p>
    <w:p>
      <w:pPr>
        <w:pStyle w:val="Indenta"/>
      </w:pPr>
      <w:r>
        <w:tab/>
        <w:t>(a)</w:t>
      </w:r>
      <w:r>
        <w:tab/>
        <w:t>the mooring is found to be damaged or destroyed at the end of the period specified in the licence; and</w:t>
      </w:r>
    </w:p>
    <w:p>
      <w:pPr>
        <w:pStyle w:val="Indenta"/>
      </w:pPr>
      <w:r>
        <w:tab/>
        <w:t>(b)</w:t>
      </w:r>
      <w:r>
        <w:tab/>
        <w:t>the licence holder did not report the loss to the CEO at the commencement of the period specified in the licence.</w:t>
      </w:r>
    </w:p>
    <w:p>
      <w:pPr>
        <w:pStyle w:val="Footnotesection"/>
      </w:pPr>
      <w:r>
        <w:tab/>
        <w:t>[Regulation 98AH inserted in Gazette 24 Mar 2015 p. 1038.]</w:t>
      </w:r>
    </w:p>
    <w:p>
      <w:pPr>
        <w:pStyle w:val="Heading3"/>
      </w:pPr>
      <w:bookmarkStart w:id="298" w:name="_Toc414975269"/>
      <w:bookmarkStart w:id="299" w:name="_Toc417563751"/>
      <w:r>
        <w:rPr>
          <w:rStyle w:val="CharDivNo"/>
        </w:rPr>
        <w:t>Division 5</w:t>
      </w:r>
      <w:r>
        <w:t> — </w:t>
      </w:r>
      <w:r>
        <w:rPr>
          <w:rStyle w:val="CharDivText"/>
        </w:rPr>
        <w:t>Private mooring licence</w:t>
      </w:r>
      <w:bookmarkEnd w:id="298"/>
      <w:bookmarkEnd w:id="299"/>
    </w:p>
    <w:p>
      <w:pPr>
        <w:pStyle w:val="Footnoteheading"/>
      </w:pPr>
      <w:r>
        <w:tab/>
        <w:t>[Heading inserted in Gazette 24 Mar 2015 p. 1038.]</w:t>
      </w:r>
    </w:p>
    <w:p>
      <w:pPr>
        <w:pStyle w:val="Heading5"/>
        <w:rPr>
          <w:snapToGrid w:val="0"/>
        </w:rPr>
      </w:pPr>
      <w:bookmarkStart w:id="300" w:name="_Toc417563752"/>
      <w:r>
        <w:rPr>
          <w:rStyle w:val="CharSectno"/>
        </w:rPr>
        <w:t>98AI</w:t>
      </w:r>
      <w:r>
        <w:rPr>
          <w:snapToGrid w:val="0"/>
        </w:rPr>
        <w:t>.</w:t>
      </w:r>
      <w:r>
        <w:rPr>
          <w:snapToGrid w:val="0"/>
        </w:rPr>
        <w:tab/>
        <w:t>Terms used</w:t>
      </w:r>
      <w:bookmarkEnd w:id="300"/>
    </w:p>
    <w:p>
      <w:pPr>
        <w:pStyle w:val="Subsection"/>
        <w:rPr>
          <w:snapToGrid w:val="0"/>
        </w:rPr>
      </w:pPr>
      <w:r>
        <w:rPr>
          <w:snapToGrid w:val="0"/>
        </w:rPr>
        <w:tab/>
        <w:t>(1)</w:t>
      </w:r>
      <w:r>
        <w:rPr>
          <w:snapToGrid w:val="0"/>
        </w:rPr>
        <w:tab/>
        <w:t>In this Division — </w:t>
      </w:r>
    </w:p>
    <w:p>
      <w:pPr>
        <w:pStyle w:val="Defstart"/>
      </w:pPr>
      <w:r>
        <w:tab/>
      </w:r>
      <w:r>
        <w:rPr>
          <w:rStyle w:val="CharDefText"/>
        </w:rPr>
        <w:t>current inspection report</w:t>
      </w:r>
      <w:r>
        <w:t xml:space="preserve"> has the meaning given in subregulation (2); </w:t>
      </w:r>
    </w:p>
    <w:p>
      <w:pPr>
        <w:pStyle w:val="Defstart"/>
      </w:pPr>
      <w:r>
        <w:tab/>
      </w:r>
      <w:r>
        <w:rPr>
          <w:rStyle w:val="CharDefText"/>
        </w:rPr>
        <w:t>inspection report</w:t>
      </w:r>
      <w:r>
        <w:t xml:space="preserve"> means a report about the condition of a mooring prepared by a person approved by the CEO after the person has inspected the mooring;</w:t>
      </w:r>
    </w:p>
    <w:p>
      <w:pPr>
        <w:pStyle w:val="Defstart"/>
      </w:pPr>
      <w:r>
        <w:tab/>
      </w:r>
      <w:r>
        <w:rPr>
          <w:rStyle w:val="CharDefText"/>
        </w:rPr>
        <w:t>licence holder</w:t>
      </w:r>
      <w:r>
        <w:t xml:space="preserve"> means the holder of a private mooring licence for a mooring;</w:t>
      </w:r>
    </w:p>
    <w:p>
      <w:pPr>
        <w:pStyle w:val="Defstart"/>
      </w:pPr>
      <w:r>
        <w:tab/>
      </w:r>
      <w:r>
        <w:rPr>
          <w:rStyle w:val="CharDefText"/>
        </w:rPr>
        <w:t>licensed mooring</w:t>
      </w:r>
      <w:r>
        <w:t xml:space="preserve"> means a mooring for which a private mooring licence is in force;</w:t>
      </w:r>
    </w:p>
    <w:p>
      <w:pPr>
        <w:pStyle w:val="Defstart"/>
      </w:pPr>
      <w:r>
        <w:tab/>
      </w:r>
      <w:r>
        <w:rPr>
          <w:rStyle w:val="CharDefText"/>
        </w:rPr>
        <w:t>mooring licence area</w:t>
      </w:r>
      <w:r>
        <w:t xml:space="preserve"> means an area declared under regulation 98AJ to be a mooring licence area;</w:t>
      </w:r>
    </w:p>
    <w:p>
      <w:pPr>
        <w:pStyle w:val="Defstart"/>
      </w:pPr>
      <w:r>
        <w:tab/>
      </w:r>
      <w:r>
        <w:rPr>
          <w:rStyle w:val="CharDefText"/>
        </w:rPr>
        <w:t>private mooring</w:t>
      </w:r>
      <w:r>
        <w:t xml:space="preserve"> means a mooring on CALM land that is not — </w:t>
      </w:r>
    </w:p>
    <w:p>
      <w:pPr>
        <w:pStyle w:val="Defpara"/>
      </w:pPr>
      <w:r>
        <w:tab/>
        <w:t>(a)</w:t>
      </w:r>
      <w:r>
        <w:tab/>
        <w:t>a public mooring; or</w:t>
      </w:r>
    </w:p>
    <w:p>
      <w:pPr>
        <w:pStyle w:val="Defpara"/>
      </w:pPr>
      <w:r>
        <w:tab/>
        <w:t>(b)</w:t>
      </w:r>
      <w:r>
        <w:tab/>
        <w:t>a rental mooring; or</w:t>
      </w:r>
    </w:p>
    <w:p>
      <w:pPr>
        <w:pStyle w:val="Defpara"/>
      </w:pPr>
      <w:r>
        <w:tab/>
        <w:t>(c)</w:t>
      </w:r>
      <w:r>
        <w:tab/>
        <w:t>a mooring that is approved by the CEO for use in connection with a commercial operations licence;</w:t>
      </w:r>
    </w:p>
    <w:p>
      <w:pPr>
        <w:pStyle w:val="Defstart"/>
      </w:pPr>
      <w:r>
        <w:tab/>
      </w:r>
      <w:r>
        <w:rPr>
          <w:rStyle w:val="CharDefText"/>
        </w:rPr>
        <w:t>private mooring licence</w:t>
      </w:r>
      <w:r>
        <w:t xml:space="preserve"> means a licence under this Division.</w:t>
      </w:r>
    </w:p>
    <w:p>
      <w:pPr>
        <w:pStyle w:val="Subsection"/>
      </w:pPr>
      <w:r>
        <w:tab/>
        <w:t>(2)</w:t>
      </w:r>
      <w:r>
        <w:tab/>
        <w:t>An inspection report is current for the period of 12 months commencing on the day the mooring is inspected.</w:t>
      </w:r>
    </w:p>
    <w:p>
      <w:pPr>
        <w:pStyle w:val="Footnotesection"/>
      </w:pPr>
      <w:r>
        <w:tab/>
        <w:t>[Regulation 98AI inserted in Gazette 24 Mar 2015 p. 1038</w:t>
      </w:r>
      <w:r>
        <w:noBreakHyphen/>
        <w:t>9.]</w:t>
      </w:r>
    </w:p>
    <w:p>
      <w:pPr>
        <w:pStyle w:val="Heading5"/>
      </w:pPr>
      <w:bookmarkStart w:id="301" w:name="_Toc417563753"/>
      <w:r>
        <w:rPr>
          <w:rStyle w:val="CharSectno"/>
        </w:rPr>
        <w:t>98AJ</w:t>
      </w:r>
      <w:r>
        <w:t>.</w:t>
      </w:r>
      <w:r>
        <w:tab/>
        <w:t>Mooring licence areas</w:t>
      </w:r>
      <w:bookmarkEnd w:id="301"/>
    </w:p>
    <w:p>
      <w:pPr>
        <w:pStyle w:val="Subsection"/>
      </w:pPr>
      <w:r>
        <w:tab/>
        <w:t>(1)</w:t>
      </w:r>
      <w:r>
        <w:tab/>
        <w:t xml:space="preserve">The CEO may, by notice published in the </w:t>
      </w:r>
      <w:r>
        <w:rPr>
          <w:i/>
        </w:rPr>
        <w:t>Gazette</w:t>
      </w:r>
      <w:r>
        <w:t>, declare an area of CALM land specified in the notice to be a mooring licence area.</w:t>
      </w:r>
    </w:p>
    <w:p>
      <w:pPr>
        <w:pStyle w:val="Subsection"/>
      </w:pPr>
      <w:r>
        <w:tab/>
        <w:t>(2)</w:t>
      </w:r>
      <w:r>
        <w:tab/>
        <w:t>A notice published under this regulation takes effect on such day after publication as is specified in the notice.</w:t>
      </w:r>
    </w:p>
    <w:p>
      <w:pPr>
        <w:pStyle w:val="Footnotesection"/>
      </w:pPr>
      <w:r>
        <w:tab/>
        <w:t>[Regulation 98AJ inserted in Gazette 24 Mar 2015 p. 1039.]</w:t>
      </w:r>
    </w:p>
    <w:p>
      <w:pPr>
        <w:pStyle w:val="Heading5"/>
      </w:pPr>
      <w:bookmarkStart w:id="302" w:name="_Toc417563754"/>
      <w:r>
        <w:rPr>
          <w:rStyle w:val="CharSectno"/>
        </w:rPr>
        <w:t>98AK</w:t>
      </w:r>
      <w:r>
        <w:t>.</w:t>
      </w:r>
      <w:r>
        <w:tab/>
        <w:t>Private mooring licence</w:t>
      </w:r>
      <w:bookmarkEnd w:id="302"/>
    </w:p>
    <w:p>
      <w:pPr>
        <w:pStyle w:val="Subsection"/>
      </w:pPr>
      <w:r>
        <w:tab/>
      </w:r>
      <w:r>
        <w:tab/>
        <w:t xml:space="preserve">The CEO may grant a licence for either or both of the following purposes — </w:t>
      </w:r>
    </w:p>
    <w:p>
      <w:pPr>
        <w:pStyle w:val="Indenta"/>
      </w:pPr>
      <w:r>
        <w:tab/>
        <w:t>(a)</w:t>
      </w:r>
      <w:r>
        <w:tab/>
        <w:t>to install a private mooring in a mooring licence area;</w:t>
      </w:r>
    </w:p>
    <w:p>
      <w:pPr>
        <w:pStyle w:val="Indenta"/>
      </w:pPr>
      <w:r>
        <w:tab/>
        <w:t>(b)</w:t>
      </w:r>
      <w:r>
        <w:tab/>
        <w:t>to own and control a private mooring located in a mooring licence area.</w:t>
      </w:r>
    </w:p>
    <w:p>
      <w:pPr>
        <w:pStyle w:val="Footnotesection"/>
      </w:pPr>
      <w:r>
        <w:tab/>
        <w:t>[Regulation 98AK inserted in Gazette 24 Mar 2015 p. 1039.]</w:t>
      </w:r>
    </w:p>
    <w:p>
      <w:pPr>
        <w:pStyle w:val="Heading5"/>
      </w:pPr>
      <w:bookmarkStart w:id="303" w:name="_Toc417563755"/>
      <w:r>
        <w:rPr>
          <w:rStyle w:val="CharSectno"/>
        </w:rPr>
        <w:t>98AL</w:t>
      </w:r>
      <w:r>
        <w:t>.</w:t>
      </w:r>
      <w:r>
        <w:tab/>
        <w:t>Effect of private mooring licence</w:t>
      </w:r>
      <w:bookmarkEnd w:id="303"/>
    </w:p>
    <w:p>
      <w:pPr>
        <w:pStyle w:val="Subsection"/>
      </w:pPr>
      <w:r>
        <w:tab/>
        <w:t>(1)</w:t>
      </w:r>
      <w:r>
        <w:tab/>
        <w:t>A licensed mooring is authorised to be in a mooring licence area.</w:t>
      </w:r>
    </w:p>
    <w:p>
      <w:pPr>
        <w:pStyle w:val="Subsection"/>
      </w:pPr>
      <w:r>
        <w:tab/>
        <w:t>(2)</w:t>
      </w:r>
      <w:r>
        <w:tab/>
        <w:t>A licence holder is authorised to use a licensed mooring in accordance with a private mooring licence that is in force for the mooring.</w:t>
      </w:r>
    </w:p>
    <w:p>
      <w:pPr>
        <w:pStyle w:val="Subsection"/>
        <w:rPr>
          <w:snapToGrid w:val="0"/>
        </w:rPr>
      </w:pPr>
      <w:r>
        <w:rPr>
          <w:snapToGrid w:val="0"/>
        </w:rPr>
        <w:tab/>
        <w:t>(3)</w:t>
      </w:r>
      <w:r>
        <w:rPr>
          <w:snapToGrid w:val="0"/>
        </w:rPr>
        <w:tab/>
        <w:t>A person who has the written consent of the licence holder is authorised to use a licensed mooring in accordance with a private mooring licence that is in force for the mooring.</w:t>
      </w:r>
    </w:p>
    <w:p>
      <w:pPr>
        <w:pStyle w:val="Subsection"/>
        <w:keepNext/>
        <w:rPr>
          <w:snapToGrid w:val="0"/>
        </w:rPr>
      </w:pPr>
      <w:r>
        <w:rPr>
          <w:snapToGrid w:val="0"/>
        </w:rPr>
        <w:tab/>
        <w:t>(4)</w:t>
      </w:r>
      <w:r>
        <w:rPr>
          <w:snapToGrid w:val="0"/>
        </w:rPr>
        <w:tab/>
        <w:t>A person referred to in subregulation (3) must have in his or her possession the written consent of the licence holder at any time the person has a vessel secured to the mooring.</w:t>
      </w:r>
    </w:p>
    <w:p>
      <w:pPr>
        <w:pStyle w:val="Penstart"/>
      </w:pPr>
      <w:r>
        <w:tab/>
        <w:t>Penalty: a fine of $1 000.</w:t>
      </w:r>
    </w:p>
    <w:p>
      <w:pPr>
        <w:pStyle w:val="Footnotesection"/>
      </w:pPr>
      <w:r>
        <w:tab/>
        <w:t>[Regulation 98AL inserted in Gazette 24 Mar 2015 p. 1039</w:t>
      </w:r>
      <w:r>
        <w:noBreakHyphen/>
        <w:t>40.]</w:t>
      </w:r>
    </w:p>
    <w:p>
      <w:pPr>
        <w:pStyle w:val="Heading5"/>
      </w:pPr>
      <w:bookmarkStart w:id="304" w:name="_Toc417563756"/>
      <w:r>
        <w:rPr>
          <w:rStyle w:val="CharSectno"/>
        </w:rPr>
        <w:t>98AM</w:t>
      </w:r>
      <w:r>
        <w:t>.</w:t>
      </w:r>
      <w:r>
        <w:tab/>
        <w:t>Application for private mooring licence</w:t>
      </w:r>
      <w:bookmarkEnd w:id="304"/>
    </w:p>
    <w:p>
      <w:pPr>
        <w:pStyle w:val="Subsection"/>
      </w:pPr>
      <w:r>
        <w:rPr>
          <w:snapToGrid w:val="0"/>
        </w:rPr>
        <w:tab/>
        <w:t>(1)</w:t>
      </w:r>
      <w:r>
        <w:rPr>
          <w:snapToGrid w:val="0"/>
        </w:rPr>
        <w:tab/>
        <w:t xml:space="preserve">An </w:t>
      </w:r>
      <w:r>
        <w:t xml:space="preserve">application for a private mooring licence must specify — </w:t>
      </w:r>
    </w:p>
    <w:p>
      <w:pPr>
        <w:pStyle w:val="Indenta"/>
        <w:rPr>
          <w:snapToGrid w:val="0"/>
        </w:rPr>
      </w:pPr>
      <w:r>
        <w:tab/>
        <w:t>(a)</w:t>
      </w:r>
      <w:r>
        <w:tab/>
        <w:t>the location of the mooring or proposed mooring in a form approved by the CEO; and</w:t>
      </w:r>
    </w:p>
    <w:p>
      <w:pPr>
        <w:pStyle w:val="Indenta"/>
        <w:rPr>
          <w:snapToGrid w:val="0"/>
        </w:rPr>
      </w:pPr>
      <w:r>
        <w:rPr>
          <w:snapToGrid w:val="0"/>
        </w:rPr>
        <w:tab/>
        <w:t>(b)</w:t>
      </w:r>
      <w:r>
        <w:rPr>
          <w:snapToGrid w:val="0"/>
        </w:rPr>
        <w:tab/>
        <w:t>particulars of the purposes for which the mooring or proposed mooring is to be used, including particulars of each vessel or class of vessel that may be secured to the mooring; and</w:t>
      </w:r>
    </w:p>
    <w:p>
      <w:pPr>
        <w:pStyle w:val="Indenta"/>
        <w:rPr>
          <w:snapToGrid w:val="0"/>
        </w:rPr>
      </w:pPr>
      <w:r>
        <w:rPr>
          <w:snapToGrid w:val="0"/>
        </w:rPr>
        <w:tab/>
        <w:t>(c)</w:t>
      </w:r>
      <w:r>
        <w:rPr>
          <w:snapToGrid w:val="0"/>
        </w:rPr>
        <w:tab/>
        <w:t>if the applicant is not a natural person, the name, address and telephone numbers of a natural person who may be contacted on behalf of the applicant in relation to the mooring.</w:t>
      </w:r>
    </w:p>
    <w:p>
      <w:pPr>
        <w:pStyle w:val="Subsection"/>
        <w:rPr>
          <w:snapToGrid w:val="0"/>
        </w:rPr>
      </w:pPr>
      <w:r>
        <w:rPr>
          <w:snapToGrid w:val="0"/>
        </w:rPr>
        <w:tab/>
        <w:t>(2)</w:t>
      </w:r>
      <w:r>
        <w:rPr>
          <w:snapToGrid w:val="0"/>
        </w:rPr>
        <w:tab/>
        <w:t>The applicant must provide the CEO, or a person nominated by the CEO, with any assistance that the CEO or the person requires to inspect the mooring.</w:t>
      </w:r>
    </w:p>
    <w:p>
      <w:pPr>
        <w:pStyle w:val="Footnotesection"/>
      </w:pPr>
      <w:r>
        <w:tab/>
        <w:t>[Regulation 98AM inserted in Gazette 24 Mar 2015 p. 1040.]</w:t>
      </w:r>
    </w:p>
    <w:p>
      <w:pPr>
        <w:pStyle w:val="Heading5"/>
      </w:pPr>
      <w:bookmarkStart w:id="305" w:name="_Toc417563757"/>
      <w:r>
        <w:rPr>
          <w:rStyle w:val="CharSectno"/>
        </w:rPr>
        <w:t>98AN</w:t>
      </w:r>
      <w:r>
        <w:t>.</w:t>
      </w:r>
      <w:r>
        <w:tab/>
        <w:t>Grant of private mooring licence</w:t>
      </w:r>
      <w:bookmarkEnd w:id="305"/>
    </w:p>
    <w:p>
      <w:pPr>
        <w:pStyle w:val="Subsection"/>
      </w:pPr>
      <w:r>
        <w:rPr>
          <w:snapToGrid w:val="0"/>
        </w:rPr>
        <w:tab/>
      </w:r>
      <w:r>
        <w:tab/>
        <w:t xml:space="preserve">The CEO may grant a private mooring licence for a mooring or a proposed mooring if the CEO is satisfied that the mooring or proposed mooring — </w:t>
      </w:r>
    </w:p>
    <w:p>
      <w:pPr>
        <w:pStyle w:val="Indenta"/>
        <w:rPr>
          <w:snapToGrid w:val="0"/>
        </w:rPr>
      </w:pPr>
      <w:r>
        <w:rPr>
          <w:snapToGrid w:val="0"/>
        </w:rPr>
        <w:tab/>
        <w:t>(a)</w:t>
      </w:r>
      <w:r>
        <w:rPr>
          <w:snapToGrid w:val="0"/>
        </w:rPr>
        <w:tab/>
        <w:t>is suitable for each vessel or class of vessel that may be secured to the mooring; and</w:t>
      </w:r>
    </w:p>
    <w:p>
      <w:pPr>
        <w:pStyle w:val="Indenta"/>
        <w:rPr>
          <w:snapToGrid w:val="0"/>
        </w:rPr>
      </w:pPr>
      <w:r>
        <w:rPr>
          <w:snapToGrid w:val="0"/>
        </w:rPr>
        <w:tab/>
        <w:t>(b)</w:t>
      </w:r>
      <w:r>
        <w:rPr>
          <w:snapToGrid w:val="0"/>
        </w:rPr>
        <w:tab/>
        <w:t>does not constitute a danger or interfere with the navigation of other craft or any other usage of the land on which the mooring is, or is to be, located.</w:t>
      </w:r>
    </w:p>
    <w:p>
      <w:pPr>
        <w:pStyle w:val="Footnotesection"/>
      </w:pPr>
      <w:r>
        <w:tab/>
        <w:t>[Regulation 98AN inserted in Gazette 24 Mar 2015 p. 1040.]</w:t>
      </w:r>
    </w:p>
    <w:p>
      <w:pPr>
        <w:pStyle w:val="Heading5"/>
      </w:pPr>
      <w:bookmarkStart w:id="306" w:name="_Toc417563758"/>
      <w:r>
        <w:rPr>
          <w:rStyle w:val="CharSectno"/>
        </w:rPr>
        <w:t>98AO</w:t>
      </w:r>
      <w:r>
        <w:t>.</w:t>
      </w:r>
      <w:r>
        <w:tab/>
        <w:t>Private mooring licence not transferable</w:t>
      </w:r>
      <w:bookmarkEnd w:id="306"/>
    </w:p>
    <w:p>
      <w:pPr>
        <w:pStyle w:val="Subsection"/>
      </w:pPr>
      <w:r>
        <w:tab/>
      </w:r>
      <w:r>
        <w:tab/>
        <w:t>A private mooring licence is not transferable.</w:t>
      </w:r>
    </w:p>
    <w:p>
      <w:pPr>
        <w:pStyle w:val="Footnotesection"/>
      </w:pPr>
      <w:r>
        <w:tab/>
        <w:t>[Regulation 98AO inserted in Gazette 24 Mar 2015 p. 1040.]</w:t>
      </w:r>
    </w:p>
    <w:p>
      <w:pPr>
        <w:pStyle w:val="Heading5"/>
      </w:pPr>
      <w:bookmarkStart w:id="307" w:name="_Toc417563759"/>
      <w:r>
        <w:rPr>
          <w:rStyle w:val="CharSectno"/>
        </w:rPr>
        <w:t>98AP</w:t>
      </w:r>
      <w:r>
        <w:t>.</w:t>
      </w:r>
      <w:r>
        <w:tab/>
        <w:t>Duration of private mooring licence</w:t>
      </w:r>
      <w:bookmarkEnd w:id="307"/>
    </w:p>
    <w:p>
      <w:pPr>
        <w:pStyle w:val="Subsection"/>
      </w:pPr>
      <w:r>
        <w:tab/>
      </w:r>
      <w:r>
        <w:tab/>
        <w:t>Subject to this Part, a private mooring licence remains in force for the period specified in the licence.</w:t>
      </w:r>
    </w:p>
    <w:p>
      <w:pPr>
        <w:pStyle w:val="Footnotesection"/>
      </w:pPr>
      <w:r>
        <w:tab/>
        <w:t>[Regulation 98AP inserted in Gazette 24 Mar 2015 p. 1040.]</w:t>
      </w:r>
    </w:p>
    <w:p>
      <w:pPr>
        <w:pStyle w:val="Heading5"/>
      </w:pPr>
      <w:bookmarkStart w:id="308" w:name="_Toc417563760"/>
      <w:r>
        <w:rPr>
          <w:rStyle w:val="CharSectno"/>
        </w:rPr>
        <w:t>98AQ</w:t>
      </w:r>
      <w:r>
        <w:t>.</w:t>
      </w:r>
      <w:r>
        <w:tab/>
        <w:t>Renewal of private mooring licence</w:t>
      </w:r>
      <w:bookmarkEnd w:id="308"/>
    </w:p>
    <w:p>
      <w:pPr>
        <w:pStyle w:val="Subsection"/>
      </w:pPr>
      <w:r>
        <w:tab/>
        <w:t>(1)</w:t>
      </w:r>
      <w:r>
        <w:tab/>
        <w:t>A licence holder may apply to the CEO for renewal of a licence.</w:t>
      </w:r>
    </w:p>
    <w:p>
      <w:pPr>
        <w:pStyle w:val="Subsection"/>
      </w:pPr>
      <w:r>
        <w:tab/>
        <w:t>(2)</w:t>
      </w:r>
      <w:r>
        <w:tab/>
        <w:t xml:space="preserve">An application for renewal must be — </w:t>
      </w:r>
    </w:p>
    <w:p>
      <w:pPr>
        <w:pStyle w:val="Indenta"/>
      </w:pPr>
      <w:r>
        <w:tab/>
        <w:t>(a)</w:t>
      </w:r>
      <w:r>
        <w:tab/>
        <w:t>in a form approved by the CEO; and</w:t>
      </w:r>
    </w:p>
    <w:p>
      <w:pPr>
        <w:pStyle w:val="Indenta"/>
        <w:rPr>
          <w:snapToGrid w:val="0"/>
        </w:rPr>
      </w:pPr>
      <w:r>
        <w:tab/>
        <w:t>(b)</w:t>
      </w:r>
      <w:r>
        <w:tab/>
        <w:t xml:space="preserve">accompanied by the </w:t>
      </w:r>
      <w:r>
        <w:rPr>
          <w:snapToGrid w:val="0"/>
        </w:rPr>
        <w:t>appropriate fee specified in Schedule 1 Division 8 (if any); and</w:t>
      </w:r>
    </w:p>
    <w:p>
      <w:pPr>
        <w:pStyle w:val="Indenta"/>
        <w:rPr>
          <w:snapToGrid w:val="0"/>
        </w:rPr>
      </w:pPr>
      <w:r>
        <w:rPr>
          <w:snapToGrid w:val="0"/>
        </w:rPr>
        <w:tab/>
        <w:t>(c)</w:t>
      </w:r>
      <w:r>
        <w:rPr>
          <w:snapToGrid w:val="0"/>
        </w:rPr>
        <w:tab/>
        <w:t>accompanied by a current inspection report in respect of the mooring.</w:t>
      </w:r>
    </w:p>
    <w:p>
      <w:pPr>
        <w:pStyle w:val="Subsection"/>
        <w:rPr>
          <w:snapToGrid w:val="0"/>
        </w:rPr>
      </w:pPr>
      <w:r>
        <w:rPr>
          <w:snapToGrid w:val="0"/>
        </w:rPr>
        <w:tab/>
        <w:t>(3)</w:t>
      </w:r>
      <w:r>
        <w:rPr>
          <w:snapToGrid w:val="0"/>
        </w:rPr>
        <w:tab/>
        <w:t>The applicant must provide the CEO, or a person nominated by the CEO, with any assistance that the CEO or the person requires to inspect the mooring.</w:t>
      </w:r>
    </w:p>
    <w:p>
      <w:pPr>
        <w:pStyle w:val="Subsection"/>
        <w:rPr>
          <w:snapToGrid w:val="0"/>
        </w:rPr>
      </w:pPr>
      <w:r>
        <w:rPr>
          <w:snapToGrid w:val="0"/>
        </w:rPr>
        <w:tab/>
        <w:t>(4)</w:t>
      </w:r>
      <w:r>
        <w:rPr>
          <w:snapToGrid w:val="0"/>
        </w:rPr>
        <w:tab/>
        <w:t>The CEO may renew a private mooring licence if the CEO is satisfied that the mooring is in good condition and repair.</w:t>
      </w:r>
    </w:p>
    <w:p>
      <w:pPr>
        <w:pStyle w:val="Footnotesection"/>
      </w:pPr>
      <w:r>
        <w:tab/>
        <w:t>[Regulation 98AQ inserted in Gazette 24 Mar 2015 p. 1040-1.]</w:t>
      </w:r>
    </w:p>
    <w:p>
      <w:pPr>
        <w:pStyle w:val="Heading5"/>
      </w:pPr>
      <w:bookmarkStart w:id="309" w:name="_Toc417563761"/>
      <w:r>
        <w:rPr>
          <w:rStyle w:val="CharSectno"/>
        </w:rPr>
        <w:t>98AR</w:t>
      </w:r>
      <w:r>
        <w:t>.</w:t>
      </w:r>
      <w:r>
        <w:tab/>
        <w:t>Conditions</w:t>
      </w:r>
      <w:bookmarkEnd w:id="309"/>
    </w:p>
    <w:p>
      <w:pPr>
        <w:pStyle w:val="Subsection"/>
      </w:pPr>
      <w:r>
        <w:tab/>
        <w:t>(1)</w:t>
      </w:r>
      <w:r>
        <w:tab/>
        <w:t xml:space="preserve">A private mooring licence may be granted or renewed subject to such conditions as the CEO thinks fit including conditions as to — </w:t>
      </w:r>
    </w:p>
    <w:p>
      <w:pPr>
        <w:pStyle w:val="Indenta"/>
      </w:pPr>
      <w:r>
        <w:tab/>
        <w:t>(a)</w:t>
      </w:r>
      <w:r>
        <w:tab/>
        <w:t>the class or description of vessel that may be secured to the mooring; and</w:t>
      </w:r>
    </w:p>
    <w:p>
      <w:pPr>
        <w:pStyle w:val="Indenta"/>
      </w:pPr>
      <w:r>
        <w:tab/>
        <w:t>(b)</w:t>
      </w:r>
      <w:r>
        <w:tab/>
        <w:t>the manner in which a vessel may be secured to the mooring; and</w:t>
      </w:r>
    </w:p>
    <w:p>
      <w:pPr>
        <w:pStyle w:val="Indenta"/>
      </w:pPr>
      <w:r>
        <w:tab/>
        <w:t>(c)</w:t>
      </w:r>
      <w:r>
        <w:tab/>
        <w:t>the payment of any charge in relation to the use of the land on which the mooring is located.</w:t>
      </w:r>
    </w:p>
    <w:p>
      <w:pPr>
        <w:pStyle w:val="Subsection"/>
      </w:pPr>
      <w:r>
        <w:tab/>
        <w:t>(2)</w:t>
      </w:r>
      <w:r>
        <w:tab/>
        <w:t xml:space="preserve">If a private mooring licence is granted or renewed subject to conditions, those conditions — </w:t>
      </w:r>
    </w:p>
    <w:p>
      <w:pPr>
        <w:pStyle w:val="Indenta"/>
      </w:pPr>
      <w:r>
        <w:tab/>
        <w:t>(a)</w:t>
      </w:r>
      <w:r>
        <w:tab/>
        <w:t>are to be endorsed upon or attached to the licence when granted or renewed, as the case may be; and</w:t>
      </w:r>
    </w:p>
    <w:p>
      <w:pPr>
        <w:pStyle w:val="Indenta"/>
      </w:pPr>
      <w:r>
        <w:tab/>
        <w:t>(b)</w:t>
      </w:r>
      <w:r>
        <w:tab/>
        <w:t>may be added to, cancelled, suspended and otherwise varied by the CEO from time to time during the operation of the licence.</w:t>
      </w:r>
    </w:p>
    <w:p>
      <w:pPr>
        <w:pStyle w:val="Subsection"/>
      </w:pPr>
      <w:r>
        <w:tab/>
        <w:t>(3)</w:t>
      </w:r>
      <w:r>
        <w:tab/>
        <w:t>A licence holder must not contravene a condition endorsed upon or attached to the licence.</w:t>
      </w:r>
    </w:p>
    <w:p>
      <w:pPr>
        <w:pStyle w:val="Penstart"/>
      </w:pPr>
      <w:r>
        <w:tab/>
        <w:t>Penalty: a fine of $1 000.</w:t>
      </w:r>
    </w:p>
    <w:p>
      <w:pPr>
        <w:pStyle w:val="Footnotesection"/>
      </w:pPr>
      <w:r>
        <w:tab/>
        <w:t>[Regulation 98AR inserted in Gazette 24 Mar 2015 p. 1041.]</w:t>
      </w:r>
    </w:p>
    <w:p>
      <w:pPr>
        <w:pStyle w:val="Heading5"/>
      </w:pPr>
      <w:bookmarkStart w:id="310" w:name="_Toc417563762"/>
      <w:r>
        <w:rPr>
          <w:rStyle w:val="CharSectno"/>
        </w:rPr>
        <w:t>98AS</w:t>
      </w:r>
      <w:r>
        <w:t>.</w:t>
      </w:r>
      <w:r>
        <w:tab/>
        <w:t>Form of licence</w:t>
      </w:r>
      <w:bookmarkEnd w:id="310"/>
    </w:p>
    <w:p>
      <w:pPr>
        <w:pStyle w:val="Subsection"/>
      </w:pPr>
      <w:r>
        <w:tab/>
      </w:r>
      <w:r>
        <w:tab/>
        <w:t xml:space="preserve">A licence for a private mooring must be in a form approved by the CEO and must contain the following information — </w:t>
      </w:r>
    </w:p>
    <w:p>
      <w:pPr>
        <w:pStyle w:val="Indenta"/>
      </w:pPr>
      <w:r>
        <w:tab/>
        <w:t>(a)</w:t>
      </w:r>
      <w:r>
        <w:tab/>
        <w:t>the location of the mooring;</w:t>
      </w:r>
    </w:p>
    <w:p>
      <w:pPr>
        <w:pStyle w:val="Indenta"/>
      </w:pPr>
      <w:r>
        <w:tab/>
        <w:t>(b)</w:t>
      </w:r>
      <w:r>
        <w:tab/>
        <w:t>the name of the licence holder;</w:t>
      </w:r>
    </w:p>
    <w:p>
      <w:pPr>
        <w:pStyle w:val="Indenta"/>
      </w:pPr>
      <w:r>
        <w:tab/>
        <w:t>(c)</w:t>
      </w:r>
      <w:r>
        <w:tab/>
        <w:t>particulars of each vessel or each class of vessel authorised to use the mooring;</w:t>
      </w:r>
    </w:p>
    <w:p>
      <w:pPr>
        <w:pStyle w:val="Indenta"/>
      </w:pPr>
      <w:r>
        <w:tab/>
        <w:t>(d)</w:t>
      </w:r>
      <w:r>
        <w:tab/>
        <w:t>the period for which the licence is granted.</w:t>
      </w:r>
    </w:p>
    <w:p>
      <w:pPr>
        <w:pStyle w:val="Footnotesection"/>
      </w:pPr>
      <w:r>
        <w:tab/>
        <w:t>[Regulation 98AS inserted in Gazette 24 Mar 2015 p. 1041.]</w:t>
      </w:r>
    </w:p>
    <w:p>
      <w:pPr>
        <w:pStyle w:val="Heading5"/>
        <w:rPr>
          <w:snapToGrid w:val="0"/>
        </w:rPr>
      </w:pPr>
      <w:bookmarkStart w:id="311" w:name="_Toc417563763"/>
      <w:r>
        <w:rPr>
          <w:rStyle w:val="CharSectno"/>
        </w:rPr>
        <w:t>98AT</w:t>
      </w:r>
      <w:r>
        <w:rPr>
          <w:snapToGrid w:val="0"/>
        </w:rPr>
        <w:t>.</w:t>
      </w:r>
      <w:r>
        <w:rPr>
          <w:snapToGrid w:val="0"/>
        </w:rPr>
        <w:tab/>
        <w:t>Private moorings to be maintained</w:t>
      </w:r>
      <w:bookmarkEnd w:id="311"/>
      <w:r>
        <w:rPr>
          <w:snapToGrid w:val="0"/>
        </w:rPr>
        <w:t xml:space="preserve"> </w:t>
      </w:r>
    </w:p>
    <w:p>
      <w:pPr>
        <w:pStyle w:val="Subsection"/>
        <w:rPr>
          <w:snapToGrid w:val="0"/>
        </w:rPr>
      </w:pPr>
      <w:r>
        <w:rPr>
          <w:snapToGrid w:val="0"/>
        </w:rPr>
        <w:tab/>
        <w:t>(1)</w:t>
      </w:r>
      <w:r>
        <w:rPr>
          <w:snapToGrid w:val="0"/>
        </w:rPr>
        <w:tab/>
        <w:t>It is a condition of a licence to use a private mooring that the licence holder must maintain the mooring in good condition and repair.</w:t>
      </w:r>
    </w:p>
    <w:p>
      <w:pPr>
        <w:pStyle w:val="Subsection"/>
        <w:rPr>
          <w:snapToGrid w:val="0"/>
        </w:rPr>
      </w:pPr>
      <w:r>
        <w:rPr>
          <w:snapToGrid w:val="0"/>
        </w:rPr>
        <w:tab/>
        <w:t>(2)</w:t>
      </w:r>
      <w:r>
        <w:rPr>
          <w:snapToGrid w:val="0"/>
        </w:rPr>
        <w:tab/>
        <w:t>The CEO may, by notice in writing, require a licence holder to provide a current inspection report for the licensed mooring.</w:t>
      </w:r>
    </w:p>
    <w:p>
      <w:pPr>
        <w:pStyle w:val="Subsection"/>
        <w:rPr>
          <w:snapToGrid w:val="0"/>
        </w:rPr>
      </w:pPr>
      <w:r>
        <w:rPr>
          <w:snapToGrid w:val="0"/>
        </w:rPr>
        <w:tab/>
        <w:t>(3)</w:t>
      </w:r>
      <w:r>
        <w:rPr>
          <w:snapToGrid w:val="0"/>
        </w:rPr>
        <w:tab/>
        <w:t>The licence holder must comply with a notice under subregulation (2) within the time specified in the notice.</w:t>
      </w:r>
    </w:p>
    <w:p>
      <w:pPr>
        <w:pStyle w:val="Penstart"/>
      </w:pPr>
      <w:r>
        <w:tab/>
        <w:t>Penalty: a fine of $1 000.</w:t>
      </w:r>
    </w:p>
    <w:p>
      <w:pPr>
        <w:pStyle w:val="Footnotesection"/>
      </w:pPr>
      <w:r>
        <w:tab/>
        <w:t>[Regulation 98AT inserted in Gazette 24 Mar 2015 p. 1042.]</w:t>
      </w:r>
    </w:p>
    <w:p>
      <w:pPr>
        <w:pStyle w:val="Heading5"/>
        <w:rPr>
          <w:snapToGrid w:val="0"/>
        </w:rPr>
      </w:pPr>
      <w:bookmarkStart w:id="312" w:name="_Toc417563764"/>
      <w:r>
        <w:rPr>
          <w:rStyle w:val="CharSectno"/>
        </w:rPr>
        <w:t>98AU</w:t>
      </w:r>
      <w:r>
        <w:rPr>
          <w:snapToGrid w:val="0"/>
        </w:rPr>
        <w:t>.</w:t>
      </w:r>
      <w:r>
        <w:rPr>
          <w:snapToGrid w:val="0"/>
        </w:rPr>
        <w:tab/>
        <w:t>Requirement to repair, relocate or remove private mooring</w:t>
      </w:r>
      <w:bookmarkEnd w:id="312"/>
    </w:p>
    <w:p>
      <w:pPr>
        <w:pStyle w:val="Subsection"/>
        <w:rPr>
          <w:snapToGrid w:val="0"/>
        </w:rPr>
      </w:pPr>
      <w:r>
        <w:rPr>
          <w:snapToGrid w:val="0"/>
        </w:rPr>
        <w:tab/>
        <w:t>(1)</w:t>
      </w:r>
      <w:r>
        <w:rPr>
          <w:snapToGrid w:val="0"/>
        </w:rPr>
        <w:tab/>
        <w:t xml:space="preserve">The CEO may, by notice in writing, require a licence holder to repair the licensed mooring within a specified time if </w:t>
      </w:r>
      <w:r>
        <w:t>the CEO considers that the</w:t>
      </w:r>
      <w:r>
        <w:rPr>
          <w:snapToGrid w:val="0"/>
        </w:rPr>
        <w:t xml:space="preserve"> mooring has deteriorated to the extent that it is dangerous, unusable or in need of repair.</w:t>
      </w:r>
    </w:p>
    <w:p>
      <w:pPr>
        <w:pStyle w:val="Subsection"/>
      </w:pPr>
      <w:r>
        <w:tab/>
        <w:t>(2)</w:t>
      </w:r>
      <w:r>
        <w:tab/>
      </w:r>
      <w:r>
        <w:rPr>
          <w:snapToGrid w:val="0"/>
        </w:rPr>
        <w:t xml:space="preserve">The CEO may, by notice in writing, require a licence holder, or a person who was a licence holder, to relocate or remove the licensed mooring within a specified time if — </w:t>
      </w:r>
    </w:p>
    <w:p>
      <w:pPr>
        <w:pStyle w:val="Indenta"/>
        <w:rPr>
          <w:snapToGrid w:val="0"/>
        </w:rPr>
      </w:pPr>
      <w:r>
        <w:rPr>
          <w:snapToGrid w:val="0"/>
        </w:rPr>
        <w:tab/>
        <w:t>(a)</w:t>
      </w:r>
      <w:r>
        <w:rPr>
          <w:snapToGrid w:val="0"/>
        </w:rPr>
        <w:tab/>
        <w:t>the CEO cancels the licence; or</w:t>
      </w:r>
    </w:p>
    <w:p>
      <w:pPr>
        <w:pStyle w:val="Indenta"/>
        <w:rPr>
          <w:snapToGrid w:val="0"/>
        </w:rPr>
      </w:pPr>
      <w:r>
        <w:rPr>
          <w:snapToGrid w:val="0"/>
        </w:rPr>
        <w:tab/>
        <w:t>(b)</w:t>
      </w:r>
      <w:r>
        <w:rPr>
          <w:snapToGrid w:val="0"/>
        </w:rPr>
        <w:tab/>
        <w:t>the licence holder surrenders the licence; or</w:t>
      </w:r>
    </w:p>
    <w:p>
      <w:pPr>
        <w:pStyle w:val="Indenta"/>
        <w:rPr>
          <w:snapToGrid w:val="0"/>
        </w:rPr>
      </w:pPr>
      <w:r>
        <w:rPr>
          <w:snapToGrid w:val="0"/>
        </w:rPr>
        <w:tab/>
        <w:t>(c)</w:t>
      </w:r>
      <w:r>
        <w:rPr>
          <w:snapToGrid w:val="0"/>
        </w:rPr>
        <w:tab/>
        <w:t>the relocation or removal is necessary to comply with any management plan for the land on which the mooring is located; or</w:t>
      </w:r>
    </w:p>
    <w:p>
      <w:pPr>
        <w:pStyle w:val="Indenta"/>
        <w:rPr>
          <w:snapToGrid w:val="0"/>
        </w:rPr>
      </w:pPr>
      <w:r>
        <w:rPr>
          <w:snapToGrid w:val="0"/>
        </w:rPr>
        <w:tab/>
        <w:t>(d)</w:t>
      </w:r>
      <w:r>
        <w:rPr>
          <w:snapToGrid w:val="0"/>
        </w:rPr>
        <w:tab/>
        <w:t>the CEO considers that it is in the public interest for the mooring to be relocated or removed.</w:t>
      </w:r>
    </w:p>
    <w:p>
      <w:pPr>
        <w:pStyle w:val="Subsection"/>
      </w:pPr>
      <w:r>
        <w:tab/>
        <w:t>(3)</w:t>
      </w:r>
      <w:r>
        <w:tab/>
        <w:t>A person to whom a notice is given under subregulation (1) or (2) must comply with the requirements specified in the notice within the time specified in the notice.</w:t>
      </w:r>
    </w:p>
    <w:p>
      <w:pPr>
        <w:pStyle w:val="Penstart"/>
      </w:pPr>
      <w:r>
        <w:tab/>
        <w:t>Penalty: a fine of $2 000.</w:t>
      </w:r>
    </w:p>
    <w:p>
      <w:pPr>
        <w:pStyle w:val="Subsection"/>
      </w:pPr>
      <w:r>
        <w:tab/>
        <w:t>(4)</w:t>
      </w:r>
      <w:r>
        <w:tab/>
        <w:t>A mooring that is not relocated or removed within the period specified in a notice given under subregulation (2) is, on the expiry of that period, forfeited to the Crown and may be destroyed, sold or otherwise disposed of as directed by the CEO.</w:t>
      </w:r>
    </w:p>
    <w:p>
      <w:pPr>
        <w:pStyle w:val="Footnotesection"/>
      </w:pPr>
      <w:r>
        <w:tab/>
        <w:t>[Regulation 98AU inserted in Gazette 24 Mar 2015 p. 1042.]</w:t>
      </w:r>
    </w:p>
    <w:p>
      <w:pPr>
        <w:pStyle w:val="Heading5"/>
        <w:rPr>
          <w:snapToGrid w:val="0"/>
        </w:rPr>
      </w:pPr>
      <w:bookmarkStart w:id="313" w:name="_Toc417563765"/>
      <w:r>
        <w:rPr>
          <w:rStyle w:val="CharSectno"/>
        </w:rPr>
        <w:t>98AV</w:t>
      </w:r>
      <w:r>
        <w:rPr>
          <w:snapToGrid w:val="0"/>
        </w:rPr>
        <w:t>.</w:t>
      </w:r>
      <w:r>
        <w:rPr>
          <w:snapToGrid w:val="0"/>
        </w:rPr>
        <w:tab/>
        <w:t>Cancellation of private mooring licence</w:t>
      </w:r>
      <w:bookmarkEnd w:id="313"/>
      <w:r>
        <w:rPr>
          <w:snapToGrid w:val="0"/>
        </w:rPr>
        <w:t xml:space="preserve"> </w:t>
      </w:r>
    </w:p>
    <w:p>
      <w:pPr>
        <w:pStyle w:val="Subsection"/>
        <w:rPr>
          <w:snapToGrid w:val="0"/>
        </w:rPr>
      </w:pPr>
      <w:r>
        <w:rPr>
          <w:snapToGrid w:val="0"/>
        </w:rPr>
        <w:tab/>
        <w:t>(1)</w:t>
      </w:r>
      <w:r>
        <w:rPr>
          <w:snapToGrid w:val="0"/>
        </w:rPr>
        <w:tab/>
        <w:t>The CEO may, by written notice given to the licence holder, cancel a private mooring licence if — </w:t>
      </w:r>
    </w:p>
    <w:p>
      <w:pPr>
        <w:pStyle w:val="Indenta"/>
        <w:rPr>
          <w:snapToGrid w:val="0"/>
        </w:rPr>
      </w:pPr>
      <w:r>
        <w:rPr>
          <w:snapToGrid w:val="0"/>
        </w:rPr>
        <w:tab/>
        <w:t>(a)</w:t>
      </w:r>
      <w:r>
        <w:rPr>
          <w:snapToGrid w:val="0"/>
        </w:rPr>
        <w:tab/>
        <w:t>the licence holder ceases to own, or no longer appears to control, the mooring; or</w:t>
      </w:r>
    </w:p>
    <w:p>
      <w:pPr>
        <w:pStyle w:val="Indenta"/>
        <w:rPr>
          <w:snapToGrid w:val="0"/>
        </w:rPr>
      </w:pPr>
      <w:r>
        <w:rPr>
          <w:snapToGrid w:val="0"/>
        </w:rPr>
        <w:tab/>
        <w:t>(b)</w:t>
      </w:r>
      <w:r>
        <w:rPr>
          <w:snapToGrid w:val="0"/>
        </w:rPr>
        <w:tab/>
        <w:t>the licence holder fails to provide an inspection report for the mooring in accordance with regulation 98AT(2); or</w:t>
      </w:r>
    </w:p>
    <w:p>
      <w:pPr>
        <w:pStyle w:val="Indenta"/>
        <w:rPr>
          <w:snapToGrid w:val="0"/>
        </w:rPr>
      </w:pPr>
      <w:r>
        <w:rPr>
          <w:snapToGrid w:val="0"/>
        </w:rPr>
        <w:tab/>
        <w:t>(c)</w:t>
      </w:r>
      <w:r>
        <w:rPr>
          <w:snapToGrid w:val="0"/>
        </w:rPr>
        <w:tab/>
        <w:t>the licence holder fails to comply with a requirement under regulation 98AU(1) or (2).</w:t>
      </w:r>
    </w:p>
    <w:p>
      <w:pPr>
        <w:pStyle w:val="Subsection"/>
      </w:pPr>
      <w:r>
        <w:tab/>
        <w:t>(2)</w:t>
      </w:r>
      <w:r>
        <w:tab/>
        <w:t>The powers of the CEO referred to in subregulation (1) are in addition to, and do not derogate from, the powers referred to in regulation 86(1).</w:t>
      </w:r>
    </w:p>
    <w:p>
      <w:pPr>
        <w:pStyle w:val="Footnotesection"/>
      </w:pPr>
      <w:r>
        <w:tab/>
        <w:t>[Regulation 98AV inserted in Gazette 24 Mar 2015 p. 1043.]</w:t>
      </w:r>
    </w:p>
    <w:p>
      <w:pPr>
        <w:pStyle w:val="Heading5"/>
        <w:rPr>
          <w:snapToGrid w:val="0"/>
        </w:rPr>
      </w:pPr>
      <w:bookmarkStart w:id="314" w:name="_Toc417563766"/>
      <w:r>
        <w:rPr>
          <w:rStyle w:val="CharSectno"/>
        </w:rPr>
        <w:t>98AW</w:t>
      </w:r>
      <w:r>
        <w:rPr>
          <w:snapToGrid w:val="0"/>
        </w:rPr>
        <w:t>.</w:t>
      </w:r>
      <w:r>
        <w:rPr>
          <w:snapToGrid w:val="0"/>
        </w:rPr>
        <w:tab/>
        <w:t>Giving notice of change of registered particulars</w:t>
      </w:r>
      <w:bookmarkEnd w:id="314"/>
    </w:p>
    <w:p>
      <w:pPr>
        <w:pStyle w:val="Subsection"/>
        <w:rPr>
          <w:snapToGrid w:val="0"/>
        </w:rPr>
      </w:pPr>
      <w:r>
        <w:rPr>
          <w:snapToGrid w:val="0"/>
        </w:rPr>
        <w:tab/>
      </w:r>
      <w:r>
        <w:rPr>
          <w:snapToGrid w:val="0"/>
        </w:rPr>
        <w:tab/>
        <w:t>A licence holder must, within 7 days, notify the CEO of any alteration in the particulars of the licensed mooring, including any change of address or telephone number of the licence holder or the natural person who may be contacted on behalf of a body corporate or partnership.</w:t>
      </w:r>
    </w:p>
    <w:p>
      <w:pPr>
        <w:pStyle w:val="Penstart"/>
      </w:pPr>
      <w:r>
        <w:tab/>
        <w:t>Penalty: a fine of $1 000.</w:t>
      </w:r>
    </w:p>
    <w:p>
      <w:pPr>
        <w:pStyle w:val="Footnotesection"/>
      </w:pPr>
      <w:r>
        <w:tab/>
        <w:t>[Regulation 98AW inserted in Gazette 24 Mar 2015 p. 1043.]</w:t>
      </w:r>
    </w:p>
    <w:p>
      <w:pPr>
        <w:pStyle w:val="Heading5"/>
        <w:rPr>
          <w:snapToGrid w:val="0"/>
        </w:rPr>
      </w:pPr>
      <w:bookmarkStart w:id="315" w:name="_Toc417563767"/>
      <w:r>
        <w:rPr>
          <w:rStyle w:val="CharSectno"/>
        </w:rPr>
        <w:t>98AX</w:t>
      </w:r>
      <w:r>
        <w:rPr>
          <w:snapToGrid w:val="0"/>
        </w:rPr>
        <w:t>.</w:t>
      </w:r>
      <w:r>
        <w:rPr>
          <w:snapToGrid w:val="0"/>
        </w:rPr>
        <w:tab/>
        <w:t>Surrender of private mooring licence</w:t>
      </w:r>
      <w:bookmarkEnd w:id="315"/>
    </w:p>
    <w:p>
      <w:pPr>
        <w:pStyle w:val="Subsection"/>
        <w:rPr>
          <w:snapToGrid w:val="0"/>
        </w:rPr>
      </w:pPr>
      <w:r>
        <w:rPr>
          <w:snapToGrid w:val="0"/>
        </w:rPr>
        <w:tab/>
        <w:t>(1)</w:t>
      </w:r>
      <w:r>
        <w:rPr>
          <w:snapToGrid w:val="0"/>
        </w:rPr>
        <w:tab/>
        <w:t xml:space="preserve">A licence holder may by notice in writing to the CEO surrender a licence. </w:t>
      </w:r>
    </w:p>
    <w:p>
      <w:pPr>
        <w:pStyle w:val="Subsection"/>
        <w:rPr>
          <w:snapToGrid w:val="0"/>
        </w:rPr>
      </w:pPr>
      <w:r>
        <w:rPr>
          <w:snapToGrid w:val="0"/>
        </w:rPr>
        <w:tab/>
        <w:t>(2)</w:t>
      </w:r>
      <w:r>
        <w:rPr>
          <w:snapToGrid w:val="0"/>
        </w:rPr>
        <w:tab/>
        <w:t>A licence holder who surrenders a licence is not entitled to the refund of any fees paid in respect of a period after the date of surrender.</w:t>
      </w:r>
    </w:p>
    <w:p>
      <w:pPr>
        <w:pStyle w:val="Footnotesection"/>
      </w:pPr>
      <w:r>
        <w:tab/>
        <w:t>[Regulation 98AX inserted in Gazette 24 Mar 2015 p. 1043.]</w:t>
      </w:r>
    </w:p>
    <w:p>
      <w:pPr>
        <w:pStyle w:val="Ednotepart"/>
      </w:pPr>
      <w:r>
        <w:t>[Part 7A deleted in Gazette 27 Feb 2009 p. 530.]</w:t>
      </w:r>
    </w:p>
    <w:p>
      <w:pPr>
        <w:pStyle w:val="Heading2"/>
      </w:pPr>
      <w:bookmarkStart w:id="316" w:name="_Toc408498892"/>
      <w:bookmarkStart w:id="317" w:name="_Toc414889314"/>
      <w:bookmarkStart w:id="318" w:name="_Toc414975286"/>
      <w:bookmarkStart w:id="319" w:name="_Toc417563768"/>
      <w:r>
        <w:rPr>
          <w:rStyle w:val="CharPartNo"/>
        </w:rPr>
        <w:t>Part 8A</w:t>
      </w:r>
      <w:r>
        <w:rPr>
          <w:rStyle w:val="CharDivNo"/>
        </w:rPr>
        <w:t> </w:t>
      </w:r>
      <w:r>
        <w:t>—</w:t>
      </w:r>
      <w:r>
        <w:rPr>
          <w:rStyle w:val="CharDivText"/>
        </w:rPr>
        <w:t> </w:t>
      </w:r>
      <w:r>
        <w:rPr>
          <w:rStyle w:val="CharPartText"/>
        </w:rPr>
        <w:t>Apiary permits and licences</w:t>
      </w:r>
      <w:bookmarkEnd w:id="316"/>
      <w:bookmarkEnd w:id="317"/>
      <w:bookmarkEnd w:id="318"/>
      <w:bookmarkEnd w:id="319"/>
    </w:p>
    <w:p>
      <w:pPr>
        <w:pStyle w:val="yFootnoteheading"/>
      </w:pPr>
      <w:r>
        <w:tab/>
        <w:t>[Heading inserted in Gazette 3 Sep 2010 p. 4278.]</w:t>
      </w:r>
    </w:p>
    <w:p>
      <w:pPr>
        <w:pStyle w:val="Heading5"/>
      </w:pPr>
      <w:bookmarkStart w:id="320" w:name="_Toc408498893"/>
      <w:bookmarkStart w:id="321" w:name="_Toc417563769"/>
      <w:r>
        <w:rPr>
          <w:rStyle w:val="CharSectno"/>
        </w:rPr>
        <w:t>98A</w:t>
      </w:r>
      <w:r>
        <w:t>.</w:t>
      </w:r>
      <w:r>
        <w:tab/>
        <w:t>Terms used</w:t>
      </w:r>
      <w:bookmarkEnd w:id="320"/>
      <w:bookmarkEnd w:id="321"/>
    </w:p>
    <w:p>
      <w:pPr>
        <w:pStyle w:val="Subsection"/>
      </w:pPr>
      <w:r>
        <w:tab/>
      </w:r>
      <w:r>
        <w:tab/>
        <w:t xml:space="preserve">In this Part — </w:t>
      </w:r>
    </w:p>
    <w:p>
      <w:pPr>
        <w:pStyle w:val="Defstart"/>
      </w:pPr>
      <w:r>
        <w:rPr>
          <w:b/>
        </w:rPr>
        <w:tab/>
      </w:r>
      <w:r>
        <w:rPr>
          <w:rStyle w:val="CharDefText"/>
        </w:rPr>
        <w:t>apiary authority</w:t>
      </w:r>
      <w:r>
        <w:t xml:space="preserve"> means an apiary licence or apiary permit;</w:t>
      </w:r>
    </w:p>
    <w:p>
      <w:pPr>
        <w:pStyle w:val="Defstart"/>
      </w:pPr>
      <w:r>
        <w:rPr>
          <w:b/>
        </w:rPr>
        <w:tab/>
      </w:r>
      <w:r>
        <w:rPr>
          <w:rStyle w:val="CharDefText"/>
        </w:rPr>
        <w:t>apiary licence</w:t>
      </w:r>
      <w:r>
        <w:t xml:space="preserve"> means a licence granted under Part VIII Division 2 of the Act to — </w:t>
      </w:r>
    </w:p>
    <w:p>
      <w:pPr>
        <w:pStyle w:val="Defpara"/>
      </w:pPr>
      <w:r>
        <w:tab/>
        <w:t>(a)</w:t>
      </w:r>
      <w:r>
        <w:tab/>
        <w:t>enter and use the land specified in the licence for the purpose of operating an apiary; and</w:t>
      </w:r>
    </w:p>
    <w:p>
      <w:pPr>
        <w:pStyle w:val="Defpara"/>
      </w:pPr>
      <w:r>
        <w:tab/>
        <w:t>(b)</w:t>
      </w:r>
      <w:r>
        <w:tab/>
        <w:t>remove honey, bees</w:t>
      </w:r>
      <w:r>
        <w:noBreakHyphen/>
        <w:t>wax and pollen from that land;</w:t>
      </w:r>
    </w:p>
    <w:p>
      <w:pPr>
        <w:pStyle w:val="Defstart"/>
      </w:pPr>
      <w:r>
        <w:rPr>
          <w:b/>
        </w:rPr>
        <w:tab/>
      </w:r>
      <w:r>
        <w:rPr>
          <w:rStyle w:val="CharDefText"/>
        </w:rPr>
        <w:t>apiary permit</w:t>
      </w:r>
      <w:r>
        <w:t xml:space="preserve"> means a permit granted under Part VIII Division 1 of the Act to — </w:t>
      </w:r>
    </w:p>
    <w:p>
      <w:pPr>
        <w:pStyle w:val="Defpara"/>
      </w:pPr>
      <w:r>
        <w:tab/>
        <w:t>(a)</w:t>
      </w:r>
      <w:r>
        <w:tab/>
        <w:t>occupy the land specified in the permit for the purpose of operating an apiary; and</w:t>
      </w:r>
    </w:p>
    <w:p>
      <w:pPr>
        <w:pStyle w:val="Defpara"/>
      </w:pPr>
      <w:r>
        <w:tab/>
        <w:t>(b)</w:t>
      </w:r>
      <w:r>
        <w:tab/>
        <w:t>remove honey, bees</w:t>
      </w:r>
      <w:r>
        <w:noBreakHyphen/>
        <w:t>wax and pollen from that land;</w:t>
      </w:r>
    </w:p>
    <w:p>
      <w:pPr>
        <w:pStyle w:val="Defstart"/>
      </w:pPr>
      <w:r>
        <w:rPr>
          <w:b/>
        </w:rPr>
        <w:tab/>
      </w:r>
      <w:r>
        <w:rPr>
          <w:rStyle w:val="CharDefText"/>
        </w:rPr>
        <w:t>apiary site</w:t>
      </w:r>
      <w:r>
        <w:t xml:space="preserve"> means the land specified in an apiary authority as the land to which the authority relates;</w:t>
      </w:r>
    </w:p>
    <w:p>
      <w:pPr>
        <w:pStyle w:val="Defstart"/>
      </w:pPr>
      <w:r>
        <w:rPr>
          <w:b/>
        </w:rPr>
        <w:tab/>
      </w:r>
      <w:r>
        <w:rPr>
          <w:rStyle w:val="CharDefText"/>
        </w:rPr>
        <w:t>South</w:t>
      </w:r>
      <w:r>
        <w:rPr>
          <w:rStyle w:val="CharDefText"/>
        </w:rPr>
        <w:noBreakHyphen/>
        <w:t>west zone</w:t>
      </w:r>
      <w:r>
        <w:t xml:space="preserve"> means those parts of the South</w:t>
      </w:r>
      <w:r>
        <w:noBreakHyphen/>
        <w:t xml:space="preserve">west Division and Eucla Division of the State (as described in the </w:t>
      </w:r>
      <w:r>
        <w:rPr>
          <w:i/>
          <w:iCs/>
        </w:rPr>
        <w:t>Land Administration Act 1997</w:t>
      </w:r>
      <w:r>
        <w:t xml:space="preserve"> Schedule 1) depicted as the South</w:t>
      </w:r>
      <w:r>
        <w:noBreakHyphen/>
        <w:t>west zone on the Department of Environment and Conservation</w:t>
      </w:r>
      <w:r>
        <w:rPr>
          <w:vertAlign w:val="superscript"/>
        </w:rPr>
        <w:t> 5</w:t>
      </w:r>
      <w:r>
        <w:t xml:space="preserve"> plan entitled “South</w:t>
      </w:r>
      <w:r>
        <w:noBreakHyphen/>
        <w:t>west zone — Apiary Permits and Licenses” dated August 2009.</w:t>
      </w:r>
    </w:p>
    <w:p>
      <w:pPr>
        <w:pStyle w:val="Footnotesection"/>
      </w:pPr>
      <w:r>
        <w:tab/>
        <w:t>[Regulation 98A inserted in Gazette 3 Sep 2010 p. 4278</w:t>
      </w:r>
      <w:r>
        <w:noBreakHyphen/>
        <w:t>9.]</w:t>
      </w:r>
    </w:p>
    <w:p>
      <w:pPr>
        <w:pStyle w:val="Heading5"/>
      </w:pPr>
      <w:bookmarkStart w:id="322" w:name="_Toc408498894"/>
      <w:bookmarkStart w:id="323" w:name="_Toc417563770"/>
      <w:r>
        <w:rPr>
          <w:rStyle w:val="CharSectno"/>
        </w:rPr>
        <w:t>98B</w:t>
      </w:r>
      <w:r>
        <w:t>.</w:t>
      </w:r>
      <w:r>
        <w:tab/>
        <w:t>Application of Part 8A</w:t>
      </w:r>
      <w:bookmarkEnd w:id="322"/>
      <w:bookmarkEnd w:id="323"/>
    </w:p>
    <w:p>
      <w:pPr>
        <w:pStyle w:val="Subsection"/>
      </w:pPr>
      <w:r>
        <w:tab/>
      </w:r>
      <w:r>
        <w:tab/>
        <w:t>This Part applies to all land in respect of which an apiary licence or apiary permit may be granted.</w:t>
      </w:r>
    </w:p>
    <w:p>
      <w:pPr>
        <w:pStyle w:val="Footnotesection"/>
      </w:pPr>
      <w:r>
        <w:tab/>
        <w:t>[Regulation 98B inserted in Gazette 3 Sep 2010 p. 4279.]</w:t>
      </w:r>
    </w:p>
    <w:p>
      <w:pPr>
        <w:pStyle w:val="Heading5"/>
      </w:pPr>
      <w:bookmarkStart w:id="324" w:name="_Toc408498895"/>
      <w:bookmarkStart w:id="325" w:name="_Toc417563771"/>
      <w:r>
        <w:rPr>
          <w:rStyle w:val="CharSectno"/>
        </w:rPr>
        <w:t>98C</w:t>
      </w:r>
      <w:r>
        <w:t>.</w:t>
      </w:r>
      <w:r>
        <w:tab/>
        <w:t>Applications</w:t>
      </w:r>
      <w:bookmarkEnd w:id="324"/>
      <w:bookmarkEnd w:id="325"/>
    </w:p>
    <w:p>
      <w:pPr>
        <w:pStyle w:val="Subsection"/>
      </w:pPr>
      <w:r>
        <w:tab/>
        <w:t>(1)</w:t>
      </w:r>
      <w:r>
        <w:tab/>
        <w:t xml:space="preserve">An application — </w:t>
      </w:r>
    </w:p>
    <w:p>
      <w:pPr>
        <w:pStyle w:val="Indenta"/>
      </w:pPr>
      <w:r>
        <w:tab/>
        <w:t>(a)</w:t>
      </w:r>
      <w:r>
        <w:tab/>
        <w:t>for the grant, renewal or transfer of an apiary authority; or</w:t>
      </w:r>
    </w:p>
    <w:p>
      <w:pPr>
        <w:pStyle w:val="Indenta"/>
      </w:pPr>
      <w:r>
        <w:tab/>
        <w:t>(b)</w:t>
      </w:r>
      <w:r>
        <w:tab/>
        <w:t>for the variation of an apiary licence to change the site to which it relates; or</w:t>
      </w:r>
    </w:p>
    <w:p>
      <w:pPr>
        <w:pStyle w:val="Indenta"/>
      </w:pPr>
      <w:r>
        <w:tab/>
        <w:t>(c)</w:t>
      </w:r>
      <w:r>
        <w:tab/>
        <w:t>otherwise relating to an apiary authority,</w:t>
      </w:r>
    </w:p>
    <w:p>
      <w:pPr>
        <w:pStyle w:val="Subsection"/>
      </w:pPr>
      <w:r>
        <w:tab/>
      </w:r>
      <w:r>
        <w:tab/>
        <w:t>must be made to the CEO in writing.</w:t>
      </w:r>
    </w:p>
    <w:p>
      <w:pPr>
        <w:pStyle w:val="Subsection"/>
      </w:pPr>
      <w:r>
        <w:tab/>
        <w:t>(2)</w:t>
      </w:r>
      <w:r>
        <w:tab/>
        <w:t>An applicant must provide the CEO with any relevant information requested by the CEO.</w:t>
      </w:r>
    </w:p>
    <w:p>
      <w:pPr>
        <w:pStyle w:val="Subsection"/>
      </w:pPr>
      <w:r>
        <w:tab/>
        <w:t>(3)</w:t>
      </w:r>
      <w:r>
        <w:tab/>
        <w:t xml:space="preserve">An application may be made in relation to 2 or more apiary authorities in the same form. </w:t>
      </w:r>
    </w:p>
    <w:p>
      <w:pPr>
        <w:pStyle w:val="Subsection"/>
      </w:pPr>
      <w:r>
        <w:tab/>
        <w:t>(4)</w:t>
      </w:r>
      <w:r>
        <w:tab/>
        <w:t>The fees specified in Schedule 1 Division 11 are payable in respect of an application made in relation to an apiary authority.</w:t>
      </w:r>
    </w:p>
    <w:p>
      <w:pPr>
        <w:pStyle w:val="Footnotesection"/>
      </w:pPr>
      <w:r>
        <w:tab/>
        <w:t>[Regulation 98C inserted in Gazette 3 Sep 2010 p. 4279.]</w:t>
      </w:r>
    </w:p>
    <w:p>
      <w:pPr>
        <w:pStyle w:val="Heading5"/>
      </w:pPr>
      <w:bookmarkStart w:id="326" w:name="_Toc408498896"/>
      <w:bookmarkStart w:id="327" w:name="_Toc417563772"/>
      <w:r>
        <w:rPr>
          <w:rStyle w:val="CharSectno"/>
        </w:rPr>
        <w:t>98D</w:t>
      </w:r>
      <w:r>
        <w:t>.</w:t>
      </w:r>
      <w:r>
        <w:tab/>
        <w:t>Maximum area of apiary site</w:t>
      </w:r>
      <w:bookmarkEnd w:id="326"/>
      <w:bookmarkEnd w:id="327"/>
    </w:p>
    <w:p>
      <w:pPr>
        <w:pStyle w:val="Subsection"/>
      </w:pPr>
      <w:r>
        <w:tab/>
      </w:r>
      <w:r>
        <w:tab/>
        <w:t xml:space="preserve">The area of an apiary site for which an apiary authority is granted must not exceed the area that the CEO considers is reasonably necessary to enable an apiary to be efficiently operated on the site. </w:t>
      </w:r>
    </w:p>
    <w:p>
      <w:pPr>
        <w:pStyle w:val="Footnotesection"/>
      </w:pPr>
      <w:r>
        <w:tab/>
        <w:t>[Regulation 98D inserted in Gazette 3 Sep 2010 p. 4279.]</w:t>
      </w:r>
    </w:p>
    <w:p>
      <w:pPr>
        <w:pStyle w:val="Heading5"/>
      </w:pPr>
      <w:bookmarkStart w:id="328" w:name="_Toc408498897"/>
      <w:bookmarkStart w:id="329" w:name="_Toc417563773"/>
      <w:r>
        <w:rPr>
          <w:rStyle w:val="CharSectno"/>
        </w:rPr>
        <w:t>98E</w:t>
      </w:r>
      <w:r>
        <w:t>.</w:t>
      </w:r>
      <w:r>
        <w:tab/>
        <w:t>Form of apiary authority</w:t>
      </w:r>
      <w:bookmarkEnd w:id="328"/>
      <w:bookmarkEnd w:id="329"/>
    </w:p>
    <w:p>
      <w:pPr>
        <w:pStyle w:val="Subsection"/>
      </w:pPr>
      <w:r>
        <w:tab/>
        <w:t>(1)</w:t>
      </w:r>
      <w:r>
        <w:tab/>
        <w:t>An apiary permit is to be in the form of Schedule 3 Form 3.</w:t>
      </w:r>
    </w:p>
    <w:p>
      <w:pPr>
        <w:pStyle w:val="Subsection"/>
      </w:pPr>
      <w:r>
        <w:tab/>
        <w:t>(2)</w:t>
      </w:r>
      <w:r>
        <w:tab/>
        <w:t>An apiary licence is to be in writing in such form as the CEO thinks fit.</w:t>
      </w:r>
    </w:p>
    <w:p>
      <w:pPr>
        <w:pStyle w:val="Footnotesection"/>
      </w:pPr>
      <w:r>
        <w:tab/>
        <w:t>[Regulation 98E inserted in Gazette 3 Sep 2010 p. 4279</w:t>
      </w:r>
      <w:r>
        <w:noBreakHyphen/>
        <w:t>80.]</w:t>
      </w:r>
    </w:p>
    <w:p>
      <w:pPr>
        <w:pStyle w:val="Heading5"/>
      </w:pPr>
      <w:bookmarkStart w:id="330" w:name="_Toc408498898"/>
      <w:bookmarkStart w:id="331" w:name="_Toc417563774"/>
      <w:r>
        <w:rPr>
          <w:rStyle w:val="CharSectno"/>
        </w:rPr>
        <w:t>98F</w:t>
      </w:r>
      <w:r>
        <w:t>.</w:t>
      </w:r>
      <w:r>
        <w:tab/>
        <w:t>Duration of apiary authority</w:t>
      </w:r>
      <w:bookmarkEnd w:id="330"/>
      <w:bookmarkEnd w:id="331"/>
    </w:p>
    <w:p>
      <w:pPr>
        <w:pStyle w:val="Subsection"/>
      </w:pPr>
      <w:r>
        <w:tab/>
        <w:t>(1)</w:t>
      </w:r>
      <w:r>
        <w:tab/>
        <w:t>An apiary authority —</w:t>
      </w:r>
    </w:p>
    <w:p>
      <w:pPr>
        <w:pStyle w:val="Indenta"/>
      </w:pPr>
      <w:r>
        <w:tab/>
        <w:t>(a)</w:t>
      </w:r>
      <w:r>
        <w:tab/>
        <w:t>takes effect on the day on which it is granted or any later day specified in it; and</w:t>
      </w:r>
    </w:p>
    <w:p>
      <w:pPr>
        <w:pStyle w:val="Indenta"/>
      </w:pPr>
      <w:r>
        <w:tab/>
        <w:t>(b)</w:t>
      </w:r>
      <w:r>
        <w:tab/>
        <w:t>remains in force for the period specified in it unless before then it expires under subregulation (2), is surrendered or is cancelled.</w:t>
      </w:r>
    </w:p>
    <w:p>
      <w:pPr>
        <w:pStyle w:val="Subsection"/>
      </w:pPr>
      <w:r>
        <w:tab/>
        <w:t>(2)</w:t>
      </w:r>
      <w:r>
        <w:tab/>
        <w:t>An apiary authority expires if the apiary site ceases to be land in respect of which the authority can be granted under Part VIII Division 1 or 2, as the case requires, of the Act.</w:t>
      </w:r>
    </w:p>
    <w:p>
      <w:pPr>
        <w:pStyle w:val="Subsection"/>
      </w:pPr>
      <w:r>
        <w:tab/>
        <w:t>(3)</w:t>
      </w:r>
      <w:r>
        <w:tab/>
        <w:t>The holder of an apiary authority may surrender it at any time by returning the permit or licence to the CEO, in which case it ceases to have effect when it is received by the CEO.</w:t>
      </w:r>
    </w:p>
    <w:p>
      <w:pPr>
        <w:pStyle w:val="Footnotesection"/>
      </w:pPr>
      <w:r>
        <w:tab/>
        <w:t>[Regulation 98F inserted in Gazette 3 Sep 2010 p. 4280.]</w:t>
      </w:r>
    </w:p>
    <w:p>
      <w:pPr>
        <w:pStyle w:val="Heading5"/>
      </w:pPr>
      <w:bookmarkStart w:id="332" w:name="_Toc408498899"/>
      <w:bookmarkStart w:id="333" w:name="_Toc417563775"/>
      <w:r>
        <w:rPr>
          <w:rStyle w:val="CharSectno"/>
        </w:rPr>
        <w:t>98G</w:t>
      </w:r>
      <w:r>
        <w:t>.</w:t>
      </w:r>
      <w:r>
        <w:tab/>
        <w:t>Conditions</w:t>
      </w:r>
      <w:bookmarkEnd w:id="332"/>
      <w:bookmarkEnd w:id="333"/>
    </w:p>
    <w:p>
      <w:pPr>
        <w:pStyle w:val="Subsection"/>
      </w:pPr>
      <w:r>
        <w:tab/>
        <w:t>(1)</w:t>
      </w:r>
      <w:r>
        <w:tab/>
        <w:t xml:space="preserve">In this regulation — </w:t>
      </w:r>
    </w:p>
    <w:p>
      <w:pPr>
        <w:pStyle w:val="Defstart"/>
      </w:pPr>
      <w:r>
        <w:rPr>
          <w:b/>
        </w:rPr>
        <w:tab/>
      </w:r>
      <w:r>
        <w:rPr>
          <w:rStyle w:val="CharDefText"/>
        </w:rPr>
        <w:t>apiarist</w:t>
      </w:r>
      <w:r>
        <w:t xml:space="preserve"> includes an employee or agent of the apiarist; </w:t>
      </w:r>
    </w:p>
    <w:p>
      <w:pPr>
        <w:pStyle w:val="Defstart"/>
      </w:pPr>
      <w:r>
        <w:rPr>
          <w:b/>
        </w:rPr>
        <w:tab/>
      </w:r>
      <w:r>
        <w:rPr>
          <w:rStyle w:val="CharDefText"/>
        </w:rPr>
        <w:t>local departmental office</w:t>
      </w:r>
      <w:r>
        <w:rPr>
          <w:bCs/>
        </w:rPr>
        <w:t xml:space="preserve">, in relation to an apiary site, </w:t>
      </w:r>
      <w:r>
        <w:t>means the office of the Department responsible for the day</w:t>
      </w:r>
      <w:r>
        <w:noBreakHyphen/>
        <w:t>to</w:t>
      </w:r>
      <w:r>
        <w:noBreakHyphen/>
        <w:t>day management of the area that includes the apiary site.</w:t>
      </w:r>
    </w:p>
    <w:p>
      <w:pPr>
        <w:pStyle w:val="Subsection"/>
      </w:pPr>
      <w:r>
        <w:tab/>
        <w:t>(2)</w:t>
      </w:r>
      <w:r>
        <w:tab/>
        <w:t xml:space="preserve">The following conditions apply to every apiary authority — </w:t>
      </w:r>
    </w:p>
    <w:p>
      <w:pPr>
        <w:pStyle w:val="Indenta"/>
      </w:pPr>
      <w:r>
        <w:tab/>
        <w:t>(a)</w:t>
      </w:r>
      <w:r>
        <w:tab/>
        <w:t>the apiarist must immediately report any outbreak of fire on or near the apiary site to the local departmental office;</w:t>
      </w:r>
    </w:p>
    <w:p>
      <w:pPr>
        <w:pStyle w:val="Indenta"/>
      </w:pPr>
      <w:r>
        <w:tab/>
        <w:t>(b)</w:t>
      </w:r>
      <w:r>
        <w:tab/>
        <w:t>the apiarist must cooperate with the Department and any other authority or person lawfully carrying out fire prevention or control activities on or near the apiary site;</w:t>
      </w:r>
    </w:p>
    <w:p>
      <w:pPr>
        <w:pStyle w:val="Indenta"/>
      </w:pPr>
      <w:r>
        <w:tab/>
        <w:t>(c)</w:t>
      </w:r>
      <w:r>
        <w:tab/>
        <w:t>the apiarist must ensure that there is adequate water on the apiary site for all apiary requirements;</w:t>
      </w:r>
    </w:p>
    <w:p>
      <w:pPr>
        <w:pStyle w:val="Indenta"/>
        <w:keepNext/>
      </w:pPr>
      <w:r>
        <w:tab/>
        <w:t>(d)</w:t>
      </w:r>
      <w:r>
        <w:tab/>
        <w:t xml:space="preserve">before placing hives on the apiary site the apiarist must give notice to — </w:t>
      </w:r>
    </w:p>
    <w:p>
      <w:pPr>
        <w:pStyle w:val="Indenti"/>
      </w:pPr>
      <w:r>
        <w:tab/>
        <w:t>(i)</w:t>
      </w:r>
      <w:r>
        <w:tab/>
        <w:t>the local departmental office; and</w:t>
      </w:r>
    </w:p>
    <w:p>
      <w:pPr>
        <w:pStyle w:val="Indenti"/>
      </w:pPr>
      <w:r>
        <w:tab/>
        <w:t>(ii)</w:t>
      </w:r>
      <w:r>
        <w:tab/>
        <w:t>if the site is on a pastoral lease or mining tenement — the employee or agent of the pastoral lessee or tenement holder who is responsible for the day</w:t>
      </w:r>
      <w:r>
        <w:noBreakHyphen/>
        <w:t>to</w:t>
      </w:r>
      <w:r>
        <w:noBreakHyphen/>
        <w:t>day management of the area of the lease or tenement where the site is located;</w:t>
      </w:r>
    </w:p>
    <w:p>
      <w:pPr>
        <w:pStyle w:val="Indenta"/>
      </w:pPr>
      <w:r>
        <w:tab/>
        <w:t>(e)</w:t>
      </w:r>
      <w:r>
        <w:tab/>
        <w:t>the apiarist must take all reasonably practicable steps to ensure that the apiarist’s activities do not infect the site with, or spread, a forest disease;</w:t>
      </w:r>
    </w:p>
    <w:p>
      <w:pPr>
        <w:pStyle w:val="Indenta"/>
      </w:pPr>
      <w:r>
        <w:tab/>
        <w:t>(f)</w:t>
      </w:r>
      <w:r>
        <w:tab/>
        <w:t xml:space="preserve">the apiarist must comply with the following written laws — </w:t>
      </w:r>
    </w:p>
    <w:p>
      <w:pPr>
        <w:pStyle w:val="Indenti"/>
        <w:rPr>
          <w:snapToGrid w:val="0"/>
        </w:rPr>
      </w:pPr>
      <w:r>
        <w:rPr>
          <w:snapToGrid w:val="0"/>
        </w:rPr>
        <w:tab/>
        <w:t>(i)</w:t>
      </w:r>
      <w:r>
        <w:rPr>
          <w:snapToGrid w:val="0"/>
        </w:rPr>
        <w:tab/>
      </w:r>
      <w:r>
        <w:rPr>
          <w:i/>
          <w:iCs/>
          <w:snapToGrid w:val="0"/>
        </w:rPr>
        <w:t>Conservation and Land Management Act 1984</w:t>
      </w:r>
      <w:r>
        <w:rPr>
          <w:snapToGrid w:val="0"/>
        </w:rPr>
        <w:t>;</w:t>
      </w:r>
    </w:p>
    <w:p>
      <w:pPr>
        <w:pStyle w:val="Indenti"/>
        <w:rPr>
          <w:snapToGrid w:val="0"/>
        </w:rPr>
      </w:pPr>
      <w:r>
        <w:rPr>
          <w:snapToGrid w:val="0"/>
        </w:rPr>
        <w:tab/>
        <w:t>(ii)</w:t>
      </w:r>
      <w:r>
        <w:rPr>
          <w:snapToGrid w:val="0"/>
        </w:rPr>
        <w:tab/>
      </w:r>
      <w:r>
        <w:rPr>
          <w:i/>
          <w:iCs/>
          <w:snapToGrid w:val="0"/>
        </w:rPr>
        <w:t>Bush Fires Act 1954</w:t>
      </w:r>
      <w:r>
        <w:rPr>
          <w:snapToGrid w:val="0"/>
        </w:rPr>
        <w:t>;</w:t>
      </w:r>
    </w:p>
    <w:p>
      <w:pPr>
        <w:pStyle w:val="Indenti"/>
        <w:rPr>
          <w:snapToGrid w:val="0"/>
        </w:rPr>
      </w:pPr>
      <w:r>
        <w:rPr>
          <w:snapToGrid w:val="0"/>
        </w:rPr>
        <w:tab/>
        <w:t>(iii)</w:t>
      </w:r>
      <w:r>
        <w:rPr>
          <w:snapToGrid w:val="0"/>
        </w:rPr>
        <w:tab/>
      </w:r>
      <w:r>
        <w:rPr>
          <w:i/>
          <w:iCs/>
          <w:snapToGrid w:val="0"/>
        </w:rPr>
        <w:t>Health Act 1911</w:t>
      </w:r>
      <w:r>
        <w:rPr>
          <w:snapToGrid w:val="0"/>
        </w:rPr>
        <w:t>;</w:t>
      </w:r>
    </w:p>
    <w:p>
      <w:pPr>
        <w:pStyle w:val="Indenti"/>
        <w:rPr>
          <w:snapToGrid w:val="0"/>
        </w:rPr>
      </w:pPr>
      <w:r>
        <w:tab/>
        <w:t>(iv)</w:t>
      </w:r>
      <w:r>
        <w:tab/>
        <w:t xml:space="preserve">any written law relating to </w:t>
      </w:r>
      <w:r>
        <w:rPr>
          <w:snapToGrid w:val="0"/>
        </w:rPr>
        <w:t>protection of water catchments or regulation of water supplies.</w:t>
      </w:r>
    </w:p>
    <w:p>
      <w:pPr>
        <w:pStyle w:val="Subsection"/>
      </w:pPr>
      <w:r>
        <w:tab/>
        <w:t>(3)</w:t>
      </w:r>
      <w:r>
        <w:tab/>
        <w:t xml:space="preserve">A notice for the purposes of subregulation (2)(d) must include the following information — </w:t>
      </w:r>
    </w:p>
    <w:p>
      <w:pPr>
        <w:pStyle w:val="Indenta"/>
      </w:pPr>
      <w:r>
        <w:tab/>
        <w:t>(a)</w:t>
      </w:r>
      <w:r>
        <w:tab/>
        <w:t>the proposed location of the hives;</w:t>
      </w:r>
    </w:p>
    <w:p>
      <w:pPr>
        <w:pStyle w:val="Indenta"/>
      </w:pPr>
      <w:r>
        <w:tab/>
        <w:t>(b)</w:t>
      </w:r>
      <w:r>
        <w:tab/>
        <w:t>the number of hives proposed to be placed on the site;</w:t>
      </w:r>
    </w:p>
    <w:p>
      <w:pPr>
        <w:pStyle w:val="Indenta"/>
      </w:pPr>
      <w:r>
        <w:tab/>
        <w:t>(c)</w:t>
      </w:r>
      <w:r>
        <w:tab/>
        <w:t>how long it is proposed the hives will remain on the site;</w:t>
      </w:r>
    </w:p>
    <w:p>
      <w:pPr>
        <w:pStyle w:val="Indenta"/>
      </w:pPr>
      <w:r>
        <w:tab/>
        <w:t>(d)</w:t>
      </w:r>
      <w:r>
        <w:tab/>
        <w:t>the names of the people who are expected to be entering the site for apiary purposes.</w:t>
      </w:r>
    </w:p>
    <w:p>
      <w:pPr>
        <w:pStyle w:val="Footnotesection"/>
      </w:pPr>
      <w:r>
        <w:tab/>
        <w:t>[Regulation 98G inserted in Gazette 3 Sep 2010 p. 4280</w:t>
      </w:r>
      <w:r>
        <w:noBreakHyphen/>
        <w:t>1.]</w:t>
      </w:r>
    </w:p>
    <w:p>
      <w:pPr>
        <w:pStyle w:val="Heading5"/>
      </w:pPr>
      <w:bookmarkStart w:id="334" w:name="_Toc408498900"/>
      <w:bookmarkStart w:id="335" w:name="_Toc417563776"/>
      <w:r>
        <w:rPr>
          <w:rStyle w:val="CharSectno"/>
        </w:rPr>
        <w:t>98H</w:t>
      </w:r>
      <w:r>
        <w:t>.</w:t>
      </w:r>
      <w:r>
        <w:tab/>
        <w:t>Application of regulations to apiary sites that are not on CALM land</w:t>
      </w:r>
      <w:bookmarkEnd w:id="334"/>
      <w:bookmarkEnd w:id="335"/>
    </w:p>
    <w:p>
      <w:pPr>
        <w:pStyle w:val="Subsection"/>
      </w:pPr>
      <w:r>
        <w:tab/>
      </w:r>
      <w:r>
        <w:tab/>
        <w:t>If an apiary site is on land that is not CALM land, the regulations listed in the Table apply in relation to the apiarist, any employee or agent of the apiarist and any other person who is on the site for a purpose related to the operation of the apiary, as if the apiary site were CALM land.</w:t>
      </w:r>
    </w:p>
    <w:p>
      <w:pPr>
        <w:pStyle w:val="THeadingNAm"/>
        <w:outlineLvl w:val="0"/>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764"/>
        <w:gridCol w:w="2764"/>
      </w:tblGrid>
      <w:tr>
        <w:trPr>
          <w:tblHeader/>
        </w:trPr>
        <w:tc>
          <w:tcPr>
            <w:tcW w:w="2764" w:type="dxa"/>
          </w:tcPr>
          <w:p>
            <w:pPr>
              <w:pStyle w:val="TableNAm"/>
            </w:pPr>
            <w:r>
              <w:t>r. 21</w:t>
            </w:r>
          </w:p>
        </w:tc>
        <w:tc>
          <w:tcPr>
            <w:tcW w:w="2764" w:type="dxa"/>
          </w:tcPr>
          <w:p>
            <w:pPr>
              <w:pStyle w:val="TableNAm"/>
            </w:pPr>
            <w:r>
              <w:t>r. 23</w:t>
            </w:r>
          </w:p>
        </w:tc>
      </w:tr>
      <w:tr>
        <w:tc>
          <w:tcPr>
            <w:tcW w:w="2764" w:type="dxa"/>
          </w:tcPr>
          <w:p>
            <w:pPr>
              <w:pStyle w:val="TableNAm"/>
            </w:pPr>
            <w:r>
              <w:t>r. 24</w:t>
            </w:r>
          </w:p>
        </w:tc>
        <w:tc>
          <w:tcPr>
            <w:tcW w:w="2764" w:type="dxa"/>
          </w:tcPr>
          <w:p>
            <w:pPr>
              <w:pStyle w:val="TableNAm"/>
            </w:pPr>
            <w:r>
              <w:t>r. 25</w:t>
            </w:r>
          </w:p>
        </w:tc>
      </w:tr>
      <w:tr>
        <w:tc>
          <w:tcPr>
            <w:tcW w:w="2764" w:type="dxa"/>
          </w:tcPr>
          <w:p>
            <w:pPr>
              <w:pStyle w:val="TableNAm"/>
            </w:pPr>
            <w:r>
              <w:t>r. 27</w:t>
            </w:r>
          </w:p>
        </w:tc>
        <w:tc>
          <w:tcPr>
            <w:tcW w:w="2764" w:type="dxa"/>
          </w:tcPr>
          <w:p>
            <w:pPr>
              <w:pStyle w:val="TableNAm"/>
            </w:pPr>
            <w:r>
              <w:t>r. 31</w:t>
            </w:r>
          </w:p>
        </w:tc>
      </w:tr>
      <w:tr>
        <w:tc>
          <w:tcPr>
            <w:tcW w:w="2764" w:type="dxa"/>
          </w:tcPr>
          <w:p>
            <w:pPr>
              <w:pStyle w:val="TableNAm"/>
            </w:pPr>
            <w:r>
              <w:t>r. 34</w:t>
            </w:r>
          </w:p>
        </w:tc>
        <w:tc>
          <w:tcPr>
            <w:tcW w:w="2764" w:type="dxa"/>
          </w:tcPr>
          <w:p>
            <w:pPr>
              <w:pStyle w:val="TableNAm"/>
            </w:pPr>
            <w:r>
              <w:t>r. 35</w:t>
            </w:r>
          </w:p>
        </w:tc>
      </w:tr>
      <w:tr>
        <w:tc>
          <w:tcPr>
            <w:tcW w:w="2764" w:type="dxa"/>
          </w:tcPr>
          <w:p>
            <w:pPr>
              <w:pStyle w:val="TableNAm"/>
            </w:pPr>
            <w:r>
              <w:t>r. 36</w:t>
            </w:r>
          </w:p>
        </w:tc>
        <w:tc>
          <w:tcPr>
            <w:tcW w:w="2764" w:type="dxa"/>
          </w:tcPr>
          <w:p>
            <w:pPr>
              <w:pStyle w:val="TableNAm"/>
            </w:pPr>
            <w:r>
              <w:t>r. 38</w:t>
            </w:r>
          </w:p>
        </w:tc>
      </w:tr>
    </w:tbl>
    <w:p>
      <w:pPr>
        <w:pStyle w:val="Footnotesection"/>
      </w:pPr>
      <w:r>
        <w:tab/>
        <w:t>[Regulation 98H inserted in Gazette 3 Sep 2010 p. 4281.]</w:t>
      </w:r>
    </w:p>
    <w:p>
      <w:pPr>
        <w:pStyle w:val="Heading5"/>
      </w:pPr>
      <w:bookmarkStart w:id="336" w:name="_Toc408498901"/>
      <w:bookmarkStart w:id="337" w:name="_Toc417563777"/>
      <w:r>
        <w:rPr>
          <w:rStyle w:val="CharSectno"/>
        </w:rPr>
        <w:t>98I</w:t>
      </w:r>
      <w:r>
        <w:t>.</w:t>
      </w:r>
      <w:r>
        <w:tab/>
        <w:t>Other operations not affected by apiary</w:t>
      </w:r>
      <w:bookmarkEnd w:id="336"/>
      <w:bookmarkEnd w:id="337"/>
    </w:p>
    <w:p>
      <w:pPr>
        <w:pStyle w:val="Subsection"/>
      </w:pPr>
      <w:r>
        <w:tab/>
        <w:t>(1)</w:t>
      </w:r>
      <w:r>
        <w:tab/>
        <w:t>The fact that an apiary authority is in force in respect of a site does not affect the right of any person who has lawful authority to do so from doing any of the following, whether on the site or elsewhere —</w:t>
      </w:r>
    </w:p>
    <w:p>
      <w:pPr>
        <w:pStyle w:val="Indenta"/>
      </w:pPr>
      <w:r>
        <w:tab/>
        <w:t>(a)</w:t>
      </w:r>
      <w:r>
        <w:tab/>
        <w:t>felling, cutting or removing any forest produce;</w:t>
      </w:r>
    </w:p>
    <w:p>
      <w:pPr>
        <w:pStyle w:val="Indenta"/>
      </w:pPr>
      <w:r>
        <w:tab/>
        <w:t>(b)</w:t>
      </w:r>
      <w:r>
        <w:tab/>
        <w:t>carrying out any fire control or prevention activity, including the construction and maintenance of firebreaks and managed burning;</w:t>
      </w:r>
    </w:p>
    <w:p>
      <w:pPr>
        <w:pStyle w:val="Indenta"/>
      </w:pPr>
      <w:r>
        <w:tab/>
        <w:t>(c)</w:t>
      </w:r>
      <w:r>
        <w:tab/>
        <w:t>doing anything that is required or permitted to be done under a management plan.</w:t>
      </w:r>
    </w:p>
    <w:p>
      <w:pPr>
        <w:pStyle w:val="Subsection"/>
      </w:pPr>
      <w:r>
        <w:tab/>
        <w:t>(2)</w:t>
      </w:r>
      <w:r>
        <w:tab/>
        <w:t>The holder of an apiary authority is not entitled to compensation for any loss or damage arising from the carrying out of any such activity.</w:t>
      </w:r>
    </w:p>
    <w:p>
      <w:pPr>
        <w:pStyle w:val="Footnotesection"/>
      </w:pPr>
      <w:r>
        <w:tab/>
        <w:t>[Regulation 98I inserted in Gazette 3 Sep 2010 p. 4282.]</w:t>
      </w:r>
    </w:p>
    <w:p>
      <w:pPr>
        <w:pStyle w:val="Heading5"/>
      </w:pPr>
      <w:bookmarkStart w:id="338" w:name="_Toc408498902"/>
      <w:bookmarkStart w:id="339" w:name="_Toc417563778"/>
      <w:r>
        <w:rPr>
          <w:rStyle w:val="CharSectno"/>
        </w:rPr>
        <w:t>98J</w:t>
      </w:r>
      <w:r>
        <w:t>.</w:t>
      </w:r>
      <w:r>
        <w:tab/>
        <w:t>False or misleading information</w:t>
      </w:r>
      <w:bookmarkEnd w:id="338"/>
      <w:bookmarkEnd w:id="339"/>
    </w:p>
    <w:p>
      <w:pPr>
        <w:pStyle w:val="Subsection"/>
      </w:pPr>
      <w:r>
        <w:tab/>
      </w:r>
      <w:r>
        <w:tab/>
        <w:t>A person must not, in relation to an apiary authority, give information orally or in writing to the CEO that the person knows to be —</w:t>
      </w:r>
    </w:p>
    <w:p>
      <w:pPr>
        <w:pStyle w:val="Indenta"/>
      </w:pPr>
      <w:r>
        <w:tab/>
        <w:t>(a)</w:t>
      </w:r>
      <w:r>
        <w:tab/>
        <w:t>false or misleading in a material particular; or</w:t>
      </w:r>
    </w:p>
    <w:p>
      <w:pPr>
        <w:pStyle w:val="Indenta"/>
      </w:pPr>
      <w:r>
        <w:tab/>
        <w:t>(b)</w:t>
      </w:r>
      <w:r>
        <w:tab/>
        <w:t>likely to deceive in a material way.</w:t>
      </w:r>
    </w:p>
    <w:p>
      <w:pPr>
        <w:pStyle w:val="Penstart"/>
      </w:pPr>
      <w:r>
        <w:tab/>
        <w:t>Penalty: a fine of $1 000.</w:t>
      </w:r>
    </w:p>
    <w:p>
      <w:pPr>
        <w:pStyle w:val="Footnotesection"/>
      </w:pPr>
      <w:r>
        <w:tab/>
        <w:t>[Regulation 98J inserted in Gazette 3 Sep 2010 p. 4282.]</w:t>
      </w:r>
    </w:p>
    <w:p>
      <w:pPr>
        <w:pStyle w:val="Heading5"/>
      </w:pPr>
      <w:bookmarkStart w:id="340" w:name="_Toc408498903"/>
      <w:bookmarkStart w:id="341" w:name="_Toc417563779"/>
      <w:r>
        <w:rPr>
          <w:rStyle w:val="CharSectno"/>
        </w:rPr>
        <w:t>98K</w:t>
      </w:r>
      <w:r>
        <w:t>.</w:t>
      </w:r>
      <w:r>
        <w:tab/>
        <w:t>Rent for apiary sites</w:t>
      </w:r>
      <w:bookmarkEnd w:id="340"/>
      <w:bookmarkEnd w:id="341"/>
    </w:p>
    <w:p>
      <w:pPr>
        <w:pStyle w:val="Subsection"/>
      </w:pPr>
      <w:r>
        <w:tab/>
        <w:t>(1)</w:t>
      </w:r>
      <w:r>
        <w:tab/>
        <w:t>The holder of an apiary authority is to pay to the CEO annual rent for each apiary site at the rate set out in subregulation (2).</w:t>
      </w:r>
    </w:p>
    <w:p>
      <w:pPr>
        <w:pStyle w:val="Subsection"/>
      </w:pPr>
      <w:r>
        <w:tab/>
        <w:t>(2)</w:t>
      </w:r>
      <w:r>
        <w:tab/>
        <w:t xml:space="preserve">The rate of rent is — </w:t>
      </w:r>
    </w:p>
    <w:p>
      <w:pPr>
        <w:pStyle w:val="Indenta"/>
      </w:pPr>
      <w:r>
        <w:tab/>
        <w:t>(a)</w:t>
      </w:r>
      <w:r>
        <w:tab/>
        <w:t>if the site is in the South</w:t>
      </w:r>
      <w:r>
        <w:noBreakHyphen/>
        <w:t>west zone — $84; or</w:t>
      </w:r>
    </w:p>
    <w:p>
      <w:pPr>
        <w:pStyle w:val="Indenta"/>
      </w:pPr>
      <w:r>
        <w:tab/>
        <w:t>(b)</w:t>
      </w:r>
      <w:r>
        <w:tab/>
        <w:t>if the site is outside the South</w:t>
      </w:r>
      <w:r>
        <w:noBreakHyphen/>
        <w:t>west zone — $42.</w:t>
      </w:r>
    </w:p>
    <w:p>
      <w:pPr>
        <w:pStyle w:val="Subsection"/>
      </w:pPr>
      <w:r>
        <w:tab/>
        <w:t>(3)</w:t>
      </w:r>
      <w:r>
        <w:tab/>
        <w:t>The rent is payable annually in advance on the date on which the apiary authority takes effect and each anniversary of that date.</w:t>
      </w:r>
    </w:p>
    <w:p>
      <w:pPr>
        <w:pStyle w:val="Subsection"/>
      </w:pPr>
      <w:r>
        <w:tab/>
        <w:t>(4)</w:t>
      </w:r>
      <w:r>
        <w:tab/>
        <w:t>If an apiary authority is to be in force for part only of a year the rent payable for that year is reduced proportionately.</w:t>
      </w:r>
    </w:p>
    <w:p>
      <w:pPr>
        <w:pStyle w:val="Subsection"/>
      </w:pPr>
      <w:r>
        <w:tab/>
        <w:t>(5)</w:t>
      </w:r>
      <w:r>
        <w:tab/>
        <w:t>The rent is payable whether or not the apiarist places any hives on, or removes any forest produce from, the apiary site.</w:t>
      </w:r>
    </w:p>
    <w:p>
      <w:pPr>
        <w:pStyle w:val="Footnotesection"/>
      </w:pPr>
      <w:r>
        <w:tab/>
        <w:t>[Regulation 98K inserted in Gazette 3 Sep 2010 p. 4282.]</w:t>
      </w:r>
    </w:p>
    <w:p>
      <w:pPr>
        <w:pStyle w:val="Heading2"/>
      </w:pPr>
      <w:bookmarkStart w:id="342" w:name="_Toc408498904"/>
      <w:bookmarkStart w:id="343" w:name="_Toc414889326"/>
      <w:bookmarkStart w:id="344" w:name="_Toc414975298"/>
      <w:bookmarkStart w:id="345" w:name="_Toc417563780"/>
      <w:r>
        <w:rPr>
          <w:rStyle w:val="CharPartNo"/>
        </w:rPr>
        <w:t>Part 8</w:t>
      </w:r>
      <w:r>
        <w:rPr>
          <w:rStyle w:val="CharDivNo"/>
        </w:rPr>
        <w:t xml:space="preserve"> </w:t>
      </w:r>
      <w:r>
        <w:t>—</w:t>
      </w:r>
      <w:r>
        <w:rPr>
          <w:rStyle w:val="CharDivText"/>
        </w:rPr>
        <w:t xml:space="preserve"> </w:t>
      </w:r>
      <w:r>
        <w:rPr>
          <w:rStyle w:val="CharPartText"/>
        </w:rPr>
        <w:t>Fees</w:t>
      </w:r>
      <w:bookmarkEnd w:id="342"/>
      <w:bookmarkEnd w:id="343"/>
      <w:bookmarkEnd w:id="344"/>
      <w:bookmarkEnd w:id="345"/>
    </w:p>
    <w:p>
      <w:pPr>
        <w:pStyle w:val="Footnoteheading"/>
      </w:pPr>
      <w:r>
        <w:tab/>
        <w:t>[Heading amended in Gazette 29 Sep 2006 p. 4319.]</w:t>
      </w:r>
    </w:p>
    <w:p>
      <w:pPr>
        <w:pStyle w:val="Heading5"/>
        <w:spacing w:before="240"/>
        <w:rPr>
          <w:snapToGrid w:val="0"/>
        </w:rPr>
      </w:pPr>
      <w:bookmarkStart w:id="346" w:name="_Toc408498905"/>
      <w:bookmarkStart w:id="347" w:name="_Toc417563781"/>
      <w:r>
        <w:rPr>
          <w:rStyle w:val="CharSectno"/>
        </w:rPr>
        <w:t>99</w:t>
      </w:r>
      <w:r>
        <w:rPr>
          <w:snapToGrid w:val="0"/>
        </w:rPr>
        <w:t>.</w:t>
      </w:r>
      <w:r>
        <w:rPr>
          <w:snapToGrid w:val="0"/>
        </w:rPr>
        <w:tab/>
        <w:t>Entrance fees</w:t>
      </w:r>
      <w:r>
        <w:rPr>
          <w:b w:val="0"/>
        </w:rPr>
        <w:t xml:space="preserve"> </w:t>
      </w:r>
      <w:r>
        <w:t>for motor vehicles</w:t>
      </w:r>
      <w:bookmarkEnd w:id="346"/>
      <w:bookmarkEnd w:id="347"/>
      <w:r>
        <w:rPr>
          <w:snapToGrid w:val="0"/>
        </w:rPr>
        <w:t xml:space="preserve"> </w:t>
      </w:r>
    </w:p>
    <w:p>
      <w:pPr>
        <w:pStyle w:val="Subsection"/>
        <w:spacing w:before="180"/>
        <w:rPr>
          <w:snapToGrid w:val="0"/>
        </w:rPr>
      </w:pPr>
      <w:r>
        <w:rPr>
          <w:snapToGrid w:val="0"/>
        </w:rPr>
        <w:tab/>
        <w:t>(1)</w:t>
      </w:r>
      <w:r>
        <w:rPr>
          <w:snapToGrid w:val="0"/>
        </w:rPr>
        <w:tab/>
        <w:t>In this regulation — </w:t>
      </w:r>
    </w:p>
    <w:p>
      <w:pPr>
        <w:pStyle w:val="Defstart"/>
      </w:pPr>
      <w:r>
        <w:tab/>
      </w:r>
      <w:r>
        <w:rPr>
          <w:rStyle w:val="CharDefText"/>
        </w:rPr>
        <w:t>non</w:t>
      </w:r>
      <w:r>
        <w:rPr>
          <w:rStyle w:val="CharDefText"/>
        </w:rPr>
        <w:noBreakHyphen/>
        <w:t>tour motor vehicle</w:t>
      </w:r>
      <w:r>
        <w:rPr>
          <w:b/>
        </w:rPr>
        <w:t xml:space="preserve"> </w:t>
      </w:r>
      <w:r>
        <w:t>means a motor vehicle that is not a tour vehicle;</w:t>
      </w:r>
    </w:p>
    <w:p>
      <w:pPr>
        <w:pStyle w:val="Defstart"/>
      </w:pPr>
      <w:r>
        <w:tab/>
      </w:r>
      <w:r>
        <w:rPr>
          <w:rStyle w:val="CharDefText"/>
        </w:rPr>
        <w:t>tour vehicle</w:t>
      </w:r>
      <w:r>
        <w:t xml:space="preserve"> means — </w:t>
      </w:r>
    </w:p>
    <w:p>
      <w:pPr>
        <w:pStyle w:val="Defpara"/>
        <w:spacing w:before="60"/>
      </w:pPr>
      <w:r>
        <w:tab/>
        <w:t>(a)</w:t>
      </w:r>
      <w:r>
        <w:tab/>
        <w:t>a vehicle that is fitted with seats for 8 or more adult persons, including the driver, and is being used to carry passengers for separate fares; or</w:t>
      </w:r>
    </w:p>
    <w:p>
      <w:pPr>
        <w:pStyle w:val="Defpara"/>
        <w:spacing w:before="60"/>
      </w:pPr>
      <w:r>
        <w:tab/>
        <w:t>(b)</w:t>
      </w:r>
      <w:r>
        <w:tab/>
        <w:t xml:space="preserve">a taxi within the meaning of the </w:t>
      </w:r>
      <w:r>
        <w:rPr>
          <w:i/>
        </w:rPr>
        <w:t>Taxi Act 1994</w:t>
      </w:r>
      <w:r>
        <w:t>; or</w:t>
      </w:r>
    </w:p>
    <w:p>
      <w:pPr>
        <w:pStyle w:val="Defpara"/>
        <w:spacing w:before="60"/>
      </w:pPr>
      <w:r>
        <w:tab/>
        <w:t>(c)</w:t>
      </w:r>
      <w:r>
        <w:tab/>
        <w:t>a vehicle that is licensed to stand or ply for the carriage of passengers for reward; or</w:t>
      </w:r>
    </w:p>
    <w:p>
      <w:pPr>
        <w:pStyle w:val="Defpara"/>
        <w:spacing w:before="60"/>
      </w:pPr>
      <w:r>
        <w:tab/>
        <w:t>(d)</w:t>
      </w:r>
      <w:r>
        <w:tab/>
        <w:t>a vehicle that is fitted with seats for 13 or more persons, including the driver of the vehicle, and is being used to carry 13 or more persons, including the driver.</w:t>
      </w:r>
    </w:p>
    <w:p>
      <w:pPr>
        <w:pStyle w:val="Subsection"/>
        <w:spacing w:before="180"/>
        <w:rPr>
          <w:snapToGrid w:val="0"/>
        </w:rPr>
      </w:pPr>
      <w:r>
        <w:rPr>
          <w:snapToGrid w:val="0"/>
        </w:rPr>
        <w:tab/>
        <w:t>(2)</w:t>
      </w:r>
      <w:r>
        <w:rPr>
          <w:snapToGrid w:val="0"/>
        </w:rPr>
        <w:tab/>
        <w:t>Subject to subregulations (3) and (4) and Schedule 1 Division 1 — </w:t>
      </w:r>
    </w:p>
    <w:p>
      <w:pPr>
        <w:pStyle w:val="Indenta"/>
        <w:spacing w:before="60"/>
        <w:rPr>
          <w:snapToGrid w:val="0"/>
        </w:rPr>
      </w:pPr>
      <w:r>
        <w:rPr>
          <w:snapToGrid w:val="0"/>
        </w:rPr>
        <w:tab/>
        <w:t>(a)</w:t>
      </w:r>
      <w:r>
        <w:rPr>
          <w:snapToGrid w:val="0"/>
        </w:rPr>
        <w:tab/>
        <w:t>the relevant fee specified in Schedule 1 Division 1 item 1, 2 or 5 is payable daily per non</w:t>
      </w:r>
      <w:r>
        <w:rPr>
          <w:snapToGrid w:val="0"/>
        </w:rPr>
        <w:noBreakHyphen/>
        <w:t>tour motor vehicle entering an area of CALM land, and the person in charge of the vehicle is liable to pay the relevant fee; and</w:t>
      </w:r>
    </w:p>
    <w:p>
      <w:pPr>
        <w:pStyle w:val="Indenta"/>
        <w:spacing w:before="60"/>
        <w:rPr>
          <w:snapToGrid w:val="0"/>
        </w:rPr>
      </w:pPr>
      <w:r>
        <w:rPr>
          <w:snapToGrid w:val="0"/>
        </w:rPr>
        <w:tab/>
        <w:t>(b)</w:t>
      </w:r>
      <w:r>
        <w:rPr>
          <w:snapToGrid w:val="0"/>
        </w:rPr>
        <w:tab/>
        <w:t>the relevant fee specified in Schedule 1 Division 1 item 3, 4, or 6 is payable daily per occupant of a tour vehicle entering an area of CALM land, and the owner or operator of the tour vehicle is liable to pay the fee for every occupant of the tour vehicle.</w:t>
      </w:r>
    </w:p>
    <w:p>
      <w:pPr>
        <w:pStyle w:val="Subsection"/>
      </w:pPr>
      <w:r>
        <w:tab/>
        <w:t>(3)</w:t>
      </w:r>
      <w:r>
        <w:tab/>
        <w:t xml:space="preserve">Fees are not payable under this regulation unless the CEO has erected — </w:t>
      </w:r>
    </w:p>
    <w:p>
      <w:pPr>
        <w:pStyle w:val="Indenta"/>
        <w:spacing w:before="60"/>
      </w:pPr>
      <w:r>
        <w:tab/>
        <w:t>(a)</w:t>
      </w:r>
      <w:r>
        <w:tab/>
        <w:t>signs at or near the entrances to the area of CALM land stating that fees are payable for entry to that area; and</w:t>
      </w:r>
    </w:p>
    <w:p>
      <w:pPr>
        <w:pStyle w:val="Indenta"/>
      </w:pPr>
      <w:r>
        <w:tab/>
        <w:t>(b)</w:t>
      </w:r>
      <w:r>
        <w:tab/>
        <w:t xml:space="preserve">signs at or near the entrances to the area of CALM land, or at or near the place on CALM land at which the fees are collected, specifying — </w:t>
      </w:r>
    </w:p>
    <w:p>
      <w:pPr>
        <w:pStyle w:val="Indenti"/>
      </w:pPr>
      <w:r>
        <w:tab/>
        <w:t>(i)</w:t>
      </w:r>
      <w:r>
        <w:tab/>
        <w:t>the fees that are payable; and</w:t>
      </w:r>
    </w:p>
    <w:p>
      <w:pPr>
        <w:pStyle w:val="Indenti"/>
      </w:pPr>
      <w:r>
        <w:tab/>
        <w:t>(ii)</w:t>
      </w:r>
      <w:r>
        <w:tab/>
        <w:t>the manner in which the fees are to be paid.</w:t>
      </w:r>
    </w:p>
    <w:p>
      <w:pPr>
        <w:pStyle w:val="Subsection"/>
        <w:rPr>
          <w:snapToGrid w:val="0"/>
        </w:rPr>
      </w:pPr>
      <w:r>
        <w:tab/>
        <w:t>(4)</w:t>
      </w:r>
      <w:r>
        <w:tab/>
      </w:r>
      <w:r>
        <w:rPr>
          <w:snapToGrid w:val="0"/>
        </w:rPr>
        <w:t>A person is not liable to pay a fee under this regulation for entry in a non</w:t>
      </w:r>
      <w:r>
        <w:rPr>
          <w:snapToGrid w:val="0"/>
        </w:rPr>
        <w:noBreakHyphen/>
        <w:t xml:space="preserve">tour motor vehicle to an area of CALM land if that person has — </w:t>
      </w:r>
    </w:p>
    <w:p>
      <w:pPr>
        <w:pStyle w:val="Indenta"/>
        <w:spacing w:before="70"/>
        <w:rPr>
          <w:snapToGrid w:val="0"/>
        </w:rPr>
      </w:pPr>
      <w:r>
        <w:rPr>
          <w:snapToGrid w:val="0"/>
        </w:rPr>
        <w:tab/>
        <w:t>(a)</w:t>
      </w:r>
      <w:r>
        <w:rPr>
          <w:snapToGrid w:val="0"/>
        </w:rPr>
        <w:tab/>
        <w:t>paid the fee prescribed in Schedule 1 Division 2 for an extended pass for that person to enter that area at the relevant time and complied with any conditions on entry set out in that Division for that fee; or</w:t>
      </w:r>
    </w:p>
    <w:p>
      <w:pPr>
        <w:pStyle w:val="Indenta"/>
        <w:spacing w:before="70"/>
      </w:pPr>
      <w:r>
        <w:rPr>
          <w:snapToGrid w:val="0"/>
        </w:rPr>
        <w:tab/>
        <w:t>(b)</w:t>
      </w:r>
      <w:r>
        <w:rPr>
          <w:snapToGrid w:val="0"/>
        </w:rPr>
        <w:tab/>
        <w:t>been otherwise authorised by the CEO to enter that area.</w:t>
      </w:r>
    </w:p>
    <w:p>
      <w:pPr>
        <w:pStyle w:val="Subsection"/>
        <w:rPr>
          <w:snapToGrid w:val="0"/>
        </w:rPr>
      </w:pPr>
      <w:r>
        <w:rPr>
          <w:snapToGrid w:val="0"/>
        </w:rPr>
        <w:tab/>
        <w:t>(5)</w:t>
      </w:r>
      <w:r>
        <w:rPr>
          <w:snapToGrid w:val="0"/>
        </w:rPr>
        <w:tab/>
        <w:t>A person must pay, in the manner specified on a sign under subregulation (3)</w:t>
      </w:r>
      <w:r>
        <w:t>(b)(ii),</w:t>
      </w:r>
      <w:r>
        <w:rPr>
          <w:snapToGrid w:val="0"/>
        </w:rPr>
        <w:t xml:space="preserve"> a fee for which the person is liable under this regulation.</w:t>
      </w:r>
    </w:p>
    <w:p>
      <w:pPr>
        <w:pStyle w:val="Penstart"/>
        <w:rPr>
          <w:snapToGrid w:val="0"/>
        </w:rPr>
      </w:pPr>
      <w:r>
        <w:rPr>
          <w:snapToGrid w:val="0"/>
        </w:rPr>
        <w:tab/>
        <w:t>Penalty:</w:t>
      </w:r>
      <w:r>
        <w:t xml:space="preserve"> a fine of</w:t>
      </w:r>
      <w:r>
        <w:rPr>
          <w:snapToGrid w:val="0"/>
        </w:rPr>
        <w:t xml:space="preserve"> $200.</w:t>
      </w:r>
    </w:p>
    <w:p>
      <w:pPr>
        <w:pStyle w:val="Subsection"/>
      </w:pPr>
      <w:r>
        <w:tab/>
        <w:t>(6)</w:t>
      </w:r>
      <w:r>
        <w:tab/>
        <w:t>This regulation does not apply to aircraft.</w:t>
      </w:r>
    </w:p>
    <w:p>
      <w:pPr>
        <w:pStyle w:val="Footnotesection"/>
      </w:pPr>
      <w:r>
        <w:tab/>
        <w:t>[Regulation 99 amended in Gazette 29 Sep 2006 p. 4320 and 4334; 3 Dec 2010 p. 6049 and 6052</w:t>
      </w:r>
      <w:r>
        <w:noBreakHyphen/>
        <w:t>4.]</w:t>
      </w:r>
    </w:p>
    <w:p>
      <w:pPr>
        <w:pStyle w:val="Heading5"/>
      </w:pPr>
      <w:bookmarkStart w:id="348" w:name="_Toc408498906"/>
      <w:bookmarkStart w:id="349" w:name="_Toc417563782"/>
      <w:r>
        <w:rPr>
          <w:rStyle w:val="CharSectno"/>
        </w:rPr>
        <w:t>99A</w:t>
      </w:r>
      <w:r>
        <w:t>.</w:t>
      </w:r>
      <w:r>
        <w:tab/>
        <w:t>Landing fees for aircraft</w:t>
      </w:r>
      <w:bookmarkEnd w:id="348"/>
      <w:bookmarkEnd w:id="349"/>
    </w:p>
    <w:p>
      <w:pPr>
        <w:pStyle w:val="Subsection"/>
      </w:pPr>
      <w:r>
        <w:tab/>
        <w:t>(1)</w:t>
      </w:r>
      <w:r>
        <w:tab/>
        <w:t xml:space="preserve">In this regulation and Schedule 1 Division 12 — </w:t>
      </w:r>
    </w:p>
    <w:p>
      <w:pPr>
        <w:pStyle w:val="Defstart"/>
      </w:pPr>
      <w:r>
        <w:tab/>
      </w:r>
      <w:r>
        <w:rPr>
          <w:rStyle w:val="CharDefText"/>
        </w:rPr>
        <w:t>aircraft landing area</w:t>
      </w:r>
      <w:r>
        <w:t xml:space="preserve"> means an area declared under regulation 99B to be an aircraft landing area for the purposes of this regulation;</w:t>
      </w:r>
    </w:p>
    <w:p>
      <w:pPr>
        <w:pStyle w:val="Defstart"/>
      </w:pPr>
      <w:r>
        <w:tab/>
      </w:r>
      <w:r>
        <w:rPr>
          <w:rStyle w:val="CharDefText"/>
        </w:rPr>
        <w:t>occupant</w:t>
      </w:r>
      <w:r>
        <w:t xml:space="preserve"> does not include — </w:t>
      </w:r>
    </w:p>
    <w:p>
      <w:pPr>
        <w:pStyle w:val="Defpara"/>
        <w:spacing w:before="70"/>
      </w:pPr>
      <w:r>
        <w:tab/>
        <w:t>(a)</w:t>
      </w:r>
      <w:r>
        <w:tab/>
        <w:t>a person who is under 6 years of age; or</w:t>
      </w:r>
    </w:p>
    <w:p>
      <w:pPr>
        <w:pStyle w:val="Indenta"/>
        <w:spacing w:before="70"/>
      </w:pPr>
      <w:r>
        <w:tab/>
        <w:t>(b)</w:t>
      </w:r>
      <w:r>
        <w:tab/>
        <w:t>the pilot or other crew of an aircraft operating under a commercial operations licence.</w:t>
      </w:r>
    </w:p>
    <w:p>
      <w:pPr>
        <w:pStyle w:val="Subsection"/>
      </w:pPr>
      <w:r>
        <w:tab/>
        <w:t>(2)</w:t>
      </w:r>
      <w:r>
        <w:tab/>
        <w:t>The fee specified in Schedule 1 Division 12 is payable daily per occupant of an aircraft that lands on an aircraft landing area.</w:t>
      </w:r>
    </w:p>
    <w:p>
      <w:pPr>
        <w:pStyle w:val="Subsection"/>
      </w:pPr>
      <w:r>
        <w:tab/>
        <w:t>(3)</w:t>
      </w:r>
      <w:r>
        <w:tab/>
        <w:t xml:space="preserve">The person liable to pay the fee is — </w:t>
      </w:r>
    </w:p>
    <w:p>
      <w:pPr>
        <w:pStyle w:val="Indenta"/>
        <w:spacing w:before="60"/>
      </w:pPr>
      <w:r>
        <w:tab/>
        <w:t>(a)</w:t>
      </w:r>
      <w:r>
        <w:tab/>
        <w:t>if the aircraft is operating under a commercial operations licence — the holder of the licence; or</w:t>
      </w:r>
    </w:p>
    <w:p>
      <w:pPr>
        <w:pStyle w:val="Indenta"/>
        <w:spacing w:before="60"/>
      </w:pPr>
      <w:r>
        <w:tab/>
        <w:t>(b)</w:t>
      </w:r>
      <w:r>
        <w:tab/>
        <w:t xml:space="preserve">in any other case — </w:t>
      </w:r>
    </w:p>
    <w:p>
      <w:pPr>
        <w:pStyle w:val="Indenti"/>
        <w:spacing w:before="60"/>
      </w:pPr>
      <w:r>
        <w:tab/>
        <w:t>(i)</w:t>
      </w:r>
      <w:r>
        <w:tab/>
        <w:t>the person in charge of the aircraft; or</w:t>
      </w:r>
    </w:p>
    <w:p>
      <w:pPr>
        <w:pStyle w:val="Indenti"/>
        <w:spacing w:before="60"/>
      </w:pPr>
      <w:r>
        <w:tab/>
        <w:t>(ii)</w:t>
      </w:r>
      <w:r>
        <w:tab/>
        <w:t>if the person in charge of the aircraft is employed or engaged by another person who is the owner or operator of the aircraft — that other person.</w:t>
      </w:r>
    </w:p>
    <w:p>
      <w:pPr>
        <w:pStyle w:val="Subsection"/>
        <w:spacing w:before="120"/>
      </w:pPr>
      <w:r>
        <w:tab/>
        <w:t>(4)</w:t>
      </w:r>
      <w:r>
        <w:tab/>
        <w:t>The person liable under subregulation (3) to pay the fee must pay the fee.</w:t>
      </w:r>
    </w:p>
    <w:p>
      <w:pPr>
        <w:pStyle w:val="Penstart"/>
      </w:pPr>
      <w:r>
        <w:tab/>
        <w:t>Penalty: a fine of $1 000.</w:t>
      </w:r>
    </w:p>
    <w:p>
      <w:pPr>
        <w:pStyle w:val="Footnotesection"/>
        <w:spacing w:before="100"/>
      </w:pPr>
      <w:r>
        <w:tab/>
        <w:t>[Regulation 99A inserted in Gazette 3 Dec 2010 p. 6049</w:t>
      </w:r>
      <w:r>
        <w:noBreakHyphen/>
        <w:t>50.]</w:t>
      </w:r>
    </w:p>
    <w:p>
      <w:pPr>
        <w:pStyle w:val="Heading5"/>
        <w:spacing w:before="200"/>
      </w:pPr>
      <w:bookmarkStart w:id="350" w:name="_Toc408498907"/>
      <w:bookmarkStart w:id="351" w:name="_Toc417563783"/>
      <w:r>
        <w:rPr>
          <w:rStyle w:val="CharSectno"/>
        </w:rPr>
        <w:t>99B</w:t>
      </w:r>
      <w:r>
        <w:t>.</w:t>
      </w:r>
      <w:r>
        <w:tab/>
        <w:t>Aircraft landing areas</w:t>
      </w:r>
      <w:bookmarkEnd w:id="350"/>
      <w:bookmarkEnd w:id="351"/>
    </w:p>
    <w:p>
      <w:pPr>
        <w:pStyle w:val="Subsection"/>
        <w:spacing w:before="120"/>
      </w:pPr>
      <w:r>
        <w:tab/>
        <w:t>(1)</w:t>
      </w:r>
      <w:r>
        <w:tab/>
        <w:t xml:space="preserve">The CEO may, by notice published in the </w:t>
      </w:r>
      <w:r>
        <w:rPr>
          <w:i/>
          <w:iCs/>
        </w:rPr>
        <w:t>Gazette</w:t>
      </w:r>
      <w:r>
        <w:t>, declare an area of CALM land specified in the notice to be an aircraft landing area for the purposes of regulation 99A.</w:t>
      </w:r>
    </w:p>
    <w:p>
      <w:pPr>
        <w:pStyle w:val="Subsection"/>
        <w:spacing w:before="120"/>
      </w:pPr>
      <w:r>
        <w:tab/>
        <w:t>(2)</w:t>
      </w:r>
      <w:r>
        <w:tab/>
        <w:t>An area may be declared to be an aircraft landing area at all times or during a period or periods specified in the notice.</w:t>
      </w:r>
    </w:p>
    <w:p>
      <w:pPr>
        <w:pStyle w:val="Subsection"/>
        <w:spacing w:before="120"/>
      </w:pPr>
      <w:r>
        <w:tab/>
        <w:t>(3)</w:t>
      </w:r>
      <w:r>
        <w:tab/>
        <w:t xml:space="preserve">The CEO may, by notice published in the </w:t>
      </w:r>
      <w:r>
        <w:rPr>
          <w:i/>
          <w:iCs/>
        </w:rPr>
        <w:t>Gazette</w:t>
      </w:r>
      <w:r>
        <w:t>,</w:t>
      </w:r>
      <w:r>
        <w:rPr>
          <w:i/>
          <w:iCs/>
        </w:rPr>
        <w:t xml:space="preserve"> </w:t>
      </w:r>
      <w:r>
        <w:t>amend or revoke any previous notice published under this regulation.</w:t>
      </w:r>
    </w:p>
    <w:p>
      <w:pPr>
        <w:pStyle w:val="Subsection"/>
        <w:spacing w:before="120"/>
      </w:pPr>
      <w:r>
        <w:tab/>
        <w:t>(4)</w:t>
      </w:r>
      <w:r>
        <w:tab/>
        <w:t>A notice published under this regulation takes effect on such day after publication as is specified in the notice.</w:t>
      </w:r>
    </w:p>
    <w:p>
      <w:pPr>
        <w:pStyle w:val="Footnotesection"/>
        <w:spacing w:before="100"/>
      </w:pPr>
      <w:r>
        <w:tab/>
        <w:t>[Regulation 99B inserted in Gazette 3 Dec 2010 p. 6050.]</w:t>
      </w:r>
    </w:p>
    <w:p>
      <w:pPr>
        <w:pStyle w:val="Heading5"/>
        <w:spacing w:before="200"/>
      </w:pPr>
      <w:bookmarkStart w:id="352" w:name="_Toc408498908"/>
      <w:bookmarkStart w:id="353" w:name="_Toc417563784"/>
      <w:r>
        <w:rPr>
          <w:rStyle w:val="CharSectno"/>
        </w:rPr>
        <w:t>99C</w:t>
      </w:r>
      <w:r>
        <w:t>.</w:t>
      </w:r>
      <w:r>
        <w:tab/>
        <w:t xml:space="preserve">Entrance fees for </w:t>
      </w:r>
      <w:smartTag w:uri="urn:schemas-microsoft-com:office:smarttags" w:element="place">
        <w:smartTag w:uri="urn:schemas-microsoft-com:office:smarttags" w:element="PlaceName">
          <w:r>
            <w:t>Monkey</w:t>
          </w:r>
        </w:smartTag>
        <w:r>
          <w:t xml:space="preserve"> </w:t>
        </w:r>
        <w:smartTag w:uri="urn:schemas-microsoft-com:office:smarttags" w:element="PlaceName">
          <w:r>
            <w:t>Mia</w:t>
          </w:r>
        </w:smartTag>
        <w:r>
          <w:t xml:space="preserve"> </w:t>
        </w:r>
        <w:smartTag w:uri="urn:schemas-microsoft-com:office:smarttags" w:element="PlaceName">
          <w:r>
            <w:t>Conservation</w:t>
          </w:r>
        </w:smartTag>
        <w:r>
          <w:t xml:space="preserve"> </w:t>
        </w:r>
        <w:smartTag w:uri="urn:schemas-microsoft-com:office:smarttags" w:element="PlaceType">
          <w:r>
            <w:t>Park</w:t>
          </w:r>
        </w:smartTag>
      </w:smartTag>
      <w:bookmarkEnd w:id="352"/>
      <w:bookmarkEnd w:id="353"/>
    </w:p>
    <w:p>
      <w:pPr>
        <w:pStyle w:val="Subsection"/>
        <w:spacing w:before="120"/>
      </w:pPr>
      <w:r>
        <w:tab/>
        <w:t>(1)</w:t>
      </w:r>
      <w:r>
        <w:tab/>
        <w:t xml:space="preserve">The relevant fee specified in Schedule 1 Division 10 item 1, 2, 3 or 4 is payable by a person entering the </w:t>
      </w:r>
      <w:smartTag w:uri="urn:schemas-microsoft-com:office:smarttags" w:element="place">
        <w:smartTag w:uri="urn:schemas-microsoft-com:office:smarttags" w:element="PlaceName">
          <w:r>
            <w:t>Monkey</w:t>
          </w:r>
        </w:smartTag>
        <w:r>
          <w:t xml:space="preserve"> </w:t>
        </w:r>
        <w:smartTag w:uri="urn:schemas-microsoft-com:office:smarttags" w:element="PlaceName">
          <w:r>
            <w:t>Mia</w:t>
          </w:r>
        </w:smartTag>
        <w:r>
          <w:t xml:space="preserve"> </w:t>
        </w:r>
        <w:smartTag w:uri="urn:schemas-microsoft-com:office:smarttags" w:element="PlaceName">
          <w:r>
            <w:t>Conservation</w:t>
          </w:r>
        </w:smartTag>
        <w:r>
          <w:t xml:space="preserve"> </w:t>
        </w:r>
        <w:smartTag w:uri="urn:schemas-microsoft-com:office:smarttags" w:element="PlaceType">
          <w:r>
            <w:t>Park</w:t>
          </w:r>
        </w:smartTag>
      </w:smartTag>
      <w:r>
        <w:t>.</w:t>
      </w:r>
    </w:p>
    <w:p>
      <w:pPr>
        <w:pStyle w:val="Subsection"/>
        <w:spacing w:before="120"/>
      </w:pPr>
      <w:r>
        <w:tab/>
        <w:t>(2)</w:t>
      </w:r>
      <w:r>
        <w:tab/>
        <w:t xml:space="preserve">The CEO is to erect signs at or near the entrance to the </w:t>
      </w:r>
      <w:smartTag w:uri="urn:schemas-microsoft-com:office:smarttags" w:element="place">
        <w:smartTag w:uri="urn:schemas-microsoft-com:office:smarttags" w:element="PlaceName">
          <w:r>
            <w:t>Monkey</w:t>
          </w:r>
        </w:smartTag>
        <w:r>
          <w:t xml:space="preserve"> </w:t>
        </w:r>
        <w:smartTag w:uri="urn:schemas-microsoft-com:office:smarttags" w:element="PlaceName">
          <w:r>
            <w:t>Mia</w:t>
          </w:r>
        </w:smartTag>
        <w:r>
          <w:t xml:space="preserve"> </w:t>
        </w:r>
        <w:smartTag w:uri="urn:schemas-microsoft-com:office:smarttags" w:element="PlaceName">
          <w:r>
            <w:t>Conservation</w:t>
          </w:r>
        </w:smartTag>
        <w:r>
          <w:t xml:space="preserve"> </w:t>
        </w:r>
        <w:smartTag w:uri="urn:schemas-microsoft-com:office:smarttags" w:element="PlaceType">
          <w:r>
            <w:t>Park</w:t>
          </w:r>
        </w:smartTag>
      </w:smartTag>
      <w:r>
        <w:t xml:space="preserve"> — </w:t>
      </w:r>
    </w:p>
    <w:p>
      <w:pPr>
        <w:pStyle w:val="Indenta"/>
        <w:spacing w:before="60"/>
      </w:pPr>
      <w:r>
        <w:tab/>
        <w:t>(a)</w:t>
      </w:r>
      <w:r>
        <w:tab/>
        <w:t>specifying the fees that are payable under this regulation; and</w:t>
      </w:r>
    </w:p>
    <w:p>
      <w:pPr>
        <w:pStyle w:val="Indenta"/>
      </w:pPr>
      <w:r>
        <w:tab/>
        <w:t>(b)</w:t>
      </w:r>
      <w:r>
        <w:tab/>
        <w:t>specifying the manner in which the fees are to be paid.</w:t>
      </w:r>
    </w:p>
    <w:p>
      <w:pPr>
        <w:pStyle w:val="Subsection"/>
      </w:pPr>
      <w:r>
        <w:tab/>
        <w:t>(3)</w:t>
      </w:r>
      <w:r>
        <w:tab/>
        <w:t xml:space="preserve">A person is not liable to pay a fee under subregulation (1) for entry to the </w:t>
      </w:r>
      <w:smartTag w:uri="urn:schemas-microsoft-com:office:smarttags" w:element="place">
        <w:smartTag w:uri="urn:schemas-microsoft-com:office:smarttags" w:element="PlaceName">
          <w:r>
            <w:t>Monkey</w:t>
          </w:r>
        </w:smartTag>
        <w:r>
          <w:t xml:space="preserve"> </w:t>
        </w:r>
        <w:smartTag w:uri="urn:schemas-microsoft-com:office:smarttags" w:element="PlaceName">
          <w:r>
            <w:t>Mia</w:t>
          </w:r>
        </w:smartTag>
        <w:r>
          <w:t xml:space="preserve"> </w:t>
        </w:r>
        <w:smartTag w:uri="urn:schemas-microsoft-com:office:smarttags" w:element="PlaceName">
          <w:r>
            <w:t>Conservation</w:t>
          </w:r>
        </w:smartTag>
        <w:r>
          <w:t xml:space="preserve"> </w:t>
        </w:r>
        <w:smartTag w:uri="urn:schemas-microsoft-com:office:smarttags" w:element="PlaceType">
          <w:r>
            <w:t>Park</w:t>
          </w:r>
        </w:smartTag>
      </w:smartTag>
      <w:r>
        <w:t xml:space="preserve"> if that person has paid the fee specified in Schedule 1 Division 10 item 5, 6, 7 or 8 for an extended pass for that person to enter the Park at the relevant time.</w:t>
      </w:r>
    </w:p>
    <w:p>
      <w:pPr>
        <w:pStyle w:val="Subsection"/>
      </w:pPr>
      <w:r>
        <w:tab/>
        <w:t>(4)</w:t>
      </w:r>
      <w:r>
        <w:tab/>
        <w:t>A person must pay, in the manner specified on a sign under subregulation (2)(b), a fee for which the person is liable under subregulation (1).</w:t>
      </w:r>
    </w:p>
    <w:p>
      <w:pPr>
        <w:pStyle w:val="Penstart"/>
      </w:pPr>
      <w:r>
        <w:tab/>
        <w:t>Penalty: a fine of $200.</w:t>
      </w:r>
    </w:p>
    <w:p>
      <w:pPr>
        <w:pStyle w:val="Footnotesection"/>
      </w:pPr>
      <w:r>
        <w:tab/>
        <w:t>[Regulation 99C inserted in Gazette 3 Dec 2010 p. 6050</w:t>
      </w:r>
      <w:r>
        <w:noBreakHyphen/>
        <w:t>1.]</w:t>
      </w:r>
    </w:p>
    <w:p>
      <w:pPr>
        <w:pStyle w:val="Heading5"/>
        <w:rPr>
          <w:snapToGrid w:val="0"/>
        </w:rPr>
      </w:pPr>
      <w:bookmarkStart w:id="354" w:name="_Toc408498909"/>
      <w:bookmarkStart w:id="355" w:name="_Toc417563785"/>
      <w:r>
        <w:rPr>
          <w:rStyle w:val="CharSectno"/>
        </w:rPr>
        <w:t>100</w:t>
      </w:r>
      <w:r>
        <w:rPr>
          <w:snapToGrid w:val="0"/>
        </w:rPr>
        <w:t>.</w:t>
      </w:r>
      <w:r>
        <w:rPr>
          <w:snapToGrid w:val="0"/>
        </w:rPr>
        <w:tab/>
        <w:t>Entrance fees for Tree Top Walk</w:t>
      </w:r>
      <w:bookmarkEnd w:id="354"/>
      <w:bookmarkEnd w:id="355"/>
      <w:r>
        <w:rPr>
          <w:snapToGrid w:val="0"/>
        </w:rPr>
        <w:t xml:space="preserve"> </w:t>
      </w:r>
    </w:p>
    <w:p>
      <w:pPr>
        <w:pStyle w:val="Subsection"/>
        <w:rPr>
          <w:snapToGrid w:val="0"/>
        </w:rPr>
      </w:pPr>
      <w:r>
        <w:rPr>
          <w:snapToGrid w:val="0"/>
        </w:rPr>
        <w:tab/>
        <w:t>(1)</w:t>
      </w:r>
      <w:r>
        <w:rPr>
          <w:snapToGrid w:val="0"/>
        </w:rPr>
        <w:tab/>
        <w:t>In this regulation — </w:t>
      </w:r>
    </w:p>
    <w:p>
      <w:pPr>
        <w:pStyle w:val="Defstart"/>
      </w:pPr>
      <w:r>
        <w:tab/>
      </w:r>
      <w:r>
        <w:rPr>
          <w:rStyle w:val="CharDefText"/>
        </w:rPr>
        <w:t>Tree Top Walk</w:t>
      </w:r>
      <w:r>
        <w:rPr>
          <w:b/>
        </w:rPr>
        <w:t xml:space="preserve"> </w:t>
      </w:r>
      <w:r>
        <w:t xml:space="preserve">means the walkway known as the “Tree Top Walk” constructed within the area known as the “Valley of the Giants”, near </w:t>
      </w:r>
      <w:smartTag w:uri="urn:schemas-microsoft-com:office:smarttags" w:element="place">
        <w:smartTag w:uri="urn:schemas-microsoft-com:office:smarttags" w:element="City">
          <w:r>
            <w:t>Walpole</w:t>
          </w:r>
        </w:smartTag>
      </w:smartTag>
      <w:r>
        <w:t>.</w:t>
      </w:r>
    </w:p>
    <w:p>
      <w:pPr>
        <w:pStyle w:val="Subsection"/>
        <w:rPr>
          <w:snapToGrid w:val="0"/>
        </w:rPr>
      </w:pPr>
      <w:r>
        <w:rPr>
          <w:snapToGrid w:val="0"/>
        </w:rPr>
        <w:tab/>
        <w:t>(2)</w:t>
      </w:r>
      <w:r>
        <w:rPr>
          <w:snapToGrid w:val="0"/>
        </w:rPr>
        <w:tab/>
        <w:t>The relevant fee specified in Schedule 1 Division 3 is payable by a person entering the Tree Top Walk.</w:t>
      </w:r>
    </w:p>
    <w:p>
      <w:pPr>
        <w:pStyle w:val="Subsection"/>
        <w:rPr>
          <w:snapToGrid w:val="0"/>
        </w:rPr>
      </w:pPr>
      <w:r>
        <w:rPr>
          <w:snapToGrid w:val="0"/>
        </w:rPr>
        <w:tab/>
        <w:t>(3)</w:t>
      </w:r>
      <w:r>
        <w:rPr>
          <w:snapToGrid w:val="0"/>
        </w:rPr>
        <w:tab/>
        <w:t xml:space="preserve">The </w:t>
      </w:r>
      <w:r>
        <w:t xml:space="preserve">CEO </w:t>
      </w:r>
      <w:r>
        <w:rPr>
          <w:snapToGrid w:val="0"/>
        </w:rPr>
        <w:t>is to erect a sign at the entrance to the Tree Top Walk — </w:t>
      </w:r>
    </w:p>
    <w:p>
      <w:pPr>
        <w:pStyle w:val="Indenta"/>
        <w:rPr>
          <w:snapToGrid w:val="0"/>
        </w:rPr>
      </w:pPr>
      <w:r>
        <w:rPr>
          <w:snapToGrid w:val="0"/>
        </w:rPr>
        <w:tab/>
        <w:t>(a)</w:t>
      </w:r>
      <w:r>
        <w:rPr>
          <w:snapToGrid w:val="0"/>
        </w:rPr>
        <w:tab/>
        <w:t>specifying the fees payable under this regulation; and</w:t>
      </w:r>
    </w:p>
    <w:p>
      <w:pPr>
        <w:pStyle w:val="Indenta"/>
        <w:rPr>
          <w:snapToGrid w:val="0"/>
        </w:rPr>
      </w:pPr>
      <w:r>
        <w:rPr>
          <w:snapToGrid w:val="0"/>
        </w:rPr>
        <w:tab/>
        <w:t>(b)</w:t>
      </w:r>
      <w:r>
        <w:rPr>
          <w:snapToGrid w:val="0"/>
        </w:rPr>
        <w:tab/>
        <w:t>specifying the manner in which the fees are to be paid.</w:t>
      </w:r>
    </w:p>
    <w:p>
      <w:pPr>
        <w:pStyle w:val="Subsection"/>
        <w:rPr>
          <w:snapToGrid w:val="0"/>
        </w:rPr>
      </w:pPr>
      <w:r>
        <w:rPr>
          <w:snapToGrid w:val="0"/>
        </w:rPr>
        <w:tab/>
        <w:t>(4)</w:t>
      </w:r>
      <w:r>
        <w:rPr>
          <w:snapToGrid w:val="0"/>
        </w:rPr>
        <w:tab/>
        <w:t>A person must pay, in the manner specified in a sign under subregulation (3)(b), a fee for which the person is liable under this regulation.</w:t>
      </w:r>
    </w:p>
    <w:p>
      <w:pPr>
        <w:pStyle w:val="Penstart"/>
        <w:rPr>
          <w:snapToGrid w:val="0"/>
        </w:rPr>
      </w:pPr>
      <w:r>
        <w:rPr>
          <w:snapToGrid w:val="0"/>
        </w:rPr>
        <w:tab/>
        <w:t>Penalty:</w:t>
      </w:r>
      <w:r>
        <w:t xml:space="preserve"> a fine of</w:t>
      </w:r>
      <w:r>
        <w:rPr>
          <w:snapToGrid w:val="0"/>
        </w:rPr>
        <w:t xml:space="preserve"> $200.</w:t>
      </w:r>
    </w:p>
    <w:p>
      <w:pPr>
        <w:pStyle w:val="Footnotesection"/>
      </w:pPr>
      <w:r>
        <w:tab/>
        <w:t>[Regulation 100 amended in Gazette 29 Sep 2006 p. 4334; 3 Dec 2010 p. 6052</w:t>
      </w:r>
      <w:r>
        <w:noBreakHyphen/>
        <w:t>4.]</w:t>
      </w:r>
    </w:p>
    <w:p>
      <w:pPr>
        <w:pStyle w:val="Heading5"/>
      </w:pPr>
      <w:bookmarkStart w:id="356" w:name="_Toc408498910"/>
      <w:bookmarkStart w:id="357" w:name="_Toc417563786"/>
      <w:r>
        <w:rPr>
          <w:rStyle w:val="CharSectno"/>
        </w:rPr>
        <w:t>100A</w:t>
      </w:r>
      <w:r>
        <w:t>.</w:t>
      </w:r>
      <w:r>
        <w:tab/>
        <w:t xml:space="preserve">Entrance fees for </w:t>
      </w:r>
      <w:smartTag w:uri="urn:schemas-microsoft-com:office:smarttags" w:element="PlaceName">
        <w:r>
          <w:t>Crystal</w:t>
        </w:r>
      </w:smartTag>
      <w:r>
        <w:t xml:space="preserve"> </w:t>
      </w:r>
      <w:smartTag w:uri="urn:schemas-microsoft-com:office:smarttags" w:element="PlaceName">
        <w:r>
          <w:t>Cave</w:t>
        </w:r>
      </w:smartTag>
      <w:r>
        <w:t xml:space="preserve"> and Calgardup and </w:t>
      </w:r>
      <w:smartTag w:uri="urn:schemas-microsoft-com:office:smarttags" w:element="place">
        <w:smartTag w:uri="urn:schemas-microsoft-com:office:smarttags" w:element="PlaceName">
          <w:r>
            <w:t>Giants</w:t>
          </w:r>
        </w:smartTag>
        <w:r>
          <w:t xml:space="preserve"> </w:t>
        </w:r>
        <w:smartTag w:uri="urn:schemas-microsoft-com:office:smarttags" w:element="PlaceType">
          <w:r>
            <w:t>Caves</w:t>
          </w:r>
        </w:smartTag>
      </w:smartTag>
      <w:bookmarkEnd w:id="356"/>
      <w:bookmarkEnd w:id="357"/>
    </w:p>
    <w:p>
      <w:pPr>
        <w:pStyle w:val="Subsection"/>
        <w:spacing w:before="120"/>
        <w:rPr>
          <w:snapToGrid w:val="0"/>
        </w:rPr>
      </w:pPr>
      <w:r>
        <w:rPr>
          <w:snapToGrid w:val="0"/>
        </w:rPr>
        <w:tab/>
        <w:t>(1)</w:t>
      </w:r>
      <w:r>
        <w:rPr>
          <w:snapToGrid w:val="0"/>
        </w:rPr>
        <w:tab/>
        <w:t xml:space="preserve">The relevant fee specified in Schedule 1 Division 7 item 1 is payable by a person entering </w:t>
      </w:r>
      <w:smartTag w:uri="urn:schemas-microsoft-com:office:smarttags" w:element="PlaceName">
        <w:r>
          <w:rPr>
            <w:snapToGrid w:val="0"/>
          </w:rPr>
          <w:t>Crystal</w:t>
        </w:r>
      </w:smartTag>
      <w:r>
        <w:rPr>
          <w:snapToGrid w:val="0"/>
        </w:rPr>
        <w:t xml:space="preserve"> </w:t>
      </w:r>
      <w:smartTag w:uri="urn:schemas-microsoft-com:office:smarttags" w:element="PlaceName">
        <w:r>
          <w:rPr>
            <w:snapToGrid w:val="0"/>
          </w:rPr>
          <w:t>Cave</w:t>
        </w:r>
      </w:smartTag>
      <w:r>
        <w:rPr>
          <w:snapToGrid w:val="0"/>
        </w:rPr>
        <w:t xml:space="preserve">, </w:t>
      </w:r>
      <w:smartTag w:uri="urn:schemas-microsoft-com:office:smarttags" w:element="place">
        <w:smartTag w:uri="urn:schemas-microsoft-com:office:smarttags" w:element="PlaceName">
          <w:r>
            <w:rPr>
              <w:snapToGrid w:val="0"/>
            </w:rPr>
            <w:t>Yanchep</w:t>
          </w:r>
        </w:smartTag>
        <w:r>
          <w:rPr>
            <w:snapToGrid w:val="0"/>
          </w:rPr>
          <w:t xml:space="preserve"> </w:t>
        </w:r>
        <w:smartTag w:uri="urn:schemas-microsoft-com:office:smarttags" w:element="PlaceType">
          <w:r>
            <w:rPr>
              <w:snapToGrid w:val="0"/>
            </w:rPr>
            <w:t>National Park</w:t>
          </w:r>
        </w:smartTag>
      </w:smartTag>
      <w:r>
        <w:rPr>
          <w:snapToGrid w:val="0"/>
        </w:rPr>
        <w:t>.</w:t>
      </w:r>
    </w:p>
    <w:p>
      <w:pPr>
        <w:pStyle w:val="Subsection"/>
        <w:spacing w:before="120"/>
        <w:rPr>
          <w:snapToGrid w:val="0"/>
        </w:rPr>
      </w:pPr>
      <w:r>
        <w:rPr>
          <w:snapToGrid w:val="0"/>
        </w:rPr>
        <w:tab/>
        <w:t>(2)</w:t>
      </w:r>
      <w:r>
        <w:rPr>
          <w:snapToGrid w:val="0"/>
        </w:rPr>
        <w:tab/>
        <w:t xml:space="preserve">The relevant fee specified in Schedule 1 Division 7 item 2 is payable by a person entering Calgardup or </w:t>
      </w:r>
      <w:smartTag w:uri="urn:schemas-microsoft-com:office:smarttags" w:element="place">
        <w:smartTag w:uri="urn:schemas-microsoft-com:office:smarttags" w:element="PlaceName">
          <w:r>
            <w:rPr>
              <w:snapToGrid w:val="0"/>
            </w:rPr>
            <w:t>Giants</w:t>
          </w:r>
        </w:smartTag>
        <w:r>
          <w:rPr>
            <w:snapToGrid w:val="0"/>
          </w:rPr>
          <w:t xml:space="preserve"> </w:t>
        </w:r>
        <w:smartTag w:uri="urn:schemas-microsoft-com:office:smarttags" w:element="PlaceType">
          <w:r>
            <w:rPr>
              <w:snapToGrid w:val="0"/>
            </w:rPr>
            <w:t>Caves</w:t>
          </w:r>
        </w:smartTag>
      </w:smartTag>
      <w:r>
        <w:rPr>
          <w:snapToGrid w:val="0"/>
        </w:rPr>
        <w:t>, Leeuwin</w:t>
      </w:r>
      <w:r>
        <w:rPr>
          <w:snapToGrid w:val="0"/>
        </w:rPr>
        <w:noBreakHyphen/>
        <w:t>Naturaliste National Park.</w:t>
      </w:r>
    </w:p>
    <w:p>
      <w:pPr>
        <w:pStyle w:val="Subsection"/>
        <w:spacing w:before="120"/>
        <w:rPr>
          <w:snapToGrid w:val="0"/>
        </w:rPr>
      </w:pPr>
      <w:r>
        <w:rPr>
          <w:snapToGrid w:val="0"/>
        </w:rPr>
        <w:tab/>
        <w:t>(3)</w:t>
      </w:r>
      <w:r>
        <w:rPr>
          <w:snapToGrid w:val="0"/>
        </w:rPr>
        <w:tab/>
        <w:t>The CEO is to erect signs at the entrance to each of the caves —</w:t>
      </w:r>
    </w:p>
    <w:p>
      <w:pPr>
        <w:pStyle w:val="Indenta"/>
        <w:spacing w:before="60"/>
        <w:rPr>
          <w:snapToGrid w:val="0"/>
        </w:rPr>
      </w:pPr>
      <w:r>
        <w:rPr>
          <w:snapToGrid w:val="0"/>
        </w:rPr>
        <w:tab/>
        <w:t>(a)</w:t>
      </w:r>
      <w:r>
        <w:rPr>
          <w:snapToGrid w:val="0"/>
        </w:rPr>
        <w:tab/>
        <w:t>specifying the fees payable under this regulation; and</w:t>
      </w:r>
    </w:p>
    <w:p>
      <w:pPr>
        <w:pStyle w:val="Indenta"/>
        <w:spacing w:before="60"/>
        <w:rPr>
          <w:snapToGrid w:val="0"/>
        </w:rPr>
      </w:pPr>
      <w:r>
        <w:rPr>
          <w:snapToGrid w:val="0"/>
        </w:rPr>
        <w:tab/>
        <w:t>(b)</w:t>
      </w:r>
      <w:r>
        <w:rPr>
          <w:snapToGrid w:val="0"/>
        </w:rPr>
        <w:tab/>
        <w:t>specifying the manner in which the fees are to be paid.</w:t>
      </w:r>
    </w:p>
    <w:p>
      <w:pPr>
        <w:pStyle w:val="Subsection"/>
        <w:spacing w:before="120"/>
        <w:rPr>
          <w:snapToGrid w:val="0"/>
        </w:rPr>
      </w:pPr>
      <w:r>
        <w:rPr>
          <w:snapToGrid w:val="0"/>
        </w:rPr>
        <w:tab/>
        <w:t>(4)</w:t>
      </w:r>
      <w:r>
        <w:rPr>
          <w:snapToGrid w:val="0"/>
        </w:rPr>
        <w:tab/>
        <w:t>A person must pay, in the manner specified on a sign under subregulation (3)(b), a fee for which the person is liable under this regulation.</w:t>
      </w:r>
    </w:p>
    <w:p>
      <w:pPr>
        <w:pStyle w:val="Penstart"/>
        <w:rPr>
          <w:snapToGrid w:val="0"/>
        </w:rPr>
      </w:pPr>
      <w:r>
        <w:rPr>
          <w:snapToGrid w:val="0"/>
        </w:rPr>
        <w:tab/>
        <w:t>Penalty:</w:t>
      </w:r>
      <w:r>
        <w:t xml:space="preserve"> a fine of</w:t>
      </w:r>
      <w:r>
        <w:rPr>
          <w:snapToGrid w:val="0"/>
        </w:rPr>
        <w:t xml:space="preserve"> $200.</w:t>
      </w:r>
    </w:p>
    <w:p>
      <w:pPr>
        <w:pStyle w:val="Footnotesection"/>
        <w:spacing w:before="80"/>
      </w:pPr>
      <w:r>
        <w:tab/>
        <w:t>[Regulation 100A inserted in Gazette 29 Sep 2006 p. 4321</w:t>
      </w:r>
      <w:r>
        <w:noBreakHyphen/>
        <w:t>2; amended in Gazette 3 Dec 2010 p. 6052</w:t>
      </w:r>
      <w:r>
        <w:noBreakHyphen/>
        <w:t>4.]</w:t>
      </w:r>
    </w:p>
    <w:p>
      <w:pPr>
        <w:pStyle w:val="Heading5"/>
        <w:spacing w:before="200"/>
        <w:rPr>
          <w:snapToGrid w:val="0"/>
        </w:rPr>
      </w:pPr>
      <w:bookmarkStart w:id="358" w:name="_Toc408498911"/>
      <w:bookmarkStart w:id="359" w:name="_Toc417563787"/>
      <w:r>
        <w:rPr>
          <w:rStyle w:val="CharSectno"/>
        </w:rPr>
        <w:t>101</w:t>
      </w:r>
      <w:r>
        <w:rPr>
          <w:snapToGrid w:val="0"/>
        </w:rPr>
        <w:t>.</w:t>
      </w:r>
      <w:r>
        <w:rPr>
          <w:snapToGrid w:val="0"/>
        </w:rPr>
        <w:tab/>
        <w:t xml:space="preserve">Fees for </w:t>
      </w:r>
      <w:smartTag w:uri="urn:schemas-microsoft-com:office:smarttags" w:element="place">
        <w:smartTag w:uri="urn:schemas-microsoft-com:office:smarttags" w:element="PlaceName">
          <w:r>
            <w:rPr>
              <w:snapToGrid w:val="0"/>
            </w:rPr>
            <w:t>Geikie</w:t>
          </w:r>
        </w:smartTag>
        <w:r>
          <w:rPr>
            <w:snapToGrid w:val="0"/>
          </w:rPr>
          <w:t xml:space="preserve"> </w:t>
        </w:r>
        <w:smartTag w:uri="urn:schemas-microsoft-com:office:smarttags" w:element="PlaceName">
          <w:r>
            <w:rPr>
              <w:snapToGrid w:val="0"/>
            </w:rPr>
            <w:t>Gorge</w:t>
          </w:r>
        </w:smartTag>
        <w:r>
          <w:rPr>
            <w:snapToGrid w:val="0"/>
          </w:rPr>
          <w:t xml:space="preserve"> </w:t>
        </w:r>
        <w:smartTag w:uri="urn:schemas-microsoft-com:office:smarttags" w:element="PlaceType">
          <w:r>
            <w:rPr>
              <w:snapToGrid w:val="0"/>
            </w:rPr>
            <w:t>National Park</w:t>
          </w:r>
        </w:smartTag>
      </w:smartTag>
      <w:r>
        <w:rPr>
          <w:snapToGrid w:val="0"/>
        </w:rPr>
        <w:t xml:space="preserve"> Boat Trip</w:t>
      </w:r>
      <w:bookmarkEnd w:id="358"/>
      <w:bookmarkEnd w:id="359"/>
      <w:r>
        <w:rPr>
          <w:snapToGrid w:val="0"/>
        </w:rPr>
        <w:t xml:space="preserve"> </w:t>
      </w:r>
    </w:p>
    <w:p>
      <w:pPr>
        <w:pStyle w:val="Subsection"/>
        <w:spacing w:before="120"/>
        <w:rPr>
          <w:snapToGrid w:val="0"/>
        </w:rPr>
      </w:pPr>
      <w:r>
        <w:rPr>
          <w:snapToGrid w:val="0"/>
        </w:rPr>
        <w:tab/>
      </w:r>
      <w:r>
        <w:rPr>
          <w:snapToGrid w:val="0"/>
        </w:rPr>
        <w:tab/>
        <w:t>The fees for the Geikie Gorge National Park Boat Trip are as prescribed in Schedule 1 Division 4.</w:t>
      </w:r>
    </w:p>
    <w:p>
      <w:pPr>
        <w:pStyle w:val="Heading5"/>
        <w:spacing w:before="200"/>
        <w:rPr>
          <w:snapToGrid w:val="0"/>
        </w:rPr>
      </w:pPr>
      <w:bookmarkStart w:id="360" w:name="_Toc408498912"/>
      <w:bookmarkStart w:id="361" w:name="_Toc417563788"/>
      <w:r>
        <w:rPr>
          <w:rStyle w:val="CharSectno"/>
        </w:rPr>
        <w:t>102</w:t>
      </w:r>
      <w:r>
        <w:rPr>
          <w:snapToGrid w:val="0"/>
        </w:rPr>
        <w:t>.</w:t>
      </w:r>
      <w:r>
        <w:rPr>
          <w:snapToGrid w:val="0"/>
        </w:rPr>
        <w:tab/>
        <w:t>Fees for entry on horseback</w:t>
      </w:r>
      <w:bookmarkEnd w:id="360"/>
      <w:bookmarkEnd w:id="361"/>
    </w:p>
    <w:p>
      <w:pPr>
        <w:pStyle w:val="Subsection"/>
        <w:spacing w:before="120"/>
        <w:rPr>
          <w:snapToGrid w:val="0"/>
        </w:rPr>
      </w:pPr>
      <w:r>
        <w:rPr>
          <w:snapToGrid w:val="0"/>
        </w:rPr>
        <w:tab/>
      </w:r>
      <w:r>
        <w:rPr>
          <w:snapToGrid w:val="0"/>
        </w:rPr>
        <w:tab/>
        <w:t>A person must not enter an area of CALM land on horseback unless the relevant fee specified in Schedule 1 Division 5 has been paid — </w:t>
      </w:r>
    </w:p>
    <w:p>
      <w:pPr>
        <w:pStyle w:val="Indenta"/>
        <w:spacing w:before="60"/>
        <w:rPr>
          <w:snapToGrid w:val="0"/>
        </w:rPr>
      </w:pPr>
      <w:r>
        <w:rPr>
          <w:snapToGrid w:val="0"/>
        </w:rPr>
        <w:tab/>
        <w:t>(a)</w:t>
      </w:r>
      <w:r>
        <w:rPr>
          <w:snapToGrid w:val="0"/>
        </w:rPr>
        <w:tab/>
        <w:t>in the case of a daily entrance fee, to an authorised officer; and</w:t>
      </w:r>
    </w:p>
    <w:p>
      <w:pPr>
        <w:pStyle w:val="Indenta"/>
        <w:spacing w:before="60"/>
        <w:rPr>
          <w:snapToGrid w:val="0"/>
        </w:rPr>
      </w:pPr>
      <w:r>
        <w:rPr>
          <w:snapToGrid w:val="0"/>
        </w:rPr>
        <w:tab/>
        <w:t>(b)</w:t>
      </w:r>
      <w:r>
        <w:rPr>
          <w:snapToGrid w:val="0"/>
        </w:rPr>
        <w:tab/>
        <w:t>in the case of an annual pass, to the</w:t>
      </w:r>
      <w:r>
        <w:t xml:space="preserve"> CEO</w:t>
      </w:r>
      <w:r>
        <w:rPr>
          <w:snapToGrid w:val="0"/>
        </w:rPr>
        <w:t xml:space="preserve">, </w:t>
      </w:r>
    </w:p>
    <w:p>
      <w:pPr>
        <w:pStyle w:val="Subsection"/>
        <w:spacing w:before="120"/>
        <w:rPr>
          <w:snapToGrid w:val="0"/>
        </w:rPr>
      </w:pPr>
      <w:r>
        <w:rPr>
          <w:snapToGrid w:val="0"/>
        </w:rPr>
        <w:tab/>
      </w:r>
      <w:r>
        <w:rPr>
          <w:snapToGrid w:val="0"/>
        </w:rPr>
        <w:tab/>
        <w:t>before entering that area.</w:t>
      </w:r>
    </w:p>
    <w:p>
      <w:pPr>
        <w:pStyle w:val="Penstart"/>
        <w:rPr>
          <w:snapToGrid w:val="0"/>
        </w:rPr>
      </w:pPr>
      <w:r>
        <w:rPr>
          <w:snapToGrid w:val="0"/>
        </w:rPr>
        <w:tab/>
        <w:t>Penalty:</w:t>
      </w:r>
      <w:r>
        <w:t xml:space="preserve"> a fine of</w:t>
      </w:r>
      <w:r>
        <w:rPr>
          <w:snapToGrid w:val="0"/>
        </w:rPr>
        <w:t xml:space="preserve"> $200.</w:t>
      </w:r>
    </w:p>
    <w:p>
      <w:pPr>
        <w:pStyle w:val="Footnotesection"/>
        <w:spacing w:before="80"/>
      </w:pPr>
      <w:r>
        <w:tab/>
        <w:t>[Regulation 102 amended in Gazette 29 Sep 2006 p. 4334; 3 Dec 2010 p. 6052</w:t>
      </w:r>
      <w:r>
        <w:noBreakHyphen/>
        <w:t>4.]</w:t>
      </w:r>
    </w:p>
    <w:p>
      <w:pPr>
        <w:pStyle w:val="Heading5"/>
      </w:pPr>
      <w:bookmarkStart w:id="362" w:name="_Toc408498913"/>
      <w:bookmarkStart w:id="363" w:name="_Toc417563789"/>
      <w:r>
        <w:rPr>
          <w:rStyle w:val="CharSectno"/>
        </w:rPr>
        <w:t>102A</w:t>
      </w:r>
      <w:r>
        <w:t>.</w:t>
      </w:r>
      <w:r>
        <w:tab/>
        <w:t>Abseiling fee</w:t>
      </w:r>
      <w:bookmarkEnd w:id="362"/>
      <w:bookmarkEnd w:id="363"/>
    </w:p>
    <w:p>
      <w:pPr>
        <w:pStyle w:val="Subsection"/>
        <w:spacing w:before="140"/>
        <w:rPr>
          <w:snapToGrid w:val="0"/>
        </w:rPr>
      </w:pPr>
      <w:r>
        <w:rPr>
          <w:snapToGrid w:val="0"/>
        </w:rPr>
        <w:tab/>
        <w:t>(1)</w:t>
      </w:r>
      <w:r>
        <w:rPr>
          <w:snapToGrid w:val="0"/>
        </w:rPr>
        <w:tab/>
        <w:t>Subject to subregulation (2), a person who intends to abseil in an abseiling area during a particular half</w:t>
      </w:r>
      <w:r>
        <w:rPr>
          <w:snapToGrid w:val="0"/>
        </w:rPr>
        <w:noBreakHyphen/>
        <w:t>day, or day in the case of Wilyabrup Cliffs, is liable to pay the relevant fee specified in Schedule 1 Division 9 in respect of the half</w:t>
      </w:r>
      <w:r>
        <w:rPr>
          <w:snapToGrid w:val="0"/>
        </w:rPr>
        <w:noBreakHyphen/>
        <w:t>day or day.</w:t>
      </w:r>
    </w:p>
    <w:p>
      <w:pPr>
        <w:pStyle w:val="Subsection"/>
        <w:spacing w:before="140"/>
        <w:rPr>
          <w:snapToGrid w:val="0"/>
        </w:rPr>
      </w:pPr>
      <w:r>
        <w:rPr>
          <w:snapToGrid w:val="0"/>
        </w:rPr>
        <w:tab/>
        <w:t>(2)</w:t>
      </w:r>
      <w:r>
        <w:rPr>
          <w:snapToGrid w:val="0"/>
        </w:rPr>
        <w:tab/>
        <w:t>Fees are not payable under this regulation unless the CEO has erected a sign at the abseiling area — </w:t>
      </w:r>
    </w:p>
    <w:p>
      <w:pPr>
        <w:pStyle w:val="Indenta"/>
        <w:spacing w:before="60"/>
        <w:rPr>
          <w:snapToGrid w:val="0"/>
        </w:rPr>
      </w:pPr>
      <w:r>
        <w:rPr>
          <w:snapToGrid w:val="0"/>
        </w:rPr>
        <w:tab/>
        <w:t>(a)</w:t>
      </w:r>
      <w:r>
        <w:rPr>
          <w:snapToGrid w:val="0"/>
        </w:rPr>
        <w:tab/>
        <w:t>stating that fees are payable for abseiling; and</w:t>
      </w:r>
    </w:p>
    <w:p>
      <w:pPr>
        <w:pStyle w:val="Indenta"/>
        <w:spacing w:before="60"/>
        <w:rPr>
          <w:snapToGrid w:val="0"/>
        </w:rPr>
      </w:pPr>
      <w:r>
        <w:rPr>
          <w:snapToGrid w:val="0"/>
        </w:rPr>
        <w:tab/>
        <w:t>(b)</w:t>
      </w:r>
      <w:r>
        <w:rPr>
          <w:snapToGrid w:val="0"/>
        </w:rPr>
        <w:tab/>
        <w:t>specifying the fees that are payable; and</w:t>
      </w:r>
    </w:p>
    <w:p>
      <w:pPr>
        <w:pStyle w:val="Indenta"/>
        <w:spacing w:before="60"/>
        <w:rPr>
          <w:snapToGrid w:val="0"/>
        </w:rPr>
      </w:pPr>
      <w:r>
        <w:rPr>
          <w:snapToGrid w:val="0"/>
        </w:rPr>
        <w:tab/>
        <w:t>(c)</w:t>
      </w:r>
      <w:r>
        <w:rPr>
          <w:snapToGrid w:val="0"/>
        </w:rPr>
        <w:tab/>
        <w:t>specifying the manner in which the fees are to be paid.</w:t>
      </w:r>
    </w:p>
    <w:p>
      <w:pPr>
        <w:pStyle w:val="Subsection"/>
        <w:spacing w:before="140"/>
        <w:rPr>
          <w:snapToGrid w:val="0"/>
        </w:rPr>
      </w:pPr>
      <w:r>
        <w:rPr>
          <w:snapToGrid w:val="0"/>
        </w:rPr>
        <w:tab/>
        <w:t>(3)</w:t>
      </w:r>
      <w:r>
        <w:rPr>
          <w:snapToGrid w:val="0"/>
        </w:rPr>
        <w:tab/>
        <w:t>A person must pay, in the manner specified in a sign under subregulation (2)(c), the fee for which the person is liable under this regulation.</w:t>
      </w:r>
    </w:p>
    <w:p>
      <w:pPr>
        <w:pStyle w:val="Penstart"/>
        <w:rPr>
          <w:snapToGrid w:val="0"/>
        </w:rPr>
      </w:pPr>
      <w:r>
        <w:rPr>
          <w:snapToGrid w:val="0"/>
        </w:rPr>
        <w:tab/>
        <w:t>Penalty:</w:t>
      </w:r>
      <w:r>
        <w:t xml:space="preserve"> a fine of</w:t>
      </w:r>
      <w:r>
        <w:rPr>
          <w:snapToGrid w:val="0"/>
        </w:rPr>
        <w:t xml:space="preserve"> $200.</w:t>
      </w:r>
    </w:p>
    <w:p>
      <w:pPr>
        <w:pStyle w:val="Subsection"/>
        <w:spacing w:before="130"/>
      </w:pPr>
      <w:r>
        <w:tab/>
        <w:t>(4)</w:t>
      </w:r>
      <w:r>
        <w:tab/>
        <w:t xml:space="preserve">If a person, who has paid </w:t>
      </w:r>
      <w:r>
        <w:rPr>
          <w:snapToGrid w:val="0"/>
        </w:rPr>
        <w:t xml:space="preserve">the relevant fee in advance, </w:t>
      </w:r>
      <w:r>
        <w:t>notifies the CEO more than 2 weeks before the half</w:t>
      </w:r>
      <w:r>
        <w:noBreakHyphen/>
        <w:t>day, or day, in respect of which the fee was paid that the person is not going to abseil on that half</w:t>
      </w:r>
      <w:r>
        <w:noBreakHyphen/>
        <w:t>day, or day, in the area in respect of which the fee was paid, the CEO may refund the fee.</w:t>
      </w:r>
    </w:p>
    <w:p>
      <w:pPr>
        <w:pStyle w:val="Footnotesection"/>
        <w:spacing w:before="100"/>
      </w:pPr>
      <w:r>
        <w:tab/>
        <w:t>[Regulation 102A inserted in Gazette 29 Sep 2006 p. 4322</w:t>
      </w:r>
      <w:r>
        <w:noBreakHyphen/>
        <w:t>3; amended in Gazette 3 Dec 2010 p. 6051 and 6052</w:t>
      </w:r>
      <w:r>
        <w:noBreakHyphen/>
        <w:t>4.]</w:t>
      </w:r>
    </w:p>
    <w:p>
      <w:pPr>
        <w:pStyle w:val="Heading5"/>
        <w:spacing w:before="180"/>
        <w:rPr>
          <w:snapToGrid w:val="0"/>
        </w:rPr>
      </w:pPr>
      <w:bookmarkStart w:id="364" w:name="_Toc408498914"/>
      <w:bookmarkStart w:id="365" w:name="_Toc417563790"/>
      <w:r>
        <w:rPr>
          <w:rStyle w:val="CharSectno"/>
        </w:rPr>
        <w:t>103</w:t>
      </w:r>
      <w:r>
        <w:rPr>
          <w:snapToGrid w:val="0"/>
        </w:rPr>
        <w:t>.</w:t>
      </w:r>
      <w:r>
        <w:rPr>
          <w:snapToGrid w:val="0"/>
        </w:rPr>
        <w:tab/>
        <w:t>Camping fees</w:t>
      </w:r>
      <w:bookmarkEnd w:id="364"/>
      <w:bookmarkEnd w:id="365"/>
      <w:r>
        <w:rPr>
          <w:snapToGrid w:val="0"/>
        </w:rPr>
        <w:t xml:space="preserve"> </w:t>
      </w:r>
    </w:p>
    <w:p>
      <w:pPr>
        <w:pStyle w:val="Subsection"/>
        <w:spacing w:before="130"/>
        <w:rPr>
          <w:snapToGrid w:val="0"/>
        </w:rPr>
      </w:pPr>
      <w:r>
        <w:rPr>
          <w:snapToGrid w:val="0"/>
        </w:rPr>
        <w:tab/>
        <w:t>(1)</w:t>
      </w:r>
      <w:r>
        <w:rPr>
          <w:snapToGrid w:val="0"/>
        </w:rPr>
        <w:tab/>
        <w:t>Subject to subregulation (3) the fees specified in Schedule 1 Division 6 are payable in respect of persons who camp in camping areas on CALM land.</w:t>
      </w:r>
    </w:p>
    <w:p>
      <w:pPr>
        <w:pStyle w:val="Subsection"/>
        <w:spacing w:before="130"/>
        <w:rPr>
          <w:snapToGrid w:val="0"/>
        </w:rPr>
      </w:pPr>
      <w:r>
        <w:rPr>
          <w:snapToGrid w:val="0"/>
        </w:rPr>
        <w:tab/>
        <w:t>(2)</w:t>
      </w:r>
      <w:r>
        <w:rPr>
          <w:snapToGrid w:val="0"/>
        </w:rPr>
        <w:tab/>
        <w:t>A person occupying a camping site is liable to pay the fee referred to in subregulation (1) or, if there is more than one person occupying the site, the persons occupying the site are jointly and severally liable to pay the fee.</w:t>
      </w:r>
    </w:p>
    <w:p>
      <w:pPr>
        <w:pStyle w:val="Subsection"/>
        <w:spacing w:before="130"/>
        <w:rPr>
          <w:snapToGrid w:val="0"/>
        </w:rPr>
      </w:pPr>
      <w:r>
        <w:rPr>
          <w:snapToGrid w:val="0"/>
        </w:rPr>
        <w:tab/>
        <w:t>(3)</w:t>
      </w:r>
      <w:r>
        <w:rPr>
          <w:snapToGrid w:val="0"/>
        </w:rPr>
        <w:tab/>
        <w:t xml:space="preserve">Fees are not payable under this regulation unless the </w:t>
      </w:r>
      <w:r>
        <w:t xml:space="preserve">CEO </w:t>
      </w:r>
      <w:r>
        <w:rPr>
          <w:snapToGrid w:val="0"/>
        </w:rPr>
        <w:t>has erected a sign at the camping area — </w:t>
      </w:r>
    </w:p>
    <w:p>
      <w:pPr>
        <w:pStyle w:val="Indenta"/>
        <w:spacing w:before="60"/>
        <w:rPr>
          <w:snapToGrid w:val="0"/>
        </w:rPr>
      </w:pPr>
      <w:r>
        <w:rPr>
          <w:snapToGrid w:val="0"/>
        </w:rPr>
        <w:tab/>
        <w:t>(a)</w:t>
      </w:r>
      <w:r>
        <w:rPr>
          <w:snapToGrid w:val="0"/>
        </w:rPr>
        <w:tab/>
        <w:t>stating that fees are payable for camping; and</w:t>
      </w:r>
    </w:p>
    <w:p>
      <w:pPr>
        <w:pStyle w:val="Indenta"/>
        <w:rPr>
          <w:snapToGrid w:val="0"/>
        </w:rPr>
      </w:pPr>
      <w:r>
        <w:rPr>
          <w:snapToGrid w:val="0"/>
        </w:rPr>
        <w:tab/>
        <w:t>(b)</w:t>
      </w:r>
      <w:r>
        <w:rPr>
          <w:snapToGrid w:val="0"/>
        </w:rPr>
        <w:tab/>
        <w:t>specifying the fees that are payable; and</w:t>
      </w:r>
    </w:p>
    <w:p>
      <w:pPr>
        <w:pStyle w:val="Indenta"/>
        <w:rPr>
          <w:snapToGrid w:val="0"/>
        </w:rPr>
      </w:pPr>
      <w:r>
        <w:rPr>
          <w:snapToGrid w:val="0"/>
        </w:rPr>
        <w:tab/>
        <w:t>(c)</w:t>
      </w:r>
      <w:r>
        <w:rPr>
          <w:snapToGrid w:val="0"/>
        </w:rPr>
        <w:tab/>
        <w:t>specifying the manner in which the fees are to be paid.</w:t>
      </w:r>
    </w:p>
    <w:p>
      <w:pPr>
        <w:pStyle w:val="Subsection"/>
        <w:rPr>
          <w:snapToGrid w:val="0"/>
        </w:rPr>
      </w:pPr>
      <w:r>
        <w:rPr>
          <w:snapToGrid w:val="0"/>
        </w:rPr>
        <w:tab/>
        <w:t>(4)</w:t>
      </w:r>
      <w:r>
        <w:rPr>
          <w:snapToGrid w:val="0"/>
        </w:rPr>
        <w:tab/>
        <w:t>A person must pay, in the manner specified in a sign under subregulation (3)(c), a fee for which the person is liable under this regulation.</w:t>
      </w:r>
    </w:p>
    <w:p>
      <w:pPr>
        <w:pStyle w:val="Penstart"/>
        <w:rPr>
          <w:snapToGrid w:val="0"/>
        </w:rPr>
      </w:pPr>
      <w:r>
        <w:rPr>
          <w:snapToGrid w:val="0"/>
        </w:rPr>
        <w:tab/>
        <w:t>Penalty:</w:t>
      </w:r>
      <w:r>
        <w:t xml:space="preserve"> a fine of</w:t>
      </w:r>
      <w:r>
        <w:rPr>
          <w:snapToGrid w:val="0"/>
        </w:rPr>
        <w:t xml:space="preserve"> $200.</w:t>
      </w:r>
    </w:p>
    <w:p>
      <w:pPr>
        <w:pStyle w:val="Footnotesection"/>
      </w:pPr>
      <w:r>
        <w:tab/>
        <w:t>[Regulation 103 amended in Gazette 29 Sep 2006 p. 4334; 3 Dec 2010 p. 6052</w:t>
      </w:r>
      <w:r>
        <w:noBreakHyphen/>
        <w:t>4.]</w:t>
      </w:r>
    </w:p>
    <w:p>
      <w:pPr>
        <w:pStyle w:val="Heading5"/>
      </w:pPr>
      <w:bookmarkStart w:id="366" w:name="_Toc408498915"/>
      <w:bookmarkStart w:id="367" w:name="_Toc417563791"/>
      <w:r>
        <w:rPr>
          <w:rStyle w:val="CharSectno"/>
        </w:rPr>
        <w:t>103A</w:t>
      </w:r>
      <w:r>
        <w:t>.</w:t>
      </w:r>
      <w:r>
        <w:tab/>
        <w:t>Companion of Companion Card holder</w:t>
      </w:r>
      <w:bookmarkEnd w:id="366"/>
      <w:bookmarkEnd w:id="367"/>
    </w:p>
    <w:p>
      <w:pPr>
        <w:pStyle w:val="Subsection"/>
      </w:pPr>
      <w:r>
        <w:tab/>
      </w:r>
      <w:r>
        <w:tab/>
        <w:t xml:space="preserve">Despite anything in this Part, a person need not pay a fee under this Part to enter a place or do a thing if — </w:t>
      </w:r>
    </w:p>
    <w:p>
      <w:pPr>
        <w:pStyle w:val="Indenta"/>
      </w:pPr>
      <w:r>
        <w:tab/>
        <w:t>(a)</w:t>
      </w:r>
      <w:r>
        <w:tab/>
        <w:t>the person is, at the time of entering the place or doing the thing, the companion of a person who holds a Companion Card; and</w:t>
      </w:r>
    </w:p>
    <w:p>
      <w:pPr>
        <w:pStyle w:val="Indenta"/>
      </w:pPr>
      <w:r>
        <w:tab/>
        <w:t>(b)</w:t>
      </w:r>
      <w:r>
        <w:tab/>
        <w:t>the person who holds the Companion Card is entitled to pay a concession fee to enter the place or do the thing.</w:t>
      </w:r>
    </w:p>
    <w:p>
      <w:pPr>
        <w:pStyle w:val="Footnotesection"/>
      </w:pPr>
      <w:r>
        <w:tab/>
        <w:t>[Regulation 103A inserted in Gazette 29 Sep 2006 p. 4323.]</w:t>
      </w:r>
    </w:p>
    <w:p>
      <w:pPr>
        <w:pStyle w:val="Heading5"/>
      </w:pPr>
      <w:bookmarkStart w:id="368" w:name="_Toc408498916"/>
      <w:bookmarkStart w:id="369" w:name="_Toc417563792"/>
      <w:r>
        <w:rPr>
          <w:rStyle w:val="CharSectno"/>
        </w:rPr>
        <w:t>104</w:t>
      </w:r>
      <w:r>
        <w:rPr>
          <w:snapToGrid w:val="0"/>
        </w:rPr>
        <w:t>.</w:t>
      </w:r>
      <w:r>
        <w:rPr>
          <w:snapToGrid w:val="0"/>
        </w:rPr>
        <w:tab/>
        <w:t>Fees may be waived or reduced</w:t>
      </w:r>
      <w:bookmarkEnd w:id="368"/>
      <w:bookmarkEnd w:id="369"/>
    </w:p>
    <w:p>
      <w:pPr>
        <w:pStyle w:val="Subsection"/>
      </w:pPr>
      <w:r>
        <w:tab/>
      </w:r>
      <w:r>
        <w:tab/>
        <w:t>The CEO may waive payment of a fee or part of a fee prescribed or provided for in these regulations.</w:t>
      </w:r>
    </w:p>
    <w:p>
      <w:pPr>
        <w:pStyle w:val="Footnotesection"/>
      </w:pPr>
      <w:r>
        <w:tab/>
        <w:t>[Regulation 104 amended in Gazette 29 Sep 2006 p. 4334.]</w:t>
      </w:r>
    </w:p>
    <w:p>
      <w:pPr>
        <w:pStyle w:val="Heading2"/>
      </w:pPr>
      <w:bookmarkStart w:id="370" w:name="_Toc408498917"/>
      <w:bookmarkStart w:id="371" w:name="_Toc414889339"/>
      <w:bookmarkStart w:id="372" w:name="_Toc414975311"/>
      <w:bookmarkStart w:id="373" w:name="_Toc417563793"/>
      <w:r>
        <w:rPr>
          <w:rStyle w:val="CharPartNo"/>
        </w:rPr>
        <w:t>Part 9</w:t>
      </w:r>
      <w:r>
        <w:rPr>
          <w:b w:val="0"/>
        </w:rPr>
        <w:t> </w:t>
      </w:r>
      <w:r>
        <w:t>—</w:t>
      </w:r>
      <w:r>
        <w:rPr>
          <w:b w:val="0"/>
        </w:rPr>
        <w:t> </w:t>
      </w:r>
      <w:r>
        <w:rPr>
          <w:rStyle w:val="CharPartText"/>
        </w:rPr>
        <w:t>Miscellaneous</w:t>
      </w:r>
      <w:bookmarkEnd w:id="370"/>
      <w:bookmarkEnd w:id="371"/>
      <w:bookmarkEnd w:id="372"/>
      <w:bookmarkEnd w:id="373"/>
    </w:p>
    <w:p>
      <w:pPr>
        <w:pStyle w:val="Footnoteheading"/>
        <w:spacing w:before="100"/>
      </w:pPr>
      <w:r>
        <w:tab/>
        <w:t>[Heading inserted in Gazette 29 Sep 2006 p. 4323.]</w:t>
      </w:r>
    </w:p>
    <w:p>
      <w:pPr>
        <w:pStyle w:val="Heading5"/>
        <w:rPr>
          <w:snapToGrid w:val="0"/>
        </w:rPr>
      </w:pPr>
      <w:bookmarkStart w:id="374" w:name="_Toc408498918"/>
      <w:bookmarkStart w:id="375" w:name="_Toc417563794"/>
      <w:r>
        <w:rPr>
          <w:rStyle w:val="CharSectno"/>
        </w:rPr>
        <w:t>105</w:t>
      </w:r>
      <w:r>
        <w:rPr>
          <w:snapToGrid w:val="0"/>
        </w:rPr>
        <w:t>.</w:t>
      </w:r>
      <w:r>
        <w:rPr>
          <w:snapToGrid w:val="0"/>
        </w:rPr>
        <w:tab/>
        <w:t>Organised events and meetings</w:t>
      </w:r>
      <w:bookmarkEnd w:id="374"/>
      <w:bookmarkEnd w:id="375"/>
      <w:r>
        <w:rPr>
          <w:snapToGrid w:val="0"/>
        </w:rPr>
        <w:t xml:space="preserve"> </w:t>
      </w:r>
    </w:p>
    <w:p>
      <w:pPr>
        <w:pStyle w:val="Subsection"/>
        <w:spacing w:before="140"/>
        <w:rPr>
          <w:snapToGrid w:val="0"/>
        </w:rPr>
      </w:pPr>
      <w:r>
        <w:rPr>
          <w:snapToGrid w:val="0"/>
        </w:rPr>
        <w:tab/>
        <w:t>(1)</w:t>
      </w:r>
      <w:r>
        <w:rPr>
          <w:snapToGrid w:val="0"/>
        </w:rPr>
        <w:tab/>
        <w:t xml:space="preserve">A person must not, without lawful authority, organise, advertise or hold a meeting, function or event on CALM land which is likely to involve or involves the attendance of more than 100 persons. </w:t>
      </w:r>
    </w:p>
    <w:p>
      <w:pPr>
        <w:pStyle w:val="Penstart"/>
        <w:rPr>
          <w:snapToGrid w:val="0"/>
        </w:rPr>
      </w:pPr>
      <w:r>
        <w:rPr>
          <w:snapToGrid w:val="0"/>
        </w:rPr>
        <w:tab/>
        <w:t>Penalty:</w:t>
      </w:r>
      <w:r>
        <w:t xml:space="preserve"> a fine of</w:t>
      </w:r>
      <w:r>
        <w:rPr>
          <w:snapToGrid w:val="0"/>
        </w:rPr>
        <w:t xml:space="preserve"> $2 000.</w:t>
      </w:r>
    </w:p>
    <w:p>
      <w:pPr>
        <w:pStyle w:val="Subsection"/>
        <w:spacing w:before="140"/>
      </w:pPr>
      <w:r>
        <w:tab/>
        <w:t>(2)</w:t>
      </w:r>
      <w:r>
        <w:tab/>
        <w:t>The CEO cannot refuse to authorise a person for the purposes of subregulation (1) except on grounds relating to the adverse effects of the meeting, function or event on the environment or other users of the land.</w:t>
      </w:r>
    </w:p>
    <w:p>
      <w:pPr>
        <w:pStyle w:val="Footnotesection"/>
        <w:spacing w:before="100"/>
      </w:pPr>
      <w:r>
        <w:tab/>
        <w:t>[Regulation 105 amended in Gazette 29 Sep 2006 p. 4323</w:t>
      </w:r>
      <w:r>
        <w:noBreakHyphen/>
        <w:t>4; 3 Dec 2010 p. 6052</w:t>
      </w:r>
      <w:r>
        <w:noBreakHyphen/>
        <w:t>4.]</w:t>
      </w:r>
    </w:p>
    <w:p>
      <w:pPr>
        <w:pStyle w:val="Heading5"/>
        <w:rPr>
          <w:snapToGrid w:val="0"/>
        </w:rPr>
      </w:pPr>
      <w:bookmarkStart w:id="376" w:name="_Toc408498919"/>
      <w:bookmarkStart w:id="377" w:name="_Toc417563795"/>
      <w:r>
        <w:rPr>
          <w:rStyle w:val="CharSectno"/>
        </w:rPr>
        <w:t>106</w:t>
      </w:r>
      <w:r>
        <w:rPr>
          <w:snapToGrid w:val="0"/>
        </w:rPr>
        <w:t>.</w:t>
      </w:r>
      <w:r>
        <w:rPr>
          <w:snapToGrid w:val="0"/>
        </w:rPr>
        <w:tab/>
        <w:t>Unlawful commercial operations</w:t>
      </w:r>
      <w:bookmarkEnd w:id="376"/>
      <w:bookmarkEnd w:id="377"/>
      <w:r>
        <w:rPr>
          <w:snapToGrid w:val="0"/>
        </w:rPr>
        <w:t xml:space="preserve"> </w:t>
      </w:r>
    </w:p>
    <w:p>
      <w:pPr>
        <w:pStyle w:val="Subsection"/>
        <w:spacing w:before="140"/>
        <w:rPr>
          <w:snapToGrid w:val="0"/>
        </w:rPr>
      </w:pPr>
      <w:r>
        <w:rPr>
          <w:snapToGrid w:val="0"/>
        </w:rPr>
        <w:tab/>
        <w:t>(1)</w:t>
      </w:r>
      <w:r>
        <w:rPr>
          <w:snapToGrid w:val="0"/>
        </w:rPr>
        <w:tab/>
        <w:t>A person must not, without lawful authority, sell any goods or services, or carry on any business, on CALM land.</w:t>
      </w:r>
    </w:p>
    <w:p>
      <w:pPr>
        <w:pStyle w:val="Penstart"/>
        <w:rPr>
          <w:snapToGrid w:val="0"/>
        </w:rPr>
      </w:pPr>
      <w:r>
        <w:rPr>
          <w:snapToGrid w:val="0"/>
        </w:rPr>
        <w:tab/>
        <w:t>Penalty:</w:t>
      </w:r>
      <w:r>
        <w:t xml:space="preserve"> a fine of</w:t>
      </w:r>
      <w:r>
        <w:rPr>
          <w:snapToGrid w:val="0"/>
        </w:rPr>
        <w:t xml:space="preserve"> $2 000.</w:t>
      </w:r>
    </w:p>
    <w:p>
      <w:pPr>
        <w:pStyle w:val="Subsection"/>
        <w:spacing w:before="140"/>
      </w:pPr>
      <w:r>
        <w:tab/>
        <w:t>(2)</w:t>
      </w:r>
      <w:r>
        <w:tab/>
        <w:t>A person must not advertise that the person is willing to sell any goods or services, or that the person carries on or will carry on a business, on CALM land unless the person has lawful authority to sell the goods or services, or carry on the business, on the CALM land.</w:t>
      </w:r>
    </w:p>
    <w:p>
      <w:pPr>
        <w:pStyle w:val="Penstart"/>
      </w:pPr>
      <w:r>
        <w:tab/>
        <w:t>Penalty: a fine of $2 000.</w:t>
      </w:r>
    </w:p>
    <w:p>
      <w:pPr>
        <w:pStyle w:val="Footnotesection"/>
        <w:spacing w:before="100"/>
      </w:pPr>
      <w:r>
        <w:tab/>
        <w:t>[Regulation 106 amended in Gazette 29 Sep 2006 p. 4324; 3 Dec 2010 p. 6052</w:t>
      </w:r>
      <w:r>
        <w:noBreakHyphen/>
        <w:t>4.]</w:t>
      </w:r>
    </w:p>
    <w:p>
      <w:pPr>
        <w:pStyle w:val="Heading5"/>
      </w:pPr>
      <w:bookmarkStart w:id="378" w:name="_Toc408498920"/>
      <w:bookmarkStart w:id="379" w:name="_Toc417563796"/>
      <w:r>
        <w:rPr>
          <w:rStyle w:val="CharSectno"/>
        </w:rPr>
        <w:t>107</w:t>
      </w:r>
      <w:r>
        <w:t>.</w:t>
      </w:r>
      <w:r>
        <w:tab/>
        <w:t>Distribution of printed matter and advertising material</w:t>
      </w:r>
      <w:bookmarkEnd w:id="378"/>
      <w:bookmarkEnd w:id="379"/>
    </w:p>
    <w:p>
      <w:pPr>
        <w:pStyle w:val="Subsection"/>
        <w:spacing w:before="140"/>
      </w:pPr>
      <w:r>
        <w:tab/>
      </w:r>
      <w:r>
        <w:tab/>
        <w:t xml:space="preserve">A person must not, without lawful authority, on CALM land — </w:t>
      </w:r>
    </w:p>
    <w:p>
      <w:pPr>
        <w:pStyle w:val="Indenta"/>
      </w:pPr>
      <w:r>
        <w:tab/>
        <w:t>(a)</w:t>
      </w:r>
      <w:r>
        <w:tab/>
        <w:t>sell or distribute or carry or expose for sale any printed or written matter; or</w:t>
      </w:r>
    </w:p>
    <w:p>
      <w:pPr>
        <w:pStyle w:val="Indenta"/>
        <w:spacing w:before="60"/>
      </w:pPr>
      <w:r>
        <w:tab/>
        <w:t>(b)</w:t>
      </w:r>
      <w:r>
        <w:tab/>
        <w:t>distribute any printed or written matter for a commercial purpose; or</w:t>
      </w:r>
    </w:p>
    <w:p>
      <w:pPr>
        <w:pStyle w:val="Indenta"/>
        <w:spacing w:before="60"/>
      </w:pPr>
      <w:r>
        <w:tab/>
        <w:t>(c)</w:t>
      </w:r>
      <w:r>
        <w:tab/>
        <w:t>advertise or promote any product, service or event for a commercial purpose.</w:t>
      </w:r>
    </w:p>
    <w:p>
      <w:pPr>
        <w:pStyle w:val="Penstart"/>
      </w:pPr>
      <w:r>
        <w:tab/>
        <w:t>Penalty: a fine of $500.</w:t>
      </w:r>
    </w:p>
    <w:p>
      <w:pPr>
        <w:pStyle w:val="Footnotesection"/>
        <w:spacing w:before="100"/>
      </w:pPr>
      <w:r>
        <w:tab/>
        <w:t>[Regulation 107 inserted in Gazette 29 Sep 2006 p. 4324</w:t>
      </w:r>
      <w:r>
        <w:noBreakHyphen/>
        <w:t>5; amended in Gazette 3 Dec 2010 p. 6052</w:t>
      </w:r>
      <w:r>
        <w:noBreakHyphen/>
        <w:t>4.]</w:t>
      </w:r>
    </w:p>
    <w:p>
      <w:pPr>
        <w:pStyle w:val="Heading5"/>
        <w:spacing w:before="200"/>
        <w:rPr>
          <w:snapToGrid w:val="0"/>
        </w:rPr>
      </w:pPr>
      <w:bookmarkStart w:id="380" w:name="_Toc408498921"/>
      <w:bookmarkStart w:id="381" w:name="_Toc417563797"/>
      <w:r>
        <w:rPr>
          <w:rStyle w:val="CharSectno"/>
        </w:rPr>
        <w:t>108</w:t>
      </w:r>
      <w:r>
        <w:rPr>
          <w:snapToGrid w:val="0"/>
        </w:rPr>
        <w:t>.</w:t>
      </w:r>
      <w:r>
        <w:rPr>
          <w:snapToGrid w:val="0"/>
        </w:rPr>
        <w:tab/>
        <w:t>Photography for commercial purposes</w:t>
      </w:r>
      <w:bookmarkEnd w:id="380"/>
      <w:bookmarkEnd w:id="381"/>
      <w:r>
        <w:rPr>
          <w:snapToGrid w:val="0"/>
        </w:rPr>
        <w:t xml:space="preserve"> </w:t>
      </w:r>
    </w:p>
    <w:p>
      <w:pPr>
        <w:pStyle w:val="Subsection"/>
        <w:spacing w:before="140"/>
        <w:rPr>
          <w:snapToGrid w:val="0"/>
        </w:rPr>
      </w:pPr>
      <w:r>
        <w:rPr>
          <w:snapToGrid w:val="0"/>
        </w:rPr>
        <w:tab/>
      </w:r>
      <w:r>
        <w:rPr>
          <w:snapToGrid w:val="0"/>
        </w:rPr>
        <w:tab/>
        <w:t>A person must not, without lawful authority, take — </w:t>
      </w:r>
    </w:p>
    <w:p>
      <w:pPr>
        <w:pStyle w:val="Indenta"/>
        <w:spacing w:before="60"/>
        <w:rPr>
          <w:snapToGrid w:val="0"/>
        </w:rPr>
      </w:pPr>
      <w:r>
        <w:rPr>
          <w:snapToGrid w:val="0"/>
        </w:rPr>
        <w:tab/>
        <w:t>(a)</w:t>
      </w:r>
      <w:r>
        <w:rPr>
          <w:snapToGrid w:val="0"/>
        </w:rPr>
        <w:tab/>
        <w:t xml:space="preserve">still pictures on CALM land by photographic or electronic means if the pictures are to be used for </w:t>
      </w:r>
      <w:r>
        <w:t xml:space="preserve">commercial </w:t>
      </w:r>
      <w:r>
        <w:rPr>
          <w:snapToGrid w:val="0"/>
        </w:rPr>
        <w:t>purposes; or</w:t>
      </w:r>
    </w:p>
    <w:p>
      <w:pPr>
        <w:pStyle w:val="Indenta"/>
        <w:spacing w:before="60"/>
        <w:rPr>
          <w:snapToGrid w:val="0"/>
        </w:rPr>
      </w:pPr>
      <w:r>
        <w:rPr>
          <w:snapToGrid w:val="0"/>
        </w:rPr>
        <w:tab/>
        <w:t>(b)</w:t>
      </w:r>
      <w:r>
        <w:rPr>
          <w:snapToGrid w:val="0"/>
        </w:rPr>
        <w:tab/>
        <w:t>motion pictures on CALM land by photographic or electronic means if the pictures are to be used for commercial purposes.</w:t>
      </w:r>
    </w:p>
    <w:p>
      <w:pPr>
        <w:pStyle w:val="Penstart"/>
        <w:rPr>
          <w:snapToGrid w:val="0"/>
        </w:rPr>
      </w:pPr>
      <w:r>
        <w:rPr>
          <w:snapToGrid w:val="0"/>
        </w:rPr>
        <w:tab/>
        <w:t>Penalty:</w:t>
      </w:r>
      <w:r>
        <w:t xml:space="preserve"> a fine of</w:t>
      </w:r>
      <w:r>
        <w:rPr>
          <w:snapToGrid w:val="0"/>
        </w:rPr>
        <w:t xml:space="preserve"> $500.</w:t>
      </w:r>
    </w:p>
    <w:p>
      <w:pPr>
        <w:pStyle w:val="Footnotesection"/>
        <w:spacing w:before="100"/>
      </w:pPr>
      <w:r>
        <w:tab/>
        <w:t>[Regulation 108 amended in Gazette 29 Sep 2006 p. 4325; 3 Dec 2010 p. 6052</w:t>
      </w:r>
      <w:r>
        <w:noBreakHyphen/>
        <w:t>4.]</w:t>
      </w:r>
    </w:p>
    <w:p>
      <w:pPr>
        <w:pStyle w:val="Heading5"/>
        <w:spacing w:before="200"/>
        <w:rPr>
          <w:snapToGrid w:val="0"/>
        </w:rPr>
      </w:pPr>
      <w:bookmarkStart w:id="382" w:name="_Toc408498922"/>
      <w:bookmarkStart w:id="383" w:name="_Toc417563798"/>
      <w:r>
        <w:rPr>
          <w:rStyle w:val="CharSectno"/>
        </w:rPr>
        <w:t>109</w:t>
      </w:r>
      <w:r>
        <w:rPr>
          <w:snapToGrid w:val="0"/>
        </w:rPr>
        <w:t>.</w:t>
      </w:r>
      <w:r>
        <w:rPr>
          <w:snapToGrid w:val="0"/>
        </w:rPr>
        <w:tab/>
        <w:t>Production of licences etc.</w:t>
      </w:r>
      <w:bookmarkEnd w:id="382"/>
      <w:bookmarkEnd w:id="383"/>
      <w:r>
        <w:rPr>
          <w:snapToGrid w:val="0"/>
        </w:rPr>
        <w:t xml:space="preserve"> </w:t>
      </w:r>
    </w:p>
    <w:p>
      <w:pPr>
        <w:pStyle w:val="Subsection"/>
        <w:spacing w:before="140"/>
      </w:pPr>
      <w:r>
        <w:rPr>
          <w:snapToGrid w:val="0"/>
        </w:rPr>
        <w:tab/>
      </w:r>
      <w:r>
        <w:rPr>
          <w:snapToGrid w:val="0"/>
        </w:rPr>
        <w:tab/>
        <w:t xml:space="preserve">The holder of a licence, permit, written authorisation or pass issued under the Act or these regulations must, if requested by an authorised officer, produce the licence, permit, authorisation or pass for </w:t>
      </w:r>
      <w:r>
        <w:t xml:space="preserve">inspection — </w:t>
      </w:r>
    </w:p>
    <w:p>
      <w:pPr>
        <w:pStyle w:val="Indenta"/>
        <w:spacing w:before="60"/>
      </w:pPr>
      <w:r>
        <w:tab/>
        <w:t>(a)</w:t>
      </w:r>
      <w:r>
        <w:tab/>
        <w:t>if it is a condition of the licence, permit, authorisation or pass that the holder produce the licence, permit, authorisation or pass upon demand of an authorised officer — at the time of the request; or</w:t>
      </w:r>
    </w:p>
    <w:p>
      <w:pPr>
        <w:pStyle w:val="Indenta"/>
        <w:spacing w:before="60"/>
        <w:rPr>
          <w:snapToGrid w:val="0"/>
        </w:rPr>
      </w:pPr>
      <w:r>
        <w:tab/>
        <w:t>(b)</w:t>
      </w:r>
      <w:r>
        <w:tab/>
        <w:t>if paragraph (a) does not apply — as soon as is practicable.</w:t>
      </w:r>
    </w:p>
    <w:p>
      <w:pPr>
        <w:pStyle w:val="Penstart"/>
        <w:rPr>
          <w:snapToGrid w:val="0"/>
        </w:rPr>
      </w:pPr>
      <w:r>
        <w:rPr>
          <w:snapToGrid w:val="0"/>
        </w:rPr>
        <w:tab/>
        <w:t>Penalty:</w:t>
      </w:r>
      <w:r>
        <w:t xml:space="preserve"> a fine of</w:t>
      </w:r>
      <w:r>
        <w:rPr>
          <w:snapToGrid w:val="0"/>
        </w:rPr>
        <w:t xml:space="preserve"> </w:t>
      </w:r>
      <w:r>
        <w:t>$2 000</w:t>
      </w:r>
      <w:r>
        <w:rPr>
          <w:snapToGrid w:val="0"/>
        </w:rPr>
        <w:t>.</w:t>
      </w:r>
    </w:p>
    <w:p>
      <w:pPr>
        <w:pStyle w:val="Footnotesection"/>
        <w:spacing w:before="100"/>
      </w:pPr>
      <w:r>
        <w:tab/>
        <w:t>[Regulation 109 amended in Gazette 29 Sep 2006 p. 4325; 3 Dec 2010 p. 6052</w:t>
      </w:r>
      <w:r>
        <w:noBreakHyphen/>
        <w:t>4; 19 Sep 2014 p. 3336.]</w:t>
      </w:r>
    </w:p>
    <w:p>
      <w:pPr>
        <w:pStyle w:val="Heading5"/>
        <w:rPr>
          <w:snapToGrid w:val="0"/>
        </w:rPr>
      </w:pPr>
      <w:bookmarkStart w:id="384" w:name="_Toc408498923"/>
      <w:bookmarkStart w:id="385" w:name="_Toc417563799"/>
      <w:r>
        <w:rPr>
          <w:rStyle w:val="CharSectno"/>
        </w:rPr>
        <w:t>110</w:t>
      </w:r>
      <w:r>
        <w:rPr>
          <w:snapToGrid w:val="0"/>
        </w:rPr>
        <w:t>.</w:t>
      </w:r>
      <w:r>
        <w:rPr>
          <w:snapToGrid w:val="0"/>
        </w:rPr>
        <w:tab/>
        <w:t>False or misleading information</w:t>
      </w:r>
      <w:bookmarkEnd w:id="384"/>
      <w:bookmarkEnd w:id="385"/>
      <w:r>
        <w:rPr>
          <w:snapToGrid w:val="0"/>
        </w:rPr>
        <w:t xml:space="preserve"> </w:t>
      </w:r>
    </w:p>
    <w:p>
      <w:pPr>
        <w:pStyle w:val="Subsection"/>
        <w:rPr>
          <w:snapToGrid w:val="0"/>
        </w:rPr>
      </w:pPr>
      <w:r>
        <w:rPr>
          <w:snapToGrid w:val="0"/>
        </w:rPr>
        <w:tab/>
      </w:r>
      <w:r>
        <w:rPr>
          <w:snapToGrid w:val="0"/>
        </w:rPr>
        <w:tab/>
        <w:t>A person must not, in relation to the holding of a lease, licence or permit or the payment of a fee, give information orally or in writing to an authorised officer that the person knows to be — </w:t>
      </w:r>
    </w:p>
    <w:p>
      <w:pPr>
        <w:pStyle w:val="Indenta"/>
        <w:rPr>
          <w:snapToGrid w:val="0"/>
        </w:rPr>
      </w:pPr>
      <w:r>
        <w:rPr>
          <w:snapToGrid w:val="0"/>
        </w:rPr>
        <w:tab/>
        <w:t>(a)</w:t>
      </w:r>
      <w:r>
        <w:rPr>
          <w:snapToGrid w:val="0"/>
        </w:rPr>
        <w:tab/>
        <w:t>false or misleading in a material particular; or</w:t>
      </w:r>
    </w:p>
    <w:p>
      <w:pPr>
        <w:pStyle w:val="Indenta"/>
        <w:rPr>
          <w:snapToGrid w:val="0"/>
        </w:rPr>
      </w:pPr>
      <w:r>
        <w:rPr>
          <w:snapToGrid w:val="0"/>
        </w:rPr>
        <w:tab/>
        <w:t>(b)</w:t>
      </w:r>
      <w:r>
        <w:rPr>
          <w:snapToGrid w:val="0"/>
        </w:rPr>
        <w:tab/>
        <w:t>likely to deceive in a material way.</w:t>
      </w:r>
    </w:p>
    <w:p>
      <w:pPr>
        <w:pStyle w:val="Penstart"/>
        <w:rPr>
          <w:snapToGrid w:val="0"/>
        </w:rPr>
      </w:pPr>
      <w:r>
        <w:rPr>
          <w:snapToGrid w:val="0"/>
        </w:rPr>
        <w:tab/>
        <w:t>Penalty:</w:t>
      </w:r>
      <w:r>
        <w:t xml:space="preserve"> a fine of</w:t>
      </w:r>
      <w:r>
        <w:rPr>
          <w:snapToGrid w:val="0"/>
        </w:rPr>
        <w:t xml:space="preserve"> </w:t>
      </w:r>
      <w:r>
        <w:t>$2 000</w:t>
      </w:r>
      <w:r>
        <w:rPr>
          <w:snapToGrid w:val="0"/>
        </w:rPr>
        <w:t>.</w:t>
      </w:r>
    </w:p>
    <w:p>
      <w:pPr>
        <w:pStyle w:val="Footnotesection"/>
      </w:pPr>
      <w:r>
        <w:tab/>
        <w:t>[Regulation 110 amended in Gazette 3 Dec 2010 p. 6052</w:t>
      </w:r>
      <w:r>
        <w:noBreakHyphen/>
        <w:t>4; 19 Sep 2014 p. 3336.]</w:t>
      </w:r>
    </w:p>
    <w:p>
      <w:pPr>
        <w:pStyle w:val="Heading5"/>
        <w:rPr>
          <w:snapToGrid w:val="0"/>
        </w:rPr>
      </w:pPr>
      <w:bookmarkStart w:id="386" w:name="_Toc408498924"/>
      <w:bookmarkStart w:id="387" w:name="_Toc417563800"/>
      <w:r>
        <w:rPr>
          <w:rStyle w:val="CharSectno"/>
        </w:rPr>
        <w:t>111</w:t>
      </w:r>
      <w:r>
        <w:rPr>
          <w:snapToGrid w:val="0"/>
        </w:rPr>
        <w:t>.</w:t>
      </w:r>
      <w:r>
        <w:rPr>
          <w:snapToGrid w:val="0"/>
        </w:rPr>
        <w:tab/>
        <w:t>Signs — presumption</w:t>
      </w:r>
      <w:bookmarkEnd w:id="386"/>
      <w:bookmarkEnd w:id="387"/>
      <w:r>
        <w:rPr>
          <w:snapToGrid w:val="0"/>
        </w:rPr>
        <w:t xml:space="preserve"> </w:t>
      </w:r>
    </w:p>
    <w:p>
      <w:pPr>
        <w:pStyle w:val="Subsection"/>
        <w:rPr>
          <w:snapToGrid w:val="0"/>
        </w:rPr>
      </w:pPr>
      <w:r>
        <w:rPr>
          <w:snapToGrid w:val="0"/>
        </w:rPr>
        <w:tab/>
      </w:r>
      <w:r>
        <w:rPr>
          <w:snapToGrid w:val="0"/>
        </w:rPr>
        <w:tab/>
        <w:t xml:space="preserve">A sign on CALM land is to be taken to have been erected or made by the authority of the </w:t>
      </w:r>
      <w:r>
        <w:t xml:space="preserve">CEO </w:t>
      </w:r>
      <w:r>
        <w:rPr>
          <w:snapToGrid w:val="0"/>
        </w:rPr>
        <w:t>unless the contrary is shown.</w:t>
      </w:r>
    </w:p>
    <w:p>
      <w:pPr>
        <w:pStyle w:val="Footnotesection"/>
      </w:pPr>
      <w:r>
        <w:tab/>
        <w:t>[Regulation 111 amended in Gazette 29 Sep 2006 p. 4334.]</w:t>
      </w:r>
    </w:p>
    <w:p>
      <w:pPr>
        <w:pStyle w:val="Heading5"/>
      </w:pPr>
      <w:bookmarkStart w:id="388" w:name="_Toc408498925"/>
      <w:bookmarkStart w:id="389" w:name="_Toc417563801"/>
      <w:r>
        <w:rPr>
          <w:rStyle w:val="CharSectno"/>
        </w:rPr>
        <w:t>111A</w:t>
      </w:r>
      <w:r>
        <w:t>.</w:t>
      </w:r>
      <w:r>
        <w:tab/>
        <w:t>Reasons for decisions</w:t>
      </w:r>
      <w:bookmarkEnd w:id="388"/>
      <w:bookmarkEnd w:id="389"/>
    </w:p>
    <w:p>
      <w:pPr>
        <w:pStyle w:val="Subsection"/>
      </w:pPr>
      <w:r>
        <w:tab/>
        <w:t>(1)</w:t>
      </w:r>
      <w:r>
        <w:tab/>
        <w:t>A person aggrieved by a decision of the CEO under these regulations may apply to the CEO for reasons for the decision.</w:t>
      </w:r>
    </w:p>
    <w:p>
      <w:pPr>
        <w:pStyle w:val="Subsection"/>
      </w:pPr>
      <w:r>
        <w:tab/>
        <w:t>(2)</w:t>
      </w:r>
      <w:r>
        <w:tab/>
        <w:t>The CEO must give the reasons for the decision to the person.</w:t>
      </w:r>
    </w:p>
    <w:p>
      <w:pPr>
        <w:pStyle w:val="Footnotesection"/>
      </w:pPr>
      <w:r>
        <w:tab/>
        <w:t>[Regulation 111A inserted in Gazette 29 Sep 2006 p. 4326.]</w:t>
      </w:r>
    </w:p>
    <w:p>
      <w:pPr>
        <w:pStyle w:val="Heading5"/>
        <w:rPr>
          <w:snapToGrid w:val="0"/>
        </w:rPr>
      </w:pPr>
      <w:bookmarkStart w:id="390" w:name="_Toc408498926"/>
      <w:bookmarkStart w:id="391" w:name="_Toc417563802"/>
      <w:r>
        <w:rPr>
          <w:rStyle w:val="CharSectno"/>
        </w:rPr>
        <w:t>112</w:t>
      </w:r>
      <w:r>
        <w:rPr>
          <w:snapToGrid w:val="0"/>
        </w:rPr>
        <w:t>.</w:t>
      </w:r>
      <w:r>
        <w:rPr>
          <w:snapToGrid w:val="0"/>
        </w:rPr>
        <w:tab/>
        <w:t>Infringement notices</w:t>
      </w:r>
      <w:bookmarkEnd w:id="390"/>
      <w:bookmarkEnd w:id="391"/>
      <w:r>
        <w:rPr>
          <w:snapToGrid w:val="0"/>
        </w:rPr>
        <w:t xml:space="preserve"> </w:t>
      </w:r>
    </w:p>
    <w:p>
      <w:pPr>
        <w:pStyle w:val="Subsection"/>
        <w:rPr>
          <w:snapToGrid w:val="0"/>
        </w:rPr>
      </w:pPr>
      <w:r>
        <w:rPr>
          <w:snapToGrid w:val="0"/>
        </w:rPr>
        <w:tab/>
        <w:t>(1)</w:t>
      </w:r>
      <w:r>
        <w:rPr>
          <w:snapToGrid w:val="0"/>
        </w:rPr>
        <w:tab/>
        <w:t>The offences described in Schedule 2 columns 1 and 2 are prescribed offences for the purposes of section 114A of the Act.</w:t>
      </w:r>
    </w:p>
    <w:p>
      <w:pPr>
        <w:pStyle w:val="Subsection"/>
        <w:rPr>
          <w:snapToGrid w:val="0"/>
        </w:rPr>
      </w:pPr>
      <w:r>
        <w:rPr>
          <w:snapToGrid w:val="0"/>
        </w:rPr>
        <w:tab/>
        <w:t>(2)</w:t>
      </w:r>
      <w:r>
        <w:rPr>
          <w:snapToGrid w:val="0"/>
        </w:rPr>
        <w:tab/>
        <w:t>The penalties set out in Schedule 2 column 3 are prescribed modified penalties for the offence in columns 1 and 2 to which the penalties correspond, for the purposes of section 114A of the Act.</w:t>
      </w:r>
    </w:p>
    <w:p>
      <w:pPr>
        <w:pStyle w:val="Subsection"/>
        <w:rPr>
          <w:snapToGrid w:val="0"/>
        </w:rPr>
      </w:pPr>
      <w:r>
        <w:rPr>
          <w:snapToGrid w:val="0"/>
        </w:rPr>
        <w:tab/>
        <w:t>(3)</w:t>
      </w:r>
      <w:r>
        <w:rPr>
          <w:snapToGrid w:val="0"/>
        </w:rPr>
        <w:tab/>
        <w:t>Schedule 3 Form 1 is prescribed for the purposes of section 114A(1) of the Act.</w:t>
      </w:r>
    </w:p>
    <w:p>
      <w:pPr>
        <w:pStyle w:val="Subsection"/>
        <w:rPr>
          <w:snapToGrid w:val="0"/>
        </w:rPr>
      </w:pPr>
      <w:r>
        <w:rPr>
          <w:snapToGrid w:val="0"/>
        </w:rPr>
        <w:tab/>
        <w:t>(4)</w:t>
      </w:r>
      <w:r>
        <w:rPr>
          <w:snapToGrid w:val="0"/>
        </w:rPr>
        <w:tab/>
        <w:t>Schedule 3 Form 2 is prescribed for the purposes of section 114A(6) of the Act.</w:t>
      </w:r>
    </w:p>
    <w:p>
      <w:pPr>
        <w:pStyle w:val="Heading5"/>
        <w:rPr>
          <w:snapToGrid w:val="0"/>
        </w:rPr>
      </w:pPr>
      <w:bookmarkStart w:id="392" w:name="_Toc408498927"/>
      <w:bookmarkStart w:id="393" w:name="_Toc417563803"/>
      <w:r>
        <w:rPr>
          <w:rStyle w:val="CharSectno"/>
        </w:rPr>
        <w:t>113</w:t>
      </w:r>
      <w:r>
        <w:rPr>
          <w:snapToGrid w:val="0"/>
        </w:rPr>
        <w:t>.</w:t>
      </w:r>
      <w:r>
        <w:rPr>
          <w:snapToGrid w:val="0"/>
        </w:rPr>
        <w:tab/>
        <w:t>Evidence</w:t>
      </w:r>
      <w:bookmarkEnd w:id="392"/>
      <w:bookmarkEnd w:id="393"/>
      <w:r>
        <w:rPr>
          <w:snapToGrid w:val="0"/>
        </w:rPr>
        <w:t xml:space="preserve"> </w:t>
      </w:r>
    </w:p>
    <w:p>
      <w:pPr>
        <w:pStyle w:val="Subsection"/>
        <w:rPr>
          <w:snapToGrid w:val="0"/>
        </w:rPr>
      </w:pPr>
      <w:r>
        <w:rPr>
          <w:snapToGrid w:val="0"/>
        </w:rPr>
        <w:tab/>
      </w:r>
      <w:r>
        <w:rPr>
          <w:snapToGrid w:val="0"/>
        </w:rPr>
        <w:tab/>
        <w:t>In any prosecution under these regulations an averment in the complaint — </w:t>
      </w:r>
    </w:p>
    <w:p>
      <w:pPr>
        <w:pStyle w:val="Indenta"/>
        <w:rPr>
          <w:snapToGrid w:val="0"/>
        </w:rPr>
      </w:pPr>
      <w:r>
        <w:rPr>
          <w:snapToGrid w:val="0"/>
        </w:rPr>
        <w:tab/>
        <w:t>(a)</w:t>
      </w:r>
      <w:r>
        <w:rPr>
          <w:snapToGrid w:val="0"/>
        </w:rPr>
        <w:tab/>
        <w:t>that the place at or in respect of which a contravention of a regulation is alleged to have occurred was, or was within, a restricted area declared for the purpose of that regulation; or</w:t>
      </w:r>
    </w:p>
    <w:p>
      <w:pPr>
        <w:pStyle w:val="Indenta"/>
        <w:rPr>
          <w:snapToGrid w:val="0"/>
        </w:rPr>
      </w:pPr>
      <w:r>
        <w:rPr>
          <w:snapToGrid w:val="0"/>
        </w:rPr>
        <w:tab/>
        <w:t>(b)</w:t>
      </w:r>
      <w:r>
        <w:rPr>
          <w:snapToGrid w:val="0"/>
        </w:rPr>
        <w:tab/>
        <w:t>that the place at or in respect of which a contravention of a regulation is alleged to have occurred was, or was within, a designated area declared for the purpose of that regulation; or</w:t>
      </w:r>
    </w:p>
    <w:p>
      <w:pPr>
        <w:pStyle w:val="Indenta"/>
        <w:rPr>
          <w:snapToGrid w:val="0"/>
        </w:rPr>
      </w:pPr>
      <w:r>
        <w:rPr>
          <w:snapToGrid w:val="0"/>
        </w:rPr>
        <w:tab/>
        <w:t>(c)</w:t>
      </w:r>
      <w:r>
        <w:rPr>
          <w:snapToGrid w:val="0"/>
        </w:rPr>
        <w:tab/>
        <w:t>that an act or state of affairs occurred without lawful authority,</w:t>
      </w:r>
    </w:p>
    <w:p>
      <w:pPr>
        <w:pStyle w:val="Subsection"/>
        <w:rPr>
          <w:snapToGrid w:val="0"/>
        </w:rPr>
      </w:pPr>
      <w:r>
        <w:rPr>
          <w:snapToGrid w:val="0"/>
        </w:rPr>
        <w:tab/>
      </w:r>
      <w:r>
        <w:rPr>
          <w:snapToGrid w:val="0"/>
        </w:rPr>
        <w:tab/>
        <w:t>is taken to have been proved in the absence of evidence to the contrary.</w:t>
      </w:r>
    </w:p>
    <w:p>
      <w:pPr>
        <w:pStyle w:val="Heading2"/>
        <w:tabs>
          <w:tab w:val="left" w:pos="840"/>
        </w:tabs>
      </w:pPr>
      <w:bookmarkStart w:id="394" w:name="_Toc408498928"/>
      <w:bookmarkStart w:id="395" w:name="_Toc414889350"/>
      <w:bookmarkStart w:id="396" w:name="_Toc414975322"/>
      <w:bookmarkStart w:id="397" w:name="_Toc417563804"/>
      <w:r>
        <w:rPr>
          <w:rStyle w:val="CharPartNo"/>
        </w:rPr>
        <w:t>Part 10</w:t>
      </w:r>
      <w:r>
        <w:rPr>
          <w:rStyle w:val="CharDivNo"/>
        </w:rPr>
        <w:t> </w:t>
      </w:r>
      <w:r>
        <w:t>—</w:t>
      </w:r>
      <w:r>
        <w:rPr>
          <w:rStyle w:val="CharDivText"/>
        </w:rPr>
        <w:t> </w:t>
      </w:r>
      <w:r>
        <w:rPr>
          <w:rStyle w:val="CharPartText"/>
        </w:rPr>
        <w:t>Exclusion of operation of section 103A(3)</w:t>
      </w:r>
      <w:bookmarkEnd w:id="394"/>
      <w:bookmarkEnd w:id="395"/>
      <w:bookmarkEnd w:id="396"/>
      <w:bookmarkEnd w:id="397"/>
    </w:p>
    <w:p>
      <w:pPr>
        <w:pStyle w:val="Footnoteheading"/>
      </w:pPr>
      <w:r>
        <w:tab/>
        <w:t>[Heading inserted in Gazette 7 Dec 2012 p. 5966.]</w:t>
      </w:r>
    </w:p>
    <w:p>
      <w:pPr>
        <w:pStyle w:val="Heading5"/>
      </w:pPr>
      <w:bookmarkStart w:id="398" w:name="_Toc408498929"/>
      <w:bookmarkStart w:id="399" w:name="_Toc417563805"/>
      <w:r>
        <w:rPr>
          <w:rStyle w:val="CharSectno"/>
        </w:rPr>
        <w:t>114</w:t>
      </w:r>
      <w:r>
        <w:t>.</w:t>
      </w:r>
      <w:r>
        <w:tab/>
        <w:t>Terms used</w:t>
      </w:r>
      <w:bookmarkEnd w:id="398"/>
      <w:bookmarkEnd w:id="399"/>
    </w:p>
    <w:p>
      <w:pPr>
        <w:pStyle w:val="Subsection"/>
      </w:pPr>
      <w:r>
        <w:tab/>
      </w:r>
      <w:r>
        <w:tab/>
        <w:t xml:space="preserve">In this Part — </w:t>
      </w:r>
    </w:p>
    <w:p>
      <w:pPr>
        <w:pStyle w:val="Defstart"/>
      </w:pPr>
      <w:r>
        <w:tab/>
      </w:r>
      <w:r>
        <w:rPr>
          <w:rStyle w:val="CharDefText"/>
        </w:rPr>
        <w:t>recreational land</w:t>
      </w:r>
      <w:r>
        <w:t xml:space="preserve"> means CALM land that is, or is within 500 m of, any of the following — </w:t>
      </w:r>
    </w:p>
    <w:p>
      <w:pPr>
        <w:pStyle w:val="Defpara"/>
      </w:pPr>
      <w:r>
        <w:tab/>
        <w:t>(a)</w:t>
      </w:r>
      <w:r>
        <w:tab/>
        <w:t>a car park, including any area where signs direct vehicles to be parked or that is predominantly used for parking vehicles;</w:t>
      </w:r>
    </w:p>
    <w:p>
      <w:pPr>
        <w:pStyle w:val="Defpara"/>
      </w:pPr>
      <w:r>
        <w:tab/>
        <w:t>(b)</w:t>
      </w:r>
      <w:r>
        <w:tab/>
        <w:t>a sealed road;</w:t>
      </w:r>
    </w:p>
    <w:p>
      <w:pPr>
        <w:pStyle w:val="Defpara"/>
      </w:pPr>
      <w:r>
        <w:tab/>
        <w:t>(c)</w:t>
      </w:r>
      <w:r>
        <w:tab/>
        <w:t>a camping area;</w:t>
      </w:r>
    </w:p>
    <w:p>
      <w:pPr>
        <w:pStyle w:val="Defpara"/>
      </w:pPr>
      <w:r>
        <w:tab/>
        <w:t>(d)</w:t>
      </w:r>
      <w:r>
        <w:tab/>
        <w:t>a visitor area;</w:t>
      </w:r>
    </w:p>
    <w:p>
      <w:pPr>
        <w:pStyle w:val="Defstart"/>
      </w:pPr>
      <w:r>
        <w:tab/>
      </w:r>
      <w:r>
        <w:rPr>
          <w:rStyle w:val="CharDefText"/>
        </w:rPr>
        <w:t>townsite</w:t>
      </w:r>
      <w:r>
        <w:t xml:space="preserve"> has the meaning given in the </w:t>
      </w:r>
      <w:r>
        <w:rPr>
          <w:i/>
        </w:rPr>
        <w:t>Land Administration Act 1997</w:t>
      </w:r>
      <w:r>
        <w:t xml:space="preserve"> section 26(1);</w:t>
      </w:r>
    </w:p>
    <w:p>
      <w:pPr>
        <w:pStyle w:val="Defstart"/>
      </w:pPr>
      <w:r>
        <w:tab/>
      </w:r>
      <w:r>
        <w:rPr>
          <w:rStyle w:val="CharDefText"/>
        </w:rPr>
        <w:t>urban land</w:t>
      </w:r>
      <w:r>
        <w:t xml:space="preserve"> means land within the metropolitan region as defined in the </w:t>
      </w:r>
      <w:r>
        <w:rPr>
          <w:i/>
        </w:rPr>
        <w:t>Planning and Development Act 2005</w:t>
      </w:r>
      <w:r>
        <w:t xml:space="preserve"> section 4(1), the Peel Region described in Schedule 4 to that Act or the local government district of Bunbury;</w:t>
      </w:r>
    </w:p>
    <w:p>
      <w:pPr>
        <w:pStyle w:val="Defstart"/>
      </w:pPr>
      <w:r>
        <w:tab/>
      </w:r>
      <w:r>
        <w:rPr>
          <w:rStyle w:val="CharDefText"/>
        </w:rPr>
        <w:t>visitor area</w:t>
      </w:r>
      <w:r>
        <w:t xml:space="preserve"> includes any of the following — </w:t>
      </w:r>
    </w:p>
    <w:p>
      <w:pPr>
        <w:pStyle w:val="Defpara"/>
      </w:pPr>
      <w:r>
        <w:tab/>
        <w:t>(a)</w:t>
      </w:r>
      <w:r>
        <w:tab/>
        <w:t>an area of cultivated lawn;</w:t>
      </w:r>
    </w:p>
    <w:p>
      <w:pPr>
        <w:pStyle w:val="Defpara"/>
      </w:pPr>
      <w:r>
        <w:tab/>
        <w:t>(b)</w:t>
      </w:r>
      <w:r>
        <w:tab/>
        <w:t>an area signposted as a picnic area;</w:t>
      </w:r>
    </w:p>
    <w:p>
      <w:pPr>
        <w:pStyle w:val="Defpara"/>
      </w:pPr>
      <w:r>
        <w:tab/>
        <w:t>(c)</w:t>
      </w:r>
      <w:r>
        <w:tab/>
        <w:t>an area signposted as an historical, natural or cultural point of interest;</w:t>
      </w:r>
    </w:p>
    <w:p>
      <w:pPr>
        <w:pStyle w:val="Defpara"/>
      </w:pPr>
      <w:r>
        <w:tab/>
        <w:t>(d)</w:t>
      </w:r>
      <w:r>
        <w:tab/>
        <w:t xml:space="preserve">an area where any of the following have been provided for visitors — </w:t>
      </w:r>
    </w:p>
    <w:p>
      <w:pPr>
        <w:pStyle w:val="Indenti"/>
      </w:pPr>
      <w:r>
        <w:tab/>
        <w:t>(i)</w:t>
      </w:r>
      <w:r>
        <w:tab/>
        <w:t>tables and seating;</w:t>
      </w:r>
    </w:p>
    <w:p>
      <w:pPr>
        <w:pStyle w:val="Defsubpara"/>
      </w:pPr>
      <w:r>
        <w:tab/>
        <w:t>(ii)</w:t>
      </w:r>
      <w:r>
        <w:tab/>
        <w:t>a lookout or platform;</w:t>
      </w:r>
    </w:p>
    <w:p>
      <w:pPr>
        <w:pStyle w:val="Defsubpara"/>
      </w:pPr>
      <w:r>
        <w:tab/>
        <w:t>(iii)</w:t>
      </w:r>
      <w:r>
        <w:tab/>
        <w:t>a toilet facility;</w:t>
      </w:r>
    </w:p>
    <w:p>
      <w:pPr>
        <w:pStyle w:val="Defsubpara"/>
      </w:pPr>
      <w:r>
        <w:tab/>
        <w:t>(iv)</w:t>
      </w:r>
      <w:r>
        <w:tab/>
        <w:t>a rubbish bin;</w:t>
      </w:r>
    </w:p>
    <w:p>
      <w:pPr>
        <w:pStyle w:val="Defsubpara"/>
      </w:pPr>
      <w:r>
        <w:tab/>
        <w:t>(v)</w:t>
      </w:r>
      <w:r>
        <w:tab/>
        <w:t>interpretive information;</w:t>
      </w:r>
    </w:p>
    <w:p>
      <w:pPr>
        <w:pStyle w:val="Defsubpara"/>
      </w:pPr>
      <w:r>
        <w:tab/>
        <w:t>(vi)</w:t>
      </w:r>
      <w:r>
        <w:tab/>
        <w:t>any building, facility or other erected or constructed thing,</w:t>
      </w:r>
    </w:p>
    <w:p>
      <w:pPr>
        <w:pStyle w:val="Defpara"/>
      </w:pPr>
      <w:r>
        <w:tab/>
      </w:r>
      <w:r>
        <w:tab/>
        <w:t>but does not include a walk trail or unsealed road.</w:t>
      </w:r>
    </w:p>
    <w:p>
      <w:pPr>
        <w:pStyle w:val="Footnotesection"/>
      </w:pPr>
      <w:r>
        <w:tab/>
        <w:t>[Regulation 114 inserted in Gazette 7 Dec 2012 p. 5966-7.]</w:t>
      </w:r>
    </w:p>
    <w:p>
      <w:pPr>
        <w:pStyle w:val="Heading5"/>
      </w:pPr>
      <w:bookmarkStart w:id="400" w:name="_Toc408498930"/>
      <w:bookmarkStart w:id="401" w:name="_Toc417563806"/>
      <w:r>
        <w:rPr>
          <w:rStyle w:val="CharSectno"/>
        </w:rPr>
        <w:t>115</w:t>
      </w:r>
      <w:r>
        <w:t>.</w:t>
      </w:r>
      <w:r>
        <w:tab/>
        <w:t>Exclusion of operation of section 103A(3) of the Act: animals</w:t>
      </w:r>
      <w:bookmarkEnd w:id="400"/>
      <w:bookmarkEnd w:id="401"/>
    </w:p>
    <w:p>
      <w:pPr>
        <w:pStyle w:val="Subsection"/>
      </w:pPr>
      <w:r>
        <w:tab/>
        <w:t>(1)</w:t>
      </w:r>
      <w:r>
        <w:tab/>
        <w:t xml:space="preserve">In this regulation — </w:t>
      </w:r>
    </w:p>
    <w:p>
      <w:pPr>
        <w:pStyle w:val="Defstart"/>
      </w:pPr>
      <w:r>
        <w:tab/>
      </w:r>
      <w:r>
        <w:rPr>
          <w:rStyle w:val="CharDefText"/>
        </w:rPr>
        <w:t>poison risk area</w:t>
      </w:r>
      <w:r>
        <w:t xml:space="preserve"> means an area shown on a poison risk map in which poison baits to control vertebrates may be present;</w:t>
      </w:r>
    </w:p>
    <w:p>
      <w:pPr>
        <w:pStyle w:val="Defstart"/>
      </w:pPr>
      <w:r>
        <w:tab/>
      </w:r>
      <w:r>
        <w:rPr>
          <w:rStyle w:val="CharDefText"/>
        </w:rPr>
        <w:t>poison risk map</w:t>
      </w:r>
      <w:r>
        <w:t xml:space="preserve"> means a map produced by the Department that — </w:t>
      </w:r>
    </w:p>
    <w:p>
      <w:pPr>
        <w:pStyle w:val="Defpara"/>
      </w:pPr>
      <w:r>
        <w:tab/>
        <w:t>(a)</w:t>
      </w:r>
      <w:r>
        <w:tab/>
        <w:t>shows poison risk areas; and</w:t>
      </w:r>
    </w:p>
    <w:p>
      <w:pPr>
        <w:pStyle w:val="Defpara"/>
      </w:pPr>
      <w:r>
        <w:tab/>
        <w:t>(b)</w:t>
      </w:r>
      <w:r>
        <w:tab/>
        <w:t>is available for inspection by the public during normal office hours at each district office of the Department nearest to a poison risk area.</w:t>
      </w:r>
    </w:p>
    <w:p>
      <w:pPr>
        <w:pStyle w:val="Subsection"/>
      </w:pPr>
      <w:r>
        <w:tab/>
        <w:t>(2)</w:t>
      </w:r>
      <w:r>
        <w:tab/>
        <w:t xml:space="preserve">The operation of section 103A(3) of the Act is excluded in relation to bringing an animal on to CALM land contrary to regulation 15(a) if — </w:t>
      </w:r>
    </w:p>
    <w:p>
      <w:pPr>
        <w:pStyle w:val="Indenta"/>
      </w:pPr>
      <w:r>
        <w:tab/>
        <w:t>(a)</w:t>
      </w:r>
      <w:r>
        <w:tab/>
        <w:t>the animal is brought on to the land without the written permission of the CEO; and</w:t>
      </w:r>
    </w:p>
    <w:p>
      <w:pPr>
        <w:pStyle w:val="Indenta"/>
      </w:pPr>
      <w:r>
        <w:tab/>
        <w:t>(b)</w:t>
      </w:r>
      <w:r>
        <w:tab/>
        <w:t>the land is in a poison risk area.</w:t>
      </w:r>
    </w:p>
    <w:p>
      <w:pPr>
        <w:pStyle w:val="Subsection"/>
      </w:pPr>
      <w:r>
        <w:tab/>
        <w:t>(3)</w:t>
      </w:r>
      <w:r>
        <w:tab/>
        <w:t xml:space="preserve">The operation of section 103A(3) of the Act is excluded in relation to bringing an animal on to CALM land contrary to regulation 15(a) if — </w:t>
      </w:r>
    </w:p>
    <w:p>
      <w:pPr>
        <w:pStyle w:val="Indenta"/>
        <w:spacing w:before="70"/>
      </w:pPr>
      <w:r>
        <w:tab/>
        <w:t>(a)</w:t>
      </w:r>
      <w:r>
        <w:tab/>
        <w:t>the animal is brought on to the land without the written permission of the CEO; and</w:t>
      </w:r>
    </w:p>
    <w:p>
      <w:pPr>
        <w:pStyle w:val="Indenta"/>
        <w:spacing w:before="70"/>
      </w:pPr>
      <w:r>
        <w:tab/>
        <w:t>(b)</w:t>
      </w:r>
      <w:r>
        <w:tab/>
        <w:t>the animal is not kept in a vehicle while on the land; and</w:t>
      </w:r>
    </w:p>
    <w:p>
      <w:pPr>
        <w:pStyle w:val="Indenta"/>
        <w:spacing w:before="70"/>
      </w:pPr>
      <w:r>
        <w:tab/>
        <w:t>(c)</w:t>
      </w:r>
      <w:r>
        <w:tab/>
        <w:t xml:space="preserve">the land is — </w:t>
      </w:r>
    </w:p>
    <w:p>
      <w:pPr>
        <w:pStyle w:val="Indenti"/>
        <w:spacing w:before="70"/>
      </w:pPr>
      <w:r>
        <w:tab/>
        <w:t>(i)</w:t>
      </w:r>
      <w:r>
        <w:tab/>
        <w:t>recreational land or urban land; or</w:t>
      </w:r>
    </w:p>
    <w:p>
      <w:pPr>
        <w:pStyle w:val="Indenti"/>
        <w:spacing w:before="70"/>
      </w:pPr>
      <w:r>
        <w:tab/>
        <w:t>(ii)</w:t>
      </w:r>
      <w:r>
        <w:tab/>
        <w:t>in a townsite; or</w:t>
      </w:r>
    </w:p>
    <w:p>
      <w:pPr>
        <w:pStyle w:val="Indenti"/>
        <w:spacing w:before="70"/>
      </w:pPr>
      <w:r>
        <w:tab/>
        <w:t>(iii)</w:t>
      </w:r>
      <w:r>
        <w:tab/>
        <w:t xml:space="preserve">in Tunnel Creek National Park (Reserve No. 26890), </w:t>
      </w:r>
      <w:smartTag w:uri="urn:schemas-microsoft-com:office:smarttags" w:element="place">
        <w:smartTag w:uri="urn:schemas-microsoft-com:office:smarttags" w:element="PlaceName">
          <w:r>
            <w:t>Geikie</w:t>
          </w:r>
        </w:smartTag>
        <w:r>
          <w:t xml:space="preserve"> </w:t>
        </w:r>
        <w:smartTag w:uri="urn:schemas-microsoft-com:office:smarttags" w:element="PlaceName">
          <w:r>
            <w:t>Gorge</w:t>
          </w:r>
        </w:smartTag>
        <w:r>
          <w:t xml:space="preserve"> </w:t>
        </w:r>
        <w:smartTag w:uri="urn:schemas-microsoft-com:office:smarttags" w:element="PlaceType">
          <w:r>
            <w:t>National Park</w:t>
          </w:r>
        </w:smartTag>
      </w:smartTag>
      <w:r>
        <w:t xml:space="preserve"> (Reserve No. 28401), or Marlgu Billabong and Telegraph Hill in Parry Lagoons Nature Reserve (Reserve No. 42155).</w:t>
      </w:r>
    </w:p>
    <w:p>
      <w:pPr>
        <w:pStyle w:val="Footnotesection"/>
      </w:pPr>
      <w:r>
        <w:tab/>
        <w:t>[Regulation 115 inserted in Gazette 7 Dec 2012 p. 5967-8.]</w:t>
      </w:r>
    </w:p>
    <w:p>
      <w:pPr>
        <w:pStyle w:val="Heading5"/>
      </w:pPr>
      <w:bookmarkStart w:id="402" w:name="_Toc408498931"/>
      <w:bookmarkStart w:id="403" w:name="_Toc417563807"/>
      <w:r>
        <w:rPr>
          <w:rStyle w:val="CharSectno"/>
        </w:rPr>
        <w:t>116</w:t>
      </w:r>
      <w:r>
        <w:t>.</w:t>
      </w:r>
      <w:r>
        <w:tab/>
        <w:t>Exclusion of operation of section 103A(3) of the Act: vehicles</w:t>
      </w:r>
      <w:bookmarkEnd w:id="402"/>
      <w:bookmarkEnd w:id="403"/>
    </w:p>
    <w:p>
      <w:pPr>
        <w:pStyle w:val="Subsection"/>
      </w:pPr>
      <w:r>
        <w:tab/>
        <w:t>(1)</w:t>
      </w:r>
      <w:r>
        <w:tab/>
        <w:t xml:space="preserve">The operation of section 103A(3) of the Act is excluded in relation to driving or riding a vehicle contrary to regulation 51(1) if the vehicle is driven or ridden without the written permission of the CEO — </w:t>
      </w:r>
    </w:p>
    <w:p>
      <w:pPr>
        <w:pStyle w:val="Indenta"/>
      </w:pPr>
      <w:r>
        <w:tab/>
        <w:t>(a)</w:t>
      </w:r>
      <w:r>
        <w:tab/>
        <w:t>on recreational land or urban land; or</w:t>
      </w:r>
    </w:p>
    <w:p>
      <w:pPr>
        <w:pStyle w:val="Indenta"/>
      </w:pPr>
      <w:r>
        <w:tab/>
        <w:t>(b)</w:t>
      </w:r>
      <w:r>
        <w:tab/>
        <w:t>in a townsite; or</w:t>
      </w:r>
    </w:p>
    <w:p>
      <w:pPr>
        <w:pStyle w:val="Indenta"/>
      </w:pPr>
      <w:r>
        <w:tab/>
        <w:t>(c)</w:t>
      </w:r>
      <w:r>
        <w:tab/>
        <w:t xml:space="preserve">in Boonanaring Nature Reserve (Reserve No. 41805), Drummond Nature Reserve (Reserve No. 42808) or </w:t>
      </w:r>
      <w:smartTag w:uri="urn:schemas-microsoft-com:office:smarttags" w:element="place">
        <w:smartTag w:uri="urn:schemas-microsoft-com:office:smarttags" w:element="PlaceName">
          <w:r>
            <w:t>Moore</w:t>
          </w:r>
        </w:smartTag>
        <w:r>
          <w:t xml:space="preserve"> </w:t>
        </w:r>
        <w:smartTag w:uri="urn:schemas-microsoft-com:office:smarttags" w:element="PlaceType">
          <w:r>
            <w:t>River</w:t>
          </w:r>
        </w:smartTag>
      </w:smartTag>
      <w:r>
        <w:t xml:space="preserve"> Nature Reserve (Reserve No. 41830).</w:t>
      </w:r>
    </w:p>
    <w:p>
      <w:pPr>
        <w:pStyle w:val="Subsection"/>
      </w:pPr>
      <w:r>
        <w:tab/>
        <w:t>(2)</w:t>
      </w:r>
      <w:r>
        <w:tab/>
        <w:t>The operation of section 103A(3) of the Act is excluded in relation to driving or riding a vehicle contrary to regulation 51(3)(a) if the vehicle is so driven or ridden without the written permission of the CEO.</w:t>
      </w:r>
    </w:p>
    <w:p>
      <w:pPr>
        <w:pStyle w:val="Footnotesection"/>
      </w:pPr>
      <w:r>
        <w:tab/>
        <w:t>[Regulation 116 inserted in Gazette 7 Dec 2012 p. 5968.]</w:t>
      </w:r>
    </w:p>
    <w:p>
      <w:pPr>
        <w:pStyle w:val="Heading5"/>
      </w:pPr>
      <w:bookmarkStart w:id="404" w:name="_Toc408498932"/>
      <w:bookmarkStart w:id="405" w:name="_Toc417563808"/>
      <w:r>
        <w:rPr>
          <w:rStyle w:val="CharSectno"/>
        </w:rPr>
        <w:t>117</w:t>
      </w:r>
      <w:r>
        <w:t>.</w:t>
      </w:r>
      <w:r>
        <w:tab/>
        <w:t>Exclusion of operation of section 103A(3) of the Act: vessel</w:t>
      </w:r>
      <w:bookmarkEnd w:id="404"/>
      <w:bookmarkEnd w:id="405"/>
    </w:p>
    <w:p>
      <w:pPr>
        <w:pStyle w:val="Subsection"/>
      </w:pPr>
      <w:r>
        <w:tab/>
      </w:r>
      <w:r>
        <w:tab/>
        <w:t>The operation of section 103A(3) of the Act is excluded in relation to navigating a vessel contrary to regulation 61(a) or 64(1)(c) or (2)(c) if the vessel is so navigated without the written permission of the CEO.</w:t>
      </w:r>
    </w:p>
    <w:p>
      <w:pPr>
        <w:pStyle w:val="Footnotesection"/>
      </w:pPr>
      <w:r>
        <w:tab/>
        <w:t>[Regulation 117 inserted in Gazette 7 Dec 2012 p. 5968.]</w:t>
      </w:r>
    </w:p>
    <w:p>
      <w:pPr>
        <w:pStyle w:val="Heading5"/>
      </w:pPr>
      <w:bookmarkStart w:id="406" w:name="_Toc408498933"/>
      <w:bookmarkStart w:id="407" w:name="_Toc417563809"/>
      <w:r>
        <w:rPr>
          <w:rStyle w:val="CharSectno"/>
        </w:rPr>
        <w:t>118</w:t>
      </w:r>
      <w:r>
        <w:t>.</w:t>
      </w:r>
      <w:r>
        <w:tab/>
        <w:t>Exclusion of operation of section 103A(3) of the Act: fire</w:t>
      </w:r>
      <w:bookmarkEnd w:id="406"/>
      <w:bookmarkEnd w:id="407"/>
    </w:p>
    <w:p>
      <w:pPr>
        <w:pStyle w:val="Subsection"/>
      </w:pPr>
      <w:r>
        <w:tab/>
        <w:t>(1)</w:t>
      </w:r>
      <w:r>
        <w:tab/>
        <w:t xml:space="preserve">The operation of section 103A(3) of the Act is excluded in relation to lighting or kindling a fire contrary to section 104(1) of the Act or regulation 39(2) if the fire is lit or kindled without the written permission of the CEO on or in any of the following — </w:t>
      </w:r>
    </w:p>
    <w:p>
      <w:pPr>
        <w:pStyle w:val="Indenta"/>
        <w:spacing w:before="60"/>
      </w:pPr>
      <w:r>
        <w:tab/>
        <w:t>(a)</w:t>
      </w:r>
      <w:r>
        <w:tab/>
        <w:t>recreational land;</w:t>
      </w:r>
    </w:p>
    <w:p>
      <w:pPr>
        <w:pStyle w:val="Indenta"/>
        <w:spacing w:before="60"/>
      </w:pPr>
      <w:r>
        <w:tab/>
        <w:t>(b)</w:t>
      </w:r>
      <w:r>
        <w:tab/>
        <w:t>a townsite;</w:t>
      </w:r>
    </w:p>
    <w:p>
      <w:pPr>
        <w:pStyle w:val="Indenta"/>
        <w:spacing w:before="60"/>
      </w:pPr>
      <w:r>
        <w:tab/>
        <w:t>(c)</w:t>
      </w:r>
      <w:r>
        <w:tab/>
      </w:r>
      <w:smartTag w:uri="urn:schemas-microsoft-com:office:smarttags" w:element="place">
        <w:smartTag w:uri="urn:schemas-microsoft-com:office:smarttags" w:element="PlaceName">
          <w:r>
            <w:t>Moore</w:t>
          </w:r>
        </w:smartTag>
        <w:r>
          <w:t xml:space="preserve"> </w:t>
        </w:r>
        <w:smartTag w:uri="urn:schemas-microsoft-com:office:smarttags" w:element="PlaceType">
          <w:r>
            <w:t>River</w:t>
          </w:r>
        </w:smartTag>
      </w:smartTag>
      <w:r>
        <w:t xml:space="preserve"> Nature Reserve (Reserve No. 41830);</w:t>
      </w:r>
    </w:p>
    <w:p>
      <w:pPr>
        <w:pStyle w:val="Indenta"/>
        <w:spacing w:before="60"/>
      </w:pPr>
      <w:r>
        <w:tab/>
        <w:t>(d)</w:t>
      </w:r>
      <w:r>
        <w:tab/>
        <w:t>urban land.</w:t>
      </w:r>
    </w:p>
    <w:p>
      <w:pPr>
        <w:pStyle w:val="Subsection"/>
      </w:pPr>
      <w:r>
        <w:tab/>
        <w:t>(2)</w:t>
      </w:r>
      <w:r>
        <w:tab/>
        <w:t xml:space="preserve">In subregulation (1)(d) — </w:t>
      </w:r>
    </w:p>
    <w:p>
      <w:pPr>
        <w:pStyle w:val="Defstart"/>
      </w:pPr>
      <w:r>
        <w:tab/>
      </w:r>
      <w:r>
        <w:rPr>
          <w:rStyle w:val="CharDefText"/>
        </w:rPr>
        <w:t>urban land</w:t>
      </w:r>
      <w:r>
        <w:t xml:space="preserve"> does not include land in — </w:t>
      </w:r>
    </w:p>
    <w:p>
      <w:pPr>
        <w:pStyle w:val="Defpara"/>
        <w:spacing w:before="60"/>
      </w:pPr>
      <w:r>
        <w:tab/>
        <w:t>(a)</w:t>
      </w:r>
      <w:r>
        <w:tab/>
      </w:r>
      <w:smartTag w:uri="urn:schemas-microsoft-com:office:smarttags" w:element="place">
        <w:smartTag w:uri="urn:schemas-microsoft-com:office:smarttags" w:element="PlaceName">
          <w:r>
            <w:t>Avon</w:t>
          </w:r>
        </w:smartTag>
        <w:r>
          <w:t xml:space="preserve"> </w:t>
        </w:r>
        <w:smartTag w:uri="urn:schemas-microsoft-com:office:smarttags" w:element="PlaceType">
          <w:r>
            <w:t>Valley</w:t>
          </w:r>
        </w:smartTag>
        <w:r>
          <w:t xml:space="preserve"> </w:t>
        </w:r>
        <w:smartTag w:uri="urn:schemas-microsoft-com:office:smarttags" w:element="PlaceType">
          <w:r>
            <w:t>National Park</w:t>
          </w:r>
        </w:smartTag>
      </w:smartTag>
      <w:r>
        <w:t xml:space="preserve"> (Reserve No. 30192);</w:t>
      </w:r>
    </w:p>
    <w:p>
      <w:pPr>
        <w:pStyle w:val="Defpara"/>
        <w:spacing w:before="60"/>
      </w:pPr>
      <w:r>
        <w:tab/>
        <w:t>(b)</w:t>
      </w:r>
      <w:r>
        <w:tab/>
      </w:r>
      <w:smartTag w:uri="urn:schemas-microsoft-com:office:smarttags" w:element="PlaceName">
        <w:r>
          <w:t>Dwellingup</w:t>
        </w:r>
      </w:smartTag>
      <w:r>
        <w:t xml:space="preserve"> </w:t>
      </w:r>
      <w:smartTag w:uri="urn:schemas-microsoft-com:office:smarttags" w:element="PlaceType">
        <w:r>
          <w:t>State</w:t>
        </w:r>
      </w:smartTag>
      <w:r>
        <w:t xml:space="preserve"> </w:t>
      </w:r>
      <w:smartTag w:uri="urn:schemas-microsoft-com:office:smarttags" w:element="PlaceType">
        <w:r>
          <w:t>Forest</w:t>
        </w:r>
      </w:smartTag>
      <w:r>
        <w:t xml:space="preserve"> (</w:t>
      </w:r>
      <w:smartTag w:uri="urn:schemas-microsoft-com:office:smarttags" w:element="place">
        <w:smartTag w:uri="urn:schemas-microsoft-com:office:smarttags" w:element="PlaceType">
          <w:r>
            <w:t>State</w:t>
          </w:r>
        </w:smartTag>
        <w:r>
          <w:t xml:space="preserve"> </w:t>
        </w:r>
        <w:smartTag w:uri="urn:schemas-microsoft-com:office:smarttags" w:element="PlaceType">
          <w:r>
            <w:t>Forest</w:t>
          </w:r>
        </w:smartTag>
      </w:smartTag>
      <w:r>
        <w:t> 14);</w:t>
      </w:r>
    </w:p>
    <w:p>
      <w:pPr>
        <w:pStyle w:val="Defpara"/>
        <w:spacing w:before="60"/>
      </w:pPr>
      <w:r>
        <w:tab/>
        <w:t>(c)</w:t>
      </w:r>
      <w:r>
        <w:tab/>
        <w:t>Lane Poole Reserve (Reserve No. 39827);</w:t>
      </w:r>
    </w:p>
    <w:p>
      <w:pPr>
        <w:pStyle w:val="Defpara"/>
        <w:spacing w:before="60"/>
      </w:pPr>
      <w:r>
        <w:tab/>
        <w:t>(d)</w:t>
      </w:r>
      <w:r>
        <w:tab/>
      </w:r>
      <w:smartTag w:uri="urn:schemas-microsoft-com:office:smarttags" w:element="PlaceName">
        <w:r>
          <w:t>Jarrahdale</w:t>
        </w:r>
      </w:smartTag>
      <w:r>
        <w:t xml:space="preserve"> </w:t>
      </w:r>
      <w:smartTag w:uri="urn:schemas-microsoft-com:office:smarttags" w:element="PlaceType">
        <w:r>
          <w:t>State</w:t>
        </w:r>
      </w:smartTag>
      <w:r>
        <w:t xml:space="preserve"> </w:t>
      </w:r>
      <w:smartTag w:uri="urn:schemas-microsoft-com:office:smarttags" w:element="PlaceType">
        <w:r>
          <w:t>Forest</w:t>
        </w:r>
      </w:smartTag>
      <w:r>
        <w:t xml:space="preserve"> (</w:t>
      </w:r>
      <w:smartTag w:uri="urn:schemas-microsoft-com:office:smarttags" w:element="place">
        <w:smartTag w:uri="urn:schemas-microsoft-com:office:smarttags" w:element="PlaceType">
          <w:r>
            <w:t>State</w:t>
          </w:r>
        </w:smartTag>
        <w:r>
          <w:t xml:space="preserve"> </w:t>
        </w:r>
        <w:smartTag w:uri="urn:schemas-microsoft-com:office:smarttags" w:element="PlaceType">
          <w:r>
            <w:t>Forest</w:t>
          </w:r>
        </w:smartTag>
      </w:smartTag>
      <w:r>
        <w:t> 22);</w:t>
      </w:r>
    </w:p>
    <w:p>
      <w:pPr>
        <w:pStyle w:val="Defpara"/>
        <w:spacing w:before="60"/>
      </w:pPr>
      <w:r>
        <w:tab/>
        <w:t>(e)</w:t>
      </w:r>
      <w:r>
        <w:tab/>
      </w:r>
      <w:smartTag w:uri="urn:schemas-microsoft-com:office:smarttags" w:element="PlaceName">
        <w:r>
          <w:t>Moore</w:t>
        </w:r>
      </w:smartTag>
      <w:r>
        <w:t xml:space="preserve"> </w:t>
      </w:r>
      <w:smartTag w:uri="urn:schemas-microsoft-com:office:smarttags" w:element="PlaceType">
        <w:r>
          <w:t>River</w:t>
        </w:r>
      </w:smartTag>
      <w:r>
        <w:t xml:space="preserve"> </w:t>
      </w:r>
      <w:smartTag w:uri="urn:schemas-microsoft-com:office:smarttags" w:element="PlaceType">
        <w:r>
          <w:t>State</w:t>
        </w:r>
      </w:smartTag>
      <w:r>
        <w:t xml:space="preserve"> </w:t>
      </w:r>
      <w:smartTag w:uri="urn:schemas-microsoft-com:office:smarttags" w:element="PlaceType">
        <w:r>
          <w:t>Forest</w:t>
        </w:r>
      </w:smartTag>
      <w:r>
        <w:t xml:space="preserve"> (</w:t>
      </w:r>
      <w:smartTag w:uri="urn:schemas-microsoft-com:office:smarttags" w:element="place">
        <w:smartTag w:uri="urn:schemas-microsoft-com:office:smarttags" w:element="PlaceType">
          <w:r>
            <w:t>State</w:t>
          </w:r>
        </w:smartTag>
        <w:r>
          <w:t xml:space="preserve"> </w:t>
        </w:r>
        <w:smartTag w:uri="urn:schemas-microsoft-com:office:smarttags" w:element="PlaceType">
          <w:r>
            <w:t>Forest</w:t>
          </w:r>
        </w:smartTag>
      </w:smartTag>
      <w:r>
        <w:t xml:space="preserve"> 65);</w:t>
      </w:r>
    </w:p>
    <w:p>
      <w:pPr>
        <w:pStyle w:val="Defpara"/>
        <w:spacing w:before="60"/>
      </w:pPr>
      <w:r>
        <w:tab/>
        <w:t>(f)</w:t>
      </w:r>
      <w:r>
        <w:tab/>
      </w:r>
      <w:smartTag w:uri="urn:schemas-microsoft-com:office:smarttags" w:element="place">
        <w:smartTag w:uri="urn:schemas-microsoft-com:office:smarttags" w:element="PlaceName">
          <w:r>
            <w:t>Walyunga</w:t>
          </w:r>
        </w:smartTag>
        <w:r>
          <w:t xml:space="preserve"> </w:t>
        </w:r>
        <w:smartTag w:uri="urn:schemas-microsoft-com:office:smarttags" w:element="PlaceType">
          <w:r>
            <w:t>National Park</w:t>
          </w:r>
        </w:smartTag>
      </w:smartTag>
      <w:r>
        <w:t xml:space="preserve"> (Reserve No. 2065).</w:t>
      </w:r>
    </w:p>
    <w:p>
      <w:pPr>
        <w:pStyle w:val="Subsection"/>
      </w:pPr>
      <w:r>
        <w:tab/>
        <w:t>(3)</w:t>
      </w:r>
      <w:r>
        <w:tab/>
        <w:t xml:space="preserve">The operation of section 103A(3) of the Act is excluded in relation to lighting or kindling a fire contrary to section 104(1) of the Act or regulation 39(2) on land, defined in section 102(1) of the Act as </w:t>
      </w:r>
      <w:r>
        <w:rPr>
          <w:b/>
          <w:i/>
        </w:rPr>
        <w:t>land to which this Part applies</w:t>
      </w:r>
      <w:r>
        <w:t xml:space="preserve">, other than land referred to in subregulation (1), unless it is lit or kindled — </w:t>
      </w:r>
    </w:p>
    <w:p>
      <w:pPr>
        <w:pStyle w:val="Indenta"/>
        <w:spacing w:before="60"/>
      </w:pPr>
      <w:r>
        <w:tab/>
        <w:t>(a)</w:t>
      </w:r>
      <w:r>
        <w:tab/>
        <w:t>for the purpose of cooking food; or</w:t>
      </w:r>
    </w:p>
    <w:p>
      <w:pPr>
        <w:pStyle w:val="Indenta"/>
        <w:spacing w:before="60"/>
      </w:pPr>
      <w:r>
        <w:tab/>
        <w:t>(b)</w:t>
      </w:r>
      <w:r>
        <w:tab/>
        <w:t>for the purpose of a camp fire; or</w:t>
      </w:r>
    </w:p>
    <w:p>
      <w:pPr>
        <w:pStyle w:val="Indenta"/>
        <w:spacing w:before="60"/>
      </w:pPr>
      <w:r>
        <w:tab/>
        <w:t>(c)</w:t>
      </w:r>
      <w:r>
        <w:tab/>
        <w:t>for the purpose of a ceremonial activity, such as a smoking ceremony, during which activity the fire is confined to an area of less than 1 m</w:t>
      </w:r>
      <w:r>
        <w:rPr>
          <w:vertAlign w:val="superscript"/>
        </w:rPr>
        <w:t>2</w:t>
      </w:r>
      <w:r>
        <w:t>; or</w:t>
      </w:r>
    </w:p>
    <w:p>
      <w:pPr>
        <w:pStyle w:val="Indenta"/>
        <w:spacing w:before="60"/>
      </w:pPr>
      <w:r>
        <w:tab/>
        <w:t>(d)</w:t>
      </w:r>
      <w:r>
        <w:tab/>
        <w:t>for an Aboriginal customary purpose, other than a purpose referred to in paragraph (a), (b) or (c), with the written permission of the CEO.</w:t>
      </w:r>
    </w:p>
    <w:p>
      <w:pPr>
        <w:pStyle w:val="Subsection"/>
      </w:pPr>
      <w:r>
        <w:tab/>
        <w:t>(4)</w:t>
      </w:r>
      <w:r>
        <w:tab/>
        <w:t>The operation of section 103A(3) of the Act is excluded in relation to lighting or kindling a fire contrary to regulation 39(1)(b) if the fire is lit or kindled without the written permission of the CEO.</w:t>
      </w:r>
    </w:p>
    <w:p>
      <w:pPr>
        <w:pStyle w:val="Footnotesection"/>
      </w:pPr>
      <w:r>
        <w:tab/>
        <w:t>[Regulation 118 inserted in Gazette 7 Dec 2012 p. 5968-9.]</w:t>
      </w:r>
    </w:p>
    <w:p>
      <w:pPr>
        <w:pStyle w:val="Heading5"/>
      </w:pPr>
      <w:bookmarkStart w:id="408" w:name="_Toc408498934"/>
      <w:bookmarkStart w:id="409" w:name="_Toc417563810"/>
      <w:r>
        <w:rPr>
          <w:rStyle w:val="CharSectno"/>
        </w:rPr>
        <w:t>119</w:t>
      </w:r>
      <w:r>
        <w:t>.</w:t>
      </w:r>
      <w:r>
        <w:tab/>
        <w:t>Exclusion of operation of section 103A(3) of the Act: camping</w:t>
      </w:r>
      <w:bookmarkEnd w:id="408"/>
      <w:bookmarkEnd w:id="409"/>
    </w:p>
    <w:p>
      <w:pPr>
        <w:pStyle w:val="Subsection"/>
      </w:pPr>
      <w:r>
        <w:tab/>
        <w:t>(1)</w:t>
      </w:r>
      <w:r>
        <w:tab/>
        <w:t xml:space="preserve">The operation of section 103A(3) of the Act is excluded in relation to a person camping temporarily on CALM land contrary to regulation 66(1) if the person camps on the land — </w:t>
      </w:r>
    </w:p>
    <w:p>
      <w:pPr>
        <w:pStyle w:val="Indenta"/>
      </w:pPr>
      <w:r>
        <w:tab/>
        <w:t>(a)</w:t>
      </w:r>
      <w:r>
        <w:tab/>
        <w:t>without the written permission of the CEO; and</w:t>
      </w:r>
    </w:p>
    <w:p>
      <w:pPr>
        <w:pStyle w:val="Indenta"/>
      </w:pPr>
      <w:r>
        <w:tab/>
        <w:t>(b)</w:t>
      </w:r>
      <w:r>
        <w:tab/>
        <w:t>for more than 28 consecutive days, unless it is necessary to camp on the land for a longer period (not exceeding 84 consecutive days) for ceremonial purposes.</w:t>
      </w:r>
    </w:p>
    <w:p>
      <w:pPr>
        <w:pStyle w:val="Subsection"/>
      </w:pPr>
      <w:r>
        <w:tab/>
        <w:t>(2)</w:t>
      </w:r>
      <w:r>
        <w:tab/>
        <w:t xml:space="preserve">The operation of section 103A(3) of the Act is excluded in relation to a person camping temporarily on CALM land contrary to regulation 66(1) if the person camps on the land without the written permission of the CEO and the land is — </w:t>
      </w:r>
    </w:p>
    <w:p>
      <w:pPr>
        <w:pStyle w:val="Indenta"/>
      </w:pPr>
      <w:r>
        <w:tab/>
        <w:t>(a)</w:t>
      </w:r>
      <w:r>
        <w:tab/>
        <w:t>recreational land; or</w:t>
      </w:r>
    </w:p>
    <w:p>
      <w:pPr>
        <w:pStyle w:val="Indenta"/>
      </w:pPr>
      <w:r>
        <w:tab/>
        <w:t>(b)</w:t>
      </w:r>
      <w:r>
        <w:tab/>
        <w:t xml:space="preserve">in one of the following — </w:t>
      </w:r>
    </w:p>
    <w:p>
      <w:pPr>
        <w:pStyle w:val="Indenti"/>
      </w:pPr>
      <w:r>
        <w:tab/>
        <w:t>(i)</w:t>
      </w:r>
      <w:r>
        <w:tab/>
        <w:t>a townsite;</w:t>
      </w:r>
    </w:p>
    <w:p>
      <w:pPr>
        <w:pStyle w:val="Indenti"/>
      </w:pPr>
      <w:r>
        <w:tab/>
        <w:t>(ii)</w:t>
      </w:r>
      <w:r>
        <w:tab/>
        <w:t>Boonanaring Nature Reserve (Reserve No. 41805);</w:t>
      </w:r>
    </w:p>
    <w:p>
      <w:pPr>
        <w:pStyle w:val="Indenti"/>
      </w:pPr>
      <w:r>
        <w:tab/>
        <w:t>(iii)</w:t>
      </w:r>
      <w:r>
        <w:tab/>
        <w:t>Drummond Nature Reserve (Reserve No. 42808);</w:t>
      </w:r>
    </w:p>
    <w:p>
      <w:pPr>
        <w:pStyle w:val="Indenti"/>
      </w:pPr>
      <w:r>
        <w:tab/>
        <w:t>(iv)</w:t>
      </w:r>
      <w:r>
        <w:tab/>
      </w:r>
      <w:smartTag w:uri="urn:schemas-microsoft-com:office:smarttags" w:element="place">
        <w:smartTag w:uri="urn:schemas-microsoft-com:office:smarttags" w:element="PlaceName">
          <w:r>
            <w:t>Moore</w:t>
          </w:r>
        </w:smartTag>
        <w:r>
          <w:t xml:space="preserve"> </w:t>
        </w:r>
        <w:smartTag w:uri="urn:schemas-microsoft-com:office:smarttags" w:element="PlaceType">
          <w:r>
            <w:t>River</w:t>
          </w:r>
        </w:smartTag>
      </w:smartTag>
      <w:r>
        <w:t xml:space="preserve"> Nature Reserve (Reserve No. 41830);</w:t>
      </w:r>
    </w:p>
    <w:p>
      <w:pPr>
        <w:pStyle w:val="Indenti"/>
      </w:pPr>
      <w:r>
        <w:tab/>
        <w:t>(v)</w:t>
      </w:r>
      <w:r>
        <w:tab/>
      </w:r>
      <w:smartTag w:uri="urn:schemas-microsoft-com:office:smarttags" w:element="place">
        <w:smartTag w:uri="urn:schemas-microsoft-com:office:smarttags" w:element="PlaceName">
          <w:r>
            <w:t>Tunnel</w:t>
          </w:r>
        </w:smartTag>
        <w:r>
          <w:t xml:space="preserve"> </w:t>
        </w:r>
        <w:smartTag w:uri="urn:schemas-microsoft-com:office:smarttags" w:element="PlaceType">
          <w:r>
            <w:t>Creek</w:t>
          </w:r>
        </w:smartTag>
        <w:r>
          <w:t xml:space="preserve"> </w:t>
        </w:r>
        <w:smartTag w:uri="urn:schemas-microsoft-com:office:smarttags" w:element="PlaceType">
          <w:r>
            <w:t>National Park</w:t>
          </w:r>
        </w:smartTag>
      </w:smartTag>
      <w:r>
        <w:t>;</w:t>
      </w:r>
    </w:p>
    <w:p>
      <w:pPr>
        <w:pStyle w:val="Indenta"/>
      </w:pPr>
      <w:r>
        <w:tab/>
      </w:r>
      <w:r>
        <w:tab/>
        <w:t>or</w:t>
      </w:r>
    </w:p>
    <w:p>
      <w:pPr>
        <w:pStyle w:val="Indenta"/>
      </w:pPr>
      <w:r>
        <w:tab/>
        <w:t>(c)</w:t>
      </w:r>
      <w:r>
        <w:tab/>
        <w:t>urban land.</w:t>
      </w:r>
    </w:p>
    <w:p>
      <w:pPr>
        <w:pStyle w:val="Subsection"/>
        <w:keepNext/>
      </w:pPr>
      <w:r>
        <w:tab/>
        <w:t>(3)</w:t>
      </w:r>
      <w:r>
        <w:tab/>
        <w:t xml:space="preserve">In subregulation (2)(c) — </w:t>
      </w:r>
    </w:p>
    <w:p>
      <w:pPr>
        <w:pStyle w:val="Defstart"/>
        <w:keepNext/>
      </w:pPr>
      <w:r>
        <w:tab/>
      </w:r>
      <w:r>
        <w:rPr>
          <w:rStyle w:val="CharDefText"/>
        </w:rPr>
        <w:t>urban land</w:t>
      </w:r>
      <w:r>
        <w:t xml:space="preserve"> does not include land in — </w:t>
      </w:r>
    </w:p>
    <w:p>
      <w:pPr>
        <w:pStyle w:val="Defpara"/>
      </w:pPr>
      <w:r>
        <w:tab/>
        <w:t>(a)</w:t>
      </w:r>
      <w:r>
        <w:tab/>
      </w:r>
      <w:smartTag w:uri="urn:schemas-microsoft-com:office:smarttags" w:element="place">
        <w:smartTag w:uri="urn:schemas-microsoft-com:office:smarttags" w:element="PlaceName">
          <w:r>
            <w:t>Avon</w:t>
          </w:r>
        </w:smartTag>
        <w:r>
          <w:t xml:space="preserve"> </w:t>
        </w:r>
        <w:smartTag w:uri="urn:schemas-microsoft-com:office:smarttags" w:element="PlaceType">
          <w:r>
            <w:t>Valley</w:t>
          </w:r>
        </w:smartTag>
        <w:r>
          <w:t xml:space="preserve"> </w:t>
        </w:r>
        <w:smartTag w:uri="urn:schemas-microsoft-com:office:smarttags" w:element="PlaceType">
          <w:r>
            <w:t>National Park</w:t>
          </w:r>
        </w:smartTag>
      </w:smartTag>
      <w:r>
        <w:t xml:space="preserve"> (Reserve No. 30192);</w:t>
      </w:r>
    </w:p>
    <w:p>
      <w:pPr>
        <w:pStyle w:val="Defpara"/>
      </w:pPr>
      <w:r>
        <w:tab/>
        <w:t>(b)</w:t>
      </w:r>
      <w:r>
        <w:tab/>
      </w:r>
      <w:smartTag w:uri="urn:schemas-microsoft-com:office:smarttags" w:element="PlaceName">
        <w:r>
          <w:t>Dwellingup</w:t>
        </w:r>
      </w:smartTag>
      <w:r>
        <w:t xml:space="preserve"> </w:t>
      </w:r>
      <w:smartTag w:uri="urn:schemas-microsoft-com:office:smarttags" w:element="PlaceType">
        <w:r>
          <w:t>State</w:t>
        </w:r>
      </w:smartTag>
      <w:r>
        <w:t xml:space="preserve"> </w:t>
      </w:r>
      <w:smartTag w:uri="urn:schemas-microsoft-com:office:smarttags" w:element="PlaceType">
        <w:r>
          <w:t>Forest</w:t>
        </w:r>
      </w:smartTag>
      <w:r>
        <w:t xml:space="preserve"> (</w:t>
      </w:r>
      <w:smartTag w:uri="urn:schemas-microsoft-com:office:smarttags" w:element="place">
        <w:smartTag w:uri="urn:schemas-microsoft-com:office:smarttags" w:element="PlaceType">
          <w:r>
            <w:t>State</w:t>
          </w:r>
        </w:smartTag>
        <w:r>
          <w:t xml:space="preserve"> </w:t>
        </w:r>
        <w:smartTag w:uri="urn:schemas-microsoft-com:office:smarttags" w:element="PlaceType">
          <w:r>
            <w:t>Forest</w:t>
          </w:r>
        </w:smartTag>
      </w:smartTag>
      <w:r>
        <w:t> 14);</w:t>
      </w:r>
    </w:p>
    <w:p>
      <w:pPr>
        <w:pStyle w:val="Defpara"/>
      </w:pPr>
      <w:r>
        <w:tab/>
        <w:t>(c)</w:t>
      </w:r>
      <w:r>
        <w:tab/>
        <w:t>Lane Poole Reserve (Reserve No. 39827);</w:t>
      </w:r>
    </w:p>
    <w:p>
      <w:pPr>
        <w:pStyle w:val="Defpara"/>
      </w:pPr>
      <w:r>
        <w:tab/>
        <w:t>(d)</w:t>
      </w:r>
      <w:r>
        <w:tab/>
      </w:r>
      <w:smartTag w:uri="urn:schemas-microsoft-com:office:smarttags" w:element="PlaceName">
        <w:r>
          <w:t>Jarrahdale</w:t>
        </w:r>
      </w:smartTag>
      <w:r>
        <w:t xml:space="preserve"> </w:t>
      </w:r>
      <w:smartTag w:uri="urn:schemas-microsoft-com:office:smarttags" w:element="PlaceType">
        <w:r>
          <w:t>State</w:t>
        </w:r>
      </w:smartTag>
      <w:r>
        <w:t xml:space="preserve"> </w:t>
      </w:r>
      <w:smartTag w:uri="urn:schemas-microsoft-com:office:smarttags" w:element="PlaceType">
        <w:r>
          <w:t>Forest</w:t>
        </w:r>
      </w:smartTag>
      <w:r>
        <w:t xml:space="preserve"> (</w:t>
      </w:r>
      <w:smartTag w:uri="urn:schemas-microsoft-com:office:smarttags" w:element="place">
        <w:smartTag w:uri="urn:schemas-microsoft-com:office:smarttags" w:element="PlaceType">
          <w:r>
            <w:t>State</w:t>
          </w:r>
        </w:smartTag>
        <w:r>
          <w:t xml:space="preserve"> </w:t>
        </w:r>
        <w:smartTag w:uri="urn:schemas-microsoft-com:office:smarttags" w:element="PlaceType">
          <w:r>
            <w:t>Forest</w:t>
          </w:r>
        </w:smartTag>
      </w:smartTag>
      <w:r>
        <w:t> 22);</w:t>
      </w:r>
    </w:p>
    <w:p>
      <w:pPr>
        <w:pStyle w:val="Defpara"/>
      </w:pPr>
      <w:r>
        <w:tab/>
        <w:t>(e)</w:t>
      </w:r>
      <w:r>
        <w:tab/>
      </w:r>
      <w:smartTag w:uri="urn:schemas-microsoft-com:office:smarttags" w:element="PlaceName">
        <w:r>
          <w:t>Moore</w:t>
        </w:r>
      </w:smartTag>
      <w:r>
        <w:t xml:space="preserve"> </w:t>
      </w:r>
      <w:smartTag w:uri="urn:schemas-microsoft-com:office:smarttags" w:element="PlaceType">
        <w:r>
          <w:t>River</w:t>
        </w:r>
      </w:smartTag>
      <w:r>
        <w:t xml:space="preserve"> </w:t>
      </w:r>
      <w:smartTag w:uri="urn:schemas-microsoft-com:office:smarttags" w:element="PlaceType">
        <w:r>
          <w:t>State</w:t>
        </w:r>
      </w:smartTag>
      <w:r>
        <w:t xml:space="preserve"> </w:t>
      </w:r>
      <w:smartTag w:uri="urn:schemas-microsoft-com:office:smarttags" w:element="PlaceType">
        <w:r>
          <w:t>Forest</w:t>
        </w:r>
      </w:smartTag>
      <w:r>
        <w:t xml:space="preserve"> (</w:t>
      </w:r>
      <w:smartTag w:uri="urn:schemas-microsoft-com:office:smarttags" w:element="place">
        <w:smartTag w:uri="urn:schemas-microsoft-com:office:smarttags" w:element="PlaceType">
          <w:r>
            <w:t>State</w:t>
          </w:r>
        </w:smartTag>
        <w:r>
          <w:t xml:space="preserve"> </w:t>
        </w:r>
        <w:smartTag w:uri="urn:schemas-microsoft-com:office:smarttags" w:element="PlaceType">
          <w:r>
            <w:t>Forest</w:t>
          </w:r>
        </w:smartTag>
      </w:smartTag>
      <w:r>
        <w:t xml:space="preserve"> 65);</w:t>
      </w:r>
    </w:p>
    <w:p>
      <w:pPr>
        <w:pStyle w:val="Defpara"/>
      </w:pPr>
      <w:r>
        <w:tab/>
        <w:t>(f)</w:t>
      </w:r>
      <w:r>
        <w:tab/>
      </w:r>
      <w:smartTag w:uri="urn:schemas-microsoft-com:office:smarttags" w:element="place">
        <w:smartTag w:uri="urn:schemas-microsoft-com:office:smarttags" w:element="PlaceName">
          <w:r>
            <w:t>Walyunga</w:t>
          </w:r>
        </w:smartTag>
        <w:r>
          <w:t xml:space="preserve"> </w:t>
        </w:r>
        <w:smartTag w:uri="urn:schemas-microsoft-com:office:smarttags" w:element="PlaceType">
          <w:r>
            <w:t>National Park</w:t>
          </w:r>
        </w:smartTag>
      </w:smartTag>
      <w:r>
        <w:t xml:space="preserve"> (Reserve No. 2065).</w:t>
      </w:r>
    </w:p>
    <w:p>
      <w:pPr>
        <w:pStyle w:val="Footnotesection"/>
      </w:pPr>
      <w:r>
        <w:tab/>
        <w:t>[Regulation 119 inserted in Gazette 7 Dec 2012 p. 5969-70.]</w:t>
      </w:r>
    </w:p>
    <w:p>
      <w:pPr>
        <w:pStyle w:val="Heading5"/>
      </w:pPr>
      <w:bookmarkStart w:id="410" w:name="_Toc408498935"/>
      <w:bookmarkStart w:id="411" w:name="_Toc417563811"/>
      <w:r>
        <w:rPr>
          <w:rStyle w:val="CharSectno"/>
        </w:rPr>
        <w:t>120</w:t>
      </w:r>
      <w:r>
        <w:t>.</w:t>
      </w:r>
      <w:r>
        <w:tab/>
        <w:t>Exclusion of operation of section 103A(3) of the Act: entering land</w:t>
      </w:r>
      <w:bookmarkEnd w:id="410"/>
      <w:bookmarkEnd w:id="411"/>
    </w:p>
    <w:p>
      <w:pPr>
        <w:pStyle w:val="Subsection"/>
      </w:pPr>
      <w:r>
        <w:tab/>
        <w:t>(1)</w:t>
      </w:r>
      <w:r>
        <w:tab/>
        <w:t>The operation of section 103A(3) of the Act is excluded in relation to entering land contrary to regulation 41(a), (b) and (c), 42 or 43 if the entry is made without the written permission of the CEO.</w:t>
      </w:r>
    </w:p>
    <w:p>
      <w:pPr>
        <w:pStyle w:val="Subsection"/>
      </w:pPr>
      <w:r>
        <w:tab/>
        <w:t>(2)</w:t>
      </w:r>
      <w:r>
        <w:tab/>
        <w:t>The operation of section 103A(3) of the Act is excluded in relation to entering land contrary to regulation 46(1) or 48 if the entry is made without the written permission of the CEO.</w:t>
      </w:r>
    </w:p>
    <w:p>
      <w:pPr>
        <w:pStyle w:val="Footnotesection"/>
      </w:pPr>
      <w:r>
        <w:tab/>
        <w:t>[Regulation 120 inserted in Gazette 7 Dec 2012 p. 5970.]</w:t>
      </w:r>
    </w:p>
    <w:p>
      <w:pPr>
        <w:pStyle w:val="Heading5"/>
      </w:pPr>
      <w:bookmarkStart w:id="412" w:name="_Toc408498936"/>
      <w:bookmarkStart w:id="413" w:name="_Toc417563812"/>
      <w:r>
        <w:rPr>
          <w:rStyle w:val="CharSectno"/>
        </w:rPr>
        <w:t>121</w:t>
      </w:r>
      <w:r>
        <w:t>.</w:t>
      </w:r>
      <w:r>
        <w:tab/>
        <w:t>Exclusion of operation of section 103A(3) of the Act: protected thing</w:t>
      </w:r>
      <w:bookmarkEnd w:id="412"/>
      <w:bookmarkEnd w:id="413"/>
    </w:p>
    <w:p>
      <w:pPr>
        <w:pStyle w:val="Subsection"/>
      </w:pPr>
      <w:r>
        <w:tab/>
        <w:t>(1)</w:t>
      </w:r>
      <w:r>
        <w:tab/>
        <w:t xml:space="preserve">In this regulation — </w:t>
      </w:r>
    </w:p>
    <w:p>
      <w:pPr>
        <w:pStyle w:val="Defstart"/>
      </w:pPr>
      <w:r>
        <w:tab/>
      </w:r>
      <w:r>
        <w:rPr>
          <w:rStyle w:val="CharDefText"/>
        </w:rPr>
        <w:t>category A firearm</w:t>
      </w:r>
      <w:r>
        <w:t xml:space="preserve"> means a firearm of category A under the </w:t>
      </w:r>
      <w:r>
        <w:rPr>
          <w:i/>
        </w:rPr>
        <w:t>Firearms Regulations 1974</w:t>
      </w:r>
      <w:r>
        <w:t xml:space="preserve"> regulation 6A(1);</w:t>
      </w:r>
    </w:p>
    <w:p>
      <w:pPr>
        <w:pStyle w:val="Defstart"/>
      </w:pPr>
      <w:r>
        <w:tab/>
      </w:r>
      <w:r>
        <w:rPr>
          <w:rStyle w:val="CharDefText"/>
        </w:rPr>
        <w:t>category B firearm</w:t>
      </w:r>
      <w:r>
        <w:t xml:space="preserve"> means a firearm of category B under the </w:t>
      </w:r>
      <w:r>
        <w:rPr>
          <w:i/>
        </w:rPr>
        <w:t>Firearms Regulations 1974</w:t>
      </w:r>
      <w:r>
        <w:t xml:space="preserve"> regulation 6A(1);</w:t>
      </w:r>
    </w:p>
    <w:p>
      <w:pPr>
        <w:pStyle w:val="Defstart"/>
      </w:pPr>
      <w:r>
        <w:tab/>
      </w:r>
      <w:r>
        <w:rPr>
          <w:rStyle w:val="CharDefText"/>
        </w:rPr>
        <w:t>fish</w:t>
      </w:r>
      <w:r>
        <w:t xml:space="preserve"> has the meaning given in the </w:t>
      </w:r>
      <w:r>
        <w:rPr>
          <w:i/>
        </w:rPr>
        <w:t>Fish Resources Management Act 1994</w:t>
      </w:r>
      <w:r>
        <w:t xml:space="preserve"> section 4(1);</w:t>
      </w:r>
    </w:p>
    <w:p>
      <w:pPr>
        <w:pStyle w:val="Defstart"/>
      </w:pPr>
      <w:r>
        <w:tab/>
      </w:r>
      <w:r>
        <w:rPr>
          <w:rStyle w:val="CharDefText"/>
        </w:rPr>
        <w:t>relevant area</w:t>
      </w:r>
      <w:r>
        <w:t xml:space="preserve"> means any of the following —</w:t>
      </w:r>
    </w:p>
    <w:p>
      <w:pPr>
        <w:pStyle w:val="Defpara"/>
      </w:pPr>
      <w:r>
        <w:tab/>
        <w:t>(a)</w:t>
      </w:r>
      <w:r>
        <w:tab/>
        <w:t>a car park, including any area where signs direct vehicles to be parked or that is predominantly used for parking vehicles;</w:t>
      </w:r>
    </w:p>
    <w:p>
      <w:pPr>
        <w:pStyle w:val="Defpara"/>
      </w:pPr>
      <w:r>
        <w:tab/>
        <w:t>(b)</w:t>
      </w:r>
      <w:r>
        <w:tab/>
        <w:t>a sealed road;</w:t>
      </w:r>
    </w:p>
    <w:p>
      <w:pPr>
        <w:pStyle w:val="Defpara"/>
      </w:pPr>
      <w:r>
        <w:tab/>
        <w:t>(c)</w:t>
      </w:r>
      <w:r>
        <w:tab/>
        <w:t>a camping area;</w:t>
      </w:r>
    </w:p>
    <w:p>
      <w:pPr>
        <w:pStyle w:val="Defpara"/>
      </w:pPr>
      <w:r>
        <w:tab/>
        <w:t>(d)</w:t>
      </w:r>
      <w:r>
        <w:tab/>
        <w:t>a visitor area.</w:t>
      </w:r>
    </w:p>
    <w:p>
      <w:pPr>
        <w:pStyle w:val="Subsection"/>
      </w:pPr>
      <w:r>
        <w:tab/>
        <w:t>(2)</w:t>
      </w:r>
      <w:r>
        <w:tab/>
        <w:t xml:space="preserve">Subject to subregulation (3), the operation of section 103A(3) of the Act is excluded in relation to — </w:t>
      </w:r>
    </w:p>
    <w:p>
      <w:pPr>
        <w:pStyle w:val="Indenta"/>
      </w:pPr>
      <w:r>
        <w:tab/>
        <w:t>(a)</w:t>
      </w:r>
      <w:r>
        <w:tab/>
        <w:t>taking fauna that is fish contrary to section 101C of the Act; and</w:t>
      </w:r>
    </w:p>
    <w:p>
      <w:pPr>
        <w:pStyle w:val="Indenta"/>
      </w:pPr>
      <w:r>
        <w:tab/>
        <w:t>(b)</w:t>
      </w:r>
      <w:r>
        <w:tab/>
        <w:t>taking flora or fauna other than fish contrary to section 101C of the Act if the flora or fauna is taken in a marine nature reserve or any land or water in a marine park classified as a sanctuary area.</w:t>
      </w:r>
    </w:p>
    <w:p>
      <w:pPr>
        <w:pStyle w:val="Subsection"/>
        <w:spacing w:before="140"/>
      </w:pPr>
      <w:r>
        <w:tab/>
        <w:t>(3)</w:t>
      </w:r>
      <w:r>
        <w:tab/>
        <w:t xml:space="preserve">Subregulation (2)(a) does not apply in relation to fish taken in accordance with the </w:t>
      </w:r>
      <w:r>
        <w:rPr>
          <w:i/>
        </w:rPr>
        <w:t>Fish Resources Management Act 1994</w:t>
      </w:r>
      <w:r>
        <w:t>.</w:t>
      </w:r>
    </w:p>
    <w:p>
      <w:pPr>
        <w:pStyle w:val="Subsection"/>
        <w:spacing w:before="140"/>
      </w:pPr>
      <w:r>
        <w:tab/>
        <w:t>(4)</w:t>
      </w:r>
      <w:r>
        <w:tab/>
        <w:t>The operation of section 103A(3) of the Act is excluded in relation to removing firewood contrary to section 103(1) of the Act if the firewood is removed without the written permission of the CEO.</w:t>
      </w:r>
    </w:p>
    <w:p>
      <w:pPr>
        <w:pStyle w:val="Subsection"/>
      </w:pPr>
      <w:r>
        <w:tab/>
        <w:t>(5A)</w:t>
      </w:r>
      <w:r>
        <w:tab/>
        <w:t>The operation of section 103A(3) of the Act is excluded in relation to taking fauna contrary to regulation 8(1) if the fauna is taken with a firearm other than a category A firearm or a category B firearm.</w:t>
      </w:r>
    </w:p>
    <w:p>
      <w:pPr>
        <w:pStyle w:val="Subsection"/>
        <w:spacing w:before="140"/>
      </w:pPr>
      <w:r>
        <w:tab/>
        <w:t>(5)</w:t>
      </w:r>
      <w:r>
        <w:tab/>
        <w:t xml:space="preserve">The operation of section 103A(3) of the Act is excluded in relation to taking fauna contrary to regulation 8(1) if the fauna is taken — </w:t>
      </w:r>
    </w:p>
    <w:p>
      <w:pPr>
        <w:pStyle w:val="Indenta"/>
        <w:spacing w:before="60"/>
      </w:pPr>
      <w:r>
        <w:tab/>
        <w:t>(a)</w:t>
      </w:r>
      <w:r>
        <w:tab/>
        <w:t>without the written permission of the CEO; and</w:t>
      </w:r>
    </w:p>
    <w:p>
      <w:pPr>
        <w:pStyle w:val="Indenta"/>
        <w:spacing w:before="60"/>
      </w:pPr>
      <w:r>
        <w:tab/>
        <w:t>(b)</w:t>
      </w:r>
      <w:r>
        <w:tab/>
        <w:t>on urban land or in a townsite.</w:t>
      </w:r>
    </w:p>
    <w:p>
      <w:pPr>
        <w:pStyle w:val="Subsection"/>
      </w:pPr>
      <w:r>
        <w:tab/>
        <w:t>(6A)</w:t>
      </w:r>
      <w:r>
        <w:tab/>
        <w:t>The operation of section 103A(3) of the Act is excluded in relation to taking fauna contrary to regulation 8(1) if the fauna is taken —</w:t>
      </w:r>
    </w:p>
    <w:p>
      <w:pPr>
        <w:pStyle w:val="Indenta"/>
      </w:pPr>
      <w:r>
        <w:tab/>
        <w:t>(a)</w:t>
      </w:r>
      <w:r>
        <w:tab/>
        <w:t>without the written permission of the CEO; and</w:t>
      </w:r>
    </w:p>
    <w:p>
      <w:pPr>
        <w:pStyle w:val="Indenta"/>
      </w:pPr>
      <w:r>
        <w:tab/>
        <w:t>(b)</w:t>
      </w:r>
      <w:r>
        <w:tab/>
        <w:t>with a category A firearm or a category B firearm; and</w:t>
      </w:r>
    </w:p>
    <w:p>
      <w:pPr>
        <w:pStyle w:val="Indenta"/>
      </w:pPr>
      <w:r>
        <w:tab/>
        <w:t>(c)</w:t>
      </w:r>
      <w:r>
        <w:tab/>
        <w:t xml:space="preserve">on CALM land that is a relevant area or — </w:t>
      </w:r>
    </w:p>
    <w:p>
      <w:pPr>
        <w:pStyle w:val="Indenti"/>
      </w:pPr>
      <w:r>
        <w:tab/>
        <w:t>(i)</w:t>
      </w:r>
      <w:r>
        <w:tab/>
        <w:t>if the fauna is taken with a category A firearm — within 1.5 km of a relevant area; or</w:t>
      </w:r>
    </w:p>
    <w:p>
      <w:pPr>
        <w:pStyle w:val="Indenti"/>
      </w:pPr>
      <w:r>
        <w:tab/>
        <w:t>(ii)</w:t>
      </w:r>
      <w:r>
        <w:tab/>
        <w:t>if the fauna is taken with a category B firearm — within 3 km of a relevant area.</w:t>
      </w:r>
    </w:p>
    <w:p>
      <w:pPr>
        <w:pStyle w:val="Subsection"/>
      </w:pPr>
      <w:r>
        <w:tab/>
        <w:t>(6B)</w:t>
      </w:r>
      <w:r>
        <w:tab/>
        <w:t>The operation of section 103A(3) of the Act is excluded in relation to taking fauna contrary to regulation 8(1) if the fauna is taken —</w:t>
      </w:r>
    </w:p>
    <w:p>
      <w:pPr>
        <w:pStyle w:val="Indenta"/>
      </w:pPr>
      <w:r>
        <w:tab/>
        <w:t>(a)</w:t>
      </w:r>
      <w:r>
        <w:tab/>
        <w:t>without the written permission of the CEO; and</w:t>
      </w:r>
    </w:p>
    <w:p>
      <w:pPr>
        <w:pStyle w:val="Indenta"/>
      </w:pPr>
      <w:r>
        <w:tab/>
        <w:t>(b)</w:t>
      </w:r>
      <w:r>
        <w:tab/>
        <w:t>by means other than a firearm; and</w:t>
      </w:r>
    </w:p>
    <w:p>
      <w:pPr>
        <w:pStyle w:val="Indenta"/>
      </w:pPr>
      <w:r>
        <w:tab/>
        <w:t>(c)</w:t>
      </w:r>
      <w:r>
        <w:tab/>
        <w:t>on CALM land that is a relevant area or within 1 km of a relevant area.</w:t>
      </w:r>
    </w:p>
    <w:p>
      <w:pPr>
        <w:pStyle w:val="Subsection"/>
        <w:spacing w:before="140"/>
      </w:pPr>
      <w:r>
        <w:tab/>
        <w:t>(6)</w:t>
      </w:r>
      <w:r>
        <w:tab/>
        <w:t xml:space="preserve">The operation of section 103A(3) of the Act is excluded in relation to taking flora contrary to regulation 8(1) if the flora is taken — </w:t>
      </w:r>
    </w:p>
    <w:p>
      <w:pPr>
        <w:pStyle w:val="Indenta"/>
        <w:spacing w:before="60"/>
      </w:pPr>
      <w:r>
        <w:tab/>
        <w:t>(a)</w:t>
      </w:r>
      <w:r>
        <w:tab/>
        <w:t>without the written permission of the CEO; and</w:t>
      </w:r>
    </w:p>
    <w:p>
      <w:pPr>
        <w:pStyle w:val="Indenta"/>
        <w:spacing w:before="60"/>
      </w:pPr>
      <w:r>
        <w:tab/>
        <w:t>(b)</w:t>
      </w:r>
      <w:r>
        <w:tab/>
        <w:t>on recreational land, urban land or in a townsite.</w:t>
      </w:r>
    </w:p>
    <w:p>
      <w:pPr>
        <w:pStyle w:val="Subsection"/>
      </w:pPr>
      <w:r>
        <w:tab/>
        <w:t>(7A)</w:t>
      </w:r>
      <w:r>
        <w:tab/>
        <w:t>The operation of section 103A(3) of the Act is excluded in relation to taking a non</w:t>
      </w:r>
      <w:r>
        <w:noBreakHyphen/>
        <w:t>indigenous animal contrary to regulation 18 if the animal is taken with a firearm other than a category A firearm or a category B firearm.</w:t>
      </w:r>
    </w:p>
    <w:p>
      <w:pPr>
        <w:pStyle w:val="Subsection"/>
        <w:spacing w:before="130"/>
      </w:pPr>
      <w:r>
        <w:tab/>
        <w:t>(7)</w:t>
      </w:r>
      <w:r>
        <w:tab/>
        <w:t>The operation of section 103A(3) of the Act is excluded in relation to taking a non</w:t>
      </w:r>
      <w:r>
        <w:noBreakHyphen/>
        <w:t xml:space="preserve">indigenous animal contrary to regulation 18 if the animal is taken — </w:t>
      </w:r>
    </w:p>
    <w:p>
      <w:pPr>
        <w:pStyle w:val="Indenta"/>
        <w:spacing w:before="60"/>
      </w:pPr>
      <w:r>
        <w:tab/>
        <w:t>(a)</w:t>
      </w:r>
      <w:r>
        <w:tab/>
        <w:t>without the written permission of the CEO; and</w:t>
      </w:r>
    </w:p>
    <w:p>
      <w:pPr>
        <w:pStyle w:val="Indenta"/>
        <w:keepNext/>
        <w:spacing w:before="60"/>
      </w:pPr>
      <w:r>
        <w:tab/>
        <w:t>(b)</w:t>
      </w:r>
      <w:r>
        <w:tab/>
        <w:t>on urban land or in a townsite.</w:t>
      </w:r>
    </w:p>
    <w:p>
      <w:pPr>
        <w:pStyle w:val="Subsection"/>
      </w:pPr>
      <w:r>
        <w:tab/>
        <w:t>(8)</w:t>
      </w:r>
      <w:r>
        <w:tab/>
        <w:t>The operation of section 103A(3) of the Act is excluded in relation to taking a non</w:t>
      </w:r>
      <w:r>
        <w:noBreakHyphen/>
        <w:t>indigenous animal contrary to regulation 18 if the animal is taken —</w:t>
      </w:r>
    </w:p>
    <w:p>
      <w:pPr>
        <w:pStyle w:val="Indenta"/>
      </w:pPr>
      <w:r>
        <w:tab/>
        <w:t>(a)</w:t>
      </w:r>
      <w:r>
        <w:tab/>
        <w:t>without the written permission of the CEO; and</w:t>
      </w:r>
    </w:p>
    <w:p>
      <w:pPr>
        <w:pStyle w:val="Indenta"/>
      </w:pPr>
      <w:r>
        <w:tab/>
        <w:t>(b)</w:t>
      </w:r>
      <w:r>
        <w:tab/>
        <w:t>with a category A firearm or a category B firearm; and</w:t>
      </w:r>
    </w:p>
    <w:p>
      <w:pPr>
        <w:pStyle w:val="Indenta"/>
      </w:pPr>
      <w:r>
        <w:tab/>
        <w:t>(c)</w:t>
      </w:r>
      <w:r>
        <w:tab/>
        <w:t xml:space="preserve">on CALM land that is a relevant area or — </w:t>
      </w:r>
    </w:p>
    <w:p>
      <w:pPr>
        <w:pStyle w:val="Indenti"/>
      </w:pPr>
      <w:r>
        <w:tab/>
        <w:t>(i)</w:t>
      </w:r>
      <w:r>
        <w:tab/>
        <w:t>if the animal is taken with a category A firearm — within 1.5 km of a relevant area; or</w:t>
      </w:r>
    </w:p>
    <w:p>
      <w:pPr>
        <w:pStyle w:val="Indenti"/>
      </w:pPr>
      <w:r>
        <w:tab/>
        <w:t>(ii)</w:t>
      </w:r>
      <w:r>
        <w:tab/>
        <w:t>if the animal is taken with a category B firearm — within 3 km of a relevant area.</w:t>
      </w:r>
    </w:p>
    <w:p>
      <w:pPr>
        <w:pStyle w:val="Subsection"/>
      </w:pPr>
      <w:r>
        <w:tab/>
        <w:t>(9)</w:t>
      </w:r>
      <w:r>
        <w:tab/>
        <w:t>The operation of section 103A(3) of the Act is excluded in relation to taking a non</w:t>
      </w:r>
      <w:r>
        <w:noBreakHyphen/>
        <w:t>indigenous animal contrary to regulation 18 if the animal is taken —</w:t>
      </w:r>
    </w:p>
    <w:p>
      <w:pPr>
        <w:pStyle w:val="Indenta"/>
      </w:pPr>
      <w:r>
        <w:tab/>
        <w:t>(a)</w:t>
      </w:r>
      <w:r>
        <w:tab/>
        <w:t>without the written permission of the CEO; and</w:t>
      </w:r>
    </w:p>
    <w:p>
      <w:pPr>
        <w:pStyle w:val="Indenta"/>
      </w:pPr>
      <w:r>
        <w:tab/>
        <w:t>(b)</w:t>
      </w:r>
      <w:r>
        <w:tab/>
        <w:t>by means other than a firearm; and</w:t>
      </w:r>
    </w:p>
    <w:p>
      <w:pPr>
        <w:pStyle w:val="Indenta"/>
      </w:pPr>
      <w:r>
        <w:tab/>
        <w:t>(c)</w:t>
      </w:r>
      <w:r>
        <w:tab/>
        <w:t>on CALM land that is a relevant area or within 1 km of a relevant area.</w:t>
      </w:r>
    </w:p>
    <w:p>
      <w:pPr>
        <w:pStyle w:val="Footnotesection"/>
        <w:spacing w:before="100"/>
      </w:pPr>
      <w:r>
        <w:tab/>
        <w:t>[Regulation 121 inserted in Gazette 7 Dec 2012 p. 5970-1; amended in Gazette 19 Sep 2014 p. 3331</w:t>
      </w:r>
      <w:r>
        <w:noBreakHyphen/>
        <w:t>3.]</w:t>
      </w:r>
    </w:p>
    <w:p>
      <w:pPr>
        <w:pStyle w:val="Heading5"/>
        <w:spacing w:before="200"/>
      </w:pPr>
      <w:bookmarkStart w:id="414" w:name="_Toc408498937"/>
      <w:bookmarkStart w:id="415" w:name="_Toc417563813"/>
      <w:r>
        <w:rPr>
          <w:rStyle w:val="CharSectno"/>
        </w:rPr>
        <w:t>122</w:t>
      </w:r>
      <w:r>
        <w:t>.</w:t>
      </w:r>
      <w:r>
        <w:tab/>
        <w:t>Permission of CEO</w:t>
      </w:r>
      <w:bookmarkEnd w:id="414"/>
      <w:bookmarkEnd w:id="415"/>
    </w:p>
    <w:p>
      <w:pPr>
        <w:pStyle w:val="Subsection"/>
        <w:spacing w:before="130"/>
      </w:pPr>
      <w:r>
        <w:tab/>
        <w:t>(1)</w:t>
      </w:r>
      <w:r>
        <w:tab/>
        <w:t xml:space="preserve">When giving written permission for the purpose of regulations 115 to 121, the CEO is to specify in the permission — </w:t>
      </w:r>
    </w:p>
    <w:p>
      <w:pPr>
        <w:pStyle w:val="Indenta"/>
        <w:spacing w:before="60"/>
      </w:pPr>
      <w:r>
        <w:tab/>
        <w:t>(a)</w:t>
      </w:r>
      <w:r>
        <w:tab/>
        <w:t>the person or persons or group, body or association of persons to whom the permission applies; and</w:t>
      </w:r>
    </w:p>
    <w:p>
      <w:pPr>
        <w:pStyle w:val="Indenta"/>
        <w:spacing w:before="60"/>
      </w:pPr>
      <w:r>
        <w:tab/>
        <w:t>(b)</w:t>
      </w:r>
      <w:r>
        <w:tab/>
        <w:t>the conditions, if any, subject to which the permission is given.</w:t>
      </w:r>
    </w:p>
    <w:p>
      <w:pPr>
        <w:pStyle w:val="Subsection"/>
        <w:spacing w:before="104"/>
      </w:pPr>
      <w:r>
        <w:tab/>
        <w:t>(2)</w:t>
      </w:r>
      <w:r>
        <w:tab/>
        <w:t xml:space="preserve">The permission has effect — </w:t>
      </w:r>
    </w:p>
    <w:p>
      <w:pPr>
        <w:pStyle w:val="Indenta"/>
        <w:spacing w:before="56"/>
      </w:pPr>
      <w:r>
        <w:tab/>
        <w:t>(a)</w:t>
      </w:r>
      <w:r>
        <w:tab/>
        <w:t>for the period of effect specified in the permission, unless sooner revoked by the CEO under regulation 123(2); or</w:t>
      </w:r>
    </w:p>
    <w:p>
      <w:pPr>
        <w:pStyle w:val="Indenta"/>
        <w:spacing w:before="56"/>
      </w:pPr>
      <w:r>
        <w:tab/>
        <w:t>(b)</w:t>
      </w:r>
      <w:r>
        <w:tab/>
        <w:t>if no period of effect is specified in the permission, until it is revoked by the CEO under regulation 123(2).</w:t>
      </w:r>
    </w:p>
    <w:p>
      <w:pPr>
        <w:pStyle w:val="Subsection"/>
        <w:spacing w:before="104"/>
      </w:pPr>
      <w:r>
        <w:tab/>
        <w:t>(3)</w:t>
      </w:r>
      <w:r>
        <w:tab/>
        <w:t xml:space="preserve">The permission has no effect — </w:t>
      </w:r>
    </w:p>
    <w:p>
      <w:pPr>
        <w:pStyle w:val="Indenta"/>
        <w:spacing w:before="56"/>
      </w:pPr>
      <w:r>
        <w:tab/>
        <w:t>(a)</w:t>
      </w:r>
      <w:r>
        <w:tab/>
        <w:t>in respect of any person to whom the permission applies who does not observe or perform a condition; and</w:t>
      </w:r>
    </w:p>
    <w:p>
      <w:pPr>
        <w:pStyle w:val="Indenta"/>
        <w:spacing w:before="56"/>
      </w:pPr>
      <w:r>
        <w:tab/>
        <w:t>(b)</w:t>
      </w:r>
      <w:r>
        <w:tab/>
        <w:t>during any period in which the condition is not observed or performed by that person.</w:t>
      </w:r>
    </w:p>
    <w:p>
      <w:pPr>
        <w:pStyle w:val="Footnotesection"/>
        <w:spacing w:before="70"/>
      </w:pPr>
      <w:r>
        <w:tab/>
        <w:t>[Regulation 122 inserted in Gazette 7 Dec 2012 p. 5971-2.]</w:t>
      </w:r>
    </w:p>
    <w:p>
      <w:pPr>
        <w:pStyle w:val="Heading5"/>
        <w:spacing w:before="170"/>
      </w:pPr>
      <w:bookmarkStart w:id="416" w:name="_Toc408498938"/>
      <w:bookmarkStart w:id="417" w:name="_Toc417563814"/>
      <w:r>
        <w:rPr>
          <w:rStyle w:val="CharSectno"/>
        </w:rPr>
        <w:t>123</w:t>
      </w:r>
      <w:r>
        <w:t>.</w:t>
      </w:r>
      <w:r>
        <w:tab/>
        <w:t>Variation and revocation of permission</w:t>
      </w:r>
      <w:bookmarkEnd w:id="416"/>
      <w:bookmarkEnd w:id="417"/>
    </w:p>
    <w:p>
      <w:pPr>
        <w:pStyle w:val="Subsection"/>
        <w:spacing w:before="104"/>
      </w:pPr>
      <w:r>
        <w:tab/>
        <w:t>(1)</w:t>
      </w:r>
      <w:r>
        <w:tab/>
        <w:t xml:space="preserve">If written permission for the purpose of regulations 115 to 121 (the </w:t>
      </w:r>
      <w:r>
        <w:rPr>
          <w:rStyle w:val="CharDefText"/>
        </w:rPr>
        <w:t>permission</w:t>
      </w:r>
      <w:r>
        <w:t xml:space="preserve">) is given subject to conditions, those conditions may be added to, cancelled, suspended or otherwise varied by written notice given by the CEO to the person or persons or group, body or association of persons to whom the permission applies (the </w:t>
      </w:r>
      <w:r>
        <w:rPr>
          <w:rStyle w:val="CharDefText"/>
        </w:rPr>
        <w:t>permission holder</w:t>
      </w:r>
      <w:r>
        <w:t>).</w:t>
      </w:r>
    </w:p>
    <w:p>
      <w:pPr>
        <w:pStyle w:val="Subsection"/>
        <w:spacing w:before="104"/>
      </w:pPr>
      <w:r>
        <w:tab/>
        <w:t>(2)</w:t>
      </w:r>
      <w:r>
        <w:tab/>
        <w:t>The CEO may at any time revoke the permission by written notice given to the permission holder.</w:t>
      </w:r>
    </w:p>
    <w:p>
      <w:pPr>
        <w:pStyle w:val="Subsection"/>
        <w:spacing w:before="104"/>
      </w:pPr>
      <w:r>
        <w:tab/>
        <w:t>(3)</w:t>
      </w:r>
      <w:r>
        <w:tab/>
        <w:t>If the CEO proposes to revoke the permission under subregulation (2), the CEO is to give the permission holder written notice of the proposal and the CEO’s reasons for the proposal.</w:t>
      </w:r>
    </w:p>
    <w:p>
      <w:pPr>
        <w:pStyle w:val="Subsection"/>
        <w:spacing w:before="104"/>
      </w:pPr>
      <w:r>
        <w:tab/>
        <w:t>(4)</w:t>
      </w:r>
      <w:r>
        <w:tab/>
        <w:t>The notice is to state that the permission holder may make written representations to the CEO concerning the proposal within 21 days after the notice is given.</w:t>
      </w:r>
    </w:p>
    <w:p>
      <w:pPr>
        <w:pStyle w:val="Subsection"/>
        <w:spacing w:before="104"/>
      </w:pPr>
      <w:r>
        <w:tab/>
        <w:t>(5)</w:t>
      </w:r>
      <w:r>
        <w:tab/>
        <w:t>The CEO is not to give effect to the proposal without considering any representations received within that period.</w:t>
      </w:r>
    </w:p>
    <w:p>
      <w:pPr>
        <w:pStyle w:val="Footnotesection"/>
        <w:spacing w:before="70"/>
      </w:pPr>
      <w:r>
        <w:tab/>
        <w:t>[Regulation 123 inserted in Gazette 7 Dec 2012 p. 5972.]</w:t>
      </w:r>
    </w:p>
    <w:p>
      <w:pPr>
        <w:sectPr>
          <w:headerReference w:type="even" r:id="rId22"/>
          <w:headerReference w:type="default" r:id="rId23"/>
          <w:footerReference w:type="even" r:id="rId24"/>
          <w:footerReference w:type="default" r:id="rId25"/>
          <w:headerReference w:type="first" r:id="rId26"/>
          <w:pgSz w:w="11907" w:h="16840" w:code="9"/>
          <w:pgMar w:top="2376" w:right="2405" w:bottom="3542" w:left="2405" w:header="706" w:footer="3380" w:gutter="0"/>
          <w:pgNumType w:start="1"/>
          <w:cols w:space="720"/>
          <w:noEndnote/>
          <w:titlePg/>
          <w:docGrid w:linePitch="326"/>
        </w:sectPr>
      </w:pPr>
    </w:p>
    <w:p>
      <w:pPr>
        <w:pStyle w:val="yScheduleHeading"/>
        <w:outlineLvl w:val="0"/>
      </w:pPr>
      <w:bookmarkStart w:id="418" w:name="_Toc408498939"/>
      <w:bookmarkStart w:id="419" w:name="_Toc414889361"/>
      <w:bookmarkStart w:id="420" w:name="_Toc414975333"/>
      <w:bookmarkStart w:id="421" w:name="_Toc417563815"/>
      <w:r>
        <w:rPr>
          <w:rStyle w:val="CharSchNo"/>
        </w:rPr>
        <w:t>Schedule 1</w:t>
      </w:r>
      <w:r>
        <w:t xml:space="preserve"> — </w:t>
      </w:r>
      <w:r>
        <w:rPr>
          <w:rStyle w:val="CharSchText"/>
        </w:rPr>
        <w:t>Fees</w:t>
      </w:r>
      <w:bookmarkEnd w:id="418"/>
      <w:bookmarkEnd w:id="419"/>
      <w:bookmarkEnd w:id="420"/>
      <w:bookmarkEnd w:id="421"/>
    </w:p>
    <w:p>
      <w:pPr>
        <w:pStyle w:val="yShoulderClause"/>
        <w:ind w:left="3544"/>
      </w:pPr>
      <w:r>
        <w:t>[r. 49, 83, 92, 97, 98C, 99, 99A, 99C, 100, 100A, 101, 102, 102A and 103]</w:t>
      </w:r>
    </w:p>
    <w:p>
      <w:pPr>
        <w:pStyle w:val="yFootnoteheading"/>
        <w:spacing w:before="160"/>
      </w:pPr>
      <w:r>
        <w:tab/>
        <w:t>[Heading amended in Gazette 29 Sep 2006 p. 4326; 3 Sep 2010 p. 4283; 3 Dec 2010 p. 6051.]</w:t>
      </w:r>
    </w:p>
    <w:p>
      <w:pPr>
        <w:pStyle w:val="yHeading3"/>
        <w:rPr>
          <w:snapToGrid w:val="0"/>
        </w:rPr>
      </w:pPr>
      <w:bookmarkStart w:id="422" w:name="_Toc408498940"/>
      <w:bookmarkStart w:id="423" w:name="_Toc414889362"/>
      <w:bookmarkStart w:id="424" w:name="_Toc414975334"/>
      <w:bookmarkStart w:id="425" w:name="_Toc417563816"/>
      <w:r>
        <w:rPr>
          <w:rStyle w:val="CharSDivNo"/>
        </w:rPr>
        <w:t>Division 1</w:t>
      </w:r>
      <w:r>
        <w:rPr>
          <w:snapToGrid w:val="0"/>
        </w:rPr>
        <w:t> — </w:t>
      </w:r>
      <w:r>
        <w:rPr>
          <w:rStyle w:val="CharSDivText"/>
        </w:rPr>
        <w:t>Daily entrance fees where an entrance fee is charged</w:t>
      </w:r>
      <w:bookmarkEnd w:id="422"/>
      <w:bookmarkEnd w:id="423"/>
      <w:bookmarkEnd w:id="424"/>
      <w:bookmarkEnd w:id="425"/>
    </w:p>
    <w:p>
      <w:pPr>
        <w:pStyle w:val="yFootnoteheading"/>
        <w:keepNext/>
        <w:keepLines/>
        <w:spacing w:after="60"/>
        <w:rPr>
          <w:snapToGrid w:val="0"/>
        </w:rPr>
      </w:pPr>
      <w:r>
        <w:tab/>
        <w:t>[Heading inserted in Gazette 27 Sep 2013 p. 4525.]</w:t>
      </w:r>
    </w:p>
    <w:tbl>
      <w:tblPr>
        <w:tblW w:w="0" w:type="auto"/>
        <w:tblInd w:w="227" w:type="dxa"/>
        <w:tblLayout w:type="fixed"/>
        <w:tblCellMar>
          <w:left w:w="85" w:type="dxa"/>
          <w:right w:w="85" w:type="dxa"/>
        </w:tblCellMar>
        <w:tblLook w:val="0000" w:firstRow="0" w:lastRow="0" w:firstColumn="0" w:lastColumn="0" w:noHBand="0" w:noVBand="0"/>
      </w:tblPr>
      <w:tblGrid>
        <w:gridCol w:w="709"/>
        <w:gridCol w:w="5269"/>
        <w:gridCol w:w="968"/>
      </w:tblGrid>
      <w:tr>
        <w:trPr>
          <w:cantSplit/>
          <w:tblHeader/>
        </w:trPr>
        <w:tc>
          <w:tcPr>
            <w:tcW w:w="709" w:type="dxa"/>
          </w:tcPr>
          <w:p>
            <w:pPr>
              <w:pStyle w:val="zyTableNAm"/>
            </w:pPr>
          </w:p>
        </w:tc>
        <w:tc>
          <w:tcPr>
            <w:tcW w:w="5269" w:type="dxa"/>
          </w:tcPr>
          <w:p>
            <w:pPr>
              <w:pStyle w:val="zyTableNAm"/>
            </w:pPr>
          </w:p>
        </w:tc>
        <w:tc>
          <w:tcPr>
            <w:tcW w:w="968" w:type="dxa"/>
          </w:tcPr>
          <w:p>
            <w:pPr>
              <w:pStyle w:val="yTableNAm"/>
              <w:jc w:val="center"/>
            </w:pPr>
            <w:r>
              <w:rPr>
                <w:b/>
              </w:rPr>
              <w:t>$</w:t>
            </w:r>
          </w:p>
        </w:tc>
      </w:tr>
      <w:tr>
        <w:trPr>
          <w:cantSplit/>
        </w:trPr>
        <w:tc>
          <w:tcPr>
            <w:tcW w:w="709" w:type="dxa"/>
          </w:tcPr>
          <w:p>
            <w:pPr>
              <w:pStyle w:val="yTableNAm"/>
            </w:pPr>
            <w:r>
              <w:t>1.</w:t>
            </w:r>
          </w:p>
        </w:tc>
        <w:tc>
          <w:tcPr>
            <w:tcW w:w="5269" w:type="dxa"/>
          </w:tcPr>
          <w:p>
            <w:pPr>
              <w:pStyle w:val="yTableNAm"/>
              <w:ind w:left="198" w:hanging="198"/>
            </w:pPr>
            <w:r>
              <w:t>*Daily entrance fee for non</w:t>
            </w:r>
            <w:r>
              <w:noBreakHyphen/>
              <w:t>tour motor vehicle that is a motorcycle</w:t>
            </w:r>
          </w:p>
        </w:tc>
        <w:tc>
          <w:tcPr>
            <w:tcW w:w="968" w:type="dxa"/>
            <w:vAlign w:val="bottom"/>
          </w:tcPr>
          <w:p>
            <w:pPr>
              <w:pStyle w:val="yTableNAm"/>
              <w:jc w:val="center"/>
            </w:pPr>
            <w:r>
              <w:t>6.00</w:t>
            </w:r>
          </w:p>
        </w:tc>
      </w:tr>
      <w:tr>
        <w:trPr>
          <w:cantSplit/>
        </w:trPr>
        <w:tc>
          <w:tcPr>
            <w:tcW w:w="709" w:type="dxa"/>
          </w:tcPr>
          <w:p>
            <w:pPr>
              <w:pStyle w:val="yTableNAm"/>
            </w:pPr>
            <w:r>
              <w:t>2.</w:t>
            </w:r>
          </w:p>
        </w:tc>
        <w:tc>
          <w:tcPr>
            <w:tcW w:w="5269" w:type="dxa"/>
          </w:tcPr>
          <w:p>
            <w:pPr>
              <w:pStyle w:val="yTableNAm"/>
              <w:ind w:left="198" w:hanging="198"/>
            </w:pPr>
            <w:r>
              <w:t>*Daily entrance fee for non</w:t>
            </w:r>
            <w:r>
              <w:noBreakHyphen/>
              <w:t>tour motor vehicle that is not a motorcycle (unless item 5 applies)</w:t>
            </w:r>
          </w:p>
        </w:tc>
        <w:tc>
          <w:tcPr>
            <w:tcW w:w="968" w:type="dxa"/>
            <w:vAlign w:val="bottom"/>
          </w:tcPr>
          <w:p>
            <w:pPr>
              <w:pStyle w:val="yTableNAm"/>
              <w:jc w:val="center"/>
            </w:pPr>
            <w:r>
              <w:t>12.00</w:t>
            </w:r>
          </w:p>
        </w:tc>
      </w:tr>
      <w:tr>
        <w:trPr>
          <w:cantSplit/>
        </w:trPr>
        <w:tc>
          <w:tcPr>
            <w:tcW w:w="709" w:type="dxa"/>
          </w:tcPr>
          <w:p>
            <w:pPr>
              <w:pStyle w:val="yTableNAm"/>
            </w:pPr>
            <w:r>
              <w:t>3.</w:t>
            </w:r>
          </w:p>
        </w:tc>
        <w:tc>
          <w:tcPr>
            <w:tcW w:w="5269" w:type="dxa"/>
          </w:tcPr>
          <w:p>
            <w:pPr>
              <w:pStyle w:val="yTableNAm"/>
              <w:ind w:left="198" w:hanging="198"/>
            </w:pPr>
            <w:r>
              <w:t>*Daily entrance for each occupant (6 years of age or older) of tour vehicle (unless entry is to Yanchep National Park or Nambung National Park, or item 6 applies)</w:t>
            </w:r>
          </w:p>
        </w:tc>
        <w:tc>
          <w:tcPr>
            <w:tcW w:w="968" w:type="dxa"/>
            <w:vAlign w:val="bottom"/>
          </w:tcPr>
          <w:p>
            <w:pPr>
              <w:pStyle w:val="yTableNAm"/>
              <w:jc w:val="center"/>
            </w:pPr>
            <w:r>
              <w:t>5.50</w:t>
            </w:r>
          </w:p>
        </w:tc>
      </w:tr>
      <w:tr>
        <w:trPr>
          <w:cantSplit/>
        </w:trPr>
        <w:tc>
          <w:tcPr>
            <w:tcW w:w="709" w:type="dxa"/>
          </w:tcPr>
          <w:p>
            <w:pPr>
              <w:pStyle w:val="yTableNAm"/>
            </w:pPr>
            <w:r>
              <w:t>4.</w:t>
            </w:r>
          </w:p>
        </w:tc>
        <w:tc>
          <w:tcPr>
            <w:tcW w:w="5269" w:type="dxa"/>
          </w:tcPr>
          <w:p>
            <w:pPr>
              <w:pStyle w:val="yTableNAm"/>
              <w:ind w:left="198" w:hanging="198"/>
            </w:pPr>
            <w:r>
              <w:t>Daily entrance for each occupant (6 years of age or older) of tour vehicle — Yanchep National Park, Nambung National Park</w:t>
            </w:r>
          </w:p>
        </w:tc>
        <w:tc>
          <w:tcPr>
            <w:tcW w:w="968" w:type="dxa"/>
            <w:vAlign w:val="bottom"/>
          </w:tcPr>
          <w:p>
            <w:pPr>
              <w:pStyle w:val="yTableNAm"/>
              <w:jc w:val="center"/>
            </w:pPr>
            <w:r>
              <w:t>5.50</w:t>
            </w:r>
          </w:p>
        </w:tc>
      </w:tr>
      <w:tr>
        <w:trPr>
          <w:cantSplit/>
        </w:trPr>
        <w:tc>
          <w:tcPr>
            <w:tcW w:w="709" w:type="dxa"/>
          </w:tcPr>
          <w:p>
            <w:pPr>
              <w:pStyle w:val="yTableNAm"/>
            </w:pPr>
            <w:r>
              <w:t>5.</w:t>
            </w:r>
          </w:p>
        </w:tc>
        <w:tc>
          <w:tcPr>
            <w:tcW w:w="5269" w:type="dxa"/>
          </w:tcPr>
          <w:p>
            <w:pPr>
              <w:pStyle w:val="yTableNAm"/>
              <w:ind w:left="198" w:hanging="198"/>
            </w:pPr>
            <w:r>
              <w:t>*Daily entrance concession fee for non</w:t>
            </w:r>
            <w:r>
              <w:noBreakHyphen/>
              <w:t xml:space="preserve">tour motor vehicle if the driver holds a concession card </w:t>
            </w:r>
          </w:p>
        </w:tc>
        <w:tc>
          <w:tcPr>
            <w:tcW w:w="968" w:type="dxa"/>
            <w:vAlign w:val="bottom"/>
          </w:tcPr>
          <w:p>
            <w:pPr>
              <w:pStyle w:val="yTableNAm"/>
              <w:jc w:val="center"/>
            </w:pPr>
            <w:r>
              <w:t>6.00</w:t>
            </w:r>
          </w:p>
        </w:tc>
      </w:tr>
      <w:tr>
        <w:trPr>
          <w:cantSplit/>
        </w:trPr>
        <w:tc>
          <w:tcPr>
            <w:tcW w:w="709" w:type="dxa"/>
          </w:tcPr>
          <w:p>
            <w:pPr>
              <w:pStyle w:val="yTableNAm"/>
            </w:pPr>
            <w:r>
              <w:t>6.</w:t>
            </w:r>
          </w:p>
        </w:tc>
        <w:tc>
          <w:tcPr>
            <w:tcW w:w="5269" w:type="dxa"/>
          </w:tcPr>
          <w:p>
            <w:pPr>
              <w:pStyle w:val="yTableNAm"/>
              <w:ind w:left="198" w:hanging="198"/>
            </w:pPr>
            <w:r>
              <w:t>*Daily entrance concession fee for occupant of tour vehicle if the occupant holds a concession card (except where tour vehicle is operating for profit)</w:t>
            </w:r>
          </w:p>
        </w:tc>
        <w:tc>
          <w:tcPr>
            <w:tcW w:w="968" w:type="dxa"/>
            <w:vAlign w:val="bottom"/>
          </w:tcPr>
          <w:p>
            <w:pPr>
              <w:pStyle w:val="yTableNAm"/>
              <w:jc w:val="center"/>
            </w:pPr>
            <w:r>
              <w:t>1.70</w:t>
            </w:r>
          </w:p>
        </w:tc>
      </w:tr>
    </w:tbl>
    <w:p>
      <w:pPr>
        <w:pStyle w:val="yMiscellaneousBody"/>
        <w:spacing w:before="200"/>
        <w:rPr>
          <w:sz w:val="16"/>
        </w:rPr>
      </w:pPr>
      <w:r>
        <w:rPr>
          <w:sz w:val="16"/>
        </w:rPr>
        <w:t xml:space="preserve">[* Payment of a daily entrance fee under this item entitles the visitor on that day to enter any other area of CALM land for which an entrance fee is charged under the same item.] </w:t>
      </w:r>
    </w:p>
    <w:p>
      <w:pPr>
        <w:pStyle w:val="yFootnotesection"/>
      </w:pPr>
      <w:r>
        <w:tab/>
        <w:t>[Division 1 inserted in Gazette 27 Sep 2013 p. 4525-6.]</w:t>
      </w:r>
    </w:p>
    <w:p>
      <w:pPr>
        <w:pStyle w:val="yHeading3"/>
        <w:rPr>
          <w:rStyle w:val="CharSDivText"/>
        </w:rPr>
      </w:pPr>
      <w:bookmarkStart w:id="426" w:name="_Toc408498941"/>
      <w:bookmarkStart w:id="427" w:name="_Toc414889363"/>
      <w:bookmarkStart w:id="428" w:name="_Toc414975335"/>
      <w:bookmarkStart w:id="429" w:name="_Toc417563817"/>
      <w:r>
        <w:rPr>
          <w:rStyle w:val="CharSDivNo"/>
        </w:rPr>
        <w:t>Division 2</w:t>
      </w:r>
      <w:r>
        <w:rPr>
          <w:snapToGrid w:val="0"/>
        </w:rPr>
        <w:t> — </w:t>
      </w:r>
      <w:r>
        <w:rPr>
          <w:rStyle w:val="CharSDivText"/>
        </w:rPr>
        <w:t>Fees for passes providing extended entrance to CALM land</w:t>
      </w:r>
      <w:bookmarkEnd w:id="426"/>
      <w:bookmarkEnd w:id="427"/>
      <w:bookmarkEnd w:id="428"/>
      <w:bookmarkEnd w:id="429"/>
    </w:p>
    <w:p>
      <w:pPr>
        <w:pStyle w:val="yFootnoteheading"/>
        <w:keepNext/>
        <w:keepLines/>
        <w:spacing w:after="60"/>
        <w:rPr>
          <w:snapToGrid w:val="0"/>
        </w:rPr>
      </w:pPr>
      <w:r>
        <w:tab/>
        <w:t>[Heading inserted in Gazette 27 Sep 2013 p. 4526.]</w:t>
      </w:r>
    </w:p>
    <w:tbl>
      <w:tblPr>
        <w:tblW w:w="6946" w:type="dxa"/>
        <w:tblInd w:w="150" w:type="dxa"/>
        <w:tblLayout w:type="fixed"/>
        <w:tblCellMar>
          <w:left w:w="8" w:type="dxa"/>
          <w:right w:w="8" w:type="dxa"/>
        </w:tblCellMar>
        <w:tblLook w:val="0000" w:firstRow="0" w:lastRow="0" w:firstColumn="0" w:lastColumn="0" w:noHBand="0" w:noVBand="0"/>
      </w:tblPr>
      <w:tblGrid>
        <w:gridCol w:w="709"/>
        <w:gridCol w:w="5276"/>
        <w:gridCol w:w="961"/>
      </w:tblGrid>
      <w:tr>
        <w:trPr>
          <w:cantSplit/>
          <w:tblHeader/>
        </w:trPr>
        <w:tc>
          <w:tcPr>
            <w:tcW w:w="709" w:type="dxa"/>
          </w:tcPr>
          <w:p>
            <w:pPr>
              <w:pStyle w:val="zyTableNAm"/>
              <w:keepNext/>
            </w:pPr>
          </w:p>
        </w:tc>
        <w:tc>
          <w:tcPr>
            <w:tcW w:w="5276" w:type="dxa"/>
          </w:tcPr>
          <w:p>
            <w:pPr>
              <w:pStyle w:val="zyTableNAm"/>
              <w:keepNext/>
            </w:pPr>
          </w:p>
        </w:tc>
        <w:tc>
          <w:tcPr>
            <w:tcW w:w="961" w:type="dxa"/>
            <w:vAlign w:val="bottom"/>
          </w:tcPr>
          <w:p>
            <w:pPr>
              <w:pStyle w:val="yTableNAm"/>
              <w:keepNext/>
              <w:jc w:val="center"/>
            </w:pPr>
            <w:r>
              <w:rPr>
                <w:b/>
              </w:rPr>
              <w:t>$</w:t>
            </w:r>
          </w:p>
        </w:tc>
      </w:tr>
      <w:tr>
        <w:trPr>
          <w:cantSplit/>
        </w:trPr>
        <w:tc>
          <w:tcPr>
            <w:tcW w:w="709" w:type="dxa"/>
          </w:tcPr>
          <w:p>
            <w:pPr>
              <w:pStyle w:val="yTableNAm"/>
            </w:pPr>
            <w:r>
              <w:t>1.</w:t>
            </w:r>
          </w:p>
        </w:tc>
        <w:tc>
          <w:tcPr>
            <w:tcW w:w="5276" w:type="dxa"/>
          </w:tcPr>
          <w:p>
            <w:pPr>
              <w:pStyle w:val="yTableNAm"/>
            </w:pPr>
            <w:r>
              <w:t>For an annual pass for a non</w:t>
            </w:r>
            <w:r>
              <w:noBreakHyphen/>
              <w:t xml:space="preserve">tour motor vehicle with up to 12 occupants to all CALM land where an entrance fee is charged except the Monkey Mia Conservation Park </w:t>
            </w:r>
          </w:p>
        </w:tc>
        <w:tc>
          <w:tcPr>
            <w:tcW w:w="961" w:type="dxa"/>
            <w:vAlign w:val="bottom"/>
          </w:tcPr>
          <w:p>
            <w:pPr>
              <w:pStyle w:val="yTableNAm"/>
              <w:jc w:val="center"/>
            </w:pPr>
            <w:r>
              <w:t>88.00</w:t>
            </w:r>
          </w:p>
        </w:tc>
      </w:tr>
      <w:tr>
        <w:trPr>
          <w:cantSplit/>
        </w:trPr>
        <w:tc>
          <w:tcPr>
            <w:tcW w:w="709" w:type="dxa"/>
          </w:tcPr>
          <w:p>
            <w:pPr>
              <w:pStyle w:val="yTableNAm"/>
            </w:pPr>
            <w:r>
              <w:t>2.</w:t>
            </w:r>
          </w:p>
        </w:tc>
        <w:tc>
          <w:tcPr>
            <w:tcW w:w="5276" w:type="dxa"/>
          </w:tcPr>
          <w:p>
            <w:pPr>
              <w:pStyle w:val="yTableNAm"/>
            </w:pPr>
            <w:r>
              <w:t>For an annual concession pass for a non</w:t>
            </w:r>
            <w:r>
              <w:noBreakHyphen/>
              <w:t>tour motor vehicle with up to 12 occupants to all CALM land where an entrance fee is charged except the Monkey Mia Conservation Park</w:t>
            </w:r>
          </w:p>
        </w:tc>
        <w:tc>
          <w:tcPr>
            <w:tcW w:w="961" w:type="dxa"/>
            <w:vAlign w:val="bottom"/>
          </w:tcPr>
          <w:p>
            <w:pPr>
              <w:pStyle w:val="yTableNAm"/>
              <w:jc w:val="center"/>
            </w:pPr>
            <w:r>
              <w:t>55.00</w:t>
            </w:r>
          </w:p>
        </w:tc>
      </w:tr>
      <w:tr>
        <w:trPr>
          <w:cantSplit/>
        </w:trPr>
        <w:tc>
          <w:tcPr>
            <w:tcW w:w="709" w:type="dxa"/>
          </w:tcPr>
          <w:p>
            <w:pPr>
              <w:pStyle w:val="zyTableNAm"/>
            </w:pPr>
          </w:p>
        </w:tc>
        <w:tc>
          <w:tcPr>
            <w:tcW w:w="5276" w:type="dxa"/>
          </w:tcPr>
          <w:p>
            <w:pPr>
              <w:pStyle w:val="yTableNAm"/>
            </w:pPr>
            <w:r>
              <w:t>Conditions on entry: the driver holds a concession card</w:t>
            </w:r>
          </w:p>
        </w:tc>
        <w:tc>
          <w:tcPr>
            <w:tcW w:w="961" w:type="dxa"/>
            <w:vAlign w:val="bottom"/>
          </w:tcPr>
          <w:p>
            <w:pPr>
              <w:pStyle w:val="yTableNAm"/>
              <w:jc w:val="center"/>
            </w:pPr>
          </w:p>
        </w:tc>
      </w:tr>
      <w:tr>
        <w:trPr>
          <w:cantSplit/>
        </w:trPr>
        <w:tc>
          <w:tcPr>
            <w:tcW w:w="709" w:type="dxa"/>
          </w:tcPr>
          <w:p>
            <w:pPr>
              <w:pStyle w:val="yTableNAm"/>
            </w:pPr>
            <w:r>
              <w:t>3.</w:t>
            </w:r>
          </w:p>
        </w:tc>
        <w:tc>
          <w:tcPr>
            <w:tcW w:w="5276" w:type="dxa"/>
          </w:tcPr>
          <w:p>
            <w:pPr>
              <w:pStyle w:val="yTableNAm"/>
            </w:pPr>
            <w:r>
              <w:t>For a 4 week pass for a non</w:t>
            </w:r>
            <w:r>
              <w:noBreakHyphen/>
              <w:t>tour motor vehicle with up to 12 occupants to all CALM land where an entrance fee is charged except the Monkey Mia Conservation Park</w:t>
            </w:r>
          </w:p>
        </w:tc>
        <w:tc>
          <w:tcPr>
            <w:tcW w:w="961" w:type="dxa"/>
            <w:vAlign w:val="bottom"/>
          </w:tcPr>
          <w:p>
            <w:pPr>
              <w:pStyle w:val="yTableNAm"/>
              <w:jc w:val="center"/>
            </w:pPr>
            <w:r>
              <w:br/>
            </w:r>
            <w:r>
              <w:br/>
              <w:t>44.00</w:t>
            </w:r>
          </w:p>
        </w:tc>
      </w:tr>
      <w:tr>
        <w:trPr>
          <w:cantSplit/>
        </w:trPr>
        <w:tc>
          <w:tcPr>
            <w:tcW w:w="709" w:type="dxa"/>
          </w:tcPr>
          <w:p>
            <w:pPr>
              <w:pStyle w:val="yTableNAm"/>
            </w:pPr>
            <w:r>
              <w:rPr>
                <w:sz w:val="24"/>
              </w:rPr>
              <w:br w:type="page"/>
            </w:r>
            <w:r>
              <w:t>4.</w:t>
            </w:r>
          </w:p>
        </w:tc>
        <w:tc>
          <w:tcPr>
            <w:tcW w:w="5276" w:type="dxa"/>
          </w:tcPr>
          <w:p>
            <w:pPr>
              <w:pStyle w:val="yTableNAm"/>
            </w:pPr>
            <w:r>
              <w:t>For an annual local pass for a non</w:t>
            </w:r>
            <w:r>
              <w:noBreakHyphen/>
              <w:t>tour vehicle with up to 12 occupants for any one national park or reserve or for any one of the following groups of national parks, conservation parks and reserves —</w:t>
            </w:r>
          </w:p>
          <w:p>
            <w:pPr>
              <w:pStyle w:val="yTableNAm"/>
              <w:tabs>
                <w:tab w:val="clear" w:pos="567"/>
                <w:tab w:val="left" w:pos="389"/>
                <w:tab w:val="left" w:pos="984"/>
              </w:tabs>
              <w:ind w:left="984" w:hanging="984"/>
            </w:pPr>
            <w:r>
              <w:tab/>
              <w:t>(a)</w:t>
            </w:r>
            <w:r>
              <w:tab/>
              <w:t>Walyunga, Avon Valley and John Forrest</w:t>
            </w:r>
          </w:p>
          <w:p>
            <w:pPr>
              <w:pStyle w:val="yTableNAm"/>
              <w:tabs>
                <w:tab w:val="clear" w:pos="567"/>
                <w:tab w:val="left" w:pos="389"/>
                <w:tab w:val="left" w:pos="984"/>
              </w:tabs>
              <w:ind w:left="984" w:hanging="984"/>
            </w:pPr>
            <w:r>
              <w:tab/>
              <w:t>(b)</w:t>
            </w:r>
            <w:r>
              <w:tab/>
              <w:t>Gloucester, Warren, Beedelup, Greater Beedelup, Shannon and D’Entrecasteaux</w:t>
            </w:r>
          </w:p>
          <w:p>
            <w:pPr>
              <w:pStyle w:val="yTableNAm"/>
              <w:tabs>
                <w:tab w:val="clear" w:pos="567"/>
                <w:tab w:val="left" w:pos="389"/>
                <w:tab w:val="left" w:pos="984"/>
              </w:tabs>
              <w:ind w:left="984" w:hanging="984"/>
            </w:pPr>
            <w:r>
              <w:tab/>
              <w:t>(c)</w:t>
            </w:r>
            <w:r>
              <w:tab/>
              <w:t>Stirling Range, Porongurup and Fitzgerald River</w:t>
            </w:r>
          </w:p>
          <w:p>
            <w:pPr>
              <w:pStyle w:val="yTableNAm"/>
              <w:tabs>
                <w:tab w:val="clear" w:pos="567"/>
                <w:tab w:val="left" w:pos="389"/>
                <w:tab w:val="left" w:pos="984"/>
              </w:tabs>
              <w:ind w:left="984" w:hanging="984"/>
            </w:pPr>
            <w:r>
              <w:tab/>
              <w:t>(d)</w:t>
            </w:r>
            <w:r>
              <w:tab/>
              <w:t>Stokes, Cape Le Grand, Cape Arid and Fitzgerald River</w:t>
            </w:r>
          </w:p>
          <w:p>
            <w:pPr>
              <w:pStyle w:val="yTableNAm"/>
              <w:tabs>
                <w:tab w:val="clear" w:pos="567"/>
                <w:tab w:val="left" w:pos="389"/>
                <w:tab w:val="left" w:pos="984"/>
              </w:tabs>
              <w:ind w:left="984" w:hanging="984"/>
            </w:pPr>
            <w:r>
              <w:tab/>
              <w:t>(e)</w:t>
            </w:r>
            <w:r>
              <w:tab/>
              <w:t>Karijini and Millstream</w:t>
            </w:r>
            <w:r>
              <w:noBreakHyphen/>
              <w:t>Chichester</w:t>
            </w:r>
          </w:p>
          <w:p>
            <w:pPr>
              <w:pStyle w:val="yTableNAm"/>
              <w:tabs>
                <w:tab w:val="clear" w:pos="567"/>
                <w:tab w:val="left" w:pos="389"/>
                <w:tab w:val="left" w:pos="984"/>
              </w:tabs>
              <w:ind w:left="984" w:hanging="984"/>
            </w:pPr>
            <w:r>
              <w:tab/>
              <w:t>(f)</w:t>
            </w:r>
            <w:r>
              <w:tab/>
              <w:t>Mirima, Purnululu and Mitchell River</w:t>
            </w:r>
          </w:p>
          <w:p>
            <w:pPr>
              <w:pStyle w:val="yTableNAm"/>
              <w:tabs>
                <w:tab w:val="clear" w:pos="567"/>
                <w:tab w:val="left" w:pos="389"/>
                <w:tab w:val="left" w:pos="984"/>
              </w:tabs>
              <w:ind w:left="984" w:hanging="984"/>
            </w:pPr>
            <w:r>
              <w:tab/>
              <w:t>(g)</w:t>
            </w:r>
            <w:r>
              <w:tab/>
              <w:t>Windjana, King Leopold Ranges and Tunnel Creek</w:t>
            </w:r>
          </w:p>
          <w:p>
            <w:pPr>
              <w:pStyle w:val="yTableNAm"/>
              <w:tabs>
                <w:tab w:val="clear" w:pos="567"/>
                <w:tab w:val="left" w:pos="389"/>
                <w:tab w:val="left" w:pos="984"/>
              </w:tabs>
              <w:ind w:left="984" w:hanging="984"/>
            </w:pPr>
            <w:r>
              <w:tab/>
              <w:t>(h)</w:t>
            </w:r>
            <w:r>
              <w:tab/>
              <w:t>Nambung and Lesueur</w:t>
            </w:r>
          </w:p>
        </w:tc>
        <w:tc>
          <w:tcPr>
            <w:tcW w:w="961" w:type="dxa"/>
            <w:vAlign w:val="bottom"/>
          </w:tcPr>
          <w:p>
            <w:pPr>
              <w:pStyle w:val="yTableNAm"/>
              <w:jc w:val="center"/>
            </w:pPr>
          </w:p>
          <w:p>
            <w:pPr>
              <w:pStyle w:val="yTableNAm"/>
              <w:jc w:val="center"/>
            </w:pPr>
          </w:p>
          <w:p>
            <w:pPr>
              <w:pStyle w:val="yTableNAm"/>
              <w:jc w:val="center"/>
            </w:pPr>
            <w:r>
              <w:br/>
            </w:r>
          </w:p>
          <w:p>
            <w:pPr>
              <w:pStyle w:val="yTableNAm"/>
              <w:jc w:val="center"/>
            </w:pPr>
          </w:p>
          <w:p>
            <w:pPr>
              <w:pStyle w:val="yTableNAm"/>
              <w:jc w:val="center"/>
            </w:pPr>
            <w:r>
              <w:br/>
            </w:r>
          </w:p>
          <w:p>
            <w:pPr>
              <w:pStyle w:val="yTableNAm"/>
              <w:jc w:val="center"/>
            </w:pPr>
          </w:p>
          <w:p>
            <w:pPr>
              <w:pStyle w:val="yTableNAm"/>
              <w:jc w:val="center"/>
            </w:pPr>
          </w:p>
          <w:p>
            <w:pPr>
              <w:pStyle w:val="yTableNAm"/>
              <w:jc w:val="center"/>
            </w:pPr>
            <w:r>
              <w:br/>
            </w:r>
          </w:p>
          <w:p>
            <w:pPr>
              <w:pStyle w:val="yTableNAm"/>
              <w:jc w:val="center"/>
            </w:pPr>
            <w:r>
              <w:t>22.00</w:t>
            </w:r>
          </w:p>
        </w:tc>
      </w:tr>
      <w:tr>
        <w:trPr>
          <w:cantSplit/>
        </w:trPr>
        <w:tc>
          <w:tcPr>
            <w:tcW w:w="709" w:type="dxa"/>
          </w:tcPr>
          <w:p>
            <w:pPr>
              <w:pStyle w:val="yTableNAm"/>
            </w:pPr>
            <w:r>
              <w:rPr>
                <w:sz w:val="24"/>
              </w:rPr>
              <w:t>5.</w:t>
            </w:r>
          </w:p>
        </w:tc>
        <w:tc>
          <w:tcPr>
            <w:tcW w:w="5276" w:type="dxa"/>
          </w:tcPr>
          <w:p>
            <w:pPr>
              <w:pStyle w:val="yTableNAm"/>
            </w:pPr>
            <w:r>
              <w:t>For an annual pass for a non</w:t>
            </w:r>
            <w:r>
              <w:noBreakHyphen/>
              <w:t>tour motor vehicle with up to 12 occupants to all CALM land where an entrance fee is charged, except the Monkey Mia Conservation Park, and an annual subscription to the magazine “Landscope”</w:t>
            </w:r>
          </w:p>
        </w:tc>
        <w:tc>
          <w:tcPr>
            <w:tcW w:w="961" w:type="dxa"/>
            <w:vAlign w:val="bottom"/>
          </w:tcPr>
          <w:p>
            <w:pPr>
              <w:pStyle w:val="yTableNAm"/>
              <w:jc w:val="center"/>
            </w:pPr>
            <w:r>
              <w:t>110.00</w:t>
            </w:r>
          </w:p>
        </w:tc>
      </w:tr>
      <w:tr>
        <w:trPr>
          <w:cantSplit/>
        </w:trPr>
        <w:tc>
          <w:tcPr>
            <w:tcW w:w="709" w:type="dxa"/>
          </w:tcPr>
          <w:p>
            <w:pPr>
              <w:pStyle w:val="yTableNAm"/>
            </w:pPr>
            <w:r>
              <w:t>6.</w:t>
            </w:r>
          </w:p>
        </w:tc>
        <w:tc>
          <w:tcPr>
            <w:tcW w:w="5276" w:type="dxa"/>
          </w:tcPr>
          <w:p>
            <w:pPr>
              <w:pStyle w:val="yTableNAm"/>
            </w:pPr>
            <w:r>
              <w:t>For a pass for one group entering the Yanchep National Park in one or more non</w:t>
            </w:r>
            <w:r>
              <w:noBreakHyphen/>
              <w:t>tour motor vehicles for the purposes of a wedding or other function</w:t>
            </w:r>
          </w:p>
        </w:tc>
        <w:tc>
          <w:tcPr>
            <w:tcW w:w="961" w:type="dxa"/>
            <w:vAlign w:val="bottom"/>
          </w:tcPr>
          <w:p>
            <w:pPr>
              <w:pStyle w:val="yTableNAm"/>
              <w:jc w:val="center"/>
            </w:pPr>
            <w:r>
              <w:t>100.00</w:t>
            </w:r>
          </w:p>
        </w:tc>
      </w:tr>
    </w:tbl>
    <w:p>
      <w:pPr>
        <w:pStyle w:val="yFootnotesection"/>
      </w:pPr>
      <w:r>
        <w:tab/>
        <w:t>[Division 2 inserted in Gazette 27 Sep 2013 p. 4526-7; amended in Gazette 19 Sep 2014 p. 3333.]</w:t>
      </w:r>
    </w:p>
    <w:p>
      <w:pPr>
        <w:pStyle w:val="yHeading3"/>
        <w:rPr>
          <w:snapToGrid w:val="0"/>
        </w:rPr>
      </w:pPr>
      <w:bookmarkStart w:id="430" w:name="_Toc408498942"/>
      <w:bookmarkStart w:id="431" w:name="_Toc414889364"/>
      <w:bookmarkStart w:id="432" w:name="_Toc414975336"/>
      <w:bookmarkStart w:id="433" w:name="_Toc417563818"/>
      <w:r>
        <w:rPr>
          <w:rStyle w:val="CharSDivNo"/>
        </w:rPr>
        <w:t>Division 3</w:t>
      </w:r>
      <w:r>
        <w:rPr>
          <w:snapToGrid w:val="0"/>
        </w:rPr>
        <w:t> — </w:t>
      </w:r>
      <w:r>
        <w:rPr>
          <w:rStyle w:val="CharSDivText"/>
        </w:rPr>
        <w:t>Daily entrance fees for Tree Top Walk</w:t>
      </w:r>
      <w:bookmarkEnd w:id="430"/>
      <w:bookmarkEnd w:id="431"/>
      <w:bookmarkEnd w:id="432"/>
      <w:bookmarkEnd w:id="433"/>
    </w:p>
    <w:p>
      <w:pPr>
        <w:pStyle w:val="yFootnoteheading"/>
        <w:keepNext/>
        <w:keepLines/>
        <w:spacing w:after="60"/>
        <w:rPr>
          <w:snapToGrid w:val="0"/>
        </w:rPr>
      </w:pPr>
      <w:r>
        <w:tab/>
        <w:t>[Heading inserted in Gazette 27 Sep 2013 p. 4527.]</w:t>
      </w:r>
    </w:p>
    <w:tbl>
      <w:tblPr>
        <w:tblW w:w="0" w:type="auto"/>
        <w:tblInd w:w="150" w:type="dxa"/>
        <w:tblLayout w:type="fixed"/>
        <w:tblCellMar>
          <w:left w:w="8" w:type="dxa"/>
          <w:right w:w="8" w:type="dxa"/>
        </w:tblCellMar>
        <w:tblLook w:val="0000" w:firstRow="0" w:lastRow="0" w:firstColumn="0" w:lastColumn="0" w:noHBand="0" w:noVBand="0"/>
      </w:tblPr>
      <w:tblGrid>
        <w:gridCol w:w="709"/>
        <w:gridCol w:w="5245"/>
        <w:gridCol w:w="992"/>
      </w:tblGrid>
      <w:tr>
        <w:trPr>
          <w:cantSplit/>
          <w:tblHeader/>
        </w:trPr>
        <w:tc>
          <w:tcPr>
            <w:tcW w:w="709" w:type="dxa"/>
          </w:tcPr>
          <w:p>
            <w:pPr>
              <w:pStyle w:val="zyTableNAm"/>
            </w:pPr>
          </w:p>
        </w:tc>
        <w:tc>
          <w:tcPr>
            <w:tcW w:w="5245" w:type="dxa"/>
          </w:tcPr>
          <w:p>
            <w:pPr>
              <w:pStyle w:val="zyTableNAm"/>
            </w:pPr>
          </w:p>
        </w:tc>
        <w:tc>
          <w:tcPr>
            <w:tcW w:w="992" w:type="dxa"/>
          </w:tcPr>
          <w:p>
            <w:pPr>
              <w:pStyle w:val="yTableNAm"/>
              <w:jc w:val="center"/>
            </w:pPr>
            <w:r>
              <w:rPr>
                <w:b/>
              </w:rPr>
              <w:t>$</w:t>
            </w:r>
          </w:p>
        </w:tc>
      </w:tr>
      <w:tr>
        <w:trPr>
          <w:cantSplit/>
        </w:trPr>
        <w:tc>
          <w:tcPr>
            <w:tcW w:w="709" w:type="dxa"/>
          </w:tcPr>
          <w:p>
            <w:pPr>
              <w:pStyle w:val="yTableNAm"/>
            </w:pPr>
            <w:r>
              <w:t>1.</w:t>
            </w:r>
          </w:p>
        </w:tc>
        <w:tc>
          <w:tcPr>
            <w:tcW w:w="5245" w:type="dxa"/>
          </w:tcPr>
          <w:p>
            <w:pPr>
              <w:pStyle w:val="yTableNAm"/>
            </w:pPr>
            <w:r>
              <w:t>For person 16 years of age or over</w:t>
            </w:r>
          </w:p>
        </w:tc>
        <w:tc>
          <w:tcPr>
            <w:tcW w:w="992" w:type="dxa"/>
          </w:tcPr>
          <w:p>
            <w:pPr>
              <w:pStyle w:val="yTableNAm"/>
              <w:jc w:val="center"/>
            </w:pPr>
            <w:r>
              <w:t>15.00</w:t>
            </w:r>
          </w:p>
        </w:tc>
      </w:tr>
      <w:tr>
        <w:trPr>
          <w:cantSplit/>
        </w:trPr>
        <w:tc>
          <w:tcPr>
            <w:tcW w:w="709" w:type="dxa"/>
          </w:tcPr>
          <w:p>
            <w:pPr>
              <w:pStyle w:val="yTableNAm"/>
            </w:pPr>
            <w:r>
              <w:t>2.</w:t>
            </w:r>
          </w:p>
        </w:tc>
        <w:tc>
          <w:tcPr>
            <w:tcW w:w="5245" w:type="dxa"/>
          </w:tcPr>
          <w:p>
            <w:pPr>
              <w:pStyle w:val="yTableNAm"/>
            </w:pPr>
            <w:r>
              <w:t xml:space="preserve">For person of more than 5 and less than 16 years of age </w:t>
            </w:r>
          </w:p>
        </w:tc>
        <w:tc>
          <w:tcPr>
            <w:tcW w:w="992" w:type="dxa"/>
          </w:tcPr>
          <w:p>
            <w:pPr>
              <w:pStyle w:val="yTableNAm"/>
              <w:jc w:val="center"/>
            </w:pPr>
            <w:r>
              <w:t>7.50</w:t>
            </w:r>
          </w:p>
        </w:tc>
      </w:tr>
      <w:tr>
        <w:trPr>
          <w:cantSplit/>
        </w:trPr>
        <w:tc>
          <w:tcPr>
            <w:tcW w:w="709" w:type="dxa"/>
          </w:tcPr>
          <w:p>
            <w:pPr>
              <w:pStyle w:val="yTableNAm"/>
            </w:pPr>
            <w:r>
              <w:t>3.</w:t>
            </w:r>
          </w:p>
        </w:tc>
        <w:tc>
          <w:tcPr>
            <w:tcW w:w="5245" w:type="dxa"/>
          </w:tcPr>
          <w:p>
            <w:pPr>
              <w:pStyle w:val="yTableNAm"/>
            </w:pPr>
            <w:r>
              <w:t>For family (2 adults and 2 children of more than 5 and less than 16 years of age)</w:t>
            </w:r>
          </w:p>
        </w:tc>
        <w:tc>
          <w:tcPr>
            <w:tcW w:w="992" w:type="dxa"/>
          </w:tcPr>
          <w:p>
            <w:pPr>
              <w:pStyle w:val="yTableNAm"/>
              <w:jc w:val="center"/>
            </w:pPr>
            <w:r>
              <w:br/>
              <w:t>37.50</w:t>
            </w:r>
          </w:p>
        </w:tc>
      </w:tr>
      <w:tr>
        <w:trPr>
          <w:cantSplit/>
        </w:trPr>
        <w:tc>
          <w:tcPr>
            <w:tcW w:w="709" w:type="dxa"/>
          </w:tcPr>
          <w:p>
            <w:pPr>
              <w:pStyle w:val="yTableNAm"/>
            </w:pPr>
            <w:r>
              <w:t>4.</w:t>
            </w:r>
          </w:p>
        </w:tc>
        <w:tc>
          <w:tcPr>
            <w:tcW w:w="5245" w:type="dxa"/>
          </w:tcPr>
          <w:p>
            <w:pPr>
              <w:pStyle w:val="yTableNAm"/>
            </w:pPr>
            <w:r>
              <w:t>For holder of a concession card</w:t>
            </w:r>
          </w:p>
        </w:tc>
        <w:tc>
          <w:tcPr>
            <w:tcW w:w="992" w:type="dxa"/>
          </w:tcPr>
          <w:p>
            <w:pPr>
              <w:pStyle w:val="yTableNAm"/>
              <w:jc w:val="center"/>
            </w:pPr>
            <w:r>
              <w:t>10.50</w:t>
            </w:r>
          </w:p>
        </w:tc>
      </w:tr>
    </w:tbl>
    <w:p>
      <w:pPr>
        <w:pStyle w:val="yFootnotesection"/>
      </w:pPr>
      <w:r>
        <w:tab/>
        <w:t>[Division 3 inserted in Gazette 27 Sep 2013 p. 4527.]</w:t>
      </w:r>
    </w:p>
    <w:p>
      <w:pPr>
        <w:pStyle w:val="yHeading3"/>
        <w:rPr>
          <w:snapToGrid w:val="0"/>
        </w:rPr>
      </w:pPr>
      <w:bookmarkStart w:id="434" w:name="_Toc408498943"/>
      <w:bookmarkStart w:id="435" w:name="_Toc414889365"/>
      <w:bookmarkStart w:id="436" w:name="_Toc414975337"/>
      <w:bookmarkStart w:id="437" w:name="_Toc417563819"/>
      <w:r>
        <w:rPr>
          <w:rStyle w:val="CharSDivNo"/>
        </w:rPr>
        <w:t>Division 4</w:t>
      </w:r>
      <w:r>
        <w:rPr>
          <w:snapToGrid w:val="0"/>
        </w:rPr>
        <w:t> — </w:t>
      </w:r>
      <w:r>
        <w:rPr>
          <w:rStyle w:val="CharSDivText"/>
        </w:rPr>
        <w:t xml:space="preserve">Fees for </w:t>
      </w:r>
      <w:smartTag w:uri="urn:schemas-microsoft-com:office:smarttags" w:element="place">
        <w:smartTag w:uri="urn:schemas-microsoft-com:office:smarttags" w:element="PlaceName">
          <w:r>
            <w:rPr>
              <w:rStyle w:val="CharSDivText"/>
            </w:rPr>
            <w:t>Geikie</w:t>
          </w:r>
        </w:smartTag>
        <w:r>
          <w:rPr>
            <w:rStyle w:val="CharSDivText"/>
          </w:rPr>
          <w:t xml:space="preserve"> </w:t>
        </w:r>
        <w:smartTag w:uri="urn:schemas-microsoft-com:office:smarttags" w:element="PlaceName">
          <w:r>
            <w:rPr>
              <w:rStyle w:val="CharSDivText"/>
            </w:rPr>
            <w:t>Gorge</w:t>
          </w:r>
        </w:smartTag>
        <w:r>
          <w:rPr>
            <w:rStyle w:val="CharSDivText"/>
          </w:rPr>
          <w:t xml:space="preserve"> </w:t>
        </w:r>
        <w:smartTag w:uri="urn:schemas-microsoft-com:office:smarttags" w:element="PlaceType">
          <w:r>
            <w:rPr>
              <w:rStyle w:val="CharSDivText"/>
            </w:rPr>
            <w:t>National Park</w:t>
          </w:r>
        </w:smartTag>
      </w:smartTag>
      <w:r>
        <w:rPr>
          <w:rStyle w:val="CharSDivText"/>
        </w:rPr>
        <w:t xml:space="preserve"> Boat Trip</w:t>
      </w:r>
      <w:bookmarkEnd w:id="434"/>
      <w:bookmarkEnd w:id="435"/>
      <w:bookmarkEnd w:id="436"/>
      <w:bookmarkEnd w:id="437"/>
    </w:p>
    <w:p>
      <w:pPr>
        <w:pStyle w:val="yFootnoteheading"/>
        <w:keepNext/>
        <w:keepLines/>
        <w:spacing w:after="60"/>
        <w:rPr>
          <w:snapToGrid w:val="0"/>
        </w:rPr>
      </w:pPr>
      <w:r>
        <w:tab/>
        <w:t>[Heading inserted in Gazette 27 Sep 2013 p. 4527.]</w:t>
      </w:r>
    </w:p>
    <w:tbl>
      <w:tblPr>
        <w:tblW w:w="0" w:type="auto"/>
        <w:tblInd w:w="150" w:type="dxa"/>
        <w:tblLayout w:type="fixed"/>
        <w:tblCellMar>
          <w:left w:w="8" w:type="dxa"/>
          <w:right w:w="8" w:type="dxa"/>
        </w:tblCellMar>
        <w:tblLook w:val="0000" w:firstRow="0" w:lastRow="0" w:firstColumn="0" w:lastColumn="0" w:noHBand="0" w:noVBand="0"/>
      </w:tblPr>
      <w:tblGrid>
        <w:gridCol w:w="709"/>
        <w:gridCol w:w="5245"/>
        <w:gridCol w:w="992"/>
      </w:tblGrid>
      <w:tr>
        <w:tc>
          <w:tcPr>
            <w:tcW w:w="709" w:type="dxa"/>
          </w:tcPr>
          <w:p>
            <w:pPr>
              <w:pStyle w:val="zyTableNAm"/>
            </w:pPr>
          </w:p>
        </w:tc>
        <w:tc>
          <w:tcPr>
            <w:tcW w:w="5245" w:type="dxa"/>
          </w:tcPr>
          <w:p>
            <w:pPr>
              <w:pStyle w:val="zyTableNAm"/>
            </w:pPr>
          </w:p>
        </w:tc>
        <w:tc>
          <w:tcPr>
            <w:tcW w:w="992" w:type="dxa"/>
          </w:tcPr>
          <w:p>
            <w:pPr>
              <w:pStyle w:val="yTableNAm"/>
              <w:jc w:val="center"/>
            </w:pPr>
            <w:r>
              <w:rPr>
                <w:b/>
              </w:rPr>
              <w:t>$</w:t>
            </w:r>
          </w:p>
        </w:tc>
      </w:tr>
      <w:tr>
        <w:tc>
          <w:tcPr>
            <w:tcW w:w="709" w:type="dxa"/>
          </w:tcPr>
          <w:p>
            <w:pPr>
              <w:pStyle w:val="yTableNAm"/>
            </w:pPr>
            <w:r>
              <w:t>1.</w:t>
            </w:r>
          </w:p>
        </w:tc>
        <w:tc>
          <w:tcPr>
            <w:tcW w:w="5245" w:type="dxa"/>
          </w:tcPr>
          <w:p>
            <w:pPr>
              <w:pStyle w:val="yTableNAm"/>
            </w:pPr>
            <w:r>
              <w:t>For person 16 years of age and over</w:t>
            </w:r>
          </w:p>
        </w:tc>
        <w:tc>
          <w:tcPr>
            <w:tcW w:w="992" w:type="dxa"/>
          </w:tcPr>
          <w:p>
            <w:pPr>
              <w:pStyle w:val="yTableNAm"/>
              <w:jc w:val="center"/>
            </w:pPr>
            <w:r>
              <w:t>30.50</w:t>
            </w:r>
          </w:p>
        </w:tc>
      </w:tr>
      <w:tr>
        <w:trPr>
          <w:cantSplit/>
        </w:trPr>
        <w:tc>
          <w:tcPr>
            <w:tcW w:w="709" w:type="dxa"/>
          </w:tcPr>
          <w:p>
            <w:pPr>
              <w:pStyle w:val="yTableNAm"/>
            </w:pPr>
            <w:r>
              <w:t>2.</w:t>
            </w:r>
          </w:p>
        </w:tc>
        <w:tc>
          <w:tcPr>
            <w:tcW w:w="5245" w:type="dxa"/>
          </w:tcPr>
          <w:p>
            <w:pPr>
              <w:pStyle w:val="yTableNAm"/>
            </w:pPr>
            <w:r>
              <w:t>For person of more than 5 and less than 16 years of age</w:t>
            </w:r>
          </w:p>
        </w:tc>
        <w:tc>
          <w:tcPr>
            <w:tcW w:w="992" w:type="dxa"/>
          </w:tcPr>
          <w:p>
            <w:pPr>
              <w:pStyle w:val="yTableNAm"/>
              <w:jc w:val="center"/>
            </w:pPr>
            <w:r>
              <w:t>7.70</w:t>
            </w:r>
          </w:p>
        </w:tc>
      </w:tr>
      <w:tr>
        <w:trPr>
          <w:cantSplit/>
        </w:trPr>
        <w:tc>
          <w:tcPr>
            <w:tcW w:w="709" w:type="dxa"/>
          </w:tcPr>
          <w:p>
            <w:pPr>
              <w:pStyle w:val="yTableNAm"/>
            </w:pPr>
            <w:r>
              <w:t>3.</w:t>
            </w:r>
          </w:p>
        </w:tc>
        <w:tc>
          <w:tcPr>
            <w:tcW w:w="5245" w:type="dxa"/>
          </w:tcPr>
          <w:p>
            <w:pPr>
              <w:pStyle w:val="yTableNAm"/>
            </w:pPr>
            <w:r>
              <w:t>For family (2 adults and 2 children of more than 5 and less than 16 years of age)</w:t>
            </w:r>
          </w:p>
        </w:tc>
        <w:tc>
          <w:tcPr>
            <w:tcW w:w="992" w:type="dxa"/>
          </w:tcPr>
          <w:p>
            <w:pPr>
              <w:pStyle w:val="yTableNAm"/>
              <w:jc w:val="center"/>
            </w:pPr>
            <w:r>
              <w:br/>
              <w:t>64.00</w:t>
            </w:r>
          </w:p>
        </w:tc>
      </w:tr>
      <w:tr>
        <w:tc>
          <w:tcPr>
            <w:tcW w:w="709" w:type="dxa"/>
          </w:tcPr>
          <w:p>
            <w:pPr>
              <w:pStyle w:val="yTableNAm"/>
            </w:pPr>
            <w:r>
              <w:t>4.</w:t>
            </w:r>
          </w:p>
        </w:tc>
        <w:tc>
          <w:tcPr>
            <w:tcW w:w="5245" w:type="dxa"/>
          </w:tcPr>
          <w:p>
            <w:pPr>
              <w:pStyle w:val="yTableNAm"/>
            </w:pPr>
            <w:r>
              <w:t>For holder of a concession card</w:t>
            </w:r>
          </w:p>
        </w:tc>
        <w:tc>
          <w:tcPr>
            <w:tcW w:w="992" w:type="dxa"/>
          </w:tcPr>
          <w:p>
            <w:pPr>
              <w:pStyle w:val="yTableNAm"/>
              <w:jc w:val="center"/>
            </w:pPr>
            <w:r>
              <w:t>22.00</w:t>
            </w:r>
          </w:p>
        </w:tc>
      </w:tr>
    </w:tbl>
    <w:p>
      <w:pPr>
        <w:pStyle w:val="yFootnotesection"/>
      </w:pPr>
      <w:r>
        <w:tab/>
        <w:t>[Division 4 inserted in Gazette 27 Sep 2013 p. 4527.]</w:t>
      </w:r>
    </w:p>
    <w:p>
      <w:pPr>
        <w:pStyle w:val="yHeading3"/>
        <w:rPr>
          <w:snapToGrid w:val="0"/>
        </w:rPr>
      </w:pPr>
      <w:bookmarkStart w:id="438" w:name="_Toc408498944"/>
      <w:bookmarkStart w:id="439" w:name="_Toc414889366"/>
      <w:bookmarkStart w:id="440" w:name="_Toc414975338"/>
      <w:bookmarkStart w:id="441" w:name="_Toc417563820"/>
      <w:r>
        <w:rPr>
          <w:rStyle w:val="CharSDivNo"/>
        </w:rPr>
        <w:t>Division 5</w:t>
      </w:r>
      <w:r>
        <w:rPr>
          <w:snapToGrid w:val="0"/>
        </w:rPr>
        <w:t> — </w:t>
      </w:r>
      <w:r>
        <w:rPr>
          <w:rStyle w:val="CharSDivText"/>
        </w:rPr>
        <w:t>Horse riding</w:t>
      </w:r>
      <w:bookmarkEnd w:id="438"/>
      <w:bookmarkEnd w:id="439"/>
      <w:bookmarkEnd w:id="440"/>
      <w:bookmarkEnd w:id="441"/>
    </w:p>
    <w:p>
      <w:pPr>
        <w:pStyle w:val="yFootnoteheading"/>
        <w:keepNext/>
        <w:keepLines/>
        <w:spacing w:after="60"/>
        <w:rPr>
          <w:snapToGrid w:val="0"/>
        </w:rPr>
      </w:pPr>
      <w:r>
        <w:tab/>
        <w:t>[Heading inserted in Gazette 27 Sep 2013 p. 4527.]</w:t>
      </w:r>
    </w:p>
    <w:tbl>
      <w:tblPr>
        <w:tblW w:w="0" w:type="auto"/>
        <w:tblInd w:w="150" w:type="dxa"/>
        <w:tblLayout w:type="fixed"/>
        <w:tblCellMar>
          <w:left w:w="8" w:type="dxa"/>
          <w:right w:w="8" w:type="dxa"/>
        </w:tblCellMar>
        <w:tblLook w:val="0000" w:firstRow="0" w:lastRow="0" w:firstColumn="0" w:lastColumn="0" w:noHBand="0" w:noVBand="0"/>
      </w:tblPr>
      <w:tblGrid>
        <w:gridCol w:w="709"/>
        <w:gridCol w:w="5245"/>
        <w:gridCol w:w="992"/>
      </w:tblGrid>
      <w:tr>
        <w:trPr>
          <w:tblHeader/>
        </w:trPr>
        <w:tc>
          <w:tcPr>
            <w:tcW w:w="709" w:type="dxa"/>
          </w:tcPr>
          <w:p>
            <w:pPr>
              <w:pStyle w:val="zyTableNAm"/>
            </w:pPr>
          </w:p>
        </w:tc>
        <w:tc>
          <w:tcPr>
            <w:tcW w:w="5245" w:type="dxa"/>
          </w:tcPr>
          <w:p>
            <w:pPr>
              <w:pStyle w:val="zyTableNAm"/>
            </w:pPr>
          </w:p>
        </w:tc>
        <w:tc>
          <w:tcPr>
            <w:tcW w:w="992" w:type="dxa"/>
          </w:tcPr>
          <w:p>
            <w:pPr>
              <w:pStyle w:val="yTableNAm"/>
              <w:jc w:val="center"/>
            </w:pPr>
            <w:r>
              <w:rPr>
                <w:b/>
              </w:rPr>
              <w:t>$</w:t>
            </w:r>
          </w:p>
        </w:tc>
      </w:tr>
      <w:tr>
        <w:trPr>
          <w:cantSplit/>
        </w:trPr>
        <w:tc>
          <w:tcPr>
            <w:tcW w:w="709" w:type="dxa"/>
          </w:tcPr>
          <w:p>
            <w:pPr>
              <w:pStyle w:val="yTableNAm"/>
            </w:pPr>
            <w:r>
              <w:t>1.</w:t>
            </w:r>
          </w:p>
        </w:tc>
        <w:tc>
          <w:tcPr>
            <w:tcW w:w="5245" w:type="dxa"/>
          </w:tcPr>
          <w:p>
            <w:pPr>
              <w:pStyle w:val="yTableNAm"/>
            </w:pPr>
            <w:r>
              <w:t xml:space="preserve">Daily fee for one person </w:t>
            </w:r>
          </w:p>
        </w:tc>
        <w:tc>
          <w:tcPr>
            <w:tcW w:w="992" w:type="dxa"/>
          </w:tcPr>
          <w:p>
            <w:pPr>
              <w:pStyle w:val="yTableNAm"/>
              <w:jc w:val="center"/>
            </w:pPr>
            <w:r>
              <w:t>7.00</w:t>
            </w:r>
          </w:p>
        </w:tc>
      </w:tr>
      <w:tr>
        <w:tc>
          <w:tcPr>
            <w:tcW w:w="709" w:type="dxa"/>
          </w:tcPr>
          <w:p>
            <w:pPr>
              <w:pStyle w:val="yTableNAm"/>
            </w:pPr>
            <w:r>
              <w:t>2.</w:t>
            </w:r>
          </w:p>
        </w:tc>
        <w:tc>
          <w:tcPr>
            <w:tcW w:w="5245" w:type="dxa"/>
          </w:tcPr>
          <w:p>
            <w:pPr>
              <w:pStyle w:val="yTableNAm"/>
            </w:pPr>
            <w:r>
              <w:t>Annual pass for family</w:t>
            </w:r>
          </w:p>
        </w:tc>
        <w:tc>
          <w:tcPr>
            <w:tcW w:w="992" w:type="dxa"/>
          </w:tcPr>
          <w:p>
            <w:pPr>
              <w:pStyle w:val="yTableNAm"/>
              <w:jc w:val="center"/>
            </w:pPr>
            <w:r>
              <w:t>54.00</w:t>
            </w:r>
          </w:p>
        </w:tc>
      </w:tr>
    </w:tbl>
    <w:p>
      <w:pPr>
        <w:pStyle w:val="yFootnotesection"/>
      </w:pPr>
      <w:r>
        <w:tab/>
        <w:t>[Division 5 inserted in Gazette 27 Sep 2013 p. 4527.]</w:t>
      </w:r>
    </w:p>
    <w:p>
      <w:pPr>
        <w:pStyle w:val="yHeading3"/>
        <w:rPr>
          <w:snapToGrid w:val="0"/>
        </w:rPr>
      </w:pPr>
      <w:bookmarkStart w:id="442" w:name="_Toc408498945"/>
      <w:bookmarkStart w:id="443" w:name="_Toc414889367"/>
      <w:bookmarkStart w:id="444" w:name="_Toc414975339"/>
      <w:bookmarkStart w:id="445" w:name="_Toc417563821"/>
      <w:r>
        <w:rPr>
          <w:rStyle w:val="CharSDivNo"/>
        </w:rPr>
        <w:t>Division 6</w:t>
      </w:r>
      <w:r>
        <w:rPr>
          <w:snapToGrid w:val="0"/>
        </w:rPr>
        <w:t> — </w:t>
      </w:r>
      <w:r>
        <w:rPr>
          <w:rStyle w:val="CharSDivText"/>
        </w:rPr>
        <w:t>Camping site fees</w:t>
      </w:r>
      <w:bookmarkEnd w:id="442"/>
      <w:bookmarkEnd w:id="443"/>
      <w:bookmarkEnd w:id="444"/>
      <w:bookmarkEnd w:id="445"/>
    </w:p>
    <w:p>
      <w:pPr>
        <w:pStyle w:val="yFootnoteheading"/>
        <w:keepNext/>
        <w:keepLines/>
        <w:spacing w:after="60"/>
        <w:rPr>
          <w:snapToGrid w:val="0"/>
        </w:rPr>
      </w:pPr>
      <w:r>
        <w:tab/>
        <w:t>[Heading inserted in Gazette 27 Sep 2013 p. 4527.]</w:t>
      </w:r>
    </w:p>
    <w:tbl>
      <w:tblPr>
        <w:tblW w:w="0" w:type="auto"/>
        <w:tblInd w:w="150" w:type="dxa"/>
        <w:tblLayout w:type="fixed"/>
        <w:tblCellMar>
          <w:left w:w="8" w:type="dxa"/>
          <w:right w:w="8" w:type="dxa"/>
        </w:tblCellMar>
        <w:tblLook w:val="0000" w:firstRow="0" w:lastRow="0" w:firstColumn="0" w:lastColumn="0" w:noHBand="0" w:noVBand="0"/>
      </w:tblPr>
      <w:tblGrid>
        <w:gridCol w:w="709"/>
        <w:gridCol w:w="5245"/>
        <w:gridCol w:w="992"/>
      </w:tblGrid>
      <w:tr>
        <w:trPr>
          <w:cantSplit/>
          <w:tblHeader/>
        </w:trPr>
        <w:tc>
          <w:tcPr>
            <w:tcW w:w="709" w:type="dxa"/>
          </w:tcPr>
          <w:p>
            <w:pPr>
              <w:pStyle w:val="zyTableNAm"/>
              <w:keepNext/>
              <w:keepLines/>
            </w:pPr>
          </w:p>
        </w:tc>
        <w:tc>
          <w:tcPr>
            <w:tcW w:w="5245" w:type="dxa"/>
          </w:tcPr>
          <w:p>
            <w:pPr>
              <w:pStyle w:val="zyTableNAm"/>
              <w:keepNext/>
              <w:keepLines/>
            </w:pPr>
          </w:p>
        </w:tc>
        <w:tc>
          <w:tcPr>
            <w:tcW w:w="992" w:type="dxa"/>
            <w:vAlign w:val="center"/>
          </w:tcPr>
          <w:p>
            <w:pPr>
              <w:pStyle w:val="yTableNAm"/>
              <w:jc w:val="center"/>
            </w:pPr>
            <w:r>
              <w:rPr>
                <w:b/>
              </w:rPr>
              <w:t>Fee per night</w:t>
            </w:r>
            <w:r>
              <w:rPr>
                <w:b/>
              </w:rPr>
              <w:br/>
              <w:t>$</w:t>
            </w:r>
          </w:p>
        </w:tc>
      </w:tr>
      <w:tr>
        <w:trPr>
          <w:cantSplit/>
        </w:trPr>
        <w:tc>
          <w:tcPr>
            <w:tcW w:w="709" w:type="dxa"/>
          </w:tcPr>
          <w:p>
            <w:pPr>
              <w:pStyle w:val="yTableNAm"/>
            </w:pPr>
            <w:r>
              <w:t>1.</w:t>
            </w:r>
          </w:p>
        </w:tc>
        <w:tc>
          <w:tcPr>
            <w:tcW w:w="5245" w:type="dxa"/>
          </w:tcPr>
          <w:p>
            <w:pPr>
              <w:pStyle w:val="yTableNAm"/>
            </w:pPr>
            <w:r>
              <w:t xml:space="preserve">Fee for site without facilities or with only basic facilities — </w:t>
            </w:r>
          </w:p>
          <w:p>
            <w:pPr>
              <w:pStyle w:val="yTableNAm"/>
              <w:tabs>
                <w:tab w:val="clear" w:pos="567"/>
                <w:tab w:val="left" w:pos="417"/>
              </w:tabs>
              <w:ind w:left="417" w:hanging="417"/>
            </w:pPr>
            <w:r>
              <w:tab/>
              <w:t>each person 16 years of age or over</w:t>
            </w:r>
          </w:p>
        </w:tc>
        <w:tc>
          <w:tcPr>
            <w:tcW w:w="992" w:type="dxa"/>
            <w:vAlign w:val="center"/>
          </w:tcPr>
          <w:p>
            <w:pPr>
              <w:pStyle w:val="yTableNAm"/>
              <w:jc w:val="center"/>
            </w:pPr>
          </w:p>
          <w:p>
            <w:pPr>
              <w:pStyle w:val="yTableNAm"/>
              <w:jc w:val="center"/>
            </w:pPr>
            <w:r>
              <w:br/>
              <w:t>7.50</w:t>
            </w:r>
          </w:p>
        </w:tc>
      </w:tr>
      <w:tr>
        <w:trPr>
          <w:cantSplit/>
        </w:trPr>
        <w:tc>
          <w:tcPr>
            <w:tcW w:w="709" w:type="dxa"/>
          </w:tcPr>
          <w:p>
            <w:pPr>
              <w:pStyle w:val="zyTableNAm"/>
            </w:pPr>
          </w:p>
        </w:tc>
        <w:tc>
          <w:tcPr>
            <w:tcW w:w="5245" w:type="dxa"/>
          </w:tcPr>
          <w:p>
            <w:pPr>
              <w:pStyle w:val="yTableNAm"/>
              <w:tabs>
                <w:tab w:val="clear" w:pos="567"/>
                <w:tab w:val="left" w:pos="417"/>
              </w:tabs>
              <w:ind w:left="417" w:hanging="417"/>
            </w:pPr>
            <w:r>
              <w:tab/>
              <w:t>each person 16 years of age or over who holds a concession card</w:t>
            </w:r>
          </w:p>
        </w:tc>
        <w:tc>
          <w:tcPr>
            <w:tcW w:w="992" w:type="dxa"/>
            <w:vAlign w:val="center"/>
          </w:tcPr>
          <w:p>
            <w:pPr>
              <w:pStyle w:val="yTableNAm"/>
              <w:jc w:val="center"/>
            </w:pPr>
            <w:r>
              <w:br/>
              <w:t>5.50</w:t>
            </w:r>
          </w:p>
        </w:tc>
      </w:tr>
      <w:tr>
        <w:trPr>
          <w:cantSplit/>
        </w:trPr>
        <w:tc>
          <w:tcPr>
            <w:tcW w:w="709" w:type="dxa"/>
          </w:tcPr>
          <w:p>
            <w:pPr>
              <w:pStyle w:val="zyTableNAm"/>
            </w:pPr>
          </w:p>
        </w:tc>
        <w:tc>
          <w:tcPr>
            <w:tcW w:w="5245" w:type="dxa"/>
          </w:tcPr>
          <w:p>
            <w:pPr>
              <w:pStyle w:val="yTableNAm"/>
              <w:tabs>
                <w:tab w:val="clear" w:pos="567"/>
                <w:tab w:val="left" w:pos="417"/>
              </w:tabs>
              <w:ind w:left="417" w:hanging="417"/>
            </w:pPr>
            <w:r>
              <w:tab/>
              <w:t>each person of more than 5 and less than 16 years of age</w:t>
            </w:r>
          </w:p>
        </w:tc>
        <w:tc>
          <w:tcPr>
            <w:tcW w:w="992" w:type="dxa"/>
            <w:vAlign w:val="center"/>
          </w:tcPr>
          <w:p>
            <w:pPr>
              <w:pStyle w:val="yTableNAm"/>
              <w:jc w:val="center"/>
            </w:pPr>
            <w:r>
              <w:br/>
              <w:t>2.20</w:t>
            </w:r>
          </w:p>
        </w:tc>
      </w:tr>
      <w:tr>
        <w:trPr>
          <w:cantSplit/>
        </w:trPr>
        <w:tc>
          <w:tcPr>
            <w:tcW w:w="709" w:type="dxa"/>
          </w:tcPr>
          <w:p>
            <w:pPr>
              <w:pStyle w:val="yTableNAm"/>
            </w:pPr>
            <w:r>
              <w:t xml:space="preserve">2. </w:t>
            </w:r>
          </w:p>
        </w:tc>
        <w:tc>
          <w:tcPr>
            <w:tcW w:w="5245" w:type="dxa"/>
          </w:tcPr>
          <w:p>
            <w:pPr>
              <w:pStyle w:val="yTableNAm"/>
            </w:pPr>
            <w:r>
              <w:t xml:space="preserve">Fee for site with facilities such as ablutions or showers, camp kitchens or picnic shelters — </w:t>
            </w:r>
          </w:p>
          <w:p>
            <w:pPr>
              <w:pStyle w:val="yTableNAm"/>
              <w:tabs>
                <w:tab w:val="clear" w:pos="567"/>
                <w:tab w:val="left" w:pos="417"/>
              </w:tabs>
              <w:ind w:left="417" w:hanging="417"/>
            </w:pPr>
            <w:r>
              <w:tab/>
              <w:t>each person 16 years of age or over</w:t>
            </w:r>
          </w:p>
        </w:tc>
        <w:tc>
          <w:tcPr>
            <w:tcW w:w="992" w:type="dxa"/>
            <w:vAlign w:val="center"/>
          </w:tcPr>
          <w:p>
            <w:pPr>
              <w:pStyle w:val="yTableNAm"/>
              <w:jc w:val="center"/>
            </w:pPr>
          </w:p>
          <w:p>
            <w:pPr>
              <w:pStyle w:val="yTableNAm"/>
              <w:jc w:val="center"/>
            </w:pPr>
            <w:r>
              <w:br/>
              <w:t>10.00</w:t>
            </w:r>
          </w:p>
        </w:tc>
      </w:tr>
      <w:tr>
        <w:trPr>
          <w:cantSplit/>
        </w:trPr>
        <w:tc>
          <w:tcPr>
            <w:tcW w:w="709" w:type="dxa"/>
          </w:tcPr>
          <w:p>
            <w:pPr>
              <w:pStyle w:val="zyTableNAm"/>
            </w:pPr>
          </w:p>
        </w:tc>
        <w:tc>
          <w:tcPr>
            <w:tcW w:w="5245" w:type="dxa"/>
          </w:tcPr>
          <w:p>
            <w:pPr>
              <w:pStyle w:val="yTableNAm"/>
              <w:tabs>
                <w:tab w:val="clear" w:pos="567"/>
                <w:tab w:val="left" w:pos="417"/>
              </w:tabs>
              <w:ind w:left="417" w:hanging="417"/>
            </w:pPr>
            <w:r>
              <w:tab/>
              <w:t>each person 16 years of age or over who holds a concession card</w:t>
            </w:r>
          </w:p>
        </w:tc>
        <w:tc>
          <w:tcPr>
            <w:tcW w:w="992" w:type="dxa"/>
            <w:vAlign w:val="center"/>
          </w:tcPr>
          <w:p>
            <w:pPr>
              <w:pStyle w:val="yTableNAm"/>
              <w:jc w:val="center"/>
            </w:pPr>
            <w:r>
              <w:br/>
              <w:t>6.60</w:t>
            </w:r>
          </w:p>
        </w:tc>
      </w:tr>
      <w:tr>
        <w:trPr>
          <w:cantSplit/>
        </w:trPr>
        <w:tc>
          <w:tcPr>
            <w:tcW w:w="709" w:type="dxa"/>
          </w:tcPr>
          <w:p>
            <w:pPr>
              <w:pStyle w:val="zyTableNAm"/>
            </w:pPr>
          </w:p>
        </w:tc>
        <w:tc>
          <w:tcPr>
            <w:tcW w:w="5245" w:type="dxa"/>
          </w:tcPr>
          <w:p>
            <w:pPr>
              <w:pStyle w:val="yTableNAm"/>
              <w:tabs>
                <w:tab w:val="clear" w:pos="567"/>
                <w:tab w:val="left" w:pos="417"/>
              </w:tabs>
              <w:ind w:left="417" w:hanging="417"/>
            </w:pPr>
            <w:r>
              <w:tab/>
              <w:t>each person of more than 5 and less than 16 years of age</w:t>
            </w:r>
          </w:p>
        </w:tc>
        <w:tc>
          <w:tcPr>
            <w:tcW w:w="992" w:type="dxa"/>
            <w:vAlign w:val="center"/>
          </w:tcPr>
          <w:p>
            <w:pPr>
              <w:pStyle w:val="yTableNAm"/>
              <w:jc w:val="center"/>
            </w:pPr>
            <w:r>
              <w:br/>
              <w:t>2.20</w:t>
            </w:r>
          </w:p>
        </w:tc>
      </w:tr>
      <w:tr>
        <w:trPr>
          <w:cantSplit/>
        </w:trPr>
        <w:tc>
          <w:tcPr>
            <w:tcW w:w="709" w:type="dxa"/>
          </w:tcPr>
          <w:p>
            <w:pPr>
              <w:pStyle w:val="yTableNAm"/>
            </w:pPr>
            <w:r>
              <w:t>3.</w:t>
            </w:r>
          </w:p>
        </w:tc>
        <w:tc>
          <w:tcPr>
            <w:tcW w:w="5245" w:type="dxa"/>
          </w:tcPr>
          <w:p>
            <w:pPr>
              <w:pStyle w:val="yTableNAm"/>
            </w:pPr>
            <w:r>
              <w:t xml:space="preserve">Fee for site in Windjana Gorge National Park, Purnululu National Park or King Leopold Ranges Conservation Park — </w:t>
            </w:r>
          </w:p>
          <w:p>
            <w:pPr>
              <w:pStyle w:val="yTableNAm"/>
              <w:tabs>
                <w:tab w:val="clear" w:pos="567"/>
                <w:tab w:val="left" w:pos="417"/>
              </w:tabs>
              <w:ind w:left="417" w:hanging="417"/>
            </w:pPr>
            <w:r>
              <w:tab/>
              <w:t>each person 16 years of age or over</w:t>
            </w:r>
          </w:p>
        </w:tc>
        <w:tc>
          <w:tcPr>
            <w:tcW w:w="992" w:type="dxa"/>
            <w:vAlign w:val="center"/>
          </w:tcPr>
          <w:p>
            <w:pPr>
              <w:pStyle w:val="yTableNAm"/>
              <w:jc w:val="center"/>
            </w:pPr>
          </w:p>
          <w:p>
            <w:pPr>
              <w:pStyle w:val="yTableNAm"/>
              <w:jc w:val="center"/>
            </w:pPr>
            <w:r>
              <w:br/>
            </w:r>
            <w:r>
              <w:br/>
              <w:t>12.00</w:t>
            </w:r>
          </w:p>
        </w:tc>
      </w:tr>
      <w:tr>
        <w:trPr>
          <w:cantSplit/>
        </w:trPr>
        <w:tc>
          <w:tcPr>
            <w:tcW w:w="709" w:type="dxa"/>
          </w:tcPr>
          <w:p>
            <w:pPr>
              <w:pStyle w:val="zyTableNAm"/>
            </w:pPr>
          </w:p>
        </w:tc>
        <w:tc>
          <w:tcPr>
            <w:tcW w:w="5245" w:type="dxa"/>
          </w:tcPr>
          <w:p>
            <w:pPr>
              <w:pStyle w:val="yTableNAm"/>
              <w:tabs>
                <w:tab w:val="clear" w:pos="567"/>
                <w:tab w:val="left" w:pos="417"/>
              </w:tabs>
              <w:ind w:left="417" w:hanging="417"/>
            </w:pPr>
            <w:r>
              <w:tab/>
              <w:t>each person 16 years of age or over who holds a concession card</w:t>
            </w:r>
          </w:p>
        </w:tc>
        <w:tc>
          <w:tcPr>
            <w:tcW w:w="992" w:type="dxa"/>
            <w:vAlign w:val="center"/>
          </w:tcPr>
          <w:p>
            <w:pPr>
              <w:pStyle w:val="yTableNAm"/>
              <w:jc w:val="center"/>
            </w:pPr>
            <w:r>
              <w:br/>
              <w:t>8.80</w:t>
            </w:r>
          </w:p>
        </w:tc>
      </w:tr>
      <w:tr>
        <w:trPr>
          <w:cantSplit/>
        </w:trPr>
        <w:tc>
          <w:tcPr>
            <w:tcW w:w="709" w:type="dxa"/>
          </w:tcPr>
          <w:p>
            <w:pPr>
              <w:pStyle w:val="zyTableNAm"/>
            </w:pPr>
          </w:p>
        </w:tc>
        <w:tc>
          <w:tcPr>
            <w:tcW w:w="5245" w:type="dxa"/>
          </w:tcPr>
          <w:p>
            <w:pPr>
              <w:pStyle w:val="yTableNAm"/>
              <w:tabs>
                <w:tab w:val="clear" w:pos="567"/>
                <w:tab w:val="left" w:pos="417"/>
              </w:tabs>
              <w:ind w:left="417" w:hanging="417"/>
            </w:pPr>
            <w:r>
              <w:tab/>
              <w:t>each person of more than 5 and less than 16 years of age</w:t>
            </w:r>
          </w:p>
        </w:tc>
        <w:tc>
          <w:tcPr>
            <w:tcW w:w="992" w:type="dxa"/>
            <w:vAlign w:val="center"/>
          </w:tcPr>
          <w:p>
            <w:pPr>
              <w:pStyle w:val="yTableNAm"/>
              <w:jc w:val="center"/>
            </w:pPr>
            <w:r>
              <w:br/>
              <w:t>2.20</w:t>
            </w:r>
          </w:p>
        </w:tc>
      </w:tr>
      <w:tr>
        <w:trPr>
          <w:cantSplit/>
        </w:trPr>
        <w:tc>
          <w:tcPr>
            <w:tcW w:w="709" w:type="dxa"/>
          </w:tcPr>
          <w:p>
            <w:pPr>
              <w:pStyle w:val="yTableNAm"/>
            </w:pPr>
            <w:r>
              <w:t>4.</w:t>
            </w:r>
          </w:p>
        </w:tc>
        <w:tc>
          <w:tcPr>
            <w:tcW w:w="5245" w:type="dxa"/>
          </w:tcPr>
          <w:p>
            <w:pPr>
              <w:pStyle w:val="yTableNAm"/>
            </w:pPr>
            <w:r>
              <w:t xml:space="preserve">Fee for site in Dirk Hartog Island National Park — </w:t>
            </w:r>
          </w:p>
          <w:p>
            <w:pPr>
              <w:pStyle w:val="yTableNAm"/>
              <w:tabs>
                <w:tab w:val="clear" w:pos="567"/>
                <w:tab w:val="left" w:pos="417"/>
              </w:tabs>
              <w:ind w:left="417" w:hanging="417"/>
            </w:pPr>
            <w:r>
              <w:tab/>
              <w:t>each person 16 years of age or over</w:t>
            </w:r>
          </w:p>
        </w:tc>
        <w:tc>
          <w:tcPr>
            <w:tcW w:w="992" w:type="dxa"/>
            <w:vAlign w:val="center"/>
          </w:tcPr>
          <w:p>
            <w:pPr>
              <w:pStyle w:val="yTableNAm"/>
              <w:jc w:val="center"/>
            </w:pPr>
          </w:p>
          <w:p>
            <w:pPr>
              <w:pStyle w:val="yTableNAm"/>
              <w:jc w:val="center"/>
            </w:pPr>
            <w:r>
              <w:t>19.00</w:t>
            </w:r>
          </w:p>
        </w:tc>
      </w:tr>
      <w:tr>
        <w:trPr>
          <w:cantSplit/>
        </w:trPr>
        <w:tc>
          <w:tcPr>
            <w:tcW w:w="709" w:type="dxa"/>
          </w:tcPr>
          <w:p>
            <w:pPr>
              <w:pStyle w:val="zyTableNAm"/>
            </w:pPr>
          </w:p>
        </w:tc>
        <w:tc>
          <w:tcPr>
            <w:tcW w:w="5245" w:type="dxa"/>
          </w:tcPr>
          <w:p>
            <w:pPr>
              <w:pStyle w:val="yTableNAm"/>
              <w:tabs>
                <w:tab w:val="clear" w:pos="567"/>
                <w:tab w:val="left" w:pos="417"/>
              </w:tabs>
              <w:ind w:left="417" w:hanging="417"/>
            </w:pPr>
            <w:r>
              <w:tab/>
              <w:t>each person 16 years of age or over who holds a concession card</w:t>
            </w:r>
          </w:p>
        </w:tc>
        <w:tc>
          <w:tcPr>
            <w:tcW w:w="992" w:type="dxa"/>
            <w:vAlign w:val="center"/>
          </w:tcPr>
          <w:p>
            <w:pPr>
              <w:pStyle w:val="yTableNAm"/>
              <w:jc w:val="center"/>
            </w:pPr>
            <w:r>
              <w:br/>
              <w:t>13.50</w:t>
            </w:r>
          </w:p>
        </w:tc>
      </w:tr>
      <w:tr>
        <w:trPr>
          <w:cantSplit/>
        </w:trPr>
        <w:tc>
          <w:tcPr>
            <w:tcW w:w="709" w:type="dxa"/>
          </w:tcPr>
          <w:p>
            <w:pPr>
              <w:pStyle w:val="zyTableNAm"/>
            </w:pPr>
          </w:p>
        </w:tc>
        <w:tc>
          <w:tcPr>
            <w:tcW w:w="5245" w:type="dxa"/>
          </w:tcPr>
          <w:p>
            <w:pPr>
              <w:pStyle w:val="yTableNAm"/>
              <w:tabs>
                <w:tab w:val="clear" w:pos="567"/>
                <w:tab w:val="left" w:pos="417"/>
              </w:tabs>
              <w:ind w:left="417" w:hanging="417"/>
            </w:pPr>
            <w:r>
              <w:tab/>
              <w:t>each person of more than 5 and less than 16 years of age</w:t>
            </w:r>
          </w:p>
        </w:tc>
        <w:tc>
          <w:tcPr>
            <w:tcW w:w="992" w:type="dxa"/>
            <w:vAlign w:val="center"/>
          </w:tcPr>
          <w:p>
            <w:pPr>
              <w:pStyle w:val="yTableNAm"/>
              <w:jc w:val="center"/>
            </w:pPr>
            <w:r>
              <w:br/>
              <w:t>2.00</w:t>
            </w:r>
          </w:p>
        </w:tc>
      </w:tr>
    </w:tbl>
    <w:p>
      <w:pPr>
        <w:pStyle w:val="yFootnotesection"/>
      </w:pPr>
      <w:r>
        <w:tab/>
        <w:t>[Division 6 inserted in Gazette 27 Sep 2013 p. 4527-8.]</w:t>
      </w:r>
    </w:p>
    <w:p>
      <w:pPr>
        <w:pStyle w:val="yHeading3"/>
      </w:pPr>
      <w:bookmarkStart w:id="446" w:name="_Toc408498946"/>
      <w:bookmarkStart w:id="447" w:name="_Toc414889368"/>
      <w:bookmarkStart w:id="448" w:name="_Toc414975340"/>
      <w:bookmarkStart w:id="449" w:name="_Toc417563822"/>
      <w:r>
        <w:rPr>
          <w:rStyle w:val="CharSDivNo"/>
        </w:rPr>
        <w:t>Division 7</w:t>
      </w:r>
      <w:r>
        <w:t> — </w:t>
      </w:r>
      <w:r>
        <w:rPr>
          <w:rStyle w:val="CharSDivText"/>
        </w:rPr>
        <w:t>Cave entrance fees</w:t>
      </w:r>
      <w:bookmarkEnd w:id="446"/>
      <w:bookmarkEnd w:id="447"/>
      <w:bookmarkEnd w:id="448"/>
      <w:bookmarkEnd w:id="449"/>
    </w:p>
    <w:p>
      <w:pPr>
        <w:pStyle w:val="yFootnoteheading"/>
        <w:keepNext/>
        <w:keepLines/>
        <w:spacing w:after="60"/>
        <w:rPr>
          <w:snapToGrid w:val="0"/>
        </w:rPr>
      </w:pPr>
      <w:r>
        <w:tab/>
        <w:t>[Heading inserted in Gazette 27 Sep 2013 p. 4528.]</w:t>
      </w:r>
    </w:p>
    <w:tbl>
      <w:tblPr>
        <w:tblW w:w="0" w:type="auto"/>
        <w:tblInd w:w="150" w:type="dxa"/>
        <w:tblLayout w:type="fixed"/>
        <w:tblCellMar>
          <w:left w:w="8" w:type="dxa"/>
          <w:right w:w="8" w:type="dxa"/>
        </w:tblCellMar>
        <w:tblLook w:val="0000" w:firstRow="0" w:lastRow="0" w:firstColumn="0" w:lastColumn="0" w:noHBand="0" w:noVBand="0"/>
      </w:tblPr>
      <w:tblGrid>
        <w:gridCol w:w="709"/>
        <w:gridCol w:w="5245"/>
        <w:gridCol w:w="992"/>
      </w:tblGrid>
      <w:tr>
        <w:trPr>
          <w:tblHeader/>
        </w:trPr>
        <w:tc>
          <w:tcPr>
            <w:tcW w:w="709" w:type="dxa"/>
          </w:tcPr>
          <w:p>
            <w:pPr>
              <w:pStyle w:val="yTable"/>
              <w:keepNext/>
              <w:keepLines/>
            </w:pPr>
          </w:p>
        </w:tc>
        <w:tc>
          <w:tcPr>
            <w:tcW w:w="5245" w:type="dxa"/>
          </w:tcPr>
          <w:p>
            <w:pPr>
              <w:pStyle w:val="yTable"/>
              <w:keepNext/>
              <w:keepLines/>
            </w:pPr>
          </w:p>
        </w:tc>
        <w:tc>
          <w:tcPr>
            <w:tcW w:w="992" w:type="dxa"/>
          </w:tcPr>
          <w:p>
            <w:pPr>
              <w:pStyle w:val="yTable"/>
              <w:keepNext/>
              <w:keepLines/>
              <w:jc w:val="center"/>
              <w:rPr>
                <w:b/>
                <w:bCs/>
              </w:rPr>
            </w:pPr>
            <w:r>
              <w:rPr>
                <w:b/>
                <w:bCs/>
              </w:rPr>
              <w:t>$</w:t>
            </w:r>
          </w:p>
        </w:tc>
      </w:tr>
      <w:tr>
        <w:tc>
          <w:tcPr>
            <w:tcW w:w="709" w:type="dxa"/>
          </w:tcPr>
          <w:p>
            <w:pPr>
              <w:pStyle w:val="yTableNAm"/>
            </w:pPr>
            <w:r>
              <w:t>1.</w:t>
            </w:r>
          </w:p>
        </w:tc>
        <w:tc>
          <w:tcPr>
            <w:tcW w:w="5245" w:type="dxa"/>
          </w:tcPr>
          <w:p>
            <w:pPr>
              <w:pStyle w:val="yTableNAm"/>
            </w:pPr>
            <w:r>
              <w:t xml:space="preserve">Crystal Cave, Yanchep National Park — </w:t>
            </w:r>
          </w:p>
          <w:p>
            <w:pPr>
              <w:pStyle w:val="yTableNAm"/>
              <w:tabs>
                <w:tab w:val="clear" w:pos="567"/>
                <w:tab w:val="left" w:pos="417"/>
              </w:tabs>
              <w:ind w:left="417" w:hanging="417"/>
            </w:pPr>
            <w:r>
              <w:tab/>
              <w:t>each person 16 years of age or over</w:t>
            </w:r>
          </w:p>
          <w:p>
            <w:pPr>
              <w:pStyle w:val="yTableNAm"/>
              <w:tabs>
                <w:tab w:val="clear" w:pos="567"/>
                <w:tab w:val="left" w:pos="417"/>
              </w:tabs>
              <w:ind w:left="417" w:hanging="417"/>
            </w:pPr>
            <w:r>
              <w:tab/>
              <w:t>each person of more than 5 and less than 16 years of age</w:t>
            </w:r>
          </w:p>
          <w:p>
            <w:pPr>
              <w:pStyle w:val="yTableNAm"/>
              <w:tabs>
                <w:tab w:val="clear" w:pos="567"/>
                <w:tab w:val="left" w:pos="417"/>
              </w:tabs>
              <w:ind w:left="417" w:hanging="417"/>
            </w:pPr>
            <w:r>
              <w:tab/>
              <w:t>a family (2 adults and 2 children of more than 5 and less than 16 years of age)</w:t>
            </w:r>
          </w:p>
          <w:p>
            <w:pPr>
              <w:pStyle w:val="yTableNAm"/>
              <w:tabs>
                <w:tab w:val="clear" w:pos="567"/>
                <w:tab w:val="left" w:pos="417"/>
              </w:tabs>
              <w:ind w:left="417" w:hanging="417"/>
            </w:pPr>
            <w:r>
              <w:tab/>
              <w:t>each person who holds a concession card</w:t>
            </w:r>
          </w:p>
        </w:tc>
        <w:tc>
          <w:tcPr>
            <w:tcW w:w="992" w:type="dxa"/>
          </w:tcPr>
          <w:p>
            <w:pPr>
              <w:pStyle w:val="yTableNAm"/>
              <w:jc w:val="center"/>
            </w:pPr>
          </w:p>
          <w:p>
            <w:pPr>
              <w:pStyle w:val="yTableNAm"/>
              <w:jc w:val="center"/>
            </w:pPr>
            <w:r>
              <w:t>11.00</w:t>
            </w:r>
          </w:p>
          <w:p>
            <w:pPr>
              <w:pStyle w:val="yTableNAm"/>
              <w:jc w:val="center"/>
            </w:pPr>
            <w:r>
              <w:br/>
              <w:t>5.50</w:t>
            </w:r>
          </w:p>
          <w:p>
            <w:pPr>
              <w:pStyle w:val="yTableNAm"/>
              <w:jc w:val="center"/>
            </w:pPr>
            <w:r>
              <w:br/>
              <w:t>27.50</w:t>
            </w:r>
          </w:p>
          <w:p>
            <w:pPr>
              <w:pStyle w:val="yTableNAm"/>
              <w:jc w:val="center"/>
              <w:rPr>
                <w:bCs/>
              </w:rPr>
            </w:pPr>
            <w:r>
              <w:t>9.00</w:t>
            </w:r>
          </w:p>
        </w:tc>
      </w:tr>
      <w:tr>
        <w:trPr>
          <w:cantSplit/>
        </w:trPr>
        <w:tc>
          <w:tcPr>
            <w:tcW w:w="709" w:type="dxa"/>
          </w:tcPr>
          <w:p>
            <w:pPr>
              <w:pStyle w:val="yTable"/>
            </w:pPr>
            <w:r>
              <w:t>2.</w:t>
            </w:r>
          </w:p>
        </w:tc>
        <w:tc>
          <w:tcPr>
            <w:tcW w:w="5245" w:type="dxa"/>
          </w:tcPr>
          <w:p>
            <w:pPr>
              <w:pStyle w:val="yTable"/>
              <w:tabs>
                <w:tab w:val="left" w:pos="276"/>
                <w:tab w:val="left" w:pos="418"/>
              </w:tabs>
            </w:pPr>
            <w:r>
              <w:t xml:space="preserve">Calgardup and </w:t>
            </w:r>
            <w:smartTag w:uri="urn:schemas-microsoft-com:office:smarttags" w:element="place">
              <w:smartTag w:uri="urn:schemas-microsoft-com:office:smarttags" w:element="PlaceName">
                <w:r>
                  <w:t>Giants</w:t>
                </w:r>
              </w:smartTag>
              <w:r>
                <w:t xml:space="preserve"> </w:t>
              </w:r>
              <w:smartTag w:uri="urn:schemas-microsoft-com:office:smarttags" w:element="PlaceType">
                <w:r>
                  <w:t>Caves</w:t>
                </w:r>
              </w:smartTag>
            </w:smartTag>
            <w:r>
              <w:t>, Leeuwin</w:t>
            </w:r>
            <w:r>
              <w:noBreakHyphen/>
              <w:t>Naturaliste National Park —</w:t>
            </w:r>
          </w:p>
          <w:p>
            <w:pPr>
              <w:pStyle w:val="yTableNAm"/>
              <w:tabs>
                <w:tab w:val="clear" w:pos="567"/>
                <w:tab w:val="left" w:pos="417"/>
              </w:tabs>
              <w:ind w:left="417" w:hanging="417"/>
            </w:pPr>
            <w:r>
              <w:tab/>
              <w:t>each person 16 years of age or over</w:t>
            </w:r>
          </w:p>
        </w:tc>
        <w:tc>
          <w:tcPr>
            <w:tcW w:w="992" w:type="dxa"/>
            <w:vAlign w:val="bottom"/>
          </w:tcPr>
          <w:p>
            <w:pPr>
              <w:pStyle w:val="yTableNAm"/>
              <w:jc w:val="center"/>
            </w:pPr>
            <w:r>
              <w:t>16.00</w:t>
            </w:r>
          </w:p>
        </w:tc>
      </w:tr>
      <w:tr>
        <w:tc>
          <w:tcPr>
            <w:tcW w:w="709" w:type="dxa"/>
          </w:tcPr>
          <w:p>
            <w:pPr>
              <w:pStyle w:val="yTable"/>
            </w:pPr>
          </w:p>
        </w:tc>
        <w:tc>
          <w:tcPr>
            <w:tcW w:w="5245" w:type="dxa"/>
          </w:tcPr>
          <w:p>
            <w:pPr>
              <w:pStyle w:val="yTableNAm"/>
              <w:tabs>
                <w:tab w:val="clear" w:pos="567"/>
                <w:tab w:val="left" w:pos="417"/>
              </w:tabs>
              <w:ind w:left="417" w:hanging="417"/>
            </w:pPr>
            <w:r>
              <w:tab/>
              <w:t>each person of more than 5 and less than 16 years of age</w:t>
            </w:r>
          </w:p>
        </w:tc>
        <w:tc>
          <w:tcPr>
            <w:tcW w:w="992" w:type="dxa"/>
            <w:vAlign w:val="bottom"/>
          </w:tcPr>
          <w:p>
            <w:pPr>
              <w:pStyle w:val="yTableNAm"/>
              <w:jc w:val="center"/>
            </w:pPr>
            <w:r>
              <w:t>8.50</w:t>
            </w:r>
          </w:p>
        </w:tc>
      </w:tr>
      <w:tr>
        <w:tc>
          <w:tcPr>
            <w:tcW w:w="709" w:type="dxa"/>
          </w:tcPr>
          <w:p>
            <w:pPr>
              <w:pStyle w:val="yTable"/>
            </w:pPr>
          </w:p>
        </w:tc>
        <w:tc>
          <w:tcPr>
            <w:tcW w:w="5245" w:type="dxa"/>
          </w:tcPr>
          <w:p>
            <w:pPr>
              <w:pStyle w:val="yTableNAm"/>
              <w:tabs>
                <w:tab w:val="clear" w:pos="567"/>
                <w:tab w:val="left" w:pos="417"/>
              </w:tabs>
              <w:ind w:left="417" w:hanging="417"/>
            </w:pPr>
            <w:r>
              <w:tab/>
              <w:t>a family (2 adults and 2 children of more than 5 and less than 16 years of age)</w:t>
            </w:r>
          </w:p>
        </w:tc>
        <w:tc>
          <w:tcPr>
            <w:tcW w:w="992" w:type="dxa"/>
            <w:vAlign w:val="bottom"/>
          </w:tcPr>
          <w:p>
            <w:pPr>
              <w:pStyle w:val="yTableNAm"/>
              <w:jc w:val="center"/>
            </w:pPr>
            <w:r>
              <w:t>44.00</w:t>
            </w:r>
          </w:p>
        </w:tc>
      </w:tr>
      <w:tr>
        <w:tc>
          <w:tcPr>
            <w:tcW w:w="709" w:type="dxa"/>
          </w:tcPr>
          <w:p>
            <w:pPr>
              <w:pStyle w:val="yTable"/>
            </w:pPr>
          </w:p>
        </w:tc>
        <w:tc>
          <w:tcPr>
            <w:tcW w:w="5245" w:type="dxa"/>
          </w:tcPr>
          <w:p>
            <w:pPr>
              <w:pStyle w:val="yTableNAm"/>
              <w:tabs>
                <w:tab w:val="clear" w:pos="567"/>
                <w:tab w:val="left" w:pos="417"/>
              </w:tabs>
              <w:ind w:left="417" w:hanging="417"/>
            </w:pPr>
            <w:r>
              <w:tab/>
              <w:t>each person who holds a concession card</w:t>
            </w:r>
          </w:p>
        </w:tc>
        <w:tc>
          <w:tcPr>
            <w:tcW w:w="992" w:type="dxa"/>
            <w:vAlign w:val="bottom"/>
          </w:tcPr>
          <w:p>
            <w:pPr>
              <w:pStyle w:val="yTableNAm"/>
              <w:jc w:val="center"/>
            </w:pPr>
            <w:r>
              <w:t>11.00</w:t>
            </w:r>
          </w:p>
        </w:tc>
      </w:tr>
    </w:tbl>
    <w:p>
      <w:pPr>
        <w:pStyle w:val="yFootnotesection"/>
      </w:pPr>
      <w:r>
        <w:tab/>
        <w:t>[Division 7 inserted in Gazette 27 Sep 2013 p. 4528.]</w:t>
      </w:r>
    </w:p>
    <w:p>
      <w:pPr>
        <w:pStyle w:val="yHeading3"/>
      </w:pPr>
      <w:bookmarkStart w:id="450" w:name="_Toc408498947"/>
      <w:bookmarkStart w:id="451" w:name="_Toc414889369"/>
      <w:bookmarkStart w:id="452" w:name="_Toc414975341"/>
      <w:bookmarkStart w:id="453" w:name="_Toc417563823"/>
      <w:r>
        <w:rPr>
          <w:rStyle w:val="CharSDivNo"/>
        </w:rPr>
        <w:t>Division 8</w:t>
      </w:r>
      <w:r>
        <w:t> — </w:t>
      </w:r>
      <w:r>
        <w:rPr>
          <w:rStyle w:val="CharSDivText"/>
        </w:rPr>
        <w:t>Licence and permit fees</w:t>
      </w:r>
      <w:bookmarkEnd w:id="450"/>
      <w:bookmarkEnd w:id="451"/>
      <w:bookmarkEnd w:id="452"/>
      <w:bookmarkEnd w:id="453"/>
    </w:p>
    <w:p>
      <w:pPr>
        <w:pStyle w:val="yFootnoteheading"/>
        <w:keepNext/>
        <w:keepLines/>
        <w:spacing w:after="60"/>
        <w:rPr>
          <w:snapToGrid w:val="0"/>
        </w:rPr>
      </w:pPr>
      <w:r>
        <w:tab/>
        <w:t>[Heading inserted in Gazette 27 Sep 2013 p. 4528.]</w:t>
      </w:r>
    </w:p>
    <w:tbl>
      <w:tblPr>
        <w:tblW w:w="0" w:type="auto"/>
        <w:tblInd w:w="250" w:type="dxa"/>
        <w:tblLayout w:type="fixed"/>
        <w:tblCellMar>
          <w:bottom w:w="113" w:type="dxa"/>
        </w:tblCellMar>
        <w:tblLook w:val="0000" w:firstRow="0" w:lastRow="0" w:firstColumn="0" w:lastColumn="0" w:noHBand="0" w:noVBand="0"/>
      </w:tblPr>
      <w:tblGrid>
        <w:gridCol w:w="709"/>
        <w:gridCol w:w="5245"/>
        <w:gridCol w:w="992"/>
      </w:tblGrid>
      <w:tr>
        <w:trPr>
          <w:tblHeader/>
        </w:trPr>
        <w:tc>
          <w:tcPr>
            <w:tcW w:w="709" w:type="dxa"/>
          </w:tcPr>
          <w:p>
            <w:pPr>
              <w:pStyle w:val="zyTableNAm"/>
              <w:jc w:val="center"/>
              <w:rPr>
                <w:b/>
                <w:bCs/>
              </w:rPr>
            </w:pPr>
          </w:p>
        </w:tc>
        <w:tc>
          <w:tcPr>
            <w:tcW w:w="5245" w:type="dxa"/>
          </w:tcPr>
          <w:p>
            <w:pPr>
              <w:pStyle w:val="zyTableNAm"/>
              <w:jc w:val="center"/>
              <w:rPr>
                <w:b/>
                <w:bCs/>
              </w:rPr>
            </w:pPr>
          </w:p>
        </w:tc>
        <w:tc>
          <w:tcPr>
            <w:tcW w:w="992" w:type="dxa"/>
          </w:tcPr>
          <w:p>
            <w:pPr>
              <w:pStyle w:val="yTableNAm"/>
              <w:jc w:val="center"/>
            </w:pPr>
            <w:r>
              <w:rPr>
                <w:b/>
                <w:bCs/>
              </w:rPr>
              <w:t>$</w:t>
            </w:r>
          </w:p>
        </w:tc>
      </w:tr>
      <w:tr>
        <w:tc>
          <w:tcPr>
            <w:tcW w:w="709" w:type="dxa"/>
          </w:tcPr>
          <w:p>
            <w:pPr>
              <w:pStyle w:val="yTableNAm"/>
            </w:pPr>
            <w:r>
              <w:t>1.</w:t>
            </w:r>
          </w:p>
        </w:tc>
        <w:tc>
          <w:tcPr>
            <w:tcW w:w="5245" w:type="dxa"/>
          </w:tcPr>
          <w:p>
            <w:pPr>
              <w:pStyle w:val="yTableNAm"/>
            </w:pPr>
            <w:r>
              <w:t>Application for cave permit per person per half day (r. 49)</w:t>
            </w:r>
          </w:p>
        </w:tc>
        <w:tc>
          <w:tcPr>
            <w:tcW w:w="992" w:type="dxa"/>
          </w:tcPr>
          <w:p>
            <w:pPr>
              <w:pStyle w:val="yTableNAm"/>
              <w:jc w:val="center"/>
            </w:pPr>
            <w:r>
              <w:br/>
              <w:t>5.50</w:t>
            </w:r>
          </w:p>
        </w:tc>
      </w:tr>
      <w:tr>
        <w:tc>
          <w:tcPr>
            <w:tcW w:w="709" w:type="dxa"/>
          </w:tcPr>
          <w:p>
            <w:pPr>
              <w:pStyle w:val="yTableNAm"/>
            </w:pPr>
            <w:r>
              <w:t>2.</w:t>
            </w:r>
          </w:p>
        </w:tc>
        <w:tc>
          <w:tcPr>
            <w:tcW w:w="5245" w:type="dxa"/>
          </w:tcPr>
          <w:p>
            <w:pPr>
              <w:pStyle w:val="yTableNAm"/>
            </w:pPr>
            <w:r>
              <w:t>Application for scientific purposes licence (r. 83)</w:t>
            </w:r>
          </w:p>
        </w:tc>
        <w:tc>
          <w:tcPr>
            <w:tcW w:w="992" w:type="dxa"/>
            <w:vAlign w:val="center"/>
          </w:tcPr>
          <w:p>
            <w:pPr>
              <w:pStyle w:val="yTableNAm"/>
              <w:jc w:val="center"/>
            </w:pPr>
            <w:r>
              <w:t>25.00</w:t>
            </w:r>
          </w:p>
        </w:tc>
      </w:tr>
      <w:tr>
        <w:tc>
          <w:tcPr>
            <w:tcW w:w="709" w:type="dxa"/>
          </w:tcPr>
          <w:p>
            <w:pPr>
              <w:pStyle w:val="yTableNAm"/>
            </w:pPr>
            <w:r>
              <w:t>3.</w:t>
            </w:r>
          </w:p>
        </w:tc>
        <w:tc>
          <w:tcPr>
            <w:tcW w:w="5245" w:type="dxa"/>
          </w:tcPr>
          <w:p>
            <w:pPr>
              <w:pStyle w:val="yTableNAm"/>
            </w:pPr>
            <w:r>
              <w:t>Application for renewal of scientific purposes licence (r. 92)</w:t>
            </w:r>
          </w:p>
        </w:tc>
        <w:tc>
          <w:tcPr>
            <w:tcW w:w="992" w:type="dxa"/>
            <w:vAlign w:val="center"/>
          </w:tcPr>
          <w:p>
            <w:pPr>
              <w:pStyle w:val="yTableNAm"/>
              <w:jc w:val="center"/>
            </w:pPr>
            <w:r>
              <w:t>25.00</w:t>
            </w:r>
          </w:p>
        </w:tc>
      </w:tr>
      <w:tr>
        <w:tc>
          <w:tcPr>
            <w:tcW w:w="709" w:type="dxa"/>
          </w:tcPr>
          <w:p>
            <w:pPr>
              <w:pStyle w:val="yTableNAm"/>
            </w:pPr>
            <w:r>
              <w:t>4.</w:t>
            </w:r>
          </w:p>
        </w:tc>
        <w:tc>
          <w:tcPr>
            <w:tcW w:w="5245" w:type="dxa"/>
          </w:tcPr>
          <w:p>
            <w:pPr>
              <w:pStyle w:val="yTableNAm"/>
            </w:pPr>
            <w:r>
              <w:t>Application for commercial operations licence (r. 83)</w:t>
            </w:r>
          </w:p>
        </w:tc>
        <w:tc>
          <w:tcPr>
            <w:tcW w:w="992" w:type="dxa"/>
            <w:vAlign w:val="center"/>
          </w:tcPr>
          <w:p>
            <w:pPr>
              <w:pStyle w:val="yTableNAm"/>
              <w:jc w:val="center"/>
            </w:pPr>
            <w:r>
              <w:t>100.00</w:t>
            </w:r>
          </w:p>
        </w:tc>
      </w:tr>
      <w:tr>
        <w:tc>
          <w:tcPr>
            <w:tcW w:w="709" w:type="dxa"/>
          </w:tcPr>
          <w:p>
            <w:pPr>
              <w:pStyle w:val="yTableNAm"/>
            </w:pPr>
            <w:r>
              <w:t>5.</w:t>
            </w:r>
          </w:p>
        </w:tc>
        <w:tc>
          <w:tcPr>
            <w:tcW w:w="5245" w:type="dxa"/>
          </w:tcPr>
          <w:p>
            <w:pPr>
              <w:pStyle w:val="yTableNAm"/>
            </w:pPr>
            <w:r>
              <w:t>Application for renewal of commercial operations licence (r. 97)</w:t>
            </w:r>
          </w:p>
        </w:tc>
        <w:tc>
          <w:tcPr>
            <w:tcW w:w="992" w:type="dxa"/>
          </w:tcPr>
          <w:p>
            <w:pPr>
              <w:pStyle w:val="yTableNAm"/>
              <w:jc w:val="center"/>
            </w:pPr>
            <w:r>
              <w:br/>
              <w:t>100.00</w:t>
            </w:r>
          </w:p>
        </w:tc>
      </w:tr>
      <w:tr>
        <w:tc>
          <w:tcPr>
            <w:tcW w:w="709" w:type="dxa"/>
          </w:tcPr>
          <w:p>
            <w:pPr>
              <w:pStyle w:val="yTableNAm"/>
            </w:pPr>
            <w:r>
              <w:t>6.</w:t>
            </w:r>
            <w:r>
              <w:tab/>
            </w:r>
          </w:p>
        </w:tc>
        <w:tc>
          <w:tcPr>
            <w:tcW w:w="5245" w:type="dxa"/>
          </w:tcPr>
          <w:p>
            <w:pPr>
              <w:pStyle w:val="yTableNAm"/>
            </w:pPr>
            <w:r>
              <w:t>Application for private mooring licence (r. 83)</w:t>
            </w:r>
          </w:p>
        </w:tc>
        <w:tc>
          <w:tcPr>
            <w:tcW w:w="992" w:type="dxa"/>
            <w:vAlign w:val="bottom"/>
          </w:tcPr>
          <w:p>
            <w:pPr>
              <w:pStyle w:val="yTableNAm"/>
              <w:jc w:val="center"/>
            </w:pPr>
            <w:r>
              <w:t>50.00</w:t>
            </w:r>
          </w:p>
        </w:tc>
      </w:tr>
    </w:tbl>
    <w:p>
      <w:pPr>
        <w:pStyle w:val="yFootnotesection"/>
      </w:pPr>
      <w:r>
        <w:tab/>
        <w:t>[Division 8 inserted in Gazette 27 Sep 2013 p. 4528-9; amended in Gazette 24 Mar 2015 p. 1043.]</w:t>
      </w:r>
    </w:p>
    <w:p>
      <w:pPr>
        <w:pStyle w:val="yHeading3"/>
      </w:pPr>
      <w:bookmarkStart w:id="454" w:name="_Toc408498948"/>
      <w:bookmarkStart w:id="455" w:name="_Toc414889370"/>
      <w:bookmarkStart w:id="456" w:name="_Toc414975342"/>
      <w:bookmarkStart w:id="457" w:name="_Toc417563824"/>
      <w:r>
        <w:rPr>
          <w:rStyle w:val="CharSDivNo"/>
        </w:rPr>
        <w:t>Division 9</w:t>
      </w:r>
      <w:r>
        <w:t> — </w:t>
      </w:r>
      <w:r>
        <w:rPr>
          <w:rStyle w:val="CharSDivText"/>
        </w:rPr>
        <w:t>Fees for abseiling</w:t>
      </w:r>
      <w:bookmarkEnd w:id="454"/>
      <w:bookmarkEnd w:id="455"/>
      <w:bookmarkEnd w:id="456"/>
      <w:bookmarkEnd w:id="457"/>
    </w:p>
    <w:p>
      <w:pPr>
        <w:pStyle w:val="yFootnoteheading"/>
        <w:keepNext/>
        <w:keepLines/>
        <w:spacing w:after="60"/>
        <w:rPr>
          <w:snapToGrid w:val="0"/>
        </w:rPr>
      </w:pPr>
      <w:r>
        <w:tab/>
        <w:t>[Heading inserted in Gazette 27 Sep 2013 p. 4529.]</w:t>
      </w:r>
    </w:p>
    <w:tbl>
      <w:tblPr>
        <w:tblW w:w="0" w:type="auto"/>
        <w:tblInd w:w="150" w:type="dxa"/>
        <w:tblLayout w:type="fixed"/>
        <w:tblCellMar>
          <w:left w:w="8" w:type="dxa"/>
          <w:right w:w="8" w:type="dxa"/>
        </w:tblCellMar>
        <w:tblLook w:val="0000" w:firstRow="0" w:lastRow="0" w:firstColumn="0" w:lastColumn="0" w:noHBand="0" w:noVBand="0"/>
      </w:tblPr>
      <w:tblGrid>
        <w:gridCol w:w="709"/>
        <w:gridCol w:w="5245"/>
        <w:gridCol w:w="992"/>
      </w:tblGrid>
      <w:tr>
        <w:trPr>
          <w:cantSplit/>
          <w:tblHeader/>
        </w:trPr>
        <w:tc>
          <w:tcPr>
            <w:tcW w:w="709" w:type="dxa"/>
          </w:tcPr>
          <w:p>
            <w:pPr>
              <w:pStyle w:val="zyTableNAm"/>
              <w:keepNext/>
              <w:keepLines/>
            </w:pPr>
          </w:p>
        </w:tc>
        <w:tc>
          <w:tcPr>
            <w:tcW w:w="5245" w:type="dxa"/>
          </w:tcPr>
          <w:p>
            <w:pPr>
              <w:pStyle w:val="zyTableNAm"/>
              <w:keepNext/>
              <w:keepLines/>
            </w:pPr>
          </w:p>
        </w:tc>
        <w:tc>
          <w:tcPr>
            <w:tcW w:w="992" w:type="dxa"/>
            <w:vAlign w:val="center"/>
          </w:tcPr>
          <w:p>
            <w:pPr>
              <w:pStyle w:val="yTableNAm"/>
              <w:jc w:val="center"/>
            </w:pPr>
            <w:r>
              <w:rPr>
                <w:b/>
              </w:rPr>
              <w:t>$</w:t>
            </w:r>
          </w:p>
        </w:tc>
      </w:tr>
      <w:tr>
        <w:trPr>
          <w:cantSplit/>
        </w:trPr>
        <w:tc>
          <w:tcPr>
            <w:tcW w:w="709" w:type="dxa"/>
          </w:tcPr>
          <w:p>
            <w:pPr>
              <w:pStyle w:val="yTableNAm"/>
            </w:pPr>
            <w:r>
              <w:t>1.</w:t>
            </w:r>
          </w:p>
        </w:tc>
        <w:tc>
          <w:tcPr>
            <w:tcW w:w="5245" w:type="dxa"/>
          </w:tcPr>
          <w:p>
            <w:pPr>
              <w:pStyle w:val="yTableNAm"/>
            </w:pPr>
            <w:r>
              <w:t>Fee for abseiling other than at Wilyabrup Cliffs (r. 102A)</w:t>
            </w:r>
          </w:p>
          <w:p>
            <w:pPr>
              <w:pStyle w:val="yTableNAm"/>
              <w:tabs>
                <w:tab w:val="clear" w:pos="567"/>
                <w:tab w:val="left" w:pos="417"/>
              </w:tabs>
              <w:ind w:left="417" w:hanging="417"/>
            </w:pPr>
            <w:r>
              <w:tab/>
              <w:t>per person per half</w:t>
            </w:r>
            <w:r>
              <w:noBreakHyphen/>
              <w:t>day</w:t>
            </w:r>
          </w:p>
        </w:tc>
        <w:tc>
          <w:tcPr>
            <w:tcW w:w="992" w:type="dxa"/>
            <w:vAlign w:val="center"/>
          </w:tcPr>
          <w:p>
            <w:pPr>
              <w:pStyle w:val="yTableNAm"/>
              <w:jc w:val="center"/>
            </w:pPr>
          </w:p>
          <w:p>
            <w:pPr>
              <w:pStyle w:val="yTableNAm"/>
              <w:jc w:val="center"/>
            </w:pPr>
            <w:r>
              <w:t>8.50</w:t>
            </w:r>
          </w:p>
        </w:tc>
      </w:tr>
      <w:tr>
        <w:trPr>
          <w:cantSplit/>
        </w:trPr>
        <w:tc>
          <w:tcPr>
            <w:tcW w:w="709" w:type="dxa"/>
          </w:tcPr>
          <w:p>
            <w:pPr>
              <w:pStyle w:val="yTableNAm"/>
            </w:pPr>
            <w:r>
              <w:t>2.</w:t>
            </w:r>
          </w:p>
        </w:tc>
        <w:tc>
          <w:tcPr>
            <w:tcW w:w="5245" w:type="dxa"/>
          </w:tcPr>
          <w:p>
            <w:pPr>
              <w:pStyle w:val="yTableNAm"/>
            </w:pPr>
            <w:r>
              <w:t>Fee for abseiling at Wilyabrup Cliffs (r. 102A)</w:t>
            </w:r>
          </w:p>
        </w:tc>
        <w:tc>
          <w:tcPr>
            <w:tcW w:w="992" w:type="dxa"/>
          </w:tcPr>
          <w:p>
            <w:pPr>
              <w:pStyle w:val="yTableNAm"/>
              <w:jc w:val="center"/>
            </w:pPr>
            <w:r>
              <w:t>8.50</w:t>
            </w:r>
          </w:p>
        </w:tc>
      </w:tr>
    </w:tbl>
    <w:p>
      <w:pPr>
        <w:pStyle w:val="yFootnotesection"/>
      </w:pPr>
      <w:r>
        <w:tab/>
        <w:t>[Division 9 inserted in Gazette 27 Sep 2013 p. 4529.]</w:t>
      </w:r>
    </w:p>
    <w:p>
      <w:pPr>
        <w:pStyle w:val="yHeading3"/>
      </w:pPr>
      <w:bookmarkStart w:id="458" w:name="_Toc408498949"/>
      <w:bookmarkStart w:id="459" w:name="_Toc414889371"/>
      <w:bookmarkStart w:id="460" w:name="_Toc414975343"/>
      <w:bookmarkStart w:id="461" w:name="_Toc417563825"/>
      <w:r>
        <w:rPr>
          <w:rStyle w:val="CharSDivNo"/>
        </w:rPr>
        <w:t>Division 10</w:t>
      </w:r>
      <w:r>
        <w:t> — </w:t>
      </w:r>
      <w:r>
        <w:rPr>
          <w:rStyle w:val="CharSDivText"/>
        </w:rPr>
        <w:t xml:space="preserve">Entrance fees for </w:t>
      </w:r>
      <w:smartTag w:uri="urn:schemas-microsoft-com:office:smarttags" w:element="PlaceName">
        <w:r>
          <w:rPr>
            <w:rStyle w:val="CharSDivText"/>
          </w:rPr>
          <w:t>Monkey</w:t>
        </w:r>
      </w:smartTag>
      <w:r>
        <w:rPr>
          <w:rStyle w:val="CharSDivText"/>
        </w:rPr>
        <w:t xml:space="preserve"> </w:t>
      </w:r>
      <w:smartTag w:uri="urn:schemas-microsoft-com:office:smarttags" w:element="PlaceName">
        <w:r>
          <w:rPr>
            <w:rStyle w:val="CharSDivText"/>
          </w:rPr>
          <w:t>Mia</w:t>
        </w:r>
      </w:smartTag>
      <w:r>
        <w:rPr>
          <w:rStyle w:val="CharSDivText"/>
        </w:rPr>
        <w:t xml:space="preserve"> Conservation Park</w:t>
      </w:r>
      <w:bookmarkEnd w:id="458"/>
      <w:bookmarkEnd w:id="459"/>
      <w:bookmarkEnd w:id="460"/>
      <w:bookmarkEnd w:id="461"/>
    </w:p>
    <w:p>
      <w:pPr>
        <w:pStyle w:val="yFootnoteheading"/>
        <w:keepNext/>
        <w:keepLines/>
        <w:spacing w:after="60"/>
        <w:rPr>
          <w:snapToGrid w:val="0"/>
        </w:rPr>
      </w:pPr>
      <w:r>
        <w:tab/>
        <w:t>[Heading inserted in Gazette 27 Sep 2013 p. 4529.]</w:t>
      </w:r>
    </w:p>
    <w:tbl>
      <w:tblPr>
        <w:tblW w:w="0" w:type="auto"/>
        <w:tblInd w:w="150" w:type="dxa"/>
        <w:tblLayout w:type="fixed"/>
        <w:tblCellMar>
          <w:left w:w="8" w:type="dxa"/>
          <w:right w:w="8" w:type="dxa"/>
        </w:tblCellMar>
        <w:tblLook w:val="0000" w:firstRow="0" w:lastRow="0" w:firstColumn="0" w:lastColumn="0" w:noHBand="0" w:noVBand="0"/>
      </w:tblPr>
      <w:tblGrid>
        <w:gridCol w:w="709"/>
        <w:gridCol w:w="5245"/>
        <w:gridCol w:w="992"/>
      </w:tblGrid>
      <w:tr>
        <w:trPr>
          <w:cantSplit/>
          <w:tblHeader/>
        </w:trPr>
        <w:tc>
          <w:tcPr>
            <w:tcW w:w="709" w:type="dxa"/>
          </w:tcPr>
          <w:p>
            <w:pPr>
              <w:pStyle w:val="zyTableNAm"/>
            </w:pPr>
          </w:p>
        </w:tc>
        <w:tc>
          <w:tcPr>
            <w:tcW w:w="5245" w:type="dxa"/>
          </w:tcPr>
          <w:p>
            <w:pPr>
              <w:pStyle w:val="zyTableNAm"/>
            </w:pPr>
          </w:p>
        </w:tc>
        <w:tc>
          <w:tcPr>
            <w:tcW w:w="992" w:type="dxa"/>
            <w:vAlign w:val="center"/>
          </w:tcPr>
          <w:p>
            <w:pPr>
              <w:pStyle w:val="yTableNAm"/>
              <w:jc w:val="center"/>
            </w:pPr>
            <w:r>
              <w:rPr>
                <w:b/>
              </w:rPr>
              <w:t>$</w:t>
            </w:r>
          </w:p>
        </w:tc>
      </w:tr>
      <w:tr>
        <w:trPr>
          <w:cantSplit/>
        </w:trPr>
        <w:tc>
          <w:tcPr>
            <w:tcW w:w="709" w:type="dxa"/>
          </w:tcPr>
          <w:p>
            <w:pPr>
              <w:pStyle w:val="yTableNAm"/>
            </w:pPr>
            <w:r>
              <w:t>1.</w:t>
            </w:r>
          </w:p>
        </w:tc>
        <w:tc>
          <w:tcPr>
            <w:tcW w:w="5245" w:type="dxa"/>
          </w:tcPr>
          <w:p>
            <w:pPr>
              <w:pStyle w:val="yTableNAm"/>
            </w:pPr>
            <w:r>
              <w:t>For person 16 years of age or over</w:t>
            </w:r>
          </w:p>
        </w:tc>
        <w:tc>
          <w:tcPr>
            <w:tcW w:w="992" w:type="dxa"/>
          </w:tcPr>
          <w:p>
            <w:pPr>
              <w:pStyle w:val="yTableNAm"/>
              <w:jc w:val="center"/>
            </w:pPr>
            <w:r>
              <w:t>8.50</w:t>
            </w:r>
          </w:p>
        </w:tc>
      </w:tr>
      <w:tr>
        <w:trPr>
          <w:cantSplit/>
        </w:trPr>
        <w:tc>
          <w:tcPr>
            <w:tcW w:w="709" w:type="dxa"/>
          </w:tcPr>
          <w:p>
            <w:pPr>
              <w:pStyle w:val="yTableNAm"/>
            </w:pPr>
            <w:r>
              <w:t>2.</w:t>
            </w:r>
          </w:p>
        </w:tc>
        <w:tc>
          <w:tcPr>
            <w:tcW w:w="5245" w:type="dxa"/>
          </w:tcPr>
          <w:p>
            <w:pPr>
              <w:pStyle w:val="yTableNAm"/>
            </w:pPr>
            <w:r>
              <w:t xml:space="preserve">For person of more than 5 and less than 16 years of age </w:t>
            </w:r>
          </w:p>
        </w:tc>
        <w:tc>
          <w:tcPr>
            <w:tcW w:w="992" w:type="dxa"/>
          </w:tcPr>
          <w:p>
            <w:pPr>
              <w:pStyle w:val="yTableNAm"/>
              <w:jc w:val="center"/>
            </w:pPr>
            <w:r>
              <w:t>3.20</w:t>
            </w:r>
          </w:p>
        </w:tc>
      </w:tr>
      <w:tr>
        <w:trPr>
          <w:cantSplit/>
        </w:trPr>
        <w:tc>
          <w:tcPr>
            <w:tcW w:w="709" w:type="dxa"/>
          </w:tcPr>
          <w:p>
            <w:pPr>
              <w:pStyle w:val="yTableNAm"/>
            </w:pPr>
            <w:r>
              <w:t>3.</w:t>
            </w:r>
          </w:p>
        </w:tc>
        <w:tc>
          <w:tcPr>
            <w:tcW w:w="5245" w:type="dxa"/>
          </w:tcPr>
          <w:p>
            <w:pPr>
              <w:pStyle w:val="yTableNAm"/>
            </w:pPr>
            <w:r>
              <w:t>For family (2 adults and 2 children of more than 5 and less than 16 years of age)</w:t>
            </w:r>
          </w:p>
        </w:tc>
        <w:tc>
          <w:tcPr>
            <w:tcW w:w="992" w:type="dxa"/>
            <w:vAlign w:val="center"/>
          </w:tcPr>
          <w:p>
            <w:pPr>
              <w:pStyle w:val="yTableNAm"/>
              <w:jc w:val="center"/>
            </w:pPr>
            <w:r>
              <w:br/>
              <w:t>17.00</w:t>
            </w:r>
          </w:p>
        </w:tc>
      </w:tr>
      <w:tr>
        <w:trPr>
          <w:cantSplit/>
        </w:trPr>
        <w:tc>
          <w:tcPr>
            <w:tcW w:w="709" w:type="dxa"/>
          </w:tcPr>
          <w:p>
            <w:pPr>
              <w:pStyle w:val="yTableNAm"/>
            </w:pPr>
            <w:r>
              <w:t>4.</w:t>
            </w:r>
          </w:p>
        </w:tc>
        <w:tc>
          <w:tcPr>
            <w:tcW w:w="5245" w:type="dxa"/>
          </w:tcPr>
          <w:p>
            <w:pPr>
              <w:pStyle w:val="yTableNAm"/>
            </w:pPr>
            <w:r>
              <w:t>For holder of a concession card</w:t>
            </w:r>
          </w:p>
        </w:tc>
        <w:tc>
          <w:tcPr>
            <w:tcW w:w="992" w:type="dxa"/>
          </w:tcPr>
          <w:p>
            <w:pPr>
              <w:pStyle w:val="yTableNAm"/>
              <w:jc w:val="center"/>
            </w:pPr>
            <w:r>
              <w:t>6.40</w:t>
            </w:r>
          </w:p>
        </w:tc>
      </w:tr>
      <w:tr>
        <w:trPr>
          <w:cantSplit/>
        </w:trPr>
        <w:tc>
          <w:tcPr>
            <w:tcW w:w="709" w:type="dxa"/>
          </w:tcPr>
          <w:p>
            <w:pPr>
              <w:pStyle w:val="yTableNAm"/>
            </w:pPr>
            <w:r>
              <w:t>5.</w:t>
            </w:r>
          </w:p>
        </w:tc>
        <w:tc>
          <w:tcPr>
            <w:tcW w:w="5245" w:type="dxa"/>
          </w:tcPr>
          <w:p>
            <w:pPr>
              <w:pStyle w:val="yTableNAm"/>
            </w:pPr>
            <w:r>
              <w:t>One month pass for person 16 years of age or over</w:t>
            </w:r>
          </w:p>
        </w:tc>
        <w:tc>
          <w:tcPr>
            <w:tcW w:w="992" w:type="dxa"/>
          </w:tcPr>
          <w:p>
            <w:pPr>
              <w:pStyle w:val="yTableNAm"/>
              <w:jc w:val="center"/>
            </w:pPr>
            <w:r>
              <w:t>13.00</w:t>
            </w:r>
          </w:p>
        </w:tc>
      </w:tr>
      <w:tr>
        <w:trPr>
          <w:cantSplit/>
        </w:trPr>
        <w:tc>
          <w:tcPr>
            <w:tcW w:w="709" w:type="dxa"/>
          </w:tcPr>
          <w:p>
            <w:pPr>
              <w:pStyle w:val="yTableNAm"/>
            </w:pPr>
            <w:r>
              <w:t>6.</w:t>
            </w:r>
          </w:p>
        </w:tc>
        <w:tc>
          <w:tcPr>
            <w:tcW w:w="5245" w:type="dxa"/>
          </w:tcPr>
          <w:p>
            <w:pPr>
              <w:pStyle w:val="yTableNAm"/>
            </w:pPr>
            <w:r>
              <w:t>One month pass for person of more than 5 and less than 16 years of age</w:t>
            </w:r>
          </w:p>
        </w:tc>
        <w:tc>
          <w:tcPr>
            <w:tcW w:w="992" w:type="dxa"/>
          </w:tcPr>
          <w:p>
            <w:pPr>
              <w:pStyle w:val="yTableNAm"/>
              <w:jc w:val="center"/>
            </w:pPr>
            <w:r>
              <w:br/>
              <w:t>5.40</w:t>
            </w:r>
          </w:p>
        </w:tc>
      </w:tr>
      <w:tr>
        <w:trPr>
          <w:cantSplit/>
        </w:trPr>
        <w:tc>
          <w:tcPr>
            <w:tcW w:w="709" w:type="dxa"/>
          </w:tcPr>
          <w:p>
            <w:pPr>
              <w:pStyle w:val="yTableNAm"/>
            </w:pPr>
            <w:r>
              <w:t>7.</w:t>
            </w:r>
          </w:p>
        </w:tc>
        <w:tc>
          <w:tcPr>
            <w:tcW w:w="5245" w:type="dxa"/>
          </w:tcPr>
          <w:p>
            <w:pPr>
              <w:pStyle w:val="yTableNAm"/>
            </w:pPr>
            <w:r>
              <w:t>One month pass for family (2 adults and 2 children of more than 5 and less than 16 years of age)</w:t>
            </w:r>
          </w:p>
        </w:tc>
        <w:tc>
          <w:tcPr>
            <w:tcW w:w="992" w:type="dxa"/>
          </w:tcPr>
          <w:p>
            <w:pPr>
              <w:pStyle w:val="yTableNAm"/>
              <w:jc w:val="center"/>
            </w:pPr>
            <w:r>
              <w:br/>
              <w:t>32.00</w:t>
            </w:r>
          </w:p>
        </w:tc>
      </w:tr>
      <w:tr>
        <w:trPr>
          <w:cantSplit/>
        </w:trPr>
        <w:tc>
          <w:tcPr>
            <w:tcW w:w="709" w:type="dxa"/>
          </w:tcPr>
          <w:p>
            <w:pPr>
              <w:pStyle w:val="yTableNAm"/>
            </w:pPr>
            <w:r>
              <w:t>8.</w:t>
            </w:r>
          </w:p>
        </w:tc>
        <w:tc>
          <w:tcPr>
            <w:tcW w:w="5245" w:type="dxa"/>
          </w:tcPr>
          <w:p>
            <w:pPr>
              <w:pStyle w:val="yTableNAm"/>
            </w:pPr>
            <w:r>
              <w:t>One month pass for holder of a concession card</w:t>
            </w:r>
          </w:p>
        </w:tc>
        <w:tc>
          <w:tcPr>
            <w:tcW w:w="992" w:type="dxa"/>
          </w:tcPr>
          <w:p>
            <w:pPr>
              <w:pStyle w:val="yTableNAm"/>
              <w:jc w:val="center"/>
            </w:pPr>
            <w:r>
              <w:t>10.80</w:t>
            </w:r>
          </w:p>
        </w:tc>
      </w:tr>
    </w:tbl>
    <w:p>
      <w:pPr>
        <w:pStyle w:val="yFootnotesection"/>
      </w:pPr>
      <w:r>
        <w:tab/>
        <w:t>[Division 10 inserted in Gazette 27 Sep 2013 p. 4529.]</w:t>
      </w:r>
    </w:p>
    <w:p>
      <w:pPr>
        <w:pStyle w:val="yHeading3"/>
      </w:pPr>
      <w:bookmarkStart w:id="462" w:name="_Toc408498950"/>
      <w:bookmarkStart w:id="463" w:name="_Toc414889372"/>
      <w:bookmarkStart w:id="464" w:name="_Toc414975344"/>
      <w:bookmarkStart w:id="465" w:name="_Toc417563826"/>
      <w:r>
        <w:rPr>
          <w:rStyle w:val="CharSDivNo"/>
        </w:rPr>
        <w:t>Division 11</w:t>
      </w:r>
      <w:r>
        <w:rPr>
          <w:b w:val="0"/>
        </w:rPr>
        <w:t> — </w:t>
      </w:r>
      <w:r>
        <w:rPr>
          <w:rStyle w:val="CharSDivText"/>
        </w:rPr>
        <w:t>Apiary permit and licence fees</w:t>
      </w:r>
      <w:bookmarkEnd w:id="462"/>
      <w:bookmarkEnd w:id="463"/>
      <w:bookmarkEnd w:id="464"/>
      <w:bookmarkEnd w:id="465"/>
    </w:p>
    <w:p>
      <w:pPr>
        <w:pStyle w:val="yFootnoteheading"/>
        <w:keepNext/>
        <w:keepLines/>
      </w:pPr>
      <w:r>
        <w:tab/>
        <w:t>[Heading inserted in Gazette 3 Sep 2010 p. 4283.]</w:t>
      </w:r>
    </w:p>
    <w:tbl>
      <w:tblPr>
        <w:tblW w:w="0" w:type="auto"/>
        <w:tblInd w:w="85" w:type="dxa"/>
        <w:tblLayout w:type="fixed"/>
        <w:tblCellMar>
          <w:left w:w="85" w:type="dxa"/>
          <w:bottom w:w="57" w:type="dxa"/>
          <w:right w:w="85" w:type="dxa"/>
        </w:tblCellMar>
        <w:tblLook w:val="0000" w:firstRow="0" w:lastRow="0" w:firstColumn="0" w:lastColumn="0" w:noHBand="0" w:noVBand="0"/>
      </w:tblPr>
      <w:tblGrid>
        <w:gridCol w:w="652"/>
        <w:gridCol w:w="5444"/>
        <w:gridCol w:w="992"/>
      </w:tblGrid>
      <w:tr>
        <w:trPr>
          <w:tblHeader/>
        </w:trPr>
        <w:tc>
          <w:tcPr>
            <w:tcW w:w="652" w:type="dxa"/>
          </w:tcPr>
          <w:p>
            <w:pPr>
              <w:pStyle w:val="yTableNAm"/>
              <w:keepNext/>
              <w:keepLines/>
              <w:spacing w:before="60"/>
            </w:pPr>
          </w:p>
        </w:tc>
        <w:tc>
          <w:tcPr>
            <w:tcW w:w="5444" w:type="dxa"/>
          </w:tcPr>
          <w:p>
            <w:pPr>
              <w:pStyle w:val="yTableNAm"/>
              <w:keepNext/>
              <w:keepLines/>
              <w:spacing w:before="60"/>
            </w:pPr>
          </w:p>
        </w:tc>
        <w:tc>
          <w:tcPr>
            <w:tcW w:w="992" w:type="dxa"/>
            <w:vAlign w:val="bottom"/>
          </w:tcPr>
          <w:p>
            <w:pPr>
              <w:pStyle w:val="yTableNAm"/>
              <w:keepNext/>
              <w:keepLines/>
              <w:tabs>
                <w:tab w:val="clear" w:pos="567"/>
              </w:tabs>
              <w:spacing w:before="60"/>
              <w:jc w:val="center"/>
              <w:rPr>
                <w:b/>
                <w:bCs/>
              </w:rPr>
            </w:pPr>
            <w:r>
              <w:rPr>
                <w:b/>
                <w:bCs/>
              </w:rPr>
              <w:t>$</w:t>
            </w:r>
          </w:p>
        </w:tc>
      </w:tr>
      <w:tr>
        <w:trPr>
          <w:cantSplit/>
        </w:trPr>
        <w:tc>
          <w:tcPr>
            <w:tcW w:w="652" w:type="dxa"/>
          </w:tcPr>
          <w:p>
            <w:pPr>
              <w:pStyle w:val="yTableNAm"/>
              <w:spacing w:before="60"/>
            </w:pPr>
            <w:r>
              <w:t>1.</w:t>
            </w:r>
          </w:p>
        </w:tc>
        <w:tc>
          <w:tcPr>
            <w:tcW w:w="5444" w:type="dxa"/>
          </w:tcPr>
          <w:p>
            <w:pPr>
              <w:pStyle w:val="yTableNAm"/>
              <w:spacing w:before="60"/>
            </w:pPr>
            <w:r>
              <w:t xml:space="preserve">Application for grant of apiary authority where item 4 does not apply — </w:t>
            </w:r>
          </w:p>
          <w:p>
            <w:pPr>
              <w:pStyle w:val="yTableNAm"/>
              <w:spacing w:before="60"/>
              <w:ind w:left="567" w:hanging="567"/>
            </w:pPr>
            <w:r>
              <w:t>(a)</w:t>
            </w:r>
            <w:r>
              <w:tab/>
              <w:t>for apiary site in South</w:t>
            </w:r>
            <w:r>
              <w:noBreakHyphen/>
              <w:t>west zone</w:t>
            </w:r>
            <w:r>
              <w:br/>
              <w:t>(fee per 5 sites)</w:t>
            </w:r>
          </w:p>
          <w:p>
            <w:pPr>
              <w:pStyle w:val="yTableNAm"/>
              <w:spacing w:before="60"/>
              <w:ind w:left="567" w:hanging="567"/>
            </w:pPr>
            <w:r>
              <w:t>(b)</w:t>
            </w:r>
            <w:r>
              <w:tab/>
              <w:t>for apiary site outside the South</w:t>
            </w:r>
            <w:r>
              <w:noBreakHyphen/>
              <w:t xml:space="preserve">west zone </w:t>
            </w:r>
            <w:r>
              <w:br/>
              <w:t>(fee per 5 sites)</w:t>
            </w:r>
          </w:p>
        </w:tc>
        <w:tc>
          <w:tcPr>
            <w:tcW w:w="992" w:type="dxa"/>
            <w:vAlign w:val="bottom"/>
          </w:tcPr>
          <w:p>
            <w:pPr>
              <w:pStyle w:val="yTableNAm"/>
              <w:tabs>
                <w:tab w:val="clear" w:pos="567"/>
              </w:tabs>
              <w:spacing w:before="60"/>
              <w:jc w:val="right"/>
            </w:pPr>
            <w:r>
              <w:br/>
            </w:r>
          </w:p>
          <w:p>
            <w:pPr>
              <w:pStyle w:val="yTableNAm"/>
              <w:tabs>
                <w:tab w:val="clear" w:pos="567"/>
              </w:tabs>
              <w:spacing w:before="60"/>
              <w:jc w:val="right"/>
            </w:pPr>
            <w:r>
              <w:br/>
              <w:t>135.00</w:t>
            </w:r>
          </w:p>
          <w:p>
            <w:pPr>
              <w:pStyle w:val="yTableNAm"/>
              <w:tabs>
                <w:tab w:val="clear" w:pos="567"/>
              </w:tabs>
              <w:spacing w:before="60"/>
              <w:jc w:val="right"/>
            </w:pPr>
            <w:r>
              <w:br/>
              <w:t>65.00</w:t>
            </w:r>
          </w:p>
        </w:tc>
      </w:tr>
      <w:tr>
        <w:tc>
          <w:tcPr>
            <w:tcW w:w="652" w:type="dxa"/>
          </w:tcPr>
          <w:p>
            <w:pPr>
              <w:pStyle w:val="yTableNAm"/>
              <w:spacing w:before="60"/>
            </w:pPr>
            <w:r>
              <w:t>2.</w:t>
            </w:r>
          </w:p>
        </w:tc>
        <w:tc>
          <w:tcPr>
            <w:tcW w:w="5444" w:type="dxa"/>
          </w:tcPr>
          <w:p>
            <w:pPr>
              <w:pStyle w:val="yTableNAm"/>
              <w:spacing w:before="60"/>
              <w:rPr>
                <w:rStyle w:val="DraftersNotes"/>
              </w:rPr>
            </w:pPr>
            <w:r>
              <w:t>Application to transfer apiary authority</w:t>
            </w:r>
          </w:p>
        </w:tc>
        <w:tc>
          <w:tcPr>
            <w:tcW w:w="992" w:type="dxa"/>
            <w:vAlign w:val="bottom"/>
          </w:tcPr>
          <w:p>
            <w:pPr>
              <w:pStyle w:val="yTableNAm"/>
              <w:tabs>
                <w:tab w:val="clear" w:pos="567"/>
              </w:tabs>
              <w:spacing w:before="60"/>
              <w:jc w:val="right"/>
            </w:pPr>
            <w:r>
              <w:t>12.00</w:t>
            </w:r>
          </w:p>
        </w:tc>
      </w:tr>
      <w:tr>
        <w:tc>
          <w:tcPr>
            <w:tcW w:w="652" w:type="dxa"/>
          </w:tcPr>
          <w:p>
            <w:pPr>
              <w:pStyle w:val="yTableNAm"/>
              <w:spacing w:before="60"/>
            </w:pPr>
            <w:r>
              <w:t>3.</w:t>
            </w:r>
          </w:p>
        </w:tc>
        <w:tc>
          <w:tcPr>
            <w:tcW w:w="5444" w:type="dxa"/>
          </w:tcPr>
          <w:p>
            <w:pPr>
              <w:pStyle w:val="yTableNAm"/>
              <w:spacing w:before="60"/>
            </w:pPr>
            <w:r>
              <w:t xml:space="preserve">Application to vary apiary licence to change the site to which it relates — </w:t>
            </w:r>
          </w:p>
          <w:p>
            <w:pPr>
              <w:pStyle w:val="yTableNAm"/>
              <w:spacing w:before="60"/>
              <w:ind w:left="567" w:hanging="567"/>
            </w:pPr>
            <w:r>
              <w:t>(a)</w:t>
            </w:r>
            <w:r>
              <w:tab/>
              <w:t>where new site is in the South</w:t>
            </w:r>
            <w:r>
              <w:noBreakHyphen/>
              <w:t xml:space="preserve">west zone </w:t>
            </w:r>
            <w:r>
              <w:br/>
              <w:t>(fee per 5 new sites)</w:t>
            </w:r>
          </w:p>
          <w:p>
            <w:pPr>
              <w:pStyle w:val="yTableNAm"/>
              <w:spacing w:before="60"/>
              <w:ind w:left="567" w:hanging="567"/>
            </w:pPr>
            <w:r>
              <w:t>(b)</w:t>
            </w:r>
            <w:r>
              <w:tab/>
              <w:t>where new site is outside the South</w:t>
            </w:r>
            <w:r>
              <w:noBreakHyphen/>
              <w:t>west zone (fee per 5 new sites)</w:t>
            </w:r>
          </w:p>
        </w:tc>
        <w:tc>
          <w:tcPr>
            <w:tcW w:w="992" w:type="dxa"/>
            <w:vAlign w:val="bottom"/>
          </w:tcPr>
          <w:p>
            <w:pPr>
              <w:pStyle w:val="yTableNAm"/>
              <w:tabs>
                <w:tab w:val="clear" w:pos="567"/>
              </w:tabs>
              <w:spacing w:before="60"/>
              <w:jc w:val="right"/>
            </w:pPr>
            <w:r>
              <w:br/>
            </w:r>
          </w:p>
          <w:p>
            <w:pPr>
              <w:pStyle w:val="yTableNAm"/>
              <w:tabs>
                <w:tab w:val="clear" w:pos="567"/>
              </w:tabs>
              <w:spacing w:before="60"/>
              <w:jc w:val="right"/>
            </w:pPr>
            <w:r>
              <w:br/>
              <w:t>100.00</w:t>
            </w:r>
          </w:p>
          <w:p>
            <w:pPr>
              <w:pStyle w:val="yTableNAm"/>
              <w:tabs>
                <w:tab w:val="clear" w:pos="567"/>
              </w:tabs>
              <w:spacing w:before="60"/>
              <w:jc w:val="right"/>
            </w:pPr>
            <w:r>
              <w:br/>
              <w:t>50.00</w:t>
            </w:r>
          </w:p>
        </w:tc>
      </w:tr>
      <w:tr>
        <w:tc>
          <w:tcPr>
            <w:tcW w:w="652" w:type="dxa"/>
          </w:tcPr>
          <w:p>
            <w:pPr>
              <w:pStyle w:val="yTableNAm"/>
              <w:spacing w:before="80"/>
            </w:pPr>
            <w:r>
              <w:t>4.</w:t>
            </w:r>
          </w:p>
        </w:tc>
        <w:tc>
          <w:tcPr>
            <w:tcW w:w="5444" w:type="dxa"/>
          </w:tcPr>
          <w:p>
            <w:pPr>
              <w:pStyle w:val="yTableNAm"/>
              <w:spacing w:before="80"/>
            </w:pPr>
            <w:r>
              <w:t xml:space="preserve">Application for grant of apiary permit where permit is sought to replace a permit held by the applicant for a different site which will be surrendered if the application is granted — </w:t>
            </w:r>
          </w:p>
          <w:p>
            <w:pPr>
              <w:pStyle w:val="yTableNAm"/>
              <w:spacing w:before="80"/>
              <w:ind w:left="567" w:hanging="567"/>
            </w:pPr>
            <w:r>
              <w:t>(a)</w:t>
            </w:r>
            <w:r>
              <w:tab/>
              <w:t>where new site is in the South</w:t>
            </w:r>
            <w:r>
              <w:noBreakHyphen/>
              <w:t xml:space="preserve">west zone </w:t>
            </w:r>
            <w:r>
              <w:br/>
              <w:t>(fee per 5 new sites)</w:t>
            </w:r>
          </w:p>
          <w:p>
            <w:pPr>
              <w:pStyle w:val="yTableNAm"/>
              <w:spacing w:before="80"/>
              <w:ind w:left="567" w:hanging="567"/>
            </w:pPr>
            <w:r>
              <w:t>(b)</w:t>
            </w:r>
            <w:r>
              <w:tab/>
              <w:t>where new site is outside the South</w:t>
            </w:r>
            <w:r>
              <w:noBreakHyphen/>
              <w:t>west zone (fee per 5 new sites)</w:t>
            </w:r>
          </w:p>
        </w:tc>
        <w:tc>
          <w:tcPr>
            <w:tcW w:w="992" w:type="dxa"/>
            <w:vAlign w:val="bottom"/>
          </w:tcPr>
          <w:p>
            <w:pPr>
              <w:pStyle w:val="yTableNAm"/>
              <w:tabs>
                <w:tab w:val="clear" w:pos="567"/>
              </w:tabs>
              <w:spacing w:before="80"/>
              <w:jc w:val="right"/>
            </w:pPr>
            <w:r>
              <w:br/>
            </w:r>
            <w:r>
              <w:br/>
            </w:r>
            <w:r>
              <w:br/>
            </w:r>
          </w:p>
          <w:p>
            <w:pPr>
              <w:pStyle w:val="yTableNAm"/>
              <w:tabs>
                <w:tab w:val="clear" w:pos="567"/>
              </w:tabs>
              <w:spacing w:before="80"/>
              <w:jc w:val="right"/>
            </w:pPr>
            <w:r>
              <w:br/>
              <w:t>100.00</w:t>
            </w:r>
          </w:p>
          <w:p>
            <w:pPr>
              <w:pStyle w:val="yTableNAm"/>
              <w:tabs>
                <w:tab w:val="clear" w:pos="567"/>
              </w:tabs>
              <w:spacing w:before="80"/>
              <w:jc w:val="right"/>
            </w:pPr>
            <w:r>
              <w:br/>
              <w:t>50.00</w:t>
            </w:r>
          </w:p>
        </w:tc>
      </w:tr>
    </w:tbl>
    <w:p>
      <w:pPr>
        <w:pStyle w:val="yFootnotesection"/>
      </w:pPr>
      <w:r>
        <w:tab/>
        <w:t>[Division 11 inserted in Gazette 3 Sep 2010 p. 4283.]</w:t>
      </w:r>
    </w:p>
    <w:p>
      <w:pPr>
        <w:pStyle w:val="yHeading3"/>
      </w:pPr>
      <w:bookmarkStart w:id="466" w:name="_Toc408498951"/>
      <w:bookmarkStart w:id="467" w:name="_Toc414889373"/>
      <w:bookmarkStart w:id="468" w:name="_Toc414975345"/>
      <w:bookmarkStart w:id="469" w:name="_Toc417563827"/>
      <w:r>
        <w:rPr>
          <w:rStyle w:val="CharSDivNo"/>
        </w:rPr>
        <w:t>Division 12</w:t>
      </w:r>
      <w:r>
        <w:rPr>
          <w:b w:val="0"/>
        </w:rPr>
        <w:t> — </w:t>
      </w:r>
      <w:r>
        <w:rPr>
          <w:rStyle w:val="CharSDivText"/>
        </w:rPr>
        <w:t>Landing fees for aircraft</w:t>
      </w:r>
      <w:bookmarkEnd w:id="466"/>
      <w:bookmarkEnd w:id="467"/>
      <w:bookmarkEnd w:id="468"/>
      <w:bookmarkEnd w:id="469"/>
    </w:p>
    <w:p>
      <w:pPr>
        <w:pStyle w:val="yFootnoteheading"/>
        <w:keepNext/>
        <w:keepLines/>
        <w:spacing w:after="60"/>
      </w:pPr>
      <w:r>
        <w:tab/>
        <w:t>[Heading inserted in Gazette 3 Dec 2010 p. 6052.]</w:t>
      </w:r>
    </w:p>
    <w:tbl>
      <w:tblPr>
        <w:tblW w:w="0" w:type="auto"/>
        <w:tblInd w:w="85" w:type="dxa"/>
        <w:tblLayout w:type="fixed"/>
        <w:tblCellMar>
          <w:left w:w="85" w:type="dxa"/>
          <w:right w:w="85" w:type="dxa"/>
        </w:tblCellMar>
        <w:tblLook w:val="0000" w:firstRow="0" w:lastRow="0" w:firstColumn="0" w:lastColumn="0" w:noHBand="0" w:noVBand="0"/>
      </w:tblPr>
      <w:tblGrid>
        <w:gridCol w:w="652"/>
        <w:gridCol w:w="5444"/>
        <w:gridCol w:w="992"/>
      </w:tblGrid>
      <w:tr>
        <w:tc>
          <w:tcPr>
            <w:tcW w:w="652" w:type="dxa"/>
          </w:tcPr>
          <w:p>
            <w:pPr>
              <w:pStyle w:val="yTableNAm"/>
            </w:pPr>
            <w:r>
              <w:t>1.</w:t>
            </w:r>
          </w:p>
        </w:tc>
        <w:tc>
          <w:tcPr>
            <w:tcW w:w="5444" w:type="dxa"/>
          </w:tcPr>
          <w:p>
            <w:pPr>
              <w:pStyle w:val="yTableNAm"/>
            </w:pPr>
            <w:r>
              <w:t>Daily landing fee for each occupant of an aircraft landing on an aircraft landing area</w:t>
            </w:r>
          </w:p>
        </w:tc>
        <w:tc>
          <w:tcPr>
            <w:tcW w:w="992" w:type="dxa"/>
          </w:tcPr>
          <w:p>
            <w:pPr>
              <w:pStyle w:val="yTableNAm"/>
              <w:jc w:val="right"/>
            </w:pPr>
            <w:r>
              <w:br/>
              <w:t>11.00</w:t>
            </w:r>
          </w:p>
        </w:tc>
      </w:tr>
    </w:tbl>
    <w:p>
      <w:pPr>
        <w:pStyle w:val="yFootnotesection"/>
      </w:pPr>
      <w:r>
        <w:tab/>
        <w:t>[Division 12 inserted in Gazette 3 Dec 2010 p. 6052.]</w:t>
      </w:r>
    </w:p>
    <w:p>
      <w:pPr>
        <w:pStyle w:val="yScheduleHeading"/>
        <w:outlineLvl w:val="0"/>
      </w:pPr>
      <w:bookmarkStart w:id="470" w:name="_Toc408498952"/>
      <w:bookmarkStart w:id="471" w:name="_Toc414889374"/>
      <w:bookmarkStart w:id="472" w:name="_Toc414975346"/>
      <w:bookmarkStart w:id="473" w:name="_Toc417563828"/>
      <w:r>
        <w:rPr>
          <w:rStyle w:val="CharSchNo"/>
        </w:rPr>
        <w:t>Schedule 2</w:t>
      </w:r>
      <w:r>
        <w:t xml:space="preserve"> — </w:t>
      </w:r>
      <w:r>
        <w:rPr>
          <w:rStyle w:val="CharSchText"/>
        </w:rPr>
        <w:t>Offences to which modified penalties apply</w:t>
      </w:r>
      <w:bookmarkEnd w:id="470"/>
      <w:bookmarkEnd w:id="471"/>
      <w:bookmarkEnd w:id="472"/>
      <w:bookmarkEnd w:id="473"/>
    </w:p>
    <w:p>
      <w:pPr>
        <w:pStyle w:val="yShoulderClause"/>
      </w:pPr>
      <w:r>
        <w:t xml:space="preserve">[r. 112] </w:t>
      </w:r>
    </w:p>
    <w:p>
      <w:pPr>
        <w:pStyle w:val="yHeading3"/>
      </w:pPr>
      <w:bookmarkStart w:id="474" w:name="_Toc408498953"/>
      <w:bookmarkStart w:id="475" w:name="_Toc414889375"/>
      <w:bookmarkStart w:id="476" w:name="_Toc414975347"/>
      <w:bookmarkStart w:id="477" w:name="_Toc417563829"/>
      <w:r>
        <w:rPr>
          <w:rStyle w:val="CharSDivNo"/>
        </w:rPr>
        <w:t>Division 1</w:t>
      </w:r>
      <w:r>
        <w:rPr>
          <w:rStyle w:val="CharDivNo"/>
        </w:rPr>
        <w:t xml:space="preserve"> </w:t>
      </w:r>
      <w:r>
        <w:t xml:space="preserve">— </w:t>
      </w:r>
      <w:r>
        <w:rPr>
          <w:rStyle w:val="CharSDivText"/>
        </w:rPr>
        <w:t>Offences under the Act</w:t>
      </w:r>
      <w:bookmarkEnd w:id="474"/>
      <w:bookmarkEnd w:id="475"/>
      <w:bookmarkEnd w:id="476"/>
      <w:bookmarkEnd w:id="477"/>
    </w:p>
    <w:tbl>
      <w:tblPr>
        <w:tblW w:w="0" w:type="auto"/>
        <w:tblInd w:w="85" w:type="dxa"/>
        <w:tblLayout w:type="fixed"/>
        <w:tblCellMar>
          <w:left w:w="85" w:type="dxa"/>
          <w:right w:w="85" w:type="dxa"/>
        </w:tblCellMar>
        <w:tblLook w:val="0000" w:firstRow="0" w:lastRow="0" w:firstColumn="0" w:lastColumn="0" w:noHBand="0" w:noVBand="0"/>
      </w:tblPr>
      <w:tblGrid>
        <w:gridCol w:w="840"/>
        <w:gridCol w:w="1320"/>
        <w:gridCol w:w="3720"/>
        <w:gridCol w:w="1200"/>
      </w:tblGrid>
      <w:tr>
        <w:tc>
          <w:tcPr>
            <w:tcW w:w="840" w:type="dxa"/>
            <w:vAlign w:val="center"/>
          </w:tcPr>
          <w:p>
            <w:pPr>
              <w:pStyle w:val="yTable"/>
              <w:rPr>
                <w:b/>
              </w:rPr>
            </w:pPr>
          </w:p>
        </w:tc>
        <w:tc>
          <w:tcPr>
            <w:tcW w:w="1320" w:type="dxa"/>
          </w:tcPr>
          <w:p>
            <w:pPr>
              <w:pStyle w:val="yTable"/>
              <w:rPr>
                <w:b/>
              </w:rPr>
            </w:pPr>
            <w:r>
              <w:rPr>
                <w:b/>
              </w:rPr>
              <w:t>Column 1</w:t>
            </w:r>
          </w:p>
        </w:tc>
        <w:tc>
          <w:tcPr>
            <w:tcW w:w="3720" w:type="dxa"/>
          </w:tcPr>
          <w:p>
            <w:pPr>
              <w:pStyle w:val="yTable"/>
              <w:jc w:val="center"/>
              <w:rPr>
                <w:b/>
              </w:rPr>
            </w:pPr>
            <w:r>
              <w:rPr>
                <w:b/>
              </w:rPr>
              <w:t>Column 2</w:t>
            </w:r>
          </w:p>
        </w:tc>
        <w:tc>
          <w:tcPr>
            <w:tcW w:w="1200" w:type="dxa"/>
          </w:tcPr>
          <w:p>
            <w:pPr>
              <w:pStyle w:val="yTable"/>
              <w:jc w:val="center"/>
              <w:rPr>
                <w:b/>
              </w:rPr>
            </w:pPr>
            <w:r>
              <w:rPr>
                <w:b/>
              </w:rPr>
              <w:t>Column 3</w:t>
            </w:r>
          </w:p>
        </w:tc>
      </w:tr>
      <w:tr>
        <w:tc>
          <w:tcPr>
            <w:tcW w:w="840" w:type="dxa"/>
            <w:vAlign w:val="center"/>
          </w:tcPr>
          <w:p>
            <w:pPr>
              <w:pStyle w:val="yTable"/>
              <w:rPr>
                <w:b/>
              </w:rPr>
            </w:pPr>
            <w:r>
              <w:rPr>
                <w:b/>
              </w:rPr>
              <w:t>Item No.</w:t>
            </w:r>
            <w:r>
              <w:rPr>
                <w:b/>
              </w:rPr>
              <w:br/>
            </w:r>
          </w:p>
        </w:tc>
        <w:tc>
          <w:tcPr>
            <w:tcW w:w="1320" w:type="dxa"/>
          </w:tcPr>
          <w:p>
            <w:pPr>
              <w:pStyle w:val="yTable"/>
              <w:rPr>
                <w:b/>
              </w:rPr>
            </w:pPr>
            <w:r>
              <w:rPr>
                <w:b/>
              </w:rPr>
              <w:t>Section creating offence</w:t>
            </w:r>
          </w:p>
        </w:tc>
        <w:tc>
          <w:tcPr>
            <w:tcW w:w="3720" w:type="dxa"/>
          </w:tcPr>
          <w:p>
            <w:pPr>
              <w:pStyle w:val="yTable"/>
              <w:jc w:val="center"/>
              <w:rPr>
                <w:b/>
              </w:rPr>
            </w:pPr>
            <w:r>
              <w:rPr>
                <w:b/>
              </w:rPr>
              <w:t>Nature of offence</w:t>
            </w:r>
          </w:p>
        </w:tc>
        <w:tc>
          <w:tcPr>
            <w:tcW w:w="1200" w:type="dxa"/>
          </w:tcPr>
          <w:p>
            <w:pPr>
              <w:pStyle w:val="yTable"/>
              <w:jc w:val="center"/>
              <w:rPr>
                <w:b/>
              </w:rPr>
            </w:pPr>
            <w:r>
              <w:rPr>
                <w:b/>
              </w:rPr>
              <w:t>Penalty</w:t>
            </w:r>
          </w:p>
          <w:p>
            <w:pPr>
              <w:pStyle w:val="yTable"/>
              <w:jc w:val="center"/>
              <w:rPr>
                <w:b/>
              </w:rPr>
            </w:pPr>
            <w:r>
              <w:rPr>
                <w:b/>
              </w:rPr>
              <w:t>$</w:t>
            </w:r>
          </w:p>
        </w:tc>
      </w:tr>
      <w:tr>
        <w:tc>
          <w:tcPr>
            <w:tcW w:w="840" w:type="dxa"/>
          </w:tcPr>
          <w:p>
            <w:pPr>
              <w:pStyle w:val="yTable"/>
            </w:pPr>
            <w:r>
              <w:t>1.</w:t>
            </w:r>
          </w:p>
        </w:tc>
        <w:tc>
          <w:tcPr>
            <w:tcW w:w="1320" w:type="dxa"/>
          </w:tcPr>
          <w:p>
            <w:pPr>
              <w:pStyle w:val="yTable"/>
            </w:pPr>
            <w:r>
              <w:t>101C</w:t>
            </w:r>
          </w:p>
        </w:tc>
        <w:tc>
          <w:tcPr>
            <w:tcW w:w="3720" w:type="dxa"/>
          </w:tcPr>
          <w:p>
            <w:pPr>
              <w:pStyle w:val="yTable"/>
            </w:pPr>
            <w:r>
              <w:t>Unlawfully taking flora or fauna in marine nature reserve, marine park or marine management area</w:t>
            </w:r>
          </w:p>
        </w:tc>
        <w:tc>
          <w:tcPr>
            <w:tcW w:w="1200" w:type="dxa"/>
            <w:vAlign w:val="bottom"/>
          </w:tcPr>
          <w:p>
            <w:pPr>
              <w:pStyle w:val="yTable"/>
              <w:jc w:val="center"/>
            </w:pPr>
            <w:r>
              <w:t>200</w:t>
            </w:r>
          </w:p>
        </w:tc>
      </w:tr>
      <w:tr>
        <w:trPr>
          <w:cantSplit/>
        </w:trPr>
        <w:tc>
          <w:tcPr>
            <w:tcW w:w="840" w:type="dxa"/>
          </w:tcPr>
          <w:p>
            <w:pPr>
              <w:pStyle w:val="yTable"/>
            </w:pPr>
            <w:r>
              <w:t>2.</w:t>
            </w:r>
          </w:p>
        </w:tc>
        <w:tc>
          <w:tcPr>
            <w:tcW w:w="1320" w:type="dxa"/>
          </w:tcPr>
          <w:p>
            <w:pPr>
              <w:pStyle w:val="yTable"/>
              <w:tabs>
                <w:tab w:val="decimal" w:pos="340"/>
              </w:tabs>
            </w:pPr>
            <w:r>
              <w:t>103(1)</w:t>
            </w:r>
          </w:p>
        </w:tc>
        <w:tc>
          <w:tcPr>
            <w:tcW w:w="3720" w:type="dxa"/>
          </w:tcPr>
          <w:p>
            <w:pPr>
              <w:pStyle w:val="yTable"/>
            </w:pPr>
            <w:r>
              <w:t>Unlawful taking of forest produce</w:t>
            </w:r>
          </w:p>
        </w:tc>
        <w:tc>
          <w:tcPr>
            <w:tcW w:w="1200" w:type="dxa"/>
            <w:vAlign w:val="bottom"/>
          </w:tcPr>
          <w:p>
            <w:pPr>
              <w:pStyle w:val="yTable"/>
              <w:jc w:val="center"/>
            </w:pPr>
            <w:r>
              <w:t>200</w:t>
            </w:r>
          </w:p>
        </w:tc>
      </w:tr>
      <w:tr>
        <w:trPr>
          <w:cantSplit/>
        </w:trPr>
        <w:tc>
          <w:tcPr>
            <w:tcW w:w="840" w:type="dxa"/>
          </w:tcPr>
          <w:p>
            <w:pPr>
              <w:pStyle w:val="yTable"/>
            </w:pPr>
            <w:r>
              <w:t>3.</w:t>
            </w:r>
          </w:p>
        </w:tc>
        <w:tc>
          <w:tcPr>
            <w:tcW w:w="1320" w:type="dxa"/>
          </w:tcPr>
          <w:p>
            <w:pPr>
              <w:pStyle w:val="yTable"/>
              <w:tabs>
                <w:tab w:val="decimal" w:pos="177"/>
              </w:tabs>
            </w:pPr>
            <w:r>
              <w:t>106</w:t>
            </w:r>
          </w:p>
        </w:tc>
        <w:tc>
          <w:tcPr>
            <w:tcW w:w="3720" w:type="dxa"/>
          </w:tcPr>
          <w:p>
            <w:pPr>
              <w:pStyle w:val="yTable"/>
            </w:pPr>
            <w:r>
              <w:t>Unlawful occupation of land</w:t>
            </w:r>
          </w:p>
        </w:tc>
        <w:tc>
          <w:tcPr>
            <w:tcW w:w="1200" w:type="dxa"/>
            <w:vAlign w:val="bottom"/>
          </w:tcPr>
          <w:p>
            <w:pPr>
              <w:pStyle w:val="yTable"/>
              <w:jc w:val="center"/>
            </w:pPr>
            <w:r>
              <w:t>200</w:t>
            </w:r>
          </w:p>
        </w:tc>
      </w:tr>
      <w:tr>
        <w:trPr>
          <w:cantSplit/>
        </w:trPr>
        <w:tc>
          <w:tcPr>
            <w:tcW w:w="840" w:type="dxa"/>
          </w:tcPr>
          <w:p>
            <w:pPr>
              <w:pStyle w:val="yTable"/>
            </w:pPr>
            <w:r>
              <w:t>4.</w:t>
            </w:r>
          </w:p>
        </w:tc>
        <w:tc>
          <w:tcPr>
            <w:tcW w:w="1320" w:type="dxa"/>
          </w:tcPr>
          <w:p>
            <w:pPr>
              <w:pStyle w:val="yTable"/>
              <w:tabs>
                <w:tab w:val="decimal" w:pos="340"/>
              </w:tabs>
            </w:pPr>
            <w:r>
              <w:t>107(b)</w:t>
            </w:r>
          </w:p>
        </w:tc>
        <w:tc>
          <w:tcPr>
            <w:tcW w:w="3720" w:type="dxa"/>
          </w:tcPr>
          <w:p>
            <w:pPr>
              <w:pStyle w:val="yTable"/>
            </w:pPr>
            <w:r>
              <w:t>Unlawfully altering signs etc.</w:t>
            </w:r>
          </w:p>
        </w:tc>
        <w:tc>
          <w:tcPr>
            <w:tcW w:w="1200" w:type="dxa"/>
            <w:vAlign w:val="bottom"/>
          </w:tcPr>
          <w:p>
            <w:pPr>
              <w:pStyle w:val="yTable"/>
              <w:jc w:val="center"/>
            </w:pPr>
            <w:r>
              <w:t>200</w:t>
            </w:r>
          </w:p>
        </w:tc>
      </w:tr>
      <w:tr>
        <w:trPr>
          <w:cantSplit/>
        </w:trPr>
        <w:tc>
          <w:tcPr>
            <w:tcW w:w="840" w:type="dxa"/>
          </w:tcPr>
          <w:p>
            <w:pPr>
              <w:pStyle w:val="yTable"/>
            </w:pPr>
            <w:r>
              <w:t>5.</w:t>
            </w:r>
          </w:p>
        </w:tc>
        <w:tc>
          <w:tcPr>
            <w:tcW w:w="1320" w:type="dxa"/>
          </w:tcPr>
          <w:p>
            <w:pPr>
              <w:pStyle w:val="yTable"/>
              <w:tabs>
                <w:tab w:val="decimal" w:pos="340"/>
              </w:tabs>
            </w:pPr>
            <w:r>
              <w:t>107(c)</w:t>
            </w:r>
          </w:p>
        </w:tc>
        <w:tc>
          <w:tcPr>
            <w:tcW w:w="3720" w:type="dxa"/>
          </w:tcPr>
          <w:p>
            <w:pPr>
              <w:pStyle w:val="yTable"/>
            </w:pPr>
            <w:r>
              <w:t>Damaging buildings etc.</w:t>
            </w:r>
          </w:p>
        </w:tc>
        <w:tc>
          <w:tcPr>
            <w:tcW w:w="1200" w:type="dxa"/>
            <w:vAlign w:val="bottom"/>
          </w:tcPr>
          <w:p>
            <w:pPr>
              <w:pStyle w:val="yTable"/>
              <w:jc w:val="center"/>
            </w:pPr>
            <w:r>
              <w:t>200</w:t>
            </w:r>
          </w:p>
        </w:tc>
      </w:tr>
      <w:tr>
        <w:trPr>
          <w:cantSplit/>
        </w:trPr>
        <w:tc>
          <w:tcPr>
            <w:tcW w:w="840" w:type="dxa"/>
          </w:tcPr>
          <w:p>
            <w:pPr>
              <w:pStyle w:val="yTable"/>
            </w:pPr>
            <w:r>
              <w:t>6.</w:t>
            </w:r>
          </w:p>
        </w:tc>
        <w:tc>
          <w:tcPr>
            <w:tcW w:w="1320" w:type="dxa"/>
          </w:tcPr>
          <w:p>
            <w:pPr>
              <w:pStyle w:val="yTable"/>
              <w:tabs>
                <w:tab w:val="decimal" w:pos="340"/>
              </w:tabs>
            </w:pPr>
            <w:r>
              <w:t>107(d)</w:t>
            </w:r>
          </w:p>
        </w:tc>
        <w:tc>
          <w:tcPr>
            <w:tcW w:w="3720" w:type="dxa"/>
          </w:tcPr>
          <w:p>
            <w:pPr>
              <w:pStyle w:val="yTable"/>
            </w:pPr>
            <w:r>
              <w:t>Destroying dams etc.</w:t>
            </w:r>
          </w:p>
        </w:tc>
        <w:tc>
          <w:tcPr>
            <w:tcW w:w="1200" w:type="dxa"/>
            <w:vAlign w:val="bottom"/>
          </w:tcPr>
          <w:p>
            <w:pPr>
              <w:pStyle w:val="yTable"/>
              <w:jc w:val="center"/>
            </w:pPr>
            <w:r>
              <w:t>200</w:t>
            </w:r>
          </w:p>
        </w:tc>
      </w:tr>
      <w:tr>
        <w:trPr>
          <w:cantSplit/>
        </w:trPr>
        <w:tc>
          <w:tcPr>
            <w:tcW w:w="840" w:type="dxa"/>
          </w:tcPr>
          <w:p>
            <w:pPr>
              <w:pStyle w:val="yTable"/>
            </w:pPr>
            <w:r>
              <w:t>7.</w:t>
            </w:r>
          </w:p>
        </w:tc>
        <w:tc>
          <w:tcPr>
            <w:tcW w:w="1320" w:type="dxa"/>
          </w:tcPr>
          <w:p>
            <w:pPr>
              <w:pStyle w:val="yTable"/>
              <w:tabs>
                <w:tab w:val="decimal" w:pos="340"/>
              </w:tabs>
            </w:pPr>
            <w:r>
              <w:t>107(i)</w:t>
            </w:r>
          </w:p>
        </w:tc>
        <w:tc>
          <w:tcPr>
            <w:tcW w:w="3720" w:type="dxa"/>
          </w:tcPr>
          <w:p>
            <w:pPr>
              <w:pStyle w:val="yTable"/>
            </w:pPr>
            <w:r>
              <w:t>Removing forest produce without paying</w:t>
            </w:r>
          </w:p>
        </w:tc>
        <w:tc>
          <w:tcPr>
            <w:tcW w:w="1200" w:type="dxa"/>
            <w:vAlign w:val="bottom"/>
          </w:tcPr>
          <w:p>
            <w:pPr>
              <w:pStyle w:val="yTable"/>
              <w:jc w:val="center"/>
            </w:pPr>
            <w:r>
              <w:t>200</w:t>
            </w:r>
          </w:p>
        </w:tc>
      </w:tr>
    </w:tbl>
    <w:p>
      <w:pPr>
        <w:pStyle w:val="yFootnotesection"/>
        <w:rPr>
          <w:rStyle w:val="CharPartNo"/>
        </w:rPr>
      </w:pPr>
      <w:r>
        <w:tab/>
        <w:t>[Division 1 amended in Gazette 29 Sep 2006 p. 4330</w:t>
      </w:r>
      <w:r>
        <w:noBreakHyphen/>
        <w:t>1.]</w:t>
      </w:r>
    </w:p>
    <w:p>
      <w:pPr>
        <w:pStyle w:val="yHeading3"/>
      </w:pPr>
      <w:bookmarkStart w:id="478" w:name="_Toc408498954"/>
      <w:bookmarkStart w:id="479" w:name="_Toc414889376"/>
      <w:bookmarkStart w:id="480" w:name="_Toc414975348"/>
      <w:bookmarkStart w:id="481" w:name="_Toc417563830"/>
      <w:r>
        <w:rPr>
          <w:rStyle w:val="CharSDivNo"/>
        </w:rPr>
        <w:t>Division 2</w:t>
      </w:r>
      <w:r>
        <w:rPr>
          <w:rStyle w:val="CharDivNo"/>
        </w:rPr>
        <w:t xml:space="preserve"> </w:t>
      </w:r>
      <w:r>
        <w:t>—</w:t>
      </w:r>
      <w:r>
        <w:rPr>
          <w:rStyle w:val="CharDivText"/>
        </w:rPr>
        <w:t xml:space="preserve"> </w:t>
      </w:r>
      <w:r>
        <w:rPr>
          <w:rStyle w:val="CharSDivText"/>
        </w:rPr>
        <w:t>Offences under these regulations</w:t>
      </w:r>
      <w:bookmarkEnd w:id="478"/>
      <w:bookmarkEnd w:id="479"/>
      <w:bookmarkEnd w:id="480"/>
      <w:bookmarkEnd w:id="481"/>
    </w:p>
    <w:tbl>
      <w:tblPr>
        <w:tblW w:w="0" w:type="auto"/>
        <w:tblInd w:w="85" w:type="dxa"/>
        <w:tblLayout w:type="fixed"/>
        <w:tblCellMar>
          <w:left w:w="85" w:type="dxa"/>
          <w:right w:w="85" w:type="dxa"/>
        </w:tblCellMar>
        <w:tblLook w:val="0000" w:firstRow="0" w:lastRow="0" w:firstColumn="0" w:lastColumn="0" w:noHBand="0" w:noVBand="0"/>
      </w:tblPr>
      <w:tblGrid>
        <w:gridCol w:w="840"/>
        <w:gridCol w:w="1320"/>
        <w:gridCol w:w="3720"/>
        <w:gridCol w:w="1200"/>
      </w:tblGrid>
      <w:tr>
        <w:trPr>
          <w:cantSplit/>
          <w:trHeight w:val="240"/>
          <w:tblHeader/>
        </w:trPr>
        <w:tc>
          <w:tcPr>
            <w:tcW w:w="840" w:type="dxa"/>
            <w:vAlign w:val="center"/>
          </w:tcPr>
          <w:p>
            <w:pPr>
              <w:pStyle w:val="yTable"/>
              <w:jc w:val="center"/>
              <w:rPr>
                <w:b/>
              </w:rPr>
            </w:pPr>
          </w:p>
        </w:tc>
        <w:tc>
          <w:tcPr>
            <w:tcW w:w="1320" w:type="dxa"/>
            <w:vAlign w:val="center"/>
          </w:tcPr>
          <w:p>
            <w:pPr>
              <w:pStyle w:val="yTable"/>
              <w:rPr>
                <w:b/>
              </w:rPr>
            </w:pPr>
            <w:r>
              <w:rPr>
                <w:b/>
              </w:rPr>
              <w:t>Column 1</w:t>
            </w:r>
          </w:p>
        </w:tc>
        <w:tc>
          <w:tcPr>
            <w:tcW w:w="3720" w:type="dxa"/>
            <w:vAlign w:val="center"/>
          </w:tcPr>
          <w:p>
            <w:pPr>
              <w:pStyle w:val="yTable"/>
              <w:jc w:val="center"/>
              <w:rPr>
                <w:b/>
              </w:rPr>
            </w:pPr>
            <w:r>
              <w:rPr>
                <w:b/>
              </w:rPr>
              <w:t>Column 2</w:t>
            </w:r>
          </w:p>
        </w:tc>
        <w:tc>
          <w:tcPr>
            <w:tcW w:w="1200" w:type="dxa"/>
            <w:vAlign w:val="center"/>
          </w:tcPr>
          <w:p>
            <w:pPr>
              <w:pStyle w:val="yTable"/>
              <w:jc w:val="center"/>
              <w:rPr>
                <w:b/>
              </w:rPr>
            </w:pPr>
            <w:r>
              <w:rPr>
                <w:b/>
              </w:rPr>
              <w:t>Column 3</w:t>
            </w:r>
          </w:p>
        </w:tc>
      </w:tr>
      <w:tr>
        <w:trPr>
          <w:cantSplit/>
          <w:trHeight w:val="240"/>
          <w:tblHeader/>
        </w:trPr>
        <w:tc>
          <w:tcPr>
            <w:tcW w:w="840" w:type="dxa"/>
          </w:tcPr>
          <w:p>
            <w:pPr>
              <w:pStyle w:val="yTable"/>
              <w:rPr>
                <w:b/>
              </w:rPr>
            </w:pPr>
            <w:r>
              <w:rPr>
                <w:b/>
              </w:rPr>
              <w:t>Item No.</w:t>
            </w:r>
          </w:p>
          <w:p>
            <w:pPr>
              <w:pStyle w:val="yTable"/>
              <w:rPr>
                <w:b/>
              </w:rPr>
            </w:pPr>
          </w:p>
        </w:tc>
        <w:tc>
          <w:tcPr>
            <w:tcW w:w="1320" w:type="dxa"/>
          </w:tcPr>
          <w:p>
            <w:pPr>
              <w:pStyle w:val="yTable"/>
              <w:rPr>
                <w:b/>
              </w:rPr>
            </w:pPr>
            <w:r>
              <w:rPr>
                <w:b/>
              </w:rPr>
              <w:t>Regulation creating offence</w:t>
            </w:r>
          </w:p>
        </w:tc>
        <w:tc>
          <w:tcPr>
            <w:tcW w:w="3720" w:type="dxa"/>
          </w:tcPr>
          <w:p>
            <w:pPr>
              <w:pStyle w:val="yTable"/>
              <w:jc w:val="center"/>
              <w:rPr>
                <w:b/>
              </w:rPr>
            </w:pPr>
            <w:r>
              <w:rPr>
                <w:b/>
              </w:rPr>
              <w:t>Nature of offence</w:t>
            </w:r>
          </w:p>
        </w:tc>
        <w:tc>
          <w:tcPr>
            <w:tcW w:w="1200" w:type="dxa"/>
          </w:tcPr>
          <w:p>
            <w:pPr>
              <w:pStyle w:val="yTable"/>
              <w:jc w:val="center"/>
              <w:rPr>
                <w:b/>
              </w:rPr>
            </w:pPr>
            <w:r>
              <w:rPr>
                <w:b/>
              </w:rPr>
              <w:t>Penalty</w:t>
            </w:r>
          </w:p>
          <w:p>
            <w:pPr>
              <w:pStyle w:val="yTable"/>
              <w:jc w:val="center"/>
              <w:rPr>
                <w:b/>
              </w:rPr>
            </w:pPr>
            <w:r>
              <w:rPr>
                <w:b/>
              </w:rPr>
              <w:t>$</w:t>
            </w:r>
          </w:p>
        </w:tc>
      </w:tr>
      <w:tr>
        <w:trPr>
          <w:cantSplit/>
        </w:trPr>
        <w:tc>
          <w:tcPr>
            <w:tcW w:w="840" w:type="dxa"/>
          </w:tcPr>
          <w:p>
            <w:pPr>
              <w:pStyle w:val="yTable"/>
            </w:pPr>
            <w:r>
              <w:t>1.</w:t>
            </w:r>
          </w:p>
        </w:tc>
        <w:tc>
          <w:tcPr>
            <w:tcW w:w="1320" w:type="dxa"/>
          </w:tcPr>
          <w:p>
            <w:pPr>
              <w:pStyle w:val="yTable"/>
            </w:pPr>
            <w:r>
              <w:t>8(1)</w:t>
            </w:r>
          </w:p>
        </w:tc>
        <w:tc>
          <w:tcPr>
            <w:tcW w:w="3720" w:type="dxa"/>
          </w:tcPr>
          <w:p>
            <w:pPr>
              <w:pStyle w:val="yTable"/>
              <w:tabs>
                <w:tab w:val="left" w:pos="340"/>
              </w:tabs>
            </w:pPr>
            <w:r>
              <w:t>Taking flora or fauna</w:t>
            </w:r>
          </w:p>
        </w:tc>
        <w:tc>
          <w:tcPr>
            <w:tcW w:w="1200" w:type="dxa"/>
          </w:tcPr>
          <w:p>
            <w:pPr>
              <w:pStyle w:val="yTable"/>
              <w:tabs>
                <w:tab w:val="decimal" w:pos="766"/>
              </w:tabs>
              <w:rPr>
                <w:rFonts w:ascii="NewCenturySchlbk" w:hAnsi="NewCenturySchlbk"/>
                <w:b/>
                <w:i/>
                <w:sz w:val="19"/>
              </w:rPr>
            </w:pPr>
            <w:r>
              <w:t>200</w:t>
            </w:r>
          </w:p>
        </w:tc>
      </w:tr>
      <w:tr>
        <w:trPr>
          <w:cantSplit/>
          <w:trHeight w:val="360"/>
        </w:trPr>
        <w:tc>
          <w:tcPr>
            <w:tcW w:w="840" w:type="dxa"/>
          </w:tcPr>
          <w:p>
            <w:pPr>
              <w:pStyle w:val="yTable"/>
            </w:pPr>
            <w:r>
              <w:t>2.</w:t>
            </w:r>
          </w:p>
        </w:tc>
        <w:tc>
          <w:tcPr>
            <w:tcW w:w="1320" w:type="dxa"/>
          </w:tcPr>
          <w:p>
            <w:pPr>
              <w:pStyle w:val="yTable"/>
            </w:pPr>
            <w:r>
              <w:t>9(1)</w:t>
            </w:r>
          </w:p>
        </w:tc>
        <w:tc>
          <w:tcPr>
            <w:tcW w:w="3720" w:type="dxa"/>
          </w:tcPr>
          <w:p>
            <w:pPr>
              <w:pStyle w:val="yTable"/>
              <w:tabs>
                <w:tab w:val="left" w:pos="340"/>
              </w:tabs>
            </w:pPr>
            <w:r>
              <w:t>Fishing in restricted area</w:t>
            </w:r>
          </w:p>
        </w:tc>
        <w:tc>
          <w:tcPr>
            <w:tcW w:w="1200" w:type="dxa"/>
            <w:vAlign w:val="bottom"/>
          </w:tcPr>
          <w:p>
            <w:pPr>
              <w:pStyle w:val="yTable"/>
              <w:tabs>
                <w:tab w:val="decimal" w:pos="766"/>
              </w:tabs>
            </w:pPr>
            <w:r>
              <w:t>100</w:t>
            </w:r>
          </w:p>
        </w:tc>
      </w:tr>
      <w:tr>
        <w:trPr>
          <w:cantSplit/>
        </w:trPr>
        <w:tc>
          <w:tcPr>
            <w:tcW w:w="840" w:type="dxa"/>
          </w:tcPr>
          <w:p>
            <w:pPr>
              <w:pStyle w:val="yTable"/>
            </w:pPr>
            <w:r>
              <w:t>3.</w:t>
            </w:r>
          </w:p>
        </w:tc>
        <w:tc>
          <w:tcPr>
            <w:tcW w:w="1320" w:type="dxa"/>
          </w:tcPr>
          <w:p>
            <w:pPr>
              <w:pStyle w:val="yTable"/>
            </w:pPr>
            <w:r>
              <w:t>10</w:t>
            </w:r>
          </w:p>
        </w:tc>
        <w:tc>
          <w:tcPr>
            <w:tcW w:w="3720" w:type="dxa"/>
          </w:tcPr>
          <w:p>
            <w:pPr>
              <w:pStyle w:val="yTable"/>
            </w:pPr>
            <w:r>
              <w:t>Feeding fauna</w:t>
            </w:r>
          </w:p>
        </w:tc>
        <w:tc>
          <w:tcPr>
            <w:tcW w:w="1200" w:type="dxa"/>
          </w:tcPr>
          <w:p>
            <w:pPr>
              <w:pStyle w:val="yTable"/>
              <w:tabs>
                <w:tab w:val="decimal" w:pos="766"/>
              </w:tabs>
            </w:pPr>
            <w:r>
              <w:rPr>
                <w:szCs w:val="22"/>
              </w:rPr>
              <w:t>100</w:t>
            </w:r>
          </w:p>
        </w:tc>
      </w:tr>
      <w:tr>
        <w:trPr>
          <w:cantSplit/>
        </w:trPr>
        <w:tc>
          <w:tcPr>
            <w:tcW w:w="840" w:type="dxa"/>
          </w:tcPr>
          <w:p>
            <w:pPr>
              <w:pStyle w:val="yTable"/>
            </w:pPr>
            <w:r>
              <w:t>4.</w:t>
            </w:r>
          </w:p>
        </w:tc>
        <w:tc>
          <w:tcPr>
            <w:tcW w:w="1320" w:type="dxa"/>
          </w:tcPr>
          <w:p>
            <w:pPr>
              <w:pStyle w:val="yTable"/>
            </w:pPr>
            <w:r>
              <w:t>12(1)</w:t>
            </w:r>
          </w:p>
        </w:tc>
        <w:tc>
          <w:tcPr>
            <w:tcW w:w="3720" w:type="dxa"/>
          </w:tcPr>
          <w:p>
            <w:pPr>
              <w:pStyle w:val="yTable"/>
            </w:pPr>
            <w:r>
              <w:t>Failing to stow firearm or ammunition</w:t>
            </w:r>
          </w:p>
        </w:tc>
        <w:tc>
          <w:tcPr>
            <w:tcW w:w="1200" w:type="dxa"/>
            <w:vAlign w:val="bottom"/>
          </w:tcPr>
          <w:p>
            <w:pPr>
              <w:pStyle w:val="yTable"/>
              <w:tabs>
                <w:tab w:val="decimal" w:pos="766"/>
              </w:tabs>
            </w:pPr>
            <w:r>
              <w:rPr>
                <w:szCs w:val="22"/>
              </w:rPr>
              <w:t>200</w:t>
            </w:r>
          </w:p>
        </w:tc>
      </w:tr>
      <w:tr>
        <w:trPr>
          <w:cantSplit/>
        </w:trPr>
        <w:tc>
          <w:tcPr>
            <w:tcW w:w="840" w:type="dxa"/>
          </w:tcPr>
          <w:p>
            <w:pPr>
              <w:pStyle w:val="yTable"/>
            </w:pPr>
            <w:r>
              <w:t>5.</w:t>
            </w:r>
          </w:p>
        </w:tc>
        <w:tc>
          <w:tcPr>
            <w:tcW w:w="1320" w:type="dxa"/>
          </w:tcPr>
          <w:p>
            <w:pPr>
              <w:pStyle w:val="yTable"/>
            </w:pPr>
            <w:r>
              <w:t>12(2)</w:t>
            </w:r>
          </w:p>
        </w:tc>
        <w:tc>
          <w:tcPr>
            <w:tcW w:w="3720" w:type="dxa"/>
          </w:tcPr>
          <w:p>
            <w:pPr>
              <w:pStyle w:val="yTable"/>
            </w:pPr>
            <w:r>
              <w:t>Possession in restricted or classified area of unstowed spear, speargun or gidgie</w:t>
            </w:r>
          </w:p>
        </w:tc>
        <w:tc>
          <w:tcPr>
            <w:tcW w:w="1200" w:type="dxa"/>
            <w:vAlign w:val="bottom"/>
          </w:tcPr>
          <w:p>
            <w:pPr>
              <w:pStyle w:val="yTable"/>
              <w:tabs>
                <w:tab w:val="decimal" w:pos="766"/>
              </w:tabs>
            </w:pPr>
            <w:r>
              <w:rPr>
                <w:szCs w:val="22"/>
              </w:rPr>
              <w:t>200</w:t>
            </w:r>
          </w:p>
        </w:tc>
      </w:tr>
      <w:tr>
        <w:trPr>
          <w:cantSplit/>
        </w:trPr>
        <w:tc>
          <w:tcPr>
            <w:tcW w:w="840" w:type="dxa"/>
          </w:tcPr>
          <w:p>
            <w:pPr>
              <w:pStyle w:val="yTable"/>
            </w:pPr>
            <w:r>
              <w:t>6.</w:t>
            </w:r>
          </w:p>
        </w:tc>
        <w:tc>
          <w:tcPr>
            <w:tcW w:w="1320" w:type="dxa"/>
          </w:tcPr>
          <w:p>
            <w:pPr>
              <w:pStyle w:val="yTable"/>
            </w:pPr>
            <w:r>
              <w:t>12(3)</w:t>
            </w:r>
          </w:p>
        </w:tc>
        <w:tc>
          <w:tcPr>
            <w:tcW w:w="3720" w:type="dxa"/>
          </w:tcPr>
          <w:p>
            <w:pPr>
              <w:pStyle w:val="yTable"/>
            </w:pPr>
            <w:r>
              <w:t>Possession of restricted device</w:t>
            </w:r>
          </w:p>
        </w:tc>
        <w:tc>
          <w:tcPr>
            <w:tcW w:w="1200" w:type="dxa"/>
            <w:vAlign w:val="bottom"/>
          </w:tcPr>
          <w:p>
            <w:pPr>
              <w:pStyle w:val="yTable"/>
              <w:tabs>
                <w:tab w:val="decimal" w:pos="766"/>
              </w:tabs>
            </w:pPr>
            <w:r>
              <w:rPr>
                <w:szCs w:val="22"/>
              </w:rPr>
              <w:t>200</w:t>
            </w:r>
          </w:p>
        </w:tc>
      </w:tr>
      <w:tr>
        <w:trPr>
          <w:cantSplit/>
        </w:trPr>
        <w:tc>
          <w:tcPr>
            <w:tcW w:w="840" w:type="dxa"/>
          </w:tcPr>
          <w:p>
            <w:pPr>
              <w:pStyle w:val="yTable"/>
            </w:pPr>
            <w:r>
              <w:t>6a.</w:t>
            </w:r>
          </w:p>
        </w:tc>
        <w:tc>
          <w:tcPr>
            <w:tcW w:w="1320" w:type="dxa"/>
          </w:tcPr>
          <w:p>
            <w:pPr>
              <w:pStyle w:val="yTable"/>
            </w:pPr>
            <w:r>
              <w:t>12(3a)</w:t>
            </w:r>
          </w:p>
        </w:tc>
        <w:tc>
          <w:tcPr>
            <w:tcW w:w="3720" w:type="dxa"/>
          </w:tcPr>
          <w:p>
            <w:pPr>
              <w:pStyle w:val="yTable"/>
            </w:pPr>
            <w:r>
              <w:t>Unauthorised use of firearm, spear gun etc.</w:t>
            </w:r>
          </w:p>
        </w:tc>
        <w:tc>
          <w:tcPr>
            <w:tcW w:w="1200" w:type="dxa"/>
            <w:vAlign w:val="bottom"/>
          </w:tcPr>
          <w:p>
            <w:pPr>
              <w:pStyle w:val="yTable"/>
              <w:tabs>
                <w:tab w:val="decimal" w:pos="766"/>
              </w:tabs>
            </w:pPr>
            <w:r>
              <w:t>200</w:t>
            </w:r>
          </w:p>
        </w:tc>
      </w:tr>
      <w:tr>
        <w:trPr>
          <w:cantSplit/>
        </w:trPr>
        <w:tc>
          <w:tcPr>
            <w:tcW w:w="840" w:type="dxa"/>
          </w:tcPr>
          <w:p>
            <w:pPr>
              <w:pStyle w:val="yTable"/>
            </w:pPr>
            <w:r>
              <w:t>6B.</w:t>
            </w:r>
          </w:p>
        </w:tc>
        <w:tc>
          <w:tcPr>
            <w:tcW w:w="1320" w:type="dxa"/>
          </w:tcPr>
          <w:p>
            <w:pPr>
              <w:pStyle w:val="yTable"/>
            </w:pPr>
            <w:r>
              <w:t>13(1)</w:t>
            </w:r>
          </w:p>
        </w:tc>
        <w:tc>
          <w:tcPr>
            <w:tcW w:w="3720" w:type="dxa"/>
          </w:tcPr>
          <w:p>
            <w:pPr>
              <w:pStyle w:val="yTable"/>
            </w:pPr>
            <w:r>
              <w:t>Cultivating plants</w:t>
            </w:r>
          </w:p>
        </w:tc>
        <w:tc>
          <w:tcPr>
            <w:tcW w:w="1200" w:type="dxa"/>
            <w:vAlign w:val="bottom"/>
          </w:tcPr>
          <w:p>
            <w:pPr>
              <w:pStyle w:val="yTable"/>
              <w:tabs>
                <w:tab w:val="decimal" w:pos="766"/>
              </w:tabs>
            </w:pPr>
            <w:r>
              <w:t>200</w:t>
            </w:r>
          </w:p>
        </w:tc>
      </w:tr>
      <w:tr>
        <w:trPr>
          <w:cantSplit/>
        </w:trPr>
        <w:tc>
          <w:tcPr>
            <w:tcW w:w="840" w:type="dxa"/>
          </w:tcPr>
          <w:p>
            <w:pPr>
              <w:pStyle w:val="yTable"/>
            </w:pPr>
            <w:r>
              <w:t>6C.</w:t>
            </w:r>
          </w:p>
        </w:tc>
        <w:tc>
          <w:tcPr>
            <w:tcW w:w="1320" w:type="dxa"/>
          </w:tcPr>
          <w:p>
            <w:pPr>
              <w:pStyle w:val="yTable"/>
            </w:pPr>
            <w:r>
              <w:t>14(2)</w:t>
            </w:r>
          </w:p>
        </w:tc>
        <w:tc>
          <w:tcPr>
            <w:tcW w:w="3720" w:type="dxa"/>
          </w:tcPr>
          <w:p>
            <w:pPr>
              <w:pStyle w:val="yTable"/>
            </w:pPr>
            <w:r>
              <w:t>Failing to comply with direction to remove plants, equipment</w:t>
            </w:r>
          </w:p>
        </w:tc>
        <w:tc>
          <w:tcPr>
            <w:tcW w:w="1200" w:type="dxa"/>
            <w:vAlign w:val="bottom"/>
          </w:tcPr>
          <w:p>
            <w:pPr>
              <w:pStyle w:val="yTable"/>
              <w:tabs>
                <w:tab w:val="decimal" w:pos="766"/>
              </w:tabs>
            </w:pPr>
            <w:r>
              <w:br/>
              <w:t>200</w:t>
            </w:r>
          </w:p>
        </w:tc>
      </w:tr>
      <w:tr>
        <w:trPr>
          <w:cantSplit/>
        </w:trPr>
        <w:tc>
          <w:tcPr>
            <w:tcW w:w="840" w:type="dxa"/>
          </w:tcPr>
          <w:p>
            <w:pPr>
              <w:pStyle w:val="yTable"/>
            </w:pPr>
            <w:r>
              <w:t>7.</w:t>
            </w:r>
          </w:p>
        </w:tc>
        <w:tc>
          <w:tcPr>
            <w:tcW w:w="1320" w:type="dxa"/>
          </w:tcPr>
          <w:p>
            <w:pPr>
              <w:pStyle w:val="yTable"/>
            </w:pPr>
            <w:r>
              <w:t>15</w:t>
            </w:r>
          </w:p>
        </w:tc>
        <w:tc>
          <w:tcPr>
            <w:tcW w:w="3720" w:type="dxa"/>
          </w:tcPr>
          <w:p>
            <w:pPr>
              <w:pStyle w:val="yTable"/>
            </w:pPr>
            <w:r>
              <w:t>Bringing animal on to, or allowing animal to enter or remain, on CALM land</w:t>
            </w:r>
          </w:p>
        </w:tc>
        <w:tc>
          <w:tcPr>
            <w:tcW w:w="1200" w:type="dxa"/>
            <w:vAlign w:val="bottom"/>
          </w:tcPr>
          <w:p>
            <w:pPr>
              <w:pStyle w:val="yTable"/>
              <w:tabs>
                <w:tab w:val="decimal" w:pos="766"/>
              </w:tabs>
            </w:pPr>
            <w:r>
              <w:rPr>
                <w:szCs w:val="22"/>
              </w:rPr>
              <w:t>200</w:t>
            </w:r>
          </w:p>
        </w:tc>
      </w:tr>
      <w:tr>
        <w:trPr>
          <w:cantSplit/>
        </w:trPr>
        <w:tc>
          <w:tcPr>
            <w:tcW w:w="840" w:type="dxa"/>
          </w:tcPr>
          <w:p>
            <w:pPr>
              <w:pStyle w:val="yTable"/>
            </w:pPr>
            <w:r>
              <w:t>8.</w:t>
            </w:r>
          </w:p>
        </w:tc>
        <w:tc>
          <w:tcPr>
            <w:tcW w:w="1320" w:type="dxa"/>
          </w:tcPr>
          <w:p>
            <w:pPr>
              <w:pStyle w:val="yTable"/>
            </w:pPr>
            <w:r>
              <w:t>16(2)</w:t>
            </w:r>
          </w:p>
        </w:tc>
        <w:tc>
          <w:tcPr>
            <w:tcW w:w="3720" w:type="dxa"/>
          </w:tcPr>
          <w:p>
            <w:pPr>
              <w:pStyle w:val="yTable"/>
            </w:pPr>
            <w:r>
              <w:t>Failing to control or manage dog in designated area</w:t>
            </w:r>
          </w:p>
        </w:tc>
        <w:tc>
          <w:tcPr>
            <w:tcW w:w="1200" w:type="dxa"/>
            <w:vAlign w:val="bottom"/>
          </w:tcPr>
          <w:p>
            <w:pPr>
              <w:pStyle w:val="yTable"/>
              <w:tabs>
                <w:tab w:val="decimal" w:pos="766"/>
              </w:tabs>
            </w:pPr>
            <w:r>
              <w:rPr>
                <w:szCs w:val="22"/>
              </w:rPr>
              <w:t>200</w:t>
            </w:r>
          </w:p>
        </w:tc>
      </w:tr>
      <w:tr>
        <w:trPr>
          <w:cantSplit/>
        </w:trPr>
        <w:tc>
          <w:tcPr>
            <w:tcW w:w="840" w:type="dxa"/>
          </w:tcPr>
          <w:p>
            <w:pPr>
              <w:pStyle w:val="yTable"/>
            </w:pPr>
            <w:r>
              <w:t>9.</w:t>
            </w:r>
          </w:p>
        </w:tc>
        <w:tc>
          <w:tcPr>
            <w:tcW w:w="1320" w:type="dxa"/>
          </w:tcPr>
          <w:p>
            <w:pPr>
              <w:pStyle w:val="yTable"/>
            </w:pPr>
            <w:r>
              <w:t>17(2)</w:t>
            </w:r>
          </w:p>
        </w:tc>
        <w:tc>
          <w:tcPr>
            <w:tcW w:w="3720" w:type="dxa"/>
          </w:tcPr>
          <w:p>
            <w:pPr>
              <w:pStyle w:val="yTable"/>
            </w:pPr>
            <w:r>
              <w:t>Failing to control or manage horse in designated area</w:t>
            </w:r>
          </w:p>
        </w:tc>
        <w:tc>
          <w:tcPr>
            <w:tcW w:w="1200" w:type="dxa"/>
            <w:vAlign w:val="bottom"/>
          </w:tcPr>
          <w:p>
            <w:pPr>
              <w:pStyle w:val="yTable"/>
              <w:tabs>
                <w:tab w:val="decimal" w:pos="766"/>
              </w:tabs>
            </w:pPr>
            <w:r>
              <w:rPr>
                <w:szCs w:val="22"/>
              </w:rPr>
              <w:t>200</w:t>
            </w:r>
          </w:p>
        </w:tc>
      </w:tr>
      <w:tr>
        <w:trPr>
          <w:cantSplit/>
        </w:trPr>
        <w:tc>
          <w:tcPr>
            <w:tcW w:w="840" w:type="dxa"/>
          </w:tcPr>
          <w:p>
            <w:pPr>
              <w:pStyle w:val="yTable"/>
            </w:pPr>
            <w:r>
              <w:t>10.</w:t>
            </w:r>
          </w:p>
        </w:tc>
        <w:tc>
          <w:tcPr>
            <w:tcW w:w="1320" w:type="dxa"/>
          </w:tcPr>
          <w:p>
            <w:pPr>
              <w:pStyle w:val="yTable"/>
            </w:pPr>
            <w:r>
              <w:t>18</w:t>
            </w:r>
          </w:p>
        </w:tc>
        <w:tc>
          <w:tcPr>
            <w:tcW w:w="3720" w:type="dxa"/>
          </w:tcPr>
          <w:p>
            <w:pPr>
              <w:pStyle w:val="yTable"/>
            </w:pPr>
            <w:r>
              <w:t>Hunting etc. non</w:t>
            </w:r>
            <w:r>
              <w:noBreakHyphen/>
              <w:t>indigenous animal</w:t>
            </w:r>
          </w:p>
        </w:tc>
        <w:tc>
          <w:tcPr>
            <w:tcW w:w="1200" w:type="dxa"/>
            <w:vAlign w:val="bottom"/>
          </w:tcPr>
          <w:p>
            <w:pPr>
              <w:pStyle w:val="yTable"/>
              <w:tabs>
                <w:tab w:val="decimal" w:pos="766"/>
              </w:tabs>
            </w:pPr>
            <w:r>
              <w:rPr>
                <w:szCs w:val="22"/>
              </w:rPr>
              <w:t>200</w:t>
            </w:r>
          </w:p>
        </w:tc>
      </w:tr>
      <w:tr>
        <w:trPr>
          <w:cantSplit/>
        </w:trPr>
        <w:tc>
          <w:tcPr>
            <w:tcW w:w="840" w:type="dxa"/>
          </w:tcPr>
          <w:p>
            <w:pPr>
              <w:pStyle w:val="yTable"/>
            </w:pPr>
            <w:r>
              <w:t>11.</w:t>
            </w:r>
          </w:p>
        </w:tc>
        <w:tc>
          <w:tcPr>
            <w:tcW w:w="1320" w:type="dxa"/>
          </w:tcPr>
          <w:p>
            <w:pPr>
              <w:pStyle w:val="yTable"/>
            </w:pPr>
            <w:r>
              <w:t>19</w:t>
            </w:r>
          </w:p>
        </w:tc>
        <w:tc>
          <w:tcPr>
            <w:tcW w:w="3720" w:type="dxa"/>
          </w:tcPr>
          <w:p>
            <w:pPr>
              <w:pStyle w:val="yTable"/>
            </w:pPr>
            <w:r>
              <w:t>Failing to remove animal</w:t>
            </w:r>
          </w:p>
        </w:tc>
        <w:tc>
          <w:tcPr>
            <w:tcW w:w="1200" w:type="dxa"/>
          </w:tcPr>
          <w:p>
            <w:pPr>
              <w:pStyle w:val="yTable"/>
              <w:tabs>
                <w:tab w:val="decimal" w:pos="766"/>
              </w:tabs>
            </w:pPr>
            <w:r>
              <w:rPr>
                <w:szCs w:val="22"/>
              </w:rPr>
              <w:t>200</w:t>
            </w:r>
          </w:p>
        </w:tc>
      </w:tr>
      <w:tr>
        <w:trPr>
          <w:cantSplit/>
        </w:trPr>
        <w:tc>
          <w:tcPr>
            <w:tcW w:w="840" w:type="dxa"/>
          </w:tcPr>
          <w:p>
            <w:pPr>
              <w:pStyle w:val="yTable"/>
            </w:pPr>
            <w:r>
              <w:t>12.</w:t>
            </w:r>
          </w:p>
        </w:tc>
        <w:tc>
          <w:tcPr>
            <w:tcW w:w="1320" w:type="dxa"/>
          </w:tcPr>
          <w:p>
            <w:pPr>
              <w:pStyle w:val="yTable"/>
            </w:pPr>
            <w:r>
              <w:t>21(1)</w:t>
            </w:r>
          </w:p>
        </w:tc>
        <w:tc>
          <w:tcPr>
            <w:tcW w:w="3720" w:type="dxa"/>
          </w:tcPr>
          <w:p>
            <w:pPr>
              <w:pStyle w:val="yTable"/>
            </w:pPr>
            <w:r>
              <w:t>Causing or allowing waste to be discharged or placed on CALM land</w:t>
            </w:r>
          </w:p>
        </w:tc>
        <w:tc>
          <w:tcPr>
            <w:tcW w:w="1200" w:type="dxa"/>
            <w:vAlign w:val="bottom"/>
          </w:tcPr>
          <w:p>
            <w:pPr>
              <w:pStyle w:val="yTable"/>
              <w:tabs>
                <w:tab w:val="decimal" w:pos="766"/>
              </w:tabs>
            </w:pPr>
            <w:r>
              <w:t>200</w:t>
            </w:r>
          </w:p>
        </w:tc>
      </w:tr>
      <w:tr>
        <w:trPr>
          <w:cantSplit/>
        </w:trPr>
        <w:tc>
          <w:tcPr>
            <w:tcW w:w="840" w:type="dxa"/>
          </w:tcPr>
          <w:p>
            <w:pPr>
              <w:pStyle w:val="yTable"/>
            </w:pPr>
            <w:r>
              <w:t>13.</w:t>
            </w:r>
          </w:p>
        </w:tc>
        <w:tc>
          <w:tcPr>
            <w:tcW w:w="1320" w:type="dxa"/>
          </w:tcPr>
          <w:p>
            <w:pPr>
              <w:pStyle w:val="yTable"/>
            </w:pPr>
            <w:r>
              <w:t>21(4)</w:t>
            </w:r>
          </w:p>
        </w:tc>
        <w:tc>
          <w:tcPr>
            <w:tcW w:w="3720" w:type="dxa"/>
          </w:tcPr>
          <w:p>
            <w:pPr>
              <w:pStyle w:val="yTable"/>
            </w:pPr>
            <w:r>
              <w:t>Failing to comply with conditions for discharging sewage in designated area</w:t>
            </w:r>
          </w:p>
        </w:tc>
        <w:tc>
          <w:tcPr>
            <w:tcW w:w="1200" w:type="dxa"/>
            <w:vAlign w:val="bottom"/>
          </w:tcPr>
          <w:p>
            <w:pPr>
              <w:pStyle w:val="yTable"/>
              <w:tabs>
                <w:tab w:val="decimal" w:pos="766"/>
              </w:tabs>
            </w:pPr>
            <w:r>
              <w:t>200</w:t>
            </w:r>
          </w:p>
        </w:tc>
      </w:tr>
      <w:tr>
        <w:trPr>
          <w:cantSplit/>
        </w:trPr>
        <w:tc>
          <w:tcPr>
            <w:tcW w:w="840" w:type="dxa"/>
          </w:tcPr>
          <w:p>
            <w:pPr>
              <w:pStyle w:val="yTable"/>
            </w:pPr>
            <w:r>
              <w:t>14.</w:t>
            </w:r>
          </w:p>
        </w:tc>
        <w:tc>
          <w:tcPr>
            <w:tcW w:w="1320" w:type="dxa"/>
          </w:tcPr>
          <w:p>
            <w:pPr>
              <w:pStyle w:val="yTable"/>
            </w:pPr>
            <w:r>
              <w:t>22</w:t>
            </w:r>
          </w:p>
        </w:tc>
        <w:tc>
          <w:tcPr>
            <w:tcW w:w="3720" w:type="dxa"/>
          </w:tcPr>
          <w:p>
            <w:pPr>
              <w:pStyle w:val="yTable"/>
            </w:pPr>
            <w:r>
              <w:t>Painting or treating vessels</w:t>
            </w:r>
          </w:p>
        </w:tc>
        <w:tc>
          <w:tcPr>
            <w:tcW w:w="1200" w:type="dxa"/>
            <w:vAlign w:val="bottom"/>
          </w:tcPr>
          <w:p>
            <w:pPr>
              <w:pStyle w:val="yTable"/>
              <w:tabs>
                <w:tab w:val="decimal" w:pos="766"/>
              </w:tabs>
            </w:pPr>
            <w:r>
              <w:t>200</w:t>
            </w:r>
          </w:p>
        </w:tc>
      </w:tr>
      <w:tr>
        <w:trPr>
          <w:cantSplit/>
        </w:trPr>
        <w:tc>
          <w:tcPr>
            <w:tcW w:w="840" w:type="dxa"/>
          </w:tcPr>
          <w:p>
            <w:pPr>
              <w:pStyle w:val="yTable"/>
            </w:pPr>
            <w:r>
              <w:t>15.</w:t>
            </w:r>
          </w:p>
        </w:tc>
        <w:tc>
          <w:tcPr>
            <w:tcW w:w="1320" w:type="dxa"/>
          </w:tcPr>
          <w:p>
            <w:pPr>
              <w:pStyle w:val="yTable"/>
            </w:pPr>
            <w:r>
              <w:t>23(1)</w:t>
            </w:r>
          </w:p>
        </w:tc>
        <w:tc>
          <w:tcPr>
            <w:tcW w:w="3720" w:type="dxa"/>
          </w:tcPr>
          <w:p>
            <w:pPr>
              <w:pStyle w:val="yTable"/>
            </w:pPr>
            <w:r>
              <w:t>Polluting water supply</w:t>
            </w:r>
          </w:p>
        </w:tc>
        <w:tc>
          <w:tcPr>
            <w:tcW w:w="1200" w:type="dxa"/>
            <w:vAlign w:val="bottom"/>
          </w:tcPr>
          <w:p>
            <w:pPr>
              <w:pStyle w:val="yTable"/>
              <w:tabs>
                <w:tab w:val="decimal" w:pos="766"/>
              </w:tabs>
            </w:pPr>
            <w:r>
              <w:t>200</w:t>
            </w:r>
          </w:p>
        </w:tc>
      </w:tr>
      <w:tr>
        <w:trPr>
          <w:cantSplit/>
        </w:trPr>
        <w:tc>
          <w:tcPr>
            <w:tcW w:w="840" w:type="dxa"/>
          </w:tcPr>
          <w:p>
            <w:pPr>
              <w:pStyle w:val="yTable"/>
            </w:pPr>
            <w:r>
              <w:t>16.</w:t>
            </w:r>
          </w:p>
        </w:tc>
        <w:tc>
          <w:tcPr>
            <w:tcW w:w="1320" w:type="dxa"/>
          </w:tcPr>
          <w:p>
            <w:pPr>
              <w:pStyle w:val="yTable"/>
            </w:pPr>
            <w:r>
              <w:t>23(2)</w:t>
            </w:r>
          </w:p>
        </w:tc>
        <w:tc>
          <w:tcPr>
            <w:tcW w:w="3720" w:type="dxa"/>
          </w:tcPr>
          <w:p>
            <w:pPr>
              <w:pStyle w:val="yTable"/>
            </w:pPr>
            <w:r>
              <w:t>Swimming etc. in reservoir or tank</w:t>
            </w:r>
          </w:p>
        </w:tc>
        <w:tc>
          <w:tcPr>
            <w:tcW w:w="1200" w:type="dxa"/>
            <w:vAlign w:val="bottom"/>
          </w:tcPr>
          <w:p>
            <w:pPr>
              <w:pStyle w:val="yTable"/>
              <w:tabs>
                <w:tab w:val="decimal" w:pos="766"/>
              </w:tabs>
            </w:pPr>
            <w:r>
              <w:rPr>
                <w:szCs w:val="22"/>
              </w:rPr>
              <w:t>200</w:t>
            </w:r>
          </w:p>
        </w:tc>
      </w:tr>
      <w:tr>
        <w:trPr>
          <w:cantSplit/>
        </w:trPr>
        <w:tc>
          <w:tcPr>
            <w:tcW w:w="840" w:type="dxa"/>
          </w:tcPr>
          <w:p>
            <w:pPr>
              <w:pStyle w:val="yTable"/>
            </w:pPr>
            <w:r>
              <w:t>17.</w:t>
            </w:r>
          </w:p>
        </w:tc>
        <w:tc>
          <w:tcPr>
            <w:tcW w:w="1320" w:type="dxa"/>
          </w:tcPr>
          <w:p>
            <w:pPr>
              <w:pStyle w:val="yTable"/>
            </w:pPr>
            <w:r>
              <w:t>24(1)</w:t>
            </w:r>
          </w:p>
        </w:tc>
        <w:tc>
          <w:tcPr>
            <w:tcW w:w="3720" w:type="dxa"/>
          </w:tcPr>
          <w:p>
            <w:pPr>
              <w:pStyle w:val="yTable"/>
            </w:pPr>
            <w:r>
              <w:t>Littering</w:t>
            </w:r>
          </w:p>
        </w:tc>
        <w:tc>
          <w:tcPr>
            <w:tcW w:w="1200" w:type="dxa"/>
            <w:vAlign w:val="bottom"/>
          </w:tcPr>
          <w:p>
            <w:pPr>
              <w:pStyle w:val="yTable"/>
              <w:tabs>
                <w:tab w:val="decimal" w:pos="766"/>
              </w:tabs>
            </w:pPr>
            <w:r>
              <w:rPr>
                <w:szCs w:val="22"/>
              </w:rPr>
              <w:t>200</w:t>
            </w:r>
          </w:p>
        </w:tc>
      </w:tr>
      <w:tr>
        <w:trPr>
          <w:cantSplit/>
        </w:trPr>
        <w:tc>
          <w:tcPr>
            <w:tcW w:w="840" w:type="dxa"/>
          </w:tcPr>
          <w:p>
            <w:pPr>
              <w:pStyle w:val="yTable"/>
            </w:pPr>
            <w:r>
              <w:t>18.</w:t>
            </w:r>
          </w:p>
        </w:tc>
        <w:tc>
          <w:tcPr>
            <w:tcW w:w="1320" w:type="dxa"/>
          </w:tcPr>
          <w:p>
            <w:pPr>
              <w:pStyle w:val="yTable"/>
            </w:pPr>
            <w:r>
              <w:t>26</w:t>
            </w:r>
          </w:p>
        </w:tc>
        <w:tc>
          <w:tcPr>
            <w:tcW w:w="3720" w:type="dxa"/>
          </w:tcPr>
          <w:p>
            <w:pPr>
              <w:pStyle w:val="yTable"/>
            </w:pPr>
            <w:r>
              <w:t>Taking glass into restricted area</w:t>
            </w:r>
          </w:p>
        </w:tc>
        <w:tc>
          <w:tcPr>
            <w:tcW w:w="1200" w:type="dxa"/>
            <w:vAlign w:val="bottom"/>
          </w:tcPr>
          <w:p>
            <w:pPr>
              <w:pStyle w:val="yTable"/>
              <w:tabs>
                <w:tab w:val="decimal" w:pos="766"/>
              </w:tabs>
            </w:pPr>
            <w:r>
              <w:rPr>
                <w:szCs w:val="22"/>
              </w:rPr>
              <w:t>100</w:t>
            </w:r>
          </w:p>
        </w:tc>
      </w:tr>
      <w:tr>
        <w:trPr>
          <w:cantSplit/>
        </w:trPr>
        <w:tc>
          <w:tcPr>
            <w:tcW w:w="840" w:type="dxa"/>
          </w:tcPr>
          <w:p>
            <w:pPr>
              <w:pStyle w:val="yTable"/>
            </w:pPr>
            <w:r>
              <w:t>19.</w:t>
            </w:r>
          </w:p>
        </w:tc>
        <w:tc>
          <w:tcPr>
            <w:tcW w:w="1320" w:type="dxa"/>
          </w:tcPr>
          <w:p>
            <w:pPr>
              <w:pStyle w:val="yTable"/>
            </w:pPr>
            <w:r>
              <w:t>27(2)</w:t>
            </w:r>
          </w:p>
        </w:tc>
        <w:tc>
          <w:tcPr>
            <w:tcW w:w="3720" w:type="dxa"/>
          </w:tcPr>
          <w:p>
            <w:pPr>
              <w:pStyle w:val="yTable"/>
            </w:pPr>
            <w:r>
              <w:t>Failing to comply with direction to remove litter</w:t>
            </w:r>
          </w:p>
        </w:tc>
        <w:tc>
          <w:tcPr>
            <w:tcW w:w="1200" w:type="dxa"/>
            <w:vAlign w:val="bottom"/>
          </w:tcPr>
          <w:p>
            <w:pPr>
              <w:pStyle w:val="yTable"/>
              <w:tabs>
                <w:tab w:val="decimal" w:pos="766"/>
              </w:tabs>
            </w:pPr>
            <w:r>
              <w:t>200</w:t>
            </w:r>
          </w:p>
        </w:tc>
      </w:tr>
      <w:tr>
        <w:trPr>
          <w:cantSplit/>
        </w:trPr>
        <w:tc>
          <w:tcPr>
            <w:tcW w:w="840" w:type="dxa"/>
          </w:tcPr>
          <w:p>
            <w:pPr>
              <w:pStyle w:val="yTable"/>
            </w:pPr>
            <w:r>
              <w:t>20.</w:t>
            </w:r>
          </w:p>
        </w:tc>
        <w:tc>
          <w:tcPr>
            <w:tcW w:w="1320" w:type="dxa"/>
          </w:tcPr>
          <w:p>
            <w:pPr>
              <w:pStyle w:val="yTable"/>
            </w:pPr>
            <w:r>
              <w:t>28</w:t>
            </w:r>
          </w:p>
        </w:tc>
        <w:tc>
          <w:tcPr>
            <w:tcW w:w="3720" w:type="dxa"/>
          </w:tcPr>
          <w:p>
            <w:pPr>
              <w:pStyle w:val="yTable"/>
            </w:pPr>
            <w:r>
              <w:t>Cleaning etc. fish in restricted area</w:t>
            </w:r>
          </w:p>
        </w:tc>
        <w:tc>
          <w:tcPr>
            <w:tcW w:w="1200" w:type="dxa"/>
            <w:vAlign w:val="bottom"/>
          </w:tcPr>
          <w:p>
            <w:pPr>
              <w:pStyle w:val="yTable"/>
              <w:tabs>
                <w:tab w:val="decimal" w:pos="766"/>
              </w:tabs>
            </w:pPr>
            <w:r>
              <w:rPr>
                <w:szCs w:val="22"/>
              </w:rPr>
              <w:t>100</w:t>
            </w:r>
          </w:p>
        </w:tc>
      </w:tr>
      <w:tr>
        <w:trPr>
          <w:cantSplit/>
        </w:trPr>
        <w:tc>
          <w:tcPr>
            <w:tcW w:w="840" w:type="dxa"/>
          </w:tcPr>
          <w:p>
            <w:pPr>
              <w:pStyle w:val="yTable"/>
            </w:pPr>
            <w:r>
              <w:t>21.</w:t>
            </w:r>
          </w:p>
        </w:tc>
        <w:tc>
          <w:tcPr>
            <w:tcW w:w="1320" w:type="dxa"/>
          </w:tcPr>
          <w:p>
            <w:pPr>
              <w:pStyle w:val="yTable"/>
            </w:pPr>
            <w:r>
              <w:t>29(1)</w:t>
            </w:r>
          </w:p>
        </w:tc>
        <w:tc>
          <w:tcPr>
            <w:tcW w:w="3720" w:type="dxa"/>
          </w:tcPr>
          <w:p>
            <w:pPr>
              <w:pStyle w:val="yTable"/>
            </w:pPr>
            <w:r>
              <w:t>Smoking in cave</w:t>
            </w:r>
          </w:p>
        </w:tc>
        <w:tc>
          <w:tcPr>
            <w:tcW w:w="1200" w:type="dxa"/>
            <w:vAlign w:val="bottom"/>
          </w:tcPr>
          <w:p>
            <w:pPr>
              <w:pStyle w:val="yTable"/>
              <w:tabs>
                <w:tab w:val="decimal" w:pos="766"/>
              </w:tabs>
            </w:pPr>
            <w:r>
              <w:t>50</w:t>
            </w:r>
          </w:p>
        </w:tc>
      </w:tr>
      <w:tr>
        <w:trPr>
          <w:cantSplit/>
        </w:trPr>
        <w:tc>
          <w:tcPr>
            <w:tcW w:w="840" w:type="dxa"/>
          </w:tcPr>
          <w:p>
            <w:pPr>
              <w:pStyle w:val="yTable"/>
            </w:pPr>
            <w:r>
              <w:t>22.</w:t>
            </w:r>
          </w:p>
        </w:tc>
        <w:tc>
          <w:tcPr>
            <w:tcW w:w="1320" w:type="dxa"/>
          </w:tcPr>
          <w:p>
            <w:pPr>
              <w:pStyle w:val="yTable"/>
            </w:pPr>
            <w:r>
              <w:t>29(2)</w:t>
            </w:r>
          </w:p>
        </w:tc>
        <w:tc>
          <w:tcPr>
            <w:tcW w:w="3720" w:type="dxa"/>
          </w:tcPr>
          <w:p>
            <w:pPr>
              <w:pStyle w:val="yTable"/>
            </w:pPr>
            <w:r>
              <w:t>Lighting a fire in a cave</w:t>
            </w:r>
          </w:p>
        </w:tc>
        <w:tc>
          <w:tcPr>
            <w:tcW w:w="1200" w:type="dxa"/>
            <w:vAlign w:val="bottom"/>
          </w:tcPr>
          <w:p>
            <w:pPr>
              <w:pStyle w:val="yTable"/>
              <w:tabs>
                <w:tab w:val="decimal" w:pos="766"/>
              </w:tabs>
            </w:pPr>
            <w:r>
              <w:t>200</w:t>
            </w:r>
          </w:p>
        </w:tc>
      </w:tr>
      <w:tr>
        <w:trPr>
          <w:cantSplit/>
        </w:trPr>
        <w:tc>
          <w:tcPr>
            <w:tcW w:w="840" w:type="dxa"/>
          </w:tcPr>
          <w:p>
            <w:pPr>
              <w:pStyle w:val="yTable"/>
            </w:pPr>
            <w:r>
              <w:t>23.</w:t>
            </w:r>
          </w:p>
        </w:tc>
        <w:tc>
          <w:tcPr>
            <w:tcW w:w="1320" w:type="dxa"/>
          </w:tcPr>
          <w:p>
            <w:pPr>
              <w:pStyle w:val="yTable"/>
            </w:pPr>
            <w:r>
              <w:t>31(1)</w:t>
            </w:r>
          </w:p>
        </w:tc>
        <w:tc>
          <w:tcPr>
            <w:tcW w:w="3720" w:type="dxa"/>
          </w:tcPr>
          <w:p>
            <w:pPr>
              <w:pStyle w:val="yTable"/>
            </w:pPr>
            <w:r>
              <w:t>Damaging, disturbing or removing naturally occurring feature</w:t>
            </w:r>
          </w:p>
        </w:tc>
        <w:tc>
          <w:tcPr>
            <w:tcW w:w="1200" w:type="dxa"/>
            <w:vAlign w:val="bottom"/>
          </w:tcPr>
          <w:p>
            <w:pPr>
              <w:pStyle w:val="yTable"/>
              <w:tabs>
                <w:tab w:val="decimal" w:pos="766"/>
              </w:tabs>
            </w:pPr>
            <w:r>
              <w:t>200</w:t>
            </w:r>
          </w:p>
        </w:tc>
      </w:tr>
      <w:tr>
        <w:trPr>
          <w:cantSplit/>
        </w:trPr>
        <w:tc>
          <w:tcPr>
            <w:tcW w:w="840" w:type="dxa"/>
          </w:tcPr>
          <w:p>
            <w:pPr>
              <w:pStyle w:val="yTable"/>
            </w:pPr>
            <w:r>
              <w:t>24.</w:t>
            </w:r>
          </w:p>
        </w:tc>
        <w:tc>
          <w:tcPr>
            <w:tcW w:w="1320" w:type="dxa"/>
          </w:tcPr>
          <w:p>
            <w:pPr>
              <w:pStyle w:val="yTable"/>
            </w:pPr>
            <w:r>
              <w:t>32</w:t>
            </w:r>
          </w:p>
        </w:tc>
        <w:tc>
          <w:tcPr>
            <w:tcW w:w="3720" w:type="dxa"/>
          </w:tcPr>
          <w:p>
            <w:pPr>
              <w:pStyle w:val="yTable"/>
            </w:pPr>
            <w:r>
              <w:t>Sandboarding</w:t>
            </w:r>
          </w:p>
        </w:tc>
        <w:tc>
          <w:tcPr>
            <w:tcW w:w="1200" w:type="dxa"/>
            <w:vAlign w:val="bottom"/>
          </w:tcPr>
          <w:p>
            <w:pPr>
              <w:pStyle w:val="yTable"/>
              <w:tabs>
                <w:tab w:val="decimal" w:pos="766"/>
              </w:tabs>
            </w:pPr>
            <w:r>
              <w:rPr>
                <w:szCs w:val="22"/>
              </w:rPr>
              <w:t>100</w:t>
            </w:r>
          </w:p>
        </w:tc>
      </w:tr>
      <w:tr>
        <w:trPr>
          <w:cantSplit/>
        </w:trPr>
        <w:tc>
          <w:tcPr>
            <w:tcW w:w="840" w:type="dxa"/>
          </w:tcPr>
          <w:p>
            <w:pPr>
              <w:pStyle w:val="yTable"/>
            </w:pPr>
            <w:r>
              <w:t>25.</w:t>
            </w:r>
          </w:p>
        </w:tc>
        <w:tc>
          <w:tcPr>
            <w:tcW w:w="1320" w:type="dxa"/>
          </w:tcPr>
          <w:p>
            <w:pPr>
              <w:pStyle w:val="yTable"/>
            </w:pPr>
            <w:r>
              <w:t>33</w:t>
            </w:r>
          </w:p>
        </w:tc>
        <w:tc>
          <w:tcPr>
            <w:tcW w:w="3720" w:type="dxa"/>
          </w:tcPr>
          <w:p>
            <w:pPr>
              <w:pStyle w:val="yTable"/>
            </w:pPr>
            <w:r>
              <w:t>Abseiling</w:t>
            </w:r>
          </w:p>
        </w:tc>
        <w:tc>
          <w:tcPr>
            <w:tcW w:w="1200" w:type="dxa"/>
            <w:vAlign w:val="bottom"/>
          </w:tcPr>
          <w:p>
            <w:pPr>
              <w:pStyle w:val="yTable"/>
              <w:tabs>
                <w:tab w:val="decimal" w:pos="766"/>
              </w:tabs>
            </w:pPr>
            <w:r>
              <w:rPr>
                <w:szCs w:val="22"/>
              </w:rPr>
              <w:t>100</w:t>
            </w:r>
          </w:p>
        </w:tc>
      </w:tr>
      <w:tr>
        <w:trPr>
          <w:cantSplit/>
        </w:trPr>
        <w:tc>
          <w:tcPr>
            <w:tcW w:w="840" w:type="dxa"/>
          </w:tcPr>
          <w:p>
            <w:pPr>
              <w:pStyle w:val="yTable"/>
            </w:pPr>
            <w:r>
              <w:t>25a.</w:t>
            </w:r>
          </w:p>
        </w:tc>
        <w:tc>
          <w:tcPr>
            <w:tcW w:w="1320" w:type="dxa"/>
          </w:tcPr>
          <w:p>
            <w:pPr>
              <w:pStyle w:val="yTable"/>
            </w:pPr>
            <w:r>
              <w:t>34(1)</w:t>
            </w:r>
          </w:p>
        </w:tc>
        <w:tc>
          <w:tcPr>
            <w:tcW w:w="3720" w:type="dxa"/>
          </w:tcPr>
          <w:p>
            <w:pPr>
              <w:pStyle w:val="yTable"/>
            </w:pPr>
            <w:r>
              <w:t>Unauthorised structure</w:t>
            </w:r>
          </w:p>
        </w:tc>
        <w:tc>
          <w:tcPr>
            <w:tcW w:w="1200" w:type="dxa"/>
            <w:vAlign w:val="bottom"/>
          </w:tcPr>
          <w:p>
            <w:pPr>
              <w:pStyle w:val="yTable"/>
              <w:tabs>
                <w:tab w:val="decimal" w:pos="766"/>
              </w:tabs>
            </w:pPr>
            <w:r>
              <w:t>200</w:t>
            </w:r>
          </w:p>
        </w:tc>
      </w:tr>
      <w:tr>
        <w:trPr>
          <w:cantSplit/>
        </w:trPr>
        <w:tc>
          <w:tcPr>
            <w:tcW w:w="840" w:type="dxa"/>
          </w:tcPr>
          <w:p>
            <w:pPr>
              <w:pStyle w:val="yTable"/>
            </w:pPr>
            <w:r>
              <w:t>25b.</w:t>
            </w:r>
          </w:p>
        </w:tc>
        <w:tc>
          <w:tcPr>
            <w:tcW w:w="1320" w:type="dxa"/>
          </w:tcPr>
          <w:p>
            <w:pPr>
              <w:pStyle w:val="yTable"/>
            </w:pPr>
            <w:r>
              <w:t>34(4)</w:t>
            </w:r>
          </w:p>
        </w:tc>
        <w:tc>
          <w:tcPr>
            <w:tcW w:w="3720" w:type="dxa"/>
          </w:tcPr>
          <w:p>
            <w:pPr>
              <w:pStyle w:val="yTable"/>
            </w:pPr>
            <w:r>
              <w:t>Failing to comply with direction to pull down etc. unauthorised structure</w:t>
            </w:r>
          </w:p>
        </w:tc>
        <w:tc>
          <w:tcPr>
            <w:tcW w:w="1200" w:type="dxa"/>
            <w:vAlign w:val="bottom"/>
          </w:tcPr>
          <w:p>
            <w:pPr>
              <w:pStyle w:val="yTable"/>
              <w:tabs>
                <w:tab w:val="decimal" w:pos="766"/>
              </w:tabs>
            </w:pPr>
            <w:r>
              <w:t>200</w:t>
            </w:r>
          </w:p>
        </w:tc>
      </w:tr>
      <w:tr>
        <w:trPr>
          <w:cantSplit/>
        </w:trPr>
        <w:tc>
          <w:tcPr>
            <w:tcW w:w="840" w:type="dxa"/>
          </w:tcPr>
          <w:p>
            <w:pPr>
              <w:pStyle w:val="yTable"/>
            </w:pPr>
            <w:r>
              <w:t>25c.</w:t>
            </w:r>
          </w:p>
        </w:tc>
        <w:tc>
          <w:tcPr>
            <w:tcW w:w="1320" w:type="dxa"/>
          </w:tcPr>
          <w:p>
            <w:pPr>
              <w:pStyle w:val="yTable"/>
            </w:pPr>
            <w:r>
              <w:t>35A(1)</w:t>
            </w:r>
          </w:p>
        </w:tc>
        <w:tc>
          <w:tcPr>
            <w:tcW w:w="3720" w:type="dxa"/>
          </w:tcPr>
          <w:p>
            <w:pPr>
              <w:pStyle w:val="yTable"/>
            </w:pPr>
            <w:r>
              <w:t>Quarrying, removing or disturbing soil etc.</w:t>
            </w:r>
          </w:p>
        </w:tc>
        <w:tc>
          <w:tcPr>
            <w:tcW w:w="1200" w:type="dxa"/>
            <w:vAlign w:val="bottom"/>
          </w:tcPr>
          <w:p>
            <w:pPr>
              <w:pStyle w:val="yTable"/>
              <w:tabs>
                <w:tab w:val="decimal" w:pos="766"/>
              </w:tabs>
            </w:pPr>
            <w:r>
              <w:t>200</w:t>
            </w:r>
          </w:p>
        </w:tc>
      </w:tr>
      <w:tr>
        <w:trPr>
          <w:cantSplit/>
        </w:trPr>
        <w:tc>
          <w:tcPr>
            <w:tcW w:w="840" w:type="dxa"/>
          </w:tcPr>
          <w:p>
            <w:pPr>
              <w:pStyle w:val="yTable"/>
            </w:pPr>
            <w:r>
              <w:t>26.</w:t>
            </w:r>
          </w:p>
        </w:tc>
        <w:tc>
          <w:tcPr>
            <w:tcW w:w="1320" w:type="dxa"/>
          </w:tcPr>
          <w:p>
            <w:pPr>
              <w:pStyle w:val="yTable"/>
            </w:pPr>
            <w:r>
              <w:t>36</w:t>
            </w:r>
          </w:p>
        </w:tc>
        <w:tc>
          <w:tcPr>
            <w:tcW w:w="3720" w:type="dxa"/>
          </w:tcPr>
          <w:p>
            <w:pPr>
              <w:pStyle w:val="yTable"/>
            </w:pPr>
            <w:r>
              <w:t>Dumping of vehicles etc.</w:t>
            </w:r>
          </w:p>
        </w:tc>
        <w:tc>
          <w:tcPr>
            <w:tcW w:w="1200" w:type="dxa"/>
            <w:vAlign w:val="bottom"/>
          </w:tcPr>
          <w:p>
            <w:pPr>
              <w:pStyle w:val="yTable"/>
              <w:tabs>
                <w:tab w:val="decimal" w:pos="766"/>
              </w:tabs>
            </w:pPr>
            <w:r>
              <w:t>200</w:t>
            </w:r>
          </w:p>
        </w:tc>
      </w:tr>
      <w:tr>
        <w:trPr>
          <w:cantSplit/>
        </w:trPr>
        <w:tc>
          <w:tcPr>
            <w:tcW w:w="840" w:type="dxa"/>
          </w:tcPr>
          <w:p>
            <w:pPr>
              <w:pStyle w:val="yTable"/>
            </w:pPr>
            <w:r>
              <w:t>27.</w:t>
            </w:r>
          </w:p>
        </w:tc>
        <w:tc>
          <w:tcPr>
            <w:tcW w:w="1320" w:type="dxa"/>
          </w:tcPr>
          <w:p>
            <w:pPr>
              <w:pStyle w:val="yTable"/>
            </w:pPr>
            <w:r>
              <w:t>37(1)</w:t>
            </w:r>
          </w:p>
        </w:tc>
        <w:tc>
          <w:tcPr>
            <w:tcW w:w="3720" w:type="dxa"/>
          </w:tcPr>
          <w:p>
            <w:pPr>
              <w:pStyle w:val="yTable"/>
            </w:pPr>
            <w:r>
              <w:t>Billsticking etc.</w:t>
            </w:r>
          </w:p>
        </w:tc>
        <w:tc>
          <w:tcPr>
            <w:tcW w:w="1200" w:type="dxa"/>
            <w:vAlign w:val="bottom"/>
          </w:tcPr>
          <w:p>
            <w:pPr>
              <w:pStyle w:val="yTable"/>
              <w:tabs>
                <w:tab w:val="decimal" w:pos="766"/>
              </w:tabs>
            </w:pPr>
            <w:r>
              <w:t>50</w:t>
            </w:r>
          </w:p>
        </w:tc>
      </w:tr>
      <w:tr>
        <w:trPr>
          <w:cantSplit/>
        </w:trPr>
        <w:tc>
          <w:tcPr>
            <w:tcW w:w="840" w:type="dxa"/>
          </w:tcPr>
          <w:p>
            <w:pPr>
              <w:pStyle w:val="yTable"/>
            </w:pPr>
            <w:r>
              <w:t>28.</w:t>
            </w:r>
          </w:p>
        </w:tc>
        <w:tc>
          <w:tcPr>
            <w:tcW w:w="1320" w:type="dxa"/>
          </w:tcPr>
          <w:p>
            <w:pPr>
              <w:pStyle w:val="yTable"/>
            </w:pPr>
            <w:r>
              <w:t>37(2)</w:t>
            </w:r>
          </w:p>
        </w:tc>
        <w:tc>
          <w:tcPr>
            <w:tcW w:w="3720" w:type="dxa"/>
          </w:tcPr>
          <w:p>
            <w:pPr>
              <w:pStyle w:val="yTable"/>
            </w:pPr>
            <w:r>
              <w:t>Damaging or interfering with thing or structure</w:t>
            </w:r>
          </w:p>
        </w:tc>
        <w:tc>
          <w:tcPr>
            <w:tcW w:w="1200" w:type="dxa"/>
            <w:vAlign w:val="bottom"/>
          </w:tcPr>
          <w:p>
            <w:pPr>
              <w:pStyle w:val="yTable"/>
              <w:tabs>
                <w:tab w:val="decimal" w:pos="766"/>
              </w:tabs>
            </w:pPr>
            <w:r>
              <w:t>200</w:t>
            </w:r>
          </w:p>
        </w:tc>
      </w:tr>
      <w:tr>
        <w:trPr>
          <w:cantSplit/>
        </w:trPr>
        <w:tc>
          <w:tcPr>
            <w:tcW w:w="840" w:type="dxa"/>
          </w:tcPr>
          <w:p>
            <w:pPr>
              <w:pStyle w:val="yTable"/>
            </w:pPr>
            <w:r>
              <w:t>29.</w:t>
            </w:r>
          </w:p>
        </w:tc>
        <w:tc>
          <w:tcPr>
            <w:tcW w:w="1320" w:type="dxa"/>
          </w:tcPr>
          <w:p>
            <w:pPr>
              <w:pStyle w:val="yTable"/>
            </w:pPr>
            <w:r>
              <w:t>38(1)</w:t>
            </w:r>
          </w:p>
        </w:tc>
        <w:tc>
          <w:tcPr>
            <w:tcW w:w="3720" w:type="dxa"/>
          </w:tcPr>
          <w:p>
            <w:pPr>
              <w:pStyle w:val="yTable"/>
            </w:pPr>
            <w:r>
              <w:t>Erecting unauthorised sign or notice</w:t>
            </w:r>
          </w:p>
        </w:tc>
        <w:tc>
          <w:tcPr>
            <w:tcW w:w="1200" w:type="dxa"/>
            <w:vAlign w:val="bottom"/>
          </w:tcPr>
          <w:p>
            <w:pPr>
              <w:pStyle w:val="yTable"/>
              <w:tabs>
                <w:tab w:val="decimal" w:pos="766"/>
              </w:tabs>
            </w:pPr>
            <w:r>
              <w:t>100</w:t>
            </w:r>
          </w:p>
        </w:tc>
      </w:tr>
      <w:tr>
        <w:trPr>
          <w:cantSplit/>
        </w:trPr>
        <w:tc>
          <w:tcPr>
            <w:tcW w:w="840" w:type="dxa"/>
          </w:tcPr>
          <w:p>
            <w:pPr>
              <w:pStyle w:val="yTable"/>
            </w:pPr>
            <w:r>
              <w:t>30.</w:t>
            </w:r>
          </w:p>
        </w:tc>
        <w:tc>
          <w:tcPr>
            <w:tcW w:w="1320" w:type="dxa"/>
          </w:tcPr>
          <w:p>
            <w:pPr>
              <w:pStyle w:val="yTable"/>
            </w:pPr>
            <w:r>
              <w:t>39(1) or (2)</w:t>
            </w:r>
          </w:p>
        </w:tc>
        <w:tc>
          <w:tcPr>
            <w:tcW w:w="3720" w:type="dxa"/>
          </w:tcPr>
          <w:p>
            <w:pPr>
              <w:pStyle w:val="yTable"/>
            </w:pPr>
            <w:r>
              <w:t>Unlawful lighting of fires etc.</w:t>
            </w:r>
          </w:p>
        </w:tc>
        <w:tc>
          <w:tcPr>
            <w:tcW w:w="1200" w:type="dxa"/>
            <w:vAlign w:val="bottom"/>
          </w:tcPr>
          <w:p>
            <w:pPr>
              <w:pStyle w:val="yTable"/>
              <w:tabs>
                <w:tab w:val="decimal" w:pos="766"/>
              </w:tabs>
            </w:pPr>
            <w:r>
              <w:t>200</w:t>
            </w:r>
          </w:p>
        </w:tc>
      </w:tr>
      <w:tr>
        <w:trPr>
          <w:cantSplit/>
        </w:trPr>
        <w:tc>
          <w:tcPr>
            <w:tcW w:w="840" w:type="dxa"/>
          </w:tcPr>
          <w:p>
            <w:pPr>
              <w:pStyle w:val="yTable"/>
            </w:pPr>
            <w:r>
              <w:t>31.</w:t>
            </w:r>
          </w:p>
        </w:tc>
        <w:tc>
          <w:tcPr>
            <w:tcW w:w="1320" w:type="dxa"/>
          </w:tcPr>
          <w:p>
            <w:pPr>
              <w:pStyle w:val="yTable"/>
            </w:pPr>
            <w:r>
              <w:t>40(3)</w:t>
            </w:r>
          </w:p>
        </w:tc>
        <w:tc>
          <w:tcPr>
            <w:tcW w:w="3720" w:type="dxa"/>
          </w:tcPr>
          <w:p>
            <w:pPr>
              <w:pStyle w:val="yTable"/>
            </w:pPr>
            <w:r>
              <w:t>Failing to comply with direction under regulation 40(1) or (2)</w:t>
            </w:r>
          </w:p>
        </w:tc>
        <w:tc>
          <w:tcPr>
            <w:tcW w:w="1200" w:type="dxa"/>
            <w:vAlign w:val="bottom"/>
          </w:tcPr>
          <w:p>
            <w:pPr>
              <w:pStyle w:val="yTable"/>
              <w:tabs>
                <w:tab w:val="decimal" w:pos="766"/>
              </w:tabs>
            </w:pPr>
            <w:r>
              <w:t>200</w:t>
            </w:r>
          </w:p>
        </w:tc>
      </w:tr>
      <w:tr>
        <w:trPr>
          <w:cantSplit/>
        </w:trPr>
        <w:tc>
          <w:tcPr>
            <w:tcW w:w="840" w:type="dxa"/>
          </w:tcPr>
          <w:p>
            <w:pPr>
              <w:pStyle w:val="yTable"/>
            </w:pPr>
            <w:r>
              <w:t>32.</w:t>
            </w:r>
          </w:p>
        </w:tc>
        <w:tc>
          <w:tcPr>
            <w:tcW w:w="1320" w:type="dxa"/>
          </w:tcPr>
          <w:p>
            <w:pPr>
              <w:pStyle w:val="yTable"/>
            </w:pPr>
            <w:r>
              <w:t>41</w:t>
            </w:r>
          </w:p>
        </w:tc>
        <w:tc>
          <w:tcPr>
            <w:tcW w:w="3720" w:type="dxa"/>
          </w:tcPr>
          <w:p>
            <w:pPr>
              <w:pStyle w:val="yTable"/>
            </w:pPr>
            <w:r>
              <w:t>Entering certain classified areas</w:t>
            </w:r>
          </w:p>
        </w:tc>
        <w:tc>
          <w:tcPr>
            <w:tcW w:w="1200" w:type="dxa"/>
            <w:vAlign w:val="bottom"/>
          </w:tcPr>
          <w:p>
            <w:pPr>
              <w:pStyle w:val="yTable"/>
              <w:tabs>
                <w:tab w:val="decimal" w:pos="766"/>
              </w:tabs>
            </w:pPr>
            <w:r>
              <w:t>200</w:t>
            </w:r>
          </w:p>
        </w:tc>
      </w:tr>
      <w:tr>
        <w:trPr>
          <w:cantSplit/>
        </w:trPr>
        <w:tc>
          <w:tcPr>
            <w:tcW w:w="840" w:type="dxa"/>
          </w:tcPr>
          <w:p>
            <w:pPr>
              <w:pStyle w:val="yTable"/>
            </w:pPr>
            <w:r>
              <w:t>33.</w:t>
            </w:r>
          </w:p>
        </w:tc>
        <w:tc>
          <w:tcPr>
            <w:tcW w:w="1320" w:type="dxa"/>
          </w:tcPr>
          <w:p>
            <w:pPr>
              <w:pStyle w:val="yTable"/>
            </w:pPr>
            <w:r>
              <w:t>42</w:t>
            </w:r>
          </w:p>
        </w:tc>
        <w:tc>
          <w:tcPr>
            <w:tcW w:w="3720" w:type="dxa"/>
          </w:tcPr>
          <w:p>
            <w:pPr>
              <w:pStyle w:val="yTable"/>
            </w:pPr>
            <w:r>
              <w:t>Entering limited access area other than on foot or by vessel</w:t>
            </w:r>
          </w:p>
        </w:tc>
        <w:tc>
          <w:tcPr>
            <w:tcW w:w="1200" w:type="dxa"/>
            <w:vAlign w:val="bottom"/>
          </w:tcPr>
          <w:p>
            <w:pPr>
              <w:pStyle w:val="yTable"/>
              <w:tabs>
                <w:tab w:val="decimal" w:pos="766"/>
              </w:tabs>
            </w:pPr>
            <w:r>
              <w:t>200</w:t>
            </w:r>
          </w:p>
        </w:tc>
      </w:tr>
      <w:tr>
        <w:trPr>
          <w:cantSplit/>
        </w:trPr>
        <w:tc>
          <w:tcPr>
            <w:tcW w:w="840" w:type="dxa"/>
          </w:tcPr>
          <w:p>
            <w:pPr>
              <w:pStyle w:val="yTable"/>
            </w:pPr>
            <w:r>
              <w:t>34.</w:t>
            </w:r>
          </w:p>
        </w:tc>
        <w:tc>
          <w:tcPr>
            <w:tcW w:w="1320" w:type="dxa"/>
          </w:tcPr>
          <w:p>
            <w:pPr>
              <w:pStyle w:val="yTable"/>
            </w:pPr>
            <w:r>
              <w:t>43</w:t>
            </w:r>
          </w:p>
        </w:tc>
        <w:tc>
          <w:tcPr>
            <w:tcW w:w="3720" w:type="dxa"/>
          </w:tcPr>
          <w:p>
            <w:pPr>
              <w:pStyle w:val="yTable"/>
            </w:pPr>
            <w:r>
              <w:t>Entering wilderness area by vehicle, vessel or animal</w:t>
            </w:r>
          </w:p>
        </w:tc>
        <w:tc>
          <w:tcPr>
            <w:tcW w:w="1200" w:type="dxa"/>
            <w:vAlign w:val="bottom"/>
          </w:tcPr>
          <w:p>
            <w:pPr>
              <w:pStyle w:val="yTable"/>
              <w:tabs>
                <w:tab w:val="decimal" w:pos="766"/>
              </w:tabs>
            </w:pPr>
            <w:r>
              <w:rPr>
                <w:szCs w:val="22"/>
              </w:rPr>
              <w:t>200</w:t>
            </w:r>
          </w:p>
        </w:tc>
      </w:tr>
      <w:tr>
        <w:trPr>
          <w:cantSplit/>
        </w:trPr>
        <w:tc>
          <w:tcPr>
            <w:tcW w:w="840" w:type="dxa"/>
          </w:tcPr>
          <w:p>
            <w:pPr>
              <w:pStyle w:val="yTable"/>
            </w:pPr>
            <w:r>
              <w:t>35.</w:t>
            </w:r>
          </w:p>
        </w:tc>
        <w:tc>
          <w:tcPr>
            <w:tcW w:w="1320" w:type="dxa"/>
          </w:tcPr>
          <w:p>
            <w:pPr>
              <w:pStyle w:val="yTable"/>
            </w:pPr>
            <w:r>
              <w:t>46(1)</w:t>
            </w:r>
          </w:p>
        </w:tc>
        <w:tc>
          <w:tcPr>
            <w:tcW w:w="3720" w:type="dxa"/>
          </w:tcPr>
          <w:p>
            <w:pPr>
              <w:pStyle w:val="yTable"/>
            </w:pPr>
            <w:r>
              <w:t>Entering closed area</w:t>
            </w:r>
          </w:p>
        </w:tc>
        <w:tc>
          <w:tcPr>
            <w:tcW w:w="1200" w:type="dxa"/>
            <w:vAlign w:val="bottom"/>
          </w:tcPr>
          <w:p>
            <w:pPr>
              <w:pStyle w:val="yTable"/>
              <w:tabs>
                <w:tab w:val="decimal" w:pos="766"/>
              </w:tabs>
            </w:pPr>
            <w:r>
              <w:rPr>
                <w:szCs w:val="22"/>
              </w:rPr>
              <w:t>200</w:t>
            </w:r>
          </w:p>
        </w:tc>
      </w:tr>
      <w:tr>
        <w:trPr>
          <w:cantSplit/>
        </w:trPr>
        <w:tc>
          <w:tcPr>
            <w:tcW w:w="840" w:type="dxa"/>
          </w:tcPr>
          <w:p>
            <w:pPr>
              <w:pStyle w:val="yTable"/>
            </w:pPr>
            <w:r>
              <w:t>36A.</w:t>
            </w:r>
          </w:p>
        </w:tc>
        <w:tc>
          <w:tcPr>
            <w:tcW w:w="1320" w:type="dxa"/>
          </w:tcPr>
          <w:p>
            <w:pPr>
              <w:pStyle w:val="yTable"/>
            </w:pPr>
            <w:r>
              <w:t>46(2)</w:t>
            </w:r>
          </w:p>
        </w:tc>
        <w:tc>
          <w:tcPr>
            <w:tcW w:w="3720" w:type="dxa"/>
          </w:tcPr>
          <w:p>
            <w:pPr>
              <w:pStyle w:val="yTable"/>
            </w:pPr>
            <w:r>
              <w:t>Failing to leave a closed area</w:t>
            </w:r>
          </w:p>
        </w:tc>
        <w:tc>
          <w:tcPr>
            <w:tcW w:w="1200" w:type="dxa"/>
            <w:vAlign w:val="bottom"/>
          </w:tcPr>
          <w:p>
            <w:pPr>
              <w:pStyle w:val="yTable"/>
              <w:tabs>
                <w:tab w:val="decimal" w:pos="766"/>
              </w:tabs>
            </w:pPr>
            <w:r>
              <w:t>200</w:t>
            </w:r>
          </w:p>
        </w:tc>
      </w:tr>
      <w:tr>
        <w:trPr>
          <w:cantSplit/>
        </w:trPr>
        <w:tc>
          <w:tcPr>
            <w:tcW w:w="840" w:type="dxa"/>
          </w:tcPr>
          <w:p>
            <w:pPr>
              <w:pStyle w:val="yTable"/>
            </w:pPr>
            <w:r>
              <w:t>36.</w:t>
            </w:r>
          </w:p>
        </w:tc>
        <w:tc>
          <w:tcPr>
            <w:tcW w:w="1320" w:type="dxa"/>
          </w:tcPr>
          <w:p>
            <w:pPr>
              <w:pStyle w:val="yTable"/>
            </w:pPr>
            <w:r>
              <w:t>47(1)</w:t>
            </w:r>
          </w:p>
        </w:tc>
        <w:tc>
          <w:tcPr>
            <w:tcW w:w="3720" w:type="dxa"/>
          </w:tcPr>
          <w:p>
            <w:pPr>
              <w:pStyle w:val="yTable"/>
            </w:pPr>
            <w:r>
              <w:t>Failing to enter through gate or barrier</w:t>
            </w:r>
          </w:p>
        </w:tc>
        <w:tc>
          <w:tcPr>
            <w:tcW w:w="1200" w:type="dxa"/>
            <w:vAlign w:val="bottom"/>
          </w:tcPr>
          <w:p>
            <w:pPr>
              <w:pStyle w:val="yTable"/>
              <w:tabs>
                <w:tab w:val="decimal" w:pos="766"/>
              </w:tabs>
            </w:pPr>
            <w:r>
              <w:t>50</w:t>
            </w:r>
          </w:p>
        </w:tc>
      </w:tr>
      <w:tr>
        <w:trPr>
          <w:cantSplit/>
        </w:trPr>
        <w:tc>
          <w:tcPr>
            <w:tcW w:w="840" w:type="dxa"/>
          </w:tcPr>
          <w:p>
            <w:pPr>
              <w:pStyle w:val="yTable"/>
            </w:pPr>
            <w:r>
              <w:t>37.</w:t>
            </w:r>
          </w:p>
        </w:tc>
        <w:tc>
          <w:tcPr>
            <w:tcW w:w="1320" w:type="dxa"/>
          </w:tcPr>
          <w:p>
            <w:pPr>
              <w:pStyle w:val="yTable"/>
            </w:pPr>
            <w:r>
              <w:t>47(2)</w:t>
            </w:r>
          </w:p>
        </w:tc>
        <w:tc>
          <w:tcPr>
            <w:tcW w:w="3720" w:type="dxa"/>
          </w:tcPr>
          <w:p>
            <w:pPr>
              <w:pStyle w:val="yTable"/>
            </w:pPr>
            <w:r>
              <w:t>Unlawfully unlocking etc. gate or barrier</w:t>
            </w:r>
          </w:p>
        </w:tc>
        <w:tc>
          <w:tcPr>
            <w:tcW w:w="1200" w:type="dxa"/>
            <w:vAlign w:val="bottom"/>
          </w:tcPr>
          <w:p>
            <w:pPr>
              <w:pStyle w:val="yTable"/>
              <w:tabs>
                <w:tab w:val="decimal" w:pos="766"/>
              </w:tabs>
            </w:pPr>
            <w:r>
              <w:t>50</w:t>
            </w:r>
          </w:p>
        </w:tc>
      </w:tr>
      <w:tr>
        <w:trPr>
          <w:cantSplit/>
        </w:trPr>
        <w:tc>
          <w:tcPr>
            <w:tcW w:w="840" w:type="dxa"/>
          </w:tcPr>
          <w:p>
            <w:pPr>
              <w:pStyle w:val="yTable"/>
            </w:pPr>
            <w:r>
              <w:t>37a.</w:t>
            </w:r>
          </w:p>
        </w:tc>
        <w:tc>
          <w:tcPr>
            <w:tcW w:w="1320" w:type="dxa"/>
          </w:tcPr>
          <w:p>
            <w:pPr>
              <w:pStyle w:val="yTable"/>
            </w:pPr>
            <w:r>
              <w:t>47(3)</w:t>
            </w:r>
          </w:p>
        </w:tc>
        <w:tc>
          <w:tcPr>
            <w:tcW w:w="3720" w:type="dxa"/>
          </w:tcPr>
          <w:p>
            <w:pPr>
              <w:pStyle w:val="yTable"/>
            </w:pPr>
            <w:r>
              <w:t>Unlawfully removing etc. gate or barrier</w:t>
            </w:r>
          </w:p>
        </w:tc>
        <w:tc>
          <w:tcPr>
            <w:tcW w:w="1200" w:type="dxa"/>
            <w:vAlign w:val="bottom"/>
          </w:tcPr>
          <w:p>
            <w:pPr>
              <w:pStyle w:val="yTable"/>
              <w:tabs>
                <w:tab w:val="decimal" w:pos="766"/>
              </w:tabs>
            </w:pPr>
            <w:r>
              <w:t>50</w:t>
            </w:r>
          </w:p>
        </w:tc>
      </w:tr>
      <w:tr>
        <w:trPr>
          <w:cantSplit/>
        </w:trPr>
        <w:tc>
          <w:tcPr>
            <w:tcW w:w="840" w:type="dxa"/>
          </w:tcPr>
          <w:p>
            <w:pPr>
              <w:pStyle w:val="yTable"/>
            </w:pPr>
            <w:r>
              <w:t>38.</w:t>
            </w:r>
          </w:p>
        </w:tc>
        <w:tc>
          <w:tcPr>
            <w:tcW w:w="1320" w:type="dxa"/>
          </w:tcPr>
          <w:p>
            <w:pPr>
              <w:pStyle w:val="yTable"/>
            </w:pPr>
            <w:r>
              <w:t>48</w:t>
            </w:r>
          </w:p>
        </w:tc>
        <w:tc>
          <w:tcPr>
            <w:tcW w:w="3720" w:type="dxa"/>
          </w:tcPr>
          <w:p>
            <w:pPr>
              <w:pStyle w:val="yTable"/>
            </w:pPr>
            <w:r>
              <w:t>Entering or remaining on area set aside for Departmental purposes</w:t>
            </w:r>
          </w:p>
        </w:tc>
        <w:tc>
          <w:tcPr>
            <w:tcW w:w="1200" w:type="dxa"/>
            <w:vAlign w:val="bottom"/>
          </w:tcPr>
          <w:p>
            <w:pPr>
              <w:pStyle w:val="yTable"/>
              <w:tabs>
                <w:tab w:val="decimal" w:pos="766"/>
              </w:tabs>
            </w:pPr>
            <w:r>
              <w:t>50</w:t>
            </w:r>
          </w:p>
        </w:tc>
      </w:tr>
      <w:tr>
        <w:trPr>
          <w:cantSplit/>
        </w:trPr>
        <w:tc>
          <w:tcPr>
            <w:tcW w:w="840" w:type="dxa"/>
          </w:tcPr>
          <w:p>
            <w:pPr>
              <w:pStyle w:val="yTable"/>
            </w:pPr>
            <w:r>
              <w:t>39.</w:t>
            </w:r>
          </w:p>
        </w:tc>
        <w:tc>
          <w:tcPr>
            <w:tcW w:w="1320" w:type="dxa"/>
          </w:tcPr>
          <w:p>
            <w:pPr>
              <w:pStyle w:val="yTable"/>
            </w:pPr>
            <w:r>
              <w:t>49(4)</w:t>
            </w:r>
          </w:p>
        </w:tc>
        <w:tc>
          <w:tcPr>
            <w:tcW w:w="3720" w:type="dxa"/>
          </w:tcPr>
          <w:p>
            <w:pPr>
              <w:pStyle w:val="yTable"/>
            </w:pPr>
            <w:r>
              <w:t>Entering or remaining in cave</w:t>
            </w:r>
          </w:p>
        </w:tc>
        <w:tc>
          <w:tcPr>
            <w:tcW w:w="1200" w:type="dxa"/>
            <w:vAlign w:val="bottom"/>
          </w:tcPr>
          <w:p>
            <w:pPr>
              <w:pStyle w:val="yTable"/>
              <w:tabs>
                <w:tab w:val="decimal" w:pos="766"/>
              </w:tabs>
            </w:pPr>
            <w:r>
              <w:t>100</w:t>
            </w:r>
          </w:p>
        </w:tc>
      </w:tr>
      <w:tr>
        <w:trPr>
          <w:cantSplit/>
        </w:trPr>
        <w:tc>
          <w:tcPr>
            <w:tcW w:w="840" w:type="dxa"/>
          </w:tcPr>
          <w:p>
            <w:pPr>
              <w:pStyle w:val="yTable"/>
            </w:pPr>
            <w:r>
              <w:t>40.</w:t>
            </w:r>
          </w:p>
        </w:tc>
        <w:tc>
          <w:tcPr>
            <w:tcW w:w="1320" w:type="dxa"/>
          </w:tcPr>
          <w:p>
            <w:pPr>
              <w:pStyle w:val="yTable"/>
            </w:pPr>
            <w:r>
              <w:t>49(5)</w:t>
            </w:r>
          </w:p>
        </w:tc>
        <w:tc>
          <w:tcPr>
            <w:tcW w:w="3720" w:type="dxa"/>
          </w:tcPr>
          <w:p>
            <w:pPr>
              <w:pStyle w:val="yTable"/>
            </w:pPr>
            <w:r>
              <w:t>Failing to comply with condition or restriction of permit to enter cave</w:t>
            </w:r>
          </w:p>
        </w:tc>
        <w:tc>
          <w:tcPr>
            <w:tcW w:w="1200" w:type="dxa"/>
            <w:vAlign w:val="bottom"/>
          </w:tcPr>
          <w:p>
            <w:pPr>
              <w:pStyle w:val="yTable"/>
              <w:tabs>
                <w:tab w:val="decimal" w:pos="766"/>
              </w:tabs>
            </w:pPr>
            <w:r>
              <w:t>100</w:t>
            </w:r>
          </w:p>
        </w:tc>
      </w:tr>
      <w:tr>
        <w:trPr>
          <w:cantSplit/>
        </w:trPr>
        <w:tc>
          <w:tcPr>
            <w:tcW w:w="840" w:type="dxa"/>
          </w:tcPr>
          <w:p>
            <w:pPr>
              <w:pStyle w:val="yTable"/>
            </w:pPr>
            <w:r>
              <w:t>40a.</w:t>
            </w:r>
          </w:p>
        </w:tc>
        <w:tc>
          <w:tcPr>
            <w:tcW w:w="1320" w:type="dxa"/>
          </w:tcPr>
          <w:p>
            <w:pPr>
              <w:pStyle w:val="yTable"/>
            </w:pPr>
            <w:r>
              <w:t>50</w:t>
            </w:r>
          </w:p>
        </w:tc>
        <w:tc>
          <w:tcPr>
            <w:tcW w:w="3720" w:type="dxa"/>
          </w:tcPr>
          <w:p>
            <w:pPr>
              <w:pStyle w:val="yTable"/>
            </w:pPr>
            <w:r>
              <w:t>Unlawfully organising cross country events etc.</w:t>
            </w:r>
          </w:p>
        </w:tc>
        <w:tc>
          <w:tcPr>
            <w:tcW w:w="1200" w:type="dxa"/>
            <w:vAlign w:val="bottom"/>
          </w:tcPr>
          <w:p>
            <w:pPr>
              <w:pStyle w:val="yTable"/>
              <w:tabs>
                <w:tab w:val="decimal" w:pos="766"/>
              </w:tabs>
            </w:pPr>
            <w:r>
              <w:t>100</w:t>
            </w:r>
          </w:p>
        </w:tc>
      </w:tr>
      <w:tr>
        <w:trPr>
          <w:cantSplit/>
        </w:trPr>
        <w:tc>
          <w:tcPr>
            <w:tcW w:w="840" w:type="dxa"/>
          </w:tcPr>
          <w:p>
            <w:pPr>
              <w:pStyle w:val="yTable"/>
            </w:pPr>
            <w:r>
              <w:t>41.</w:t>
            </w:r>
          </w:p>
        </w:tc>
        <w:tc>
          <w:tcPr>
            <w:tcW w:w="1320" w:type="dxa"/>
          </w:tcPr>
          <w:p>
            <w:pPr>
              <w:pStyle w:val="yTable"/>
            </w:pPr>
            <w:r>
              <w:t>51(1)</w:t>
            </w:r>
          </w:p>
        </w:tc>
        <w:tc>
          <w:tcPr>
            <w:tcW w:w="3720" w:type="dxa"/>
          </w:tcPr>
          <w:p>
            <w:pPr>
              <w:pStyle w:val="yTable"/>
            </w:pPr>
            <w:r>
              <w:t>Unlawfully driving or using vehicle</w:t>
            </w:r>
          </w:p>
        </w:tc>
        <w:tc>
          <w:tcPr>
            <w:tcW w:w="1200" w:type="dxa"/>
            <w:vAlign w:val="bottom"/>
          </w:tcPr>
          <w:p>
            <w:pPr>
              <w:pStyle w:val="yTable"/>
              <w:tabs>
                <w:tab w:val="decimal" w:pos="766"/>
              </w:tabs>
            </w:pPr>
            <w:r>
              <w:rPr>
                <w:szCs w:val="22"/>
              </w:rPr>
              <w:t>200</w:t>
            </w:r>
          </w:p>
        </w:tc>
      </w:tr>
      <w:tr>
        <w:trPr>
          <w:cantSplit/>
        </w:trPr>
        <w:tc>
          <w:tcPr>
            <w:tcW w:w="840" w:type="dxa"/>
          </w:tcPr>
          <w:p>
            <w:pPr>
              <w:pStyle w:val="yTable"/>
            </w:pPr>
            <w:r>
              <w:t>41a.</w:t>
            </w:r>
          </w:p>
        </w:tc>
        <w:tc>
          <w:tcPr>
            <w:tcW w:w="1320" w:type="dxa"/>
          </w:tcPr>
          <w:p>
            <w:pPr>
              <w:pStyle w:val="yTable"/>
            </w:pPr>
            <w:r>
              <w:t>51(3)</w:t>
            </w:r>
          </w:p>
        </w:tc>
        <w:tc>
          <w:tcPr>
            <w:tcW w:w="3720" w:type="dxa"/>
          </w:tcPr>
          <w:p>
            <w:pPr>
              <w:pStyle w:val="yTable"/>
            </w:pPr>
            <w:r>
              <w:t>Unlawfully driving or using vehicle in restricted area</w:t>
            </w:r>
          </w:p>
        </w:tc>
        <w:tc>
          <w:tcPr>
            <w:tcW w:w="1200" w:type="dxa"/>
            <w:vAlign w:val="bottom"/>
          </w:tcPr>
          <w:p>
            <w:pPr>
              <w:pStyle w:val="yTable"/>
              <w:tabs>
                <w:tab w:val="decimal" w:pos="766"/>
              </w:tabs>
            </w:pPr>
            <w:r>
              <w:t>200</w:t>
            </w:r>
          </w:p>
        </w:tc>
      </w:tr>
      <w:tr>
        <w:trPr>
          <w:cantSplit/>
        </w:trPr>
        <w:tc>
          <w:tcPr>
            <w:tcW w:w="840" w:type="dxa"/>
          </w:tcPr>
          <w:p>
            <w:pPr>
              <w:pStyle w:val="yTable"/>
            </w:pPr>
            <w:r>
              <w:t>41b.</w:t>
            </w:r>
          </w:p>
        </w:tc>
        <w:tc>
          <w:tcPr>
            <w:tcW w:w="1320" w:type="dxa"/>
          </w:tcPr>
          <w:p>
            <w:pPr>
              <w:pStyle w:val="yTable"/>
            </w:pPr>
            <w:r>
              <w:t>51A(1)</w:t>
            </w:r>
          </w:p>
        </w:tc>
        <w:tc>
          <w:tcPr>
            <w:tcW w:w="3720" w:type="dxa"/>
          </w:tcPr>
          <w:p>
            <w:pPr>
              <w:pStyle w:val="yTable"/>
            </w:pPr>
            <w:r>
              <w:t>Unlawfully riding a bicycle on CALM land</w:t>
            </w:r>
          </w:p>
        </w:tc>
        <w:tc>
          <w:tcPr>
            <w:tcW w:w="1200" w:type="dxa"/>
            <w:vAlign w:val="bottom"/>
          </w:tcPr>
          <w:p>
            <w:pPr>
              <w:pStyle w:val="yTable"/>
              <w:tabs>
                <w:tab w:val="decimal" w:pos="766"/>
              </w:tabs>
            </w:pPr>
            <w:r>
              <w:t>50</w:t>
            </w:r>
          </w:p>
        </w:tc>
      </w:tr>
      <w:tr>
        <w:trPr>
          <w:cantSplit/>
        </w:trPr>
        <w:tc>
          <w:tcPr>
            <w:tcW w:w="840" w:type="dxa"/>
          </w:tcPr>
          <w:p>
            <w:pPr>
              <w:pStyle w:val="yTable"/>
            </w:pPr>
            <w:r>
              <w:t>41c.</w:t>
            </w:r>
          </w:p>
        </w:tc>
        <w:tc>
          <w:tcPr>
            <w:tcW w:w="1320" w:type="dxa"/>
          </w:tcPr>
          <w:p>
            <w:pPr>
              <w:pStyle w:val="yTable"/>
            </w:pPr>
            <w:r>
              <w:t>51A(3)</w:t>
            </w:r>
          </w:p>
        </w:tc>
        <w:tc>
          <w:tcPr>
            <w:tcW w:w="3720" w:type="dxa"/>
          </w:tcPr>
          <w:p>
            <w:pPr>
              <w:pStyle w:val="yTable"/>
            </w:pPr>
            <w:r>
              <w:t>Unlawfully riding a bicycle in restricted area</w:t>
            </w:r>
          </w:p>
        </w:tc>
        <w:tc>
          <w:tcPr>
            <w:tcW w:w="1200" w:type="dxa"/>
            <w:vAlign w:val="bottom"/>
          </w:tcPr>
          <w:p>
            <w:pPr>
              <w:pStyle w:val="yTable"/>
              <w:tabs>
                <w:tab w:val="decimal" w:pos="766"/>
              </w:tabs>
            </w:pPr>
            <w:r>
              <w:t>100</w:t>
            </w:r>
          </w:p>
        </w:tc>
      </w:tr>
      <w:tr>
        <w:trPr>
          <w:cantSplit/>
        </w:trPr>
        <w:tc>
          <w:tcPr>
            <w:tcW w:w="840" w:type="dxa"/>
          </w:tcPr>
          <w:p>
            <w:pPr>
              <w:pStyle w:val="yTable"/>
            </w:pPr>
            <w:r>
              <w:t>42.</w:t>
            </w:r>
          </w:p>
        </w:tc>
        <w:tc>
          <w:tcPr>
            <w:tcW w:w="1320" w:type="dxa"/>
          </w:tcPr>
          <w:p>
            <w:pPr>
              <w:pStyle w:val="yTable"/>
            </w:pPr>
            <w:r>
              <w:t>52</w:t>
            </w:r>
          </w:p>
        </w:tc>
        <w:tc>
          <w:tcPr>
            <w:tcW w:w="3720" w:type="dxa"/>
          </w:tcPr>
          <w:p>
            <w:pPr>
              <w:pStyle w:val="yTable"/>
            </w:pPr>
            <w:r>
              <w:t>Unlawfully using off</w:t>
            </w:r>
            <w:r>
              <w:noBreakHyphen/>
              <w:t>road vehicle</w:t>
            </w:r>
          </w:p>
        </w:tc>
        <w:tc>
          <w:tcPr>
            <w:tcW w:w="1200" w:type="dxa"/>
            <w:vAlign w:val="bottom"/>
          </w:tcPr>
          <w:p>
            <w:pPr>
              <w:pStyle w:val="yTable"/>
              <w:tabs>
                <w:tab w:val="decimal" w:pos="766"/>
              </w:tabs>
            </w:pPr>
            <w:r>
              <w:rPr>
                <w:szCs w:val="22"/>
              </w:rPr>
              <w:t>200</w:t>
            </w:r>
          </w:p>
        </w:tc>
      </w:tr>
      <w:tr>
        <w:trPr>
          <w:cantSplit/>
        </w:trPr>
        <w:tc>
          <w:tcPr>
            <w:tcW w:w="840" w:type="dxa"/>
          </w:tcPr>
          <w:p>
            <w:pPr>
              <w:pStyle w:val="yTable"/>
            </w:pPr>
            <w:r>
              <w:t>42a.</w:t>
            </w:r>
          </w:p>
        </w:tc>
        <w:tc>
          <w:tcPr>
            <w:tcW w:w="1320" w:type="dxa"/>
          </w:tcPr>
          <w:p>
            <w:pPr>
              <w:pStyle w:val="yTable"/>
            </w:pPr>
            <w:r>
              <w:t>53</w:t>
            </w:r>
          </w:p>
        </w:tc>
        <w:tc>
          <w:tcPr>
            <w:tcW w:w="3720" w:type="dxa"/>
          </w:tcPr>
          <w:p>
            <w:pPr>
              <w:pStyle w:val="yTable"/>
            </w:pPr>
            <w:r>
              <w:t>Unlawfully organising car rallies etc.</w:t>
            </w:r>
          </w:p>
        </w:tc>
        <w:tc>
          <w:tcPr>
            <w:tcW w:w="1200" w:type="dxa"/>
            <w:vAlign w:val="bottom"/>
          </w:tcPr>
          <w:p>
            <w:pPr>
              <w:pStyle w:val="yTable"/>
              <w:tabs>
                <w:tab w:val="decimal" w:pos="766"/>
              </w:tabs>
            </w:pPr>
            <w:r>
              <w:t>200</w:t>
            </w:r>
          </w:p>
        </w:tc>
      </w:tr>
      <w:tr>
        <w:trPr>
          <w:cantSplit/>
        </w:trPr>
        <w:tc>
          <w:tcPr>
            <w:tcW w:w="840" w:type="dxa"/>
          </w:tcPr>
          <w:p>
            <w:pPr>
              <w:pStyle w:val="yTable"/>
            </w:pPr>
            <w:r>
              <w:t>43.</w:t>
            </w:r>
          </w:p>
        </w:tc>
        <w:tc>
          <w:tcPr>
            <w:tcW w:w="1320" w:type="dxa"/>
          </w:tcPr>
          <w:p>
            <w:pPr>
              <w:pStyle w:val="yTable"/>
            </w:pPr>
            <w:r>
              <w:t>54(1)</w:t>
            </w:r>
          </w:p>
        </w:tc>
        <w:tc>
          <w:tcPr>
            <w:tcW w:w="3720" w:type="dxa"/>
          </w:tcPr>
          <w:p>
            <w:pPr>
              <w:pStyle w:val="yTable"/>
            </w:pPr>
            <w:r>
              <w:t>Breaching traffic law</w:t>
            </w:r>
          </w:p>
        </w:tc>
        <w:tc>
          <w:tcPr>
            <w:tcW w:w="1200" w:type="dxa"/>
            <w:vAlign w:val="bottom"/>
          </w:tcPr>
          <w:p>
            <w:pPr>
              <w:pStyle w:val="yTable"/>
              <w:tabs>
                <w:tab w:val="decimal" w:pos="766"/>
              </w:tabs>
            </w:pPr>
            <w:r>
              <w:rPr>
                <w:szCs w:val="22"/>
              </w:rPr>
              <w:t>100</w:t>
            </w:r>
          </w:p>
        </w:tc>
      </w:tr>
      <w:tr>
        <w:trPr>
          <w:cantSplit/>
        </w:trPr>
        <w:tc>
          <w:tcPr>
            <w:tcW w:w="840" w:type="dxa"/>
          </w:tcPr>
          <w:p>
            <w:pPr>
              <w:pStyle w:val="yTable"/>
            </w:pPr>
            <w:r>
              <w:t>44A.</w:t>
            </w:r>
          </w:p>
        </w:tc>
        <w:tc>
          <w:tcPr>
            <w:tcW w:w="1320" w:type="dxa"/>
          </w:tcPr>
          <w:p>
            <w:pPr>
              <w:pStyle w:val="yTable"/>
            </w:pPr>
            <w:r>
              <w:t>54(2)</w:t>
            </w:r>
          </w:p>
        </w:tc>
        <w:tc>
          <w:tcPr>
            <w:tcW w:w="3720" w:type="dxa"/>
          </w:tcPr>
          <w:p>
            <w:pPr>
              <w:pStyle w:val="yTable"/>
            </w:pPr>
            <w:r>
              <w:t>Driving a vehicle in a dangerous or careless manner</w:t>
            </w:r>
          </w:p>
        </w:tc>
        <w:tc>
          <w:tcPr>
            <w:tcW w:w="1200" w:type="dxa"/>
            <w:vAlign w:val="bottom"/>
          </w:tcPr>
          <w:p>
            <w:pPr>
              <w:pStyle w:val="yTable"/>
              <w:tabs>
                <w:tab w:val="decimal" w:pos="766"/>
              </w:tabs>
            </w:pPr>
            <w:r>
              <w:br/>
              <w:t>100</w:t>
            </w:r>
          </w:p>
        </w:tc>
      </w:tr>
      <w:tr>
        <w:trPr>
          <w:cantSplit/>
        </w:trPr>
        <w:tc>
          <w:tcPr>
            <w:tcW w:w="840" w:type="dxa"/>
          </w:tcPr>
          <w:p>
            <w:pPr>
              <w:pStyle w:val="yTable"/>
            </w:pPr>
            <w:r>
              <w:t>44.</w:t>
            </w:r>
          </w:p>
        </w:tc>
        <w:tc>
          <w:tcPr>
            <w:tcW w:w="1320" w:type="dxa"/>
          </w:tcPr>
          <w:p>
            <w:pPr>
              <w:pStyle w:val="yTable"/>
            </w:pPr>
            <w:r>
              <w:t>55</w:t>
            </w:r>
          </w:p>
        </w:tc>
        <w:tc>
          <w:tcPr>
            <w:tcW w:w="3720" w:type="dxa"/>
          </w:tcPr>
          <w:p>
            <w:pPr>
              <w:pStyle w:val="yTable"/>
            </w:pPr>
            <w:r>
              <w:t>Failing to obey direction in relation to the parking or movement of vehicle</w:t>
            </w:r>
          </w:p>
        </w:tc>
        <w:tc>
          <w:tcPr>
            <w:tcW w:w="1200" w:type="dxa"/>
            <w:vAlign w:val="bottom"/>
          </w:tcPr>
          <w:p>
            <w:pPr>
              <w:pStyle w:val="yTable"/>
              <w:tabs>
                <w:tab w:val="decimal" w:pos="766"/>
              </w:tabs>
            </w:pPr>
            <w:r>
              <w:rPr>
                <w:szCs w:val="22"/>
              </w:rPr>
              <w:t>100</w:t>
            </w:r>
          </w:p>
        </w:tc>
      </w:tr>
      <w:tr>
        <w:trPr>
          <w:cantSplit/>
        </w:trPr>
        <w:tc>
          <w:tcPr>
            <w:tcW w:w="840" w:type="dxa"/>
          </w:tcPr>
          <w:p>
            <w:pPr>
              <w:pStyle w:val="yTable"/>
            </w:pPr>
            <w:r>
              <w:t>45.</w:t>
            </w:r>
          </w:p>
        </w:tc>
        <w:tc>
          <w:tcPr>
            <w:tcW w:w="1320" w:type="dxa"/>
          </w:tcPr>
          <w:p>
            <w:pPr>
              <w:pStyle w:val="yTable"/>
            </w:pPr>
            <w:r>
              <w:t>56(1)</w:t>
            </w:r>
          </w:p>
        </w:tc>
        <w:tc>
          <w:tcPr>
            <w:tcW w:w="3720" w:type="dxa"/>
          </w:tcPr>
          <w:p>
            <w:pPr>
              <w:pStyle w:val="yTable"/>
            </w:pPr>
            <w:r>
              <w:t>Parking contrary to direction on sign</w:t>
            </w:r>
          </w:p>
        </w:tc>
        <w:tc>
          <w:tcPr>
            <w:tcW w:w="1200" w:type="dxa"/>
            <w:vAlign w:val="bottom"/>
          </w:tcPr>
          <w:p>
            <w:pPr>
              <w:pStyle w:val="yTable"/>
              <w:tabs>
                <w:tab w:val="decimal" w:pos="766"/>
              </w:tabs>
            </w:pPr>
            <w:r>
              <w:t>50</w:t>
            </w:r>
          </w:p>
        </w:tc>
      </w:tr>
      <w:tr>
        <w:trPr>
          <w:cantSplit/>
        </w:trPr>
        <w:tc>
          <w:tcPr>
            <w:tcW w:w="840" w:type="dxa"/>
          </w:tcPr>
          <w:p>
            <w:pPr>
              <w:pStyle w:val="yTable"/>
            </w:pPr>
            <w:r>
              <w:t>46.</w:t>
            </w:r>
          </w:p>
        </w:tc>
        <w:tc>
          <w:tcPr>
            <w:tcW w:w="1320" w:type="dxa"/>
          </w:tcPr>
          <w:p>
            <w:pPr>
              <w:pStyle w:val="yTable"/>
            </w:pPr>
            <w:r>
              <w:t>56(4)</w:t>
            </w:r>
          </w:p>
        </w:tc>
        <w:tc>
          <w:tcPr>
            <w:tcW w:w="3720" w:type="dxa"/>
          </w:tcPr>
          <w:p>
            <w:pPr>
              <w:pStyle w:val="yTable"/>
            </w:pPr>
            <w:r>
              <w:t>Failing to pay parking charge or display ticket</w:t>
            </w:r>
          </w:p>
        </w:tc>
        <w:tc>
          <w:tcPr>
            <w:tcW w:w="1200" w:type="dxa"/>
            <w:vAlign w:val="bottom"/>
          </w:tcPr>
          <w:p>
            <w:pPr>
              <w:pStyle w:val="yTable"/>
              <w:tabs>
                <w:tab w:val="decimal" w:pos="766"/>
              </w:tabs>
            </w:pPr>
            <w:r>
              <w:t>50</w:t>
            </w:r>
          </w:p>
        </w:tc>
      </w:tr>
      <w:tr>
        <w:trPr>
          <w:cantSplit/>
        </w:trPr>
        <w:tc>
          <w:tcPr>
            <w:tcW w:w="840" w:type="dxa"/>
          </w:tcPr>
          <w:p>
            <w:pPr>
              <w:pStyle w:val="yTable"/>
            </w:pPr>
            <w:r>
              <w:t>47.</w:t>
            </w:r>
          </w:p>
        </w:tc>
        <w:tc>
          <w:tcPr>
            <w:tcW w:w="1320" w:type="dxa"/>
          </w:tcPr>
          <w:p>
            <w:pPr>
              <w:pStyle w:val="yTable"/>
            </w:pPr>
            <w:r>
              <w:t>57</w:t>
            </w:r>
          </w:p>
        </w:tc>
        <w:tc>
          <w:tcPr>
            <w:tcW w:w="3720" w:type="dxa"/>
          </w:tcPr>
          <w:p>
            <w:pPr>
              <w:pStyle w:val="yTable"/>
            </w:pPr>
            <w:r>
              <w:t>Obstructing vehicle etc.</w:t>
            </w:r>
          </w:p>
        </w:tc>
        <w:tc>
          <w:tcPr>
            <w:tcW w:w="1200" w:type="dxa"/>
            <w:vAlign w:val="bottom"/>
          </w:tcPr>
          <w:p>
            <w:pPr>
              <w:pStyle w:val="yTable"/>
              <w:tabs>
                <w:tab w:val="decimal" w:pos="766"/>
              </w:tabs>
            </w:pPr>
            <w:r>
              <w:t>50</w:t>
            </w:r>
          </w:p>
        </w:tc>
      </w:tr>
      <w:tr>
        <w:trPr>
          <w:cantSplit/>
        </w:trPr>
        <w:tc>
          <w:tcPr>
            <w:tcW w:w="840" w:type="dxa"/>
          </w:tcPr>
          <w:p>
            <w:pPr>
              <w:pStyle w:val="yTable"/>
            </w:pPr>
            <w:r>
              <w:t>47a.</w:t>
            </w:r>
          </w:p>
        </w:tc>
        <w:tc>
          <w:tcPr>
            <w:tcW w:w="1320" w:type="dxa"/>
          </w:tcPr>
          <w:p>
            <w:pPr>
              <w:pStyle w:val="yTable"/>
            </w:pPr>
            <w:r>
              <w:t>59(1)</w:t>
            </w:r>
          </w:p>
        </w:tc>
        <w:tc>
          <w:tcPr>
            <w:tcW w:w="3720" w:type="dxa"/>
          </w:tcPr>
          <w:p>
            <w:pPr>
              <w:pStyle w:val="yTable"/>
            </w:pPr>
            <w:r>
              <w:t>Unlawfully having a mooring</w:t>
            </w:r>
          </w:p>
        </w:tc>
        <w:tc>
          <w:tcPr>
            <w:tcW w:w="1200" w:type="dxa"/>
            <w:vAlign w:val="bottom"/>
          </w:tcPr>
          <w:p>
            <w:pPr>
              <w:pStyle w:val="yTable"/>
              <w:tabs>
                <w:tab w:val="decimal" w:pos="766"/>
              </w:tabs>
            </w:pPr>
            <w:r>
              <w:t>200</w:t>
            </w:r>
          </w:p>
        </w:tc>
      </w:tr>
      <w:tr>
        <w:trPr>
          <w:cantSplit/>
        </w:trPr>
        <w:tc>
          <w:tcPr>
            <w:tcW w:w="840" w:type="dxa"/>
          </w:tcPr>
          <w:p>
            <w:pPr>
              <w:pStyle w:val="yTable"/>
            </w:pPr>
            <w:r>
              <w:t>48.</w:t>
            </w:r>
          </w:p>
        </w:tc>
        <w:tc>
          <w:tcPr>
            <w:tcW w:w="1320" w:type="dxa"/>
          </w:tcPr>
          <w:p>
            <w:pPr>
              <w:pStyle w:val="yTable"/>
            </w:pPr>
            <w:r>
              <w:t>59(2)</w:t>
            </w:r>
          </w:p>
        </w:tc>
        <w:tc>
          <w:tcPr>
            <w:tcW w:w="3720" w:type="dxa"/>
          </w:tcPr>
          <w:p>
            <w:pPr>
              <w:pStyle w:val="yTable"/>
            </w:pPr>
            <w:r>
              <w:t>Using an unlawful mooring</w:t>
            </w:r>
          </w:p>
        </w:tc>
        <w:tc>
          <w:tcPr>
            <w:tcW w:w="1200" w:type="dxa"/>
            <w:vAlign w:val="bottom"/>
          </w:tcPr>
          <w:p>
            <w:pPr>
              <w:pStyle w:val="yTable"/>
              <w:tabs>
                <w:tab w:val="decimal" w:pos="766"/>
              </w:tabs>
            </w:pPr>
            <w:r>
              <w:t>100</w:t>
            </w:r>
          </w:p>
        </w:tc>
      </w:tr>
      <w:tr>
        <w:trPr>
          <w:cantSplit/>
        </w:trPr>
        <w:tc>
          <w:tcPr>
            <w:tcW w:w="840" w:type="dxa"/>
          </w:tcPr>
          <w:p>
            <w:pPr>
              <w:pStyle w:val="yTable"/>
            </w:pPr>
            <w:r>
              <w:t>48A.</w:t>
            </w:r>
          </w:p>
        </w:tc>
        <w:tc>
          <w:tcPr>
            <w:tcW w:w="1320" w:type="dxa"/>
          </w:tcPr>
          <w:p>
            <w:pPr>
              <w:pStyle w:val="yTable"/>
            </w:pPr>
            <w:r>
              <w:t>59(3A)</w:t>
            </w:r>
          </w:p>
        </w:tc>
        <w:tc>
          <w:tcPr>
            <w:tcW w:w="3720" w:type="dxa"/>
          </w:tcPr>
          <w:p>
            <w:pPr>
              <w:pStyle w:val="yTable"/>
            </w:pPr>
            <w:r>
              <w:t>Unlawfully securing vessel to mooring</w:t>
            </w:r>
          </w:p>
        </w:tc>
        <w:tc>
          <w:tcPr>
            <w:tcW w:w="1200" w:type="dxa"/>
            <w:vAlign w:val="bottom"/>
          </w:tcPr>
          <w:p>
            <w:pPr>
              <w:pStyle w:val="yTable"/>
              <w:tabs>
                <w:tab w:val="decimal" w:pos="766"/>
              </w:tabs>
            </w:pPr>
            <w:r>
              <w:t>100</w:t>
            </w:r>
          </w:p>
        </w:tc>
      </w:tr>
      <w:tr>
        <w:trPr>
          <w:cantSplit/>
        </w:trPr>
        <w:tc>
          <w:tcPr>
            <w:tcW w:w="840" w:type="dxa"/>
          </w:tcPr>
          <w:p>
            <w:pPr>
              <w:pStyle w:val="yTable"/>
            </w:pPr>
            <w:r>
              <w:t>49.</w:t>
            </w:r>
          </w:p>
        </w:tc>
        <w:tc>
          <w:tcPr>
            <w:tcW w:w="1320" w:type="dxa"/>
          </w:tcPr>
          <w:p>
            <w:pPr>
              <w:pStyle w:val="yTable"/>
            </w:pPr>
            <w:r>
              <w:t>59(3)</w:t>
            </w:r>
          </w:p>
        </w:tc>
        <w:tc>
          <w:tcPr>
            <w:tcW w:w="3720" w:type="dxa"/>
          </w:tcPr>
          <w:p>
            <w:pPr>
              <w:pStyle w:val="yTable"/>
            </w:pPr>
            <w:r>
              <w:t>Securing a vessel in an unlawful manner</w:t>
            </w:r>
          </w:p>
        </w:tc>
        <w:tc>
          <w:tcPr>
            <w:tcW w:w="1200" w:type="dxa"/>
            <w:vAlign w:val="bottom"/>
          </w:tcPr>
          <w:p>
            <w:pPr>
              <w:pStyle w:val="yTable"/>
              <w:tabs>
                <w:tab w:val="decimal" w:pos="766"/>
              </w:tabs>
            </w:pPr>
            <w:r>
              <w:t>100</w:t>
            </w:r>
          </w:p>
        </w:tc>
      </w:tr>
      <w:tr>
        <w:trPr>
          <w:cantSplit/>
        </w:trPr>
        <w:tc>
          <w:tcPr>
            <w:tcW w:w="840" w:type="dxa"/>
          </w:tcPr>
          <w:p>
            <w:pPr>
              <w:pStyle w:val="yTable"/>
            </w:pPr>
            <w:r>
              <w:t>50.</w:t>
            </w:r>
          </w:p>
        </w:tc>
        <w:tc>
          <w:tcPr>
            <w:tcW w:w="1320" w:type="dxa"/>
          </w:tcPr>
          <w:p>
            <w:pPr>
              <w:pStyle w:val="yTable"/>
            </w:pPr>
            <w:r>
              <w:t>60(1)</w:t>
            </w:r>
          </w:p>
        </w:tc>
        <w:tc>
          <w:tcPr>
            <w:tcW w:w="3720" w:type="dxa"/>
          </w:tcPr>
          <w:p>
            <w:pPr>
              <w:pStyle w:val="yTable"/>
            </w:pPr>
            <w:r>
              <w:t>Anchoring a vessel in a restricted area</w:t>
            </w:r>
          </w:p>
        </w:tc>
        <w:tc>
          <w:tcPr>
            <w:tcW w:w="1200" w:type="dxa"/>
            <w:vAlign w:val="bottom"/>
          </w:tcPr>
          <w:p>
            <w:pPr>
              <w:pStyle w:val="yTable"/>
              <w:tabs>
                <w:tab w:val="decimal" w:pos="766"/>
              </w:tabs>
            </w:pPr>
            <w:r>
              <w:t>100</w:t>
            </w:r>
          </w:p>
        </w:tc>
      </w:tr>
      <w:tr>
        <w:trPr>
          <w:cantSplit/>
        </w:trPr>
        <w:tc>
          <w:tcPr>
            <w:tcW w:w="840" w:type="dxa"/>
          </w:tcPr>
          <w:p>
            <w:pPr>
              <w:pStyle w:val="yTable"/>
            </w:pPr>
            <w:r>
              <w:t>50A.</w:t>
            </w:r>
          </w:p>
        </w:tc>
        <w:tc>
          <w:tcPr>
            <w:tcW w:w="1320" w:type="dxa"/>
          </w:tcPr>
          <w:p>
            <w:pPr>
              <w:pStyle w:val="yTable"/>
            </w:pPr>
            <w:r>
              <w:t>60A(4)</w:t>
            </w:r>
          </w:p>
        </w:tc>
        <w:tc>
          <w:tcPr>
            <w:tcW w:w="3720" w:type="dxa"/>
          </w:tcPr>
          <w:p>
            <w:pPr>
              <w:pStyle w:val="yTable"/>
            </w:pPr>
            <w:r>
              <w:t>Failure to comply with conditions of use of public mooring</w:t>
            </w:r>
          </w:p>
        </w:tc>
        <w:tc>
          <w:tcPr>
            <w:tcW w:w="1200" w:type="dxa"/>
          </w:tcPr>
          <w:p>
            <w:pPr>
              <w:pStyle w:val="yTable"/>
              <w:tabs>
                <w:tab w:val="decimal" w:pos="766"/>
              </w:tabs>
            </w:pPr>
            <w:r>
              <w:br/>
              <w:t>200</w:t>
            </w:r>
          </w:p>
        </w:tc>
      </w:tr>
      <w:tr>
        <w:trPr>
          <w:cantSplit/>
        </w:trPr>
        <w:tc>
          <w:tcPr>
            <w:tcW w:w="840" w:type="dxa"/>
          </w:tcPr>
          <w:p>
            <w:pPr>
              <w:pStyle w:val="yTable"/>
            </w:pPr>
            <w:r>
              <w:t>50B.</w:t>
            </w:r>
          </w:p>
        </w:tc>
        <w:tc>
          <w:tcPr>
            <w:tcW w:w="1320" w:type="dxa"/>
          </w:tcPr>
          <w:p>
            <w:pPr>
              <w:pStyle w:val="yTable"/>
            </w:pPr>
            <w:r>
              <w:t>60(2A)</w:t>
            </w:r>
          </w:p>
        </w:tc>
        <w:tc>
          <w:tcPr>
            <w:tcW w:w="3720" w:type="dxa"/>
          </w:tcPr>
          <w:p>
            <w:pPr>
              <w:pStyle w:val="yTable"/>
            </w:pPr>
            <w:r>
              <w:t>Anchoring vessel within 50 metres of mooring</w:t>
            </w:r>
          </w:p>
        </w:tc>
        <w:tc>
          <w:tcPr>
            <w:tcW w:w="1200" w:type="dxa"/>
          </w:tcPr>
          <w:p>
            <w:pPr>
              <w:pStyle w:val="yTable"/>
              <w:tabs>
                <w:tab w:val="decimal" w:pos="766"/>
              </w:tabs>
            </w:pPr>
            <w:r>
              <w:br/>
              <w:t>100</w:t>
            </w:r>
          </w:p>
        </w:tc>
      </w:tr>
      <w:tr>
        <w:trPr>
          <w:cantSplit/>
        </w:trPr>
        <w:tc>
          <w:tcPr>
            <w:tcW w:w="840" w:type="dxa"/>
          </w:tcPr>
          <w:p>
            <w:pPr>
              <w:pStyle w:val="yTable"/>
            </w:pPr>
            <w:r>
              <w:t>51.</w:t>
            </w:r>
          </w:p>
        </w:tc>
        <w:tc>
          <w:tcPr>
            <w:tcW w:w="1320" w:type="dxa"/>
          </w:tcPr>
          <w:p>
            <w:pPr>
              <w:pStyle w:val="yTable"/>
            </w:pPr>
            <w:r>
              <w:t>61</w:t>
            </w:r>
          </w:p>
        </w:tc>
        <w:tc>
          <w:tcPr>
            <w:tcW w:w="3720" w:type="dxa"/>
          </w:tcPr>
          <w:p>
            <w:pPr>
              <w:pStyle w:val="yTable"/>
            </w:pPr>
            <w:r>
              <w:t>Operating certain vessels in a restricted area</w:t>
            </w:r>
          </w:p>
        </w:tc>
        <w:tc>
          <w:tcPr>
            <w:tcW w:w="1200" w:type="dxa"/>
            <w:vAlign w:val="bottom"/>
          </w:tcPr>
          <w:p>
            <w:pPr>
              <w:pStyle w:val="yTable"/>
              <w:tabs>
                <w:tab w:val="decimal" w:pos="766"/>
              </w:tabs>
            </w:pPr>
            <w:r>
              <w:rPr>
                <w:szCs w:val="22"/>
              </w:rPr>
              <w:t>100</w:t>
            </w:r>
          </w:p>
        </w:tc>
      </w:tr>
      <w:tr>
        <w:trPr>
          <w:cantSplit/>
        </w:trPr>
        <w:tc>
          <w:tcPr>
            <w:tcW w:w="840" w:type="dxa"/>
          </w:tcPr>
          <w:p>
            <w:pPr>
              <w:pStyle w:val="yTable"/>
            </w:pPr>
            <w:r>
              <w:t>51a.</w:t>
            </w:r>
          </w:p>
        </w:tc>
        <w:tc>
          <w:tcPr>
            <w:tcW w:w="1320" w:type="dxa"/>
          </w:tcPr>
          <w:p>
            <w:pPr>
              <w:pStyle w:val="yTable"/>
            </w:pPr>
            <w:r>
              <w:t>61A</w:t>
            </w:r>
          </w:p>
        </w:tc>
        <w:tc>
          <w:tcPr>
            <w:tcW w:w="3720" w:type="dxa"/>
          </w:tcPr>
          <w:p>
            <w:pPr>
              <w:pStyle w:val="yTable"/>
            </w:pPr>
            <w:r>
              <w:t>Unlawful operation of vessels in nature reserves</w:t>
            </w:r>
          </w:p>
        </w:tc>
        <w:tc>
          <w:tcPr>
            <w:tcW w:w="1200" w:type="dxa"/>
            <w:vAlign w:val="bottom"/>
          </w:tcPr>
          <w:p>
            <w:pPr>
              <w:pStyle w:val="yTable"/>
              <w:tabs>
                <w:tab w:val="decimal" w:pos="766"/>
              </w:tabs>
            </w:pPr>
            <w:r>
              <w:t>100</w:t>
            </w:r>
          </w:p>
        </w:tc>
      </w:tr>
      <w:tr>
        <w:trPr>
          <w:cantSplit/>
        </w:trPr>
        <w:tc>
          <w:tcPr>
            <w:tcW w:w="840" w:type="dxa"/>
          </w:tcPr>
          <w:p>
            <w:pPr>
              <w:pStyle w:val="yTable"/>
            </w:pPr>
            <w:r>
              <w:t>51AA.</w:t>
            </w:r>
          </w:p>
        </w:tc>
        <w:tc>
          <w:tcPr>
            <w:tcW w:w="1320" w:type="dxa"/>
          </w:tcPr>
          <w:p>
            <w:pPr>
              <w:pStyle w:val="yTable"/>
            </w:pPr>
            <w:r>
              <w:t>61B(4)</w:t>
            </w:r>
          </w:p>
        </w:tc>
        <w:tc>
          <w:tcPr>
            <w:tcW w:w="3720" w:type="dxa"/>
          </w:tcPr>
          <w:p>
            <w:pPr>
              <w:pStyle w:val="yTable"/>
            </w:pPr>
            <w:r>
              <w:t>Operating vessel in excess of speed limit</w:t>
            </w:r>
          </w:p>
        </w:tc>
        <w:tc>
          <w:tcPr>
            <w:tcW w:w="1200" w:type="dxa"/>
            <w:vAlign w:val="bottom"/>
          </w:tcPr>
          <w:p>
            <w:pPr>
              <w:pStyle w:val="yTable"/>
              <w:tabs>
                <w:tab w:val="decimal" w:pos="766"/>
              </w:tabs>
            </w:pPr>
            <w:r>
              <w:t>200</w:t>
            </w:r>
          </w:p>
        </w:tc>
      </w:tr>
      <w:tr>
        <w:trPr>
          <w:cantSplit/>
        </w:trPr>
        <w:tc>
          <w:tcPr>
            <w:tcW w:w="840" w:type="dxa"/>
          </w:tcPr>
          <w:p>
            <w:pPr>
              <w:pStyle w:val="yTable"/>
            </w:pPr>
            <w:r>
              <w:t>51b.</w:t>
            </w:r>
          </w:p>
        </w:tc>
        <w:tc>
          <w:tcPr>
            <w:tcW w:w="1320" w:type="dxa"/>
          </w:tcPr>
          <w:p>
            <w:pPr>
              <w:pStyle w:val="yTable"/>
            </w:pPr>
            <w:r>
              <w:t>62(1)</w:t>
            </w:r>
          </w:p>
        </w:tc>
        <w:tc>
          <w:tcPr>
            <w:tcW w:w="3720" w:type="dxa"/>
          </w:tcPr>
          <w:p>
            <w:pPr>
              <w:pStyle w:val="yTable"/>
            </w:pPr>
            <w:r>
              <w:t>Unsafe navigation of vessels</w:t>
            </w:r>
          </w:p>
        </w:tc>
        <w:tc>
          <w:tcPr>
            <w:tcW w:w="1200" w:type="dxa"/>
            <w:vAlign w:val="bottom"/>
          </w:tcPr>
          <w:p>
            <w:pPr>
              <w:pStyle w:val="yTable"/>
              <w:tabs>
                <w:tab w:val="decimal" w:pos="766"/>
              </w:tabs>
            </w:pPr>
            <w:r>
              <w:rPr>
                <w:szCs w:val="22"/>
              </w:rPr>
              <w:t>100</w:t>
            </w:r>
          </w:p>
        </w:tc>
      </w:tr>
      <w:tr>
        <w:trPr>
          <w:cantSplit/>
        </w:trPr>
        <w:tc>
          <w:tcPr>
            <w:tcW w:w="840" w:type="dxa"/>
          </w:tcPr>
          <w:p>
            <w:pPr>
              <w:pStyle w:val="yTable"/>
            </w:pPr>
            <w:r>
              <w:t>51C.</w:t>
            </w:r>
          </w:p>
        </w:tc>
        <w:tc>
          <w:tcPr>
            <w:tcW w:w="1320" w:type="dxa"/>
          </w:tcPr>
          <w:p>
            <w:pPr>
              <w:pStyle w:val="yTable"/>
            </w:pPr>
            <w:r>
              <w:t>62(2)</w:t>
            </w:r>
          </w:p>
        </w:tc>
        <w:tc>
          <w:tcPr>
            <w:tcW w:w="3720" w:type="dxa"/>
          </w:tcPr>
          <w:p>
            <w:pPr>
              <w:pStyle w:val="yTable"/>
            </w:pPr>
            <w:r>
              <w:t>Navigating a vessel in a manner that causes nuisance etc.</w:t>
            </w:r>
          </w:p>
        </w:tc>
        <w:tc>
          <w:tcPr>
            <w:tcW w:w="1200" w:type="dxa"/>
            <w:vAlign w:val="bottom"/>
          </w:tcPr>
          <w:p>
            <w:pPr>
              <w:pStyle w:val="yTable"/>
              <w:tabs>
                <w:tab w:val="decimal" w:pos="766"/>
              </w:tabs>
            </w:pPr>
            <w:r>
              <w:br/>
              <w:t>100</w:t>
            </w:r>
          </w:p>
        </w:tc>
      </w:tr>
      <w:tr>
        <w:trPr>
          <w:cantSplit/>
        </w:trPr>
        <w:tc>
          <w:tcPr>
            <w:tcW w:w="840" w:type="dxa"/>
          </w:tcPr>
          <w:p>
            <w:pPr>
              <w:pStyle w:val="yTable"/>
            </w:pPr>
            <w:r>
              <w:t>52.</w:t>
            </w:r>
          </w:p>
        </w:tc>
        <w:tc>
          <w:tcPr>
            <w:tcW w:w="1320" w:type="dxa"/>
          </w:tcPr>
          <w:p>
            <w:pPr>
              <w:pStyle w:val="yTable"/>
            </w:pPr>
            <w:r>
              <w:t>63</w:t>
            </w:r>
          </w:p>
        </w:tc>
        <w:tc>
          <w:tcPr>
            <w:tcW w:w="3720" w:type="dxa"/>
          </w:tcPr>
          <w:p>
            <w:pPr>
              <w:pStyle w:val="yTable"/>
            </w:pPr>
            <w:r>
              <w:t>Failing to obey direction as to vessel</w:t>
            </w:r>
          </w:p>
        </w:tc>
        <w:tc>
          <w:tcPr>
            <w:tcW w:w="1200" w:type="dxa"/>
            <w:vAlign w:val="bottom"/>
          </w:tcPr>
          <w:p>
            <w:pPr>
              <w:pStyle w:val="yTable"/>
              <w:tabs>
                <w:tab w:val="decimal" w:pos="766"/>
              </w:tabs>
            </w:pPr>
            <w:r>
              <w:rPr>
                <w:szCs w:val="22"/>
              </w:rPr>
              <w:t>100</w:t>
            </w:r>
          </w:p>
        </w:tc>
      </w:tr>
      <w:tr>
        <w:trPr>
          <w:cantSplit/>
        </w:trPr>
        <w:tc>
          <w:tcPr>
            <w:tcW w:w="840" w:type="dxa"/>
          </w:tcPr>
          <w:p>
            <w:pPr>
              <w:pStyle w:val="yTable"/>
            </w:pPr>
            <w:r>
              <w:t>53.</w:t>
            </w:r>
          </w:p>
        </w:tc>
        <w:tc>
          <w:tcPr>
            <w:tcW w:w="1320" w:type="dxa"/>
          </w:tcPr>
          <w:p>
            <w:pPr>
              <w:pStyle w:val="yTable"/>
            </w:pPr>
            <w:r>
              <w:t>64(1)</w:t>
            </w:r>
          </w:p>
        </w:tc>
        <w:tc>
          <w:tcPr>
            <w:tcW w:w="3720" w:type="dxa"/>
          </w:tcPr>
          <w:p>
            <w:pPr>
              <w:pStyle w:val="yTable"/>
            </w:pPr>
            <w:r>
              <w:t>Launching etc. vessel in restricted area</w:t>
            </w:r>
          </w:p>
        </w:tc>
        <w:tc>
          <w:tcPr>
            <w:tcW w:w="1200" w:type="dxa"/>
            <w:vAlign w:val="bottom"/>
          </w:tcPr>
          <w:p>
            <w:pPr>
              <w:pStyle w:val="yTable"/>
              <w:tabs>
                <w:tab w:val="decimal" w:pos="766"/>
              </w:tabs>
            </w:pPr>
            <w:r>
              <w:t>100</w:t>
            </w:r>
          </w:p>
        </w:tc>
      </w:tr>
      <w:tr>
        <w:trPr>
          <w:cantSplit/>
        </w:trPr>
        <w:tc>
          <w:tcPr>
            <w:tcW w:w="840" w:type="dxa"/>
          </w:tcPr>
          <w:p>
            <w:pPr>
              <w:pStyle w:val="yTable"/>
            </w:pPr>
            <w:r>
              <w:t>53a.</w:t>
            </w:r>
          </w:p>
        </w:tc>
        <w:tc>
          <w:tcPr>
            <w:tcW w:w="1320" w:type="dxa"/>
          </w:tcPr>
          <w:p>
            <w:pPr>
              <w:pStyle w:val="yTable"/>
            </w:pPr>
            <w:r>
              <w:t>64(2)</w:t>
            </w:r>
          </w:p>
        </w:tc>
        <w:tc>
          <w:tcPr>
            <w:tcW w:w="3720" w:type="dxa"/>
          </w:tcPr>
          <w:p>
            <w:pPr>
              <w:pStyle w:val="yTable"/>
            </w:pPr>
            <w:r>
              <w:t>Launching etc. vessel in restricted area — contravention of restriction</w:t>
            </w:r>
          </w:p>
        </w:tc>
        <w:tc>
          <w:tcPr>
            <w:tcW w:w="1200" w:type="dxa"/>
            <w:vAlign w:val="bottom"/>
          </w:tcPr>
          <w:p>
            <w:pPr>
              <w:pStyle w:val="yTable"/>
              <w:tabs>
                <w:tab w:val="decimal" w:pos="766"/>
              </w:tabs>
            </w:pPr>
            <w:r>
              <w:t>100</w:t>
            </w:r>
          </w:p>
        </w:tc>
      </w:tr>
      <w:tr>
        <w:trPr>
          <w:cantSplit/>
        </w:trPr>
        <w:tc>
          <w:tcPr>
            <w:tcW w:w="840" w:type="dxa"/>
          </w:tcPr>
          <w:p>
            <w:pPr>
              <w:pStyle w:val="yTable"/>
            </w:pPr>
            <w:r>
              <w:t>54.</w:t>
            </w:r>
          </w:p>
        </w:tc>
        <w:tc>
          <w:tcPr>
            <w:tcW w:w="1320" w:type="dxa"/>
          </w:tcPr>
          <w:p>
            <w:pPr>
              <w:pStyle w:val="yTable"/>
            </w:pPr>
            <w:r>
              <w:t>64(4)</w:t>
            </w:r>
          </w:p>
        </w:tc>
        <w:tc>
          <w:tcPr>
            <w:tcW w:w="3720" w:type="dxa"/>
            <w:vAlign w:val="bottom"/>
          </w:tcPr>
          <w:p>
            <w:pPr>
              <w:pStyle w:val="yTable"/>
            </w:pPr>
            <w:r>
              <w:t>Failing to comply with direction to remove vessel</w:t>
            </w:r>
          </w:p>
        </w:tc>
        <w:tc>
          <w:tcPr>
            <w:tcW w:w="1200" w:type="dxa"/>
            <w:vAlign w:val="bottom"/>
          </w:tcPr>
          <w:p>
            <w:pPr>
              <w:pStyle w:val="yTable"/>
              <w:tabs>
                <w:tab w:val="decimal" w:pos="766"/>
              </w:tabs>
            </w:pPr>
            <w:r>
              <w:t>100</w:t>
            </w:r>
          </w:p>
        </w:tc>
      </w:tr>
      <w:tr>
        <w:trPr>
          <w:cantSplit/>
        </w:trPr>
        <w:tc>
          <w:tcPr>
            <w:tcW w:w="840" w:type="dxa"/>
          </w:tcPr>
          <w:p>
            <w:pPr>
              <w:pStyle w:val="yTable"/>
            </w:pPr>
            <w:r>
              <w:t>54aa.</w:t>
            </w:r>
          </w:p>
        </w:tc>
        <w:tc>
          <w:tcPr>
            <w:tcW w:w="1320" w:type="dxa"/>
          </w:tcPr>
          <w:p>
            <w:pPr>
              <w:pStyle w:val="yTable"/>
            </w:pPr>
            <w:r>
              <w:t>65A(2)</w:t>
            </w:r>
          </w:p>
        </w:tc>
        <w:tc>
          <w:tcPr>
            <w:tcW w:w="3720" w:type="dxa"/>
          </w:tcPr>
          <w:p>
            <w:pPr>
              <w:pStyle w:val="yTable"/>
            </w:pPr>
            <w:r>
              <w:t>Unlawful use of vessel storage facility</w:t>
            </w:r>
          </w:p>
        </w:tc>
        <w:tc>
          <w:tcPr>
            <w:tcW w:w="1200" w:type="dxa"/>
          </w:tcPr>
          <w:p>
            <w:pPr>
              <w:pStyle w:val="yTable"/>
              <w:tabs>
                <w:tab w:val="decimal" w:pos="766"/>
              </w:tabs>
            </w:pPr>
            <w:r>
              <w:t>200</w:t>
            </w:r>
          </w:p>
        </w:tc>
      </w:tr>
      <w:tr>
        <w:trPr>
          <w:cantSplit/>
        </w:trPr>
        <w:tc>
          <w:tcPr>
            <w:tcW w:w="840" w:type="dxa"/>
          </w:tcPr>
          <w:p>
            <w:pPr>
              <w:pStyle w:val="yTable"/>
            </w:pPr>
            <w:r>
              <w:t>54a.</w:t>
            </w:r>
          </w:p>
        </w:tc>
        <w:tc>
          <w:tcPr>
            <w:tcW w:w="1320" w:type="dxa"/>
          </w:tcPr>
          <w:p>
            <w:pPr>
              <w:pStyle w:val="yTable"/>
            </w:pPr>
            <w:r>
              <w:t>65(1)</w:t>
            </w:r>
          </w:p>
        </w:tc>
        <w:tc>
          <w:tcPr>
            <w:tcW w:w="3720" w:type="dxa"/>
          </w:tcPr>
          <w:p>
            <w:pPr>
              <w:pStyle w:val="yTable"/>
            </w:pPr>
            <w:r>
              <w:t>Unlawful landing of aircraft etc.</w:t>
            </w:r>
          </w:p>
        </w:tc>
        <w:tc>
          <w:tcPr>
            <w:tcW w:w="1200" w:type="dxa"/>
            <w:vAlign w:val="bottom"/>
          </w:tcPr>
          <w:p>
            <w:pPr>
              <w:pStyle w:val="yTable"/>
              <w:tabs>
                <w:tab w:val="decimal" w:pos="766"/>
              </w:tabs>
            </w:pPr>
            <w:r>
              <w:t>100</w:t>
            </w:r>
          </w:p>
        </w:tc>
      </w:tr>
      <w:tr>
        <w:trPr>
          <w:cantSplit/>
        </w:trPr>
        <w:tc>
          <w:tcPr>
            <w:tcW w:w="840" w:type="dxa"/>
          </w:tcPr>
          <w:p>
            <w:pPr>
              <w:pStyle w:val="yTable"/>
            </w:pPr>
            <w:r>
              <w:t>55.</w:t>
            </w:r>
          </w:p>
        </w:tc>
        <w:tc>
          <w:tcPr>
            <w:tcW w:w="1320" w:type="dxa"/>
          </w:tcPr>
          <w:p>
            <w:pPr>
              <w:pStyle w:val="yTable"/>
            </w:pPr>
            <w:r>
              <w:t>66(1)</w:t>
            </w:r>
          </w:p>
        </w:tc>
        <w:tc>
          <w:tcPr>
            <w:tcW w:w="3720" w:type="dxa"/>
          </w:tcPr>
          <w:p>
            <w:pPr>
              <w:pStyle w:val="yTable"/>
            </w:pPr>
            <w:r>
              <w:t>Camping other than in camping area</w:t>
            </w:r>
          </w:p>
        </w:tc>
        <w:tc>
          <w:tcPr>
            <w:tcW w:w="1200" w:type="dxa"/>
            <w:vAlign w:val="bottom"/>
          </w:tcPr>
          <w:p>
            <w:pPr>
              <w:pStyle w:val="yTable"/>
              <w:tabs>
                <w:tab w:val="decimal" w:pos="766"/>
              </w:tabs>
            </w:pPr>
            <w:r>
              <w:rPr>
                <w:szCs w:val="22"/>
              </w:rPr>
              <w:t>100</w:t>
            </w:r>
          </w:p>
        </w:tc>
      </w:tr>
      <w:tr>
        <w:trPr>
          <w:cantSplit/>
        </w:trPr>
        <w:tc>
          <w:tcPr>
            <w:tcW w:w="840" w:type="dxa"/>
          </w:tcPr>
          <w:p>
            <w:pPr>
              <w:pStyle w:val="yTable"/>
            </w:pPr>
            <w:r>
              <w:t>56.</w:t>
            </w:r>
          </w:p>
        </w:tc>
        <w:tc>
          <w:tcPr>
            <w:tcW w:w="1320" w:type="dxa"/>
          </w:tcPr>
          <w:p>
            <w:pPr>
              <w:pStyle w:val="yTable"/>
            </w:pPr>
            <w:r>
              <w:t>66(2)</w:t>
            </w:r>
          </w:p>
        </w:tc>
        <w:tc>
          <w:tcPr>
            <w:tcW w:w="3720" w:type="dxa"/>
          </w:tcPr>
          <w:p>
            <w:pPr>
              <w:pStyle w:val="yTable"/>
            </w:pPr>
            <w:r>
              <w:t>Failing to comply with condition of camping area</w:t>
            </w:r>
          </w:p>
        </w:tc>
        <w:tc>
          <w:tcPr>
            <w:tcW w:w="1200" w:type="dxa"/>
            <w:vAlign w:val="bottom"/>
          </w:tcPr>
          <w:p>
            <w:pPr>
              <w:pStyle w:val="yTable"/>
              <w:tabs>
                <w:tab w:val="decimal" w:pos="766"/>
              </w:tabs>
            </w:pPr>
            <w:r>
              <w:rPr>
                <w:szCs w:val="22"/>
              </w:rPr>
              <w:t>100</w:t>
            </w:r>
          </w:p>
        </w:tc>
      </w:tr>
      <w:tr>
        <w:trPr>
          <w:cantSplit/>
        </w:trPr>
        <w:tc>
          <w:tcPr>
            <w:tcW w:w="840" w:type="dxa"/>
          </w:tcPr>
          <w:p>
            <w:pPr>
              <w:pStyle w:val="yTable"/>
            </w:pPr>
            <w:r>
              <w:t>57.</w:t>
            </w:r>
          </w:p>
        </w:tc>
        <w:tc>
          <w:tcPr>
            <w:tcW w:w="1320" w:type="dxa"/>
          </w:tcPr>
          <w:p>
            <w:pPr>
              <w:pStyle w:val="yTable"/>
            </w:pPr>
            <w:r>
              <w:t>67(2)</w:t>
            </w:r>
          </w:p>
        </w:tc>
        <w:tc>
          <w:tcPr>
            <w:tcW w:w="3720" w:type="dxa"/>
          </w:tcPr>
          <w:p>
            <w:pPr>
              <w:pStyle w:val="yTable"/>
            </w:pPr>
            <w:r>
              <w:t>Failing to comply with direction to vacate camp</w:t>
            </w:r>
            <w:r>
              <w:rPr>
                <w:szCs w:val="22"/>
              </w:rPr>
              <w:t xml:space="preserve"> or not camp</w:t>
            </w:r>
          </w:p>
        </w:tc>
        <w:tc>
          <w:tcPr>
            <w:tcW w:w="1200" w:type="dxa"/>
            <w:vAlign w:val="bottom"/>
          </w:tcPr>
          <w:p>
            <w:pPr>
              <w:pStyle w:val="yTable"/>
              <w:tabs>
                <w:tab w:val="decimal" w:pos="766"/>
              </w:tabs>
            </w:pPr>
            <w:r>
              <w:t>100</w:t>
            </w:r>
          </w:p>
        </w:tc>
      </w:tr>
      <w:tr>
        <w:trPr>
          <w:cantSplit/>
        </w:trPr>
        <w:tc>
          <w:tcPr>
            <w:tcW w:w="840" w:type="dxa"/>
          </w:tcPr>
          <w:p>
            <w:pPr>
              <w:pStyle w:val="yTable"/>
            </w:pPr>
            <w:r>
              <w:t>58.</w:t>
            </w:r>
          </w:p>
        </w:tc>
        <w:tc>
          <w:tcPr>
            <w:tcW w:w="1320" w:type="dxa"/>
          </w:tcPr>
          <w:p>
            <w:pPr>
              <w:pStyle w:val="yTable"/>
            </w:pPr>
            <w:r>
              <w:t>68</w:t>
            </w:r>
          </w:p>
        </w:tc>
        <w:tc>
          <w:tcPr>
            <w:tcW w:w="3720" w:type="dxa"/>
          </w:tcPr>
          <w:p>
            <w:pPr>
              <w:pStyle w:val="yTable"/>
            </w:pPr>
            <w:r>
              <w:t>Entering camping unit without authority</w:t>
            </w:r>
          </w:p>
        </w:tc>
        <w:tc>
          <w:tcPr>
            <w:tcW w:w="1200" w:type="dxa"/>
            <w:vAlign w:val="bottom"/>
          </w:tcPr>
          <w:p>
            <w:pPr>
              <w:pStyle w:val="yTable"/>
              <w:tabs>
                <w:tab w:val="decimal" w:pos="766"/>
              </w:tabs>
            </w:pPr>
            <w:r>
              <w:t>50</w:t>
            </w:r>
          </w:p>
        </w:tc>
      </w:tr>
      <w:tr>
        <w:trPr>
          <w:cantSplit/>
        </w:trPr>
        <w:tc>
          <w:tcPr>
            <w:tcW w:w="840" w:type="dxa"/>
          </w:tcPr>
          <w:p>
            <w:pPr>
              <w:pStyle w:val="yTable"/>
            </w:pPr>
            <w:r>
              <w:t>59.</w:t>
            </w:r>
          </w:p>
        </w:tc>
        <w:tc>
          <w:tcPr>
            <w:tcW w:w="1320" w:type="dxa"/>
          </w:tcPr>
          <w:p>
            <w:pPr>
              <w:pStyle w:val="yTable"/>
            </w:pPr>
            <w:r>
              <w:t>69(1)</w:t>
            </w:r>
          </w:p>
        </w:tc>
        <w:tc>
          <w:tcPr>
            <w:tcW w:w="3720" w:type="dxa"/>
          </w:tcPr>
          <w:p>
            <w:pPr>
              <w:pStyle w:val="yTable"/>
            </w:pPr>
            <w:r>
              <w:t>Unlawful construction of camping unit</w:t>
            </w:r>
          </w:p>
        </w:tc>
        <w:tc>
          <w:tcPr>
            <w:tcW w:w="1200" w:type="dxa"/>
            <w:vAlign w:val="bottom"/>
          </w:tcPr>
          <w:p>
            <w:pPr>
              <w:pStyle w:val="yTable"/>
              <w:tabs>
                <w:tab w:val="decimal" w:pos="766"/>
              </w:tabs>
            </w:pPr>
            <w:r>
              <w:t>100</w:t>
            </w:r>
          </w:p>
        </w:tc>
      </w:tr>
      <w:tr>
        <w:trPr>
          <w:cantSplit/>
        </w:trPr>
        <w:tc>
          <w:tcPr>
            <w:tcW w:w="840" w:type="dxa"/>
          </w:tcPr>
          <w:p>
            <w:pPr>
              <w:pStyle w:val="yTable"/>
            </w:pPr>
            <w:r>
              <w:t>60.</w:t>
            </w:r>
          </w:p>
        </w:tc>
        <w:tc>
          <w:tcPr>
            <w:tcW w:w="1320" w:type="dxa"/>
          </w:tcPr>
          <w:p>
            <w:pPr>
              <w:pStyle w:val="yTable"/>
            </w:pPr>
            <w:r>
              <w:t>69(2)</w:t>
            </w:r>
          </w:p>
        </w:tc>
        <w:tc>
          <w:tcPr>
            <w:tcW w:w="3720" w:type="dxa"/>
          </w:tcPr>
          <w:p>
            <w:pPr>
              <w:pStyle w:val="yTable"/>
            </w:pPr>
            <w:r>
              <w:t>Unlawful positioning of camping unit</w:t>
            </w:r>
          </w:p>
        </w:tc>
        <w:tc>
          <w:tcPr>
            <w:tcW w:w="1200" w:type="dxa"/>
            <w:vAlign w:val="bottom"/>
          </w:tcPr>
          <w:p>
            <w:pPr>
              <w:pStyle w:val="yTable"/>
              <w:tabs>
                <w:tab w:val="decimal" w:pos="766"/>
              </w:tabs>
            </w:pPr>
            <w:r>
              <w:t>50</w:t>
            </w:r>
          </w:p>
        </w:tc>
      </w:tr>
      <w:tr>
        <w:trPr>
          <w:cantSplit/>
        </w:trPr>
        <w:tc>
          <w:tcPr>
            <w:tcW w:w="840" w:type="dxa"/>
          </w:tcPr>
          <w:p>
            <w:pPr>
              <w:pStyle w:val="yTable"/>
            </w:pPr>
            <w:r>
              <w:t>61.</w:t>
            </w:r>
          </w:p>
        </w:tc>
        <w:tc>
          <w:tcPr>
            <w:tcW w:w="1320" w:type="dxa"/>
          </w:tcPr>
          <w:p>
            <w:pPr>
              <w:pStyle w:val="yTable"/>
            </w:pPr>
            <w:r>
              <w:t>69(3)</w:t>
            </w:r>
          </w:p>
        </w:tc>
        <w:tc>
          <w:tcPr>
            <w:tcW w:w="3720" w:type="dxa"/>
          </w:tcPr>
          <w:p>
            <w:pPr>
              <w:pStyle w:val="yTable"/>
            </w:pPr>
            <w:r>
              <w:t>Failing to maintain camping site in clean and sanitary condition</w:t>
            </w:r>
          </w:p>
        </w:tc>
        <w:tc>
          <w:tcPr>
            <w:tcW w:w="1200" w:type="dxa"/>
            <w:vAlign w:val="bottom"/>
          </w:tcPr>
          <w:p>
            <w:pPr>
              <w:pStyle w:val="yTable"/>
              <w:tabs>
                <w:tab w:val="decimal" w:pos="766"/>
              </w:tabs>
            </w:pPr>
            <w:r>
              <w:t>50</w:t>
            </w:r>
          </w:p>
        </w:tc>
      </w:tr>
      <w:tr>
        <w:trPr>
          <w:cantSplit/>
        </w:trPr>
        <w:tc>
          <w:tcPr>
            <w:tcW w:w="840" w:type="dxa"/>
          </w:tcPr>
          <w:p>
            <w:pPr>
              <w:pStyle w:val="yTable"/>
            </w:pPr>
            <w:r>
              <w:t>62.</w:t>
            </w:r>
          </w:p>
        </w:tc>
        <w:tc>
          <w:tcPr>
            <w:tcW w:w="1320" w:type="dxa"/>
          </w:tcPr>
          <w:p>
            <w:pPr>
              <w:pStyle w:val="yTable"/>
            </w:pPr>
            <w:r>
              <w:t>69(4)</w:t>
            </w:r>
          </w:p>
        </w:tc>
        <w:tc>
          <w:tcPr>
            <w:tcW w:w="3720" w:type="dxa"/>
          </w:tcPr>
          <w:p>
            <w:pPr>
              <w:pStyle w:val="yTable"/>
            </w:pPr>
            <w:r>
              <w:t>Failing to confine camp to allotted or defined site</w:t>
            </w:r>
          </w:p>
        </w:tc>
        <w:tc>
          <w:tcPr>
            <w:tcW w:w="1200" w:type="dxa"/>
            <w:vAlign w:val="bottom"/>
          </w:tcPr>
          <w:p>
            <w:pPr>
              <w:pStyle w:val="yTable"/>
              <w:tabs>
                <w:tab w:val="decimal" w:pos="766"/>
              </w:tabs>
            </w:pPr>
            <w:r>
              <w:t>50</w:t>
            </w:r>
          </w:p>
        </w:tc>
      </w:tr>
      <w:tr>
        <w:trPr>
          <w:cantSplit/>
        </w:trPr>
        <w:tc>
          <w:tcPr>
            <w:tcW w:w="840" w:type="dxa"/>
          </w:tcPr>
          <w:p>
            <w:pPr>
              <w:pStyle w:val="yTable"/>
            </w:pPr>
            <w:r>
              <w:t>63.</w:t>
            </w:r>
          </w:p>
        </w:tc>
        <w:tc>
          <w:tcPr>
            <w:tcW w:w="1320" w:type="dxa"/>
          </w:tcPr>
          <w:p>
            <w:pPr>
              <w:pStyle w:val="yTable"/>
            </w:pPr>
            <w:r>
              <w:t>69(6)</w:t>
            </w:r>
          </w:p>
        </w:tc>
        <w:tc>
          <w:tcPr>
            <w:tcW w:w="3720" w:type="dxa"/>
          </w:tcPr>
          <w:p>
            <w:pPr>
              <w:pStyle w:val="yTable"/>
            </w:pPr>
            <w:r>
              <w:t>Failing to comply with direction to move site</w:t>
            </w:r>
          </w:p>
        </w:tc>
        <w:tc>
          <w:tcPr>
            <w:tcW w:w="1200" w:type="dxa"/>
            <w:vAlign w:val="bottom"/>
          </w:tcPr>
          <w:p>
            <w:pPr>
              <w:pStyle w:val="yTable"/>
              <w:tabs>
                <w:tab w:val="decimal" w:pos="766"/>
              </w:tabs>
            </w:pPr>
            <w:r>
              <w:t>100</w:t>
            </w:r>
          </w:p>
        </w:tc>
      </w:tr>
      <w:tr>
        <w:trPr>
          <w:cantSplit/>
        </w:trPr>
        <w:tc>
          <w:tcPr>
            <w:tcW w:w="840" w:type="dxa"/>
          </w:tcPr>
          <w:p>
            <w:pPr>
              <w:pStyle w:val="yTable"/>
            </w:pPr>
            <w:r>
              <w:t>64.</w:t>
            </w:r>
          </w:p>
        </w:tc>
        <w:tc>
          <w:tcPr>
            <w:tcW w:w="1320" w:type="dxa"/>
          </w:tcPr>
          <w:p>
            <w:pPr>
              <w:pStyle w:val="yTable"/>
            </w:pPr>
            <w:r>
              <w:t>70(2)</w:t>
            </w:r>
          </w:p>
        </w:tc>
        <w:tc>
          <w:tcPr>
            <w:tcW w:w="3720" w:type="dxa"/>
          </w:tcPr>
          <w:p>
            <w:pPr>
              <w:pStyle w:val="yTable"/>
            </w:pPr>
            <w:r>
              <w:t>Failing to comply with direction as to power generator</w:t>
            </w:r>
          </w:p>
        </w:tc>
        <w:tc>
          <w:tcPr>
            <w:tcW w:w="1200" w:type="dxa"/>
            <w:vAlign w:val="bottom"/>
          </w:tcPr>
          <w:p>
            <w:pPr>
              <w:pStyle w:val="yTable"/>
              <w:tabs>
                <w:tab w:val="decimal" w:pos="766"/>
              </w:tabs>
            </w:pPr>
            <w:r>
              <w:t>100</w:t>
            </w:r>
          </w:p>
        </w:tc>
      </w:tr>
      <w:tr>
        <w:trPr>
          <w:cantSplit/>
        </w:trPr>
        <w:tc>
          <w:tcPr>
            <w:tcW w:w="840" w:type="dxa"/>
          </w:tcPr>
          <w:p>
            <w:pPr>
              <w:pStyle w:val="yTable"/>
            </w:pPr>
            <w:r>
              <w:t>64a.</w:t>
            </w:r>
          </w:p>
        </w:tc>
        <w:tc>
          <w:tcPr>
            <w:tcW w:w="1320" w:type="dxa"/>
          </w:tcPr>
          <w:p>
            <w:pPr>
              <w:pStyle w:val="yTable"/>
            </w:pPr>
            <w:r>
              <w:t>71(2a)</w:t>
            </w:r>
          </w:p>
        </w:tc>
        <w:tc>
          <w:tcPr>
            <w:tcW w:w="3720" w:type="dxa"/>
          </w:tcPr>
          <w:p>
            <w:pPr>
              <w:pStyle w:val="yTable"/>
            </w:pPr>
            <w:r>
              <w:t>Unlawfully collecting firewood for campfire</w:t>
            </w:r>
          </w:p>
        </w:tc>
        <w:tc>
          <w:tcPr>
            <w:tcW w:w="1200" w:type="dxa"/>
            <w:vAlign w:val="bottom"/>
          </w:tcPr>
          <w:p>
            <w:pPr>
              <w:pStyle w:val="yTable"/>
              <w:tabs>
                <w:tab w:val="decimal" w:pos="766"/>
              </w:tabs>
            </w:pPr>
            <w:r>
              <w:rPr>
                <w:szCs w:val="22"/>
              </w:rPr>
              <w:t>100</w:t>
            </w:r>
          </w:p>
        </w:tc>
      </w:tr>
      <w:tr>
        <w:trPr>
          <w:cantSplit/>
        </w:trPr>
        <w:tc>
          <w:tcPr>
            <w:tcW w:w="840" w:type="dxa"/>
          </w:tcPr>
          <w:p>
            <w:pPr>
              <w:pStyle w:val="yTable"/>
            </w:pPr>
            <w:r>
              <w:t>64BA.</w:t>
            </w:r>
          </w:p>
        </w:tc>
        <w:tc>
          <w:tcPr>
            <w:tcW w:w="1320" w:type="dxa"/>
          </w:tcPr>
          <w:p>
            <w:pPr>
              <w:pStyle w:val="yTable"/>
            </w:pPr>
            <w:r>
              <w:t>72(2)</w:t>
            </w:r>
          </w:p>
        </w:tc>
        <w:tc>
          <w:tcPr>
            <w:tcW w:w="3720" w:type="dxa"/>
          </w:tcPr>
          <w:p>
            <w:pPr>
              <w:pStyle w:val="yTable"/>
            </w:pPr>
            <w:r>
              <w:t>Failing to comply with direction to cease behaviour</w:t>
            </w:r>
          </w:p>
        </w:tc>
        <w:tc>
          <w:tcPr>
            <w:tcW w:w="1200" w:type="dxa"/>
            <w:vAlign w:val="bottom"/>
          </w:tcPr>
          <w:p>
            <w:pPr>
              <w:pStyle w:val="yTable"/>
              <w:tabs>
                <w:tab w:val="decimal" w:pos="766"/>
              </w:tabs>
            </w:pPr>
            <w:r>
              <w:br/>
              <w:t>100</w:t>
            </w:r>
          </w:p>
        </w:tc>
      </w:tr>
      <w:tr>
        <w:trPr>
          <w:cantSplit/>
        </w:trPr>
        <w:tc>
          <w:tcPr>
            <w:tcW w:w="840" w:type="dxa"/>
          </w:tcPr>
          <w:p>
            <w:pPr>
              <w:pStyle w:val="yTable"/>
            </w:pPr>
            <w:r>
              <w:t>64BB.</w:t>
            </w:r>
          </w:p>
        </w:tc>
        <w:tc>
          <w:tcPr>
            <w:tcW w:w="1320" w:type="dxa"/>
          </w:tcPr>
          <w:p>
            <w:pPr>
              <w:pStyle w:val="yTable"/>
            </w:pPr>
            <w:r>
              <w:t>73(1)</w:t>
            </w:r>
          </w:p>
        </w:tc>
        <w:tc>
          <w:tcPr>
            <w:tcW w:w="3720" w:type="dxa"/>
          </w:tcPr>
          <w:p>
            <w:pPr>
              <w:pStyle w:val="yTable"/>
            </w:pPr>
            <w:r>
              <w:t>Behaving in a way that causes nuisance or offence etc.</w:t>
            </w:r>
          </w:p>
        </w:tc>
        <w:tc>
          <w:tcPr>
            <w:tcW w:w="1200" w:type="dxa"/>
            <w:vAlign w:val="bottom"/>
          </w:tcPr>
          <w:p>
            <w:pPr>
              <w:pStyle w:val="yTable"/>
              <w:tabs>
                <w:tab w:val="decimal" w:pos="766"/>
              </w:tabs>
            </w:pPr>
            <w:r>
              <w:br/>
              <w:t>100</w:t>
            </w:r>
          </w:p>
        </w:tc>
      </w:tr>
      <w:tr>
        <w:trPr>
          <w:cantSplit/>
        </w:trPr>
        <w:tc>
          <w:tcPr>
            <w:tcW w:w="840" w:type="dxa"/>
          </w:tcPr>
          <w:p>
            <w:pPr>
              <w:pStyle w:val="yTable"/>
            </w:pPr>
            <w:r>
              <w:t>64b.</w:t>
            </w:r>
          </w:p>
        </w:tc>
        <w:tc>
          <w:tcPr>
            <w:tcW w:w="1320" w:type="dxa"/>
          </w:tcPr>
          <w:p>
            <w:pPr>
              <w:pStyle w:val="yTable"/>
            </w:pPr>
            <w:r>
              <w:t>73(2)</w:t>
            </w:r>
          </w:p>
        </w:tc>
        <w:tc>
          <w:tcPr>
            <w:tcW w:w="3720" w:type="dxa"/>
          </w:tcPr>
          <w:p>
            <w:pPr>
              <w:pStyle w:val="yTable"/>
            </w:pPr>
            <w:r>
              <w:t>Failing to comply with signs</w:t>
            </w:r>
          </w:p>
        </w:tc>
        <w:tc>
          <w:tcPr>
            <w:tcW w:w="1200" w:type="dxa"/>
            <w:vAlign w:val="bottom"/>
          </w:tcPr>
          <w:p>
            <w:pPr>
              <w:pStyle w:val="yTable"/>
              <w:tabs>
                <w:tab w:val="decimal" w:pos="766"/>
              </w:tabs>
            </w:pPr>
            <w:r>
              <w:rPr>
                <w:szCs w:val="22"/>
              </w:rPr>
              <w:t>100</w:t>
            </w:r>
          </w:p>
        </w:tc>
      </w:tr>
      <w:tr>
        <w:trPr>
          <w:cantSplit/>
        </w:trPr>
        <w:tc>
          <w:tcPr>
            <w:tcW w:w="840" w:type="dxa"/>
          </w:tcPr>
          <w:p>
            <w:pPr>
              <w:pStyle w:val="yTable"/>
            </w:pPr>
            <w:r>
              <w:t>64C.</w:t>
            </w:r>
          </w:p>
        </w:tc>
        <w:tc>
          <w:tcPr>
            <w:tcW w:w="1320" w:type="dxa"/>
          </w:tcPr>
          <w:p>
            <w:pPr>
              <w:pStyle w:val="yTable"/>
            </w:pPr>
            <w:r>
              <w:t>75(1)</w:t>
            </w:r>
          </w:p>
        </w:tc>
        <w:tc>
          <w:tcPr>
            <w:tcW w:w="3720" w:type="dxa"/>
          </w:tcPr>
          <w:p>
            <w:pPr>
              <w:pStyle w:val="yTable"/>
            </w:pPr>
            <w:r>
              <w:t>Entering or remaining on CALM land when seriously affected by alcohol or drugs etc.</w:t>
            </w:r>
          </w:p>
        </w:tc>
        <w:tc>
          <w:tcPr>
            <w:tcW w:w="1200" w:type="dxa"/>
            <w:vAlign w:val="bottom"/>
          </w:tcPr>
          <w:p>
            <w:pPr>
              <w:pStyle w:val="yTable"/>
              <w:tabs>
                <w:tab w:val="decimal" w:pos="766"/>
              </w:tabs>
            </w:pPr>
            <w:r>
              <w:br/>
            </w:r>
            <w:r>
              <w:br/>
              <w:t>100</w:t>
            </w:r>
          </w:p>
        </w:tc>
      </w:tr>
      <w:tr>
        <w:trPr>
          <w:cantSplit/>
        </w:trPr>
        <w:tc>
          <w:tcPr>
            <w:tcW w:w="840" w:type="dxa"/>
          </w:tcPr>
          <w:p>
            <w:pPr>
              <w:pStyle w:val="yTable"/>
            </w:pPr>
            <w:r>
              <w:t>65.</w:t>
            </w:r>
          </w:p>
        </w:tc>
        <w:tc>
          <w:tcPr>
            <w:tcW w:w="1320" w:type="dxa"/>
          </w:tcPr>
          <w:p>
            <w:pPr>
              <w:pStyle w:val="yTable"/>
            </w:pPr>
            <w:r>
              <w:t>75(2)</w:t>
            </w:r>
          </w:p>
        </w:tc>
        <w:tc>
          <w:tcPr>
            <w:tcW w:w="3720" w:type="dxa"/>
          </w:tcPr>
          <w:p>
            <w:pPr>
              <w:pStyle w:val="yTable"/>
            </w:pPr>
            <w:r>
              <w:t>Taking intoxicating substance into cave</w:t>
            </w:r>
          </w:p>
        </w:tc>
        <w:tc>
          <w:tcPr>
            <w:tcW w:w="1200" w:type="dxa"/>
            <w:vAlign w:val="bottom"/>
          </w:tcPr>
          <w:p>
            <w:pPr>
              <w:pStyle w:val="yTable"/>
              <w:tabs>
                <w:tab w:val="decimal" w:pos="766"/>
              </w:tabs>
            </w:pPr>
            <w:r>
              <w:rPr>
                <w:szCs w:val="22"/>
              </w:rPr>
              <w:t>100</w:t>
            </w:r>
          </w:p>
        </w:tc>
      </w:tr>
      <w:tr>
        <w:trPr>
          <w:cantSplit/>
        </w:trPr>
        <w:tc>
          <w:tcPr>
            <w:tcW w:w="840" w:type="dxa"/>
          </w:tcPr>
          <w:p>
            <w:pPr>
              <w:pStyle w:val="yTable"/>
            </w:pPr>
            <w:r>
              <w:t>65A.</w:t>
            </w:r>
          </w:p>
        </w:tc>
        <w:tc>
          <w:tcPr>
            <w:tcW w:w="1320" w:type="dxa"/>
          </w:tcPr>
          <w:p>
            <w:pPr>
              <w:pStyle w:val="yTable"/>
            </w:pPr>
            <w:r>
              <w:t>75(4)</w:t>
            </w:r>
          </w:p>
        </w:tc>
        <w:tc>
          <w:tcPr>
            <w:tcW w:w="3720" w:type="dxa"/>
          </w:tcPr>
          <w:p>
            <w:pPr>
              <w:pStyle w:val="yTable"/>
            </w:pPr>
            <w:r>
              <w:t>Failing to comply with a direction not to bring alcohol or intoxicating substance onto CALM land</w:t>
            </w:r>
          </w:p>
        </w:tc>
        <w:tc>
          <w:tcPr>
            <w:tcW w:w="1200" w:type="dxa"/>
            <w:vAlign w:val="bottom"/>
          </w:tcPr>
          <w:p>
            <w:pPr>
              <w:pStyle w:val="yTable"/>
              <w:tabs>
                <w:tab w:val="decimal" w:pos="766"/>
              </w:tabs>
            </w:pPr>
            <w:r>
              <w:br/>
            </w:r>
            <w:r>
              <w:br/>
              <w:t>100</w:t>
            </w:r>
          </w:p>
        </w:tc>
      </w:tr>
      <w:tr>
        <w:trPr>
          <w:cantSplit/>
        </w:trPr>
        <w:tc>
          <w:tcPr>
            <w:tcW w:w="840" w:type="dxa"/>
          </w:tcPr>
          <w:p>
            <w:pPr>
              <w:pStyle w:val="yTable"/>
            </w:pPr>
            <w:r>
              <w:t>66.</w:t>
            </w:r>
          </w:p>
        </w:tc>
        <w:tc>
          <w:tcPr>
            <w:tcW w:w="1320" w:type="dxa"/>
          </w:tcPr>
          <w:p>
            <w:pPr>
              <w:pStyle w:val="yTable"/>
            </w:pPr>
            <w:r>
              <w:t>76(1)</w:t>
            </w:r>
          </w:p>
        </w:tc>
        <w:tc>
          <w:tcPr>
            <w:tcW w:w="3720" w:type="dxa"/>
          </w:tcPr>
          <w:p>
            <w:pPr>
              <w:pStyle w:val="yTable"/>
            </w:pPr>
            <w:r>
              <w:t>Removing CALM property</w:t>
            </w:r>
          </w:p>
        </w:tc>
        <w:tc>
          <w:tcPr>
            <w:tcW w:w="1200" w:type="dxa"/>
            <w:vAlign w:val="bottom"/>
          </w:tcPr>
          <w:p>
            <w:pPr>
              <w:pStyle w:val="yTable"/>
              <w:tabs>
                <w:tab w:val="decimal" w:pos="766"/>
              </w:tabs>
            </w:pPr>
            <w:r>
              <w:t>200</w:t>
            </w:r>
          </w:p>
        </w:tc>
      </w:tr>
      <w:tr>
        <w:trPr>
          <w:cantSplit/>
        </w:trPr>
        <w:tc>
          <w:tcPr>
            <w:tcW w:w="840" w:type="dxa"/>
          </w:tcPr>
          <w:p>
            <w:pPr>
              <w:pStyle w:val="yTable"/>
            </w:pPr>
            <w:r>
              <w:t>66AA.</w:t>
            </w:r>
          </w:p>
        </w:tc>
        <w:tc>
          <w:tcPr>
            <w:tcW w:w="1320" w:type="dxa"/>
          </w:tcPr>
          <w:p>
            <w:pPr>
              <w:pStyle w:val="yTable"/>
            </w:pPr>
            <w:r>
              <w:t>76(3)</w:t>
            </w:r>
          </w:p>
        </w:tc>
        <w:tc>
          <w:tcPr>
            <w:tcW w:w="3720" w:type="dxa"/>
          </w:tcPr>
          <w:p>
            <w:pPr>
              <w:pStyle w:val="yTable"/>
            </w:pPr>
            <w:r>
              <w:t>Failing to comply with a direction to leave object</w:t>
            </w:r>
          </w:p>
        </w:tc>
        <w:tc>
          <w:tcPr>
            <w:tcW w:w="1200" w:type="dxa"/>
            <w:vAlign w:val="bottom"/>
          </w:tcPr>
          <w:p>
            <w:pPr>
              <w:pStyle w:val="yTable"/>
              <w:tabs>
                <w:tab w:val="decimal" w:pos="766"/>
              </w:tabs>
            </w:pPr>
            <w:r>
              <w:br/>
              <w:t>200</w:t>
            </w:r>
          </w:p>
        </w:tc>
      </w:tr>
      <w:tr>
        <w:trPr>
          <w:cantSplit/>
        </w:trPr>
        <w:tc>
          <w:tcPr>
            <w:tcW w:w="840" w:type="dxa"/>
          </w:tcPr>
          <w:p>
            <w:pPr>
              <w:pStyle w:val="yTable"/>
            </w:pPr>
            <w:r>
              <w:t>66a.</w:t>
            </w:r>
          </w:p>
        </w:tc>
        <w:tc>
          <w:tcPr>
            <w:tcW w:w="1320" w:type="dxa"/>
          </w:tcPr>
          <w:p>
            <w:pPr>
              <w:pStyle w:val="yTable"/>
            </w:pPr>
            <w:r>
              <w:t>78(1a)</w:t>
            </w:r>
          </w:p>
        </w:tc>
        <w:tc>
          <w:tcPr>
            <w:tcW w:w="3720" w:type="dxa"/>
          </w:tcPr>
          <w:p>
            <w:pPr>
              <w:pStyle w:val="yTable"/>
            </w:pPr>
            <w:r>
              <w:t>Failing to comply with order to remove unauthorised property</w:t>
            </w:r>
          </w:p>
        </w:tc>
        <w:tc>
          <w:tcPr>
            <w:tcW w:w="1200" w:type="dxa"/>
            <w:vAlign w:val="bottom"/>
          </w:tcPr>
          <w:p>
            <w:pPr>
              <w:pStyle w:val="yTable"/>
              <w:tabs>
                <w:tab w:val="decimal" w:pos="766"/>
              </w:tabs>
            </w:pPr>
            <w:r>
              <w:rPr>
                <w:szCs w:val="22"/>
              </w:rPr>
              <w:t>200</w:t>
            </w:r>
          </w:p>
        </w:tc>
      </w:tr>
      <w:tr>
        <w:trPr>
          <w:cantSplit/>
        </w:trPr>
        <w:tc>
          <w:tcPr>
            <w:tcW w:w="840" w:type="dxa"/>
          </w:tcPr>
          <w:p>
            <w:pPr>
              <w:pStyle w:val="yTable"/>
            </w:pPr>
            <w:r>
              <w:t>67.</w:t>
            </w:r>
          </w:p>
        </w:tc>
        <w:tc>
          <w:tcPr>
            <w:tcW w:w="1320" w:type="dxa"/>
          </w:tcPr>
          <w:p>
            <w:pPr>
              <w:pStyle w:val="yTable"/>
            </w:pPr>
            <w:r>
              <w:t>88(2)</w:t>
            </w:r>
          </w:p>
        </w:tc>
        <w:tc>
          <w:tcPr>
            <w:tcW w:w="3720" w:type="dxa"/>
          </w:tcPr>
          <w:p>
            <w:pPr>
              <w:pStyle w:val="yTable"/>
            </w:pPr>
            <w:r>
              <w:t>Failing to comply with requirement to return licence</w:t>
            </w:r>
          </w:p>
        </w:tc>
        <w:tc>
          <w:tcPr>
            <w:tcW w:w="1200" w:type="dxa"/>
            <w:vAlign w:val="bottom"/>
          </w:tcPr>
          <w:p>
            <w:pPr>
              <w:pStyle w:val="yTable"/>
              <w:tabs>
                <w:tab w:val="decimal" w:pos="766"/>
              </w:tabs>
            </w:pPr>
            <w:r>
              <w:t>50</w:t>
            </w:r>
          </w:p>
        </w:tc>
      </w:tr>
      <w:tr>
        <w:trPr>
          <w:cantSplit/>
        </w:trPr>
        <w:tc>
          <w:tcPr>
            <w:tcW w:w="840" w:type="dxa"/>
          </w:tcPr>
          <w:p>
            <w:pPr>
              <w:pStyle w:val="yTable"/>
            </w:pPr>
            <w:r>
              <w:t>68A.</w:t>
            </w:r>
          </w:p>
        </w:tc>
        <w:tc>
          <w:tcPr>
            <w:tcW w:w="1320" w:type="dxa"/>
          </w:tcPr>
          <w:p>
            <w:pPr>
              <w:pStyle w:val="yTable"/>
            </w:pPr>
            <w:r>
              <w:t>93(5)</w:t>
            </w:r>
          </w:p>
        </w:tc>
        <w:tc>
          <w:tcPr>
            <w:tcW w:w="3720" w:type="dxa"/>
          </w:tcPr>
          <w:p>
            <w:pPr>
              <w:pStyle w:val="yTable"/>
            </w:pPr>
            <w:r>
              <w:t>Contravention of condition or restriction of scientific purposes licence</w:t>
            </w:r>
          </w:p>
        </w:tc>
        <w:tc>
          <w:tcPr>
            <w:tcW w:w="1200" w:type="dxa"/>
            <w:vAlign w:val="bottom"/>
          </w:tcPr>
          <w:p>
            <w:pPr>
              <w:pStyle w:val="yTable"/>
              <w:tabs>
                <w:tab w:val="decimal" w:pos="766"/>
              </w:tabs>
            </w:pPr>
            <w:r>
              <w:br/>
              <w:t>100</w:t>
            </w:r>
          </w:p>
        </w:tc>
      </w:tr>
      <w:tr>
        <w:trPr>
          <w:cantSplit/>
        </w:trPr>
        <w:tc>
          <w:tcPr>
            <w:tcW w:w="840" w:type="dxa"/>
          </w:tcPr>
          <w:p>
            <w:pPr>
              <w:pStyle w:val="yTable"/>
            </w:pPr>
            <w:r>
              <w:t>68.</w:t>
            </w:r>
          </w:p>
        </w:tc>
        <w:tc>
          <w:tcPr>
            <w:tcW w:w="1320" w:type="dxa"/>
          </w:tcPr>
          <w:p>
            <w:pPr>
              <w:pStyle w:val="yTable"/>
            </w:pPr>
            <w:r>
              <w:t>98(3)</w:t>
            </w:r>
          </w:p>
        </w:tc>
        <w:tc>
          <w:tcPr>
            <w:tcW w:w="3720" w:type="dxa"/>
          </w:tcPr>
          <w:p>
            <w:pPr>
              <w:pStyle w:val="yTable"/>
            </w:pPr>
            <w:r>
              <w:t>Contravention of condition of commercial operations licence</w:t>
            </w:r>
          </w:p>
        </w:tc>
        <w:tc>
          <w:tcPr>
            <w:tcW w:w="1200" w:type="dxa"/>
            <w:vAlign w:val="bottom"/>
          </w:tcPr>
          <w:p>
            <w:pPr>
              <w:pStyle w:val="yTable"/>
              <w:tabs>
                <w:tab w:val="decimal" w:pos="766"/>
              </w:tabs>
            </w:pPr>
            <w:r>
              <w:rPr>
                <w:szCs w:val="22"/>
              </w:rPr>
              <w:t>200</w:t>
            </w:r>
          </w:p>
        </w:tc>
      </w:tr>
      <w:tr>
        <w:trPr>
          <w:cantSplit/>
        </w:trPr>
        <w:tc>
          <w:tcPr>
            <w:tcW w:w="840" w:type="dxa"/>
          </w:tcPr>
          <w:p>
            <w:pPr>
              <w:pStyle w:val="yTable"/>
            </w:pPr>
            <w:r>
              <w:t>68A.</w:t>
            </w:r>
          </w:p>
        </w:tc>
        <w:tc>
          <w:tcPr>
            <w:tcW w:w="1320" w:type="dxa"/>
          </w:tcPr>
          <w:p>
            <w:pPr>
              <w:pStyle w:val="yTable"/>
            </w:pPr>
            <w:r>
              <w:t>98AF(3)</w:t>
            </w:r>
          </w:p>
        </w:tc>
        <w:tc>
          <w:tcPr>
            <w:tcW w:w="3720" w:type="dxa"/>
          </w:tcPr>
          <w:p>
            <w:pPr>
              <w:pStyle w:val="yTable"/>
            </w:pPr>
            <w:r>
              <w:t>Contravention of condition of rental mooring licence</w:t>
            </w:r>
          </w:p>
        </w:tc>
        <w:tc>
          <w:tcPr>
            <w:tcW w:w="1200" w:type="dxa"/>
            <w:vAlign w:val="bottom"/>
          </w:tcPr>
          <w:p>
            <w:pPr>
              <w:pStyle w:val="yTable"/>
              <w:tabs>
                <w:tab w:val="decimal" w:pos="766"/>
              </w:tabs>
              <w:rPr>
                <w:szCs w:val="22"/>
              </w:rPr>
            </w:pPr>
            <w:r>
              <w:t>100</w:t>
            </w:r>
          </w:p>
        </w:tc>
      </w:tr>
      <w:tr>
        <w:trPr>
          <w:cantSplit/>
        </w:trPr>
        <w:tc>
          <w:tcPr>
            <w:tcW w:w="840" w:type="dxa"/>
          </w:tcPr>
          <w:p>
            <w:pPr>
              <w:pStyle w:val="yTable"/>
            </w:pPr>
            <w:r>
              <w:t>68B.</w:t>
            </w:r>
          </w:p>
        </w:tc>
        <w:tc>
          <w:tcPr>
            <w:tcW w:w="1320" w:type="dxa"/>
          </w:tcPr>
          <w:p>
            <w:pPr>
              <w:pStyle w:val="yTable"/>
            </w:pPr>
            <w:r>
              <w:t>98AL(4)</w:t>
            </w:r>
          </w:p>
        </w:tc>
        <w:tc>
          <w:tcPr>
            <w:tcW w:w="3720" w:type="dxa"/>
          </w:tcPr>
          <w:p>
            <w:pPr>
              <w:pStyle w:val="yTable"/>
            </w:pPr>
            <w:r>
              <w:t>Failing to have written consent of licence holder in possession</w:t>
            </w:r>
          </w:p>
        </w:tc>
        <w:tc>
          <w:tcPr>
            <w:tcW w:w="1200" w:type="dxa"/>
            <w:vAlign w:val="bottom"/>
          </w:tcPr>
          <w:p>
            <w:pPr>
              <w:pStyle w:val="yTable"/>
              <w:tabs>
                <w:tab w:val="decimal" w:pos="766"/>
              </w:tabs>
              <w:rPr>
                <w:szCs w:val="22"/>
              </w:rPr>
            </w:pPr>
            <w:r>
              <w:t>100</w:t>
            </w:r>
          </w:p>
        </w:tc>
      </w:tr>
      <w:tr>
        <w:trPr>
          <w:cantSplit/>
        </w:trPr>
        <w:tc>
          <w:tcPr>
            <w:tcW w:w="840" w:type="dxa"/>
          </w:tcPr>
          <w:p>
            <w:pPr>
              <w:pStyle w:val="yTable"/>
            </w:pPr>
            <w:r>
              <w:t>68C.</w:t>
            </w:r>
          </w:p>
        </w:tc>
        <w:tc>
          <w:tcPr>
            <w:tcW w:w="1320" w:type="dxa"/>
          </w:tcPr>
          <w:p>
            <w:pPr>
              <w:pStyle w:val="yTable"/>
            </w:pPr>
            <w:r>
              <w:t>98AR(3)</w:t>
            </w:r>
          </w:p>
        </w:tc>
        <w:tc>
          <w:tcPr>
            <w:tcW w:w="3720" w:type="dxa"/>
          </w:tcPr>
          <w:p>
            <w:pPr>
              <w:pStyle w:val="yTable"/>
            </w:pPr>
            <w:r>
              <w:t>Contravention of condition of private mooring licence</w:t>
            </w:r>
          </w:p>
        </w:tc>
        <w:tc>
          <w:tcPr>
            <w:tcW w:w="1200" w:type="dxa"/>
            <w:vAlign w:val="bottom"/>
          </w:tcPr>
          <w:p>
            <w:pPr>
              <w:pStyle w:val="yTable"/>
              <w:tabs>
                <w:tab w:val="decimal" w:pos="766"/>
              </w:tabs>
              <w:rPr>
                <w:szCs w:val="22"/>
              </w:rPr>
            </w:pPr>
            <w:r>
              <w:t>100</w:t>
            </w:r>
          </w:p>
        </w:tc>
      </w:tr>
      <w:tr>
        <w:trPr>
          <w:cantSplit/>
        </w:trPr>
        <w:tc>
          <w:tcPr>
            <w:tcW w:w="840" w:type="dxa"/>
          </w:tcPr>
          <w:p>
            <w:pPr>
              <w:pStyle w:val="yTable"/>
            </w:pPr>
            <w:r>
              <w:t>68D.</w:t>
            </w:r>
          </w:p>
        </w:tc>
        <w:tc>
          <w:tcPr>
            <w:tcW w:w="1320" w:type="dxa"/>
          </w:tcPr>
          <w:p>
            <w:pPr>
              <w:pStyle w:val="yTable"/>
            </w:pPr>
            <w:r>
              <w:t>98AT(3)</w:t>
            </w:r>
          </w:p>
        </w:tc>
        <w:tc>
          <w:tcPr>
            <w:tcW w:w="3720" w:type="dxa"/>
          </w:tcPr>
          <w:p>
            <w:pPr>
              <w:pStyle w:val="yTable"/>
            </w:pPr>
            <w:r>
              <w:t>Failing to provide inspection report for mooring</w:t>
            </w:r>
          </w:p>
        </w:tc>
        <w:tc>
          <w:tcPr>
            <w:tcW w:w="1200" w:type="dxa"/>
            <w:vAlign w:val="bottom"/>
          </w:tcPr>
          <w:p>
            <w:pPr>
              <w:pStyle w:val="yTable"/>
              <w:tabs>
                <w:tab w:val="decimal" w:pos="766"/>
              </w:tabs>
              <w:rPr>
                <w:szCs w:val="22"/>
              </w:rPr>
            </w:pPr>
            <w:r>
              <w:t>100</w:t>
            </w:r>
          </w:p>
        </w:tc>
      </w:tr>
      <w:tr>
        <w:trPr>
          <w:cantSplit/>
        </w:trPr>
        <w:tc>
          <w:tcPr>
            <w:tcW w:w="840" w:type="dxa"/>
          </w:tcPr>
          <w:p>
            <w:pPr>
              <w:pStyle w:val="yTable"/>
            </w:pPr>
            <w:r>
              <w:t>68E.</w:t>
            </w:r>
          </w:p>
        </w:tc>
        <w:tc>
          <w:tcPr>
            <w:tcW w:w="1320" w:type="dxa"/>
          </w:tcPr>
          <w:p>
            <w:pPr>
              <w:pStyle w:val="yTable"/>
            </w:pPr>
            <w:r>
              <w:t>98AU(3)</w:t>
            </w:r>
          </w:p>
        </w:tc>
        <w:tc>
          <w:tcPr>
            <w:tcW w:w="3720" w:type="dxa"/>
          </w:tcPr>
          <w:p>
            <w:pPr>
              <w:pStyle w:val="yTable"/>
            </w:pPr>
            <w:r>
              <w:t>Failing to comply with a requirement to repair, relocate or remove a private mooring</w:t>
            </w:r>
          </w:p>
        </w:tc>
        <w:tc>
          <w:tcPr>
            <w:tcW w:w="1200" w:type="dxa"/>
            <w:vAlign w:val="bottom"/>
          </w:tcPr>
          <w:p>
            <w:pPr>
              <w:pStyle w:val="yTable"/>
              <w:tabs>
                <w:tab w:val="decimal" w:pos="766"/>
              </w:tabs>
              <w:rPr>
                <w:szCs w:val="22"/>
              </w:rPr>
            </w:pPr>
            <w:r>
              <w:t>200</w:t>
            </w:r>
          </w:p>
        </w:tc>
      </w:tr>
      <w:tr>
        <w:trPr>
          <w:cantSplit/>
        </w:trPr>
        <w:tc>
          <w:tcPr>
            <w:tcW w:w="840" w:type="dxa"/>
          </w:tcPr>
          <w:p>
            <w:pPr>
              <w:pStyle w:val="yTable"/>
            </w:pPr>
            <w:r>
              <w:t>68F.</w:t>
            </w:r>
          </w:p>
        </w:tc>
        <w:tc>
          <w:tcPr>
            <w:tcW w:w="1320" w:type="dxa"/>
          </w:tcPr>
          <w:p>
            <w:pPr>
              <w:pStyle w:val="yTable"/>
            </w:pPr>
            <w:r>
              <w:t>98AW</w:t>
            </w:r>
          </w:p>
        </w:tc>
        <w:tc>
          <w:tcPr>
            <w:tcW w:w="3720" w:type="dxa"/>
          </w:tcPr>
          <w:p>
            <w:pPr>
              <w:pStyle w:val="yTable"/>
            </w:pPr>
            <w:r>
              <w:t>Failing to notify change of particulars for private mooring licence</w:t>
            </w:r>
          </w:p>
        </w:tc>
        <w:tc>
          <w:tcPr>
            <w:tcW w:w="1200" w:type="dxa"/>
            <w:vAlign w:val="bottom"/>
          </w:tcPr>
          <w:p>
            <w:pPr>
              <w:pStyle w:val="yTable"/>
              <w:tabs>
                <w:tab w:val="decimal" w:pos="766"/>
              </w:tabs>
              <w:rPr>
                <w:szCs w:val="22"/>
              </w:rPr>
            </w:pPr>
            <w:r>
              <w:t>100</w:t>
            </w:r>
          </w:p>
        </w:tc>
      </w:tr>
      <w:tr>
        <w:trPr>
          <w:cantSplit/>
        </w:trPr>
        <w:tc>
          <w:tcPr>
            <w:tcW w:w="840" w:type="dxa"/>
          </w:tcPr>
          <w:p>
            <w:pPr>
              <w:pStyle w:val="yTable"/>
            </w:pPr>
            <w:r>
              <w:t>69.</w:t>
            </w:r>
          </w:p>
        </w:tc>
        <w:tc>
          <w:tcPr>
            <w:tcW w:w="1320" w:type="dxa"/>
          </w:tcPr>
          <w:p>
            <w:pPr>
              <w:pStyle w:val="yTable"/>
            </w:pPr>
            <w:r>
              <w:t>99(5)</w:t>
            </w:r>
          </w:p>
        </w:tc>
        <w:tc>
          <w:tcPr>
            <w:tcW w:w="3720" w:type="dxa"/>
          </w:tcPr>
          <w:p>
            <w:pPr>
              <w:pStyle w:val="yTable"/>
            </w:pPr>
            <w:r>
              <w:t>Failing to pay entrance fee</w:t>
            </w:r>
          </w:p>
        </w:tc>
        <w:tc>
          <w:tcPr>
            <w:tcW w:w="1200" w:type="dxa"/>
            <w:vAlign w:val="bottom"/>
          </w:tcPr>
          <w:p>
            <w:pPr>
              <w:pStyle w:val="yTable"/>
              <w:tabs>
                <w:tab w:val="decimal" w:pos="766"/>
              </w:tabs>
            </w:pPr>
            <w:r>
              <w:t>35</w:t>
            </w:r>
          </w:p>
        </w:tc>
      </w:tr>
      <w:tr>
        <w:trPr>
          <w:cantSplit/>
        </w:trPr>
        <w:tc>
          <w:tcPr>
            <w:tcW w:w="840" w:type="dxa"/>
          </w:tcPr>
          <w:p>
            <w:pPr>
              <w:pStyle w:val="yTable"/>
            </w:pPr>
            <w:r>
              <w:t>69a.</w:t>
            </w:r>
          </w:p>
        </w:tc>
        <w:tc>
          <w:tcPr>
            <w:tcW w:w="1320" w:type="dxa"/>
          </w:tcPr>
          <w:p>
            <w:pPr>
              <w:pStyle w:val="yTable"/>
            </w:pPr>
            <w:r>
              <w:t>99A(4)</w:t>
            </w:r>
          </w:p>
        </w:tc>
        <w:tc>
          <w:tcPr>
            <w:tcW w:w="3720" w:type="dxa"/>
          </w:tcPr>
          <w:p>
            <w:pPr>
              <w:pStyle w:val="yTable"/>
            </w:pPr>
            <w:r>
              <w:t>Failing to pay landing fee for aircraft</w:t>
            </w:r>
          </w:p>
        </w:tc>
        <w:tc>
          <w:tcPr>
            <w:tcW w:w="1200" w:type="dxa"/>
            <w:vAlign w:val="bottom"/>
          </w:tcPr>
          <w:p>
            <w:pPr>
              <w:pStyle w:val="yTable"/>
              <w:tabs>
                <w:tab w:val="decimal" w:pos="766"/>
              </w:tabs>
            </w:pPr>
            <w:r>
              <w:t>100</w:t>
            </w:r>
          </w:p>
        </w:tc>
      </w:tr>
      <w:tr>
        <w:trPr>
          <w:cantSplit/>
        </w:trPr>
        <w:tc>
          <w:tcPr>
            <w:tcW w:w="840" w:type="dxa"/>
          </w:tcPr>
          <w:p>
            <w:pPr>
              <w:pStyle w:val="yTable"/>
            </w:pPr>
            <w:r>
              <w:t>69b.</w:t>
            </w:r>
          </w:p>
        </w:tc>
        <w:tc>
          <w:tcPr>
            <w:tcW w:w="1320" w:type="dxa"/>
          </w:tcPr>
          <w:p>
            <w:pPr>
              <w:pStyle w:val="yTable"/>
            </w:pPr>
            <w:r>
              <w:t>99C(4)</w:t>
            </w:r>
          </w:p>
        </w:tc>
        <w:tc>
          <w:tcPr>
            <w:tcW w:w="3720" w:type="dxa"/>
          </w:tcPr>
          <w:p>
            <w:pPr>
              <w:pStyle w:val="yTable"/>
            </w:pPr>
            <w:r>
              <w:t xml:space="preserve">Failing to pay entrance fee for </w:t>
            </w:r>
            <w:smartTag w:uri="urn:schemas-microsoft-com:office:smarttags" w:element="place">
              <w:smartTag w:uri="urn:schemas-microsoft-com:office:smarttags" w:element="PlaceName">
                <w:r>
                  <w:t>Monkey</w:t>
                </w:r>
              </w:smartTag>
              <w:r>
                <w:t xml:space="preserve"> </w:t>
              </w:r>
              <w:smartTag w:uri="urn:schemas-microsoft-com:office:smarttags" w:element="PlaceName">
                <w:r>
                  <w:t>Mia</w:t>
                </w:r>
              </w:smartTag>
              <w:r>
                <w:t xml:space="preserve"> </w:t>
              </w:r>
              <w:smartTag w:uri="urn:schemas-microsoft-com:office:smarttags" w:element="PlaceName">
                <w:r>
                  <w:t>Conservation</w:t>
                </w:r>
              </w:smartTag>
              <w:r>
                <w:t xml:space="preserve"> </w:t>
              </w:r>
              <w:smartTag w:uri="urn:schemas-microsoft-com:office:smarttags" w:element="PlaceType">
                <w:r>
                  <w:t>Park</w:t>
                </w:r>
              </w:smartTag>
            </w:smartTag>
          </w:p>
        </w:tc>
        <w:tc>
          <w:tcPr>
            <w:tcW w:w="1200" w:type="dxa"/>
          </w:tcPr>
          <w:p>
            <w:pPr>
              <w:pStyle w:val="yTable"/>
              <w:tabs>
                <w:tab w:val="decimal" w:pos="766"/>
              </w:tabs>
            </w:pPr>
            <w:r>
              <w:br/>
              <w:t>35</w:t>
            </w:r>
          </w:p>
        </w:tc>
      </w:tr>
      <w:tr>
        <w:trPr>
          <w:cantSplit/>
        </w:trPr>
        <w:tc>
          <w:tcPr>
            <w:tcW w:w="840" w:type="dxa"/>
          </w:tcPr>
          <w:p>
            <w:pPr>
              <w:pStyle w:val="yTable"/>
            </w:pPr>
            <w:r>
              <w:t>70.</w:t>
            </w:r>
          </w:p>
        </w:tc>
        <w:tc>
          <w:tcPr>
            <w:tcW w:w="1320" w:type="dxa"/>
          </w:tcPr>
          <w:p>
            <w:pPr>
              <w:pStyle w:val="yTable"/>
              <w:ind w:left="-74" w:firstLine="45"/>
            </w:pPr>
            <w:r>
              <w:t>100(4)</w:t>
            </w:r>
          </w:p>
        </w:tc>
        <w:tc>
          <w:tcPr>
            <w:tcW w:w="3720" w:type="dxa"/>
          </w:tcPr>
          <w:p>
            <w:pPr>
              <w:pStyle w:val="yTable"/>
            </w:pPr>
            <w:r>
              <w:t>Failing to pay fee for Tree Top Walk</w:t>
            </w:r>
          </w:p>
        </w:tc>
        <w:tc>
          <w:tcPr>
            <w:tcW w:w="1200" w:type="dxa"/>
            <w:vAlign w:val="bottom"/>
          </w:tcPr>
          <w:p>
            <w:pPr>
              <w:pStyle w:val="yTable"/>
              <w:tabs>
                <w:tab w:val="decimal" w:pos="766"/>
              </w:tabs>
            </w:pPr>
            <w:r>
              <w:t>35</w:t>
            </w:r>
          </w:p>
        </w:tc>
      </w:tr>
      <w:tr>
        <w:trPr>
          <w:cantSplit/>
        </w:trPr>
        <w:tc>
          <w:tcPr>
            <w:tcW w:w="840" w:type="dxa"/>
          </w:tcPr>
          <w:p>
            <w:pPr>
              <w:pStyle w:val="yTable"/>
            </w:pPr>
            <w:r>
              <w:t>70a.</w:t>
            </w:r>
          </w:p>
        </w:tc>
        <w:tc>
          <w:tcPr>
            <w:tcW w:w="1320" w:type="dxa"/>
          </w:tcPr>
          <w:p>
            <w:pPr>
              <w:pStyle w:val="yTable"/>
              <w:ind w:left="-74" w:firstLine="45"/>
            </w:pPr>
            <w:r>
              <w:t>100A(4)</w:t>
            </w:r>
          </w:p>
        </w:tc>
        <w:tc>
          <w:tcPr>
            <w:tcW w:w="3720" w:type="dxa"/>
          </w:tcPr>
          <w:p>
            <w:pPr>
              <w:pStyle w:val="yTable"/>
            </w:pPr>
            <w:r>
              <w:t>Failing to pay entrance fee</w:t>
            </w:r>
          </w:p>
        </w:tc>
        <w:tc>
          <w:tcPr>
            <w:tcW w:w="1200" w:type="dxa"/>
            <w:vAlign w:val="bottom"/>
          </w:tcPr>
          <w:p>
            <w:pPr>
              <w:pStyle w:val="yTable"/>
              <w:tabs>
                <w:tab w:val="decimal" w:pos="766"/>
              </w:tabs>
            </w:pPr>
            <w:r>
              <w:t>35</w:t>
            </w:r>
          </w:p>
        </w:tc>
      </w:tr>
      <w:tr>
        <w:trPr>
          <w:cantSplit/>
        </w:trPr>
        <w:tc>
          <w:tcPr>
            <w:tcW w:w="840" w:type="dxa"/>
          </w:tcPr>
          <w:p>
            <w:pPr>
              <w:pStyle w:val="yTable"/>
            </w:pPr>
            <w:r>
              <w:t>71.</w:t>
            </w:r>
          </w:p>
        </w:tc>
        <w:tc>
          <w:tcPr>
            <w:tcW w:w="1320" w:type="dxa"/>
          </w:tcPr>
          <w:p>
            <w:pPr>
              <w:pStyle w:val="yTable"/>
              <w:ind w:left="-74" w:firstLine="45"/>
            </w:pPr>
            <w:r>
              <w:t>102</w:t>
            </w:r>
          </w:p>
        </w:tc>
        <w:tc>
          <w:tcPr>
            <w:tcW w:w="3720" w:type="dxa"/>
          </w:tcPr>
          <w:p>
            <w:pPr>
              <w:pStyle w:val="yTable"/>
            </w:pPr>
            <w:r>
              <w:t>Failing to pay entrance fee when entering on horseback</w:t>
            </w:r>
          </w:p>
        </w:tc>
        <w:tc>
          <w:tcPr>
            <w:tcW w:w="1200" w:type="dxa"/>
            <w:vAlign w:val="bottom"/>
          </w:tcPr>
          <w:p>
            <w:pPr>
              <w:pStyle w:val="yTable"/>
              <w:tabs>
                <w:tab w:val="decimal" w:pos="766"/>
              </w:tabs>
            </w:pPr>
            <w:r>
              <w:t>35</w:t>
            </w:r>
          </w:p>
        </w:tc>
      </w:tr>
      <w:tr>
        <w:trPr>
          <w:cantSplit/>
        </w:trPr>
        <w:tc>
          <w:tcPr>
            <w:tcW w:w="840" w:type="dxa"/>
          </w:tcPr>
          <w:p>
            <w:pPr>
              <w:pStyle w:val="yTable"/>
            </w:pPr>
            <w:r>
              <w:t>71a.</w:t>
            </w:r>
          </w:p>
        </w:tc>
        <w:tc>
          <w:tcPr>
            <w:tcW w:w="1320" w:type="dxa"/>
          </w:tcPr>
          <w:p>
            <w:pPr>
              <w:pStyle w:val="yTable"/>
              <w:ind w:left="-74" w:firstLine="45"/>
            </w:pPr>
            <w:r>
              <w:t>102A(3)</w:t>
            </w:r>
          </w:p>
        </w:tc>
        <w:tc>
          <w:tcPr>
            <w:tcW w:w="3720" w:type="dxa"/>
          </w:tcPr>
          <w:p>
            <w:pPr>
              <w:pStyle w:val="yTable"/>
            </w:pPr>
            <w:r>
              <w:t>Failing to pay abseiling fee</w:t>
            </w:r>
          </w:p>
        </w:tc>
        <w:tc>
          <w:tcPr>
            <w:tcW w:w="1200" w:type="dxa"/>
            <w:vAlign w:val="bottom"/>
          </w:tcPr>
          <w:p>
            <w:pPr>
              <w:pStyle w:val="yTable"/>
              <w:tabs>
                <w:tab w:val="decimal" w:pos="766"/>
              </w:tabs>
            </w:pPr>
            <w:r>
              <w:t>35</w:t>
            </w:r>
          </w:p>
        </w:tc>
      </w:tr>
      <w:tr>
        <w:trPr>
          <w:cantSplit/>
        </w:trPr>
        <w:tc>
          <w:tcPr>
            <w:tcW w:w="840" w:type="dxa"/>
          </w:tcPr>
          <w:p>
            <w:pPr>
              <w:pStyle w:val="yTable"/>
            </w:pPr>
            <w:r>
              <w:t>72.</w:t>
            </w:r>
          </w:p>
        </w:tc>
        <w:tc>
          <w:tcPr>
            <w:tcW w:w="1320" w:type="dxa"/>
          </w:tcPr>
          <w:p>
            <w:pPr>
              <w:pStyle w:val="yTable"/>
              <w:ind w:left="-74" w:firstLine="45"/>
            </w:pPr>
            <w:r>
              <w:t>103(4)</w:t>
            </w:r>
          </w:p>
        </w:tc>
        <w:tc>
          <w:tcPr>
            <w:tcW w:w="3720" w:type="dxa"/>
          </w:tcPr>
          <w:p>
            <w:pPr>
              <w:pStyle w:val="yTable"/>
            </w:pPr>
            <w:r>
              <w:t>Failing to pay camping fee</w:t>
            </w:r>
          </w:p>
        </w:tc>
        <w:tc>
          <w:tcPr>
            <w:tcW w:w="1200" w:type="dxa"/>
            <w:vAlign w:val="bottom"/>
          </w:tcPr>
          <w:p>
            <w:pPr>
              <w:pStyle w:val="yTable"/>
              <w:tabs>
                <w:tab w:val="decimal" w:pos="766"/>
              </w:tabs>
            </w:pPr>
            <w:r>
              <w:t>35</w:t>
            </w:r>
          </w:p>
        </w:tc>
      </w:tr>
      <w:tr>
        <w:trPr>
          <w:cantSplit/>
        </w:trPr>
        <w:tc>
          <w:tcPr>
            <w:tcW w:w="840" w:type="dxa"/>
          </w:tcPr>
          <w:p>
            <w:pPr>
              <w:pStyle w:val="yTable"/>
            </w:pPr>
            <w:r>
              <w:t>73.</w:t>
            </w:r>
          </w:p>
        </w:tc>
        <w:tc>
          <w:tcPr>
            <w:tcW w:w="1320" w:type="dxa"/>
          </w:tcPr>
          <w:p>
            <w:pPr>
              <w:pStyle w:val="yTable"/>
              <w:ind w:left="-74" w:firstLine="45"/>
            </w:pPr>
            <w:r>
              <w:t>105(1)</w:t>
            </w:r>
          </w:p>
        </w:tc>
        <w:tc>
          <w:tcPr>
            <w:tcW w:w="3720" w:type="dxa"/>
          </w:tcPr>
          <w:p>
            <w:pPr>
              <w:pStyle w:val="yTable"/>
            </w:pPr>
            <w:r>
              <w:t>Organising etc. meeting etc.</w:t>
            </w:r>
          </w:p>
        </w:tc>
        <w:tc>
          <w:tcPr>
            <w:tcW w:w="1200" w:type="dxa"/>
            <w:vAlign w:val="bottom"/>
          </w:tcPr>
          <w:p>
            <w:pPr>
              <w:pStyle w:val="yTable"/>
              <w:tabs>
                <w:tab w:val="decimal" w:pos="766"/>
              </w:tabs>
            </w:pPr>
            <w:r>
              <w:t>200</w:t>
            </w:r>
          </w:p>
        </w:tc>
      </w:tr>
      <w:tr>
        <w:trPr>
          <w:cantSplit/>
        </w:trPr>
        <w:tc>
          <w:tcPr>
            <w:tcW w:w="840" w:type="dxa"/>
          </w:tcPr>
          <w:p>
            <w:pPr>
              <w:pStyle w:val="yTable"/>
            </w:pPr>
            <w:r>
              <w:t>74.</w:t>
            </w:r>
          </w:p>
        </w:tc>
        <w:tc>
          <w:tcPr>
            <w:tcW w:w="1320" w:type="dxa"/>
          </w:tcPr>
          <w:p>
            <w:pPr>
              <w:pStyle w:val="yTable"/>
              <w:ind w:left="-74" w:firstLine="45"/>
            </w:pPr>
            <w:r>
              <w:t>106(1)</w:t>
            </w:r>
          </w:p>
        </w:tc>
        <w:tc>
          <w:tcPr>
            <w:tcW w:w="3720" w:type="dxa"/>
          </w:tcPr>
          <w:p>
            <w:pPr>
              <w:pStyle w:val="yTable"/>
            </w:pPr>
            <w:r>
              <w:t>Selling goods or services, or carrying on business</w:t>
            </w:r>
          </w:p>
        </w:tc>
        <w:tc>
          <w:tcPr>
            <w:tcW w:w="1200" w:type="dxa"/>
            <w:vAlign w:val="bottom"/>
          </w:tcPr>
          <w:p>
            <w:pPr>
              <w:pStyle w:val="yTable"/>
              <w:tabs>
                <w:tab w:val="decimal" w:pos="766"/>
              </w:tabs>
            </w:pPr>
            <w:r>
              <w:t>200</w:t>
            </w:r>
          </w:p>
        </w:tc>
      </w:tr>
      <w:tr>
        <w:trPr>
          <w:cantSplit/>
        </w:trPr>
        <w:tc>
          <w:tcPr>
            <w:tcW w:w="840" w:type="dxa"/>
          </w:tcPr>
          <w:p>
            <w:pPr>
              <w:pStyle w:val="yTable"/>
            </w:pPr>
            <w:r>
              <w:t>74a.</w:t>
            </w:r>
          </w:p>
        </w:tc>
        <w:tc>
          <w:tcPr>
            <w:tcW w:w="1320" w:type="dxa"/>
          </w:tcPr>
          <w:p>
            <w:pPr>
              <w:pStyle w:val="yTable"/>
              <w:ind w:left="-74" w:firstLine="45"/>
            </w:pPr>
            <w:r>
              <w:t>106(2)</w:t>
            </w:r>
          </w:p>
        </w:tc>
        <w:tc>
          <w:tcPr>
            <w:tcW w:w="3720" w:type="dxa"/>
          </w:tcPr>
          <w:p>
            <w:pPr>
              <w:pStyle w:val="yTable"/>
            </w:pPr>
            <w:r>
              <w:t>Advertising goods or services or a business</w:t>
            </w:r>
          </w:p>
        </w:tc>
        <w:tc>
          <w:tcPr>
            <w:tcW w:w="1200" w:type="dxa"/>
            <w:vAlign w:val="bottom"/>
          </w:tcPr>
          <w:p>
            <w:pPr>
              <w:pStyle w:val="yTable"/>
              <w:tabs>
                <w:tab w:val="decimal" w:pos="766"/>
              </w:tabs>
            </w:pPr>
            <w:r>
              <w:t>200</w:t>
            </w:r>
          </w:p>
        </w:tc>
      </w:tr>
      <w:tr>
        <w:trPr>
          <w:cantSplit/>
        </w:trPr>
        <w:tc>
          <w:tcPr>
            <w:tcW w:w="840" w:type="dxa"/>
          </w:tcPr>
          <w:p>
            <w:pPr>
              <w:pStyle w:val="yTable"/>
            </w:pPr>
            <w:r>
              <w:t>75.</w:t>
            </w:r>
          </w:p>
        </w:tc>
        <w:tc>
          <w:tcPr>
            <w:tcW w:w="1320" w:type="dxa"/>
          </w:tcPr>
          <w:p>
            <w:pPr>
              <w:pStyle w:val="yTable"/>
              <w:ind w:left="-74" w:firstLine="45"/>
            </w:pPr>
            <w:r>
              <w:t>107</w:t>
            </w:r>
          </w:p>
        </w:tc>
        <w:tc>
          <w:tcPr>
            <w:tcW w:w="3720" w:type="dxa"/>
          </w:tcPr>
          <w:p>
            <w:pPr>
              <w:pStyle w:val="yTable"/>
            </w:pPr>
            <w:r>
              <w:t>Distributing etc. printed matter etc.</w:t>
            </w:r>
          </w:p>
        </w:tc>
        <w:tc>
          <w:tcPr>
            <w:tcW w:w="1200" w:type="dxa"/>
            <w:vAlign w:val="bottom"/>
          </w:tcPr>
          <w:p>
            <w:pPr>
              <w:pStyle w:val="yTable"/>
              <w:tabs>
                <w:tab w:val="decimal" w:pos="766"/>
              </w:tabs>
            </w:pPr>
            <w:r>
              <w:t>50</w:t>
            </w:r>
          </w:p>
        </w:tc>
      </w:tr>
      <w:tr>
        <w:trPr>
          <w:cantSplit/>
        </w:trPr>
        <w:tc>
          <w:tcPr>
            <w:tcW w:w="840" w:type="dxa"/>
          </w:tcPr>
          <w:p>
            <w:pPr>
              <w:pStyle w:val="yTable"/>
            </w:pPr>
            <w:r>
              <w:t>76.</w:t>
            </w:r>
          </w:p>
        </w:tc>
        <w:tc>
          <w:tcPr>
            <w:tcW w:w="1320" w:type="dxa"/>
          </w:tcPr>
          <w:p>
            <w:pPr>
              <w:pStyle w:val="yTable"/>
              <w:ind w:left="-74" w:firstLine="45"/>
            </w:pPr>
            <w:r>
              <w:t>108</w:t>
            </w:r>
          </w:p>
        </w:tc>
        <w:tc>
          <w:tcPr>
            <w:tcW w:w="3720" w:type="dxa"/>
          </w:tcPr>
          <w:p>
            <w:pPr>
              <w:pStyle w:val="yTable"/>
            </w:pPr>
            <w:r>
              <w:t>Unlawfully taking still or motion pictures</w:t>
            </w:r>
          </w:p>
        </w:tc>
        <w:tc>
          <w:tcPr>
            <w:tcW w:w="1200" w:type="dxa"/>
            <w:vAlign w:val="bottom"/>
          </w:tcPr>
          <w:p>
            <w:pPr>
              <w:pStyle w:val="yTable"/>
              <w:tabs>
                <w:tab w:val="decimal" w:pos="766"/>
              </w:tabs>
            </w:pPr>
            <w:r>
              <w:t>50</w:t>
            </w:r>
          </w:p>
        </w:tc>
      </w:tr>
      <w:tr>
        <w:trPr>
          <w:cantSplit/>
        </w:trPr>
        <w:tc>
          <w:tcPr>
            <w:tcW w:w="840" w:type="dxa"/>
          </w:tcPr>
          <w:p>
            <w:pPr>
              <w:pStyle w:val="yTable"/>
              <w:keepLines/>
            </w:pPr>
            <w:r>
              <w:t>77.</w:t>
            </w:r>
          </w:p>
        </w:tc>
        <w:tc>
          <w:tcPr>
            <w:tcW w:w="1320" w:type="dxa"/>
          </w:tcPr>
          <w:p>
            <w:pPr>
              <w:pStyle w:val="yTable"/>
              <w:keepNext/>
              <w:keepLines/>
              <w:ind w:left="-74" w:firstLine="45"/>
            </w:pPr>
            <w:r>
              <w:t>109</w:t>
            </w:r>
          </w:p>
        </w:tc>
        <w:tc>
          <w:tcPr>
            <w:tcW w:w="3720" w:type="dxa"/>
          </w:tcPr>
          <w:p>
            <w:pPr>
              <w:pStyle w:val="yTable"/>
              <w:keepNext/>
              <w:keepLines/>
            </w:pPr>
            <w:r>
              <w:t>Failing to produce licence etc.</w:t>
            </w:r>
          </w:p>
        </w:tc>
        <w:tc>
          <w:tcPr>
            <w:tcW w:w="1200" w:type="dxa"/>
            <w:vAlign w:val="bottom"/>
          </w:tcPr>
          <w:p>
            <w:pPr>
              <w:pStyle w:val="yTable"/>
              <w:keepNext/>
              <w:keepLines/>
              <w:tabs>
                <w:tab w:val="decimal" w:pos="766"/>
              </w:tabs>
            </w:pPr>
            <w:r>
              <w:rPr>
                <w:szCs w:val="22"/>
              </w:rPr>
              <w:t>200</w:t>
            </w:r>
          </w:p>
        </w:tc>
      </w:tr>
      <w:tr>
        <w:trPr>
          <w:cantSplit/>
        </w:trPr>
        <w:tc>
          <w:tcPr>
            <w:tcW w:w="840" w:type="dxa"/>
          </w:tcPr>
          <w:p>
            <w:pPr>
              <w:pStyle w:val="yTable"/>
              <w:keepLines/>
            </w:pPr>
            <w:r>
              <w:t>78.</w:t>
            </w:r>
          </w:p>
        </w:tc>
        <w:tc>
          <w:tcPr>
            <w:tcW w:w="1320" w:type="dxa"/>
          </w:tcPr>
          <w:p>
            <w:pPr>
              <w:pStyle w:val="yTable"/>
              <w:keepNext/>
              <w:keepLines/>
              <w:ind w:left="-74" w:firstLine="45"/>
            </w:pPr>
            <w:r>
              <w:t>110</w:t>
            </w:r>
          </w:p>
        </w:tc>
        <w:tc>
          <w:tcPr>
            <w:tcW w:w="3720" w:type="dxa"/>
          </w:tcPr>
          <w:p>
            <w:pPr>
              <w:pStyle w:val="yTable"/>
              <w:keepNext/>
              <w:keepLines/>
            </w:pPr>
            <w:r>
              <w:t>Giving false or misleading information</w:t>
            </w:r>
          </w:p>
        </w:tc>
        <w:tc>
          <w:tcPr>
            <w:tcW w:w="1200" w:type="dxa"/>
            <w:vAlign w:val="bottom"/>
          </w:tcPr>
          <w:p>
            <w:pPr>
              <w:pStyle w:val="yTable"/>
              <w:keepNext/>
              <w:keepLines/>
              <w:tabs>
                <w:tab w:val="decimal" w:pos="766"/>
              </w:tabs>
            </w:pPr>
            <w:r>
              <w:rPr>
                <w:szCs w:val="22"/>
              </w:rPr>
              <w:t>200</w:t>
            </w:r>
          </w:p>
        </w:tc>
      </w:tr>
    </w:tbl>
    <w:p>
      <w:pPr>
        <w:pStyle w:val="yFootnotesection"/>
        <w:keepNext/>
      </w:pPr>
      <w:r>
        <w:tab/>
        <w:t>[Division 2 amended in Gazette 29 Sep 2006 p. 4331</w:t>
      </w:r>
      <w:r>
        <w:noBreakHyphen/>
        <w:t>3; 27 Feb 2007 p. 625</w:t>
      </w:r>
      <w:r>
        <w:noBreakHyphen/>
        <w:t>6; 3 Dec 2010 p. 6052; 19 Sep 2014 p. 3333</w:t>
      </w:r>
      <w:r>
        <w:noBreakHyphen/>
        <w:t>4 and 3336</w:t>
      </w:r>
      <w:r>
        <w:noBreakHyphen/>
        <w:t>7; 24 Mar 2015 p. 1043</w:t>
      </w:r>
      <w:r>
        <w:noBreakHyphen/>
        <w:t>4.]</w:t>
      </w:r>
    </w:p>
    <w:p>
      <w:pPr>
        <w:pStyle w:val="yHeading3"/>
        <w:rPr>
          <w:i/>
        </w:rPr>
      </w:pPr>
      <w:bookmarkStart w:id="482" w:name="_Toc408498955"/>
      <w:bookmarkStart w:id="483" w:name="_Toc414889377"/>
      <w:bookmarkStart w:id="484" w:name="_Toc414975349"/>
      <w:bookmarkStart w:id="485" w:name="_Toc417563831"/>
      <w:r>
        <w:rPr>
          <w:rStyle w:val="CharSDivNo"/>
        </w:rPr>
        <w:t>Division 3</w:t>
      </w:r>
      <w:r>
        <w:t xml:space="preserve"> — </w:t>
      </w:r>
      <w:r>
        <w:rPr>
          <w:rStyle w:val="CharSDivText"/>
        </w:rPr>
        <w:t xml:space="preserve">Offences under </w:t>
      </w:r>
      <w:r>
        <w:rPr>
          <w:rStyle w:val="CharSDivText"/>
          <w:i/>
        </w:rPr>
        <w:t>Forest Management Regulations 1993</w:t>
      </w:r>
      <w:bookmarkEnd w:id="482"/>
      <w:bookmarkEnd w:id="483"/>
      <w:bookmarkEnd w:id="484"/>
      <w:bookmarkEnd w:id="485"/>
    </w:p>
    <w:p>
      <w:pPr>
        <w:pStyle w:val="yFootnoteheading"/>
        <w:spacing w:after="60"/>
      </w:pPr>
      <w:r>
        <w:tab/>
        <w:t>[Heading inserted in Gazette 7 Dec 2012 p. 5972.]</w:t>
      </w:r>
    </w:p>
    <w:tbl>
      <w:tblPr>
        <w:tblW w:w="0" w:type="auto"/>
        <w:tblInd w:w="85" w:type="dxa"/>
        <w:tblLayout w:type="fixed"/>
        <w:tblCellMar>
          <w:left w:w="85" w:type="dxa"/>
          <w:right w:w="85" w:type="dxa"/>
        </w:tblCellMar>
        <w:tblLook w:val="0000" w:firstRow="0" w:lastRow="0" w:firstColumn="0" w:lastColumn="0" w:noHBand="0" w:noVBand="0"/>
      </w:tblPr>
      <w:tblGrid>
        <w:gridCol w:w="840"/>
        <w:gridCol w:w="1320"/>
        <w:gridCol w:w="3720"/>
        <w:gridCol w:w="1200"/>
      </w:tblGrid>
      <w:tr>
        <w:trPr>
          <w:cantSplit/>
          <w:trHeight w:val="240"/>
          <w:tblHeader/>
        </w:trPr>
        <w:tc>
          <w:tcPr>
            <w:tcW w:w="840" w:type="dxa"/>
            <w:vAlign w:val="center"/>
          </w:tcPr>
          <w:p>
            <w:pPr>
              <w:pStyle w:val="yTable"/>
              <w:keepNext/>
              <w:keepLines/>
              <w:jc w:val="center"/>
              <w:rPr>
                <w:b/>
              </w:rPr>
            </w:pPr>
          </w:p>
        </w:tc>
        <w:tc>
          <w:tcPr>
            <w:tcW w:w="1320" w:type="dxa"/>
            <w:vAlign w:val="center"/>
          </w:tcPr>
          <w:p>
            <w:pPr>
              <w:pStyle w:val="yTable"/>
              <w:keepNext/>
              <w:keepLines/>
              <w:rPr>
                <w:b/>
              </w:rPr>
            </w:pPr>
            <w:r>
              <w:rPr>
                <w:b/>
              </w:rPr>
              <w:t>Column 1</w:t>
            </w:r>
          </w:p>
        </w:tc>
        <w:tc>
          <w:tcPr>
            <w:tcW w:w="3720" w:type="dxa"/>
            <w:vAlign w:val="center"/>
          </w:tcPr>
          <w:p>
            <w:pPr>
              <w:pStyle w:val="yTable"/>
              <w:keepNext/>
              <w:keepLines/>
              <w:jc w:val="center"/>
              <w:rPr>
                <w:b/>
              </w:rPr>
            </w:pPr>
            <w:r>
              <w:rPr>
                <w:b/>
              </w:rPr>
              <w:t>Column 2</w:t>
            </w:r>
          </w:p>
        </w:tc>
        <w:tc>
          <w:tcPr>
            <w:tcW w:w="1200" w:type="dxa"/>
            <w:vAlign w:val="center"/>
          </w:tcPr>
          <w:p>
            <w:pPr>
              <w:pStyle w:val="yTable"/>
              <w:keepNext/>
              <w:keepLines/>
              <w:jc w:val="center"/>
              <w:rPr>
                <w:b/>
              </w:rPr>
            </w:pPr>
            <w:r>
              <w:rPr>
                <w:b/>
              </w:rPr>
              <w:t>Column 3</w:t>
            </w:r>
          </w:p>
        </w:tc>
      </w:tr>
      <w:tr>
        <w:trPr>
          <w:cantSplit/>
          <w:trHeight w:val="240"/>
          <w:tblHeader/>
        </w:trPr>
        <w:tc>
          <w:tcPr>
            <w:tcW w:w="840" w:type="dxa"/>
          </w:tcPr>
          <w:p>
            <w:pPr>
              <w:pStyle w:val="yTableNAm"/>
              <w:spacing w:before="60"/>
              <w:rPr>
                <w:b/>
              </w:rPr>
            </w:pPr>
            <w:r>
              <w:rPr>
                <w:b/>
              </w:rPr>
              <w:t>Item No.</w:t>
            </w:r>
          </w:p>
        </w:tc>
        <w:tc>
          <w:tcPr>
            <w:tcW w:w="1320" w:type="dxa"/>
          </w:tcPr>
          <w:p>
            <w:pPr>
              <w:pStyle w:val="yTableNAm"/>
              <w:spacing w:before="60"/>
            </w:pPr>
            <w:r>
              <w:rPr>
                <w:b/>
              </w:rPr>
              <w:t>Regulation creating offence</w:t>
            </w:r>
          </w:p>
        </w:tc>
        <w:tc>
          <w:tcPr>
            <w:tcW w:w="3720" w:type="dxa"/>
          </w:tcPr>
          <w:p>
            <w:pPr>
              <w:pStyle w:val="yTableNAm"/>
              <w:spacing w:before="60"/>
              <w:jc w:val="center"/>
            </w:pPr>
            <w:r>
              <w:rPr>
                <w:b/>
              </w:rPr>
              <w:t>Nature of offence</w:t>
            </w:r>
          </w:p>
        </w:tc>
        <w:tc>
          <w:tcPr>
            <w:tcW w:w="1200" w:type="dxa"/>
          </w:tcPr>
          <w:p>
            <w:pPr>
              <w:pStyle w:val="yTableNAm"/>
              <w:spacing w:before="60"/>
              <w:jc w:val="center"/>
            </w:pPr>
            <w:r>
              <w:rPr>
                <w:b/>
              </w:rPr>
              <w:t>Penalty</w:t>
            </w:r>
          </w:p>
          <w:p>
            <w:pPr>
              <w:pStyle w:val="yTableNAm"/>
              <w:spacing w:before="60"/>
              <w:jc w:val="center"/>
              <w:rPr>
                <w:b/>
              </w:rPr>
            </w:pPr>
            <w:r>
              <w:rPr>
                <w:b/>
              </w:rPr>
              <w:t>$</w:t>
            </w:r>
          </w:p>
        </w:tc>
      </w:tr>
      <w:tr>
        <w:trPr>
          <w:cantSplit/>
        </w:trPr>
        <w:tc>
          <w:tcPr>
            <w:tcW w:w="840" w:type="dxa"/>
          </w:tcPr>
          <w:p>
            <w:pPr>
              <w:pStyle w:val="yTableNAm"/>
              <w:spacing w:before="60"/>
            </w:pPr>
            <w:r>
              <w:t>1.</w:t>
            </w:r>
          </w:p>
        </w:tc>
        <w:tc>
          <w:tcPr>
            <w:tcW w:w="1320" w:type="dxa"/>
          </w:tcPr>
          <w:p>
            <w:pPr>
              <w:pStyle w:val="yTableNAm"/>
              <w:spacing w:before="60"/>
            </w:pPr>
            <w:r>
              <w:t>108</w:t>
            </w:r>
          </w:p>
        </w:tc>
        <w:tc>
          <w:tcPr>
            <w:tcW w:w="3720" w:type="dxa"/>
          </w:tcPr>
          <w:p>
            <w:pPr>
              <w:pStyle w:val="yTableNAm"/>
              <w:spacing w:before="60"/>
            </w:pPr>
            <w:r>
              <w:t>Entry, use, movement of potential carrier without authorisation or contrary to condition</w:t>
            </w:r>
          </w:p>
        </w:tc>
        <w:tc>
          <w:tcPr>
            <w:tcW w:w="1200" w:type="dxa"/>
            <w:vAlign w:val="bottom"/>
          </w:tcPr>
          <w:p>
            <w:pPr>
              <w:pStyle w:val="yTableNAm"/>
              <w:spacing w:before="60"/>
              <w:jc w:val="center"/>
            </w:pPr>
            <w:r>
              <w:t>200</w:t>
            </w:r>
          </w:p>
        </w:tc>
      </w:tr>
      <w:tr>
        <w:trPr>
          <w:cantSplit/>
          <w:trHeight w:val="360"/>
        </w:trPr>
        <w:tc>
          <w:tcPr>
            <w:tcW w:w="840" w:type="dxa"/>
          </w:tcPr>
          <w:p>
            <w:pPr>
              <w:pStyle w:val="yTableNAm"/>
              <w:spacing w:before="60"/>
            </w:pPr>
            <w:r>
              <w:t>2.</w:t>
            </w:r>
          </w:p>
        </w:tc>
        <w:tc>
          <w:tcPr>
            <w:tcW w:w="1320" w:type="dxa"/>
          </w:tcPr>
          <w:p>
            <w:pPr>
              <w:pStyle w:val="yTableNAm"/>
              <w:spacing w:before="60"/>
            </w:pPr>
            <w:r>
              <w:t>109</w:t>
            </w:r>
          </w:p>
        </w:tc>
        <w:tc>
          <w:tcPr>
            <w:tcW w:w="3720" w:type="dxa"/>
          </w:tcPr>
          <w:p>
            <w:pPr>
              <w:pStyle w:val="yTableNAm"/>
              <w:spacing w:before="60"/>
            </w:pPr>
            <w:r>
              <w:t>Entry, use, movement of potential carrier contrary to instruction or direction</w:t>
            </w:r>
          </w:p>
        </w:tc>
        <w:tc>
          <w:tcPr>
            <w:tcW w:w="1200" w:type="dxa"/>
            <w:vAlign w:val="bottom"/>
          </w:tcPr>
          <w:p>
            <w:pPr>
              <w:pStyle w:val="yTableNAm"/>
              <w:spacing w:before="60"/>
              <w:jc w:val="center"/>
            </w:pPr>
            <w:r>
              <w:t>200</w:t>
            </w:r>
          </w:p>
        </w:tc>
      </w:tr>
      <w:tr>
        <w:trPr>
          <w:cantSplit/>
        </w:trPr>
        <w:tc>
          <w:tcPr>
            <w:tcW w:w="840" w:type="dxa"/>
          </w:tcPr>
          <w:p>
            <w:pPr>
              <w:pStyle w:val="yTableNAm"/>
              <w:spacing w:before="60"/>
            </w:pPr>
            <w:r>
              <w:t>3.</w:t>
            </w:r>
          </w:p>
        </w:tc>
        <w:tc>
          <w:tcPr>
            <w:tcW w:w="1320" w:type="dxa"/>
          </w:tcPr>
          <w:p>
            <w:pPr>
              <w:pStyle w:val="yTableNAm"/>
              <w:spacing w:before="60"/>
            </w:pPr>
            <w:r>
              <w:t>111</w:t>
            </w:r>
          </w:p>
        </w:tc>
        <w:tc>
          <w:tcPr>
            <w:tcW w:w="3720" w:type="dxa"/>
          </w:tcPr>
          <w:p>
            <w:pPr>
              <w:pStyle w:val="yTableNAm"/>
              <w:spacing w:before="60"/>
            </w:pPr>
            <w:r>
              <w:t>Failure to carry or produce written authorisation in respect of potential carrier</w:t>
            </w:r>
          </w:p>
        </w:tc>
        <w:tc>
          <w:tcPr>
            <w:tcW w:w="1200" w:type="dxa"/>
            <w:vAlign w:val="bottom"/>
          </w:tcPr>
          <w:p>
            <w:pPr>
              <w:pStyle w:val="yTableNAm"/>
              <w:spacing w:before="60"/>
              <w:jc w:val="center"/>
            </w:pPr>
            <w:r>
              <w:t>150</w:t>
            </w:r>
          </w:p>
        </w:tc>
      </w:tr>
      <w:tr>
        <w:trPr>
          <w:cantSplit/>
        </w:trPr>
        <w:tc>
          <w:tcPr>
            <w:tcW w:w="840" w:type="dxa"/>
          </w:tcPr>
          <w:p>
            <w:pPr>
              <w:pStyle w:val="yTableNAm"/>
              <w:spacing w:before="60"/>
            </w:pPr>
            <w:r>
              <w:t>4.</w:t>
            </w:r>
          </w:p>
        </w:tc>
        <w:tc>
          <w:tcPr>
            <w:tcW w:w="1320" w:type="dxa"/>
          </w:tcPr>
          <w:p>
            <w:pPr>
              <w:pStyle w:val="yTableNAm"/>
              <w:spacing w:before="60"/>
            </w:pPr>
            <w:r>
              <w:t>113</w:t>
            </w:r>
          </w:p>
        </w:tc>
        <w:tc>
          <w:tcPr>
            <w:tcW w:w="3720" w:type="dxa"/>
          </w:tcPr>
          <w:p>
            <w:pPr>
              <w:pStyle w:val="yTableNAm"/>
              <w:spacing w:before="60"/>
            </w:pPr>
            <w:r>
              <w:t>Failure to produce information relating to forest disease on request</w:t>
            </w:r>
          </w:p>
        </w:tc>
        <w:tc>
          <w:tcPr>
            <w:tcW w:w="1200" w:type="dxa"/>
            <w:vAlign w:val="bottom"/>
          </w:tcPr>
          <w:p>
            <w:pPr>
              <w:pStyle w:val="yTableNAm"/>
              <w:spacing w:before="60"/>
              <w:jc w:val="center"/>
            </w:pPr>
            <w:r>
              <w:t>150</w:t>
            </w:r>
          </w:p>
        </w:tc>
      </w:tr>
      <w:tr>
        <w:trPr>
          <w:cantSplit/>
        </w:trPr>
        <w:tc>
          <w:tcPr>
            <w:tcW w:w="840" w:type="dxa"/>
          </w:tcPr>
          <w:p>
            <w:pPr>
              <w:pStyle w:val="yTableNAm"/>
              <w:spacing w:before="60"/>
            </w:pPr>
            <w:r>
              <w:t>5.</w:t>
            </w:r>
          </w:p>
        </w:tc>
        <w:tc>
          <w:tcPr>
            <w:tcW w:w="1320" w:type="dxa"/>
          </w:tcPr>
          <w:p>
            <w:pPr>
              <w:pStyle w:val="yTableNAm"/>
              <w:spacing w:before="60"/>
            </w:pPr>
            <w:r>
              <w:t>119</w:t>
            </w:r>
          </w:p>
        </w:tc>
        <w:tc>
          <w:tcPr>
            <w:tcW w:w="3720" w:type="dxa"/>
          </w:tcPr>
          <w:p>
            <w:pPr>
              <w:pStyle w:val="yTableNAm"/>
              <w:spacing w:before="60"/>
            </w:pPr>
            <w:r>
              <w:t>Failure to cleanse or disinfect infected carrier or potential carrier</w:t>
            </w:r>
          </w:p>
        </w:tc>
        <w:tc>
          <w:tcPr>
            <w:tcW w:w="1200" w:type="dxa"/>
            <w:vAlign w:val="bottom"/>
          </w:tcPr>
          <w:p>
            <w:pPr>
              <w:pStyle w:val="yTableNAm"/>
              <w:spacing w:before="60"/>
              <w:jc w:val="center"/>
            </w:pPr>
            <w:r>
              <w:t>200</w:t>
            </w:r>
          </w:p>
        </w:tc>
      </w:tr>
      <w:tr>
        <w:trPr>
          <w:cantSplit/>
        </w:trPr>
        <w:tc>
          <w:tcPr>
            <w:tcW w:w="840" w:type="dxa"/>
          </w:tcPr>
          <w:p>
            <w:pPr>
              <w:pStyle w:val="yTableNAm"/>
              <w:spacing w:before="60"/>
            </w:pPr>
            <w:r>
              <w:t>6.</w:t>
            </w:r>
          </w:p>
        </w:tc>
        <w:tc>
          <w:tcPr>
            <w:tcW w:w="1320" w:type="dxa"/>
          </w:tcPr>
          <w:p>
            <w:pPr>
              <w:pStyle w:val="yTableNAm"/>
              <w:spacing w:before="60"/>
            </w:pPr>
            <w:r>
              <w:t>123</w:t>
            </w:r>
          </w:p>
        </w:tc>
        <w:tc>
          <w:tcPr>
            <w:tcW w:w="3720" w:type="dxa"/>
          </w:tcPr>
          <w:p>
            <w:pPr>
              <w:pStyle w:val="yTableNAm"/>
              <w:spacing w:before="60"/>
            </w:pPr>
            <w:r>
              <w:t>Failure to give name and address on request</w:t>
            </w:r>
          </w:p>
        </w:tc>
        <w:tc>
          <w:tcPr>
            <w:tcW w:w="1200" w:type="dxa"/>
            <w:vAlign w:val="bottom"/>
          </w:tcPr>
          <w:p>
            <w:pPr>
              <w:pStyle w:val="yTableNAm"/>
              <w:spacing w:before="60"/>
              <w:jc w:val="center"/>
            </w:pPr>
            <w:r>
              <w:t>150</w:t>
            </w:r>
          </w:p>
        </w:tc>
      </w:tr>
      <w:tr>
        <w:trPr>
          <w:cantSplit/>
        </w:trPr>
        <w:tc>
          <w:tcPr>
            <w:tcW w:w="840" w:type="dxa"/>
          </w:tcPr>
          <w:p>
            <w:pPr>
              <w:pStyle w:val="yTableNAm"/>
              <w:spacing w:before="60"/>
            </w:pPr>
            <w:r>
              <w:t>7.</w:t>
            </w:r>
          </w:p>
        </w:tc>
        <w:tc>
          <w:tcPr>
            <w:tcW w:w="1320" w:type="dxa"/>
          </w:tcPr>
          <w:p>
            <w:pPr>
              <w:pStyle w:val="yTableNAm"/>
              <w:spacing w:before="60"/>
            </w:pPr>
            <w:r>
              <w:t>124</w:t>
            </w:r>
          </w:p>
        </w:tc>
        <w:tc>
          <w:tcPr>
            <w:tcW w:w="3720" w:type="dxa"/>
          </w:tcPr>
          <w:p>
            <w:pPr>
              <w:pStyle w:val="yTableNAm"/>
              <w:spacing w:before="60"/>
            </w:pPr>
            <w:r>
              <w:t>Failure to comply with request to stop or with signpost, or avoiding or breaking through barrier</w:t>
            </w:r>
          </w:p>
        </w:tc>
        <w:tc>
          <w:tcPr>
            <w:tcW w:w="1200" w:type="dxa"/>
            <w:vAlign w:val="bottom"/>
          </w:tcPr>
          <w:p>
            <w:pPr>
              <w:pStyle w:val="yTableNAm"/>
              <w:spacing w:before="60"/>
              <w:jc w:val="center"/>
            </w:pPr>
            <w:r>
              <w:t>150</w:t>
            </w:r>
          </w:p>
        </w:tc>
      </w:tr>
      <w:tr>
        <w:trPr>
          <w:cantSplit/>
        </w:trPr>
        <w:tc>
          <w:tcPr>
            <w:tcW w:w="840" w:type="dxa"/>
          </w:tcPr>
          <w:p>
            <w:pPr>
              <w:pStyle w:val="yTableNAm"/>
              <w:spacing w:before="60"/>
            </w:pPr>
            <w:r>
              <w:t>8.</w:t>
            </w:r>
          </w:p>
        </w:tc>
        <w:tc>
          <w:tcPr>
            <w:tcW w:w="1320" w:type="dxa"/>
          </w:tcPr>
          <w:p>
            <w:pPr>
              <w:pStyle w:val="yTableNAm"/>
              <w:spacing w:before="60"/>
            </w:pPr>
            <w:r>
              <w:t>125</w:t>
            </w:r>
          </w:p>
        </w:tc>
        <w:tc>
          <w:tcPr>
            <w:tcW w:w="3720" w:type="dxa"/>
          </w:tcPr>
          <w:p>
            <w:pPr>
              <w:pStyle w:val="yTableNAm"/>
              <w:spacing w:before="60"/>
            </w:pPr>
            <w:r>
              <w:t>Hindering, obstructing or failing to comply with direction of authorised person</w:t>
            </w:r>
          </w:p>
        </w:tc>
        <w:tc>
          <w:tcPr>
            <w:tcW w:w="1200" w:type="dxa"/>
            <w:vAlign w:val="bottom"/>
          </w:tcPr>
          <w:p>
            <w:pPr>
              <w:pStyle w:val="yTableNAm"/>
              <w:spacing w:before="60"/>
              <w:jc w:val="center"/>
            </w:pPr>
            <w:r>
              <w:t>150</w:t>
            </w:r>
          </w:p>
        </w:tc>
      </w:tr>
    </w:tbl>
    <w:p>
      <w:pPr>
        <w:pStyle w:val="yFootnotesection"/>
      </w:pPr>
      <w:r>
        <w:tab/>
        <w:t>[Division 3 inserted in Gazette 7 Dec 2012 p. 5972-3.]</w:t>
      </w:r>
    </w:p>
    <w:p>
      <w:pPr>
        <w:sectPr>
          <w:headerReference w:type="even" r:id="rId27"/>
          <w:headerReference w:type="default" r:id="rId28"/>
          <w:headerReference w:type="first" r:id="rId29"/>
          <w:pgSz w:w="11907" w:h="16840" w:code="9"/>
          <w:pgMar w:top="2376" w:right="2405" w:bottom="3542" w:left="2405" w:header="706" w:footer="3380" w:gutter="0"/>
          <w:cols w:space="720"/>
          <w:noEndnote/>
          <w:docGrid w:linePitch="326"/>
        </w:sectPr>
      </w:pPr>
    </w:p>
    <w:p>
      <w:pPr>
        <w:pStyle w:val="yScheduleHeading"/>
        <w:outlineLvl w:val="0"/>
      </w:pPr>
      <w:bookmarkStart w:id="487" w:name="_Toc408498956"/>
      <w:bookmarkStart w:id="488" w:name="_Toc414889378"/>
      <w:bookmarkStart w:id="489" w:name="_Toc414975350"/>
      <w:bookmarkStart w:id="490" w:name="_Toc417563832"/>
      <w:r>
        <w:rPr>
          <w:rStyle w:val="CharSchNo"/>
        </w:rPr>
        <w:t>Schedule 3</w:t>
      </w:r>
      <w:r>
        <w:rPr>
          <w:rStyle w:val="CharSDivNo"/>
        </w:rPr>
        <w:t xml:space="preserve"> </w:t>
      </w:r>
      <w:r>
        <w:t>—</w:t>
      </w:r>
      <w:r>
        <w:rPr>
          <w:rStyle w:val="CharSDivText"/>
        </w:rPr>
        <w:t xml:space="preserve"> </w:t>
      </w:r>
      <w:r>
        <w:rPr>
          <w:rStyle w:val="CharSchText"/>
        </w:rPr>
        <w:t>Forms</w:t>
      </w:r>
      <w:bookmarkEnd w:id="487"/>
      <w:bookmarkEnd w:id="488"/>
      <w:bookmarkEnd w:id="489"/>
      <w:bookmarkEnd w:id="490"/>
    </w:p>
    <w:p>
      <w:pPr>
        <w:pStyle w:val="yShoulderClause"/>
      </w:pPr>
      <w:r>
        <w:t>[r. 112(3)]</w:t>
      </w:r>
    </w:p>
    <w:p>
      <w:pPr>
        <w:pStyle w:val="yTHeadingNAm"/>
        <w:jc w:val="left"/>
      </w:pPr>
      <w:r>
        <w:rPr>
          <w:rStyle w:val="CharSClsNo"/>
        </w:rPr>
        <w:t>Form 1</w:t>
      </w:r>
      <w:r>
        <w:t> — Infringement notice (r. 112(3))</w:t>
      </w:r>
    </w:p>
    <w:tbl>
      <w:tblPr>
        <w:tblStyle w:val="TableGrid"/>
        <w:tblW w:w="6813" w:type="dxa"/>
        <w:tblInd w:w="2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587"/>
        <w:gridCol w:w="297"/>
        <w:gridCol w:w="746"/>
        <w:gridCol w:w="330"/>
        <w:gridCol w:w="444"/>
        <w:gridCol w:w="847"/>
        <w:gridCol w:w="388"/>
        <w:gridCol w:w="389"/>
        <w:gridCol w:w="389"/>
        <w:gridCol w:w="388"/>
        <w:gridCol w:w="756"/>
        <w:gridCol w:w="99"/>
        <w:gridCol w:w="295"/>
        <w:gridCol w:w="89"/>
        <w:gridCol w:w="384"/>
        <w:gridCol w:w="385"/>
      </w:tblGrid>
      <w:tr>
        <w:tc>
          <w:tcPr>
            <w:tcW w:w="5561" w:type="dxa"/>
            <w:gridSpan w:val="11"/>
            <w:tcBorders>
              <w:right w:val="single" w:sz="4" w:space="0" w:color="auto"/>
            </w:tcBorders>
          </w:tcPr>
          <w:p>
            <w:pPr>
              <w:pStyle w:val="yTableNAm"/>
            </w:pPr>
          </w:p>
        </w:tc>
        <w:tc>
          <w:tcPr>
            <w:tcW w:w="1252" w:type="dxa"/>
            <w:gridSpan w:val="5"/>
            <w:tcBorders>
              <w:top w:val="single" w:sz="4" w:space="0" w:color="auto"/>
              <w:left w:val="single" w:sz="4" w:space="0" w:color="auto"/>
              <w:bottom w:val="single" w:sz="4" w:space="0" w:color="auto"/>
              <w:right w:val="single" w:sz="4" w:space="0" w:color="auto"/>
            </w:tcBorders>
          </w:tcPr>
          <w:p>
            <w:pPr>
              <w:pStyle w:val="yTableNAm"/>
              <w:rPr>
                <w:sz w:val="18"/>
                <w:szCs w:val="18"/>
              </w:rPr>
            </w:pPr>
            <w:r>
              <w:rPr>
                <w:sz w:val="18"/>
                <w:szCs w:val="18"/>
              </w:rPr>
              <w:t>Number</w:t>
            </w:r>
            <w:r>
              <w:rPr>
                <w:sz w:val="18"/>
                <w:szCs w:val="18"/>
              </w:rPr>
              <w:br/>
            </w:r>
          </w:p>
        </w:tc>
      </w:tr>
      <w:tr>
        <w:tc>
          <w:tcPr>
            <w:tcW w:w="6813" w:type="dxa"/>
            <w:gridSpan w:val="16"/>
          </w:tcPr>
          <w:p>
            <w:pPr>
              <w:pStyle w:val="yTableNAm"/>
              <w:rPr>
                <w:sz w:val="18"/>
                <w:szCs w:val="18"/>
              </w:rPr>
            </w:pPr>
          </w:p>
        </w:tc>
      </w:tr>
      <w:tr>
        <w:tc>
          <w:tcPr>
            <w:tcW w:w="884" w:type="dxa"/>
            <w:gridSpan w:val="2"/>
            <w:tcBorders>
              <w:right w:val="single" w:sz="4" w:space="0" w:color="auto"/>
            </w:tcBorders>
          </w:tcPr>
          <w:p>
            <w:pPr>
              <w:pStyle w:val="yTableNAm"/>
              <w:rPr>
                <w:szCs w:val="22"/>
              </w:rPr>
            </w:pPr>
          </w:p>
        </w:tc>
        <w:tc>
          <w:tcPr>
            <w:tcW w:w="5071" w:type="dxa"/>
            <w:gridSpan w:val="11"/>
            <w:tcBorders>
              <w:top w:val="single" w:sz="4" w:space="0" w:color="auto"/>
              <w:left w:val="single" w:sz="4" w:space="0" w:color="auto"/>
              <w:bottom w:val="single" w:sz="4" w:space="0" w:color="auto"/>
              <w:right w:val="single" w:sz="4" w:space="0" w:color="auto"/>
            </w:tcBorders>
          </w:tcPr>
          <w:p>
            <w:pPr>
              <w:pStyle w:val="yTableNAm"/>
              <w:rPr>
                <w:sz w:val="18"/>
                <w:szCs w:val="18"/>
              </w:rPr>
            </w:pPr>
            <w:r>
              <w:rPr>
                <w:b/>
                <w:sz w:val="28"/>
                <w:szCs w:val="28"/>
              </w:rPr>
              <w:t>INFRINGEMENT NOTICE</w:t>
            </w:r>
            <w:r>
              <w:rPr>
                <w:sz w:val="18"/>
                <w:szCs w:val="18"/>
              </w:rPr>
              <w:t xml:space="preserve"> </w:t>
            </w:r>
          </w:p>
          <w:p>
            <w:pPr>
              <w:pStyle w:val="yTableNAm"/>
              <w:rPr>
                <w:i/>
                <w:sz w:val="18"/>
                <w:szCs w:val="18"/>
              </w:rPr>
            </w:pPr>
            <w:r>
              <w:rPr>
                <w:sz w:val="18"/>
                <w:szCs w:val="18"/>
              </w:rPr>
              <w:t xml:space="preserve">For offences with modified penalties under the </w:t>
            </w:r>
            <w:r>
              <w:rPr>
                <w:i/>
                <w:sz w:val="18"/>
                <w:szCs w:val="18"/>
              </w:rPr>
              <w:t>Conservation and Land Management Act 1984</w:t>
            </w:r>
            <w:r>
              <w:rPr>
                <w:sz w:val="18"/>
                <w:szCs w:val="18"/>
              </w:rPr>
              <w:t xml:space="preserve">, </w:t>
            </w:r>
            <w:r>
              <w:rPr>
                <w:i/>
                <w:sz w:val="18"/>
                <w:szCs w:val="18"/>
              </w:rPr>
              <w:t xml:space="preserve">Conservation and Land Management Regulations 2002 </w:t>
            </w:r>
            <w:r>
              <w:rPr>
                <w:sz w:val="18"/>
                <w:szCs w:val="18"/>
              </w:rPr>
              <w:t xml:space="preserve">and </w:t>
            </w:r>
            <w:smartTag w:uri="urn:schemas-microsoft-com:office:smarttags" w:element="place">
              <w:r>
                <w:rPr>
                  <w:i/>
                  <w:sz w:val="18"/>
                  <w:szCs w:val="18"/>
                </w:rPr>
                <w:t>Forest</w:t>
              </w:r>
            </w:smartTag>
            <w:r>
              <w:rPr>
                <w:i/>
                <w:sz w:val="18"/>
                <w:szCs w:val="18"/>
              </w:rPr>
              <w:t xml:space="preserve"> Management Regulations 1993</w:t>
            </w:r>
          </w:p>
        </w:tc>
        <w:tc>
          <w:tcPr>
            <w:tcW w:w="858" w:type="dxa"/>
            <w:gridSpan w:val="3"/>
            <w:tcBorders>
              <w:left w:val="single" w:sz="4" w:space="0" w:color="auto"/>
            </w:tcBorders>
          </w:tcPr>
          <w:p>
            <w:pPr>
              <w:pStyle w:val="yTableNAm"/>
              <w:rPr>
                <w:sz w:val="18"/>
                <w:szCs w:val="18"/>
              </w:rPr>
            </w:pPr>
          </w:p>
        </w:tc>
      </w:tr>
      <w:tr>
        <w:tc>
          <w:tcPr>
            <w:tcW w:w="6813" w:type="dxa"/>
            <w:gridSpan w:val="16"/>
          </w:tcPr>
          <w:p>
            <w:pPr>
              <w:pStyle w:val="yTableNAm"/>
              <w:rPr>
                <w:sz w:val="18"/>
                <w:szCs w:val="18"/>
              </w:rPr>
            </w:pPr>
          </w:p>
        </w:tc>
      </w:tr>
      <w:tr>
        <w:tc>
          <w:tcPr>
            <w:tcW w:w="587" w:type="dxa"/>
            <w:tcBorders>
              <w:top w:val="single" w:sz="4" w:space="0" w:color="auto"/>
              <w:left w:val="single" w:sz="4" w:space="0" w:color="auto"/>
              <w:bottom w:val="single" w:sz="4" w:space="0" w:color="auto"/>
              <w:right w:val="single" w:sz="4" w:space="0" w:color="auto"/>
            </w:tcBorders>
          </w:tcPr>
          <w:p>
            <w:pPr>
              <w:pStyle w:val="yTableNAm"/>
              <w:rPr>
                <w:sz w:val="18"/>
                <w:szCs w:val="18"/>
              </w:rPr>
            </w:pPr>
            <w:r>
              <w:rPr>
                <w:sz w:val="18"/>
                <w:szCs w:val="18"/>
              </w:rPr>
              <w:t>Male</w:t>
            </w:r>
          </w:p>
        </w:tc>
        <w:tc>
          <w:tcPr>
            <w:tcW w:w="297" w:type="dxa"/>
            <w:tcBorders>
              <w:top w:val="single" w:sz="4" w:space="0" w:color="auto"/>
              <w:left w:val="single" w:sz="4" w:space="0" w:color="auto"/>
              <w:bottom w:val="single" w:sz="4" w:space="0" w:color="auto"/>
              <w:right w:val="single" w:sz="4" w:space="0" w:color="auto"/>
            </w:tcBorders>
          </w:tcPr>
          <w:p>
            <w:pPr>
              <w:pStyle w:val="yTableNAm"/>
              <w:rPr>
                <w:sz w:val="18"/>
                <w:szCs w:val="18"/>
              </w:rPr>
            </w:pPr>
          </w:p>
        </w:tc>
        <w:tc>
          <w:tcPr>
            <w:tcW w:w="746" w:type="dxa"/>
            <w:tcBorders>
              <w:top w:val="single" w:sz="4" w:space="0" w:color="auto"/>
              <w:left w:val="single" w:sz="4" w:space="0" w:color="auto"/>
              <w:bottom w:val="single" w:sz="4" w:space="0" w:color="auto"/>
              <w:right w:val="single" w:sz="4" w:space="0" w:color="auto"/>
            </w:tcBorders>
          </w:tcPr>
          <w:p>
            <w:pPr>
              <w:pStyle w:val="yTableNAm"/>
              <w:rPr>
                <w:sz w:val="18"/>
                <w:szCs w:val="18"/>
              </w:rPr>
            </w:pPr>
            <w:r>
              <w:rPr>
                <w:sz w:val="18"/>
                <w:szCs w:val="18"/>
              </w:rPr>
              <w:t>Female</w:t>
            </w:r>
          </w:p>
        </w:tc>
        <w:tc>
          <w:tcPr>
            <w:tcW w:w="330" w:type="dxa"/>
            <w:tcBorders>
              <w:top w:val="single" w:sz="4" w:space="0" w:color="auto"/>
              <w:left w:val="single" w:sz="4" w:space="0" w:color="auto"/>
              <w:bottom w:val="single" w:sz="4" w:space="0" w:color="auto"/>
              <w:right w:val="single" w:sz="4" w:space="0" w:color="auto"/>
            </w:tcBorders>
          </w:tcPr>
          <w:p>
            <w:pPr>
              <w:pStyle w:val="yTableNAm"/>
              <w:rPr>
                <w:sz w:val="18"/>
                <w:szCs w:val="18"/>
              </w:rPr>
            </w:pPr>
          </w:p>
        </w:tc>
        <w:tc>
          <w:tcPr>
            <w:tcW w:w="444" w:type="dxa"/>
            <w:tcBorders>
              <w:left w:val="single" w:sz="4" w:space="0" w:color="auto"/>
              <w:right w:val="single" w:sz="4" w:space="0" w:color="auto"/>
            </w:tcBorders>
          </w:tcPr>
          <w:p>
            <w:pPr>
              <w:pStyle w:val="yTableNAm"/>
              <w:rPr>
                <w:sz w:val="18"/>
                <w:szCs w:val="18"/>
              </w:rPr>
            </w:pPr>
          </w:p>
        </w:tc>
        <w:tc>
          <w:tcPr>
            <w:tcW w:w="847" w:type="dxa"/>
            <w:tcBorders>
              <w:top w:val="single" w:sz="4" w:space="0" w:color="auto"/>
              <w:left w:val="single" w:sz="4" w:space="0" w:color="auto"/>
              <w:bottom w:val="single" w:sz="4" w:space="0" w:color="auto"/>
              <w:right w:val="single" w:sz="4" w:space="0" w:color="auto"/>
            </w:tcBorders>
          </w:tcPr>
          <w:p>
            <w:pPr>
              <w:pStyle w:val="yTableNAm"/>
              <w:rPr>
                <w:sz w:val="18"/>
                <w:szCs w:val="18"/>
              </w:rPr>
            </w:pPr>
            <w:r>
              <w:rPr>
                <w:sz w:val="18"/>
                <w:szCs w:val="18"/>
              </w:rPr>
              <w:t>D.O.B</w:t>
            </w:r>
          </w:p>
        </w:tc>
        <w:tc>
          <w:tcPr>
            <w:tcW w:w="388" w:type="dxa"/>
            <w:tcBorders>
              <w:top w:val="single" w:sz="4" w:space="0" w:color="auto"/>
              <w:left w:val="single" w:sz="4" w:space="0" w:color="auto"/>
              <w:bottom w:val="single" w:sz="4" w:space="0" w:color="auto"/>
              <w:right w:val="single" w:sz="4" w:space="0" w:color="auto"/>
            </w:tcBorders>
          </w:tcPr>
          <w:p>
            <w:pPr>
              <w:pStyle w:val="yTableNAm"/>
              <w:rPr>
                <w:sz w:val="18"/>
                <w:szCs w:val="18"/>
              </w:rPr>
            </w:pPr>
          </w:p>
        </w:tc>
        <w:tc>
          <w:tcPr>
            <w:tcW w:w="389" w:type="dxa"/>
            <w:tcBorders>
              <w:top w:val="single" w:sz="4" w:space="0" w:color="auto"/>
              <w:left w:val="single" w:sz="4" w:space="0" w:color="auto"/>
              <w:bottom w:val="single" w:sz="4" w:space="0" w:color="auto"/>
              <w:right w:val="single" w:sz="4" w:space="0" w:color="auto"/>
            </w:tcBorders>
          </w:tcPr>
          <w:p>
            <w:pPr>
              <w:pStyle w:val="yTableNAm"/>
              <w:rPr>
                <w:sz w:val="18"/>
                <w:szCs w:val="18"/>
              </w:rPr>
            </w:pPr>
          </w:p>
        </w:tc>
        <w:tc>
          <w:tcPr>
            <w:tcW w:w="389" w:type="dxa"/>
            <w:tcBorders>
              <w:top w:val="single" w:sz="4" w:space="0" w:color="auto"/>
              <w:left w:val="single" w:sz="4" w:space="0" w:color="auto"/>
              <w:bottom w:val="single" w:sz="4" w:space="0" w:color="auto"/>
              <w:right w:val="single" w:sz="4" w:space="0" w:color="auto"/>
            </w:tcBorders>
          </w:tcPr>
          <w:p>
            <w:pPr>
              <w:pStyle w:val="yTableNAm"/>
              <w:rPr>
                <w:sz w:val="18"/>
                <w:szCs w:val="18"/>
              </w:rPr>
            </w:pPr>
          </w:p>
        </w:tc>
        <w:tc>
          <w:tcPr>
            <w:tcW w:w="388" w:type="dxa"/>
            <w:tcBorders>
              <w:left w:val="single" w:sz="4" w:space="0" w:color="auto"/>
              <w:right w:val="single" w:sz="4" w:space="0" w:color="auto"/>
            </w:tcBorders>
          </w:tcPr>
          <w:p>
            <w:pPr>
              <w:pStyle w:val="yTableNAm"/>
              <w:rPr>
                <w:sz w:val="18"/>
                <w:szCs w:val="18"/>
              </w:rPr>
            </w:pPr>
          </w:p>
        </w:tc>
        <w:tc>
          <w:tcPr>
            <w:tcW w:w="855" w:type="dxa"/>
            <w:gridSpan w:val="2"/>
            <w:tcBorders>
              <w:top w:val="single" w:sz="4" w:space="0" w:color="auto"/>
              <w:left w:val="single" w:sz="4" w:space="0" w:color="auto"/>
              <w:bottom w:val="single" w:sz="4" w:space="0" w:color="auto"/>
              <w:right w:val="single" w:sz="4" w:space="0" w:color="auto"/>
            </w:tcBorders>
          </w:tcPr>
          <w:p>
            <w:pPr>
              <w:pStyle w:val="yTableNAm"/>
              <w:rPr>
                <w:sz w:val="18"/>
                <w:szCs w:val="18"/>
              </w:rPr>
            </w:pPr>
            <w:r>
              <w:rPr>
                <w:sz w:val="18"/>
                <w:szCs w:val="18"/>
              </w:rPr>
              <w:t>Date of Service</w:t>
            </w:r>
          </w:p>
        </w:tc>
        <w:tc>
          <w:tcPr>
            <w:tcW w:w="384" w:type="dxa"/>
            <w:gridSpan w:val="2"/>
            <w:tcBorders>
              <w:top w:val="single" w:sz="4" w:space="0" w:color="auto"/>
              <w:left w:val="single" w:sz="4" w:space="0" w:color="auto"/>
              <w:bottom w:val="single" w:sz="4" w:space="0" w:color="auto"/>
              <w:right w:val="single" w:sz="4" w:space="0" w:color="auto"/>
            </w:tcBorders>
          </w:tcPr>
          <w:p>
            <w:pPr>
              <w:pStyle w:val="yTableNAm"/>
              <w:rPr>
                <w:sz w:val="18"/>
                <w:szCs w:val="18"/>
              </w:rPr>
            </w:pPr>
          </w:p>
        </w:tc>
        <w:tc>
          <w:tcPr>
            <w:tcW w:w="384" w:type="dxa"/>
            <w:tcBorders>
              <w:top w:val="single" w:sz="4" w:space="0" w:color="auto"/>
              <w:left w:val="single" w:sz="4" w:space="0" w:color="auto"/>
              <w:bottom w:val="single" w:sz="4" w:space="0" w:color="auto"/>
              <w:right w:val="single" w:sz="4" w:space="0" w:color="auto"/>
            </w:tcBorders>
          </w:tcPr>
          <w:p>
            <w:pPr>
              <w:pStyle w:val="yTableNAm"/>
              <w:rPr>
                <w:sz w:val="18"/>
                <w:szCs w:val="18"/>
              </w:rPr>
            </w:pPr>
          </w:p>
        </w:tc>
        <w:tc>
          <w:tcPr>
            <w:tcW w:w="385" w:type="dxa"/>
            <w:tcBorders>
              <w:top w:val="single" w:sz="4" w:space="0" w:color="auto"/>
              <w:left w:val="single" w:sz="4" w:space="0" w:color="auto"/>
              <w:bottom w:val="single" w:sz="4" w:space="0" w:color="auto"/>
              <w:right w:val="single" w:sz="4" w:space="0" w:color="auto"/>
            </w:tcBorders>
          </w:tcPr>
          <w:p>
            <w:pPr>
              <w:pStyle w:val="yTableNAm"/>
              <w:rPr>
                <w:sz w:val="18"/>
                <w:szCs w:val="18"/>
              </w:rPr>
            </w:pPr>
          </w:p>
        </w:tc>
      </w:tr>
      <w:tr>
        <w:tc>
          <w:tcPr>
            <w:tcW w:w="1960" w:type="dxa"/>
            <w:gridSpan w:val="4"/>
            <w:tcBorders>
              <w:top w:val="single" w:sz="4" w:space="0" w:color="auto"/>
            </w:tcBorders>
          </w:tcPr>
          <w:p>
            <w:pPr>
              <w:pStyle w:val="yTableNAm"/>
              <w:rPr>
                <w:sz w:val="14"/>
                <w:szCs w:val="14"/>
              </w:rPr>
            </w:pPr>
            <w:r>
              <w:rPr>
                <w:sz w:val="14"/>
                <w:szCs w:val="14"/>
              </w:rPr>
              <w:t>(tick relevant box)</w:t>
            </w:r>
          </w:p>
        </w:tc>
        <w:tc>
          <w:tcPr>
            <w:tcW w:w="444" w:type="dxa"/>
          </w:tcPr>
          <w:p>
            <w:pPr>
              <w:pStyle w:val="yTableNAm"/>
              <w:rPr>
                <w:sz w:val="14"/>
                <w:szCs w:val="14"/>
              </w:rPr>
            </w:pPr>
          </w:p>
        </w:tc>
        <w:tc>
          <w:tcPr>
            <w:tcW w:w="847" w:type="dxa"/>
          </w:tcPr>
          <w:p>
            <w:pPr>
              <w:pStyle w:val="yTableNAm"/>
              <w:rPr>
                <w:sz w:val="14"/>
                <w:szCs w:val="14"/>
              </w:rPr>
            </w:pPr>
          </w:p>
        </w:tc>
        <w:tc>
          <w:tcPr>
            <w:tcW w:w="388" w:type="dxa"/>
          </w:tcPr>
          <w:p>
            <w:pPr>
              <w:pStyle w:val="yTableNAm"/>
              <w:rPr>
                <w:sz w:val="14"/>
                <w:szCs w:val="14"/>
              </w:rPr>
            </w:pPr>
            <w:r>
              <w:rPr>
                <w:b/>
                <w:sz w:val="14"/>
                <w:szCs w:val="14"/>
              </w:rPr>
              <w:t>D</w:t>
            </w:r>
          </w:p>
        </w:tc>
        <w:tc>
          <w:tcPr>
            <w:tcW w:w="389" w:type="dxa"/>
          </w:tcPr>
          <w:p>
            <w:pPr>
              <w:pStyle w:val="yTableNAm"/>
              <w:rPr>
                <w:sz w:val="14"/>
                <w:szCs w:val="14"/>
              </w:rPr>
            </w:pPr>
            <w:r>
              <w:rPr>
                <w:b/>
                <w:sz w:val="14"/>
                <w:szCs w:val="14"/>
              </w:rPr>
              <w:t>M</w:t>
            </w:r>
          </w:p>
        </w:tc>
        <w:tc>
          <w:tcPr>
            <w:tcW w:w="389" w:type="dxa"/>
          </w:tcPr>
          <w:p>
            <w:pPr>
              <w:pStyle w:val="yTableNAm"/>
              <w:rPr>
                <w:b/>
                <w:sz w:val="14"/>
                <w:szCs w:val="14"/>
              </w:rPr>
            </w:pPr>
            <w:r>
              <w:rPr>
                <w:b/>
                <w:sz w:val="14"/>
                <w:szCs w:val="14"/>
              </w:rPr>
              <w:t>Y</w:t>
            </w:r>
          </w:p>
        </w:tc>
        <w:tc>
          <w:tcPr>
            <w:tcW w:w="388" w:type="dxa"/>
          </w:tcPr>
          <w:p>
            <w:pPr>
              <w:pStyle w:val="yTableNAm"/>
              <w:rPr>
                <w:sz w:val="14"/>
                <w:szCs w:val="14"/>
              </w:rPr>
            </w:pPr>
          </w:p>
        </w:tc>
        <w:tc>
          <w:tcPr>
            <w:tcW w:w="855" w:type="dxa"/>
            <w:gridSpan w:val="2"/>
          </w:tcPr>
          <w:p>
            <w:pPr>
              <w:pStyle w:val="yTableNAm"/>
              <w:rPr>
                <w:sz w:val="14"/>
                <w:szCs w:val="14"/>
              </w:rPr>
            </w:pPr>
          </w:p>
        </w:tc>
        <w:tc>
          <w:tcPr>
            <w:tcW w:w="384" w:type="dxa"/>
            <w:gridSpan w:val="2"/>
          </w:tcPr>
          <w:p>
            <w:pPr>
              <w:pStyle w:val="yTableNAm"/>
              <w:rPr>
                <w:sz w:val="14"/>
                <w:szCs w:val="14"/>
              </w:rPr>
            </w:pPr>
            <w:r>
              <w:rPr>
                <w:b/>
                <w:sz w:val="14"/>
                <w:szCs w:val="14"/>
              </w:rPr>
              <w:t>D</w:t>
            </w:r>
          </w:p>
        </w:tc>
        <w:tc>
          <w:tcPr>
            <w:tcW w:w="384" w:type="dxa"/>
          </w:tcPr>
          <w:p>
            <w:pPr>
              <w:pStyle w:val="yTableNAm"/>
              <w:rPr>
                <w:sz w:val="14"/>
                <w:szCs w:val="14"/>
              </w:rPr>
            </w:pPr>
            <w:r>
              <w:rPr>
                <w:b/>
                <w:sz w:val="14"/>
                <w:szCs w:val="14"/>
              </w:rPr>
              <w:t>M</w:t>
            </w:r>
          </w:p>
        </w:tc>
        <w:tc>
          <w:tcPr>
            <w:tcW w:w="385" w:type="dxa"/>
          </w:tcPr>
          <w:p>
            <w:pPr>
              <w:pStyle w:val="yTableNAm"/>
              <w:rPr>
                <w:sz w:val="14"/>
                <w:szCs w:val="14"/>
              </w:rPr>
            </w:pPr>
            <w:r>
              <w:rPr>
                <w:b/>
                <w:sz w:val="14"/>
                <w:szCs w:val="14"/>
              </w:rPr>
              <w:t>Y</w:t>
            </w:r>
          </w:p>
        </w:tc>
      </w:tr>
    </w:tbl>
    <w:p>
      <w:pPr>
        <w:pStyle w:val="yMiscellaneousBody"/>
        <w:tabs>
          <w:tab w:val="left" w:pos="426"/>
          <w:tab w:val="left" w:pos="1134"/>
          <w:tab w:val="left" w:pos="4111"/>
        </w:tabs>
        <w:ind w:left="142"/>
        <w:rPr>
          <w:sz w:val="18"/>
          <w:szCs w:val="18"/>
        </w:rPr>
      </w:pPr>
      <w:r>
        <w:rPr>
          <w:sz w:val="18"/>
          <w:szCs w:val="18"/>
        </w:rPr>
        <w:t>1.</w:t>
      </w:r>
      <w:r>
        <w:rPr>
          <w:sz w:val="18"/>
          <w:szCs w:val="18"/>
        </w:rPr>
        <w:tab/>
        <w:t>To:..........................................................................................................................................</w:t>
      </w:r>
    </w:p>
    <w:p>
      <w:pPr>
        <w:pStyle w:val="yMiscellaneousBody"/>
        <w:tabs>
          <w:tab w:val="left" w:pos="426"/>
          <w:tab w:val="left" w:pos="1134"/>
          <w:tab w:val="left" w:pos="3969"/>
        </w:tabs>
        <w:spacing w:before="0"/>
        <w:ind w:left="142"/>
        <w:rPr>
          <w:sz w:val="18"/>
          <w:szCs w:val="18"/>
        </w:rPr>
      </w:pPr>
      <w:r>
        <w:rPr>
          <w:sz w:val="18"/>
          <w:szCs w:val="18"/>
        </w:rPr>
        <w:tab/>
      </w:r>
      <w:r>
        <w:rPr>
          <w:sz w:val="18"/>
          <w:szCs w:val="18"/>
        </w:rPr>
        <w:tab/>
        <w:t>Surname (Block letters)</w:t>
      </w:r>
      <w:r>
        <w:rPr>
          <w:sz w:val="18"/>
          <w:szCs w:val="18"/>
        </w:rPr>
        <w:tab/>
        <w:t>Other names in full</w:t>
      </w:r>
    </w:p>
    <w:p>
      <w:pPr>
        <w:pStyle w:val="yMiscellaneousBody"/>
        <w:tabs>
          <w:tab w:val="left" w:pos="426"/>
          <w:tab w:val="left" w:pos="1134"/>
          <w:tab w:val="left" w:pos="4111"/>
        </w:tabs>
        <w:ind w:left="142"/>
        <w:rPr>
          <w:sz w:val="18"/>
          <w:szCs w:val="18"/>
        </w:rPr>
      </w:pPr>
      <w:r>
        <w:rPr>
          <w:sz w:val="18"/>
          <w:szCs w:val="18"/>
        </w:rPr>
        <w:t>Address:........................................................................................................................................</w:t>
      </w:r>
    </w:p>
    <w:p>
      <w:pPr>
        <w:pStyle w:val="yMiscellaneousBody"/>
        <w:tabs>
          <w:tab w:val="left" w:pos="426"/>
          <w:tab w:val="left" w:pos="1134"/>
          <w:tab w:val="left" w:pos="3969"/>
          <w:tab w:val="left" w:pos="5387"/>
        </w:tabs>
        <w:spacing w:before="0"/>
        <w:ind w:left="142"/>
        <w:rPr>
          <w:sz w:val="18"/>
          <w:szCs w:val="18"/>
        </w:rPr>
      </w:pPr>
      <w:r>
        <w:rPr>
          <w:sz w:val="18"/>
          <w:szCs w:val="18"/>
        </w:rPr>
        <w:tab/>
      </w:r>
      <w:r>
        <w:rPr>
          <w:sz w:val="18"/>
          <w:szCs w:val="18"/>
        </w:rPr>
        <w:tab/>
        <w:t>Number and Street</w:t>
      </w:r>
      <w:r>
        <w:rPr>
          <w:sz w:val="18"/>
          <w:szCs w:val="18"/>
        </w:rPr>
        <w:tab/>
        <w:t>Suburb</w:t>
      </w:r>
      <w:r>
        <w:rPr>
          <w:sz w:val="18"/>
          <w:szCs w:val="18"/>
        </w:rPr>
        <w:tab/>
        <w:t>Postcode</w:t>
      </w:r>
    </w:p>
    <w:p>
      <w:pPr>
        <w:pStyle w:val="yMiscellaneousBody"/>
        <w:tabs>
          <w:tab w:val="left" w:pos="426"/>
          <w:tab w:val="left" w:pos="1134"/>
          <w:tab w:val="left" w:pos="3969"/>
          <w:tab w:val="left" w:pos="5387"/>
        </w:tabs>
        <w:ind w:left="142"/>
        <w:rPr>
          <w:sz w:val="18"/>
          <w:szCs w:val="18"/>
        </w:rPr>
      </w:pPr>
      <w:r>
        <w:rPr>
          <w:sz w:val="18"/>
          <w:szCs w:val="18"/>
        </w:rPr>
        <w:t>2.</w:t>
      </w:r>
      <w:r>
        <w:rPr>
          <w:sz w:val="18"/>
          <w:szCs w:val="18"/>
        </w:rPr>
        <w:tab/>
        <w:t>It is alleged that at ......... hours on the ...... day of ................. 20....., on ...........................</w:t>
      </w:r>
    </w:p>
    <w:p>
      <w:pPr>
        <w:pStyle w:val="yMiscellaneousBody"/>
        <w:tabs>
          <w:tab w:val="left" w:pos="426"/>
          <w:tab w:val="left" w:pos="1843"/>
          <w:tab w:val="left" w:pos="3119"/>
          <w:tab w:val="left" w:pos="3969"/>
          <w:tab w:val="left" w:pos="4962"/>
          <w:tab w:val="left" w:pos="5529"/>
        </w:tabs>
        <w:spacing w:before="0"/>
        <w:ind w:left="142"/>
        <w:rPr>
          <w:sz w:val="14"/>
          <w:szCs w:val="14"/>
        </w:rPr>
      </w:pPr>
      <w:r>
        <w:rPr>
          <w:sz w:val="14"/>
          <w:szCs w:val="14"/>
        </w:rPr>
        <w:tab/>
      </w:r>
      <w:r>
        <w:rPr>
          <w:sz w:val="14"/>
          <w:szCs w:val="14"/>
        </w:rPr>
        <w:tab/>
        <w:t>(time)</w:t>
      </w:r>
      <w:r>
        <w:rPr>
          <w:sz w:val="14"/>
          <w:szCs w:val="14"/>
        </w:rPr>
        <w:tab/>
        <w:t xml:space="preserve">  (date)</w:t>
      </w:r>
      <w:r>
        <w:rPr>
          <w:sz w:val="14"/>
          <w:szCs w:val="14"/>
        </w:rPr>
        <w:tab/>
        <w:t xml:space="preserve"> (month)</w:t>
      </w:r>
      <w:r>
        <w:rPr>
          <w:sz w:val="14"/>
          <w:szCs w:val="14"/>
        </w:rPr>
        <w:tab/>
        <w:t xml:space="preserve"> (year)</w:t>
      </w:r>
      <w:r>
        <w:rPr>
          <w:sz w:val="14"/>
          <w:szCs w:val="14"/>
        </w:rPr>
        <w:tab/>
        <w:t xml:space="preserve">(Name/No of Park/ </w:t>
      </w:r>
    </w:p>
    <w:p>
      <w:pPr>
        <w:pStyle w:val="yMiscellaneousBody"/>
        <w:tabs>
          <w:tab w:val="left" w:pos="426"/>
          <w:tab w:val="left" w:pos="1843"/>
          <w:tab w:val="left" w:pos="3261"/>
          <w:tab w:val="left" w:pos="4111"/>
          <w:tab w:val="left" w:pos="5103"/>
          <w:tab w:val="left" w:pos="5529"/>
        </w:tabs>
        <w:spacing w:before="0"/>
        <w:ind w:left="142"/>
        <w:rPr>
          <w:sz w:val="14"/>
          <w:szCs w:val="14"/>
        </w:rPr>
      </w:pPr>
      <w:r>
        <w:rPr>
          <w:sz w:val="14"/>
          <w:szCs w:val="14"/>
        </w:rPr>
        <w:tab/>
      </w:r>
      <w:r>
        <w:rPr>
          <w:sz w:val="14"/>
          <w:szCs w:val="14"/>
        </w:rPr>
        <w:tab/>
      </w:r>
      <w:r>
        <w:rPr>
          <w:sz w:val="14"/>
          <w:szCs w:val="14"/>
        </w:rPr>
        <w:tab/>
      </w:r>
      <w:r>
        <w:rPr>
          <w:sz w:val="14"/>
          <w:szCs w:val="14"/>
        </w:rPr>
        <w:tab/>
      </w:r>
      <w:r>
        <w:rPr>
          <w:sz w:val="14"/>
          <w:szCs w:val="14"/>
        </w:rPr>
        <w:tab/>
      </w:r>
      <w:r>
        <w:rPr>
          <w:sz w:val="14"/>
          <w:szCs w:val="14"/>
        </w:rPr>
        <w:tab/>
        <w:t>Reserve/Forest Block)</w:t>
      </w:r>
    </w:p>
    <w:p>
      <w:pPr>
        <w:pStyle w:val="yMiscellaneousBody"/>
        <w:tabs>
          <w:tab w:val="left" w:pos="426"/>
          <w:tab w:val="left" w:pos="1134"/>
          <w:tab w:val="left" w:pos="4111"/>
        </w:tabs>
        <w:ind w:left="142"/>
        <w:rPr>
          <w:sz w:val="18"/>
          <w:szCs w:val="18"/>
        </w:rPr>
      </w:pPr>
      <w:r>
        <w:rPr>
          <w:sz w:val="18"/>
          <w:szCs w:val="18"/>
        </w:rPr>
        <w:tab/>
        <w:t>....................... (....................... District), you committed the offence(s) indicated hereunder:</w:t>
      </w:r>
    </w:p>
    <w:p>
      <w:pPr>
        <w:pStyle w:val="yMiscellaneousBody"/>
        <w:tabs>
          <w:tab w:val="left" w:pos="1701"/>
        </w:tabs>
        <w:spacing w:before="0"/>
        <w:ind w:left="142"/>
        <w:rPr>
          <w:sz w:val="14"/>
          <w:szCs w:val="14"/>
        </w:rPr>
      </w:pPr>
      <w:r>
        <w:rPr>
          <w:sz w:val="18"/>
          <w:szCs w:val="18"/>
        </w:rPr>
        <w:tab/>
      </w:r>
      <w:r>
        <w:rPr>
          <w:sz w:val="14"/>
          <w:szCs w:val="14"/>
        </w:rPr>
        <w:t>(insert name of District)</w:t>
      </w:r>
    </w:p>
    <w:tbl>
      <w:tblPr>
        <w:tblStyle w:val="TableGrid"/>
        <w:tblW w:w="0" w:type="auto"/>
        <w:tblInd w:w="250" w:type="dxa"/>
        <w:tblLook w:val="01E0" w:firstRow="1" w:lastRow="1" w:firstColumn="1" w:lastColumn="1" w:noHBand="0" w:noVBand="0"/>
      </w:tblPr>
      <w:tblGrid>
        <w:gridCol w:w="1559"/>
        <w:gridCol w:w="1134"/>
        <w:gridCol w:w="3119"/>
        <w:gridCol w:w="992"/>
      </w:tblGrid>
      <w:tr>
        <w:trPr>
          <w:trHeight w:val="365"/>
        </w:trPr>
        <w:tc>
          <w:tcPr>
            <w:tcW w:w="1559" w:type="dxa"/>
          </w:tcPr>
          <w:p>
            <w:pPr>
              <w:pStyle w:val="yTableNAm"/>
              <w:rPr>
                <w:sz w:val="18"/>
                <w:szCs w:val="18"/>
              </w:rPr>
            </w:pPr>
            <w:r>
              <w:rPr>
                <w:b/>
                <w:sz w:val="18"/>
                <w:szCs w:val="18"/>
              </w:rPr>
              <w:t>Legislation</w:t>
            </w:r>
            <w:r>
              <w:rPr>
                <w:sz w:val="18"/>
                <w:szCs w:val="18"/>
              </w:rPr>
              <w:br/>
              <w:t>(circle selection)</w:t>
            </w:r>
          </w:p>
        </w:tc>
        <w:tc>
          <w:tcPr>
            <w:tcW w:w="1134" w:type="dxa"/>
          </w:tcPr>
          <w:p>
            <w:pPr>
              <w:pStyle w:val="yTableNAm"/>
              <w:rPr>
                <w:b/>
                <w:sz w:val="18"/>
                <w:szCs w:val="18"/>
              </w:rPr>
            </w:pPr>
            <w:r>
              <w:rPr>
                <w:b/>
                <w:sz w:val="18"/>
                <w:szCs w:val="18"/>
              </w:rPr>
              <w:t>Section/</w:t>
            </w:r>
            <w:r>
              <w:rPr>
                <w:b/>
                <w:sz w:val="18"/>
                <w:szCs w:val="18"/>
              </w:rPr>
              <w:br/>
              <w:t>Regulation</w:t>
            </w:r>
          </w:p>
        </w:tc>
        <w:tc>
          <w:tcPr>
            <w:tcW w:w="3119" w:type="dxa"/>
          </w:tcPr>
          <w:p>
            <w:pPr>
              <w:pStyle w:val="yTableNAm"/>
              <w:rPr>
                <w:b/>
                <w:sz w:val="18"/>
                <w:szCs w:val="18"/>
              </w:rPr>
            </w:pPr>
            <w:r>
              <w:rPr>
                <w:b/>
                <w:sz w:val="18"/>
                <w:szCs w:val="18"/>
              </w:rPr>
              <w:t>Description of Offence</w:t>
            </w:r>
          </w:p>
        </w:tc>
        <w:tc>
          <w:tcPr>
            <w:tcW w:w="992" w:type="dxa"/>
          </w:tcPr>
          <w:p>
            <w:pPr>
              <w:pStyle w:val="yTableNAm"/>
              <w:jc w:val="center"/>
              <w:rPr>
                <w:b/>
                <w:sz w:val="18"/>
                <w:szCs w:val="18"/>
              </w:rPr>
            </w:pPr>
            <w:r>
              <w:rPr>
                <w:b/>
                <w:sz w:val="18"/>
                <w:szCs w:val="18"/>
              </w:rPr>
              <w:t>Penalty</w:t>
            </w:r>
            <w:r>
              <w:rPr>
                <w:b/>
                <w:sz w:val="18"/>
                <w:szCs w:val="18"/>
              </w:rPr>
              <w:br/>
              <w:t>$</w:t>
            </w:r>
          </w:p>
        </w:tc>
      </w:tr>
      <w:tr>
        <w:trPr>
          <w:trHeight w:val="365"/>
        </w:trPr>
        <w:tc>
          <w:tcPr>
            <w:tcW w:w="1559" w:type="dxa"/>
          </w:tcPr>
          <w:p>
            <w:pPr>
              <w:pStyle w:val="yTableNAm"/>
              <w:rPr>
                <w:sz w:val="18"/>
                <w:szCs w:val="18"/>
              </w:rPr>
            </w:pPr>
            <w:r>
              <w:rPr>
                <w:sz w:val="18"/>
                <w:szCs w:val="18"/>
              </w:rPr>
              <w:t>CALM Act</w:t>
            </w:r>
          </w:p>
          <w:p>
            <w:pPr>
              <w:pStyle w:val="yTableNAm"/>
              <w:rPr>
                <w:sz w:val="18"/>
                <w:szCs w:val="18"/>
              </w:rPr>
            </w:pPr>
            <w:r>
              <w:rPr>
                <w:sz w:val="18"/>
                <w:szCs w:val="18"/>
              </w:rPr>
              <w:t>CALM Regs</w:t>
            </w:r>
          </w:p>
          <w:p>
            <w:pPr>
              <w:pStyle w:val="yTableNAm"/>
              <w:rPr>
                <w:sz w:val="18"/>
                <w:szCs w:val="18"/>
              </w:rPr>
            </w:pPr>
            <w:smartTag w:uri="urn:schemas-microsoft-com:office:smarttags" w:element="place">
              <w:r>
                <w:rPr>
                  <w:sz w:val="18"/>
                  <w:szCs w:val="18"/>
                </w:rPr>
                <w:t>Forest</w:t>
              </w:r>
            </w:smartTag>
            <w:r>
              <w:rPr>
                <w:sz w:val="18"/>
                <w:szCs w:val="18"/>
              </w:rPr>
              <w:t xml:space="preserve"> Management Regs</w:t>
            </w:r>
          </w:p>
        </w:tc>
        <w:tc>
          <w:tcPr>
            <w:tcW w:w="1134" w:type="dxa"/>
          </w:tcPr>
          <w:p>
            <w:pPr>
              <w:pStyle w:val="yTableNAm"/>
              <w:rPr>
                <w:sz w:val="18"/>
                <w:szCs w:val="18"/>
              </w:rPr>
            </w:pPr>
          </w:p>
        </w:tc>
        <w:tc>
          <w:tcPr>
            <w:tcW w:w="3119" w:type="dxa"/>
          </w:tcPr>
          <w:p>
            <w:pPr>
              <w:pStyle w:val="yTableNAm"/>
              <w:rPr>
                <w:sz w:val="18"/>
                <w:szCs w:val="18"/>
              </w:rPr>
            </w:pPr>
          </w:p>
        </w:tc>
        <w:tc>
          <w:tcPr>
            <w:tcW w:w="992" w:type="dxa"/>
          </w:tcPr>
          <w:p>
            <w:pPr>
              <w:pStyle w:val="yTableNAm"/>
              <w:rPr>
                <w:b/>
                <w:sz w:val="18"/>
                <w:szCs w:val="18"/>
              </w:rPr>
            </w:pPr>
          </w:p>
        </w:tc>
      </w:tr>
    </w:tbl>
    <w:p>
      <w:pPr>
        <w:pStyle w:val="yMiscellaneousBody"/>
        <w:tabs>
          <w:tab w:val="left" w:pos="426"/>
          <w:tab w:val="left" w:pos="3402"/>
        </w:tabs>
        <w:spacing w:before="240"/>
        <w:ind w:left="142"/>
        <w:rPr>
          <w:sz w:val="18"/>
          <w:szCs w:val="18"/>
        </w:rPr>
      </w:pPr>
      <w:r>
        <w:rPr>
          <w:sz w:val="18"/>
          <w:szCs w:val="18"/>
        </w:rPr>
        <w:t>...............................................</w:t>
      </w:r>
      <w:r>
        <w:rPr>
          <w:sz w:val="18"/>
          <w:szCs w:val="18"/>
        </w:rPr>
        <w:tab/>
        <w:t>...............................................</w:t>
      </w:r>
      <w:r>
        <w:rPr>
          <w:sz w:val="18"/>
          <w:szCs w:val="18"/>
        </w:rPr>
        <w:br/>
        <w:t>Signature of Issuing officer</w:t>
      </w:r>
      <w:r>
        <w:rPr>
          <w:sz w:val="18"/>
          <w:szCs w:val="18"/>
        </w:rPr>
        <w:tab/>
        <w:t>Print Name of Issuing officer</w:t>
      </w:r>
    </w:p>
    <w:p>
      <w:pPr>
        <w:pStyle w:val="yMiscellaneousBody"/>
        <w:tabs>
          <w:tab w:val="left" w:pos="426"/>
          <w:tab w:val="left" w:pos="3402"/>
        </w:tabs>
        <w:spacing w:before="240"/>
        <w:ind w:left="567" w:hanging="425"/>
        <w:rPr>
          <w:b/>
          <w:sz w:val="18"/>
          <w:szCs w:val="18"/>
        </w:rPr>
      </w:pPr>
      <w:r>
        <w:rPr>
          <w:b/>
          <w:sz w:val="18"/>
          <w:szCs w:val="18"/>
          <w:u w:val="single"/>
        </w:rPr>
        <w:t>Note</w:t>
      </w:r>
      <w:r>
        <w:rPr>
          <w:b/>
          <w:sz w:val="18"/>
          <w:szCs w:val="18"/>
        </w:rPr>
        <w:t>. At the discretion of the Department of Environment and Conservation</w:t>
      </w:r>
      <w:r>
        <w:rPr>
          <w:b/>
          <w:sz w:val="18"/>
          <w:szCs w:val="18"/>
          <w:vertAlign w:val="superscript"/>
        </w:rPr>
        <w:t> 5</w:t>
      </w:r>
      <w:r>
        <w:rPr>
          <w:b/>
          <w:sz w:val="18"/>
          <w:szCs w:val="18"/>
        </w:rPr>
        <w:t xml:space="preserve"> this infringement notice may be withdrawn and other action taken.</w:t>
      </w:r>
    </w:p>
    <w:p>
      <w:pPr>
        <w:pStyle w:val="yMiscellaneousBody"/>
        <w:keepNext/>
        <w:keepLines/>
        <w:tabs>
          <w:tab w:val="left" w:pos="426"/>
          <w:tab w:val="left" w:pos="3402"/>
        </w:tabs>
        <w:spacing w:before="240"/>
        <w:ind w:left="142"/>
        <w:rPr>
          <w:b/>
          <w:sz w:val="18"/>
          <w:szCs w:val="18"/>
        </w:rPr>
      </w:pPr>
      <w:r>
        <w:rPr>
          <w:b/>
          <w:sz w:val="18"/>
          <w:szCs w:val="18"/>
        </w:rPr>
        <w:t>WHAT YOU MUST DO</w:t>
      </w:r>
    </w:p>
    <w:p>
      <w:pPr>
        <w:pStyle w:val="yMiscellaneousBody"/>
        <w:keepNext/>
        <w:keepLines/>
        <w:tabs>
          <w:tab w:val="left" w:pos="426"/>
        </w:tabs>
        <w:spacing w:before="120"/>
        <w:ind w:left="426" w:hanging="284"/>
        <w:rPr>
          <w:sz w:val="18"/>
          <w:szCs w:val="18"/>
        </w:rPr>
      </w:pPr>
      <w:r>
        <w:rPr>
          <w:sz w:val="18"/>
          <w:szCs w:val="18"/>
        </w:rPr>
        <w:t>1.</w:t>
      </w:r>
      <w:r>
        <w:rPr>
          <w:sz w:val="18"/>
          <w:szCs w:val="18"/>
        </w:rPr>
        <w:tab/>
        <w:t>You may pay the full sum of the modified penalty for the offence specified on this notice within 21 days of the giving of this notice.</w:t>
      </w:r>
    </w:p>
    <w:p>
      <w:pPr>
        <w:pStyle w:val="yMiscellaneousBody"/>
        <w:tabs>
          <w:tab w:val="left" w:pos="426"/>
        </w:tabs>
        <w:spacing w:before="120"/>
        <w:ind w:left="426" w:hanging="284"/>
        <w:rPr>
          <w:sz w:val="18"/>
          <w:szCs w:val="18"/>
        </w:rPr>
      </w:pPr>
      <w:r>
        <w:rPr>
          <w:sz w:val="18"/>
          <w:szCs w:val="18"/>
        </w:rPr>
        <w:t>2.</w:t>
      </w:r>
      <w:r>
        <w:rPr>
          <w:sz w:val="18"/>
          <w:szCs w:val="18"/>
        </w:rPr>
        <w:tab/>
        <w:t>Payment may be made by either posting your copy of this infringement notice along with a cheque, money order or postal note for the sum of the modified penalty shown above to the Chief Executive Officer, Department of Environment and Conservation</w:t>
      </w:r>
      <w:r>
        <w:rPr>
          <w:sz w:val="18"/>
          <w:szCs w:val="18"/>
          <w:vertAlign w:val="superscript"/>
        </w:rPr>
        <w:t> 5</w:t>
      </w:r>
      <w:r>
        <w:rPr>
          <w:sz w:val="18"/>
          <w:szCs w:val="18"/>
        </w:rPr>
        <w:t>, Locked Bag 104, Bentley Delivery Centre WA 6983, or presenting this notice at any office of the Department of Environment and Conservation</w:t>
      </w:r>
      <w:r>
        <w:rPr>
          <w:sz w:val="18"/>
          <w:szCs w:val="18"/>
          <w:vertAlign w:val="superscript"/>
        </w:rPr>
        <w:t> 5</w:t>
      </w:r>
      <w:r>
        <w:rPr>
          <w:sz w:val="18"/>
          <w:szCs w:val="18"/>
        </w:rPr>
        <w:t xml:space="preserve"> and paying the modified penalty indicated on the notice. Part payment of the amount of the penalty will not be accepted.</w:t>
      </w:r>
    </w:p>
    <w:p>
      <w:pPr>
        <w:pStyle w:val="yMiscellaneousBody"/>
        <w:tabs>
          <w:tab w:val="left" w:pos="426"/>
        </w:tabs>
        <w:spacing w:before="120"/>
        <w:ind w:left="426" w:hanging="284"/>
        <w:rPr>
          <w:sz w:val="18"/>
          <w:szCs w:val="18"/>
        </w:rPr>
      </w:pPr>
      <w:r>
        <w:rPr>
          <w:sz w:val="18"/>
          <w:szCs w:val="18"/>
        </w:rPr>
        <w:t>3.</w:t>
      </w:r>
      <w:r>
        <w:rPr>
          <w:sz w:val="18"/>
          <w:szCs w:val="18"/>
        </w:rPr>
        <w:tab/>
        <w:t xml:space="preserve">Alternatively, you may elect to have this matter dealt with before a Court of Summary Jurisdiction by completing the Court Election on the reverse side of the notice and forwarding it to — </w:t>
      </w:r>
    </w:p>
    <w:p>
      <w:pPr>
        <w:pStyle w:val="yMiscellaneousBody"/>
        <w:tabs>
          <w:tab w:val="left" w:pos="426"/>
        </w:tabs>
        <w:spacing w:before="120"/>
        <w:ind w:left="426" w:hanging="284"/>
        <w:rPr>
          <w:sz w:val="18"/>
          <w:szCs w:val="18"/>
        </w:rPr>
      </w:pPr>
      <w:r>
        <w:rPr>
          <w:sz w:val="18"/>
          <w:szCs w:val="18"/>
        </w:rPr>
        <w:tab/>
        <w:t>The Chief Wildlife Officer</w:t>
      </w:r>
    </w:p>
    <w:p>
      <w:pPr>
        <w:pStyle w:val="yMiscellaneousBody"/>
        <w:tabs>
          <w:tab w:val="left" w:pos="426"/>
        </w:tabs>
        <w:spacing w:before="0"/>
        <w:ind w:left="426" w:hanging="284"/>
        <w:rPr>
          <w:sz w:val="18"/>
          <w:szCs w:val="18"/>
        </w:rPr>
      </w:pPr>
      <w:r>
        <w:rPr>
          <w:sz w:val="18"/>
          <w:szCs w:val="18"/>
        </w:rPr>
        <w:tab/>
        <w:t>Nature Protection Branch</w:t>
      </w:r>
    </w:p>
    <w:p>
      <w:pPr>
        <w:pStyle w:val="yMiscellaneousBody"/>
        <w:tabs>
          <w:tab w:val="left" w:pos="426"/>
        </w:tabs>
        <w:spacing w:before="0"/>
        <w:ind w:left="426" w:hanging="284"/>
        <w:rPr>
          <w:sz w:val="18"/>
          <w:szCs w:val="18"/>
          <w:vertAlign w:val="superscript"/>
        </w:rPr>
      </w:pPr>
      <w:r>
        <w:rPr>
          <w:sz w:val="18"/>
          <w:szCs w:val="18"/>
        </w:rPr>
        <w:tab/>
        <w:t>Department of Conservation and Environment</w:t>
      </w:r>
      <w:r>
        <w:rPr>
          <w:sz w:val="18"/>
          <w:szCs w:val="18"/>
          <w:vertAlign w:val="superscript"/>
        </w:rPr>
        <w:t> 5</w:t>
      </w:r>
    </w:p>
    <w:p>
      <w:pPr>
        <w:pStyle w:val="yMiscellaneousBody"/>
        <w:tabs>
          <w:tab w:val="left" w:pos="426"/>
        </w:tabs>
        <w:spacing w:before="0"/>
        <w:ind w:left="426" w:hanging="284"/>
        <w:rPr>
          <w:sz w:val="18"/>
          <w:szCs w:val="18"/>
        </w:rPr>
      </w:pPr>
      <w:r>
        <w:rPr>
          <w:sz w:val="18"/>
          <w:szCs w:val="18"/>
        </w:rPr>
        <w:tab/>
        <w:t>Locked Bag 104</w:t>
      </w:r>
    </w:p>
    <w:p>
      <w:pPr>
        <w:pStyle w:val="yMiscellaneousBody"/>
        <w:tabs>
          <w:tab w:val="left" w:pos="426"/>
        </w:tabs>
        <w:spacing w:before="0"/>
        <w:ind w:left="426" w:hanging="284"/>
        <w:rPr>
          <w:sz w:val="18"/>
          <w:szCs w:val="18"/>
        </w:rPr>
      </w:pPr>
      <w:r>
        <w:rPr>
          <w:sz w:val="18"/>
          <w:szCs w:val="18"/>
        </w:rPr>
        <w:tab/>
        <w:t xml:space="preserve">Bentley Delivery </w:t>
      </w:r>
      <w:smartTag w:uri="urn:schemas-microsoft-com:office:smarttags" w:element="place">
        <w:smartTag w:uri="urn:schemas-microsoft-com:office:smarttags" w:element="City">
          <w:r>
            <w:rPr>
              <w:sz w:val="18"/>
              <w:szCs w:val="18"/>
            </w:rPr>
            <w:t>Centre</w:t>
          </w:r>
        </w:smartTag>
        <w:r>
          <w:rPr>
            <w:sz w:val="18"/>
            <w:szCs w:val="18"/>
          </w:rPr>
          <w:t xml:space="preserve"> </w:t>
        </w:r>
        <w:smartTag w:uri="urn:schemas-microsoft-com:office:smarttags" w:element="State">
          <w:r>
            <w:rPr>
              <w:sz w:val="18"/>
              <w:szCs w:val="18"/>
            </w:rPr>
            <w:t>WA</w:t>
          </w:r>
        </w:smartTag>
      </w:smartTag>
      <w:r>
        <w:rPr>
          <w:sz w:val="18"/>
          <w:szCs w:val="18"/>
        </w:rPr>
        <w:t xml:space="preserve"> 6983</w:t>
      </w:r>
    </w:p>
    <w:p>
      <w:pPr>
        <w:pStyle w:val="yMiscellaneousBody"/>
        <w:spacing w:before="120"/>
        <w:ind w:left="142"/>
        <w:rPr>
          <w:sz w:val="18"/>
          <w:szCs w:val="18"/>
        </w:rPr>
      </w:pPr>
      <w:r>
        <w:rPr>
          <w:sz w:val="18"/>
          <w:szCs w:val="18"/>
        </w:rPr>
        <w:t>If this modified penalty is not paid within 21 days of the date of this notice, court proceedings may be taken against you.</w:t>
      </w:r>
    </w:p>
    <w:p>
      <w:pPr>
        <w:pStyle w:val="yMiscellaneousBody"/>
        <w:spacing w:before="120"/>
        <w:ind w:left="142"/>
        <w:rPr>
          <w:sz w:val="18"/>
          <w:szCs w:val="18"/>
        </w:rPr>
      </w:pPr>
      <w:r>
        <w:rPr>
          <w:sz w:val="18"/>
          <w:szCs w:val="18"/>
        </w:rPr>
        <w:t>Failure to pursue one of the above options within the time specified may incur additional administrative charges and action may be taken to suspend your Motor Drivers Licence until the modified penalty and any additional charges incurred have been paid in full.</w:t>
      </w:r>
    </w:p>
    <w:p>
      <w:pPr>
        <w:pStyle w:val="yMiscellaneousBody"/>
        <w:spacing w:before="120"/>
        <w:ind w:left="142"/>
        <w:rPr>
          <w:sz w:val="18"/>
          <w:szCs w:val="18"/>
        </w:rPr>
      </w:pPr>
      <w:r>
        <w:rPr>
          <w:sz w:val="18"/>
          <w:szCs w:val="18"/>
        </w:rPr>
        <w:t>[</w:t>
      </w:r>
      <w:r>
        <w:rPr>
          <w:i/>
          <w:sz w:val="18"/>
          <w:szCs w:val="18"/>
        </w:rPr>
        <w:t>reverse of notice</w:t>
      </w:r>
      <w:r>
        <w:rPr>
          <w:sz w:val="18"/>
          <w:szCs w:val="18"/>
        </w:rPr>
        <w:t>]</w:t>
      </w:r>
    </w:p>
    <w:p>
      <w:pPr>
        <w:pStyle w:val="yMiscellaneousBody"/>
        <w:spacing w:before="120"/>
        <w:ind w:left="142"/>
        <w:jc w:val="center"/>
        <w:rPr>
          <w:sz w:val="18"/>
          <w:szCs w:val="18"/>
        </w:rPr>
      </w:pPr>
      <w:r>
        <w:rPr>
          <w:sz w:val="18"/>
          <w:szCs w:val="18"/>
        </w:rPr>
        <w:t>I elect to have this matter heard by a Court.</w:t>
      </w:r>
    </w:p>
    <w:p>
      <w:pPr>
        <w:pStyle w:val="yMiscellaneousBody"/>
        <w:spacing w:before="120"/>
        <w:ind w:left="142"/>
        <w:jc w:val="center"/>
        <w:rPr>
          <w:sz w:val="18"/>
          <w:szCs w:val="18"/>
        </w:rPr>
      </w:pPr>
      <w:r>
        <w:rPr>
          <w:sz w:val="18"/>
          <w:szCs w:val="18"/>
        </w:rPr>
        <w:t>Please issue a summons to me.</w:t>
      </w:r>
    </w:p>
    <w:p>
      <w:pPr>
        <w:pStyle w:val="yMiscellaneousBody"/>
        <w:spacing w:before="120"/>
        <w:ind w:left="142"/>
        <w:jc w:val="center"/>
        <w:rPr>
          <w:sz w:val="18"/>
          <w:szCs w:val="18"/>
        </w:rPr>
      </w:pPr>
      <w:r>
        <w:rPr>
          <w:sz w:val="18"/>
          <w:szCs w:val="18"/>
        </w:rPr>
        <w:t>(Please use block letters)</w:t>
      </w:r>
    </w:p>
    <w:p>
      <w:pPr>
        <w:pStyle w:val="yMiscellaneousBody"/>
        <w:spacing w:before="120"/>
        <w:ind w:left="142"/>
        <w:jc w:val="center"/>
        <w:rPr>
          <w:sz w:val="18"/>
          <w:szCs w:val="18"/>
        </w:rPr>
      </w:pPr>
      <w:r>
        <w:rPr>
          <w:sz w:val="18"/>
          <w:szCs w:val="18"/>
        </w:rPr>
        <w:t>Surname/Family Name</w:t>
      </w:r>
      <w:r>
        <w:rPr>
          <w:sz w:val="18"/>
          <w:szCs w:val="18"/>
        </w:rPr>
        <w:tab/>
        <w:t>________________________________________________</w:t>
      </w:r>
    </w:p>
    <w:p>
      <w:pPr>
        <w:pStyle w:val="yMiscellaneousBody"/>
        <w:spacing w:before="120"/>
        <w:ind w:left="142"/>
        <w:jc w:val="center"/>
        <w:rPr>
          <w:sz w:val="18"/>
          <w:szCs w:val="18"/>
        </w:rPr>
      </w:pPr>
      <w:r>
        <w:rPr>
          <w:sz w:val="18"/>
          <w:szCs w:val="18"/>
        </w:rPr>
        <w:t>Given Names</w:t>
      </w:r>
      <w:r>
        <w:rPr>
          <w:sz w:val="18"/>
          <w:szCs w:val="18"/>
        </w:rPr>
        <w:tab/>
      </w:r>
      <w:r>
        <w:rPr>
          <w:sz w:val="18"/>
          <w:szCs w:val="18"/>
        </w:rPr>
        <w:tab/>
        <w:t>________________________________________________</w:t>
      </w:r>
    </w:p>
    <w:p>
      <w:pPr>
        <w:pStyle w:val="yMiscellaneousBody"/>
        <w:spacing w:before="120"/>
        <w:ind w:left="142"/>
        <w:jc w:val="center"/>
        <w:rPr>
          <w:sz w:val="18"/>
          <w:szCs w:val="18"/>
        </w:rPr>
      </w:pPr>
      <w:r>
        <w:rPr>
          <w:sz w:val="18"/>
          <w:szCs w:val="18"/>
        </w:rPr>
        <w:t xml:space="preserve">Address </w:t>
      </w:r>
      <w:r>
        <w:rPr>
          <w:sz w:val="18"/>
          <w:szCs w:val="18"/>
        </w:rPr>
        <w:tab/>
      </w:r>
      <w:r>
        <w:rPr>
          <w:sz w:val="18"/>
          <w:szCs w:val="18"/>
        </w:rPr>
        <w:tab/>
        <w:t>________________________________________________</w:t>
      </w:r>
    </w:p>
    <w:p>
      <w:pPr>
        <w:pStyle w:val="yMiscellaneousBody"/>
        <w:spacing w:before="120"/>
        <w:ind w:left="142"/>
        <w:jc w:val="center"/>
        <w:rPr>
          <w:sz w:val="18"/>
          <w:szCs w:val="18"/>
        </w:rPr>
      </w:pPr>
      <w:r>
        <w:rPr>
          <w:sz w:val="18"/>
          <w:szCs w:val="18"/>
        </w:rPr>
        <w:tab/>
      </w:r>
      <w:r>
        <w:rPr>
          <w:sz w:val="18"/>
          <w:szCs w:val="18"/>
        </w:rPr>
        <w:tab/>
        <w:t>______________________________Postcode __________</w:t>
      </w:r>
    </w:p>
    <w:p>
      <w:pPr>
        <w:pStyle w:val="yMiscellaneousBody"/>
        <w:spacing w:before="120"/>
        <w:ind w:left="142"/>
        <w:jc w:val="center"/>
        <w:rPr>
          <w:sz w:val="18"/>
          <w:szCs w:val="18"/>
        </w:rPr>
      </w:pPr>
      <w:r>
        <w:rPr>
          <w:sz w:val="18"/>
          <w:szCs w:val="18"/>
        </w:rPr>
        <w:t xml:space="preserve">Signature </w:t>
      </w:r>
      <w:r>
        <w:rPr>
          <w:sz w:val="18"/>
          <w:szCs w:val="18"/>
        </w:rPr>
        <w:tab/>
      </w:r>
      <w:r>
        <w:rPr>
          <w:sz w:val="18"/>
          <w:szCs w:val="18"/>
        </w:rPr>
        <w:tab/>
        <w:t>________________________________________________</w:t>
      </w:r>
    </w:p>
    <w:p>
      <w:pPr>
        <w:pStyle w:val="yMiscellaneousBody"/>
        <w:spacing w:before="120"/>
        <w:ind w:left="142"/>
        <w:jc w:val="center"/>
        <w:rPr>
          <w:sz w:val="18"/>
          <w:szCs w:val="18"/>
        </w:rPr>
      </w:pPr>
      <w:r>
        <w:rPr>
          <w:sz w:val="18"/>
          <w:szCs w:val="18"/>
        </w:rPr>
        <w:t xml:space="preserve">Date </w:t>
      </w:r>
      <w:r>
        <w:rPr>
          <w:sz w:val="18"/>
          <w:szCs w:val="18"/>
        </w:rPr>
        <w:tab/>
        <w:t>_____/ _______/ _______</w:t>
      </w:r>
    </w:p>
    <w:p>
      <w:pPr>
        <w:pStyle w:val="yFootnotesection"/>
      </w:pPr>
      <w:r>
        <w:tab/>
        <w:t>[Form 1 inserted in Gazette 7 Dec 2012 p. 5973-4.]</w:t>
      </w:r>
    </w:p>
    <w:p>
      <w:pPr>
        <w:pStyle w:val="yMiscellaneousBody"/>
        <w:pageBreakBefore/>
        <w:jc w:val="center"/>
        <w:outlineLvl w:val="0"/>
      </w:pPr>
      <w:r>
        <w:rPr>
          <w:rStyle w:val="CharSClsNo"/>
          <w:b/>
        </w:rPr>
        <w:t>Form 2</w:t>
      </w:r>
    </w:p>
    <w:p>
      <w:pPr>
        <w:pStyle w:val="yMiscellaneousBody"/>
        <w:jc w:val="right"/>
        <w:rPr>
          <w:snapToGrid w:val="0"/>
        </w:rPr>
      </w:pPr>
      <w:r>
        <w:rPr>
          <w:snapToGrid w:val="0"/>
        </w:rPr>
        <w:t>[r.</w:t>
      </w:r>
      <w:r>
        <w:t xml:space="preserve"> 112(4)</w:t>
      </w:r>
      <w:r>
        <w:rPr>
          <w:snapToGrid w:val="0"/>
        </w:rPr>
        <w:t>]</w:t>
      </w:r>
    </w:p>
    <w:p>
      <w:pPr>
        <w:pStyle w:val="yMiscellaneousBody"/>
        <w:jc w:val="center"/>
        <w:rPr>
          <w:i/>
          <w:snapToGrid w:val="0"/>
        </w:rPr>
      </w:pPr>
      <w:r>
        <w:rPr>
          <w:i/>
          <w:snapToGrid w:val="0"/>
        </w:rPr>
        <w:t>Conservation and Land Management Regulations 2002</w:t>
      </w:r>
    </w:p>
    <w:p>
      <w:pPr>
        <w:pStyle w:val="yMiscellaneousBody"/>
        <w:jc w:val="center"/>
        <w:rPr>
          <w:snapToGrid w:val="0"/>
        </w:rPr>
      </w:pPr>
      <w:r>
        <w:rPr>
          <w:snapToGrid w:val="0"/>
        </w:rPr>
        <w:t>Withdrawal of Infringement Notice</w:t>
      </w:r>
    </w:p>
    <w:p>
      <w:pPr>
        <w:pStyle w:val="yMiscellaneousBody"/>
        <w:jc w:val="center"/>
        <w:rPr>
          <w:i/>
          <w:snapToGrid w:val="0"/>
        </w:rPr>
      </w:pPr>
      <w:r>
        <w:rPr>
          <w:i/>
          <w:snapToGrid w:val="0"/>
        </w:rPr>
        <w:t>Conservation and Land Management Act 1984</w:t>
      </w:r>
    </w:p>
    <w:p>
      <w:pPr>
        <w:pStyle w:val="yMiscellaneousBody"/>
        <w:rPr>
          <w:snapToGrid w:val="0"/>
        </w:rPr>
      </w:pPr>
      <w:r>
        <w:rPr>
          <w:snapToGrid w:val="0"/>
        </w:rPr>
        <w:t>(section 114A(6))                                                           No. ..................................</w:t>
      </w:r>
    </w:p>
    <w:p>
      <w:pPr>
        <w:pStyle w:val="yMiscellaneousBody"/>
        <w:rPr>
          <w:snapToGrid w:val="0"/>
        </w:rPr>
      </w:pPr>
      <w:r>
        <w:rPr>
          <w:snapToGrid w:val="0"/>
        </w:rPr>
        <w:t xml:space="preserve">                                                                                        Date ......./......./.......</w:t>
      </w:r>
    </w:p>
    <w:p>
      <w:pPr>
        <w:pStyle w:val="yMiscellaneousBody"/>
        <w:spacing w:before="0"/>
        <w:rPr>
          <w:snapToGrid w:val="0"/>
        </w:rPr>
      </w:pPr>
      <w:r>
        <w:rPr>
          <w:snapToGrid w:val="0"/>
        </w:rPr>
        <w:t>To ............................................................................................................... (name) of ............................................................................................................................ ................................................................................................................. (address)</w:t>
      </w:r>
    </w:p>
    <w:p>
      <w:pPr>
        <w:pStyle w:val="yMiscellaneousBody"/>
        <w:rPr>
          <w:snapToGrid w:val="0"/>
        </w:rPr>
      </w:pPr>
    </w:p>
    <w:p>
      <w:pPr>
        <w:pStyle w:val="yMiscellaneousBody"/>
        <w:rPr>
          <w:snapToGrid w:val="0"/>
        </w:rPr>
      </w:pPr>
      <w:r>
        <w:rPr>
          <w:snapToGrid w:val="0"/>
        </w:rPr>
        <w:t>1. Infringement Notice No. .......................... Date ......./......./....... for the alleged offence of .............................................................................................................. ......................................................................................................................... and specifying the modified penalty of $........................ is withdrawn.</w:t>
      </w:r>
    </w:p>
    <w:p>
      <w:pPr>
        <w:pStyle w:val="yMiscellaneousBody"/>
        <w:rPr>
          <w:snapToGrid w:val="0"/>
        </w:rPr>
      </w:pPr>
      <w:r>
        <w:rPr>
          <w:snapToGrid w:val="0"/>
        </w:rPr>
        <w:t>2. No further action will be taken against you. *</w:t>
      </w:r>
    </w:p>
    <w:p>
      <w:pPr>
        <w:pStyle w:val="yMiscellaneousBody"/>
        <w:rPr>
          <w:snapToGrid w:val="0"/>
        </w:rPr>
      </w:pPr>
      <w:r>
        <w:rPr>
          <w:snapToGrid w:val="0"/>
        </w:rPr>
        <w:t>OR</w:t>
      </w:r>
    </w:p>
    <w:p>
      <w:pPr>
        <w:pStyle w:val="yMiscellaneousBody"/>
        <w:rPr>
          <w:snapToGrid w:val="0"/>
        </w:rPr>
      </w:pPr>
      <w:r>
        <w:rPr>
          <w:snapToGrid w:val="0"/>
        </w:rPr>
        <w:t>It is proposed to commence court proceedings against you for the alleged offence. *</w:t>
      </w:r>
    </w:p>
    <w:p>
      <w:pPr>
        <w:pStyle w:val="yMiscellaneousBody"/>
        <w:rPr>
          <w:snapToGrid w:val="0"/>
        </w:rPr>
      </w:pPr>
      <w:r>
        <w:rPr>
          <w:snapToGrid w:val="0"/>
        </w:rPr>
        <w:t>(* Delete whichever does not apply.)</w:t>
      </w:r>
    </w:p>
    <w:p>
      <w:pPr>
        <w:pStyle w:val="yMiscellaneousBody"/>
        <w:jc w:val="right"/>
        <w:rPr>
          <w:snapToGrid w:val="0"/>
        </w:rPr>
      </w:pPr>
      <w:r>
        <w:rPr>
          <w:snapToGrid w:val="0"/>
        </w:rPr>
        <w:t>...........................................................</w:t>
      </w:r>
    </w:p>
    <w:p>
      <w:pPr>
        <w:pStyle w:val="yMiscellaneousBody"/>
        <w:spacing w:before="0"/>
        <w:jc w:val="right"/>
        <w:rPr>
          <w:snapToGrid w:val="0"/>
        </w:rPr>
      </w:pPr>
      <w:r>
        <w:t>Chief Executive Officer</w:t>
      </w:r>
      <w:r>
        <w:rPr>
          <w:snapToGrid w:val="0"/>
        </w:rPr>
        <w:t>,</w:t>
      </w:r>
    </w:p>
    <w:p>
      <w:pPr>
        <w:pStyle w:val="yMiscellaneousBody"/>
        <w:spacing w:before="0"/>
        <w:jc w:val="right"/>
        <w:rPr>
          <w:snapToGrid w:val="0"/>
          <w:vertAlign w:val="superscript"/>
        </w:rPr>
      </w:pPr>
      <w:r>
        <w:t>Department of Environment and Conservation</w:t>
      </w:r>
      <w:r>
        <w:rPr>
          <w:vertAlign w:val="superscript"/>
        </w:rPr>
        <w:t> 5</w:t>
      </w:r>
    </w:p>
    <w:p>
      <w:pPr>
        <w:pStyle w:val="yFootnotesection"/>
      </w:pPr>
      <w:r>
        <w:tab/>
        <w:t>[Form 2 amended in Gazette 29 Sep 2006 p. 4333.]</w:t>
      </w:r>
    </w:p>
    <w:p>
      <w:pPr>
        <w:pStyle w:val="yTHeadingNAm"/>
        <w:pageBreakBefore/>
        <w:spacing w:before="0" w:after="0"/>
        <w:outlineLvl w:val="0"/>
      </w:pPr>
      <w:r>
        <w:rPr>
          <w:rStyle w:val="CharSClsNo"/>
        </w:rPr>
        <w:t>Form 3</w:t>
      </w:r>
      <w:r>
        <w:t xml:space="preserve"> — Apiary permit</w:t>
      </w:r>
    </w:p>
    <w:p>
      <w:pPr>
        <w:pStyle w:val="yTableNAm"/>
        <w:spacing w:before="0"/>
        <w:jc w:val="right"/>
        <w:rPr>
          <w:sz w:val="17"/>
          <w:szCs w:val="17"/>
        </w:rPr>
      </w:pPr>
      <w:r>
        <w:rPr>
          <w:sz w:val="17"/>
          <w:szCs w:val="17"/>
        </w:rPr>
        <w:t>Regulation 98D(1)</w:t>
      </w:r>
    </w:p>
    <w:p>
      <w:pPr>
        <w:pStyle w:val="yTableNAm"/>
        <w:jc w:val="center"/>
        <w:rPr>
          <w:i/>
          <w:sz w:val="17"/>
          <w:szCs w:val="17"/>
        </w:rPr>
      </w:pPr>
      <w:r>
        <w:rPr>
          <w:i/>
          <w:sz w:val="17"/>
          <w:szCs w:val="17"/>
        </w:rPr>
        <w:t>CONSERVATION AND LAND MANAGEMENT REGULATIONS 2002</w:t>
      </w:r>
    </w:p>
    <w:p>
      <w:pPr>
        <w:pStyle w:val="yTableNAm"/>
        <w:jc w:val="center"/>
        <w:rPr>
          <w:sz w:val="17"/>
          <w:szCs w:val="17"/>
        </w:rPr>
      </w:pPr>
      <w:r>
        <w:rPr>
          <w:sz w:val="17"/>
          <w:szCs w:val="17"/>
        </w:rPr>
        <w:t>APIARY PERMIT</w:t>
      </w:r>
    </w:p>
    <w:tbl>
      <w:tblPr>
        <w:tblStyle w:val="TableGrid"/>
        <w:tblW w:w="0" w:type="auto"/>
        <w:tblInd w:w="5188" w:type="dxa"/>
        <w:tblCellMar>
          <w:left w:w="28" w:type="dxa"/>
          <w:right w:w="28" w:type="dxa"/>
        </w:tblCellMar>
        <w:tblLook w:val="04A0" w:firstRow="1" w:lastRow="0" w:firstColumn="1" w:lastColumn="0" w:noHBand="0" w:noVBand="1"/>
      </w:tblPr>
      <w:tblGrid>
        <w:gridCol w:w="1888"/>
      </w:tblGrid>
      <w:tr>
        <w:tc>
          <w:tcPr>
            <w:tcW w:w="1888" w:type="dxa"/>
          </w:tcPr>
          <w:p>
            <w:pPr>
              <w:pStyle w:val="yTableNAm"/>
              <w:spacing w:before="60" w:after="40"/>
              <w:rPr>
                <w:sz w:val="17"/>
                <w:szCs w:val="17"/>
              </w:rPr>
            </w:pPr>
            <w:r>
              <w:rPr>
                <w:sz w:val="17"/>
                <w:szCs w:val="17"/>
              </w:rPr>
              <w:t>Permit No. ____________</w:t>
            </w:r>
          </w:p>
        </w:tc>
      </w:tr>
    </w:tbl>
    <w:p>
      <w:pPr>
        <w:rPr>
          <w:sz w:val="12"/>
          <w:szCs w:val="12"/>
        </w:rPr>
      </w:pPr>
    </w:p>
    <w:tbl>
      <w:tblPr>
        <w:tblStyle w:val="TableGrid"/>
        <w:tblW w:w="0" w:type="auto"/>
        <w:tblCellMar>
          <w:left w:w="28" w:type="dxa"/>
          <w:right w:w="28" w:type="dxa"/>
        </w:tblCellMar>
        <w:tblLook w:val="04A0" w:firstRow="1" w:lastRow="0" w:firstColumn="1" w:lastColumn="0" w:noHBand="0" w:noVBand="1"/>
      </w:tblPr>
      <w:tblGrid>
        <w:gridCol w:w="7083"/>
      </w:tblGrid>
      <w:tr>
        <w:tc>
          <w:tcPr>
            <w:tcW w:w="7047" w:type="dxa"/>
          </w:tcPr>
          <w:p>
            <w:pPr>
              <w:pStyle w:val="yTableNAm"/>
              <w:tabs>
                <w:tab w:val="clear" w:pos="567"/>
              </w:tabs>
              <w:spacing w:before="60"/>
              <w:rPr>
                <w:sz w:val="17"/>
                <w:szCs w:val="17"/>
              </w:rPr>
            </w:pPr>
            <w:r>
              <w:rPr>
                <w:sz w:val="17"/>
                <w:szCs w:val="17"/>
              </w:rPr>
              <w:t>I____________________________________________________________ Reg Brand____________</w:t>
            </w:r>
          </w:p>
          <w:p>
            <w:pPr>
              <w:pStyle w:val="yTableNAm"/>
              <w:tabs>
                <w:tab w:val="clear" w:pos="567"/>
              </w:tabs>
              <w:spacing w:before="60" w:after="40"/>
              <w:rPr>
                <w:sz w:val="17"/>
                <w:szCs w:val="17"/>
              </w:rPr>
            </w:pPr>
            <w:r>
              <w:rPr>
                <w:sz w:val="17"/>
                <w:szCs w:val="17"/>
              </w:rPr>
              <w:t>of_________________________________________________________________________________</w:t>
            </w:r>
          </w:p>
        </w:tc>
      </w:tr>
    </w:tbl>
    <w:p>
      <w:pPr>
        <w:pStyle w:val="yTableNAm"/>
        <w:spacing w:before="0"/>
        <w:rPr>
          <w:sz w:val="17"/>
          <w:szCs w:val="17"/>
        </w:rPr>
      </w:pPr>
      <w:r>
        <w:rPr>
          <w:sz w:val="17"/>
          <w:szCs w:val="17"/>
        </w:rPr>
        <w:t xml:space="preserve">is authorised, subject to the </w:t>
      </w:r>
      <w:r>
        <w:rPr>
          <w:i/>
          <w:sz w:val="17"/>
          <w:szCs w:val="17"/>
        </w:rPr>
        <w:t>Conservation and Land Management Regulations 2002</w:t>
      </w:r>
      <w:r>
        <w:rPr>
          <w:sz w:val="17"/>
          <w:szCs w:val="17"/>
        </w:rPr>
        <w:t xml:space="preserve"> —</w:t>
      </w:r>
    </w:p>
    <w:p>
      <w:pPr>
        <w:pStyle w:val="yTableNAm"/>
        <w:spacing w:before="60"/>
        <w:rPr>
          <w:sz w:val="17"/>
          <w:szCs w:val="17"/>
        </w:rPr>
      </w:pPr>
      <w:r>
        <w:rPr>
          <w:sz w:val="17"/>
          <w:szCs w:val="17"/>
        </w:rPr>
        <w:t>a) to occupy the land described below for the purpose of operating an apiary; and</w:t>
      </w:r>
      <w:r>
        <w:rPr>
          <w:sz w:val="17"/>
          <w:szCs w:val="17"/>
        </w:rPr>
        <w:br/>
        <w:t>b) to remove honey, bees-wax and pollen from that land</w:t>
      </w:r>
    </w:p>
    <w:p>
      <w:pPr>
        <w:pStyle w:val="yTableNAm"/>
        <w:spacing w:before="60"/>
        <w:rPr>
          <w:sz w:val="17"/>
          <w:szCs w:val="17"/>
        </w:rPr>
      </w:pPr>
      <w:r>
        <w:rPr>
          <w:sz w:val="17"/>
          <w:szCs w:val="17"/>
        </w:rPr>
        <w:t>In accordance with the terms and conditions and any limitations set out below, and not otherwise.</w:t>
      </w:r>
    </w:p>
    <w:p>
      <w:pPr>
        <w:pStyle w:val="yTableNAm"/>
        <w:spacing w:before="60" w:after="60"/>
        <w:rPr>
          <w:i/>
          <w:sz w:val="17"/>
          <w:szCs w:val="17"/>
        </w:rPr>
      </w:pPr>
      <w:r>
        <w:rPr>
          <w:i/>
          <w:sz w:val="17"/>
          <w:szCs w:val="17"/>
        </w:rPr>
        <w:t>Note: The authority conferred by this permit is of no effect at any time when a term, condition or limitation of the permit is not being complied with.</w:t>
      </w:r>
    </w:p>
    <w:tbl>
      <w:tblPr>
        <w:tblStyle w:val="TableGrid"/>
        <w:tblW w:w="7047" w:type="dxa"/>
        <w:tblLayout w:type="fixed"/>
        <w:tblCellMar>
          <w:left w:w="28" w:type="dxa"/>
          <w:right w:w="28" w:type="dxa"/>
        </w:tblCellMar>
        <w:tblLook w:val="04A0" w:firstRow="1" w:lastRow="0" w:firstColumn="1" w:lastColumn="0" w:noHBand="0" w:noVBand="1"/>
      </w:tblPr>
      <w:tblGrid>
        <w:gridCol w:w="76"/>
        <w:gridCol w:w="2440"/>
        <w:gridCol w:w="90"/>
        <w:gridCol w:w="964"/>
        <w:gridCol w:w="425"/>
        <w:gridCol w:w="142"/>
        <w:gridCol w:w="2834"/>
        <w:gridCol w:w="76"/>
      </w:tblGrid>
      <w:tr>
        <w:tc>
          <w:tcPr>
            <w:tcW w:w="7047" w:type="dxa"/>
            <w:gridSpan w:val="8"/>
            <w:tcBorders>
              <w:top w:val="single" w:sz="4" w:space="0" w:color="auto"/>
              <w:bottom w:val="nil"/>
            </w:tcBorders>
          </w:tcPr>
          <w:p>
            <w:pPr>
              <w:spacing w:before="40" w:after="20"/>
              <w:ind w:left="85"/>
              <w:rPr>
                <w:sz w:val="17"/>
                <w:szCs w:val="17"/>
              </w:rPr>
            </w:pPr>
            <w:r>
              <w:rPr>
                <w:sz w:val="17"/>
                <w:szCs w:val="17"/>
              </w:rPr>
              <w:t>Site that may be occupied</w:t>
            </w:r>
          </w:p>
        </w:tc>
      </w:tr>
      <w:tr>
        <w:tc>
          <w:tcPr>
            <w:tcW w:w="76" w:type="dxa"/>
            <w:tcBorders>
              <w:top w:val="nil"/>
              <w:bottom w:val="nil"/>
            </w:tcBorders>
          </w:tcPr>
          <w:p>
            <w:pPr>
              <w:rPr>
                <w:sz w:val="16"/>
                <w:szCs w:val="16"/>
              </w:rPr>
            </w:pPr>
          </w:p>
        </w:tc>
        <w:tc>
          <w:tcPr>
            <w:tcW w:w="2440" w:type="dxa"/>
            <w:tcBorders>
              <w:top w:val="single" w:sz="4" w:space="0" w:color="auto"/>
              <w:bottom w:val="single" w:sz="4" w:space="0" w:color="auto"/>
              <w:right w:val="nil"/>
            </w:tcBorders>
          </w:tcPr>
          <w:p>
            <w:pPr>
              <w:pStyle w:val="yTableNAm"/>
              <w:spacing w:before="40"/>
              <w:rPr>
                <w:sz w:val="17"/>
                <w:szCs w:val="17"/>
              </w:rPr>
            </w:pPr>
            <w:r>
              <w:rPr>
                <w:sz w:val="17"/>
                <w:szCs w:val="17"/>
              </w:rPr>
              <w:t>DEC REGION/DISTRICT</w:t>
            </w:r>
          </w:p>
          <w:p>
            <w:pPr>
              <w:pStyle w:val="yTableNAm"/>
              <w:spacing w:before="40"/>
              <w:rPr>
                <w:sz w:val="17"/>
                <w:szCs w:val="17"/>
              </w:rPr>
            </w:pPr>
            <w:r>
              <w:rPr>
                <w:sz w:val="17"/>
                <w:szCs w:val="17"/>
              </w:rPr>
              <w:t>_________________________</w:t>
            </w:r>
          </w:p>
          <w:p>
            <w:pPr>
              <w:pStyle w:val="yTableNAm"/>
              <w:spacing w:before="40"/>
              <w:rPr>
                <w:sz w:val="17"/>
                <w:szCs w:val="17"/>
              </w:rPr>
            </w:pPr>
            <w:r>
              <w:rPr>
                <w:sz w:val="17"/>
                <w:szCs w:val="17"/>
              </w:rPr>
              <w:t>Forest Block</w:t>
            </w:r>
          </w:p>
          <w:p>
            <w:pPr>
              <w:pStyle w:val="yTableNAm"/>
              <w:spacing w:before="40"/>
              <w:rPr>
                <w:sz w:val="17"/>
                <w:szCs w:val="17"/>
              </w:rPr>
            </w:pPr>
            <w:r>
              <w:rPr>
                <w:sz w:val="17"/>
                <w:szCs w:val="17"/>
              </w:rPr>
              <w:t>_________________________</w:t>
            </w:r>
          </w:p>
          <w:p>
            <w:pPr>
              <w:pStyle w:val="yTableNAm"/>
              <w:spacing w:before="40"/>
              <w:rPr>
                <w:sz w:val="17"/>
                <w:szCs w:val="17"/>
              </w:rPr>
            </w:pPr>
            <w:r>
              <w:rPr>
                <w:sz w:val="17"/>
                <w:szCs w:val="17"/>
              </w:rPr>
              <w:t>DEC Apiary Zone</w:t>
            </w:r>
          </w:p>
          <w:p>
            <w:pPr>
              <w:pStyle w:val="yTableNAm"/>
              <w:spacing w:before="40"/>
              <w:rPr>
                <w:sz w:val="17"/>
                <w:szCs w:val="17"/>
              </w:rPr>
            </w:pPr>
            <w:r>
              <w:rPr>
                <w:sz w:val="17"/>
                <w:szCs w:val="17"/>
              </w:rPr>
              <w:t>_________________________</w:t>
            </w:r>
          </w:p>
        </w:tc>
        <w:tc>
          <w:tcPr>
            <w:tcW w:w="1479" w:type="dxa"/>
            <w:gridSpan w:val="3"/>
            <w:tcBorders>
              <w:top w:val="single" w:sz="4" w:space="0" w:color="auto"/>
              <w:left w:val="nil"/>
              <w:bottom w:val="single" w:sz="4" w:space="0" w:color="auto"/>
              <w:right w:val="nil"/>
            </w:tcBorders>
          </w:tcPr>
          <w:p>
            <w:pPr>
              <w:pStyle w:val="yTableNAm"/>
              <w:spacing w:before="40"/>
              <w:rPr>
                <w:sz w:val="17"/>
                <w:szCs w:val="17"/>
              </w:rPr>
            </w:pPr>
            <w:r>
              <w:rPr>
                <w:sz w:val="17"/>
                <w:szCs w:val="17"/>
              </w:rPr>
              <w:t>DEC Plan &amp; Ref</w:t>
            </w:r>
          </w:p>
          <w:p>
            <w:pPr>
              <w:spacing w:before="40"/>
              <w:rPr>
                <w:sz w:val="17"/>
                <w:szCs w:val="17"/>
              </w:rPr>
            </w:pPr>
            <w:r>
              <w:rPr>
                <w:sz w:val="17"/>
                <w:szCs w:val="17"/>
              </w:rPr>
              <w:t>________________</w:t>
            </w:r>
          </w:p>
          <w:p>
            <w:pPr>
              <w:spacing w:before="40"/>
              <w:rPr>
                <w:sz w:val="17"/>
                <w:szCs w:val="17"/>
              </w:rPr>
            </w:pPr>
            <w:r>
              <w:rPr>
                <w:sz w:val="17"/>
                <w:szCs w:val="17"/>
              </w:rPr>
              <w:t>or COG Map Ref</w:t>
            </w:r>
          </w:p>
          <w:p>
            <w:pPr>
              <w:spacing w:before="40"/>
              <w:rPr>
                <w:sz w:val="17"/>
                <w:szCs w:val="17"/>
              </w:rPr>
            </w:pPr>
            <w:r>
              <w:rPr>
                <w:sz w:val="17"/>
                <w:szCs w:val="17"/>
              </w:rPr>
              <w:t>________________</w:t>
            </w:r>
          </w:p>
          <w:p>
            <w:pPr>
              <w:spacing w:before="40"/>
              <w:rPr>
                <w:sz w:val="17"/>
                <w:szCs w:val="17"/>
              </w:rPr>
            </w:pPr>
            <w:r>
              <w:rPr>
                <w:sz w:val="17"/>
                <w:szCs w:val="17"/>
              </w:rPr>
              <w:t>Nearest Road/Track</w:t>
            </w:r>
          </w:p>
          <w:p>
            <w:pPr>
              <w:spacing w:before="40" w:after="40"/>
              <w:rPr>
                <w:sz w:val="17"/>
                <w:szCs w:val="17"/>
              </w:rPr>
            </w:pPr>
            <w:r>
              <w:rPr>
                <w:sz w:val="17"/>
                <w:szCs w:val="17"/>
              </w:rPr>
              <w:t>________________</w:t>
            </w:r>
          </w:p>
        </w:tc>
        <w:tc>
          <w:tcPr>
            <w:tcW w:w="2976" w:type="dxa"/>
            <w:gridSpan w:val="2"/>
            <w:tcBorders>
              <w:top w:val="single" w:sz="4" w:space="0" w:color="auto"/>
              <w:left w:val="nil"/>
              <w:bottom w:val="single" w:sz="4" w:space="0" w:color="auto"/>
            </w:tcBorders>
          </w:tcPr>
          <w:p>
            <w:pPr>
              <w:pStyle w:val="yTableNAm"/>
              <w:spacing w:before="40"/>
              <w:jc w:val="center"/>
              <w:rPr>
                <w:sz w:val="17"/>
                <w:szCs w:val="17"/>
              </w:rPr>
            </w:pPr>
            <w:r>
              <w:rPr>
                <w:sz w:val="17"/>
                <w:szCs w:val="17"/>
              </w:rPr>
              <w:t>Land Tenure</w:t>
            </w:r>
          </w:p>
          <w:p>
            <w:pPr>
              <w:pStyle w:val="yTableNAm"/>
              <w:spacing w:before="40"/>
              <w:rPr>
                <w:sz w:val="17"/>
                <w:szCs w:val="17"/>
              </w:rPr>
            </w:pPr>
          </w:p>
          <w:p>
            <w:pPr>
              <w:pStyle w:val="yTableNAm"/>
              <w:spacing w:before="40"/>
              <w:ind w:right="57"/>
              <w:jc w:val="right"/>
              <w:rPr>
                <w:sz w:val="17"/>
                <w:szCs w:val="17"/>
              </w:rPr>
            </w:pPr>
            <w:r>
              <w:rPr>
                <w:sz w:val="17"/>
                <w:szCs w:val="17"/>
              </w:rPr>
              <w:t>________________________________</w:t>
            </w:r>
          </w:p>
          <w:p>
            <w:pPr>
              <w:pStyle w:val="yTableNAm"/>
              <w:spacing w:before="80"/>
              <w:ind w:right="57"/>
              <w:jc w:val="right"/>
              <w:rPr>
                <w:sz w:val="17"/>
                <w:szCs w:val="17"/>
              </w:rPr>
            </w:pPr>
            <w:r>
              <w:rPr>
                <w:sz w:val="17"/>
                <w:szCs w:val="17"/>
              </w:rPr>
              <w:t>GPS Reading — Map Location</w:t>
            </w:r>
            <w:r>
              <w:rPr>
                <w:sz w:val="17"/>
                <w:szCs w:val="17"/>
              </w:rPr>
              <w:br/>
              <w:t>Longitude__________________</w:t>
            </w:r>
            <w:r>
              <w:rPr>
                <w:sz w:val="17"/>
                <w:szCs w:val="17"/>
              </w:rPr>
              <w:br/>
              <w:t>Latitude__________________</w:t>
            </w:r>
          </w:p>
        </w:tc>
        <w:tc>
          <w:tcPr>
            <w:tcW w:w="76" w:type="dxa"/>
            <w:tcBorders>
              <w:top w:val="nil"/>
              <w:bottom w:val="nil"/>
            </w:tcBorders>
          </w:tcPr>
          <w:p>
            <w:pPr>
              <w:ind w:left="-170" w:right="-311"/>
              <w:rPr>
                <w:sz w:val="17"/>
                <w:szCs w:val="17"/>
              </w:rPr>
            </w:pPr>
          </w:p>
          <w:p>
            <w:pPr>
              <w:rPr>
                <w:sz w:val="17"/>
                <w:szCs w:val="17"/>
              </w:rPr>
            </w:pPr>
          </w:p>
          <w:p>
            <w:pPr>
              <w:rPr>
                <w:sz w:val="17"/>
                <w:szCs w:val="17"/>
              </w:rPr>
            </w:pPr>
          </w:p>
        </w:tc>
      </w:tr>
      <w:tr>
        <w:tc>
          <w:tcPr>
            <w:tcW w:w="76" w:type="dxa"/>
            <w:tcBorders>
              <w:top w:val="nil"/>
              <w:bottom w:val="nil"/>
              <w:right w:val="nil"/>
            </w:tcBorders>
          </w:tcPr>
          <w:p>
            <w:pPr>
              <w:rPr>
                <w:sz w:val="16"/>
                <w:szCs w:val="16"/>
              </w:rPr>
            </w:pPr>
          </w:p>
        </w:tc>
        <w:tc>
          <w:tcPr>
            <w:tcW w:w="2440" w:type="dxa"/>
            <w:tcBorders>
              <w:top w:val="single" w:sz="4" w:space="0" w:color="auto"/>
              <w:left w:val="nil"/>
              <w:bottom w:val="single" w:sz="4" w:space="0" w:color="auto"/>
              <w:right w:val="nil"/>
            </w:tcBorders>
          </w:tcPr>
          <w:p>
            <w:pPr>
              <w:rPr>
                <w:sz w:val="17"/>
                <w:szCs w:val="17"/>
              </w:rPr>
            </w:pPr>
            <w:r>
              <w:rPr>
                <w:sz w:val="17"/>
                <w:szCs w:val="17"/>
              </w:rPr>
              <w:t>Conditions to be followed</w:t>
            </w:r>
          </w:p>
        </w:tc>
        <w:tc>
          <w:tcPr>
            <w:tcW w:w="1479" w:type="dxa"/>
            <w:gridSpan w:val="3"/>
            <w:tcBorders>
              <w:top w:val="single" w:sz="4" w:space="0" w:color="auto"/>
              <w:left w:val="nil"/>
              <w:bottom w:val="single" w:sz="4" w:space="0" w:color="auto"/>
              <w:right w:val="nil"/>
            </w:tcBorders>
          </w:tcPr>
          <w:p>
            <w:pPr>
              <w:rPr>
                <w:sz w:val="17"/>
                <w:szCs w:val="17"/>
              </w:rPr>
            </w:pPr>
          </w:p>
        </w:tc>
        <w:tc>
          <w:tcPr>
            <w:tcW w:w="142" w:type="dxa"/>
            <w:tcBorders>
              <w:top w:val="single" w:sz="4" w:space="0" w:color="auto"/>
              <w:left w:val="nil"/>
              <w:bottom w:val="nil"/>
              <w:right w:val="nil"/>
            </w:tcBorders>
          </w:tcPr>
          <w:p>
            <w:pPr>
              <w:rPr>
                <w:sz w:val="17"/>
                <w:szCs w:val="17"/>
              </w:rPr>
            </w:pPr>
          </w:p>
        </w:tc>
        <w:tc>
          <w:tcPr>
            <w:tcW w:w="2834" w:type="dxa"/>
            <w:tcBorders>
              <w:top w:val="single" w:sz="4" w:space="0" w:color="auto"/>
              <w:left w:val="nil"/>
              <w:bottom w:val="single" w:sz="4" w:space="0" w:color="auto"/>
              <w:right w:val="nil"/>
            </w:tcBorders>
          </w:tcPr>
          <w:p>
            <w:pPr>
              <w:rPr>
                <w:sz w:val="17"/>
                <w:szCs w:val="17"/>
              </w:rPr>
            </w:pPr>
            <w:r>
              <w:rPr>
                <w:sz w:val="17"/>
                <w:szCs w:val="17"/>
              </w:rPr>
              <w:t>Authority to Issue Permit</w:t>
            </w:r>
          </w:p>
        </w:tc>
        <w:tc>
          <w:tcPr>
            <w:tcW w:w="76" w:type="dxa"/>
            <w:tcBorders>
              <w:top w:val="nil"/>
              <w:left w:val="nil"/>
              <w:bottom w:val="nil"/>
            </w:tcBorders>
          </w:tcPr>
          <w:p>
            <w:pPr>
              <w:ind w:left="-170" w:right="-311"/>
              <w:rPr>
                <w:sz w:val="17"/>
                <w:szCs w:val="17"/>
              </w:rPr>
            </w:pPr>
          </w:p>
        </w:tc>
      </w:tr>
      <w:tr>
        <w:trPr>
          <w:trHeight w:val="428"/>
        </w:trPr>
        <w:tc>
          <w:tcPr>
            <w:tcW w:w="76" w:type="dxa"/>
            <w:vMerge w:val="restart"/>
            <w:tcBorders>
              <w:top w:val="nil"/>
              <w:bottom w:val="nil"/>
            </w:tcBorders>
          </w:tcPr>
          <w:p>
            <w:pPr>
              <w:rPr>
                <w:sz w:val="16"/>
                <w:szCs w:val="16"/>
              </w:rPr>
            </w:pPr>
          </w:p>
        </w:tc>
        <w:tc>
          <w:tcPr>
            <w:tcW w:w="2440" w:type="dxa"/>
            <w:vMerge w:val="restart"/>
            <w:tcBorders>
              <w:top w:val="single" w:sz="4" w:space="0" w:color="auto"/>
              <w:right w:val="nil"/>
            </w:tcBorders>
          </w:tcPr>
          <w:p>
            <w:pPr>
              <w:spacing w:before="60"/>
              <w:rPr>
                <w:sz w:val="17"/>
                <w:szCs w:val="17"/>
              </w:rPr>
            </w:pPr>
            <w:r>
              <w:rPr>
                <w:sz w:val="17"/>
                <w:szCs w:val="17"/>
              </w:rPr>
              <w:t>DRA Permit</w:t>
            </w:r>
          </w:p>
          <w:p>
            <w:pPr>
              <w:spacing w:before="60"/>
              <w:ind w:left="256" w:hanging="256"/>
              <w:rPr>
                <w:sz w:val="17"/>
                <w:szCs w:val="17"/>
              </w:rPr>
            </w:pPr>
            <w:r>
              <w:rPr>
                <w:sz w:val="17"/>
                <w:szCs w:val="17"/>
              </w:rPr>
              <w:t>Water Catchment</w:t>
            </w:r>
            <w:r>
              <w:rPr>
                <w:sz w:val="17"/>
                <w:szCs w:val="17"/>
              </w:rPr>
              <w:br/>
              <w:t>Catchment Area</w:t>
            </w:r>
          </w:p>
          <w:p>
            <w:pPr>
              <w:spacing w:before="60"/>
              <w:rPr>
                <w:sz w:val="17"/>
                <w:szCs w:val="17"/>
              </w:rPr>
            </w:pPr>
            <w:r>
              <w:rPr>
                <w:sz w:val="17"/>
                <w:szCs w:val="17"/>
              </w:rPr>
              <w:t>Pastoral Lease</w:t>
            </w:r>
          </w:p>
          <w:p>
            <w:pPr>
              <w:spacing w:before="60"/>
              <w:rPr>
                <w:sz w:val="17"/>
                <w:szCs w:val="17"/>
              </w:rPr>
            </w:pPr>
            <w:r>
              <w:rPr>
                <w:sz w:val="17"/>
                <w:szCs w:val="17"/>
              </w:rPr>
              <w:t>Special Conditions</w:t>
            </w:r>
          </w:p>
          <w:p>
            <w:pPr>
              <w:spacing w:before="60"/>
              <w:rPr>
                <w:sz w:val="17"/>
                <w:szCs w:val="17"/>
              </w:rPr>
            </w:pPr>
            <w:r>
              <w:rPr>
                <w:sz w:val="17"/>
                <w:szCs w:val="17"/>
              </w:rPr>
              <w:t>Standard Apiary Site Conditions</w:t>
            </w:r>
          </w:p>
        </w:tc>
        <w:tc>
          <w:tcPr>
            <w:tcW w:w="1479" w:type="dxa"/>
            <w:gridSpan w:val="3"/>
            <w:vMerge w:val="restart"/>
            <w:tcBorders>
              <w:top w:val="single" w:sz="4" w:space="0" w:color="auto"/>
              <w:left w:val="nil"/>
            </w:tcBorders>
          </w:tcPr>
          <w:p>
            <w:pPr>
              <w:spacing w:before="60"/>
              <w:rPr>
                <w:sz w:val="17"/>
                <w:szCs w:val="17"/>
              </w:rPr>
            </w:pPr>
            <w:r>
              <w:rPr>
                <w:sz w:val="17"/>
                <w:szCs w:val="17"/>
              </w:rPr>
              <w:t>________________</w:t>
            </w:r>
          </w:p>
          <w:p>
            <w:pPr>
              <w:spacing w:before="60"/>
              <w:rPr>
                <w:sz w:val="17"/>
                <w:szCs w:val="17"/>
              </w:rPr>
            </w:pPr>
            <w:r>
              <w:rPr>
                <w:sz w:val="17"/>
                <w:szCs w:val="17"/>
              </w:rPr>
              <w:t>________________</w:t>
            </w:r>
          </w:p>
          <w:p>
            <w:pPr>
              <w:rPr>
                <w:sz w:val="17"/>
                <w:szCs w:val="17"/>
              </w:rPr>
            </w:pPr>
            <w:r>
              <w:rPr>
                <w:sz w:val="17"/>
                <w:szCs w:val="17"/>
              </w:rPr>
              <w:t>________________</w:t>
            </w:r>
          </w:p>
          <w:p>
            <w:pPr>
              <w:spacing w:before="60"/>
              <w:rPr>
                <w:sz w:val="17"/>
                <w:szCs w:val="17"/>
              </w:rPr>
            </w:pPr>
            <w:r>
              <w:rPr>
                <w:sz w:val="17"/>
                <w:szCs w:val="17"/>
              </w:rPr>
              <w:t>________________</w:t>
            </w:r>
          </w:p>
          <w:p>
            <w:pPr>
              <w:spacing w:before="60"/>
              <w:rPr>
                <w:sz w:val="17"/>
                <w:szCs w:val="17"/>
              </w:rPr>
            </w:pPr>
            <w:r>
              <w:rPr>
                <w:sz w:val="17"/>
                <w:szCs w:val="17"/>
              </w:rPr>
              <w:t>________________</w:t>
            </w:r>
          </w:p>
          <w:p>
            <w:pPr>
              <w:spacing w:before="60"/>
              <w:rPr>
                <w:sz w:val="17"/>
                <w:szCs w:val="17"/>
              </w:rPr>
            </w:pPr>
            <w:r>
              <w:rPr>
                <w:sz w:val="17"/>
                <w:szCs w:val="17"/>
              </w:rPr>
              <w:t>________________</w:t>
            </w:r>
          </w:p>
        </w:tc>
        <w:tc>
          <w:tcPr>
            <w:tcW w:w="142" w:type="dxa"/>
            <w:tcBorders>
              <w:top w:val="nil"/>
              <w:bottom w:val="nil"/>
            </w:tcBorders>
          </w:tcPr>
          <w:p>
            <w:pPr>
              <w:rPr>
                <w:sz w:val="17"/>
                <w:szCs w:val="17"/>
              </w:rPr>
            </w:pPr>
          </w:p>
        </w:tc>
        <w:tc>
          <w:tcPr>
            <w:tcW w:w="2834" w:type="dxa"/>
            <w:tcBorders>
              <w:top w:val="single" w:sz="4" w:space="0" w:color="auto"/>
              <w:bottom w:val="single" w:sz="4" w:space="0" w:color="auto"/>
            </w:tcBorders>
          </w:tcPr>
          <w:p>
            <w:pPr>
              <w:tabs>
                <w:tab w:val="left" w:pos="2240"/>
              </w:tabs>
              <w:spacing w:before="60"/>
              <w:rPr>
                <w:sz w:val="17"/>
                <w:szCs w:val="17"/>
              </w:rPr>
            </w:pPr>
            <w:r>
              <w:rPr>
                <w:sz w:val="17"/>
                <w:szCs w:val="17"/>
              </w:rPr>
              <w:t xml:space="preserve">Apiary Batch Number </w:t>
            </w:r>
            <w:r>
              <w:rPr>
                <w:sz w:val="17"/>
                <w:szCs w:val="17"/>
              </w:rPr>
              <w:tab/>
              <w:t>______</w:t>
            </w:r>
          </w:p>
          <w:p>
            <w:pPr>
              <w:tabs>
                <w:tab w:val="left" w:pos="2240"/>
              </w:tabs>
              <w:spacing w:before="60"/>
              <w:rPr>
                <w:sz w:val="17"/>
                <w:szCs w:val="17"/>
              </w:rPr>
            </w:pPr>
            <w:r>
              <w:rPr>
                <w:sz w:val="17"/>
                <w:szCs w:val="17"/>
              </w:rPr>
              <w:t>Conservation Commission</w:t>
            </w:r>
            <w:r>
              <w:rPr>
                <w:sz w:val="17"/>
                <w:szCs w:val="17"/>
              </w:rPr>
              <w:tab/>
              <w:t>______</w:t>
            </w:r>
          </w:p>
          <w:p>
            <w:pPr>
              <w:tabs>
                <w:tab w:val="left" w:pos="2240"/>
              </w:tabs>
              <w:spacing w:before="60" w:after="60"/>
              <w:rPr>
                <w:sz w:val="17"/>
                <w:szCs w:val="17"/>
              </w:rPr>
            </w:pPr>
            <w:r>
              <w:rPr>
                <w:sz w:val="17"/>
                <w:szCs w:val="17"/>
              </w:rPr>
              <w:t xml:space="preserve">Minister for the Environment </w:t>
            </w:r>
            <w:r>
              <w:rPr>
                <w:sz w:val="17"/>
                <w:szCs w:val="17"/>
              </w:rPr>
              <w:br/>
              <w:t>or his Delegate’s Approval</w:t>
            </w:r>
            <w:r>
              <w:rPr>
                <w:sz w:val="17"/>
                <w:szCs w:val="17"/>
              </w:rPr>
              <w:tab/>
              <w:t>______</w:t>
            </w:r>
          </w:p>
        </w:tc>
        <w:tc>
          <w:tcPr>
            <w:tcW w:w="76" w:type="dxa"/>
            <w:tcBorders>
              <w:top w:val="nil"/>
              <w:bottom w:val="nil"/>
            </w:tcBorders>
          </w:tcPr>
          <w:p>
            <w:pPr>
              <w:ind w:left="-170" w:right="-311"/>
              <w:rPr>
                <w:sz w:val="17"/>
                <w:szCs w:val="17"/>
              </w:rPr>
            </w:pPr>
          </w:p>
        </w:tc>
      </w:tr>
      <w:tr>
        <w:tc>
          <w:tcPr>
            <w:tcW w:w="76" w:type="dxa"/>
            <w:vMerge/>
            <w:tcBorders>
              <w:top w:val="nil"/>
              <w:bottom w:val="nil"/>
            </w:tcBorders>
          </w:tcPr>
          <w:p>
            <w:pPr>
              <w:rPr>
                <w:sz w:val="16"/>
                <w:szCs w:val="16"/>
              </w:rPr>
            </w:pPr>
          </w:p>
        </w:tc>
        <w:tc>
          <w:tcPr>
            <w:tcW w:w="2440" w:type="dxa"/>
            <w:vMerge/>
            <w:tcBorders>
              <w:right w:val="nil"/>
            </w:tcBorders>
          </w:tcPr>
          <w:p>
            <w:pPr>
              <w:rPr>
                <w:sz w:val="17"/>
                <w:szCs w:val="17"/>
              </w:rPr>
            </w:pPr>
          </w:p>
        </w:tc>
        <w:tc>
          <w:tcPr>
            <w:tcW w:w="1479" w:type="dxa"/>
            <w:gridSpan w:val="3"/>
            <w:vMerge/>
            <w:tcBorders>
              <w:left w:val="nil"/>
            </w:tcBorders>
          </w:tcPr>
          <w:p>
            <w:pPr>
              <w:rPr>
                <w:sz w:val="17"/>
                <w:szCs w:val="17"/>
              </w:rPr>
            </w:pPr>
          </w:p>
        </w:tc>
        <w:tc>
          <w:tcPr>
            <w:tcW w:w="142" w:type="dxa"/>
            <w:tcBorders>
              <w:top w:val="nil"/>
              <w:bottom w:val="nil"/>
              <w:right w:val="nil"/>
            </w:tcBorders>
          </w:tcPr>
          <w:p>
            <w:pPr>
              <w:rPr>
                <w:sz w:val="17"/>
                <w:szCs w:val="17"/>
              </w:rPr>
            </w:pPr>
          </w:p>
        </w:tc>
        <w:tc>
          <w:tcPr>
            <w:tcW w:w="2834" w:type="dxa"/>
            <w:tcBorders>
              <w:left w:val="nil"/>
              <w:right w:val="nil"/>
            </w:tcBorders>
          </w:tcPr>
          <w:p>
            <w:pPr>
              <w:rPr>
                <w:sz w:val="17"/>
                <w:szCs w:val="17"/>
              </w:rPr>
            </w:pPr>
            <w:r>
              <w:rPr>
                <w:sz w:val="17"/>
                <w:szCs w:val="17"/>
              </w:rPr>
              <w:t>Rental</w:t>
            </w:r>
          </w:p>
        </w:tc>
        <w:tc>
          <w:tcPr>
            <w:tcW w:w="76" w:type="dxa"/>
            <w:tcBorders>
              <w:top w:val="nil"/>
              <w:left w:val="nil"/>
              <w:bottom w:val="nil"/>
            </w:tcBorders>
          </w:tcPr>
          <w:p>
            <w:pPr>
              <w:ind w:left="-170" w:right="-311"/>
              <w:rPr>
                <w:sz w:val="17"/>
                <w:szCs w:val="17"/>
              </w:rPr>
            </w:pPr>
          </w:p>
        </w:tc>
      </w:tr>
      <w:tr>
        <w:tc>
          <w:tcPr>
            <w:tcW w:w="76" w:type="dxa"/>
            <w:vMerge/>
            <w:tcBorders>
              <w:top w:val="nil"/>
              <w:bottom w:val="nil"/>
            </w:tcBorders>
          </w:tcPr>
          <w:p>
            <w:pPr>
              <w:rPr>
                <w:sz w:val="16"/>
                <w:szCs w:val="16"/>
              </w:rPr>
            </w:pPr>
          </w:p>
        </w:tc>
        <w:tc>
          <w:tcPr>
            <w:tcW w:w="2440" w:type="dxa"/>
            <w:vMerge/>
            <w:tcBorders>
              <w:bottom w:val="single" w:sz="4" w:space="0" w:color="auto"/>
              <w:right w:val="nil"/>
            </w:tcBorders>
          </w:tcPr>
          <w:p>
            <w:pPr>
              <w:rPr>
                <w:sz w:val="17"/>
                <w:szCs w:val="17"/>
              </w:rPr>
            </w:pPr>
          </w:p>
        </w:tc>
        <w:tc>
          <w:tcPr>
            <w:tcW w:w="1479" w:type="dxa"/>
            <w:gridSpan w:val="3"/>
            <w:vMerge/>
            <w:tcBorders>
              <w:left w:val="nil"/>
              <w:bottom w:val="single" w:sz="4" w:space="0" w:color="auto"/>
            </w:tcBorders>
          </w:tcPr>
          <w:p>
            <w:pPr>
              <w:rPr>
                <w:sz w:val="17"/>
                <w:szCs w:val="17"/>
              </w:rPr>
            </w:pPr>
          </w:p>
        </w:tc>
        <w:tc>
          <w:tcPr>
            <w:tcW w:w="142" w:type="dxa"/>
            <w:tcBorders>
              <w:top w:val="nil"/>
              <w:bottom w:val="nil"/>
            </w:tcBorders>
          </w:tcPr>
          <w:p>
            <w:pPr>
              <w:rPr>
                <w:sz w:val="17"/>
                <w:szCs w:val="17"/>
              </w:rPr>
            </w:pPr>
          </w:p>
        </w:tc>
        <w:tc>
          <w:tcPr>
            <w:tcW w:w="2834" w:type="dxa"/>
            <w:tcBorders>
              <w:bottom w:val="single" w:sz="4" w:space="0" w:color="auto"/>
            </w:tcBorders>
          </w:tcPr>
          <w:p>
            <w:pPr>
              <w:tabs>
                <w:tab w:val="left" w:pos="2240"/>
              </w:tabs>
              <w:spacing w:before="40"/>
              <w:rPr>
                <w:sz w:val="17"/>
                <w:szCs w:val="17"/>
              </w:rPr>
            </w:pPr>
            <w:r>
              <w:rPr>
                <w:sz w:val="12"/>
                <w:szCs w:val="12"/>
              </w:rPr>
              <w:t xml:space="preserve">per annum, subject to review </w:t>
            </w:r>
            <w:r>
              <w:rPr>
                <w:sz w:val="17"/>
                <w:szCs w:val="17"/>
              </w:rPr>
              <w:tab/>
              <w:t>______</w:t>
            </w:r>
          </w:p>
          <w:p>
            <w:pPr>
              <w:rPr>
                <w:sz w:val="12"/>
                <w:szCs w:val="12"/>
              </w:rPr>
            </w:pPr>
            <w:r>
              <w:rPr>
                <w:sz w:val="12"/>
                <w:szCs w:val="12"/>
              </w:rPr>
              <w:t>from time to time</w:t>
            </w:r>
          </w:p>
        </w:tc>
        <w:tc>
          <w:tcPr>
            <w:tcW w:w="76" w:type="dxa"/>
            <w:tcBorders>
              <w:top w:val="nil"/>
              <w:bottom w:val="nil"/>
            </w:tcBorders>
          </w:tcPr>
          <w:p>
            <w:pPr>
              <w:ind w:left="-170" w:right="-311"/>
              <w:rPr>
                <w:sz w:val="17"/>
                <w:szCs w:val="17"/>
              </w:rPr>
            </w:pPr>
          </w:p>
        </w:tc>
      </w:tr>
      <w:tr>
        <w:tc>
          <w:tcPr>
            <w:tcW w:w="76" w:type="dxa"/>
            <w:tcBorders>
              <w:top w:val="nil"/>
              <w:bottom w:val="nil"/>
              <w:right w:val="nil"/>
            </w:tcBorders>
          </w:tcPr>
          <w:p>
            <w:pPr>
              <w:rPr>
                <w:sz w:val="12"/>
                <w:szCs w:val="12"/>
              </w:rPr>
            </w:pPr>
          </w:p>
        </w:tc>
        <w:tc>
          <w:tcPr>
            <w:tcW w:w="2440" w:type="dxa"/>
            <w:tcBorders>
              <w:left w:val="nil"/>
              <w:right w:val="nil"/>
            </w:tcBorders>
          </w:tcPr>
          <w:p>
            <w:pPr>
              <w:rPr>
                <w:sz w:val="12"/>
                <w:szCs w:val="12"/>
              </w:rPr>
            </w:pPr>
          </w:p>
        </w:tc>
        <w:tc>
          <w:tcPr>
            <w:tcW w:w="1479" w:type="dxa"/>
            <w:gridSpan w:val="3"/>
            <w:tcBorders>
              <w:left w:val="nil"/>
              <w:right w:val="nil"/>
            </w:tcBorders>
          </w:tcPr>
          <w:p>
            <w:pPr>
              <w:rPr>
                <w:sz w:val="12"/>
                <w:szCs w:val="12"/>
              </w:rPr>
            </w:pPr>
          </w:p>
        </w:tc>
        <w:tc>
          <w:tcPr>
            <w:tcW w:w="142" w:type="dxa"/>
            <w:tcBorders>
              <w:top w:val="nil"/>
              <w:left w:val="nil"/>
              <w:right w:val="nil"/>
            </w:tcBorders>
          </w:tcPr>
          <w:p>
            <w:pPr>
              <w:rPr>
                <w:sz w:val="12"/>
                <w:szCs w:val="12"/>
              </w:rPr>
            </w:pPr>
          </w:p>
        </w:tc>
        <w:tc>
          <w:tcPr>
            <w:tcW w:w="2834" w:type="dxa"/>
            <w:tcBorders>
              <w:left w:val="nil"/>
              <w:right w:val="nil"/>
            </w:tcBorders>
          </w:tcPr>
          <w:p>
            <w:pPr>
              <w:tabs>
                <w:tab w:val="left" w:pos="2240"/>
              </w:tabs>
              <w:rPr>
                <w:sz w:val="12"/>
                <w:szCs w:val="12"/>
              </w:rPr>
            </w:pPr>
          </w:p>
        </w:tc>
        <w:tc>
          <w:tcPr>
            <w:tcW w:w="76" w:type="dxa"/>
            <w:tcBorders>
              <w:top w:val="nil"/>
              <w:left w:val="nil"/>
              <w:bottom w:val="nil"/>
            </w:tcBorders>
          </w:tcPr>
          <w:p>
            <w:pPr>
              <w:ind w:left="-170" w:right="-311"/>
              <w:rPr>
                <w:sz w:val="12"/>
                <w:szCs w:val="12"/>
              </w:rPr>
            </w:pPr>
          </w:p>
        </w:tc>
      </w:tr>
      <w:tr>
        <w:tc>
          <w:tcPr>
            <w:tcW w:w="76" w:type="dxa"/>
            <w:tcBorders>
              <w:top w:val="nil"/>
              <w:bottom w:val="nil"/>
            </w:tcBorders>
          </w:tcPr>
          <w:p>
            <w:pPr>
              <w:rPr>
                <w:sz w:val="17"/>
                <w:szCs w:val="17"/>
              </w:rPr>
            </w:pPr>
          </w:p>
        </w:tc>
        <w:tc>
          <w:tcPr>
            <w:tcW w:w="6895" w:type="dxa"/>
            <w:gridSpan w:val="6"/>
          </w:tcPr>
          <w:p>
            <w:pPr>
              <w:rPr>
                <w:sz w:val="17"/>
                <w:szCs w:val="17"/>
              </w:rPr>
            </w:pPr>
            <w:r>
              <w:rPr>
                <w:sz w:val="17"/>
                <w:szCs w:val="17"/>
              </w:rPr>
              <w:t>Special Conditions</w:t>
            </w:r>
          </w:p>
          <w:p>
            <w:pPr>
              <w:spacing w:before="180"/>
              <w:rPr>
                <w:sz w:val="17"/>
                <w:szCs w:val="17"/>
              </w:rPr>
            </w:pPr>
          </w:p>
          <w:p>
            <w:pPr>
              <w:rPr>
                <w:sz w:val="17"/>
                <w:szCs w:val="17"/>
              </w:rPr>
            </w:pPr>
          </w:p>
          <w:p>
            <w:pPr>
              <w:rPr>
                <w:sz w:val="17"/>
                <w:szCs w:val="17"/>
              </w:rPr>
            </w:pPr>
          </w:p>
        </w:tc>
        <w:tc>
          <w:tcPr>
            <w:tcW w:w="76" w:type="dxa"/>
            <w:tcBorders>
              <w:top w:val="nil"/>
              <w:bottom w:val="nil"/>
            </w:tcBorders>
          </w:tcPr>
          <w:p>
            <w:pPr>
              <w:ind w:left="-170" w:right="-311"/>
              <w:rPr>
                <w:sz w:val="17"/>
                <w:szCs w:val="17"/>
              </w:rPr>
            </w:pPr>
          </w:p>
        </w:tc>
      </w:tr>
      <w:tr>
        <w:tc>
          <w:tcPr>
            <w:tcW w:w="76" w:type="dxa"/>
            <w:tcBorders>
              <w:top w:val="nil"/>
              <w:bottom w:val="nil"/>
              <w:right w:val="nil"/>
            </w:tcBorders>
          </w:tcPr>
          <w:p>
            <w:pPr>
              <w:rPr>
                <w:sz w:val="17"/>
                <w:szCs w:val="17"/>
              </w:rPr>
            </w:pPr>
          </w:p>
        </w:tc>
        <w:tc>
          <w:tcPr>
            <w:tcW w:w="6895" w:type="dxa"/>
            <w:gridSpan w:val="6"/>
            <w:tcBorders>
              <w:left w:val="nil"/>
              <w:bottom w:val="single" w:sz="4" w:space="0" w:color="auto"/>
              <w:right w:val="nil"/>
            </w:tcBorders>
          </w:tcPr>
          <w:p>
            <w:pPr>
              <w:rPr>
                <w:sz w:val="17"/>
                <w:szCs w:val="17"/>
              </w:rPr>
            </w:pPr>
            <w:r>
              <w:rPr>
                <w:sz w:val="17"/>
                <w:szCs w:val="17"/>
              </w:rPr>
              <w:t>Period during which site may be occupied</w:t>
            </w:r>
          </w:p>
        </w:tc>
        <w:tc>
          <w:tcPr>
            <w:tcW w:w="76" w:type="dxa"/>
            <w:tcBorders>
              <w:top w:val="nil"/>
              <w:left w:val="nil"/>
              <w:bottom w:val="nil"/>
            </w:tcBorders>
          </w:tcPr>
          <w:p>
            <w:pPr>
              <w:ind w:left="-170" w:right="-311"/>
              <w:rPr>
                <w:sz w:val="17"/>
                <w:szCs w:val="17"/>
              </w:rPr>
            </w:pPr>
          </w:p>
        </w:tc>
      </w:tr>
      <w:tr>
        <w:tc>
          <w:tcPr>
            <w:tcW w:w="76" w:type="dxa"/>
            <w:tcBorders>
              <w:top w:val="nil"/>
              <w:bottom w:val="nil"/>
            </w:tcBorders>
          </w:tcPr>
          <w:p>
            <w:pPr>
              <w:rPr>
                <w:sz w:val="17"/>
                <w:szCs w:val="17"/>
              </w:rPr>
            </w:pPr>
          </w:p>
        </w:tc>
        <w:tc>
          <w:tcPr>
            <w:tcW w:w="3494" w:type="dxa"/>
            <w:gridSpan w:val="3"/>
            <w:tcBorders>
              <w:bottom w:val="single" w:sz="4" w:space="0" w:color="auto"/>
              <w:right w:val="nil"/>
            </w:tcBorders>
          </w:tcPr>
          <w:p>
            <w:pPr>
              <w:rPr>
                <w:sz w:val="17"/>
                <w:szCs w:val="17"/>
              </w:rPr>
            </w:pPr>
            <w:r>
              <w:rPr>
                <w:sz w:val="17"/>
                <w:szCs w:val="17"/>
              </w:rPr>
              <w:t>First day of Period: _______________________</w:t>
            </w:r>
          </w:p>
        </w:tc>
        <w:tc>
          <w:tcPr>
            <w:tcW w:w="3401" w:type="dxa"/>
            <w:gridSpan w:val="3"/>
            <w:tcBorders>
              <w:left w:val="nil"/>
              <w:bottom w:val="single" w:sz="4" w:space="0" w:color="auto"/>
            </w:tcBorders>
          </w:tcPr>
          <w:p>
            <w:pPr>
              <w:spacing w:after="40"/>
              <w:rPr>
                <w:sz w:val="17"/>
                <w:szCs w:val="17"/>
              </w:rPr>
            </w:pPr>
            <w:r>
              <w:rPr>
                <w:sz w:val="17"/>
                <w:szCs w:val="17"/>
              </w:rPr>
              <w:t>Last day of Period: _______________________</w:t>
            </w:r>
          </w:p>
        </w:tc>
        <w:tc>
          <w:tcPr>
            <w:tcW w:w="76" w:type="dxa"/>
            <w:tcBorders>
              <w:top w:val="nil"/>
              <w:bottom w:val="nil"/>
            </w:tcBorders>
          </w:tcPr>
          <w:p>
            <w:pPr>
              <w:ind w:left="-170" w:right="-311"/>
              <w:rPr>
                <w:sz w:val="17"/>
                <w:szCs w:val="17"/>
              </w:rPr>
            </w:pPr>
          </w:p>
        </w:tc>
      </w:tr>
      <w:tr>
        <w:tc>
          <w:tcPr>
            <w:tcW w:w="76" w:type="dxa"/>
            <w:tcBorders>
              <w:top w:val="nil"/>
              <w:bottom w:val="single" w:sz="4" w:space="0" w:color="auto"/>
              <w:right w:val="nil"/>
            </w:tcBorders>
          </w:tcPr>
          <w:p>
            <w:pPr>
              <w:rPr>
                <w:sz w:val="12"/>
                <w:szCs w:val="12"/>
              </w:rPr>
            </w:pPr>
          </w:p>
        </w:tc>
        <w:tc>
          <w:tcPr>
            <w:tcW w:w="2530" w:type="dxa"/>
            <w:gridSpan w:val="2"/>
            <w:tcBorders>
              <w:top w:val="single" w:sz="4" w:space="0" w:color="auto"/>
              <w:left w:val="nil"/>
              <w:bottom w:val="single" w:sz="4" w:space="0" w:color="auto"/>
              <w:right w:val="nil"/>
            </w:tcBorders>
          </w:tcPr>
          <w:p>
            <w:pPr>
              <w:rPr>
                <w:sz w:val="12"/>
                <w:szCs w:val="12"/>
              </w:rPr>
            </w:pPr>
          </w:p>
        </w:tc>
        <w:tc>
          <w:tcPr>
            <w:tcW w:w="964" w:type="dxa"/>
            <w:tcBorders>
              <w:top w:val="single" w:sz="4" w:space="0" w:color="auto"/>
              <w:left w:val="nil"/>
              <w:bottom w:val="single" w:sz="4" w:space="0" w:color="auto"/>
              <w:right w:val="nil"/>
            </w:tcBorders>
          </w:tcPr>
          <w:p>
            <w:pPr>
              <w:rPr>
                <w:sz w:val="12"/>
                <w:szCs w:val="12"/>
              </w:rPr>
            </w:pPr>
          </w:p>
        </w:tc>
        <w:tc>
          <w:tcPr>
            <w:tcW w:w="3401" w:type="dxa"/>
            <w:gridSpan w:val="3"/>
            <w:tcBorders>
              <w:top w:val="nil"/>
              <w:left w:val="nil"/>
              <w:bottom w:val="single" w:sz="4" w:space="0" w:color="auto"/>
              <w:right w:val="nil"/>
            </w:tcBorders>
          </w:tcPr>
          <w:p>
            <w:pPr>
              <w:rPr>
                <w:sz w:val="12"/>
                <w:szCs w:val="12"/>
              </w:rPr>
            </w:pPr>
          </w:p>
        </w:tc>
        <w:tc>
          <w:tcPr>
            <w:tcW w:w="76" w:type="dxa"/>
            <w:tcBorders>
              <w:top w:val="nil"/>
              <w:left w:val="nil"/>
              <w:bottom w:val="single" w:sz="4" w:space="0" w:color="auto"/>
            </w:tcBorders>
          </w:tcPr>
          <w:p>
            <w:pPr>
              <w:ind w:left="-170" w:right="-311"/>
              <w:rPr>
                <w:sz w:val="12"/>
                <w:szCs w:val="12"/>
              </w:rPr>
            </w:pPr>
          </w:p>
        </w:tc>
      </w:tr>
      <w:tr>
        <w:tc>
          <w:tcPr>
            <w:tcW w:w="7047" w:type="dxa"/>
            <w:gridSpan w:val="8"/>
            <w:tcBorders>
              <w:left w:val="nil"/>
              <w:bottom w:val="nil"/>
              <w:right w:val="nil"/>
            </w:tcBorders>
          </w:tcPr>
          <w:p>
            <w:pPr>
              <w:rPr>
                <w:sz w:val="12"/>
                <w:szCs w:val="12"/>
              </w:rPr>
            </w:pPr>
            <w:r>
              <w:rPr>
                <w:sz w:val="12"/>
                <w:szCs w:val="12"/>
              </w:rPr>
              <w:t>This permit is not valid without the signature of the Director General or his delegate.</w:t>
            </w:r>
          </w:p>
          <w:p>
            <w:pPr>
              <w:rPr>
                <w:sz w:val="17"/>
                <w:szCs w:val="17"/>
              </w:rPr>
            </w:pPr>
          </w:p>
          <w:p>
            <w:pPr>
              <w:tabs>
                <w:tab w:val="left" w:pos="5103"/>
              </w:tabs>
              <w:rPr>
                <w:sz w:val="17"/>
                <w:szCs w:val="17"/>
              </w:rPr>
            </w:pPr>
            <w:r>
              <w:rPr>
                <w:sz w:val="17"/>
                <w:szCs w:val="17"/>
              </w:rPr>
              <w:t>____________________________________________________</w:t>
            </w:r>
            <w:r>
              <w:rPr>
                <w:sz w:val="17"/>
                <w:szCs w:val="17"/>
              </w:rPr>
              <w:tab/>
              <w:t>______________________</w:t>
            </w:r>
          </w:p>
          <w:p>
            <w:pPr>
              <w:tabs>
                <w:tab w:val="left" w:pos="4820"/>
                <w:tab w:val="left" w:pos="5954"/>
              </w:tabs>
              <w:rPr>
                <w:sz w:val="17"/>
                <w:szCs w:val="17"/>
              </w:rPr>
            </w:pPr>
            <w:r>
              <w:rPr>
                <w:sz w:val="17"/>
                <w:szCs w:val="17"/>
              </w:rPr>
              <w:t>DIRECTOR GENERAL</w:t>
            </w:r>
            <w:r>
              <w:rPr>
                <w:sz w:val="17"/>
                <w:szCs w:val="17"/>
              </w:rPr>
              <w:tab/>
            </w:r>
            <w:r>
              <w:rPr>
                <w:sz w:val="17"/>
                <w:szCs w:val="17"/>
              </w:rPr>
              <w:tab/>
              <w:t>Date</w:t>
            </w:r>
          </w:p>
          <w:p>
            <w:pPr>
              <w:rPr>
                <w:sz w:val="17"/>
                <w:szCs w:val="17"/>
                <w:vertAlign w:val="superscript"/>
              </w:rPr>
            </w:pPr>
            <w:r>
              <w:rPr>
                <w:sz w:val="17"/>
                <w:szCs w:val="17"/>
              </w:rPr>
              <w:t>DEPARTMENT OF ENVIRONMENT AND CONSERVATION</w:t>
            </w:r>
            <w:r>
              <w:rPr>
                <w:sz w:val="17"/>
                <w:szCs w:val="17"/>
                <w:vertAlign w:val="superscript"/>
              </w:rPr>
              <w:t> 5</w:t>
            </w:r>
          </w:p>
        </w:tc>
      </w:tr>
    </w:tbl>
    <w:p>
      <w:pPr>
        <w:pStyle w:val="yFootnotesection"/>
        <w:spacing w:before="60"/>
      </w:pPr>
      <w:r>
        <w:tab/>
        <w:t>[Form 3 inserted in Gazette 3 Sep 2010 p. 4284.]</w:t>
      </w:r>
    </w:p>
    <w:p>
      <w:pPr>
        <w:pStyle w:val="CentredBaseLine"/>
        <w:spacing w:before="60"/>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tabs>
          <w:tab w:val="decimal" w:pos="766"/>
        </w:tabs>
        <w:sectPr>
          <w:headerReference w:type="even" r:id="rId31"/>
          <w:headerReference w:type="default" r:id="rId32"/>
          <w:pgSz w:w="11907" w:h="16840" w:code="9"/>
          <w:pgMar w:top="2376" w:right="2405" w:bottom="3542" w:left="2405" w:header="706" w:footer="3380" w:gutter="0"/>
          <w:cols w:space="720"/>
          <w:noEndnote/>
          <w:docGrid w:linePitch="326"/>
        </w:sectPr>
      </w:pPr>
    </w:p>
    <w:p>
      <w:pPr>
        <w:pStyle w:val="nHeading2"/>
        <w:outlineLvl w:val="0"/>
      </w:pPr>
      <w:bookmarkStart w:id="491" w:name="_Toc408498957"/>
      <w:bookmarkStart w:id="492" w:name="_Toc414889379"/>
      <w:bookmarkStart w:id="493" w:name="_Toc414975351"/>
      <w:bookmarkStart w:id="494" w:name="_Toc417563833"/>
      <w:r>
        <w:t>Notes</w:t>
      </w:r>
      <w:bookmarkEnd w:id="491"/>
      <w:bookmarkEnd w:id="492"/>
      <w:bookmarkEnd w:id="493"/>
      <w:bookmarkEnd w:id="494"/>
    </w:p>
    <w:p>
      <w:pPr>
        <w:pStyle w:val="nSubsection"/>
        <w:rPr>
          <w:snapToGrid w:val="0"/>
        </w:rPr>
      </w:pPr>
      <w:r>
        <w:rPr>
          <w:snapToGrid w:val="0"/>
          <w:vertAlign w:val="superscript"/>
        </w:rPr>
        <w:t>1</w:t>
      </w:r>
      <w:r>
        <w:rPr>
          <w:snapToGrid w:val="0"/>
        </w:rPr>
        <w:tab/>
        <w:t xml:space="preserve">This is a compilation of the </w:t>
      </w:r>
      <w:r>
        <w:rPr>
          <w:i/>
          <w:noProof/>
          <w:snapToGrid w:val="0"/>
        </w:rPr>
        <w:t>Conservation and Land Management Regulations 2002</w:t>
      </w:r>
      <w:r>
        <w:rPr>
          <w:snapToGrid w:val="0"/>
        </w:rPr>
        <w:t xml:space="preserve"> and includes the amendments made by the other written laws referred to in the following table.  The table also contains information about any reprint.</w:t>
      </w:r>
    </w:p>
    <w:p>
      <w:pPr>
        <w:pStyle w:val="nHeading3"/>
      </w:pPr>
      <w:bookmarkStart w:id="495" w:name="_Toc408498958"/>
      <w:bookmarkStart w:id="496" w:name="_Toc417563834"/>
      <w:r>
        <w:t>Compilation table</w:t>
      </w:r>
      <w:bookmarkEnd w:id="495"/>
      <w:bookmarkEnd w:id="496"/>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9" w:type="dxa"/>
            <w:tcBorders>
              <w:top w:val="single" w:sz="8" w:space="0" w:color="auto"/>
            </w:tcBorders>
          </w:tcPr>
          <w:p>
            <w:pPr>
              <w:pStyle w:val="nTable"/>
              <w:spacing w:after="40"/>
            </w:pPr>
            <w:r>
              <w:rPr>
                <w:i/>
              </w:rPr>
              <w:t>Conservation and Land Management Regulations 2002</w:t>
            </w:r>
          </w:p>
        </w:tc>
        <w:tc>
          <w:tcPr>
            <w:tcW w:w="1276" w:type="dxa"/>
            <w:tcBorders>
              <w:top w:val="single" w:sz="8" w:space="0" w:color="auto"/>
            </w:tcBorders>
          </w:tcPr>
          <w:p>
            <w:pPr>
              <w:pStyle w:val="nTable"/>
              <w:spacing w:after="40"/>
            </w:pPr>
            <w:r>
              <w:t>3 May 2002 p. 2233</w:t>
            </w:r>
            <w:r>
              <w:noBreakHyphen/>
              <w:t>308</w:t>
            </w:r>
          </w:p>
        </w:tc>
        <w:tc>
          <w:tcPr>
            <w:tcW w:w="2693" w:type="dxa"/>
            <w:tcBorders>
              <w:top w:val="single" w:sz="8" w:space="0" w:color="auto"/>
            </w:tcBorders>
          </w:tcPr>
          <w:p>
            <w:pPr>
              <w:pStyle w:val="nTable"/>
              <w:spacing w:after="40"/>
            </w:pPr>
            <w:r>
              <w:t>3 May 2002</w:t>
            </w:r>
          </w:p>
        </w:tc>
      </w:tr>
      <w:tr>
        <w:tc>
          <w:tcPr>
            <w:tcW w:w="3119" w:type="dxa"/>
          </w:tcPr>
          <w:p>
            <w:pPr>
              <w:pStyle w:val="nTable"/>
              <w:spacing w:after="40"/>
              <w:rPr>
                <w:i/>
              </w:rPr>
            </w:pPr>
            <w:r>
              <w:rPr>
                <w:i/>
              </w:rPr>
              <w:t>Conservation and Land Management Amendment Regulations 2002</w:t>
            </w:r>
          </w:p>
        </w:tc>
        <w:tc>
          <w:tcPr>
            <w:tcW w:w="1276" w:type="dxa"/>
          </w:tcPr>
          <w:p>
            <w:pPr>
              <w:pStyle w:val="nTable"/>
              <w:spacing w:after="40"/>
            </w:pPr>
            <w:r>
              <w:t>4 Oct 2002 p. 5065</w:t>
            </w:r>
            <w:r>
              <w:noBreakHyphen/>
              <w:t>6</w:t>
            </w:r>
          </w:p>
        </w:tc>
        <w:tc>
          <w:tcPr>
            <w:tcW w:w="2693" w:type="dxa"/>
          </w:tcPr>
          <w:p>
            <w:pPr>
              <w:pStyle w:val="nTable"/>
              <w:spacing w:after="40"/>
            </w:pPr>
            <w:r>
              <w:t>4 Oct 2002</w:t>
            </w:r>
          </w:p>
        </w:tc>
      </w:tr>
      <w:tr>
        <w:tc>
          <w:tcPr>
            <w:tcW w:w="3119" w:type="dxa"/>
          </w:tcPr>
          <w:p>
            <w:pPr>
              <w:pStyle w:val="nTable"/>
              <w:spacing w:after="40"/>
              <w:rPr>
                <w:i/>
              </w:rPr>
            </w:pPr>
            <w:r>
              <w:rPr>
                <w:i/>
              </w:rPr>
              <w:t>Conservation and Land Management Amendment Regulations 2004</w:t>
            </w:r>
          </w:p>
        </w:tc>
        <w:tc>
          <w:tcPr>
            <w:tcW w:w="1276" w:type="dxa"/>
          </w:tcPr>
          <w:p>
            <w:pPr>
              <w:pStyle w:val="nTable"/>
              <w:spacing w:after="40"/>
            </w:pPr>
            <w:r>
              <w:t>4 May 2004 p. 1383</w:t>
            </w:r>
          </w:p>
        </w:tc>
        <w:tc>
          <w:tcPr>
            <w:tcW w:w="2693" w:type="dxa"/>
          </w:tcPr>
          <w:p>
            <w:pPr>
              <w:pStyle w:val="nTable"/>
              <w:spacing w:after="40"/>
            </w:pPr>
            <w:r>
              <w:t>4 May 2004</w:t>
            </w:r>
          </w:p>
        </w:tc>
      </w:tr>
      <w:tr>
        <w:tc>
          <w:tcPr>
            <w:tcW w:w="3119" w:type="dxa"/>
          </w:tcPr>
          <w:p>
            <w:pPr>
              <w:pStyle w:val="nTable"/>
              <w:spacing w:after="40"/>
              <w:rPr>
                <w:i/>
              </w:rPr>
            </w:pPr>
            <w:r>
              <w:rPr>
                <w:i/>
              </w:rPr>
              <w:t>Conservation and Land Management Amendment Regulations (No. 2) 2004</w:t>
            </w:r>
          </w:p>
        </w:tc>
        <w:tc>
          <w:tcPr>
            <w:tcW w:w="1276" w:type="dxa"/>
          </w:tcPr>
          <w:p>
            <w:pPr>
              <w:pStyle w:val="nTable"/>
              <w:spacing w:after="40"/>
            </w:pPr>
            <w:r>
              <w:t>27 Jul 2004 p. 3077</w:t>
            </w:r>
            <w:r>
              <w:noBreakHyphen/>
              <w:t>8</w:t>
            </w:r>
          </w:p>
        </w:tc>
        <w:tc>
          <w:tcPr>
            <w:tcW w:w="2693" w:type="dxa"/>
          </w:tcPr>
          <w:p>
            <w:pPr>
              <w:pStyle w:val="nTable"/>
              <w:spacing w:after="40"/>
            </w:pPr>
            <w:r>
              <w:t>27 Jul 2004</w:t>
            </w:r>
          </w:p>
        </w:tc>
      </w:tr>
      <w:tr>
        <w:tc>
          <w:tcPr>
            <w:tcW w:w="3119" w:type="dxa"/>
          </w:tcPr>
          <w:p>
            <w:pPr>
              <w:pStyle w:val="nTable"/>
              <w:spacing w:after="40"/>
              <w:rPr>
                <w:i/>
              </w:rPr>
            </w:pPr>
            <w:r>
              <w:rPr>
                <w:i/>
              </w:rPr>
              <w:t>Conservation and Land Management Amendment Regulations 2006</w:t>
            </w:r>
          </w:p>
        </w:tc>
        <w:tc>
          <w:tcPr>
            <w:tcW w:w="1276" w:type="dxa"/>
          </w:tcPr>
          <w:p>
            <w:pPr>
              <w:pStyle w:val="nTable"/>
              <w:spacing w:after="40"/>
            </w:pPr>
            <w:r>
              <w:t>29 Sep 2006 p. 4297</w:t>
            </w:r>
            <w:r>
              <w:noBreakHyphen/>
              <w:t>334</w:t>
            </w:r>
          </w:p>
        </w:tc>
        <w:tc>
          <w:tcPr>
            <w:tcW w:w="2693" w:type="dxa"/>
          </w:tcPr>
          <w:p>
            <w:pPr>
              <w:pStyle w:val="nTable"/>
              <w:spacing w:after="40"/>
            </w:pPr>
            <w:r>
              <w:t>29 Sep 2006 (see r. 2)</w:t>
            </w:r>
          </w:p>
        </w:tc>
      </w:tr>
      <w:tr>
        <w:trPr>
          <w:cantSplit/>
        </w:trPr>
        <w:tc>
          <w:tcPr>
            <w:tcW w:w="7088" w:type="dxa"/>
            <w:gridSpan w:val="3"/>
          </w:tcPr>
          <w:p>
            <w:pPr>
              <w:pStyle w:val="nTable"/>
              <w:spacing w:after="40"/>
            </w:pPr>
            <w:r>
              <w:rPr>
                <w:b/>
                <w:bCs/>
              </w:rPr>
              <w:t xml:space="preserve">Reprint 1:  The </w:t>
            </w:r>
            <w:r>
              <w:rPr>
                <w:b/>
                <w:bCs/>
                <w:i/>
              </w:rPr>
              <w:t>Conservation and Land Management Regulations 2002</w:t>
            </w:r>
            <w:r>
              <w:rPr>
                <w:b/>
                <w:bCs/>
              </w:rPr>
              <w:t xml:space="preserve"> as at 3 Nov 2006</w:t>
            </w:r>
            <w:r>
              <w:t xml:space="preserve"> (includes amendments listed above)</w:t>
            </w:r>
          </w:p>
        </w:tc>
      </w:tr>
      <w:tr>
        <w:tc>
          <w:tcPr>
            <w:tcW w:w="3119" w:type="dxa"/>
          </w:tcPr>
          <w:p>
            <w:pPr>
              <w:pStyle w:val="nTable"/>
              <w:spacing w:after="40"/>
              <w:rPr>
                <w:i/>
              </w:rPr>
            </w:pPr>
            <w:r>
              <w:rPr>
                <w:i/>
              </w:rPr>
              <w:t>Conservation and Land Management Amendment Regulations 2007</w:t>
            </w:r>
          </w:p>
        </w:tc>
        <w:tc>
          <w:tcPr>
            <w:tcW w:w="1276" w:type="dxa"/>
          </w:tcPr>
          <w:p>
            <w:pPr>
              <w:pStyle w:val="nTable"/>
              <w:spacing w:after="40"/>
            </w:pPr>
            <w:r>
              <w:t>27 Feb 2007 p. 625</w:t>
            </w:r>
            <w:r>
              <w:noBreakHyphen/>
              <w:t>6</w:t>
            </w:r>
          </w:p>
        </w:tc>
        <w:tc>
          <w:tcPr>
            <w:tcW w:w="2693" w:type="dxa"/>
          </w:tcPr>
          <w:p>
            <w:pPr>
              <w:pStyle w:val="nTable"/>
              <w:spacing w:after="40"/>
            </w:pPr>
            <w:r>
              <w:t>27 Feb 2007</w:t>
            </w:r>
          </w:p>
        </w:tc>
      </w:tr>
      <w:tr>
        <w:tc>
          <w:tcPr>
            <w:tcW w:w="3119" w:type="dxa"/>
          </w:tcPr>
          <w:p>
            <w:pPr>
              <w:pStyle w:val="nTable"/>
              <w:spacing w:after="40"/>
              <w:rPr>
                <w:i/>
              </w:rPr>
            </w:pPr>
            <w:r>
              <w:rPr>
                <w:i/>
              </w:rPr>
              <w:t>Conservation and Land Management Amendment Regulations (No. 2) 2007</w:t>
            </w:r>
          </w:p>
        </w:tc>
        <w:tc>
          <w:tcPr>
            <w:tcW w:w="1276" w:type="dxa"/>
          </w:tcPr>
          <w:p>
            <w:pPr>
              <w:pStyle w:val="nTable"/>
              <w:spacing w:after="40"/>
            </w:pPr>
            <w:r>
              <w:t>29 Jan 2008 p. 241</w:t>
            </w:r>
            <w:r>
              <w:noBreakHyphen/>
              <w:t>2</w:t>
            </w:r>
          </w:p>
        </w:tc>
        <w:tc>
          <w:tcPr>
            <w:tcW w:w="2693" w:type="dxa"/>
          </w:tcPr>
          <w:p>
            <w:pPr>
              <w:pStyle w:val="nTable"/>
              <w:spacing w:after="40"/>
            </w:pPr>
            <w:r>
              <w:t>r. 1 and 2: 29 Jan 2008 (see r. 2(a));</w:t>
            </w:r>
            <w:r>
              <w:br/>
              <w:t>Regulations other than r. 1 and 2: 30 Jan 2008 (see r. 2(b))</w:t>
            </w:r>
          </w:p>
        </w:tc>
      </w:tr>
      <w:tr>
        <w:tc>
          <w:tcPr>
            <w:tcW w:w="3119" w:type="dxa"/>
          </w:tcPr>
          <w:p>
            <w:pPr>
              <w:pStyle w:val="nTable"/>
              <w:spacing w:after="40"/>
              <w:rPr>
                <w:i/>
              </w:rPr>
            </w:pPr>
            <w:r>
              <w:rPr>
                <w:i/>
              </w:rPr>
              <w:t xml:space="preserve">Financial Management (Transitional Provisions) Regulations 2009 </w:t>
            </w:r>
            <w:r>
              <w:rPr>
                <w:iCs/>
              </w:rPr>
              <w:t>r. 3</w:t>
            </w:r>
            <w:r>
              <w:rPr>
                <w:i/>
              </w:rPr>
              <w:t xml:space="preserve"> </w:t>
            </w:r>
            <w:r>
              <w:rPr>
                <w:iCs/>
                <w:vertAlign w:val="superscript"/>
              </w:rPr>
              <w:t>6</w:t>
            </w:r>
          </w:p>
        </w:tc>
        <w:tc>
          <w:tcPr>
            <w:tcW w:w="1276" w:type="dxa"/>
          </w:tcPr>
          <w:p>
            <w:pPr>
              <w:pStyle w:val="nTable"/>
              <w:spacing w:after="40"/>
            </w:pPr>
            <w:r>
              <w:t>27 Feb 2009 p. 529</w:t>
            </w:r>
            <w:r>
              <w:noBreakHyphen/>
              <w:t>30</w:t>
            </w:r>
          </w:p>
        </w:tc>
        <w:tc>
          <w:tcPr>
            <w:tcW w:w="2693" w:type="dxa"/>
          </w:tcPr>
          <w:p>
            <w:pPr>
              <w:pStyle w:val="nTable"/>
              <w:spacing w:after="40"/>
            </w:pPr>
            <w:r>
              <w:t xml:space="preserve"> 28 Feb 2009 (see r. 2(b))</w:t>
            </w:r>
          </w:p>
        </w:tc>
      </w:tr>
      <w:tr>
        <w:tc>
          <w:tcPr>
            <w:tcW w:w="3119" w:type="dxa"/>
          </w:tcPr>
          <w:p>
            <w:pPr>
              <w:pStyle w:val="nTable"/>
              <w:spacing w:after="40"/>
              <w:rPr>
                <w:i/>
              </w:rPr>
            </w:pPr>
            <w:r>
              <w:rPr>
                <w:i/>
              </w:rPr>
              <w:t>Conservation and Land Management Amendment Regulations 2009</w:t>
            </w:r>
          </w:p>
        </w:tc>
        <w:tc>
          <w:tcPr>
            <w:tcW w:w="1276" w:type="dxa"/>
          </w:tcPr>
          <w:p>
            <w:pPr>
              <w:pStyle w:val="nTable"/>
              <w:spacing w:after="40"/>
            </w:pPr>
            <w:r>
              <w:t>28 Aug 2009 p. 3354</w:t>
            </w:r>
            <w:r>
              <w:noBreakHyphen/>
              <w:t>7</w:t>
            </w:r>
          </w:p>
        </w:tc>
        <w:tc>
          <w:tcPr>
            <w:tcW w:w="2693" w:type="dxa"/>
          </w:tcPr>
          <w:p>
            <w:pPr>
              <w:pStyle w:val="nTable"/>
              <w:spacing w:after="40"/>
            </w:pPr>
            <w:r>
              <w:t>r. 1 and 2: 28 Aug 2009 (see r. 2(a));</w:t>
            </w:r>
            <w:r>
              <w:br/>
              <w:t>Regulations other than r. 1 and 2: 1 Sep 2009 (see r. 2(b))</w:t>
            </w:r>
          </w:p>
        </w:tc>
      </w:tr>
      <w:tr>
        <w:tc>
          <w:tcPr>
            <w:tcW w:w="3119" w:type="dxa"/>
          </w:tcPr>
          <w:p>
            <w:pPr>
              <w:pStyle w:val="nTable"/>
              <w:spacing w:after="40"/>
              <w:rPr>
                <w:i/>
              </w:rPr>
            </w:pPr>
            <w:r>
              <w:rPr>
                <w:i/>
              </w:rPr>
              <w:t>Conservation and Land Management Amendment Regulations (No. 2) 2010</w:t>
            </w:r>
          </w:p>
        </w:tc>
        <w:tc>
          <w:tcPr>
            <w:tcW w:w="1276" w:type="dxa"/>
          </w:tcPr>
          <w:p>
            <w:pPr>
              <w:pStyle w:val="nTable"/>
              <w:spacing w:after="40"/>
            </w:pPr>
            <w:r>
              <w:t>3 Sep 2010 p. 4278</w:t>
            </w:r>
            <w:r>
              <w:noBreakHyphen/>
              <w:t>84</w:t>
            </w:r>
          </w:p>
        </w:tc>
        <w:tc>
          <w:tcPr>
            <w:tcW w:w="2693" w:type="dxa"/>
          </w:tcPr>
          <w:p>
            <w:pPr>
              <w:pStyle w:val="nTable"/>
              <w:spacing w:after="40"/>
            </w:pPr>
            <w:r>
              <w:rPr>
                <w:snapToGrid w:val="0"/>
              </w:rPr>
              <w:t>r. 1 and 2: 3 Sep 2010 (see r. 2(a));</w:t>
            </w:r>
            <w:r>
              <w:rPr>
                <w:snapToGrid w:val="0"/>
              </w:rPr>
              <w:br/>
              <w:t xml:space="preserve">Regulations other than r. 1 and 2: 4 Sep 2010 (see r. 2(b) and </w:t>
            </w:r>
            <w:r>
              <w:rPr>
                <w:i/>
                <w:iCs/>
                <w:snapToGrid w:val="0"/>
              </w:rPr>
              <w:t>Gazette</w:t>
            </w:r>
            <w:r>
              <w:rPr>
                <w:snapToGrid w:val="0"/>
              </w:rPr>
              <w:t xml:space="preserve"> 3 Sep 2010 p. 4273)</w:t>
            </w:r>
          </w:p>
        </w:tc>
      </w:tr>
      <w:tr>
        <w:trPr>
          <w:cantSplit/>
        </w:trPr>
        <w:tc>
          <w:tcPr>
            <w:tcW w:w="7088" w:type="dxa"/>
            <w:gridSpan w:val="3"/>
          </w:tcPr>
          <w:p>
            <w:pPr>
              <w:pStyle w:val="nTable"/>
              <w:spacing w:after="40"/>
              <w:rPr>
                <w:snapToGrid w:val="0"/>
                <w:spacing w:val="-2"/>
              </w:rPr>
            </w:pPr>
            <w:r>
              <w:rPr>
                <w:b/>
                <w:bCs/>
              </w:rPr>
              <w:t xml:space="preserve">Reprint 2:  The </w:t>
            </w:r>
            <w:r>
              <w:rPr>
                <w:b/>
                <w:bCs/>
                <w:i/>
              </w:rPr>
              <w:t>Conservation and Land Management Regulations 2002</w:t>
            </w:r>
            <w:r>
              <w:rPr>
                <w:b/>
                <w:bCs/>
              </w:rPr>
              <w:t xml:space="preserve"> as at 5 Nov 2010</w:t>
            </w:r>
            <w:r>
              <w:t xml:space="preserve"> (includes amendments listed above)</w:t>
            </w:r>
          </w:p>
        </w:tc>
      </w:tr>
      <w:tr>
        <w:tc>
          <w:tcPr>
            <w:tcW w:w="3119" w:type="dxa"/>
          </w:tcPr>
          <w:p>
            <w:pPr>
              <w:pStyle w:val="nTable"/>
              <w:keepNext/>
              <w:spacing w:before="30" w:after="30"/>
              <w:rPr>
                <w:i/>
              </w:rPr>
            </w:pPr>
            <w:r>
              <w:rPr>
                <w:i/>
              </w:rPr>
              <w:t>Conservation and Land Management Amendment Regulations (No. 3) 2010</w:t>
            </w:r>
          </w:p>
        </w:tc>
        <w:tc>
          <w:tcPr>
            <w:tcW w:w="1276" w:type="dxa"/>
          </w:tcPr>
          <w:p>
            <w:pPr>
              <w:pStyle w:val="nTable"/>
              <w:keepNext/>
              <w:spacing w:before="30" w:after="30"/>
            </w:pPr>
            <w:r>
              <w:t>3 Dec 2010 p. 6045</w:t>
            </w:r>
            <w:r>
              <w:noBreakHyphen/>
              <w:t>54</w:t>
            </w:r>
          </w:p>
        </w:tc>
        <w:tc>
          <w:tcPr>
            <w:tcW w:w="2693" w:type="dxa"/>
          </w:tcPr>
          <w:p>
            <w:pPr>
              <w:pStyle w:val="nTable"/>
              <w:keepNext/>
              <w:spacing w:before="30" w:after="30"/>
            </w:pPr>
            <w:r>
              <w:rPr>
                <w:snapToGrid w:val="0"/>
              </w:rPr>
              <w:t>r. 1 and 2: 3 Dec 2010 (see r. 2(a));</w:t>
            </w:r>
            <w:r>
              <w:rPr>
                <w:snapToGrid w:val="0"/>
              </w:rPr>
              <w:br/>
              <w:t>Regulations other than r. 1 and 2: 4 Dec 2010 (see r. 2(b))</w:t>
            </w:r>
          </w:p>
        </w:tc>
      </w:tr>
      <w:tr>
        <w:tc>
          <w:tcPr>
            <w:tcW w:w="3119" w:type="dxa"/>
          </w:tcPr>
          <w:p>
            <w:pPr>
              <w:pStyle w:val="nTable"/>
              <w:spacing w:before="30" w:after="30"/>
              <w:rPr>
                <w:i/>
              </w:rPr>
            </w:pPr>
            <w:r>
              <w:rPr>
                <w:i/>
              </w:rPr>
              <w:t>Conservation and Land Management Amendment Regulations (No. 2) 2011</w:t>
            </w:r>
          </w:p>
        </w:tc>
        <w:tc>
          <w:tcPr>
            <w:tcW w:w="1276" w:type="dxa"/>
          </w:tcPr>
          <w:p>
            <w:pPr>
              <w:pStyle w:val="nTable"/>
              <w:spacing w:before="30" w:after="30"/>
            </w:pPr>
            <w:r>
              <w:t>30 Sep 2011 p. 3897-8</w:t>
            </w:r>
          </w:p>
        </w:tc>
        <w:tc>
          <w:tcPr>
            <w:tcW w:w="2693" w:type="dxa"/>
          </w:tcPr>
          <w:p>
            <w:pPr>
              <w:pStyle w:val="nTable"/>
              <w:spacing w:before="30" w:after="30"/>
              <w:rPr>
                <w:snapToGrid w:val="0"/>
              </w:rPr>
            </w:pPr>
            <w:r>
              <w:rPr>
                <w:snapToGrid w:val="0"/>
              </w:rPr>
              <w:t>r. 1 and 2: 30 Sep 2011 (see r. 2(a));</w:t>
            </w:r>
            <w:r>
              <w:rPr>
                <w:snapToGrid w:val="0"/>
              </w:rPr>
              <w:br/>
              <w:t>Regulations other than r. 1 and 2: 1 Oct 2011 (see r. 2(b))</w:t>
            </w:r>
          </w:p>
        </w:tc>
      </w:tr>
      <w:tr>
        <w:tc>
          <w:tcPr>
            <w:tcW w:w="3119" w:type="dxa"/>
          </w:tcPr>
          <w:p>
            <w:pPr>
              <w:pStyle w:val="nTable"/>
              <w:spacing w:before="30" w:after="30"/>
              <w:rPr>
                <w:i/>
              </w:rPr>
            </w:pPr>
            <w:r>
              <w:rPr>
                <w:i/>
              </w:rPr>
              <w:t>Conservation and Land Management Amendment Regulations 2012</w:t>
            </w:r>
          </w:p>
        </w:tc>
        <w:tc>
          <w:tcPr>
            <w:tcW w:w="1276" w:type="dxa"/>
          </w:tcPr>
          <w:p>
            <w:pPr>
              <w:pStyle w:val="nTable"/>
              <w:spacing w:before="30" w:after="30"/>
            </w:pPr>
            <w:r>
              <w:t>7 Dec 2012 p. 5964-74</w:t>
            </w:r>
          </w:p>
        </w:tc>
        <w:tc>
          <w:tcPr>
            <w:tcW w:w="2693" w:type="dxa"/>
          </w:tcPr>
          <w:p>
            <w:pPr>
              <w:pStyle w:val="nTable"/>
              <w:spacing w:before="30" w:after="30"/>
              <w:rPr>
                <w:snapToGrid w:val="0"/>
              </w:rPr>
            </w:pPr>
            <w:r>
              <w:rPr>
                <w:snapToGrid w:val="0"/>
              </w:rPr>
              <w:t>r. 1 and 2: 7 Dec 2012 (see r. 2(a));</w:t>
            </w:r>
            <w:r>
              <w:rPr>
                <w:snapToGrid w:val="0"/>
              </w:rPr>
              <w:br/>
              <w:t xml:space="preserve">Regulations other than r. 1 and 2: 8 Dec 2012 (see r. 2(b) and </w:t>
            </w:r>
            <w:r>
              <w:rPr>
                <w:i/>
                <w:snapToGrid w:val="0"/>
              </w:rPr>
              <w:t>Gazette</w:t>
            </w:r>
            <w:r>
              <w:rPr>
                <w:snapToGrid w:val="0"/>
              </w:rPr>
              <w:t xml:space="preserve"> 7 Dec 2012 p. 5963)</w:t>
            </w:r>
          </w:p>
        </w:tc>
      </w:tr>
      <w:tr>
        <w:tc>
          <w:tcPr>
            <w:tcW w:w="3119" w:type="dxa"/>
            <w:shd w:val="clear" w:color="auto" w:fill="auto"/>
          </w:tcPr>
          <w:p>
            <w:pPr>
              <w:pStyle w:val="nTable"/>
              <w:spacing w:before="30" w:after="30"/>
              <w:rPr>
                <w:i/>
              </w:rPr>
            </w:pPr>
            <w:r>
              <w:rPr>
                <w:i/>
              </w:rPr>
              <w:t>Conservation and Land Management Amendment Regulations 2013</w:t>
            </w:r>
          </w:p>
        </w:tc>
        <w:tc>
          <w:tcPr>
            <w:tcW w:w="1276" w:type="dxa"/>
            <w:shd w:val="clear" w:color="auto" w:fill="auto"/>
          </w:tcPr>
          <w:p>
            <w:pPr>
              <w:pStyle w:val="nTable"/>
              <w:spacing w:before="30" w:after="30"/>
            </w:pPr>
            <w:r>
              <w:t>5 Feb 2013 p. 833</w:t>
            </w:r>
            <w:r>
              <w:noBreakHyphen/>
              <w:t>4</w:t>
            </w:r>
          </w:p>
        </w:tc>
        <w:tc>
          <w:tcPr>
            <w:tcW w:w="2693" w:type="dxa"/>
            <w:shd w:val="clear" w:color="auto" w:fill="auto"/>
          </w:tcPr>
          <w:p>
            <w:pPr>
              <w:pStyle w:val="nTable"/>
              <w:spacing w:before="30" w:after="30"/>
              <w:rPr>
                <w:snapToGrid w:val="0"/>
              </w:rPr>
            </w:pPr>
            <w:r>
              <w:rPr>
                <w:snapToGrid w:val="0"/>
              </w:rPr>
              <w:t>r. 1 and 2: 5 Feb 2013 (see r. 2(a));</w:t>
            </w:r>
            <w:r>
              <w:rPr>
                <w:snapToGrid w:val="0"/>
              </w:rPr>
              <w:br/>
              <w:t xml:space="preserve">Regulations other than r. 1 and 2: </w:t>
            </w:r>
            <w:r>
              <w:t xml:space="preserve">1 May 2013 (see r. 2(b)(i) and </w:t>
            </w:r>
            <w:r>
              <w:rPr>
                <w:i/>
              </w:rPr>
              <w:t>Gazette</w:t>
            </w:r>
            <w:r>
              <w:t xml:space="preserve"> 5 Feb 2013 p. 823)</w:t>
            </w:r>
          </w:p>
        </w:tc>
      </w:tr>
      <w:tr>
        <w:tc>
          <w:tcPr>
            <w:tcW w:w="7088" w:type="dxa"/>
            <w:gridSpan w:val="3"/>
            <w:shd w:val="clear" w:color="auto" w:fill="auto"/>
          </w:tcPr>
          <w:p>
            <w:pPr>
              <w:pStyle w:val="nTable"/>
              <w:spacing w:before="30" w:after="30"/>
              <w:rPr>
                <w:snapToGrid w:val="0"/>
              </w:rPr>
            </w:pPr>
            <w:r>
              <w:rPr>
                <w:b/>
                <w:bCs/>
              </w:rPr>
              <w:t xml:space="preserve">Reprint 3:  The </w:t>
            </w:r>
            <w:r>
              <w:rPr>
                <w:b/>
                <w:bCs/>
                <w:i/>
              </w:rPr>
              <w:t>Conservation and Land Management Regulations 2002</w:t>
            </w:r>
            <w:r>
              <w:rPr>
                <w:b/>
                <w:bCs/>
              </w:rPr>
              <w:t xml:space="preserve"> as at 12 Jul 2013</w:t>
            </w:r>
            <w:r>
              <w:t xml:space="preserve"> (includes amendments listed above)</w:t>
            </w:r>
          </w:p>
        </w:tc>
      </w:tr>
      <w:tr>
        <w:tc>
          <w:tcPr>
            <w:tcW w:w="3119" w:type="dxa"/>
            <w:shd w:val="clear" w:color="auto" w:fill="auto"/>
          </w:tcPr>
          <w:p>
            <w:pPr>
              <w:pStyle w:val="nTable"/>
              <w:spacing w:before="30" w:after="30"/>
              <w:rPr>
                <w:i/>
              </w:rPr>
            </w:pPr>
            <w:r>
              <w:rPr>
                <w:i/>
              </w:rPr>
              <w:t>Conservation and Land Management Amendment Regulations (No. 3) 2013</w:t>
            </w:r>
          </w:p>
        </w:tc>
        <w:tc>
          <w:tcPr>
            <w:tcW w:w="1276" w:type="dxa"/>
            <w:shd w:val="clear" w:color="auto" w:fill="auto"/>
          </w:tcPr>
          <w:p>
            <w:pPr>
              <w:pStyle w:val="nTable"/>
              <w:spacing w:before="30" w:after="30"/>
            </w:pPr>
            <w:r>
              <w:t>27 Sep 2013 p. 4525-9</w:t>
            </w:r>
          </w:p>
        </w:tc>
        <w:tc>
          <w:tcPr>
            <w:tcW w:w="2693" w:type="dxa"/>
            <w:shd w:val="clear" w:color="auto" w:fill="auto"/>
          </w:tcPr>
          <w:p>
            <w:pPr>
              <w:pStyle w:val="nTable"/>
              <w:spacing w:before="30" w:after="30"/>
              <w:rPr>
                <w:snapToGrid w:val="0"/>
              </w:rPr>
            </w:pPr>
            <w:r>
              <w:rPr>
                <w:snapToGrid w:val="0"/>
              </w:rPr>
              <w:t>r. 1 and 2: 27 Sep 2013 (see r. 2(a));</w:t>
            </w:r>
            <w:r>
              <w:rPr>
                <w:snapToGrid w:val="0"/>
              </w:rPr>
              <w:br/>
              <w:t>Regulations other than r. 1 and 2: 1 Oct </w:t>
            </w:r>
            <w:r>
              <w:t>2013 (see r. 2(b))</w:t>
            </w:r>
          </w:p>
        </w:tc>
      </w:tr>
      <w:tr>
        <w:tc>
          <w:tcPr>
            <w:tcW w:w="3119" w:type="dxa"/>
            <w:shd w:val="clear" w:color="auto" w:fill="auto"/>
          </w:tcPr>
          <w:p>
            <w:pPr>
              <w:pStyle w:val="nTable"/>
              <w:spacing w:before="30" w:after="30"/>
              <w:rPr>
                <w:i/>
              </w:rPr>
            </w:pPr>
            <w:r>
              <w:rPr>
                <w:i/>
              </w:rPr>
              <w:t>Conservation and Land Management Amendment Regulations (No. 2) 2014</w:t>
            </w:r>
          </w:p>
        </w:tc>
        <w:tc>
          <w:tcPr>
            <w:tcW w:w="1276" w:type="dxa"/>
            <w:shd w:val="clear" w:color="auto" w:fill="auto"/>
          </w:tcPr>
          <w:p>
            <w:pPr>
              <w:pStyle w:val="nTable"/>
              <w:spacing w:before="30" w:after="30"/>
            </w:pPr>
            <w:r>
              <w:t>19 Sep 2014 p. 3330</w:t>
            </w:r>
            <w:r>
              <w:noBreakHyphen/>
              <w:t>7</w:t>
            </w:r>
          </w:p>
        </w:tc>
        <w:tc>
          <w:tcPr>
            <w:tcW w:w="2693" w:type="dxa"/>
            <w:shd w:val="clear" w:color="auto" w:fill="auto"/>
          </w:tcPr>
          <w:p>
            <w:pPr>
              <w:pStyle w:val="nTable"/>
              <w:spacing w:before="30" w:after="30"/>
              <w:rPr>
                <w:snapToGrid w:val="0"/>
              </w:rPr>
            </w:pPr>
            <w:r>
              <w:rPr>
                <w:snapToGrid w:val="0"/>
              </w:rPr>
              <w:t>r. 1 and 2: 19 Sep 2014 (see r. 2(a));</w:t>
            </w:r>
            <w:r>
              <w:rPr>
                <w:snapToGrid w:val="0"/>
              </w:rPr>
              <w:br/>
              <w:t>Regulations other than r. 1 and 2: 20 Sep </w:t>
            </w:r>
            <w:r>
              <w:t>2014 (see r. 2(b))</w:t>
            </w:r>
          </w:p>
        </w:tc>
      </w:tr>
      <w:tr>
        <w:tc>
          <w:tcPr>
            <w:tcW w:w="3119" w:type="dxa"/>
            <w:shd w:val="clear" w:color="auto" w:fill="auto"/>
          </w:tcPr>
          <w:p>
            <w:pPr>
              <w:pStyle w:val="nTable"/>
              <w:spacing w:before="30" w:after="30"/>
              <w:rPr>
                <w:i/>
              </w:rPr>
            </w:pPr>
            <w:r>
              <w:rPr>
                <w:i/>
              </w:rPr>
              <w:t>Conservation and Land Management Amendment Regulations 2014</w:t>
            </w:r>
          </w:p>
        </w:tc>
        <w:tc>
          <w:tcPr>
            <w:tcW w:w="1276" w:type="dxa"/>
            <w:shd w:val="clear" w:color="auto" w:fill="auto"/>
          </w:tcPr>
          <w:p>
            <w:pPr>
              <w:pStyle w:val="nTable"/>
              <w:spacing w:before="30" w:after="30"/>
            </w:pPr>
            <w:r>
              <w:t>8 Jan 2015 p. 135</w:t>
            </w:r>
            <w:r>
              <w:noBreakHyphen/>
              <w:t>6</w:t>
            </w:r>
          </w:p>
        </w:tc>
        <w:tc>
          <w:tcPr>
            <w:tcW w:w="2693" w:type="dxa"/>
            <w:shd w:val="clear" w:color="auto" w:fill="auto"/>
          </w:tcPr>
          <w:p>
            <w:pPr>
              <w:pStyle w:val="nTable"/>
              <w:spacing w:before="30" w:after="30"/>
              <w:rPr>
                <w:snapToGrid w:val="0"/>
              </w:rPr>
            </w:pPr>
            <w:r>
              <w:rPr>
                <w:snapToGrid w:val="0"/>
                <w:spacing w:val="-2"/>
              </w:rPr>
              <w:t>r. 1 and 2: 8 Jan 2015 (see r. 2(a));</w:t>
            </w:r>
            <w:r>
              <w:rPr>
                <w:snapToGrid w:val="0"/>
                <w:spacing w:val="-2"/>
              </w:rPr>
              <w:br/>
              <w:t xml:space="preserve">Regulations other than r. 1 and 2: 27 Apr 2015 (see r. 2(b) and </w:t>
            </w:r>
            <w:r>
              <w:rPr>
                <w:i/>
                <w:snapToGrid w:val="0"/>
                <w:spacing w:val="-2"/>
              </w:rPr>
              <w:t>Gazette</w:t>
            </w:r>
            <w:r>
              <w:rPr>
                <w:snapToGrid w:val="0"/>
                <w:spacing w:val="-2"/>
              </w:rPr>
              <w:t xml:space="preserve"> 17 Apr 2015 p. 1371)</w:t>
            </w:r>
          </w:p>
        </w:tc>
      </w:tr>
      <w:tr>
        <w:tc>
          <w:tcPr>
            <w:tcW w:w="3119" w:type="dxa"/>
            <w:tcBorders>
              <w:bottom w:val="single" w:sz="4" w:space="0" w:color="auto"/>
            </w:tcBorders>
            <w:shd w:val="clear" w:color="auto" w:fill="auto"/>
          </w:tcPr>
          <w:p>
            <w:pPr>
              <w:pStyle w:val="nTable"/>
              <w:spacing w:before="30" w:after="30"/>
              <w:rPr>
                <w:i/>
              </w:rPr>
            </w:pPr>
            <w:r>
              <w:rPr>
                <w:i/>
              </w:rPr>
              <w:t>Conservation and Land Management Amendment Regulations 2015</w:t>
            </w:r>
          </w:p>
        </w:tc>
        <w:tc>
          <w:tcPr>
            <w:tcW w:w="1276" w:type="dxa"/>
            <w:tcBorders>
              <w:bottom w:val="single" w:sz="4" w:space="0" w:color="auto"/>
            </w:tcBorders>
            <w:shd w:val="clear" w:color="auto" w:fill="auto"/>
          </w:tcPr>
          <w:p>
            <w:pPr>
              <w:pStyle w:val="nTable"/>
              <w:spacing w:before="30" w:after="30"/>
            </w:pPr>
            <w:r>
              <w:t>24 Mar 2015 p. 1033</w:t>
            </w:r>
            <w:r>
              <w:noBreakHyphen/>
              <w:t>44</w:t>
            </w:r>
          </w:p>
        </w:tc>
        <w:tc>
          <w:tcPr>
            <w:tcW w:w="2693" w:type="dxa"/>
            <w:tcBorders>
              <w:bottom w:val="single" w:sz="4" w:space="0" w:color="auto"/>
            </w:tcBorders>
            <w:shd w:val="clear" w:color="auto" w:fill="auto"/>
          </w:tcPr>
          <w:p>
            <w:pPr>
              <w:pStyle w:val="nTable"/>
              <w:spacing w:before="30" w:after="30"/>
              <w:rPr>
                <w:snapToGrid w:val="0"/>
              </w:rPr>
            </w:pPr>
            <w:r>
              <w:rPr>
                <w:snapToGrid w:val="0"/>
              </w:rPr>
              <w:t>r. 1 and 2: 24 Mar 2015 (see r. 2(a));</w:t>
            </w:r>
            <w:r>
              <w:rPr>
                <w:snapToGrid w:val="0"/>
              </w:rPr>
              <w:br/>
              <w:t>Regulations other than r. 1 and 2: 25 Mar 2015 (see r. 2(b))</w:t>
            </w:r>
          </w:p>
        </w:tc>
      </w:tr>
    </w:tbl>
    <w:p>
      <w:pPr>
        <w:pStyle w:val="nSubsection"/>
        <w:keepNext/>
        <w:spacing w:before="90"/>
      </w:pPr>
      <w:r>
        <w:rPr>
          <w:vertAlign w:val="superscript"/>
        </w:rPr>
        <w:t>2</w:t>
      </w:r>
      <w:r>
        <w:tab/>
        <w:t xml:space="preserve">The </w:t>
      </w:r>
      <w:smartTag w:uri="urn:schemas-microsoft-com:office:smarttags" w:element="place">
        <w:smartTag w:uri="urn:schemas-microsoft-com:office:smarttags" w:element="PlaceName">
          <w:r>
            <w:rPr>
              <w:i/>
              <w:iCs/>
            </w:rPr>
            <w:t>Swan</w:t>
          </w:r>
        </w:smartTag>
        <w:r>
          <w:rPr>
            <w:i/>
            <w:iCs/>
          </w:rPr>
          <w:t xml:space="preserve"> </w:t>
        </w:r>
        <w:smartTag w:uri="urn:schemas-microsoft-com:office:smarttags" w:element="PlaceType">
          <w:r>
            <w:rPr>
              <w:i/>
              <w:iCs/>
            </w:rPr>
            <w:t>River</w:t>
          </w:r>
        </w:smartTag>
      </w:smartTag>
      <w:r>
        <w:rPr>
          <w:i/>
          <w:iCs/>
        </w:rPr>
        <w:t xml:space="preserve"> Trust Act 1988</w:t>
      </w:r>
      <w:r>
        <w:t xml:space="preserve"> was repealed by the </w:t>
      </w:r>
      <w:r>
        <w:rPr>
          <w:i/>
          <w:iCs/>
        </w:rPr>
        <w:t>Swan and Canning Rivers (Consequential and Transitional Provisions) Act 2006.</w:t>
      </w:r>
    </w:p>
    <w:p>
      <w:pPr>
        <w:pStyle w:val="nSubsection"/>
        <w:keepNext/>
        <w:spacing w:before="90"/>
      </w:pPr>
      <w:r>
        <w:rPr>
          <w:vertAlign w:val="superscript"/>
        </w:rPr>
        <w:t>3</w:t>
      </w:r>
      <w:r>
        <w:tab/>
        <w:t xml:space="preserve">Deleted by the </w:t>
      </w:r>
      <w:r>
        <w:rPr>
          <w:i/>
          <w:iCs/>
        </w:rPr>
        <w:t>Conservation Legislation Amendment Act 2011</w:t>
      </w:r>
      <w:r>
        <w:rPr>
          <w:iCs/>
        </w:rPr>
        <w:t xml:space="preserve"> s. 10</w:t>
      </w:r>
      <w:r>
        <w:rPr>
          <w:i/>
          <w:iCs/>
        </w:rPr>
        <w:t>.</w:t>
      </w:r>
    </w:p>
    <w:p>
      <w:pPr>
        <w:pStyle w:val="nSubsection"/>
        <w:spacing w:before="90"/>
        <w:rPr>
          <w:i/>
        </w:rPr>
      </w:pPr>
      <w:r>
        <w:rPr>
          <w:vertAlign w:val="superscript"/>
        </w:rPr>
        <w:t>4</w:t>
      </w:r>
      <w:r>
        <w:tab/>
        <w:t>Repealed by these regulations.</w:t>
      </w:r>
    </w:p>
    <w:p>
      <w:pPr>
        <w:pStyle w:val="nSubsection"/>
        <w:spacing w:before="90"/>
        <w:rPr>
          <w:snapToGrid w:val="0"/>
        </w:rPr>
      </w:pPr>
      <w:r>
        <w:rPr>
          <w:vertAlign w:val="superscript"/>
        </w:rPr>
        <w:t>5</w:t>
      </w:r>
      <w:r>
        <w:rPr>
          <w:vertAlign w:val="superscript"/>
        </w:rPr>
        <w:tab/>
      </w:r>
      <w:r>
        <w:t xml:space="preserve">Under the </w:t>
      </w:r>
      <w:r>
        <w:rPr>
          <w:i/>
        </w:rPr>
        <w:t xml:space="preserve">Alteration of Statutory Designations Order (No. 2) 2013 </w:t>
      </w:r>
      <w:r>
        <w:t>a reference in any law to the Department of Environment and Conservation is to be read and construed as a reference to the Department of Parks and Wildlife unless the context of the reference requires otherwise.</w:t>
      </w:r>
    </w:p>
    <w:p>
      <w:pPr>
        <w:pStyle w:val="nSubsection"/>
        <w:spacing w:before="90"/>
        <w:rPr>
          <w:iCs/>
        </w:rPr>
      </w:pPr>
      <w:r>
        <w:rPr>
          <w:vertAlign w:val="superscript"/>
        </w:rPr>
        <w:t>6</w:t>
      </w:r>
      <w:r>
        <w:tab/>
        <w:t xml:space="preserve">The </w:t>
      </w:r>
      <w:r>
        <w:rPr>
          <w:i/>
        </w:rPr>
        <w:t>Financial Management (Transitional Provisions) Regulations 2009</w:t>
      </w:r>
      <w:r>
        <w:rPr>
          <w:iCs/>
        </w:rPr>
        <w:t xml:space="preserve"> r. 4 reads as follows:</w:t>
      </w:r>
    </w:p>
    <w:p>
      <w:pPr>
        <w:pStyle w:val="BlankOpen"/>
      </w:pPr>
    </w:p>
    <w:p>
      <w:pPr>
        <w:pStyle w:val="nzHeading5"/>
        <w:spacing w:before="0"/>
      </w:pPr>
      <w:r>
        <w:rPr>
          <w:rStyle w:val="CharSectno"/>
        </w:rPr>
        <w:t>4</w:t>
      </w:r>
      <w:r>
        <w:t>.</w:t>
      </w:r>
      <w:r>
        <w:tab/>
        <w:t xml:space="preserve">Transitional provision for </w:t>
      </w:r>
      <w:smartTag w:uri="urn:schemas-microsoft-com:office:smarttags" w:element="place">
        <w:smartTag w:uri="urn:schemas-microsoft-com:office:smarttags" w:element="PlaceName">
          <w:r>
            <w:t>Barrow</w:t>
          </w:r>
        </w:smartTag>
        <w:r>
          <w:t xml:space="preserve"> </w:t>
        </w:r>
        <w:smartTag w:uri="urn:schemas-microsoft-com:office:smarttags" w:element="PlaceType">
          <w:r>
            <w:t>Island</w:t>
          </w:r>
        </w:smartTag>
      </w:smartTag>
      <w:r>
        <w:t xml:space="preserve"> Trust Account</w:t>
      </w:r>
    </w:p>
    <w:p>
      <w:pPr>
        <w:pStyle w:val="nzSubsection"/>
        <w:spacing w:before="50"/>
      </w:pPr>
      <w:r>
        <w:tab/>
        <w:t>(1)</w:t>
      </w:r>
      <w:r>
        <w:tab/>
        <w:t xml:space="preserve">In this regulation — </w:t>
      </w:r>
    </w:p>
    <w:p>
      <w:pPr>
        <w:pStyle w:val="nzDefstart"/>
      </w:pPr>
      <w:r>
        <w:tab/>
      </w:r>
      <w:r>
        <w:rPr>
          <w:rStyle w:val="CharDefText"/>
        </w:rPr>
        <w:t>Barrow Island Net Conservation Benefit Account</w:t>
      </w:r>
      <w:r>
        <w:t xml:space="preserve"> means the account of that name established as an agency special purpose account under the </w:t>
      </w:r>
      <w:r>
        <w:rPr>
          <w:i/>
        </w:rPr>
        <w:t>Financial Management Act 2006</w:t>
      </w:r>
      <w:r>
        <w:t xml:space="preserve"> section 16 in accordance with the </w:t>
      </w:r>
      <w:r>
        <w:rPr>
          <w:i/>
        </w:rPr>
        <w:t>Conservation and Land Management Act 1984</w:t>
      </w:r>
      <w:r>
        <w:t xml:space="preserve"> section 69(1);</w:t>
      </w:r>
    </w:p>
    <w:p>
      <w:pPr>
        <w:pStyle w:val="nzDefstart"/>
      </w:pPr>
      <w:r>
        <w:tab/>
      </w:r>
      <w:r>
        <w:rPr>
          <w:rStyle w:val="CharDefText"/>
        </w:rPr>
        <w:t>Barrow Island Trust Account</w:t>
      </w:r>
      <w:r>
        <w:t xml:space="preserve"> means the account referred to in the </w:t>
      </w:r>
      <w:r>
        <w:rPr>
          <w:i/>
        </w:rPr>
        <w:t>Conservation and Land Management Regulations </w:t>
      </w:r>
      <w:r>
        <w:rPr>
          <w:i/>
          <w:iCs/>
        </w:rPr>
        <w:t>2002</w:t>
      </w:r>
      <w:r>
        <w:t xml:space="preserve"> Part 7A immediately before the commencement of regulation 3.</w:t>
      </w:r>
    </w:p>
    <w:p>
      <w:pPr>
        <w:pStyle w:val="nzSubsection"/>
        <w:spacing w:before="50"/>
      </w:pPr>
      <w:r>
        <w:tab/>
        <w:t>(2)</w:t>
      </w:r>
      <w:r>
        <w:tab/>
        <w:t>Any money standing to the credit of the Barrow Island Trust Account immediately before the commencement of regulation 3 is to be transferred to the Barrow Island Net Conservation Benefit Account.</w:t>
      </w:r>
    </w:p>
    <w:p>
      <w:pPr>
        <w:pStyle w:val="BlankClose"/>
      </w:pPr>
    </w:p>
    <w:p/>
    <w:p>
      <w:pPr>
        <w:sectPr>
          <w:headerReference w:type="even" r:id="rId33"/>
          <w:headerReference w:type="default" r:id="rId34"/>
          <w:headerReference w:type="first" r:id="rId35"/>
          <w:pgSz w:w="11907" w:h="16840" w:code="9"/>
          <w:pgMar w:top="2376" w:right="2404" w:bottom="3544" w:left="2404" w:header="720" w:footer="3380" w:gutter="0"/>
          <w:cols w:space="720"/>
          <w:noEndnote/>
          <w:docGrid w:linePitch="326"/>
        </w:sectPr>
      </w:pPr>
    </w:p>
    <w:p>
      <w:pPr>
        <w:pStyle w:val="nHeading2"/>
        <w:rPr>
          <w:sz w:val="28"/>
        </w:rPr>
      </w:pPr>
      <w:bookmarkStart w:id="498" w:name="_Toc414975354"/>
      <w:bookmarkStart w:id="499" w:name="_Toc417563835"/>
      <w:r>
        <w:rPr>
          <w:sz w:val="28"/>
        </w:rPr>
        <w:t>Defined terms</w:t>
      </w:r>
      <w:bookmarkEnd w:id="498"/>
      <w:bookmarkEnd w:id="49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Aboriginal artefact</w:t>
      </w:r>
      <w:r>
        <w:tab/>
        <w:t>2</w:t>
      </w:r>
    </w:p>
    <w:p>
      <w:pPr>
        <w:pStyle w:val="DefinedTerms"/>
      </w:pPr>
      <w:r>
        <w:t>Aboriginal site</w:t>
      </w:r>
      <w:r>
        <w:tab/>
        <w:t>2</w:t>
      </w:r>
    </w:p>
    <w:p>
      <w:pPr>
        <w:pStyle w:val="DefinedTerms"/>
      </w:pPr>
      <w:r>
        <w:t>abseiling area</w:t>
      </w:r>
      <w:r>
        <w:tab/>
        <w:t>2</w:t>
      </w:r>
    </w:p>
    <w:p>
      <w:pPr>
        <w:pStyle w:val="DefinedTerms"/>
      </w:pPr>
      <w:r>
        <w:t>aircraft</w:t>
      </w:r>
      <w:r>
        <w:tab/>
        <w:t>2</w:t>
      </w:r>
    </w:p>
    <w:p>
      <w:pPr>
        <w:pStyle w:val="DefinedTerms"/>
      </w:pPr>
      <w:r>
        <w:t>aircraft landing area</w:t>
      </w:r>
      <w:r>
        <w:tab/>
        <w:t>99A(1)</w:t>
      </w:r>
    </w:p>
    <w:p>
      <w:pPr>
        <w:pStyle w:val="DefinedTerms"/>
      </w:pPr>
      <w:r>
        <w:t>apiarist</w:t>
      </w:r>
      <w:r>
        <w:tab/>
        <w:t>98G(1)</w:t>
      </w:r>
    </w:p>
    <w:p>
      <w:pPr>
        <w:pStyle w:val="DefinedTerms"/>
      </w:pPr>
      <w:r>
        <w:t>apiary authority</w:t>
      </w:r>
      <w:r>
        <w:tab/>
        <w:t>98A</w:t>
      </w:r>
    </w:p>
    <w:p>
      <w:pPr>
        <w:pStyle w:val="DefinedTerms"/>
      </w:pPr>
      <w:r>
        <w:t>apiary licence</w:t>
      </w:r>
      <w:r>
        <w:tab/>
        <w:t>98A</w:t>
      </w:r>
    </w:p>
    <w:p>
      <w:pPr>
        <w:pStyle w:val="DefinedTerms"/>
      </w:pPr>
      <w:r>
        <w:t>apiary permit</w:t>
      </w:r>
      <w:r>
        <w:tab/>
        <w:t>98A</w:t>
      </w:r>
    </w:p>
    <w:p>
      <w:pPr>
        <w:pStyle w:val="DefinedTerms"/>
      </w:pPr>
      <w:r>
        <w:t>apiary site</w:t>
      </w:r>
      <w:r>
        <w:tab/>
        <w:t>98A</w:t>
      </w:r>
    </w:p>
    <w:p>
      <w:pPr>
        <w:pStyle w:val="DefinedTerms"/>
      </w:pPr>
      <w:r>
        <w:t>authorised officer</w:t>
      </w:r>
      <w:r>
        <w:tab/>
        <w:t>2</w:t>
      </w:r>
    </w:p>
    <w:p>
      <w:pPr>
        <w:pStyle w:val="DefinedTerms"/>
      </w:pPr>
      <w:r>
        <w:t>beach</w:t>
      </w:r>
      <w:r>
        <w:tab/>
        <w:t>64(7)</w:t>
      </w:r>
    </w:p>
    <w:p>
      <w:pPr>
        <w:pStyle w:val="DefinedTerms"/>
      </w:pPr>
      <w:r>
        <w:t>bicycle</w:t>
      </w:r>
      <w:r>
        <w:tab/>
        <w:t>2</w:t>
      </w:r>
    </w:p>
    <w:p>
      <w:pPr>
        <w:pStyle w:val="DefinedTerms"/>
      </w:pPr>
      <w:r>
        <w:t>bicycle path</w:t>
      </w:r>
      <w:r>
        <w:tab/>
        <w:t>51A(4)</w:t>
      </w:r>
    </w:p>
    <w:p>
      <w:pPr>
        <w:pStyle w:val="DefinedTerms"/>
      </w:pPr>
      <w:r>
        <w:t>CALM land</w:t>
      </w:r>
      <w:r>
        <w:tab/>
        <w:t>2, 8(3)</w:t>
      </w:r>
    </w:p>
    <w:p>
      <w:pPr>
        <w:pStyle w:val="DefinedTerms"/>
      </w:pPr>
      <w:r>
        <w:t>camp</w:t>
      </w:r>
      <w:r>
        <w:tab/>
        <w:t>2</w:t>
      </w:r>
    </w:p>
    <w:p>
      <w:pPr>
        <w:pStyle w:val="DefinedTerms"/>
      </w:pPr>
      <w:r>
        <w:t>camping area</w:t>
      </w:r>
      <w:r>
        <w:tab/>
        <w:t>2</w:t>
      </w:r>
    </w:p>
    <w:p>
      <w:pPr>
        <w:pStyle w:val="DefinedTerms"/>
      </w:pPr>
      <w:r>
        <w:t>camping unit</w:t>
      </w:r>
      <w:r>
        <w:tab/>
        <w:t>2</w:t>
      </w:r>
    </w:p>
    <w:p>
      <w:pPr>
        <w:pStyle w:val="DefinedTerms"/>
      </w:pPr>
      <w:r>
        <w:t>caravan</w:t>
      </w:r>
      <w:r>
        <w:tab/>
        <w:t>2</w:t>
      </w:r>
    </w:p>
    <w:p>
      <w:pPr>
        <w:pStyle w:val="DefinedTerms"/>
      </w:pPr>
      <w:r>
        <w:t>category A firearm</w:t>
      </w:r>
      <w:r>
        <w:tab/>
        <w:t>121(1)</w:t>
      </w:r>
    </w:p>
    <w:p>
      <w:pPr>
        <w:pStyle w:val="DefinedTerms"/>
      </w:pPr>
      <w:r>
        <w:t>category B firearm</w:t>
      </w:r>
      <w:r>
        <w:tab/>
        <w:t>121(1)</w:t>
      </w:r>
    </w:p>
    <w:p>
      <w:pPr>
        <w:pStyle w:val="DefinedTerms"/>
      </w:pPr>
      <w:r>
        <w:t>cave</w:t>
      </w:r>
      <w:r>
        <w:tab/>
        <w:t>49(1)</w:t>
      </w:r>
    </w:p>
    <w:p>
      <w:pPr>
        <w:pStyle w:val="DefinedTerms"/>
      </w:pPr>
      <w:r>
        <w:t>commercial operations licence</w:t>
      </w:r>
      <w:r>
        <w:tab/>
        <w:t>2</w:t>
      </w:r>
    </w:p>
    <w:p>
      <w:pPr>
        <w:pStyle w:val="DefinedTerms"/>
      </w:pPr>
      <w:r>
        <w:t>commercial purpose</w:t>
      </w:r>
      <w:r>
        <w:tab/>
        <w:t>2</w:t>
      </w:r>
    </w:p>
    <w:p>
      <w:pPr>
        <w:pStyle w:val="DefinedTerms"/>
      </w:pPr>
      <w:r>
        <w:t>Companion Card</w:t>
      </w:r>
      <w:r>
        <w:tab/>
        <w:t>2</w:t>
      </w:r>
    </w:p>
    <w:p>
      <w:pPr>
        <w:pStyle w:val="DefinedTerms"/>
      </w:pPr>
      <w:r>
        <w:t>concession card</w:t>
      </w:r>
      <w:r>
        <w:tab/>
        <w:t>2</w:t>
      </w:r>
    </w:p>
    <w:p>
      <w:pPr>
        <w:pStyle w:val="DefinedTerms"/>
      </w:pPr>
      <w:r>
        <w:t>current inspection report</w:t>
      </w:r>
      <w:r>
        <w:tab/>
        <w:t>98AI(1)</w:t>
      </w:r>
    </w:p>
    <w:p>
      <w:pPr>
        <w:pStyle w:val="DefinedTerms"/>
      </w:pPr>
      <w:r>
        <w:t>designated area</w:t>
      </w:r>
      <w:r>
        <w:tab/>
        <w:t>2</w:t>
      </w:r>
    </w:p>
    <w:p>
      <w:pPr>
        <w:pStyle w:val="DefinedTerms"/>
      </w:pPr>
      <w:r>
        <w:t>dog area</w:t>
      </w:r>
      <w:r>
        <w:tab/>
        <w:t>2</w:t>
      </w:r>
    </w:p>
    <w:p>
      <w:pPr>
        <w:pStyle w:val="DefinedTerms"/>
      </w:pPr>
      <w:r>
        <w:t>fauna</w:t>
      </w:r>
      <w:r>
        <w:tab/>
        <w:t>8(3)</w:t>
      </w:r>
    </w:p>
    <w:p>
      <w:pPr>
        <w:pStyle w:val="DefinedTerms"/>
      </w:pPr>
      <w:r>
        <w:t>firewood</w:t>
      </w:r>
      <w:r>
        <w:tab/>
        <w:t>71(4)</w:t>
      </w:r>
    </w:p>
    <w:p>
      <w:pPr>
        <w:pStyle w:val="DefinedTerms"/>
      </w:pPr>
      <w:r>
        <w:t>fish</w:t>
      </w:r>
      <w:r>
        <w:tab/>
        <w:t>121(1)</w:t>
      </w:r>
    </w:p>
    <w:p>
      <w:pPr>
        <w:pStyle w:val="DefinedTerms"/>
      </w:pPr>
      <w:r>
        <w:t>fishing activity</w:t>
      </w:r>
      <w:r>
        <w:tab/>
        <w:t>9(2)</w:t>
      </w:r>
    </w:p>
    <w:p>
      <w:pPr>
        <w:pStyle w:val="DefinedTerms"/>
      </w:pPr>
      <w:r>
        <w:t>horse area</w:t>
      </w:r>
      <w:r>
        <w:tab/>
        <w:t>2</w:t>
      </w:r>
    </w:p>
    <w:p>
      <w:pPr>
        <w:pStyle w:val="DefinedTerms"/>
      </w:pPr>
      <w:r>
        <w:t>inspection report</w:t>
      </w:r>
      <w:r>
        <w:tab/>
        <w:t>98AI(1)</w:t>
      </w:r>
    </w:p>
    <w:p>
      <w:pPr>
        <w:pStyle w:val="DefinedTerms"/>
      </w:pPr>
      <w:r>
        <w:t>licence</w:t>
      </w:r>
      <w:r>
        <w:tab/>
        <w:t>82</w:t>
      </w:r>
    </w:p>
    <w:p>
      <w:pPr>
        <w:pStyle w:val="DefinedTerms"/>
      </w:pPr>
      <w:r>
        <w:t>licence holder</w:t>
      </w:r>
      <w:r>
        <w:tab/>
        <w:t>98AA, 98AI(1)</w:t>
      </w:r>
    </w:p>
    <w:p>
      <w:pPr>
        <w:pStyle w:val="DefinedTerms"/>
      </w:pPr>
      <w:r>
        <w:t>licensed mooring</w:t>
      </w:r>
      <w:r>
        <w:tab/>
        <w:t>98AI(1)</w:t>
      </w:r>
    </w:p>
    <w:p>
      <w:pPr>
        <w:pStyle w:val="DefinedTerms"/>
      </w:pPr>
      <w:r>
        <w:t>litter</w:t>
      </w:r>
      <w:r>
        <w:tab/>
        <w:t>24(2)</w:t>
      </w:r>
    </w:p>
    <w:p>
      <w:pPr>
        <w:pStyle w:val="DefinedTerms"/>
      </w:pPr>
      <w:r>
        <w:t>local departmental office</w:t>
      </w:r>
      <w:r>
        <w:tab/>
        <w:t>98G(1)</w:t>
      </w:r>
    </w:p>
    <w:p>
      <w:pPr>
        <w:pStyle w:val="DefinedTerms"/>
      </w:pPr>
      <w:r>
        <w:t>loss</w:t>
      </w:r>
      <w:r>
        <w:tab/>
        <w:t>98AH(1)</w:t>
      </w:r>
    </w:p>
    <w:p>
      <w:pPr>
        <w:pStyle w:val="DefinedTerms"/>
      </w:pPr>
      <w:r>
        <w:t>mooring</w:t>
      </w:r>
      <w:r>
        <w:tab/>
        <w:t>2</w:t>
      </w:r>
    </w:p>
    <w:p>
      <w:pPr>
        <w:pStyle w:val="DefinedTerms"/>
      </w:pPr>
      <w:r>
        <w:t>mooring licence area</w:t>
      </w:r>
      <w:r>
        <w:tab/>
        <w:t>98AI(1)</w:t>
      </w:r>
    </w:p>
    <w:p>
      <w:pPr>
        <w:pStyle w:val="DefinedTerms"/>
      </w:pPr>
      <w:r>
        <w:t>naturally occurring feature</w:t>
      </w:r>
      <w:r>
        <w:tab/>
        <w:t>31(4)</w:t>
      </w:r>
    </w:p>
    <w:p>
      <w:pPr>
        <w:pStyle w:val="DefinedTerms"/>
      </w:pPr>
      <w:r>
        <w:t>non</w:t>
      </w:r>
      <w:r>
        <w:noBreakHyphen/>
        <w:t>indigenous animal</w:t>
      </w:r>
      <w:r>
        <w:tab/>
        <w:t>2</w:t>
      </w:r>
    </w:p>
    <w:p>
      <w:pPr>
        <w:pStyle w:val="DefinedTerms"/>
      </w:pPr>
      <w:r>
        <w:t>non</w:t>
      </w:r>
      <w:r>
        <w:noBreakHyphen/>
        <w:t>tour motor vehicle</w:t>
      </w:r>
      <w:r>
        <w:tab/>
        <w:t>99(1)</w:t>
      </w:r>
    </w:p>
    <w:p>
      <w:pPr>
        <w:pStyle w:val="DefinedTerms"/>
      </w:pPr>
      <w:r>
        <w:t>occupant</w:t>
      </w:r>
      <w:r>
        <w:tab/>
        <w:t>99A(1)</w:t>
      </w:r>
    </w:p>
    <w:p>
      <w:pPr>
        <w:pStyle w:val="DefinedTerms"/>
      </w:pPr>
      <w:r>
        <w:t>permission</w:t>
      </w:r>
      <w:r>
        <w:tab/>
        <w:t>123(1)</w:t>
      </w:r>
    </w:p>
    <w:p>
      <w:pPr>
        <w:pStyle w:val="DefinedTerms"/>
      </w:pPr>
      <w:r>
        <w:t>permission holder</w:t>
      </w:r>
      <w:r>
        <w:tab/>
        <w:t>123(1)</w:t>
      </w:r>
    </w:p>
    <w:p>
      <w:pPr>
        <w:pStyle w:val="DefinedTerms"/>
      </w:pPr>
      <w:r>
        <w:t>plant</w:t>
      </w:r>
      <w:r>
        <w:tab/>
        <w:t>13(2)</w:t>
      </w:r>
    </w:p>
    <w:p>
      <w:pPr>
        <w:pStyle w:val="DefinedTerms"/>
      </w:pPr>
      <w:r>
        <w:t>poison risk area</w:t>
      </w:r>
      <w:r>
        <w:tab/>
        <w:t>115(1)</w:t>
      </w:r>
    </w:p>
    <w:p>
      <w:pPr>
        <w:pStyle w:val="DefinedTerms"/>
      </w:pPr>
      <w:r>
        <w:t>poison risk map</w:t>
      </w:r>
      <w:r>
        <w:tab/>
        <w:t>115(1)</w:t>
      </w:r>
    </w:p>
    <w:p>
      <w:pPr>
        <w:pStyle w:val="DefinedTerms"/>
      </w:pPr>
      <w:r>
        <w:t>private mooring</w:t>
      </w:r>
      <w:r>
        <w:tab/>
        <w:t>98AI(1)</w:t>
      </w:r>
    </w:p>
    <w:p>
      <w:pPr>
        <w:pStyle w:val="DefinedTerms"/>
      </w:pPr>
      <w:r>
        <w:t>private mooring licence</w:t>
      </w:r>
      <w:r>
        <w:tab/>
        <w:t>98AI(1)</w:t>
      </w:r>
    </w:p>
    <w:p>
      <w:pPr>
        <w:pStyle w:val="DefinedTerms"/>
      </w:pPr>
      <w:r>
        <w:t>property</w:t>
      </w:r>
      <w:r>
        <w:tab/>
        <w:t>77(1)</w:t>
      </w:r>
    </w:p>
    <w:p>
      <w:pPr>
        <w:pStyle w:val="DefinedTerms"/>
      </w:pPr>
      <w:r>
        <w:t>public mooring</w:t>
      </w:r>
      <w:r>
        <w:tab/>
        <w:t>2</w:t>
      </w:r>
    </w:p>
    <w:p>
      <w:pPr>
        <w:pStyle w:val="DefinedTerms"/>
      </w:pPr>
      <w:r>
        <w:t>recreational land</w:t>
      </w:r>
      <w:r>
        <w:tab/>
        <w:t>114</w:t>
      </w:r>
    </w:p>
    <w:p>
      <w:pPr>
        <w:pStyle w:val="DefinedTerms"/>
      </w:pPr>
      <w:r>
        <w:t>relevant area</w:t>
      </w:r>
      <w:r>
        <w:tab/>
        <w:t>121(1)</w:t>
      </w:r>
    </w:p>
    <w:p>
      <w:pPr>
        <w:pStyle w:val="DefinedTerms"/>
      </w:pPr>
      <w:r>
        <w:t>rental mooring</w:t>
      </w:r>
      <w:r>
        <w:tab/>
        <w:t>98AA</w:t>
      </w:r>
    </w:p>
    <w:p>
      <w:pPr>
        <w:pStyle w:val="DefinedTerms"/>
      </w:pPr>
      <w:r>
        <w:t>rental mooring licence</w:t>
      </w:r>
      <w:r>
        <w:tab/>
        <w:t>98AA</w:t>
      </w:r>
    </w:p>
    <w:p>
      <w:pPr>
        <w:pStyle w:val="DefinedTerms"/>
      </w:pPr>
      <w:r>
        <w:t>restricted area</w:t>
      </w:r>
      <w:r>
        <w:tab/>
        <w:t>2</w:t>
      </w:r>
    </w:p>
    <w:p>
      <w:pPr>
        <w:pStyle w:val="DefinedTerms"/>
      </w:pPr>
      <w:r>
        <w:t>restricted device</w:t>
      </w:r>
      <w:r>
        <w:tab/>
        <w:t>12(5)</w:t>
      </w:r>
    </w:p>
    <w:p>
      <w:pPr>
        <w:pStyle w:val="DefinedTerms"/>
      </w:pPr>
      <w:r>
        <w:t>school holidays</w:t>
      </w:r>
      <w:r>
        <w:tab/>
        <w:t>2</w:t>
      </w:r>
    </w:p>
    <w:p>
      <w:pPr>
        <w:pStyle w:val="DefinedTerms"/>
      </w:pPr>
      <w:r>
        <w:t>scientific purposes licence</w:t>
      </w:r>
      <w:r>
        <w:tab/>
        <w:t>2</w:t>
      </w:r>
    </w:p>
    <w:p>
      <w:pPr>
        <w:pStyle w:val="DefinedTerms"/>
      </w:pPr>
      <w:r>
        <w:t>sell</w:t>
      </w:r>
      <w:r>
        <w:tab/>
        <w:t>2</w:t>
      </w:r>
    </w:p>
    <w:p>
      <w:pPr>
        <w:pStyle w:val="DefinedTerms"/>
      </w:pPr>
      <w:r>
        <w:t>services</w:t>
      </w:r>
      <w:r>
        <w:tab/>
        <w:t>2</w:t>
      </w:r>
    </w:p>
    <w:p>
      <w:pPr>
        <w:pStyle w:val="DefinedTerms"/>
      </w:pPr>
      <w:r>
        <w:t>sign</w:t>
      </w:r>
      <w:r>
        <w:tab/>
        <w:t>2</w:t>
      </w:r>
    </w:p>
    <w:p>
      <w:pPr>
        <w:pStyle w:val="DefinedTerms"/>
      </w:pPr>
      <w:r>
        <w:t>soil</w:t>
      </w:r>
      <w:r>
        <w:tab/>
        <w:t>35A(2)</w:t>
      </w:r>
    </w:p>
    <w:p>
      <w:pPr>
        <w:pStyle w:val="DefinedTerms"/>
      </w:pPr>
      <w:r>
        <w:t>South</w:t>
      </w:r>
      <w:r>
        <w:noBreakHyphen/>
        <w:t>west zone</w:t>
      </w:r>
      <w:r>
        <w:tab/>
        <w:t>98A</w:t>
      </w:r>
    </w:p>
    <w:p>
      <w:pPr>
        <w:pStyle w:val="DefinedTerms"/>
      </w:pPr>
      <w:r>
        <w:t>specified</w:t>
      </w:r>
      <w:r>
        <w:tab/>
        <w:t>56(6), 61B(1), 98AC(1)</w:t>
      </w:r>
    </w:p>
    <w:p>
      <w:pPr>
        <w:pStyle w:val="DefinedTerms"/>
      </w:pPr>
      <w:r>
        <w:t>structure</w:t>
      </w:r>
      <w:r>
        <w:tab/>
        <w:t>34(2)</w:t>
      </w:r>
    </w:p>
    <w:p>
      <w:pPr>
        <w:pStyle w:val="DefinedTerms"/>
      </w:pPr>
      <w:r>
        <w:t>take</w:t>
      </w:r>
      <w:r>
        <w:tab/>
        <w:t>2</w:t>
      </w:r>
    </w:p>
    <w:p>
      <w:pPr>
        <w:pStyle w:val="DefinedTerms"/>
      </w:pPr>
      <w:r>
        <w:t>temporary mooring area</w:t>
      </w:r>
      <w:r>
        <w:tab/>
        <w:t>2</w:t>
      </w:r>
    </w:p>
    <w:p>
      <w:pPr>
        <w:pStyle w:val="DefinedTerms"/>
      </w:pPr>
      <w:r>
        <w:t>tender</w:t>
      </w:r>
      <w:r>
        <w:tab/>
        <w:t>2</w:t>
      </w:r>
    </w:p>
    <w:p>
      <w:pPr>
        <w:pStyle w:val="DefinedTerms"/>
      </w:pPr>
      <w:r>
        <w:t>ticket vending machine</w:t>
      </w:r>
      <w:r>
        <w:tab/>
        <w:t>56(6)</w:t>
      </w:r>
    </w:p>
    <w:p>
      <w:pPr>
        <w:pStyle w:val="DefinedTerms"/>
      </w:pPr>
      <w:r>
        <w:t>tour vehicle</w:t>
      </w:r>
      <w:r>
        <w:tab/>
        <w:t>99(1)</w:t>
      </w:r>
    </w:p>
    <w:p>
      <w:pPr>
        <w:pStyle w:val="DefinedTerms"/>
      </w:pPr>
      <w:r>
        <w:t>townsite</w:t>
      </w:r>
      <w:r>
        <w:tab/>
        <w:t>114</w:t>
      </w:r>
    </w:p>
    <w:p>
      <w:pPr>
        <w:pStyle w:val="DefinedTerms"/>
      </w:pPr>
      <w:r>
        <w:t>tree</w:t>
      </w:r>
      <w:r>
        <w:tab/>
        <w:t>2</w:t>
      </w:r>
    </w:p>
    <w:p>
      <w:pPr>
        <w:pStyle w:val="DefinedTerms"/>
      </w:pPr>
      <w:r>
        <w:t>Tree Top Walk</w:t>
      </w:r>
      <w:r>
        <w:tab/>
        <w:t>100(1)</w:t>
      </w:r>
    </w:p>
    <w:p>
      <w:pPr>
        <w:pStyle w:val="DefinedTerms"/>
      </w:pPr>
      <w:r>
        <w:t>urban land</w:t>
      </w:r>
      <w:r>
        <w:tab/>
        <w:t>114, 118(2), 119(3)</w:t>
      </w:r>
    </w:p>
    <w:p>
      <w:pPr>
        <w:pStyle w:val="DefinedTerms"/>
      </w:pPr>
      <w:r>
        <w:t>vehicle</w:t>
      </w:r>
      <w:r>
        <w:tab/>
        <w:t>2</w:t>
      </w:r>
    </w:p>
    <w:p>
      <w:pPr>
        <w:pStyle w:val="DefinedTerms"/>
      </w:pPr>
      <w:r>
        <w:t>vessel</w:t>
      </w:r>
      <w:r>
        <w:tab/>
        <w:t>2</w:t>
      </w:r>
    </w:p>
    <w:p>
      <w:pPr>
        <w:pStyle w:val="DefinedTerms"/>
      </w:pPr>
      <w:r>
        <w:t>vessel storage facility</w:t>
      </w:r>
      <w:r>
        <w:tab/>
        <w:t>65A(1)</w:t>
      </w:r>
    </w:p>
    <w:p>
      <w:pPr>
        <w:pStyle w:val="DefinedTerms"/>
      </w:pPr>
      <w:r>
        <w:t>visitor area</w:t>
      </w:r>
      <w:r>
        <w:tab/>
        <w:t>114</w:t>
      </w:r>
    </w:p>
    <w:p>
      <w:pPr>
        <w:pStyle w:val="DefinedTerms"/>
      </w:pPr>
      <w:r>
        <w:t>waste</w:t>
      </w:r>
      <w:r>
        <w:tab/>
        <w:t>21(5)</w:t>
      </w:r>
    </w:p>
    <w:p/>
    <w:p>
      <w:pPr>
        <w:sectPr>
          <w:headerReference w:type="even" r:id="rId36"/>
          <w:headerReference w:type="default" r:id="rId37"/>
          <w:pgSz w:w="11907" w:h="16840" w:code="9"/>
          <w:pgMar w:top="2381" w:right="2409" w:bottom="3543" w:left="2409" w:header="720" w:footer="3380" w:gutter="0"/>
          <w:cols w:space="720"/>
          <w:noEndnote/>
          <w:docGrid w:linePitch="326"/>
        </w:sectPr>
      </w:pPr>
    </w:p>
    <w:p/>
    <w:sectPr>
      <w:headerReference w:type="even" r:id="rId38"/>
      <w:headerReference w:type="default" r:id="rId39"/>
      <w:footerReference w:type="even" r:id="rId40"/>
      <w:footerReference w:type="default" r:id="rId41"/>
      <w:headerReference w:type="first" r:id="rId42"/>
      <w:footerReference w:type="first" r:id="rId43"/>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03-f0-00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27 Apr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Apr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03-f0-00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Apr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03-f0-00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viii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03-f0-00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27 Apr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Apr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03-f0-00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vii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Apr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03-f0-00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126</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03-f0-00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27 Apr 2015</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27 Apr 2015</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03-f0-00</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127</w:t>
    </w:r>
    <w:r>
      <w:rPr>
        <w:rFonts w:ascii="Arial" w:hAnsi="Arial"/>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Conservation and Land Management Regulations 2002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Conservation and Land Management Regulations 2002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Conservation and Land Management Regulations 2002</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Conservation and Land Management Regulations 2002</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Conservation and Land Management Regulations 2002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Conservation and Land Management Regulations 2002</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486" w:name="Schedule"/>
    <w:bookmarkEnd w:id="486"/>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Conservation and Land Management Regulations 2002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Offences to which modified penalties apply</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Division 3</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Offences under Forest Management Regulations 1993</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Conservation and Land Management Regulations 2002</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Offences to which modified penalties apply</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separate"/>
          </w:r>
          <w:r>
            <w:t>Offences under Forest Management Regulations 1993</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3</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Conservation and Land Management Regulations 2002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Conservation and Land Management Regulations 2002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497" w:name="Compilation"/>
    <w:bookmarkEnd w:id="497"/>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Conservation and Land Management Regulations 2002</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Conservation and Land Management Regulations 2002</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500" w:name="DefinedTerms"/>
    <w:bookmarkEnd w:id="500"/>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501" w:name="Coversheet"/>
    <w:bookmarkEnd w:id="50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28A831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19C759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DD1C0FEC"/>
    <w:lvl w:ilvl="0">
      <w:start w:val="1"/>
      <w:numFmt w:val="decimal"/>
      <w:pStyle w:val="ListNumber3"/>
      <w:lvlText w:val="%1."/>
      <w:lvlJc w:val="left"/>
      <w:pPr>
        <w:tabs>
          <w:tab w:val="num" w:pos="926"/>
        </w:tabs>
        <w:ind w:left="926" w:hanging="360"/>
      </w:pPr>
    </w:lvl>
  </w:abstractNum>
  <w:abstractNum w:abstractNumId="3">
    <w:nsid w:val="FFFFFF7F"/>
    <w:multiLevelType w:val="singleLevel"/>
    <w:tmpl w:val="A300E0C0"/>
    <w:lvl w:ilvl="0">
      <w:start w:val="1"/>
      <w:numFmt w:val="decimal"/>
      <w:pStyle w:val="ListNumber2"/>
      <w:lvlText w:val="%1."/>
      <w:lvlJc w:val="left"/>
      <w:pPr>
        <w:tabs>
          <w:tab w:val="num" w:pos="643"/>
        </w:tabs>
        <w:ind w:left="643" w:hanging="360"/>
      </w:pPr>
    </w:lvl>
  </w:abstractNum>
  <w:abstractNum w:abstractNumId="4">
    <w:nsid w:val="FFFFFF80"/>
    <w:multiLevelType w:val="singleLevel"/>
    <w:tmpl w:val="25D4822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6AC689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7328271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F3E64BC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01C436FA"/>
    <w:lvl w:ilvl="0">
      <w:start w:val="1"/>
      <w:numFmt w:val="decimal"/>
      <w:pStyle w:val="ListNumber"/>
      <w:lvlText w:val="%1."/>
      <w:lvlJc w:val="left"/>
      <w:pPr>
        <w:tabs>
          <w:tab w:val="num" w:pos="360"/>
        </w:tabs>
        <w:ind w:left="360" w:hanging="360"/>
      </w:pPr>
    </w:lvl>
  </w:abstractNum>
  <w:abstractNum w:abstractNumId="9">
    <w:nsid w:val="FFFFFF89"/>
    <w:multiLevelType w:val="singleLevel"/>
    <w:tmpl w:val="C76295B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BB370D7"/>
    <w:multiLevelType w:val="multilevel"/>
    <w:tmpl w:val="B9D6DF1A"/>
    <w:name w:val="SchedulePenaltyNumbers"/>
    <w:lvl w:ilvl="0">
      <w:start w:val="1"/>
      <w:numFmt w:val="none"/>
      <w:lvlText w:val=""/>
      <w:lvlJc w:val="left"/>
      <w:pPr>
        <w:tabs>
          <w:tab w:val="left" w:pos="0"/>
        </w:tabs>
        <w:ind w:left="0"/>
      </w:pPr>
    </w:lvl>
    <w:lvl w:ilvl="1">
      <w:start w:val="1"/>
      <w:numFmt w:val="none"/>
      <w:lvlText w:val=""/>
      <w:lvlJc w:val="left"/>
      <w:pPr>
        <w:tabs>
          <w:tab w:val="left" w:pos="0"/>
        </w:tabs>
        <w:ind w:left="0"/>
      </w:pPr>
    </w:lvl>
    <w:lvl w:ilvl="2">
      <w:start w:val="1"/>
      <w:numFmt w:val="lowerLetter"/>
      <w:lvlText w:val="(%3)"/>
      <w:lvlJc w:val="left"/>
      <w:pPr>
        <w:tabs>
          <w:tab w:val="left" w:pos="0"/>
        </w:tabs>
        <w:ind w:left="0"/>
      </w:pPr>
    </w:lvl>
    <w:lvl w:ilvl="3">
      <w:start w:val="1"/>
      <w:numFmt w:val="lowerRoman"/>
      <w:lvlText w:val="(%4)"/>
      <w:lvlJc w:val="left"/>
      <w:pPr>
        <w:tabs>
          <w:tab w:val="left" w:pos="0"/>
        </w:tabs>
        <w:ind w:left="0"/>
      </w:pPr>
    </w:lvl>
    <w:lvl w:ilvl="4">
      <w:start w:val="1"/>
      <w:numFmt w:val="upperRoman"/>
      <w:lvlText w:val="(%5)"/>
      <w:lvlJc w:val="left"/>
      <w:pPr>
        <w:tabs>
          <w:tab w:val="left" w:pos="0"/>
        </w:tabs>
        <w:ind w:left="0"/>
      </w:pPr>
    </w:lvl>
    <w:lvl w:ilvl="5">
      <w:start w:val="1"/>
      <w:numFmt w:val="none"/>
      <w:lvlText w:val=""/>
      <w:lvlJc w:val="left"/>
      <w:pPr>
        <w:tabs>
          <w:tab w:val="left" w:pos="0"/>
        </w:tabs>
        <w:ind w:left="0"/>
      </w:pPr>
    </w:lvl>
    <w:lvl w:ilvl="6">
      <w:start w:val="1"/>
      <w:numFmt w:val="none"/>
      <w:lvlText w:val=""/>
      <w:lvlJc w:val="left"/>
      <w:pPr>
        <w:tabs>
          <w:tab w:val="left" w:pos="0"/>
        </w:tabs>
        <w:ind w:left="0"/>
      </w:pPr>
    </w:lvl>
    <w:lvl w:ilvl="7">
      <w:start w:val="1"/>
      <w:numFmt w:val="none"/>
      <w:lvlText w:val=""/>
      <w:lvlJc w:val="left"/>
      <w:pPr>
        <w:tabs>
          <w:tab w:val="left" w:pos="0"/>
        </w:tabs>
        <w:ind w:left="0"/>
      </w:pPr>
    </w:lvl>
    <w:lvl w:ilvl="8">
      <w:start w:val="1"/>
      <w:numFmt w:val="none"/>
      <w:lvlText w:val=""/>
      <w:lvlJc w:val="left"/>
      <w:pPr>
        <w:tabs>
          <w:tab w:val="left" w:pos="0"/>
        </w:tabs>
        <w:ind w:left="0"/>
      </w:p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CF3E31F8"/>
    <w:name w:val="SectionNumbers"/>
    <w:lvl w:ilvl="0">
      <w:start w:val="1"/>
      <w:numFmt w:val="decimal"/>
      <w:lvlText w:val="%1"/>
      <w:lvlJc w:val="right"/>
      <w:pPr>
        <w:tabs>
          <w:tab w:val="left" w:pos="0"/>
        </w:tabs>
        <w:ind w:left="0"/>
      </w:pPr>
    </w:lvl>
    <w:lvl w:ilvl="1">
      <w:start w:val="1"/>
      <w:numFmt w:val="decimal"/>
      <w:lvlText w:val="(%2)"/>
      <w:lvlJc w:val="right"/>
      <w:pPr>
        <w:tabs>
          <w:tab w:val="left" w:pos="0"/>
        </w:tabs>
        <w:ind w:left="0"/>
      </w:pPr>
    </w:lvl>
    <w:lvl w:ilvl="2">
      <w:start w:val="1"/>
      <w:numFmt w:val="lowerLetter"/>
      <w:lvlText w:val="(%3)"/>
      <w:lvlJc w:val="left"/>
      <w:pPr>
        <w:tabs>
          <w:tab w:val="left" w:pos="0"/>
        </w:tabs>
        <w:ind w:left="0"/>
      </w:pPr>
    </w:lvl>
    <w:lvl w:ilvl="3">
      <w:start w:val="1"/>
      <w:numFmt w:val="lowerRoman"/>
      <w:lvlText w:val="(%4)"/>
      <w:lvlJc w:val="left"/>
      <w:pPr>
        <w:tabs>
          <w:tab w:val="left" w:pos="0"/>
        </w:tabs>
        <w:ind w:left="0"/>
      </w:pPr>
    </w:lvl>
    <w:lvl w:ilvl="4">
      <w:start w:val="1"/>
      <w:numFmt w:val="upperRoman"/>
      <w:lvlText w:val="(%5)"/>
      <w:lvlJc w:val="left"/>
      <w:pPr>
        <w:tabs>
          <w:tab w:val="left" w:pos="0"/>
        </w:tabs>
        <w:ind w:left="0"/>
      </w:pPr>
    </w:lvl>
    <w:lvl w:ilvl="5">
      <w:start w:val="1"/>
      <w:numFmt w:val="upperLetter"/>
      <w:lvlText w:val="(%6)"/>
      <w:lvlJc w:val="left"/>
      <w:pPr>
        <w:tabs>
          <w:tab w:val="left" w:pos="0"/>
        </w:tabs>
        <w:ind w:left="0"/>
      </w:pPr>
    </w:lvl>
    <w:lvl w:ilvl="6">
      <w:start w:val="1"/>
      <w:numFmt w:val="none"/>
      <w:lvlText w:val=""/>
      <w:lvlJc w:val="left"/>
      <w:pPr>
        <w:tabs>
          <w:tab w:val="left" w:pos="0"/>
        </w:tabs>
        <w:ind w:left="0"/>
      </w:pPr>
    </w:lvl>
    <w:lvl w:ilvl="7">
      <w:start w:val="1"/>
      <w:numFmt w:val="none"/>
      <w:lvlText w:val=""/>
      <w:lvlJc w:val="left"/>
      <w:pPr>
        <w:tabs>
          <w:tab w:val="left" w:pos="0"/>
        </w:tabs>
        <w:ind w:left="0"/>
      </w:pPr>
    </w:lvl>
    <w:lvl w:ilvl="8">
      <w:start w:val="1"/>
      <w:numFmt w:val="none"/>
      <w:lvlText w:val=""/>
      <w:lvlJc w:val="left"/>
      <w:pPr>
        <w:tabs>
          <w:tab w:val="left" w:pos="0"/>
        </w:tabs>
        <w:ind w:left="0"/>
      </w:pPr>
    </w:lvl>
  </w:abstractNum>
  <w:abstractNum w:abstractNumId="13">
    <w:nsid w:val="16880C58"/>
    <w:multiLevelType w:val="multilevel"/>
    <w:tmpl w:val="7226A03A"/>
    <w:name w:val="ScheduleDefinitionNumbers"/>
    <w:lvl w:ilvl="0">
      <w:start w:val="1"/>
      <w:numFmt w:val="none"/>
      <w:lvlText w:val=""/>
      <w:lvlJc w:val="left"/>
      <w:pPr>
        <w:tabs>
          <w:tab w:val="left" w:pos="0"/>
        </w:tabs>
        <w:ind w:left="0"/>
      </w:pPr>
    </w:lvl>
    <w:lvl w:ilvl="1">
      <w:start w:val="1"/>
      <w:numFmt w:val="none"/>
      <w:lvlText w:val=""/>
      <w:lvlJc w:val="left"/>
      <w:pPr>
        <w:tabs>
          <w:tab w:val="left" w:pos="0"/>
        </w:tabs>
        <w:ind w:left="0"/>
      </w:pPr>
    </w:lvl>
    <w:lvl w:ilvl="2">
      <w:start w:val="1"/>
      <w:numFmt w:val="lowerLetter"/>
      <w:lvlText w:val="(%3)"/>
      <w:lvlJc w:val="left"/>
      <w:pPr>
        <w:tabs>
          <w:tab w:val="left" w:pos="0"/>
        </w:tabs>
        <w:ind w:left="0"/>
      </w:pPr>
    </w:lvl>
    <w:lvl w:ilvl="3">
      <w:start w:val="1"/>
      <w:numFmt w:val="lowerRoman"/>
      <w:lvlText w:val="(%4)"/>
      <w:lvlJc w:val="left"/>
      <w:pPr>
        <w:tabs>
          <w:tab w:val="left" w:pos="0"/>
        </w:tabs>
        <w:ind w:left="0"/>
      </w:pPr>
    </w:lvl>
    <w:lvl w:ilvl="4">
      <w:start w:val="1"/>
      <w:numFmt w:val="upperRoman"/>
      <w:lvlText w:val="(%5)"/>
      <w:lvlJc w:val="left"/>
      <w:pPr>
        <w:tabs>
          <w:tab w:val="left" w:pos="0"/>
        </w:tabs>
        <w:ind w:left="0"/>
      </w:pPr>
    </w:lvl>
    <w:lvl w:ilvl="5">
      <w:start w:val="1"/>
      <w:numFmt w:val="none"/>
      <w:lvlText w:val=""/>
      <w:lvlJc w:val="left"/>
      <w:pPr>
        <w:tabs>
          <w:tab w:val="left" w:pos="0"/>
        </w:tabs>
        <w:ind w:left="0"/>
      </w:pPr>
    </w:lvl>
    <w:lvl w:ilvl="6">
      <w:start w:val="1"/>
      <w:numFmt w:val="none"/>
      <w:lvlText w:val=""/>
      <w:lvlJc w:val="left"/>
      <w:pPr>
        <w:tabs>
          <w:tab w:val="left" w:pos="0"/>
        </w:tabs>
        <w:ind w:left="0"/>
      </w:pPr>
    </w:lvl>
    <w:lvl w:ilvl="7">
      <w:start w:val="1"/>
      <w:numFmt w:val="none"/>
      <w:lvlText w:val=""/>
      <w:lvlJc w:val="left"/>
      <w:pPr>
        <w:tabs>
          <w:tab w:val="left" w:pos="0"/>
        </w:tabs>
        <w:ind w:left="0"/>
      </w:pPr>
    </w:lvl>
    <w:lvl w:ilvl="8">
      <w:start w:val="1"/>
      <w:numFmt w:val="none"/>
      <w:lvlText w:val=""/>
      <w:lvlJc w:val="left"/>
      <w:pPr>
        <w:tabs>
          <w:tab w:val="left" w:pos="0"/>
        </w:tabs>
        <w:ind w:left="0"/>
      </w:pPr>
    </w:lvl>
  </w:abstractNum>
  <w:abstractNum w:abstractNumId="14">
    <w:nsid w:val="22FF52EB"/>
    <w:multiLevelType w:val="multilevel"/>
    <w:tmpl w:val="FDFEBE0E"/>
    <w:name w:val="DefinitionNumbers"/>
    <w:lvl w:ilvl="0">
      <w:start w:val="1"/>
      <w:numFmt w:val="none"/>
      <w:pStyle w:val="DefinitionNumbers"/>
      <w:lvlText w:val=""/>
      <w:lvlJc w:val="left"/>
      <w:pPr>
        <w:tabs>
          <w:tab w:val="left" w:pos="0"/>
        </w:tabs>
        <w:ind w:left="0"/>
      </w:pPr>
      <w:rPr>
        <w:rFonts w:hint="default"/>
      </w:rPr>
    </w:lvl>
    <w:lvl w:ilvl="1">
      <w:start w:val="1"/>
      <w:numFmt w:val="none"/>
      <w:lvlText w:val=""/>
      <w:lvlJc w:val="left"/>
      <w:pPr>
        <w:tabs>
          <w:tab w:val="left" w:pos="0"/>
        </w:tabs>
        <w:ind w:left="0"/>
      </w:pPr>
      <w:rPr>
        <w:rFonts w:hint="default"/>
      </w:rPr>
    </w:lvl>
    <w:lvl w:ilvl="2">
      <w:start w:val="1"/>
      <w:numFmt w:val="lowerLetter"/>
      <w:lvlText w:val="(%3)"/>
      <w:lvlJc w:val="left"/>
      <w:pPr>
        <w:tabs>
          <w:tab w:val="left" w:pos="0"/>
        </w:tabs>
        <w:ind w:left="0"/>
      </w:pPr>
      <w:rPr>
        <w:rFonts w:hint="default"/>
      </w:rPr>
    </w:lvl>
    <w:lvl w:ilvl="3">
      <w:start w:val="1"/>
      <w:numFmt w:val="lowerRoman"/>
      <w:lvlText w:val="(%4)"/>
      <w:lvlJc w:val="left"/>
      <w:pPr>
        <w:tabs>
          <w:tab w:val="left" w:pos="0"/>
        </w:tabs>
        <w:ind w:left="0"/>
      </w:pPr>
      <w:rPr>
        <w:rFonts w:hint="default"/>
      </w:rPr>
    </w:lvl>
    <w:lvl w:ilvl="4">
      <w:start w:val="1"/>
      <w:numFmt w:val="upperRoman"/>
      <w:lvlText w:val="(%5)"/>
      <w:lvlJc w:val="left"/>
      <w:pPr>
        <w:tabs>
          <w:tab w:val="left" w:pos="0"/>
        </w:tabs>
        <w:ind w:left="0"/>
      </w:pPr>
      <w:rPr>
        <w:rFonts w:hint="default"/>
      </w:rPr>
    </w:lvl>
    <w:lvl w:ilvl="5">
      <w:start w:val="1"/>
      <w:numFmt w:val="none"/>
      <w:lvlText w:val=""/>
      <w:lvlJc w:val="left"/>
      <w:pPr>
        <w:tabs>
          <w:tab w:val="left" w:pos="0"/>
        </w:tabs>
        <w:ind w:left="0"/>
      </w:pPr>
      <w:rPr>
        <w:rFonts w:hint="default"/>
      </w:rPr>
    </w:lvl>
    <w:lvl w:ilvl="6">
      <w:start w:val="1"/>
      <w:numFmt w:val="none"/>
      <w:lvlText w:val=""/>
      <w:lvlJc w:val="left"/>
      <w:pPr>
        <w:tabs>
          <w:tab w:val="left" w:pos="0"/>
        </w:tabs>
        <w:ind w:left="0"/>
      </w:pPr>
      <w:rPr>
        <w:rFonts w:hint="default"/>
      </w:rPr>
    </w:lvl>
    <w:lvl w:ilvl="7">
      <w:start w:val="1"/>
      <w:numFmt w:val="none"/>
      <w:lvlText w:val=""/>
      <w:lvlJc w:val="left"/>
      <w:pPr>
        <w:tabs>
          <w:tab w:val="left" w:pos="0"/>
        </w:tabs>
        <w:ind w:left="0"/>
      </w:pPr>
      <w:rPr>
        <w:rFonts w:hint="default"/>
      </w:rPr>
    </w:lvl>
    <w:lvl w:ilvl="8">
      <w:start w:val="1"/>
      <w:numFmt w:val="none"/>
      <w:lvlText w:val=""/>
      <w:lvlJc w:val="left"/>
      <w:pPr>
        <w:tabs>
          <w:tab w:val="left" w:pos="0"/>
        </w:tabs>
        <w:ind w:left="0"/>
      </w:pPr>
      <w:rPr>
        <w:rFonts w:hint="default"/>
      </w:rPr>
    </w:lvl>
  </w:abstractNum>
  <w:abstractNum w:abstractNumId="15">
    <w:nsid w:val="310F4753"/>
    <w:multiLevelType w:val="multilevel"/>
    <w:tmpl w:val="4F04CBBC"/>
    <w:name w:val="SchedulePartNumbers"/>
    <w:lvl w:ilvl="0">
      <w:start w:val="1"/>
      <w:numFmt w:val="decimal"/>
      <w:lvlText w:val="%1"/>
      <w:lvlJc w:val="left"/>
      <w:pPr>
        <w:tabs>
          <w:tab w:val="left" w:pos="0"/>
        </w:tabs>
        <w:ind w:left="0"/>
      </w:pPr>
    </w:lvl>
    <w:lvl w:ilvl="1">
      <w:start w:val="1"/>
      <w:numFmt w:val="decimal"/>
      <w:lvlText w:val="%2"/>
      <w:lvlJc w:val="left"/>
      <w:pPr>
        <w:tabs>
          <w:tab w:val="left" w:pos="0"/>
        </w:tabs>
        <w:ind w:left="0"/>
      </w:pPr>
    </w:lvl>
    <w:lvl w:ilvl="2">
      <w:start w:val="1"/>
      <w:numFmt w:val="decimal"/>
      <w:lvlText w:val="%3"/>
      <w:lvlJc w:val="left"/>
      <w:pPr>
        <w:tabs>
          <w:tab w:val="left" w:pos="0"/>
        </w:tabs>
        <w:ind w:left="0"/>
      </w:pPr>
    </w:lvl>
    <w:lvl w:ilvl="3">
      <w:start w:val="1"/>
      <w:numFmt w:val="none"/>
      <w:lvlText w:val="%4"/>
      <w:lvlJc w:val="left"/>
      <w:pPr>
        <w:tabs>
          <w:tab w:val="left" w:pos="0"/>
        </w:tabs>
        <w:ind w:left="0"/>
      </w:pPr>
    </w:lvl>
    <w:lvl w:ilvl="4">
      <w:start w:val="1"/>
      <w:numFmt w:val="none"/>
      <w:lvlText w:val=""/>
      <w:lvlJc w:val="left"/>
      <w:pPr>
        <w:tabs>
          <w:tab w:val="left" w:pos="0"/>
        </w:tabs>
        <w:ind w:left="0"/>
      </w:pPr>
    </w:lvl>
    <w:lvl w:ilvl="5">
      <w:start w:val="1"/>
      <w:numFmt w:val="none"/>
      <w:lvlText w:val=""/>
      <w:lvlJc w:val="left"/>
      <w:pPr>
        <w:tabs>
          <w:tab w:val="left" w:pos="0"/>
        </w:tabs>
        <w:ind w:left="0"/>
      </w:pPr>
    </w:lvl>
    <w:lvl w:ilvl="6">
      <w:start w:val="1"/>
      <w:numFmt w:val="none"/>
      <w:lvlText w:val=""/>
      <w:lvlJc w:val="left"/>
      <w:pPr>
        <w:tabs>
          <w:tab w:val="left" w:pos="0"/>
        </w:tabs>
        <w:ind w:left="0"/>
      </w:pPr>
    </w:lvl>
    <w:lvl w:ilvl="7">
      <w:start w:val="1"/>
      <w:numFmt w:val="none"/>
      <w:lvlText w:val=""/>
      <w:lvlJc w:val="left"/>
      <w:pPr>
        <w:tabs>
          <w:tab w:val="left" w:pos="0"/>
        </w:tabs>
        <w:ind w:left="0"/>
      </w:pPr>
    </w:lvl>
    <w:lvl w:ilvl="8">
      <w:start w:val="1"/>
      <w:numFmt w:val="none"/>
      <w:lvlText w:val=""/>
      <w:lvlJc w:val="left"/>
      <w:pPr>
        <w:tabs>
          <w:tab w:val="left" w:pos="0"/>
        </w:tabs>
        <w:ind w:left="0"/>
      </w:pPr>
    </w:lvl>
  </w:abstractNum>
  <w:abstractNum w:abstractNumId="16">
    <w:nsid w:val="351C33A5"/>
    <w:multiLevelType w:val="multilevel"/>
    <w:tmpl w:val="6A7E0364"/>
    <w:name w:val="ScheduleSectionNumbers"/>
    <w:lvl w:ilvl="0">
      <w:start w:val="1"/>
      <w:numFmt w:val="decimal"/>
      <w:lvlText w:val="%1"/>
      <w:lvlJc w:val="left"/>
      <w:pPr>
        <w:tabs>
          <w:tab w:val="left" w:pos="0"/>
        </w:tabs>
        <w:ind w:left="0"/>
      </w:pPr>
    </w:lvl>
    <w:lvl w:ilvl="1">
      <w:start w:val="1"/>
      <w:numFmt w:val="decimal"/>
      <w:lvlText w:val="(%2)"/>
      <w:lvlJc w:val="left"/>
      <w:pPr>
        <w:tabs>
          <w:tab w:val="left" w:pos="0"/>
        </w:tabs>
        <w:ind w:left="0"/>
      </w:pPr>
    </w:lvl>
    <w:lvl w:ilvl="2">
      <w:start w:val="1"/>
      <w:numFmt w:val="lowerLetter"/>
      <w:lvlText w:val="(%3)"/>
      <w:lvlJc w:val="left"/>
      <w:pPr>
        <w:tabs>
          <w:tab w:val="left" w:pos="0"/>
        </w:tabs>
        <w:ind w:left="0"/>
      </w:pPr>
    </w:lvl>
    <w:lvl w:ilvl="3">
      <w:start w:val="1"/>
      <w:numFmt w:val="lowerRoman"/>
      <w:lvlText w:val="(%4)"/>
      <w:lvlJc w:val="left"/>
      <w:pPr>
        <w:tabs>
          <w:tab w:val="left" w:pos="0"/>
        </w:tabs>
        <w:ind w:left="0"/>
      </w:pPr>
    </w:lvl>
    <w:lvl w:ilvl="4">
      <w:start w:val="1"/>
      <w:numFmt w:val="upperRoman"/>
      <w:lvlText w:val="(%5)"/>
      <w:lvlJc w:val="left"/>
      <w:pPr>
        <w:tabs>
          <w:tab w:val="left" w:pos="0"/>
        </w:tabs>
        <w:ind w:left="0"/>
      </w:pPr>
    </w:lvl>
    <w:lvl w:ilvl="5">
      <w:start w:val="1"/>
      <w:numFmt w:val="upperLetter"/>
      <w:lvlText w:val="(%6)"/>
      <w:lvlJc w:val="left"/>
      <w:pPr>
        <w:tabs>
          <w:tab w:val="left" w:pos="0"/>
        </w:tabs>
        <w:ind w:left="0"/>
      </w:pPr>
    </w:lvl>
    <w:lvl w:ilvl="6">
      <w:start w:val="1"/>
      <w:numFmt w:val="none"/>
      <w:lvlText w:val=""/>
      <w:lvlJc w:val="left"/>
      <w:pPr>
        <w:tabs>
          <w:tab w:val="left" w:pos="0"/>
        </w:tabs>
        <w:ind w:left="0"/>
      </w:pPr>
    </w:lvl>
    <w:lvl w:ilvl="7">
      <w:start w:val="1"/>
      <w:numFmt w:val="none"/>
      <w:lvlText w:val=""/>
      <w:lvlJc w:val="left"/>
      <w:pPr>
        <w:tabs>
          <w:tab w:val="left" w:pos="0"/>
        </w:tabs>
        <w:ind w:left="0"/>
      </w:pPr>
    </w:lvl>
    <w:lvl w:ilvl="8">
      <w:start w:val="1"/>
      <w:numFmt w:val="none"/>
      <w:lvlText w:val=""/>
      <w:lvlJc w:val="left"/>
      <w:pPr>
        <w:tabs>
          <w:tab w:val="left" w:pos="0"/>
        </w:tabs>
        <w:ind w:left="0"/>
      </w:pPr>
    </w:lvl>
  </w:abstractNum>
  <w:abstractNum w:abstractNumId="17">
    <w:nsid w:val="3A396798"/>
    <w:multiLevelType w:val="multilevel"/>
    <w:tmpl w:val="0B425D62"/>
    <w:name w:val="PartNumbers"/>
    <w:lvl w:ilvl="0">
      <w:start w:val="1"/>
      <w:numFmt w:val="decimal"/>
      <w:lvlText w:val="%1"/>
      <w:lvlJc w:val="left"/>
      <w:pPr>
        <w:tabs>
          <w:tab w:val="left" w:pos="0"/>
        </w:tabs>
        <w:ind w:left="0"/>
      </w:pPr>
    </w:lvl>
    <w:lvl w:ilvl="1">
      <w:start w:val="1"/>
      <w:numFmt w:val="decimal"/>
      <w:lvlText w:val="%2"/>
      <w:lvlJc w:val="left"/>
      <w:pPr>
        <w:tabs>
          <w:tab w:val="left" w:pos="0"/>
        </w:tabs>
        <w:ind w:left="0"/>
      </w:pPr>
    </w:lvl>
    <w:lvl w:ilvl="2">
      <w:start w:val="1"/>
      <w:numFmt w:val="decimal"/>
      <w:lvlText w:val="%3"/>
      <w:lvlJc w:val="left"/>
      <w:pPr>
        <w:tabs>
          <w:tab w:val="left" w:pos="0"/>
        </w:tabs>
        <w:ind w:left="0"/>
      </w:pPr>
    </w:lvl>
    <w:lvl w:ilvl="3">
      <w:start w:val="1"/>
      <w:numFmt w:val="decimal"/>
      <w:lvlText w:val="%4"/>
      <w:lvlJc w:val="left"/>
      <w:pPr>
        <w:tabs>
          <w:tab w:val="left" w:pos="0"/>
        </w:tabs>
        <w:ind w:left="0"/>
      </w:pPr>
    </w:lvl>
    <w:lvl w:ilvl="4">
      <w:start w:val="1"/>
      <w:numFmt w:val="none"/>
      <w:lvlText w:val=""/>
      <w:lvlJc w:val="left"/>
      <w:pPr>
        <w:tabs>
          <w:tab w:val="left" w:pos="0"/>
        </w:tabs>
        <w:ind w:left="0"/>
      </w:pPr>
    </w:lvl>
    <w:lvl w:ilvl="5">
      <w:start w:val="1"/>
      <w:numFmt w:val="none"/>
      <w:lvlText w:val=""/>
      <w:lvlJc w:val="left"/>
      <w:pPr>
        <w:tabs>
          <w:tab w:val="left" w:pos="0"/>
        </w:tabs>
        <w:ind w:left="0"/>
      </w:pPr>
    </w:lvl>
    <w:lvl w:ilvl="6">
      <w:start w:val="1"/>
      <w:numFmt w:val="none"/>
      <w:lvlText w:val=""/>
      <w:lvlJc w:val="left"/>
      <w:pPr>
        <w:tabs>
          <w:tab w:val="left" w:pos="0"/>
        </w:tabs>
        <w:ind w:left="0"/>
      </w:pPr>
    </w:lvl>
    <w:lvl w:ilvl="7">
      <w:start w:val="1"/>
      <w:numFmt w:val="none"/>
      <w:lvlText w:val=""/>
      <w:lvlJc w:val="left"/>
      <w:pPr>
        <w:tabs>
          <w:tab w:val="left" w:pos="0"/>
        </w:tabs>
        <w:ind w:left="0"/>
      </w:pPr>
    </w:lvl>
    <w:lvl w:ilvl="8">
      <w:start w:val="1"/>
      <w:numFmt w:val="none"/>
      <w:lvlText w:val=""/>
      <w:lvlJc w:val="left"/>
      <w:pPr>
        <w:tabs>
          <w:tab w:val="left" w:pos="0"/>
        </w:tabs>
        <w:ind w:left="0"/>
      </w:pPr>
    </w:lvl>
  </w:abstractNum>
  <w:abstractNum w:abstractNumId="18">
    <w:nsid w:val="3C2808C0"/>
    <w:multiLevelType w:val="singleLevel"/>
    <w:tmpl w:val="DD522B3E"/>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69F82C98"/>
    <w:multiLevelType w:val="multilevel"/>
    <w:tmpl w:val="70E21894"/>
    <w:name w:val="ScheduleNumbers"/>
    <w:lvl w:ilvl="0">
      <w:start w:val="1"/>
      <w:numFmt w:val="decimal"/>
      <w:lvlText w:val="%1"/>
      <w:lvlJc w:val="left"/>
      <w:pPr>
        <w:tabs>
          <w:tab w:val="left" w:pos="0"/>
        </w:tabs>
        <w:ind w:left="0"/>
      </w:pPr>
    </w:lvl>
    <w:lvl w:ilvl="1">
      <w:start w:val="1"/>
      <w:numFmt w:val="decimal"/>
      <w:lvlText w:val="%2"/>
      <w:lvlJc w:val="left"/>
      <w:pPr>
        <w:tabs>
          <w:tab w:val="left" w:pos="0"/>
        </w:tabs>
        <w:ind w:left="0"/>
      </w:pPr>
    </w:lvl>
    <w:lvl w:ilvl="2">
      <w:start w:val="1"/>
      <w:numFmt w:val="decimal"/>
      <w:lvlText w:val="%3"/>
      <w:lvlJc w:val="left"/>
      <w:pPr>
        <w:tabs>
          <w:tab w:val="left" w:pos="0"/>
        </w:tabs>
        <w:ind w:left="0"/>
      </w:pPr>
    </w:lvl>
    <w:lvl w:ilvl="3">
      <w:start w:val="1"/>
      <w:numFmt w:val="none"/>
      <w:lvlText w:val=""/>
      <w:lvlJc w:val="left"/>
      <w:pPr>
        <w:tabs>
          <w:tab w:val="left" w:pos="0"/>
        </w:tabs>
        <w:ind w:left="0"/>
      </w:pPr>
    </w:lvl>
    <w:lvl w:ilvl="4">
      <w:start w:val="1"/>
      <w:numFmt w:val="none"/>
      <w:lvlText w:val=""/>
      <w:lvlJc w:val="left"/>
      <w:pPr>
        <w:tabs>
          <w:tab w:val="left" w:pos="0"/>
        </w:tabs>
        <w:ind w:left="0"/>
      </w:pPr>
    </w:lvl>
    <w:lvl w:ilvl="5">
      <w:start w:val="1"/>
      <w:numFmt w:val="none"/>
      <w:lvlText w:val=""/>
      <w:lvlJc w:val="left"/>
      <w:pPr>
        <w:tabs>
          <w:tab w:val="left" w:pos="0"/>
        </w:tabs>
        <w:ind w:left="0"/>
      </w:pPr>
    </w:lvl>
    <w:lvl w:ilvl="6">
      <w:start w:val="1"/>
      <w:numFmt w:val="none"/>
      <w:lvlText w:val=""/>
      <w:lvlJc w:val="left"/>
      <w:pPr>
        <w:tabs>
          <w:tab w:val="left" w:pos="0"/>
        </w:tabs>
        <w:ind w:left="0"/>
      </w:pPr>
    </w:lvl>
    <w:lvl w:ilvl="7">
      <w:start w:val="1"/>
      <w:numFmt w:val="none"/>
      <w:lvlText w:val=""/>
      <w:lvlJc w:val="left"/>
      <w:pPr>
        <w:tabs>
          <w:tab w:val="left" w:pos="0"/>
        </w:tabs>
        <w:ind w:left="0"/>
      </w:pPr>
    </w:lvl>
    <w:lvl w:ilvl="8">
      <w:start w:val="1"/>
      <w:numFmt w:val="none"/>
      <w:lvlText w:val=""/>
      <w:lvlJc w:val="left"/>
      <w:pPr>
        <w:tabs>
          <w:tab w:val="left" w:pos="0"/>
        </w:tabs>
        <w:ind w:left="0"/>
      </w:pPr>
    </w:lvl>
  </w:abstractNum>
  <w:abstractNum w:abstractNumId="20">
    <w:nsid w:val="6FDE73CC"/>
    <w:multiLevelType w:val="multilevel"/>
    <w:tmpl w:val="04E64ACC"/>
    <w:name w:val="PenaltyNumbers"/>
    <w:lvl w:ilvl="0">
      <w:start w:val="1"/>
      <w:numFmt w:val="none"/>
      <w:lvlText w:val=""/>
      <w:lvlJc w:val="left"/>
      <w:pPr>
        <w:tabs>
          <w:tab w:val="left" w:pos="0"/>
        </w:tabs>
        <w:ind w:left="0"/>
      </w:pPr>
    </w:lvl>
    <w:lvl w:ilvl="1">
      <w:start w:val="1"/>
      <w:numFmt w:val="none"/>
      <w:lvlText w:val=""/>
      <w:lvlJc w:val="left"/>
      <w:pPr>
        <w:tabs>
          <w:tab w:val="left" w:pos="0"/>
        </w:tabs>
        <w:ind w:left="0"/>
      </w:pPr>
    </w:lvl>
    <w:lvl w:ilvl="2">
      <w:start w:val="1"/>
      <w:numFmt w:val="lowerLetter"/>
      <w:lvlText w:val="(%3)"/>
      <w:lvlJc w:val="left"/>
      <w:pPr>
        <w:tabs>
          <w:tab w:val="left" w:pos="0"/>
        </w:tabs>
        <w:ind w:left="0"/>
      </w:pPr>
    </w:lvl>
    <w:lvl w:ilvl="3">
      <w:start w:val="1"/>
      <w:numFmt w:val="lowerRoman"/>
      <w:lvlText w:val="(%4)"/>
      <w:lvlJc w:val="left"/>
      <w:pPr>
        <w:tabs>
          <w:tab w:val="left" w:pos="0"/>
        </w:tabs>
        <w:ind w:left="0"/>
      </w:pPr>
    </w:lvl>
    <w:lvl w:ilvl="4">
      <w:start w:val="1"/>
      <w:numFmt w:val="upperRoman"/>
      <w:lvlText w:val="(%5)"/>
      <w:lvlJc w:val="left"/>
      <w:pPr>
        <w:tabs>
          <w:tab w:val="left" w:pos="0"/>
        </w:tabs>
        <w:ind w:left="0"/>
      </w:pPr>
    </w:lvl>
    <w:lvl w:ilvl="5">
      <w:start w:val="1"/>
      <w:numFmt w:val="upperLetter"/>
      <w:lvlText w:val=""/>
      <w:lvlJc w:val="left"/>
      <w:pPr>
        <w:tabs>
          <w:tab w:val="left" w:pos="0"/>
        </w:tabs>
        <w:ind w:left="0"/>
      </w:pPr>
    </w:lvl>
    <w:lvl w:ilvl="6">
      <w:start w:val="1"/>
      <w:numFmt w:val="none"/>
      <w:lvlText w:val=""/>
      <w:lvlJc w:val="left"/>
      <w:pPr>
        <w:tabs>
          <w:tab w:val="left" w:pos="0"/>
        </w:tabs>
        <w:ind w:left="0"/>
      </w:pPr>
    </w:lvl>
    <w:lvl w:ilvl="7">
      <w:start w:val="1"/>
      <w:numFmt w:val="none"/>
      <w:lvlText w:val=""/>
      <w:lvlJc w:val="left"/>
      <w:pPr>
        <w:tabs>
          <w:tab w:val="left" w:pos="0"/>
        </w:tabs>
        <w:ind w:left="0"/>
      </w:pPr>
    </w:lvl>
    <w:lvl w:ilvl="8">
      <w:start w:val="1"/>
      <w:numFmt w:val="none"/>
      <w:lvlText w:val=""/>
      <w:lvlJc w:val="left"/>
      <w:pPr>
        <w:tabs>
          <w:tab w:val="left" w:pos="0"/>
        </w:tabs>
        <w:ind w:left="0"/>
      </w:pPr>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8"/>
  </w:num>
  <w:num w:numId="13">
    <w:abstractNumId w:val="11"/>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8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552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0323155010"/>
    <w:docVar w:name="WAFER_20140115141237" w:val="RemoveTocBookmarks,RemoveUnusedBookmarks,RemoveLanguageTags,UsedStyles,ResetPageSize,UpdateArrangement"/>
    <w:docVar w:name="WAFER_20140115141237_GUID" w:val="cfdced70-9e04-4561-a7de-1ac3a8ac76f6"/>
    <w:docVar w:name="WAFER_20140919100941" w:val="RemoveTocBookmarks,RunningHeaders"/>
    <w:docVar w:name="WAFER_20140919100941_GUID" w:val="f43aeac4-711b-4744-885e-d31246cbdb1c"/>
    <w:docVar w:name="WAFER_20140919101009" w:val="RemoveTocBookmarks,RunningHeaders"/>
    <w:docVar w:name="WAFER_20140919101009_GUID" w:val="1d2a74d2-e5a9-4ade-a5e4-5c02b5ab9ebb"/>
    <w:docVar w:name="WAFER_20150108164059" w:val="RemoveTocBookmarks,RunningHeaders"/>
    <w:docVar w:name="WAFER_20150108164059_GUID" w:val="be47908d-f08d-4404-a951-123f83c64947"/>
    <w:docVar w:name="WAFER_20150323155010" w:val="ResetPageSize,UpdateArrangement,UpdateNTable"/>
    <w:docVar w:name="WAFER_20150323155010_GUID" w:val="189d785f-6ef1-488b-8c00-d87ee536a6f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City"/>
  <w:smartTagType w:namespaceuri="urn:schemas-microsoft-com:office:smarttags" w:name="PlaceType"/>
  <w:smartTagType w:namespaceuri="urn:schemas-microsoft-com:office:smarttags" w:name="PlaceName"/>
  <w:smartTagType w:namespaceuri="urn:schemas-microsoft-com:office:smarttags" w:name="place"/>
  <w:shapeDefaults>
    <o:shapedefaults v:ext="edit" spidmax="552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link w:val="SubsectionChar"/>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noProof/>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SignatureText">
    <w:name w:val="SignatureText"/>
    <w:basedOn w:val="Normal"/>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character" w:customStyle="1" w:styleId="SubsectionChar">
    <w:name w:val="Subsection Char"/>
    <w:link w:val="Subsection"/>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link w:val="SubsectionChar"/>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noProof/>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SignatureText">
    <w:name w:val="SignatureText"/>
    <w:basedOn w:val="Normal"/>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character" w:customStyle="1" w:styleId="SubsectionChar">
    <w:name w:val="Subsection Char"/>
    <w:link w:val="Subsectio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9.xml"/><Relationship Id="rId39" Type="http://schemas.openxmlformats.org/officeDocument/2006/relationships/header" Target="header21.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6.xml"/><Relationship Id="rId42" Type="http://schemas.openxmlformats.org/officeDocument/2006/relationships/header" Target="header22.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footer" Target="footer8.xml"/><Relationship Id="rId33" Type="http://schemas.openxmlformats.org/officeDocument/2006/relationships/header" Target="header15.xml"/><Relationship Id="rId38" Type="http://schemas.openxmlformats.org/officeDocument/2006/relationships/header" Target="header20.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41" Type="http://schemas.openxmlformats.org/officeDocument/2006/relationships/footer" Target="footer10.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7.xml"/><Relationship Id="rId32" Type="http://schemas.openxmlformats.org/officeDocument/2006/relationships/header" Target="header14.xml"/><Relationship Id="rId37" Type="http://schemas.openxmlformats.org/officeDocument/2006/relationships/header" Target="header19.xml"/><Relationship Id="rId40" Type="http://schemas.openxmlformats.org/officeDocument/2006/relationships/footer" Target="footer9.xml"/><Relationship Id="rId45"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1.xml"/><Relationship Id="rId36" Type="http://schemas.openxmlformats.org/officeDocument/2006/relationships/header" Target="header18.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3.xml"/><Relationship Id="rId44"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0.xml"/><Relationship Id="rId30" Type="http://schemas.openxmlformats.org/officeDocument/2006/relationships/image" Target="media/image2.png"/><Relationship Id="rId35" Type="http://schemas.openxmlformats.org/officeDocument/2006/relationships/header" Target="header17.xml"/><Relationship Id="rId43" Type="http://schemas.openxmlformats.org/officeDocument/2006/relationships/footer" Target="footer1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CAD5A09-CF31-4E9D-83AD-8CFBD5DCA9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137</Pages>
  <Words>30307</Words>
  <Characters>142750</Characters>
  <Application>Microsoft Office Word</Application>
  <DocSecurity>0</DocSecurity>
  <Lines>4922</Lines>
  <Paragraphs>3605</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169452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Conservation and Land Management Regulations 2002 - 03-f0-00</dc:title>
  <dc:subject/>
  <dc:creator/>
  <cp:keywords/>
  <dc:description/>
  <cp:lastModifiedBy>svcMRProcess</cp:lastModifiedBy>
  <cp:revision>4</cp:revision>
  <cp:lastPrinted>2013-07-30T05:56:00Z</cp:lastPrinted>
  <dcterms:created xsi:type="dcterms:W3CDTF">2018-09-11T02:25:00Z</dcterms:created>
  <dcterms:modified xsi:type="dcterms:W3CDTF">2018-09-11T02:25:00Z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 May 2002 p. 2233-308</vt:lpwstr>
  </property>
  <property fmtid="{D5CDD505-2E9C-101B-9397-08002B2CF9AE}" pid="3" name="DocumentType">
    <vt:lpwstr>Reg</vt:lpwstr>
  </property>
  <property fmtid="{D5CDD505-2E9C-101B-9397-08002B2CF9AE}" pid="4" name="OwlsUID">
    <vt:i4>609</vt:i4>
  </property>
  <property fmtid="{D5CDD505-2E9C-101B-9397-08002B2CF9AE}" pid="5" name="ReprintNo">
    <vt:lpwstr>3</vt:lpwstr>
  </property>
  <property fmtid="{D5CDD505-2E9C-101B-9397-08002B2CF9AE}" pid="6" name="ReprintedAsAt">
    <vt:filetime>2013-07-11T16:00:00Z</vt:filetime>
  </property>
  <property fmtid="{D5CDD505-2E9C-101B-9397-08002B2CF9AE}" pid="7" name="AsAtDate">
    <vt:lpwstr>27 Apr 2015</vt:lpwstr>
  </property>
  <property fmtid="{D5CDD505-2E9C-101B-9397-08002B2CF9AE}" pid="8" name="Suffix">
    <vt:lpwstr>03-f0-00</vt:lpwstr>
  </property>
  <property fmtid="{D5CDD505-2E9C-101B-9397-08002B2CF9AE}" pid="9" name="CommencementDate">
    <vt:lpwstr>20150427</vt:lpwstr>
  </property>
</Properties>
</file>