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4" name="Picture 24"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Program Files\PCO DLL\Support\Crest.w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
        <w:spacing w:before="2600" w:after="0"/>
      </w:pPr>
      <w:r>
        <w:t>Children and Community Services Act 2004</w:t>
      </w:r>
    </w:p>
    <w:p>
      <w:pPr>
        <w:pStyle w:val="NameofActReg"/>
        <w:spacing w:before="3760" w:after="4200"/>
        <w:ind w:left="600" w:right="488"/>
      </w:pPr>
      <w:r>
        <w:rPr>
          <w:noProof/>
        </w:rPr>
        <w:t>Children and Community Services Regulations 2006</w:t>
      </w:r>
    </w:p>
    <w:p>
      <w:pPr>
        <w:jc w:val="center"/>
        <w:rPr>
          <w:b/>
        </w:rPr>
        <w:sectPr>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p>
        </w:tc>
        <w:tc>
          <w:tcPr>
            <w:tcW w:w="2434" w:type="dxa"/>
          </w:tcP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 xml:space="preserve">Reprinted under the </w:t>
            </w:r>
            <w:r>
              <w:rPr>
                <w:b/>
                <w:i/>
                <w:sz w:val="22"/>
              </w:rPr>
              <w:t>Reprints Act 1984</w:t>
            </w:r>
            <w:r>
              <w:rPr>
                <w:b/>
                <w:sz w:val="22"/>
              </w:rPr>
              <w:t xml:space="preserve"> as at 2 February 2007</w:t>
            </w:r>
          </w:p>
        </w:tc>
      </w:tr>
    </w:tbl>
    <w:p>
      <w:pPr>
        <w:pStyle w:val="WA"/>
        <w:spacing w:before="120"/>
      </w:pPr>
      <w:r>
        <w:t>Western Australia</w:t>
      </w:r>
    </w:p>
    <w:p>
      <w:pPr>
        <w:pStyle w:val="NameofActRegPage1"/>
        <w:ind w:left="284" w:right="433"/>
      </w:pPr>
      <w:r>
        <w:fldChar w:fldCharType="begin"/>
      </w:r>
      <w:r>
        <w:instrText xml:space="preserve"> STYLEREF "Name Of Act/Reg"</w:instrText>
      </w:r>
      <w:r>
        <w:fldChar w:fldCharType="separate"/>
      </w:r>
      <w:r>
        <w:rPr>
          <w:noProof/>
        </w:rPr>
        <w:t>Children and Community Services Regulations 2006</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zCs w:val="24"/>
        </w:rPr>
        <w:tab/>
        <w:t>Citation</w:t>
      </w:r>
      <w:r>
        <w:tab/>
      </w:r>
      <w:r>
        <w:fldChar w:fldCharType="begin"/>
      </w:r>
      <w:r>
        <w:instrText xml:space="preserve"> PAGEREF _Toc159233138 \h </w:instrText>
      </w:r>
      <w:r>
        <w:fldChar w:fldCharType="separate"/>
      </w:r>
      <w:r>
        <w:t>1</w:t>
      </w:r>
      <w:r>
        <w:fldChar w:fldCharType="end"/>
      </w:r>
    </w:p>
    <w:p>
      <w:pPr>
        <w:pStyle w:val="TOC8"/>
        <w:rPr>
          <w:sz w:val="24"/>
          <w:szCs w:val="24"/>
        </w:rPr>
      </w:pPr>
      <w:r>
        <w:rPr>
          <w:szCs w:val="24"/>
        </w:rPr>
        <w:t>2</w:t>
      </w:r>
      <w:r>
        <w:rPr>
          <w:spacing w:val="-2"/>
          <w:szCs w:val="24"/>
        </w:rPr>
        <w:t>.</w:t>
      </w:r>
      <w:r>
        <w:rPr>
          <w:spacing w:val="-2"/>
          <w:szCs w:val="24"/>
        </w:rPr>
        <w:tab/>
        <w:t>Commencement</w:t>
      </w:r>
      <w:r>
        <w:tab/>
      </w:r>
      <w:r>
        <w:fldChar w:fldCharType="begin"/>
      </w:r>
      <w:r>
        <w:instrText xml:space="preserve"> PAGEREF _Toc159233139 \h </w:instrText>
      </w:r>
      <w:r>
        <w:fldChar w:fldCharType="separate"/>
      </w:r>
      <w:r>
        <w:t>1</w:t>
      </w:r>
      <w:r>
        <w:fldChar w:fldCharType="end"/>
      </w:r>
    </w:p>
    <w:p>
      <w:pPr>
        <w:pStyle w:val="TOC8"/>
        <w:rPr>
          <w:sz w:val="24"/>
          <w:szCs w:val="24"/>
        </w:rPr>
      </w:pPr>
      <w:r>
        <w:rPr>
          <w:szCs w:val="24"/>
        </w:rPr>
        <w:t>3.</w:t>
      </w:r>
      <w:r>
        <w:rPr>
          <w:szCs w:val="24"/>
        </w:rPr>
        <w:tab/>
        <w:t>Terms used in these regulations</w:t>
      </w:r>
      <w:r>
        <w:tab/>
      </w:r>
      <w:r>
        <w:fldChar w:fldCharType="begin"/>
      </w:r>
      <w:r>
        <w:instrText xml:space="preserve"> PAGEREF _Toc159233140 \h </w:instrText>
      </w:r>
      <w:r>
        <w:fldChar w:fldCharType="separate"/>
      </w:r>
      <w:r>
        <w:t>1</w:t>
      </w:r>
      <w:r>
        <w:fldChar w:fldCharType="end"/>
      </w:r>
    </w:p>
    <w:p>
      <w:pPr>
        <w:pStyle w:val="TOC2"/>
        <w:tabs>
          <w:tab w:val="right" w:leader="dot" w:pos="7086"/>
        </w:tabs>
        <w:rPr>
          <w:b w:val="0"/>
          <w:sz w:val="24"/>
          <w:szCs w:val="24"/>
        </w:rPr>
      </w:pPr>
      <w:r>
        <w:rPr>
          <w:szCs w:val="30"/>
        </w:rPr>
        <w:t>Part 2 — Children in the CEO’s care</w:t>
      </w:r>
    </w:p>
    <w:p>
      <w:pPr>
        <w:pStyle w:val="TOC8"/>
        <w:rPr>
          <w:sz w:val="24"/>
          <w:szCs w:val="24"/>
        </w:rPr>
      </w:pPr>
      <w:r>
        <w:rPr>
          <w:szCs w:val="24"/>
        </w:rPr>
        <w:t>4.</w:t>
      </w:r>
      <w:r>
        <w:rPr>
          <w:szCs w:val="24"/>
        </w:rPr>
        <w:tab/>
        <w:t>Approval of carers</w:t>
      </w:r>
      <w:r>
        <w:tab/>
      </w:r>
      <w:r>
        <w:fldChar w:fldCharType="begin"/>
      </w:r>
      <w:r>
        <w:instrText xml:space="preserve"> PAGEREF _Toc159233142 \h </w:instrText>
      </w:r>
      <w:r>
        <w:fldChar w:fldCharType="separate"/>
      </w:r>
      <w:r>
        <w:t>2</w:t>
      </w:r>
      <w:r>
        <w:fldChar w:fldCharType="end"/>
      </w:r>
    </w:p>
    <w:p>
      <w:pPr>
        <w:pStyle w:val="TOC8"/>
        <w:rPr>
          <w:sz w:val="24"/>
          <w:szCs w:val="24"/>
        </w:rPr>
      </w:pPr>
      <w:r>
        <w:rPr>
          <w:szCs w:val="24"/>
        </w:rPr>
        <w:t>5.</w:t>
      </w:r>
      <w:r>
        <w:rPr>
          <w:szCs w:val="24"/>
        </w:rPr>
        <w:tab/>
        <w:t>Records — prescribed information</w:t>
      </w:r>
      <w:r>
        <w:tab/>
      </w:r>
      <w:r>
        <w:fldChar w:fldCharType="begin"/>
      </w:r>
      <w:r>
        <w:instrText xml:space="preserve"> PAGEREF _Toc159233143 \h </w:instrText>
      </w:r>
      <w:r>
        <w:fldChar w:fldCharType="separate"/>
      </w:r>
      <w:r>
        <w:t>3</w:t>
      </w:r>
      <w:r>
        <w:fldChar w:fldCharType="end"/>
      </w:r>
    </w:p>
    <w:p>
      <w:pPr>
        <w:pStyle w:val="TOC2"/>
        <w:tabs>
          <w:tab w:val="right" w:leader="dot" w:pos="7086"/>
        </w:tabs>
        <w:rPr>
          <w:b w:val="0"/>
          <w:sz w:val="24"/>
          <w:szCs w:val="24"/>
        </w:rPr>
      </w:pPr>
      <w:r>
        <w:rPr>
          <w:szCs w:val="30"/>
        </w:rPr>
        <w:t>Part 3 — Restraint, search and seizure</w:t>
      </w:r>
    </w:p>
    <w:p>
      <w:pPr>
        <w:pStyle w:val="TOC8"/>
        <w:rPr>
          <w:sz w:val="24"/>
          <w:szCs w:val="24"/>
        </w:rPr>
      </w:pPr>
      <w:r>
        <w:rPr>
          <w:szCs w:val="24"/>
        </w:rPr>
        <w:t>6.</w:t>
      </w:r>
      <w:r>
        <w:rPr>
          <w:szCs w:val="24"/>
        </w:rPr>
        <w:tab/>
        <w:t>Prescribed amount (s. 112 — definition of “disposable article”)</w:t>
      </w:r>
      <w:r>
        <w:tab/>
      </w:r>
      <w:r>
        <w:fldChar w:fldCharType="begin"/>
      </w:r>
      <w:r>
        <w:instrText xml:space="preserve"> PAGEREF _Toc159233145 \h </w:instrText>
      </w:r>
      <w:r>
        <w:fldChar w:fldCharType="separate"/>
      </w:r>
      <w:r>
        <w:t>5</w:t>
      </w:r>
      <w:r>
        <w:fldChar w:fldCharType="end"/>
      </w:r>
    </w:p>
    <w:p>
      <w:pPr>
        <w:pStyle w:val="TOC8"/>
        <w:rPr>
          <w:sz w:val="24"/>
          <w:szCs w:val="24"/>
        </w:rPr>
      </w:pPr>
      <w:r>
        <w:rPr>
          <w:szCs w:val="24"/>
        </w:rPr>
        <w:t>7.</w:t>
      </w:r>
      <w:r>
        <w:rPr>
          <w:szCs w:val="24"/>
        </w:rPr>
        <w:tab/>
        <w:t>Officer to record use of restraint</w:t>
      </w:r>
      <w:r>
        <w:tab/>
      </w:r>
      <w:r>
        <w:fldChar w:fldCharType="begin"/>
      </w:r>
      <w:r>
        <w:instrText xml:space="preserve"> PAGEREF _Toc159233146 \h </w:instrText>
      </w:r>
      <w:r>
        <w:fldChar w:fldCharType="separate"/>
      </w:r>
      <w:r>
        <w:t>5</w:t>
      </w:r>
      <w:r>
        <w:fldChar w:fldCharType="end"/>
      </w:r>
    </w:p>
    <w:p>
      <w:pPr>
        <w:pStyle w:val="TOC8"/>
        <w:rPr>
          <w:sz w:val="24"/>
          <w:szCs w:val="24"/>
        </w:rPr>
      </w:pPr>
      <w:r>
        <w:rPr>
          <w:szCs w:val="24"/>
        </w:rPr>
        <w:t>8.</w:t>
      </w:r>
      <w:r>
        <w:rPr>
          <w:szCs w:val="24"/>
        </w:rPr>
        <w:tab/>
        <w:t>How seized articles are to be dealt with</w:t>
      </w:r>
      <w:r>
        <w:tab/>
      </w:r>
      <w:r>
        <w:fldChar w:fldCharType="begin"/>
      </w:r>
      <w:r>
        <w:instrText xml:space="preserve"> PAGEREF _Toc159233147 \h </w:instrText>
      </w:r>
      <w:r>
        <w:fldChar w:fldCharType="separate"/>
      </w:r>
      <w:r>
        <w:t>5</w:t>
      </w:r>
      <w:r>
        <w:fldChar w:fldCharType="end"/>
      </w:r>
    </w:p>
    <w:p>
      <w:pPr>
        <w:pStyle w:val="TOC2"/>
        <w:tabs>
          <w:tab w:val="right" w:leader="dot" w:pos="7086"/>
        </w:tabs>
        <w:rPr>
          <w:b w:val="0"/>
          <w:sz w:val="24"/>
          <w:szCs w:val="24"/>
        </w:rPr>
      </w:pPr>
      <w:r>
        <w:rPr>
          <w:szCs w:val="30"/>
        </w:rPr>
        <w:t>Part 4 — Pre</w:t>
      </w:r>
      <w:r>
        <w:rPr>
          <w:szCs w:val="30"/>
        </w:rPr>
        <w:noBreakHyphen/>
        <w:t>hearing conferences</w:t>
      </w:r>
    </w:p>
    <w:p>
      <w:pPr>
        <w:pStyle w:val="TOC8"/>
        <w:rPr>
          <w:sz w:val="24"/>
          <w:szCs w:val="24"/>
        </w:rPr>
      </w:pPr>
      <w:r>
        <w:rPr>
          <w:szCs w:val="24"/>
        </w:rPr>
        <w:t>9.</w:t>
      </w:r>
      <w:r>
        <w:rPr>
          <w:szCs w:val="24"/>
        </w:rPr>
        <w:tab/>
        <w:t>Terms used in this Part</w:t>
      </w:r>
      <w:r>
        <w:tab/>
      </w:r>
      <w:r>
        <w:fldChar w:fldCharType="begin"/>
      </w:r>
      <w:r>
        <w:instrText xml:space="preserve"> PAGEREF _Toc159233149 \h </w:instrText>
      </w:r>
      <w:r>
        <w:fldChar w:fldCharType="separate"/>
      </w:r>
      <w:r>
        <w:t>6</w:t>
      </w:r>
      <w:r>
        <w:fldChar w:fldCharType="end"/>
      </w:r>
    </w:p>
    <w:p>
      <w:pPr>
        <w:pStyle w:val="TOC8"/>
        <w:rPr>
          <w:sz w:val="24"/>
          <w:szCs w:val="24"/>
        </w:rPr>
      </w:pPr>
      <w:r>
        <w:rPr>
          <w:szCs w:val="24"/>
        </w:rPr>
        <w:t>10.</w:t>
      </w:r>
      <w:r>
        <w:rPr>
          <w:szCs w:val="24"/>
        </w:rPr>
        <w:tab/>
        <w:t>Appointment of convenors</w:t>
      </w:r>
      <w:r>
        <w:tab/>
      </w:r>
      <w:r>
        <w:fldChar w:fldCharType="begin"/>
      </w:r>
      <w:r>
        <w:instrText xml:space="preserve"> PAGEREF _Toc159233150 \h </w:instrText>
      </w:r>
      <w:r>
        <w:fldChar w:fldCharType="separate"/>
      </w:r>
      <w:r>
        <w:t>6</w:t>
      </w:r>
      <w:r>
        <w:fldChar w:fldCharType="end"/>
      </w:r>
    </w:p>
    <w:p>
      <w:pPr>
        <w:pStyle w:val="TOC8"/>
        <w:rPr>
          <w:sz w:val="24"/>
          <w:szCs w:val="24"/>
        </w:rPr>
      </w:pPr>
      <w:r>
        <w:rPr>
          <w:szCs w:val="24"/>
        </w:rPr>
        <w:t>11.</w:t>
      </w:r>
      <w:r>
        <w:rPr>
          <w:szCs w:val="24"/>
        </w:rPr>
        <w:tab/>
        <w:t>Tenure, terms and conditions of appointment</w:t>
      </w:r>
      <w:r>
        <w:tab/>
      </w:r>
      <w:r>
        <w:fldChar w:fldCharType="begin"/>
      </w:r>
      <w:r>
        <w:instrText xml:space="preserve"> PAGEREF _Toc159233151 \h </w:instrText>
      </w:r>
      <w:r>
        <w:fldChar w:fldCharType="separate"/>
      </w:r>
      <w:r>
        <w:t>6</w:t>
      </w:r>
      <w:r>
        <w:fldChar w:fldCharType="end"/>
      </w:r>
    </w:p>
    <w:p>
      <w:pPr>
        <w:pStyle w:val="TOC8"/>
        <w:rPr>
          <w:sz w:val="24"/>
          <w:szCs w:val="24"/>
        </w:rPr>
      </w:pPr>
      <w:r>
        <w:rPr>
          <w:szCs w:val="24"/>
        </w:rPr>
        <w:t>12.</w:t>
      </w:r>
      <w:r>
        <w:rPr>
          <w:szCs w:val="24"/>
        </w:rPr>
        <w:tab/>
        <w:t>Resignation</w:t>
      </w:r>
      <w:r>
        <w:tab/>
      </w:r>
      <w:r>
        <w:fldChar w:fldCharType="begin"/>
      </w:r>
      <w:r>
        <w:instrText xml:space="preserve"> PAGEREF _Toc159233152 \h </w:instrText>
      </w:r>
      <w:r>
        <w:fldChar w:fldCharType="separate"/>
      </w:r>
      <w:r>
        <w:t>6</w:t>
      </w:r>
      <w:r>
        <w:fldChar w:fldCharType="end"/>
      </w:r>
    </w:p>
    <w:p>
      <w:pPr>
        <w:pStyle w:val="TOC8"/>
        <w:rPr>
          <w:sz w:val="24"/>
          <w:szCs w:val="24"/>
        </w:rPr>
      </w:pPr>
      <w:r>
        <w:rPr>
          <w:szCs w:val="24"/>
        </w:rPr>
        <w:t>13.</w:t>
      </w:r>
      <w:r>
        <w:rPr>
          <w:szCs w:val="24"/>
        </w:rPr>
        <w:tab/>
        <w:t>Removal from office</w:t>
      </w:r>
      <w:r>
        <w:tab/>
      </w:r>
      <w:r>
        <w:fldChar w:fldCharType="begin"/>
      </w:r>
      <w:r>
        <w:instrText xml:space="preserve"> PAGEREF _Toc159233153 \h </w:instrText>
      </w:r>
      <w:r>
        <w:fldChar w:fldCharType="separate"/>
      </w:r>
      <w:r>
        <w:t>7</w:t>
      </w:r>
      <w:r>
        <w:fldChar w:fldCharType="end"/>
      </w:r>
    </w:p>
    <w:p>
      <w:pPr>
        <w:pStyle w:val="TOC8"/>
        <w:rPr>
          <w:sz w:val="24"/>
          <w:szCs w:val="24"/>
        </w:rPr>
      </w:pPr>
      <w:r>
        <w:rPr>
          <w:szCs w:val="24"/>
        </w:rPr>
        <w:t>14.</w:t>
      </w:r>
      <w:r>
        <w:rPr>
          <w:szCs w:val="24"/>
        </w:rPr>
        <w:tab/>
        <w:t>People who may attend pre</w:t>
      </w:r>
      <w:r>
        <w:rPr>
          <w:szCs w:val="24"/>
        </w:rPr>
        <w:noBreakHyphen/>
        <w:t>hearing conference</w:t>
      </w:r>
      <w:r>
        <w:tab/>
      </w:r>
      <w:r>
        <w:fldChar w:fldCharType="begin"/>
      </w:r>
      <w:r>
        <w:instrText xml:space="preserve"> PAGEREF _Toc159233154 \h </w:instrText>
      </w:r>
      <w:r>
        <w:fldChar w:fldCharType="separate"/>
      </w:r>
      <w:r>
        <w:t>7</w:t>
      </w:r>
      <w:r>
        <w:fldChar w:fldCharType="end"/>
      </w:r>
    </w:p>
    <w:p>
      <w:pPr>
        <w:pStyle w:val="TOC8"/>
        <w:rPr>
          <w:sz w:val="24"/>
          <w:szCs w:val="24"/>
        </w:rPr>
      </w:pPr>
      <w:r>
        <w:rPr>
          <w:szCs w:val="24"/>
        </w:rPr>
        <w:t>15.</w:t>
      </w:r>
      <w:r>
        <w:rPr>
          <w:szCs w:val="24"/>
        </w:rPr>
        <w:tab/>
        <w:t>Participation using video link, audio link, etc.</w:t>
      </w:r>
      <w:r>
        <w:tab/>
      </w:r>
      <w:r>
        <w:fldChar w:fldCharType="begin"/>
      </w:r>
      <w:r>
        <w:instrText xml:space="preserve"> PAGEREF _Toc159233155 \h </w:instrText>
      </w:r>
      <w:r>
        <w:fldChar w:fldCharType="separate"/>
      </w:r>
      <w:r>
        <w:t>7</w:t>
      </w:r>
      <w:r>
        <w:fldChar w:fldCharType="end"/>
      </w:r>
    </w:p>
    <w:p>
      <w:pPr>
        <w:pStyle w:val="TOC2"/>
        <w:tabs>
          <w:tab w:val="right" w:leader="dot" w:pos="7086"/>
        </w:tabs>
        <w:rPr>
          <w:b w:val="0"/>
          <w:sz w:val="24"/>
          <w:szCs w:val="24"/>
        </w:rPr>
      </w:pPr>
      <w:r>
        <w:rPr>
          <w:szCs w:val="30"/>
        </w:rPr>
        <w:t>Part 5 — Reports about child</w:t>
      </w:r>
    </w:p>
    <w:p>
      <w:pPr>
        <w:pStyle w:val="TOC8"/>
        <w:rPr>
          <w:sz w:val="24"/>
          <w:szCs w:val="24"/>
        </w:rPr>
      </w:pPr>
      <w:r>
        <w:rPr>
          <w:szCs w:val="24"/>
        </w:rPr>
        <w:t>16.</w:t>
      </w:r>
      <w:r>
        <w:rPr>
          <w:szCs w:val="24"/>
        </w:rPr>
        <w:tab/>
        <w:t>Terms used in this Part</w:t>
      </w:r>
      <w:r>
        <w:tab/>
      </w:r>
      <w:r>
        <w:fldChar w:fldCharType="begin"/>
      </w:r>
      <w:r>
        <w:instrText xml:space="preserve"> PAGEREF _Toc159233157 \h </w:instrText>
      </w:r>
      <w:r>
        <w:fldChar w:fldCharType="separate"/>
      </w:r>
      <w:r>
        <w:t>8</w:t>
      </w:r>
      <w:r>
        <w:fldChar w:fldCharType="end"/>
      </w:r>
    </w:p>
    <w:p>
      <w:pPr>
        <w:pStyle w:val="TOC8"/>
        <w:rPr>
          <w:sz w:val="24"/>
          <w:szCs w:val="24"/>
        </w:rPr>
      </w:pPr>
      <w:r>
        <w:rPr>
          <w:szCs w:val="24"/>
        </w:rPr>
        <w:t>17.</w:t>
      </w:r>
      <w:r>
        <w:rPr>
          <w:szCs w:val="24"/>
        </w:rPr>
        <w:tab/>
        <w:t>Appointment of people to provide reports</w:t>
      </w:r>
      <w:r>
        <w:tab/>
      </w:r>
      <w:r>
        <w:fldChar w:fldCharType="begin"/>
      </w:r>
      <w:r>
        <w:instrText xml:space="preserve"> PAGEREF _Toc159233158 \h </w:instrText>
      </w:r>
      <w:r>
        <w:fldChar w:fldCharType="separate"/>
      </w:r>
      <w:r>
        <w:t>8</w:t>
      </w:r>
      <w:r>
        <w:fldChar w:fldCharType="end"/>
      </w:r>
    </w:p>
    <w:p>
      <w:pPr>
        <w:pStyle w:val="TOC8"/>
        <w:rPr>
          <w:sz w:val="24"/>
          <w:szCs w:val="24"/>
        </w:rPr>
      </w:pPr>
      <w:r>
        <w:rPr>
          <w:szCs w:val="24"/>
        </w:rPr>
        <w:t>18.</w:t>
      </w:r>
      <w:r>
        <w:rPr>
          <w:szCs w:val="24"/>
        </w:rPr>
        <w:tab/>
        <w:t>President to establish panel</w:t>
      </w:r>
      <w:r>
        <w:tab/>
      </w:r>
      <w:r>
        <w:fldChar w:fldCharType="begin"/>
      </w:r>
      <w:r>
        <w:instrText xml:space="preserve"> PAGEREF _Toc159233159 \h </w:instrText>
      </w:r>
      <w:r>
        <w:fldChar w:fldCharType="separate"/>
      </w:r>
      <w:r>
        <w:t>8</w:t>
      </w:r>
      <w:r>
        <w:fldChar w:fldCharType="end"/>
      </w:r>
    </w:p>
    <w:p>
      <w:pPr>
        <w:pStyle w:val="TOC8"/>
        <w:rPr>
          <w:sz w:val="24"/>
          <w:szCs w:val="24"/>
        </w:rPr>
      </w:pPr>
      <w:r>
        <w:rPr>
          <w:szCs w:val="24"/>
        </w:rPr>
        <w:t>19.</w:t>
      </w:r>
      <w:r>
        <w:rPr>
          <w:szCs w:val="24"/>
        </w:rPr>
        <w:tab/>
        <w:t>Terms and conditions of appointment</w:t>
      </w:r>
      <w:r>
        <w:tab/>
      </w:r>
      <w:r>
        <w:fldChar w:fldCharType="begin"/>
      </w:r>
      <w:r>
        <w:instrText xml:space="preserve"> PAGEREF _Toc159233160 \h </w:instrText>
      </w:r>
      <w:r>
        <w:fldChar w:fldCharType="separate"/>
      </w:r>
      <w:r>
        <w:t>8</w:t>
      </w:r>
      <w:r>
        <w:fldChar w:fldCharType="end"/>
      </w:r>
    </w:p>
    <w:p>
      <w:pPr>
        <w:pStyle w:val="TOC8"/>
        <w:rPr>
          <w:sz w:val="24"/>
          <w:szCs w:val="24"/>
        </w:rPr>
      </w:pPr>
      <w:r>
        <w:rPr>
          <w:szCs w:val="24"/>
        </w:rPr>
        <w:t>20.</w:t>
      </w:r>
      <w:r>
        <w:rPr>
          <w:szCs w:val="24"/>
        </w:rPr>
        <w:tab/>
        <w:t>Costs of report</w:t>
      </w:r>
      <w:r>
        <w:tab/>
      </w:r>
      <w:r>
        <w:fldChar w:fldCharType="begin"/>
      </w:r>
      <w:r>
        <w:instrText xml:space="preserve"> PAGEREF _Toc159233161 \h </w:instrText>
      </w:r>
      <w:r>
        <w:fldChar w:fldCharType="separate"/>
      </w:r>
      <w:r>
        <w:t>9</w:t>
      </w:r>
      <w:r>
        <w:fldChar w:fldCharType="end"/>
      </w:r>
    </w:p>
    <w:p>
      <w:pPr>
        <w:pStyle w:val="TOC2"/>
        <w:tabs>
          <w:tab w:val="right" w:leader="dot" w:pos="7086"/>
        </w:tabs>
        <w:rPr>
          <w:b w:val="0"/>
          <w:sz w:val="24"/>
          <w:szCs w:val="24"/>
        </w:rPr>
      </w:pPr>
      <w:r>
        <w:rPr>
          <w:szCs w:val="30"/>
        </w:rPr>
        <w:t>Part 6 — Miscellaneous</w:t>
      </w:r>
    </w:p>
    <w:p>
      <w:pPr>
        <w:pStyle w:val="TOC8"/>
        <w:rPr>
          <w:sz w:val="24"/>
          <w:szCs w:val="24"/>
        </w:rPr>
      </w:pPr>
      <w:r>
        <w:rPr>
          <w:szCs w:val="24"/>
        </w:rPr>
        <w:t>21.</w:t>
      </w:r>
      <w:r>
        <w:rPr>
          <w:szCs w:val="24"/>
        </w:rPr>
        <w:tab/>
        <w:t>Payments to enduring parental carers</w:t>
      </w:r>
      <w:r>
        <w:tab/>
      </w:r>
      <w:r>
        <w:fldChar w:fldCharType="begin"/>
      </w:r>
      <w:r>
        <w:instrText xml:space="preserve"> PAGEREF _Toc159233163 \h </w:instrText>
      </w:r>
      <w:r>
        <w:fldChar w:fldCharType="separate"/>
      </w:r>
      <w:r>
        <w:t>10</w:t>
      </w:r>
      <w:r>
        <w:fldChar w:fldCharType="end"/>
      </w:r>
    </w:p>
    <w:p>
      <w:pPr>
        <w:pStyle w:val="TOC8"/>
        <w:rPr>
          <w:sz w:val="24"/>
          <w:szCs w:val="24"/>
        </w:rPr>
      </w:pPr>
      <w:r>
        <w:rPr>
          <w:szCs w:val="24"/>
        </w:rPr>
        <w:t>21A.</w:t>
      </w:r>
      <w:r>
        <w:rPr>
          <w:szCs w:val="24"/>
        </w:rPr>
        <w:tab/>
        <w:t>Work prescribed for s. 191(4)</w:t>
      </w:r>
      <w:r>
        <w:tab/>
      </w:r>
      <w:r>
        <w:fldChar w:fldCharType="begin"/>
      </w:r>
      <w:r>
        <w:instrText xml:space="preserve"> PAGEREF _Toc159233164 \h </w:instrText>
      </w:r>
      <w:r>
        <w:fldChar w:fldCharType="separate"/>
      </w:r>
      <w:r>
        <w:t>10</w:t>
      </w:r>
      <w:r>
        <w:fldChar w:fldCharType="end"/>
      </w:r>
    </w:p>
    <w:p>
      <w:pPr>
        <w:pStyle w:val="TOC8"/>
        <w:rPr>
          <w:sz w:val="24"/>
          <w:szCs w:val="24"/>
        </w:rPr>
      </w:pPr>
      <w:r>
        <w:rPr>
          <w:szCs w:val="24"/>
        </w:rPr>
        <w:t>22.</w:t>
      </w:r>
      <w:r>
        <w:rPr>
          <w:szCs w:val="24"/>
        </w:rPr>
        <w:tab/>
        <w:t>Prescribed offences</w:t>
      </w:r>
      <w:r>
        <w:tab/>
      </w:r>
      <w:r>
        <w:fldChar w:fldCharType="begin"/>
      </w:r>
      <w:r>
        <w:instrText xml:space="preserve"> PAGEREF _Toc159233165 \h </w:instrText>
      </w:r>
      <w:r>
        <w:fldChar w:fldCharType="separate"/>
      </w:r>
      <w:r>
        <w:t>10</w:t>
      </w:r>
      <w:r>
        <w:fldChar w:fldCharType="end"/>
      </w:r>
    </w:p>
    <w:p>
      <w:pPr>
        <w:pStyle w:val="TOC8"/>
        <w:rPr>
          <w:sz w:val="24"/>
          <w:szCs w:val="24"/>
        </w:rPr>
      </w:pPr>
      <w:r>
        <w:rPr>
          <w:szCs w:val="24"/>
        </w:rPr>
        <w:t>22A.</w:t>
      </w:r>
      <w:r>
        <w:rPr>
          <w:szCs w:val="24"/>
        </w:rPr>
        <w:tab/>
        <w:t>Age prescribed for s. 198(1)</w:t>
      </w:r>
      <w:r>
        <w:tab/>
      </w:r>
      <w:r>
        <w:fldChar w:fldCharType="begin"/>
      </w:r>
      <w:r>
        <w:instrText xml:space="preserve"> PAGEREF _Toc159233166 \h </w:instrText>
      </w:r>
      <w:r>
        <w:fldChar w:fldCharType="separate"/>
      </w:r>
      <w:r>
        <w:t>10</w:t>
      </w:r>
      <w:r>
        <w:fldChar w:fldCharType="end"/>
      </w:r>
    </w:p>
    <w:p>
      <w:pPr>
        <w:pStyle w:val="TOC8"/>
        <w:rPr>
          <w:sz w:val="24"/>
          <w:szCs w:val="24"/>
        </w:rPr>
      </w:pPr>
      <w:r>
        <w:rPr>
          <w:szCs w:val="24"/>
        </w:rPr>
        <w:t>23.</w:t>
      </w:r>
      <w:r>
        <w:rPr>
          <w:szCs w:val="24"/>
        </w:rPr>
        <w:tab/>
        <w:t>Care that is not a child care service</w:t>
      </w:r>
      <w:r>
        <w:tab/>
      </w:r>
      <w:r>
        <w:fldChar w:fldCharType="begin"/>
      </w:r>
      <w:r>
        <w:instrText xml:space="preserve"> PAGEREF _Toc159233167 \h </w:instrText>
      </w:r>
      <w:r>
        <w:fldChar w:fldCharType="separate"/>
      </w:r>
      <w:r>
        <w:t>11</w:t>
      </w:r>
      <w:r>
        <w:fldChar w:fldCharType="end"/>
      </w:r>
    </w:p>
    <w:p>
      <w:pPr>
        <w:pStyle w:val="TOC8"/>
        <w:rPr>
          <w:sz w:val="24"/>
          <w:szCs w:val="24"/>
        </w:rPr>
      </w:pPr>
      <w:r>
        <w:rPr>
          <w:szCs w:val="24"/>
        </w:rPr>
        <w:t>23A.</w:t>
      </w:r>
      <w:r>
        <w:rPr>
          <w:szCs w:val="24"/>
        </w:rPr>
        <w:tab/>
        <w:t>Operator of creche facility to display notice</w:t>
      </w:r>
      <w:r>
        <w:tab/>
      </w:r>
      <w:r>
        <w:fldChar w:fldCharType="begin"/>
      </w:r>
      <w:r>
        <w:instrText xml:space="preserve"> PAGEREF _Toc159233168 \h </w:instrText>
      </w:r>
      <w:r>
        <w:fldChar w:fldCharType="separate"/>
      </w:r>
      <w:r>
        <w:t>13</w:t>
      </w:r>
      <w:r>
        <w:fldChar w:fldCharType="end"/>
      </w:r>
    </w:p>
    <w:p>
      <w:pPr>
        <w:pStyle w:val="TOC2"/>
        <w:tabs>
          <w:tab w:val="right" w:leader="dot" w:pos="7086"/>
        </w:tabs>
        <w:rPr>
          <w:b w:val="0"/>
          <w:sz w:val="24"/>
          <w:szCs w:val="24"/>
        </w:rPr>
      </w:pPr>
      <w:r>
        <w:rPr>
          <w:szCs w:val="30"/>
        </w:rPr>
        <w:t>Part 7 — Transitional arrangements</w:t>
      </w:r>
    </w:p>
    <w:p>
      <w:pPr>
        <w:pStyle w:val="TOC8"/>
        <w:rPr>
          <w:sz w:val="24"/>
          <w:szCs w:val="24"/>
        </w:rPr>
      </w:pPr>
      <w:r>
        <w:rPr>
          <w:szCs w:val="24"/>
        </w:rPr>
        <w:t>24.</w:t>
      </w:r>
      <w:r>
        <w:rPr>
          <w:szCs w:val="24"/>
        </w:rPr>
        <w:tab/>
        <w:t>Terms used in this Part</w:t>
      </w:r>
      <w:r>
        <w:tab/>
      </w:r>
      <w:r>
        <w:fldChar w:fldCharType="begin"/>
      </w:r>
      <w:r>
        <w:instrText xml:space="preserve"> PAGEREF _Toc159233170 \h </w:instrText>
      </w:r>
      <w:r>
        <w:fldChar w:fldCharType="separate"/>
      </w:r>
      <w:r>
        <w:t>14</w:t>
      </w:r>
      <w:r>
        <w:fldChar w:fldCharType="end"/>
      </w:r>
    </w:p>
    <w:p>
      <w:pPr>
        <w:pStyle w:val="TOC8"/>
        <w:rPr>
          <w:sz w:val="24"/>
          <w:szCs w:val="24"/>
        </w:rPr>
      </w:pPr>
      <w:r>
        <w:rPr>
          <w:szCs w:val="24"/>
        </w:rPr>
        <w:t>25.</w:t>
      </w:r>
      <w:r>
        <w:rPr>
          <w:szCs w:val="24"/>
        </w:rPr>
        <w:tab/>
        <w:t>Responsible officers to continue as supervising officers</w:t>
      </w:r>
      <w:r>
        <w:tab/>
      </w:r>
      <w:r>
        <w:fldChar w:fldCharType="begin"/>
      </w:r>
      <w:r>
        <w:instrText xml:space="preserve"> PAGEREF _Toc159233171 \h </w:instrText>
      </w:r>
      <w:r>
        <w:fldChar w:fldCharType="separate"/>
      </w:r>
      <w:r>
        <w:t>14</w:t>
      </w:r>
      <w:r>
        <w:fldChar w:fldCharType="end"/>
      </w:r>
    </w:p>
    <w:p>
      <w:pPr>
        <w:pStyle w:val="TOC8"/>
        <w:rPr>
          <w:sz w:val="24"/>
          <w:szCs w:val="24"/>
        </w:rPr>
      </w:pPr>
      <w:r>
        <w:rPr>
          <w:szCs w:val="24"/>
        </w:rPr>
        <w:t>26.</w:t>
      </w:r>
      <w:r>
        <w:rPr>
          <w:szCs w:val="24"/>
        </w:rPr>
        <w:tab/>
        <w:t>Application of section 212 to existing authorisations</w:t>
      </w:r>
      <w:r>
        <w:tab/>
      </w:r>
      <w:r>
        <w:fldChar w:fldCharType="begin"/>
      </w:r>
      <w:r>
        <w:instrText xml:space="preserve"> PAGEREF _Toc159233172 \h </w:instrText>
      </w:r>
      <w:r>
        <w:fldChar w:fldCharType="separate"/>
      </w:r>
      <w:r>
        <w:t>15</w:t>
      </w:r>
      <w:r>
        <w:fldChar w:fldCharType="end"/>
      </w:r>
    </w:p>
    <w:p>
      <w:pPr>
        <w:pStyle w:val="TOC8"/>
        <w:rPr>
          <w:sz w:val="24"/>
          <w:szCs w:val="24"/>
        </w:rPr>
      </w:pPr>
      <w:r>
        <w:rPr>
          <w:szCs w:val="24"/>
        </w:rPr>
        <w:t>27.</w:t>
      </w:r>
      <w:r>
        <w:rPr>
          <w:szCs w:val="24"/>
        </w:rPr>
        <w:tab/>
        <w:t>Period for which certain existing authorisations have effect</w:t>
      </w:r>
      <w:r>
        <w:tab/>
      </w:r>
      <w:r>
        <w:fldChar w:fldCharType="begin"/>
      </w:r>
      <w:r>
        <w:instrText xml:space="preserve"> PAGEREF _Toc159233173 \h </w:instrText>
      </w:r>
      <w:r>
        <w:fldChar w:fldCharType="separate"/>
      </w:r>
      <w:r>
        <w:t>15</w:t>
      </w:r>
      <w:r>
        <w:fldChar w:fldCharType="end"/>
      </w:r>
    </w:p>
    <w:p>
      <w:pPr>
        <w:pStyle w:val="TOC8"/>
        <w:rPr>
          <w:sz w:val="24"/>
          <w:szCs w:val="24"/>
        </w:rPr>
      </w:pPr>
      <w:r>
        <w:rPr>
          <w:szCs w:val="24"/>
        </w:rPr>
        <w:t>27A.</w:t>
      </w:r>
      <w:r>
        <w:rPr>
          <w:szCs w:val="24"/>
        </w:rPr>
        <w:tab/>
        <w:t>Holders of existing authorisations taken to hold licences of a particular type</w:t>
      </w:r>
      <w:r>
        <w:tab/>
      </w:r>
      <w:r>
        <w:fldChar w:fldCharType="begin"/>
      </w:r>
      <w:r>
        <w:instrText xml:space="preserve"> PAGEREF _Toc159233174 \h </w:instrText>
      </w:r>
      <w:r>
        <w:fldChar w:fldCharType="separate"/>
      </w:r>
      <w:r>
        <w:t>15</w:t>
      </w:r>
      <w:r>
        <w:fldChar w:fldCharType="end"/>
      </w:r>
    </w:p>
    <w:p>
      <w:pPr>
        <w:pStyle w:val="TOC8"/>
        <w:rPr>
          <w:sz w:val="24"/>
          <w:szCs w:val="24"/>
        </w:rPr>
      </w:pPr>
      <w:r>
        <w:rPr>
          <w:szCs w:val="24"/>
        </w:rPr>
        <w:t>28.</w:t>
      </w:r>
      <w:r>
        <w:rPr>
          <w:szCs w:val="24"/>
        </w:rPr>
        <w:tab/>
        <w:t>Certain unlicensed child care service operators to have time to apply for licence</w:t>
      </w:r>
      <w:r>
        <w:tab/>
      </w:r>
      <w:r>
        <w:fldChar w:fldCharType="begin"/>
      </w:r>
      <w:r>
        <w:instrText xml:space="preserve"> PAGEREF _Toc159233175 \h </w:instrText>
      </w:r>
      <w:r>
        <w:fldChar w:fldCharType="separate"/>
      </w:r>
      <w:r>
        <w:t>16</w:t>
      </w:r>
      <w:r>
        <w:fldChar w:fldCharType="end"/>
      </w:r>
    </w:p>
    <w:p>
      <w:pPr>
        <w:pStyle w:val="TOC8"/>
        <w:rPr>
          <w:sz w:val="24"/>
          <w:szCs w:val="24"/>
        </w:rPr>
      </w:pPr>
      <w:r>
        <w:rPr>
          <w:szCs w:val="24"/>
        </w:rPr>
        <w:t>29.</w:t>
      </w:r>
      <w:r>
        <w:rPr>
          <w:szCs w:val="24"/>
        </w:rPr>
        <w:tab/>
        <w:t>Children in the CEO’s care</w:t>
      </w:r>
      <w:r>
        <w:tab/>
      </w:r>
      <w:r>
        <w:fldChar w:fldCharType="begin"/>
      </w:r>
      <w:r>
        <w:instrText xml:space="preserve"> PAGEREF _Toc159233176 \h </w:instrText>
      </w:r>
      <w:r>
        <w:fldChar w:fldCharType="separate"/>
      </w:r>
      <w:r>
        <w:t>18</w:t>
      </w:r>
      <w:r>
        <w:fldChar w:fldCharType="end"/>
      </w:r>
    </w:p>
    <w:p>
      <w:pPr>
        <w:pStyle w:val="TOC2"/>
        <w:tabs>
          <w:tab w:val="right" w:leader="dot" w:pos="7086"/>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_Toc159233178 \h </w:instrText>
      </w:r>
      <w:r>
        <w:fldChar w:fldCharType="separate"/>
      </w:r>
      <w:r>
        <w:t>19</w:t>
      </w:r>
      <w:r>
        <w:fldChar w:fldCharType="end"/>
      </w:r>
    </w:p>
    <w:p>
      <w:pPr>
        <w:pStyle w:val="TOC8"/>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5"/>
          <w:headerReference w:type="default" r:id="rId16"/>
          <w:footerReference w:type="even" r:id="rId17"/>
          <w:footerReference w:type="default" r:id="rId18"/>
          <w:footerReference w:type="first" r:id="rId19"/>
          <w:endnotePr>
            <w:numFmt w:val="decimal"/>
          </w:endnotePr>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r>
              <w:rPr>
                <w:noProof/>
                <w:lang w:eastAsia="en-AU"/>
              </w:rPr>
              <w:drawing>
                <wp:inline distT="0" distB="0" distL="0" distR="0">
                  <wp:extent cx="533400" cy="476250"/>
                  <wp:effectExtent l="0" t="0" r="0" b="0"/>
                  <wp:docPr id="1" name="Picture 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p>
        </w:tc>
        <w:tc>
          <w:tcPr>
            <w:tcW w:w="2434" w:type="dxa"/>
          </w:tcP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 xml:space="preserve">Reprinted under the </w:t>
            </w:r>
            <w:r>
              <w:rPr>
                <w:b/>
                <w:i/>
                <w:sz w:val="22"/>
              </w:rPr>
              <w:t>Reprints Act 1984</w:t>
            </w:r>
            <w:r>
              <w:rPr>
                <w:b/>
                <w:sz w:val="22"/>
              </w:rPr>
              <w:t xml:space="preserve"> as at 2</w:t>
            </w:r>
            <w:r>
              <w:rPr>
                <w:b/>
                <w:snapToGrid w:val="0"/>
                <w:sz w:val="22"/>
              </w:rPr>
              <w:t xml:space="preserve"> February 2007</w:t>
            </w:r>
          </w:p>
        </w:tc>
      </w:tr>
    </w:tbl>
    <w:p>
      <w:pPr>
        <w:pStyle w:val="WA"/>
        <w:spacing w:before="120"/>
      </w:pPr>
      <w:r>
        <w:t>Western Australia</w:t>
      </w:r>
    </w:p>
    <w:p>
      <w:pPr>
        <w:pStyle w:val="PrincipalActReg"/>
      </w:pPr>
      <w:r>
        <w:t>Children and Community Services Act 2004</w:t>
      </w:r>
    </w:p>
    <w:p>
      <w:pPr>
        <w:pStyle w:val="NameofActReg"/>
      </w:pPr>
      <w:r>
        <w:t>Children and Community Services Regulations 2006</w:t>
      </w:r>
    </w:p>
    <w:p>
      <w:pPr>
        <w:pStyle w:val="Heading2"/>
        <w:pageBreakBefore w:val="0"/>
        <w:spacing w:before="480"/>
      </w:pPr>
      <w:bookmarkStart w:id="1" w:name="_Toc122071111"/>
      <w:bookmarkStart w:id="2" w:name="_Toc122071516"/>
      <w:bookmarkStart w:id="3" w:name="_Toc122071927"/>
      <w:bookmarkStart w:id="4" w:name="_Toc122071986"/>
      <w:bookmarkStart w:id="5" w:name="_Toc122154397"/>
      <w:bookmarkStart w:id="6" w:name="_Toc122155248"/>
      <w:bookmarkStart w:id="7" w:name="_Toc122155297"/>
      <w:bookmarkStart w:id="8" w:name="_Toc122155332"/>
      <w:bookmarkStart w:id="9" w:name="_Toc122156413"/>
      <w:bookmarkStart w:id="10" w:name="_Toc122156480"/>
      <w:bookmarkStart w:id="11" w:name="_Toc122159658"/>
      <w:bookmarkStart w:id="12" w:name="_Toc122159693"/>
      <w:bookmarkStart w:id="13" w:name="_Toc122247416"/>
      <w:bookmarkStart w:id="14" w:name="_Toc122248433"/>
      <w:bookmarkStart w:id="15" w:name="_Toc122926640"/>
      <w:bookmarkStart w:id="16" w:name="_Toc122927113"/>
      <w:bookmarkStart w:id="17" w:name="_Toc122927862"/>
      <w:bookmarkStart w:id="18" w:name="_Toc122928212"/>
      <w:bookmarkStart w:id="19" w:name="_Toc122929079"/>
      <w:bookmarkStart w:id="20" w:name="_Toc123004257"/>
      <w:bookmarkStart w:id="21" w:name="_Toc123004511"/>
      <w:bookmarkStart w:id="22" w:name="_Toc123013291"/>
      <w:bookmarkStart w:id="23" w:name="_Toc123015314"/>
      <w:bookmarkStart w:id="24" w:name="_Toc123015453"/>
      <w:bookmarkStart w:id="25" w:name="_Toc123016523"/>
      <w:bookmarkStart w:id="26" w:name="_Toc123017066"/>
      <w:bookmarkStart w:id="27" w:name="_Toc123017105"/>
      <w:bookmarkStart w:id="28" w:name="_Toc123024041"/>
      <w:bookmarkStart w:id="29" w:name="_Toc123532468"/>
      <w:bookmarkStart w:id="30" w:name="_Toc123532504"/>
      <w:bookmarkStart w:id="31" w:name="_Toc123532706"/>
      <w:bookmarkStart w:id="32" w:name="_Toc124144495"/>
      <w:bookmarkStart w:id="33" w:name="_Toc124146516"/>
      <w:bookmarkStart w:id="34" w:name="_Toc124146852"/>
      <w:bookmarkStart w:id="35" w:name="_Toc124146981"/>
      <w:bookmarkStart w:id="36" w:name="_Toc124311663"/>
      <w:bookmarkStart w:id="37" w:name="_Toc124311924"/>
      <w:bookmarkStart w:id="38" w:name="_Toc124312330"/>
      <w:bookmarkStart w:id="39" w:name="_Toc124312481"/>
      <w:bookmarkStart w:id="40" w:name="_Toc124576880"/>
      <w:bookmarkStart w:id="41" w:name="_Toc124576975"/>
      <w:bookmarkStart w:id="42" w:name="_Toc124579657"/>
      <w:bookmarkStart w:id="43" w:name="_Toc124580052"/>
      <w:bookmarkStart w:id="44" w:name="_Toc124584045"/>
      <w:bookmarkStart w:id="45" w:name="_Toc124584207"/>
      <w:bookmarkStart w:id="46" w:name="_Toc125431122"/>
      <w:bookmarkStart w:id="47" w:name="_Toc125432172"/>
      <w:bookmarkStart w:id="48" w:name="_Toc128289353"/>
      <w:bookmarkStart w:id="49" w:name="_Toc128300188"/>
      <w:bookmarkStart w:id="50" w:name="_Toc129056210"/>
      <w:bookmarkStart w:id="51" w:name="_Toc129062221"/>
      <w:bookmarkStart w:id="52" w:name="_Toc143577612"/>
      <w:bookmarkStart w:id="53" w:name="_Toc143588443"/>
      <w:bookmarkStart w:id="54" w:name="_Toc153265824"/>
      <w:bookmarkStart w:id="55" w:name="_Toc156266161"/>
      <w:bookmarkStart w:id="56" w:name="_Toc156267056"/>
      <w:bookmarkStart w:id="57" w:name="_Toc157231950"/>
      <w:bookmarkStart w:id="58" w:name="_Toc159233137"/>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p>
      <w:pPr>
        <w:pStyle w:val="Heading5"/>
      </w:pPr>
      <w:bookmarkStart w:id="59" w:name="_Toc423332722"/>
      <w:bookmarkStart w:id="60" w:name="_Toc425219441"/>
      <w:bookmarkStart w:id="61" w:name="_Toc426249308"/>
      <w:bookmarkStart w:id="62" w:name="_Toc449924704"/>
      <w:bookmarkStart w:id="63" w:name="_Toc449947722"/>
      <w:bookmarkStart w:id="64" w:name="_Toc454185713"/>
      <w:bookmarkStart w:id="65" w:name="_Toc515958686"/>
      <w:bookmarkStart w:id="66" w:name="_Toc117490227"/>
      <w:bookmarkStart w:id="67" w:name="_Toc124584208"/>
      <w:bookmarkStart w:id="68" w:name="_Toc159233138"/>
      <w:r>
        <w:rPr>
          <w:rStyle w:val="CharSectno"/>
        </w:rPr>
        <w:t>1</w:t>
      </w:r>
      <w:r>
        <w:t>.</w:t>
      </w:r>
      <w:r>
        <w:tab/>
        <w:t>Citation</w:t>
      </w:r>
      <w:bookmarkEnd w:id="59"/>
      <w:bookmarkEnd w:id="60"/>
      <w:bookmarkEnd w:id="61"/>
      <w:bookmarkEnd w:id="62"/>
      <w:bookmarkEnd w:id="63"/>
      <w:bookmarkEnd w:id="64"/>
      <w:bookmarkEnd w:id="65"/>
      <w:bookmarkEnd w:id="66"/>
      <w:bookmarkEnd w:id="67"/>
      <w:bookmarkEnd w:id="68"/>
    </w:p>
    <w:p>
      <w:pPr>
        <w:pStyle w:val="Subsection"/>
        <w:rPr>
          <w:i/>
        </w:rPr>
      </w:pPr>
      <w:r>
        <w:tab/>
      </w:r>
      <w:r>
        <w:tab/>
      </w:r>
      <w:r>
        <w:rPr>
          <w:spacing w:val="-2"/>
        </w:rPr>
        <w:t>These</w:t>
      </w:r>
      <w:r>
        <w:t xml:space="preserve"> </w:t>
      </w:r>
      <w:r>
        <w:rPr>
          <w:spacing w:val="-2"/>
        </w:rPr>
        <w:t>regulations</w:t>
      </w:r>
      <w:r>
        <w:t xml:space="preserve"> are the </w:t>
      </w:r>
      <w:r>
        <w:rPr>
          <w:i/>
        </w:rPr>
        <w:t>Children and Community Services Regulations 2006</w:t>
      </w:r>
      <w:r>
        <w:rPr>
          <w:iCs/>
          <w:vertAlign w:val="superscript"/>
        </w:rPr>
        <w:t> 1</w:t>
      </w:r>
      <w:r>
        <w:t>.</w:t>
      </w:r>
    </w:p>
    <w:p>
      <w:pPr>
        <w:pStyle w:val="Heading5"/>
        <w:rPr>
          <w:spacing w:val="-2"/>
        </w:rPr>
      </w:pPr>
      <w:bookmarkStart w:id="69" w:name="_Toc423332723"/>
      <w:bookmarkStart w:id="70" w:name="_Toc425219442"/>
      <w:bookmarkStart w:id="71" w:name="_Toc426249309"/>
      <w:bookmarkStart w:id="72" w:name="_Toc449924705"/>
      <w:bookmarkStart w:id="73" w:name="_Toc449947723"/>
      <w:bookmarkStart w:id="74" w:name="_Toc454185714"/>
      <w:bookmarkStart w:id="75" w:name="_Toc515958687"/>
      <w:bookmarkStart w:id="76" w:name="_Toc117490228"/>
      <w:bookmarkStart w:id="77" w:name="_Toc124584209"/>
      <w:bookmarkStart w:id="78" w:name="_Toc159233139"/>
      <w:r>
        <w:rPr>
          <w:rStyle w:val="CharSectno"/>
        </w:rPr>
        <w:t>2</w:t>
      </w:r>
      <w:r>
        <w:rPr>
          <w:spacing w:val="-2"/>
        </w:rPr>
        <w:t>.</w:t>
      </w:r>
      <w:r>
        <w:rPr>
          <w:spacing w:val="-2"/>
        </w:rPr>
        <w:tab/>
        <w:t>Commencement</w:t>
      </w:r>
      <w:bookmarkEnd w:id="69"/>
      <w:bookmarkEnd w:id="70"/>
      <w:bookmarkEnd w:id="71"/>
      <w:bookmarkEnd w:id="72"/>
      <w:bookmarkEnd w:id="73"/>
      <w:bookmarkEnd w:id="74"/>
      <w:bookmarkEnd w:id="75"/>
      <w:bookmarkEnd w:id="76"/>
      <w:bookmarkEnd w:id="77"/>
      <w:bookmarkEnd w:id="78"/>
    </w:p>
    <w:p>
      <w:pPr>
        <w:pStyle w:val="Subsection"/>
        <w:rPr>
          <w:rFonts w:ascii="Times" w:hAnsi="Times"/>
        </w:rPr>
      </w:pPr>
      <w:r>
        <w:rPr>
          <w:spacing w:val="-2"/>
        </w:rPr>
        <w:tab/>
      </w:r>
      <w:r>
        <w:rPr>
          <w:spacing w:val="-2"/>
        </w:rPr>
        <w:tab/>
        <w:t>These regulations come into operation on the day on which section 250 comes into operation</w:t>
      </w:r>
      <w:r>
        <w:rPr>
          <w:iCs/>
          <w:vertAlign w:val="superscript"/>
        </w:rPr>
        <w:t> 1</w:t>
      </w:r>
      <w:r>
        <w:rPr>
          <w:rFonts w:ascii="Times" w:hAnsi="Times"/>
        </w:rPr>
        <w:t>.</w:t>
      </w:r>
    </w:p>
    <w:p>
      <w:pPr>
        <w:pStyle w:val="Heading5"/>
      </w:pPr>
      <w:bookmarkStart w:id="79" w:name="_Toc159233140"/>
      <w:r>
        <w:rPr>
          <w:rStyle w:val="CharSectno"/>
        </w:rPr>
        <w:t>3</w:t>
      </w:r>
      <w:r>
        <w:t>.</w:t>
      </w:r>
      <w:r>
        <w:tab/>
        <w:t>Terms used in these regulations</w:t>
      </w:r>
      <w:bookmarkEnd w:id="79"/>
    </w:p>
    <w:p>
      <w:pPr>
        <w:pStyle w:val="Subsection"/>
      </w:pPr>
      <w:r>
        <w:tab/>
      </w:r>
      <w:r>
        <w:tab/>
        <w:t xml:space="preserve">In these regulations, unless the contrary intention appears — </w:t>
      </w:r>
    </w:p>
    <w:p>
      <w:pPr>
        <w:pStyle w:val="Defstart"/>
      </w:pPr>
      <w:r>
        <w:rPr>
          <w:b/>
        </w:rPr>
        <w:tab/>
        <w:t>“</w:t>
      </w:r>
      <w:r>
        <w:rPr>
          <w:rStyle w:val="CharDefText"/>
        </w:rPr>
        <w:t>President</w:t>
      </w:r>
      <w:r>
        <w:rPr>
          <w:b/>
        </w:rPr>
        <w:t>”</w:t>
      </w:r>
      <w:r>
        <w:t xml:space="preserve"> means the President of the Children’s Court;</w:t>
      </w:r>
    </w:p>
    <w:p>
      <w:pPr>
        <w:pStyle w:val="Defstart"/>
      </w:pPr>
      <w:r>
        <w:rPr>
          <w:b/>
        </w:rPr>
        <w:tab/>
        <w:t>“</w:t>
      </w:r>
      <w:r>
        <w:rPr>
          <w:rStyle w:val="CharDefText"/>
        </w:rPr>
        <w:t>section</w:t>
      </w:r>
      <w:r>
        <w:rPr>
          <w:b/>
        </w:rPr>
        <w:t>”</w:t>
      </w:r>
      <w:r>
        <w:t xml:space="preserve"> means a section of the Act.</w:t>
      </w:r>
    </w:p>
    <w:p>
      <w:pPr>
        <w:pStyle w:val="Heading2"/>
      </w:pPr>
      <w:bookmarkStart w:id="80" w:name="_Toc128289357"/>
      <w:bookmarkStart w:id="81" w:name="_Toc128300192"/>
      <w:bookmarkStart w:id="82" w:name="_Toc129056214"/>
      <w:bookmarkStart w:id="83" w:name="_Toc129062225"/>
      <w:bookmarkStart w:id="84" w:name="_Toc143577616"/>
      <w:bookmarkStart w:id="85" w:name="_Toc143588447"/>
      <w:bookmarkStart w:id="86" w:name="_Toc153265828"/>
      <w:bookmarkStart w:id="87" w:name="_Toc156266165"/>
      <w:bookmarkStart w:id="88" w:name="_Toc156267060"/>
      <w:bookmarkStart w:id="89" w:name="_Toc157231954"/>
      <w:bookmarkStart w:id="90" w:name="_Toc159233141"/>
      <w:r>
        <w:rPr>
          <w:rStyle w:val="CharPartNo"/>
        </w:rPr>
        <w:t>Part 2</w:t>
      </w:r>
      <w:r>
        <w:rPr>
          <w:rStyle w:val="CharDivNo"/>
        </w:rPr>
        <w:t> </w:t>
      </w:r>
      <w:r>
        <w:t>—</w:t>
      </w:r>
      <w:r>
        <w:rPr>
          <w:rStyle w:val="CharDivText"/>
        </w:rPr>
        <w:t> </w:t>
      </w:r>
      <w:r>
        <w:rPr>
          <w:rStyle w:val="CharPartText"/>
        </w:rPr>
        <w:t>Children in the CEO’s care</w:t>
      </w:r>
      <w:bookmarkEnd w:id="80"/>
      <w:bookmarkEnd w:id="81"/>
      <w:bookmarkEnd w:id="82"/>
      <w:bookmarkEnd w:id="83"/>
      <w:bookmarkEnd w:id="84"/>
      <w:bookmarkEnd w:id="85"/>
      <w:bookmarkEnd w:id="86"/>
      <w:bookmarkEnd w:id="87"/>
      <w:bookmarkEnd w:id="88"/>
      <w:bookmarkEnd w:id="89"/>
      <w:bookmarkEnd w:id="90"/>
    </w:p>
    <w:p>
      <w:pPr>
        <w:pStyle w:val="Heading5"/>
      </w:pPr>
      <w:bookmarkStart w:id="91" w:name="_Toc159233142"/>
      <w:r>
        <w:rPr>
          <w:rStyle w:val="CharSectno"/>
        </w:rPr>
        <w:t>4</w:t>
      </w:r>
      <w:r>
        <w:t>.</w:t>
      </w:r>
      <w:r>
        <w:tab/>
        <w:t>Approval of carers</w:t>
      </w:r>
      <w:bookmarkEnd w:id="91"/>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w:t>
      </w:r>
    </w:p>
    <w:p>
      <w:pPr>
        <w:pStyle w:val="Indenti"/>
      </w:pPr>
      <w:r>
        <w:tab/>
        <w:t>(ii)</w:t>
      </w:r>
      <w:r>
        <w:tab/>
        <w:t>is able to provide a safe living environment for a child;</w:t>
      </w:r>
    </w:p>
    <w:p>
      <w:pPr>
        <w:pStyle w:val="Indenti"/>
      </w:pPr>
      <w:r>
        <w:tab/>
        <w:t>(iii)</w:t>
      </w:r>
      <w:r>
        <w:tab/>
        <w:t>is able to work cooperatively with officers, a child’s family and other people when providing care for a child;</w:t>
      </w:r>
    </w:p>
    <w:p>
      <w:pPr>
        <w:pStyle w:val="Indenti"/>
      </w:pPr>
      <w:r>
        <w:tab/>
        <w:t>(iv)</w:t>
      </w:r>
      <w:r>
        <w:tab/>
        <w:t>is able to take responsibility for the development of his or her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Heading5"/>
      </w:pPr>
      <w:bookmarkStart w:id="92" w:name="_Toc159233143"/>
      <w:r>
        <w:rPr>
          <w:rStyle w:val="CharSectno"/>
        </w:rPr>
        <w:t>5</w:t>
      </w:r>
      <w:r>
        <w:t>.</w:t>
      </w:r>
      <w:r>
        <w:tab/>
        <w:t>Records — prescribed information</w:t>
      </w:r>
      <w:bookmarkEnd w:id="92"/>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pPr>
      <w:r>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t>“</w:t>
      </w:r>
      <w:r>
        <w:rPr>
          <w:rStyle w:val="CharDefText"/>
        </w:rPr>
        <w:t>care plan</w:t>
      </w:r>
      <w:r>
        <w:rPr>
          <w:b/>
        </w:rPr>
        <w:t>”</w:t>
      </w:r>
      <w:r>
        <w:t xml:space="preserve"> has the meaning given to that term in section 89(1);</w:t>
      </w:r>
    </w:p>
    <w:p>
      <w:pPr>
        <w:pStyle w:val="Defstart"/>
      </w:pPr>
      <w:r>
        <w:rPr>
          <w:b/>
        </w:rPr>
        <w:tab/>
        <w:t>“</w:t>
      </w:r>
      <w:r>
        <w:rPr>
          <w:rStyle w:val="CharDefText"/>
        </w:rPr>
        <w:t>provisional care plan</w:t>
      </w:r>
      <w:r>
        <w:rPr>
          <w:b/>
        </w:rPr>
        <w:t>”</w:t>
      </w:r>
      <w:r>
        <w:t xml:space="preserve"> has the meaning given to that term in section 39(1).</w:t>
      </w:r>
    </w:p>
    <w:p>
      <w:pPr>
        <w:pStyle w:val="Heading2"/>
      </w:pPr>
      <w:bookmarkStart w:id="93" w:name="_Toc128289360"/>
      <w:bookmarkStart w:id="94" w:name="_Toc128300195"/>
      <w:bookmarkStart w:id="95" w:name="_Toc129056217"/>
      <w:bookmarkStart w:id="96" w:name="_Toc129062228"/>
      <w:bookmarkStart w:id="97" w:name="_Toc143577619"/>
      <w:bookmarkStart w:id="98" w:name="_Toc143588450"/>
      <w:bookmarkStart w:id="99" w:name="_Toc153265831"/>
      <w:bookmarkStart w:id="100" w:name="_Toc156266168"/>
      <w:bookmarkStart w:id="101" w:name="_Toc156267063"/>
      <w:bookmarkStart w:id="102" w:name="_Toc157231957"/>
      <w:bookmarkStart w:id="103" w:name="_Toc159233144"/>
      <w:r>
        <w:rPr>
          <w:rStyle w:val="CharPartNo"/>
        </w:rPr>
        <w:t>Part 3</w:t>
      </w:r>
      <w:r>
        <w:rPr>
          <w:rStyle w:val="CharDivNo"/>
        </w:rPr>
        <w:t> </w:t>
      </w:r>
      <w:r>
        <w:t>—</w:t>
      </w:r>
      <w:r>
        <w:rPr>
          <w:rStyle w:val="CharDivText"/>
        </w:rPr>
        <w:t> </w:t>
      </w:r>
      <w:r>
        <w:rPr>
          <w:rStyle w:val="CharPartText"/>
        </w:rPr>
        <w:t>Restraint, search and seizure</w:t>
      </w:r>
      <w:bookmarkEnd w:id="93"/>
      <w:bookmarkEnd w:id="94"/>
      <w:bookmarkEnd w:id="95"/>
      <w:bookmarkEnd w:id="96"/>
      <w:bookmarkEnd w:id="97"/>
      <w:bookmarkEnd w:id="98"/>
      <w:bookmarkEnd w:id="99"/>
      <w:bookmarkEnd w:id="100"/>
      <w:bookmarkEnd w:id="101"/>
      <w:bookmarkEnd w:id="102"/>
      <w:bookmarkEnd w:id="103"/>
    </w:p>
    <w:p>
      <w:pPr>
        <w:pStyle w:val="Heading5"/>
      </w:pPr>
      <w:bookmarkStart w:id="104" w:name="_Toc159233145"/>
      <w:r>
        <w:rPr>
          <w:rStyle w:val="CharSectno"/>
        </w:rPr>
        <w:t>6</w:t>
      </w:r>
      <w:r>
        <w:t>.</w:t>
      </w:r>
      <w:r>
        <w:tab/>
        <w:t>Prescribed amount (s. 112 — definition of “disposable article”)</w:t>
      </w:r>
      <w:bookmarkEnd w:id="104"/>
    </w:p>
    <w:p>
      <w:pPr>
        <w:pStyle w:val="Subsection"/>
      </w:pPr>
      <w:r>
        <w:tab/>
      </w:r>
      <w:r>
        <w:tab/>
        <w:t>For the purposes of paragraph (c) of the definition of “disposable article” in section 112 the amount of $30 is prescribed.</w:t>
      </w:r>
    </w:p>
    <w:p>
      <w:pPr>
        <w:pStyle w:val="Heading5"/>
      </w:pPr>
      <w:bookmarkStart w:id="105" w:name="_Toc159233146"/>
      <w:r>
        <w:rPr>
          <w:rStyle w:val="CharSectno"/>
        </w:rPr>
        <w:t>7</w:t>
      </w:r>
      <w:r>
        <w:t>.</w:t>
      </w:r>
      <w:r>
        <w:tab/>
        <w:t>Officer to record use of restraint</w:t>
      </w:r>
      <w:bookmarkEnd w:id="105"/>
    </w:p>
    <w:p>
      <w:pPr>
        <w:pStyle w:val="Subsection"/>
      </w:pPr>
      <w:r>
        <w:tab/>
      </w:r>
      <w:r>
        <w:tab/>
        <w:t xml:space="preserve">An authorised officer who restrains a child in the exercise of the power conferred by section 114 (the </w:t>
      </w:r>
      <w:r>
        <w:rPr>
          <w:b/>
          <w:bCs/>
        </w:rPr>
        <w:t>“</w:t>
      </w:r>
      <w:r>
        <w:rPr>
          <w:rStyle w:val="CharDefText"/>
        </w:rPr>
        <w:t>incident</w:t>
      </w:r>
      <w:r>
        <w:rPr>
          <w:b/>
          <w:bCs/>
        </w:rPr>
        <w: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106" w:name="_Toc159233147"/>
      <w:r>
        <w:rPr>
          <w:rStyle w:val="CharSectno"/>
        </w:rPr>
        <w:t>8</w:t>
      </w:r>
      <w:r>
        <w:t>.</w:t>
      </w:r>
      <w:r>
        <w:tab/>
        <w:t>How seized articles are to be dealt with</w:t>
      </w:r>
      <w:bookmarkEnd w:id="106"/>
    </w:p>
    <w:p>
      <w:pPr>
        <w:pStyle w:val="Subsection"/>
      </w:pPr>
      <w:r>
        <w:tab/>
        <w:t>(1)</w:t>
      </w:r>
      <w:r>
        <w:tab/>
        <w:t xml:space="preserve">In this regulation — </w:t>
      </w:r>
    </w:p>
    <w:p>
      <w:pPr>
        <w:pStyle w:val="Defstart"/>
      </w:pPr>
      <w:r>
        <w:rPr>
          <w:b/>
        </w:rPr>
        <w:tab/>
        <w:t>“</w:t>
      </w:r>
      <w:r>
        <w:rPr>
          <w:rStyle w:val="CharDefText"/>
        </w:rPr>
        <w:t>seized article</w:t>
      </w:r>
      <w:r>
        <w:rPr>
          <w:b/>
        </w:rPr>
        <w:t>”</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2</w:t>
      </w:r>
      <w:r>
        <w:t>.</w:t>
      </w:r>
    </w:p>
    <w:p>
      <w:pPr>
        <w:pStyle w:val="Heading2"/>
      </w:pPr>
      <w:bookmarkStart w:id="107" w:name="_Toc128289364"/>
      <w:bookmarkStart w:id="108" w:name="_Toc128300199"/>
      <w:bookmarkStart w:id="109" w:name="_Toc129056221"/>
      <w:bookmarkStart w:id="110" w:name="_Toc129062232"/>
      <w:bookmarkStart w:id="111" w:name="_Toc143577623"/>
      <w:bookmarkStart w:id="112" w:name="_Toc143588454"/>
      <w:bookmarkStart w:id="113" w:name="_Toc153265835"/>
      <w:bookmarkStart w:id="114" w:name="_Toc156266172"/>
      <w:bookmarkStart w:id="115" w:name="_Toc156267067"/>
      <w:bookmarkStart w:id="116" w:name="_Toc157231961"/>
      <w:bookmarkStart w:id="117" w:name="_Toc159233148"/>
      <w:r>
        <w:rPr>
          <w:rStyle w:val="CharPartNo"/>
        </w:rPr>
        <w:t>Part 4</w:t>
      </w:r>
      <w:r>
        <w:rPr>
          <w:rStyle w:val="CharDivNo"/>
        </w:rPr>
        <w:t> </w:t>
      </w:r>
      <w:r>
        <w:t>—</w:t>
      </w:r>
      <w:r>
        <w:rPr>
          <w:rStyle w:val="CharDivText"/>
        </w:rPr>
        <w:t> </w:t>
      </w:r>
      <w:r>
        <w:rPr>
          <w:rStyle w:val="CharPartText"/>
        </w:rPr>
        <w:t>Pre</w:t>
      </w:r>
      <w:r>
        <w:rPr>
          <w:rStyle w:val="CharPartText"/>
        </w:rPr>
        <w:noBreakHyphen/>
        <w:t>hearing conferences</w:t>
      </w:r>
      <w:bookmarkEnd w:id="107"/>
      <w:bookmarkEnd w:id="108"/>
      <w:bookmarkEnd w:id="109"/>
      <w:bookmarkEnd w:id="110"/>
      <w:bookmarkEnd w:id="111"/>
      <w:bookmarkEnd w:id="112"/>
      <w:bookmarkEnd w:id="113"/>
      <w:bookmarkEnd w:id="114"/>
      <w:bookmarkEnd w:id="115"/>
      <w:bookmarkEnd w:id="116"/>
      <w:bookmarkEnd w:id="117"/>
    </w:p>
    <w:p>
      <w:pPr>
        <w:pStyle w:val="Heading5"/>
      </w:pPr>
      <w:bookmarkStart w:id="118" w:name="_Toc159233149"/>
      <w:r>
        <w:rPr>
          <w:rStyle w:val="CharSectno"/>
        </w:rPr>
        <w:t>9</w:t>
      </w:r>
      <w:r>
        <w:t>.</w:t>
      </w:r>
      <w:r>
        <w:tab/>
        <w:t>Terms used in this Part</w:t>
      </w:r>
      <w:bookmarkEnd w:id="118"/>
    </w:p>
    <w:p>
      <w:pPr>
        <w:pStyle w:val="Subsection"/>
      </w:pPr>
      <w:r>
        <w:tab/>
      </w:r>
      <w:r>
        <w:tab/>
        <w:t xml:space="preserve">In this Part — </w:t>
      </w:r>
    </w:p>
    <w:p>
      <w:pPr>
        <w:pStyle w:val="Defstart"/>
      </w:pPr>
      <w:r>
        <w:rPr>
          <w:b/>
        </w:rPr>
        <w:tab/>
        <w:t>“</w:t>
      </w:r>
      <w:r>
        <w:rPr>
          <w:rStyle w:val="CharDefText"/>
        </w:rPr>
        <w:t>audio link</w:t>
      </w:r>
      <w:r>
        <w:rPr>
          <w:b/>
        </w:rPr>
        <w:t>”</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t>“</w:t>
      </w:r>
      <w:r>
        <w:rPr>
          <w:rStyle w:val="CharDefText"/>
        </w:rPr>
        <w:t>video link</w:t>
      </w:r>
      <w:r>
        <w:rPr>
          <w:b/>
        </w:rPr>
        <w:t>”</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119" w:name="_Toc159233150"/>
      <w:r>
        <w:rPr>
          <w:rStyle w:val="CharSectno"/>
        </w:rPr>
        <w:t>10</w:t>
      </w:r>
      <w:r>
        <w:t>.</w:t>
      </w:r>
      <w:r>
        <w:tab/>
        <w:t>Appointment of convenors</w:t>
      </w:r>
      <w:bookmarkEnd w:id="119"/>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120" w:name="_Toc159233151"/>
      <w:r>
        <w:rPr>
          <w:rStyle w:val="CharSectno"/>
        </w:rPr>
        <w:t>11</w:t>
      </w:r>
      <w:r>
        <w:t>.</w:t>
      </w:r>
      <w:r>
        <w:tab/>
        <w:t>Tenure, terms and conditions of appointment</w:t>
      </w:r>
      <w:bookmarkEnd w:id="120"/>
    </w:p>
    <w:p>
      <w:pPr>
        <w:pStyle w:val="Subsection"/>
      </w:pPr>
      <w:r>
        <w:tab/>
        <w:t>(1)</w:t>
      </w:r>
      <w:r>
        <w:tab/>
        <w:t>A convenor appointed under regulation 10(b) holds office for the period, not exceeding 3 years, specified in his or her instrument of appointment and is eligible for reappointment.</w:t>
      </w:r>
    </w:p>
    <w:p>
      <w:pPr>
        <w:pStyle w:val="Subsection"/>
      </w:pPr>
      <w:r>
        <w:tab/>
        <w:t>(2)</w:t>
      </w:r>
      <w:r>
        <w:tab/>
        <w:t>The remuneration, allowances, and other terms and conditions of appointment, of a convenor appointed under regulation 10(b) are as described in his or her instrument of appointment.</w:t>
      </w:r>
    </w:p>
    <w:p>
      <w:pPr>
        <w:pStyle w:val="Heading5"/>
      </w:pPr>
      <w:bookmarkStart w:id="121" w:name="_Toc159233152"/>
      <w:r>
        <w:rPr>
          <w:rStyle w:val="CharSectno"/>
        </w:rPr>
        <w:t>12</w:t>
      </w:r>
      <w:r>
        <w:t>.</w:t>
      </w:r>
      <w:r>
        <w:tab/>
        <w:t>Resignation</w:t>
      </w:r>
      <w:bookmarkEnd w:id="121"/>
    </w:p>
    <w:p>
      <w:pPr>
        <w:pStyle w:val="Subsection"/>
      </w:pPr>
      <w:r>
        <w:tab/>
      </w:r>
      <w:r>
        <w:tab/>
        <w:t>A convenor appointed under regulation 10(b) may resign from office by giving the President a signed letter of resignation.</w:t>
      </w:r>
    </w:p>
    <w:p>
      <w:pPr>
        <w:pStyle w:val="Heading5"/>
      </w:pPr>
      <w:bookmarkStart w:id="122" w:name="_Toc159233153"/>
      <w:r>
        <w:rPr>
          <w:rStyle w:val="CharSectno"/>
        </w:rPr>
        <w:t>13</w:t>
      </w:r>
      <w:r>
        <w:t>.</w:t>
      </w:r>
      <w:r>
        <w:tab/>
        <w:t>Removal from office</w:t>
      </w:r>
      <w:bookmarkEnd w:id="122"/>
    </w:p>
    <w:p>
      <w:pPr>
        <w:pStyle w:val="Subsection"/>
      </w:pPr>
      <w:r>
        <w:tab/>
      </w:r>
      <w:r>
        <w:tab/>
        <w:t>The President may remove a convenor appointed under regulation 10(b) from office at any time.</w:t>
      </w:r>
    </w:p>
    <w:p>
      <w:pPr>
        <w:pStyle w:val="Heading5"/>
      </w:pPr>
      <w:bookmarkStart w:id="123" w:name="_Toc159233154"/>
      <w:r>
        <w:rPr>
          <w:rStyle w:val="CharSectno"/>
        </w:rPr>
        <w:t>14</w:t>
      </w:r>
      <w:r>
        <w:t>.</w:t>
      </w:r>
      <w:r>
        <w:tab/>
        <w:t>People who may attend pre</w:t>
      </w:r>
      <w:r>
        <w:noBreakHyphen/>
        <w:t>hearing conference</w:t>
      </w:r>
      <w:bookmarkEnd w:id="123"/>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124" w:name="_Toc159233155"/>
      <w:r>
        <w:rPr>
          <w:rStyle w:val="CharSectno"/>
        </w:rPr>
        <w:t>15</w:t>
      </w:r>
      <w:r>
        <w:t>.</w:t>
      </w:r>
      <w:r>
        <w:tab/>
        <w:t>Participation using video link, audio link, etc.</w:t>
      </w:r>
      <w:bookmarkEnd w:id="124"/>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125" w:name="_Toc128289372"/>
      <w:bookmarkStart w:id="126" w:name="_Toc128300207"/>
      <w:bookmarkStart w:id="127" w:name="_Toc129056229"/>
      <w:bookmarkStart w:id="128" w:name="_Toc129062240"/>
      <w:bookmarkStart w:id="129" w:name="_Toc143577631"/>
      <w:bookmarkStart w:id="130" w:name="_Toc143588462"/>
      <w:bookmarkStart w:id="131" w:name="_Toc153265843"/>
      <w:bookmarkStart w:id="132" w:name="_Toc156266180"/>
      <w:bookmarkStart w:id="133" w:name="_Toc156267075"/>
      <w:bookmarkStart w:id="134" w:name="_Toc157231969"/>
      <w:bookmarkStart w:id="135" w:name="_Toc159233156"/>
      <w:r>
        <w:rPr>
          <w:rStyle w:val="CharPartNo"/>
        </w:rPr>
        <w:t>Part 5</w:t>
      </w:r>
      <w:r>
        <w:rPr>
          <w:rStyle w:val="CharDivNo"/>
        </w:rPr>
        <w:t> </w:t>
      </w:r>
      <w:r>
        <w:t>—</w:t>
      </w:r>
      <w:r>
        <w:rPr>
          <w:rStyle w:val="CharDivText"/>
        </w:rPr>
        <w:t> </w:t>
      </w:r>
      <w:r>
        <w:rPr>
          <w:rStyle w:val="CharPartText"/>
        </w:rPr>
        <w:t>Reports about child</w:t>
      </w:r>
      <w:bookmarkEnd w:id="125"/>
      <w:bookmarkEnd w:id="126"/>
      <w:bookmarkEnd w:id="127"/>
      <w:bookmarkEnd w:id="128"/>
      <w:bookmarkEnd w:id="129"/>
      <w:bookmarkEnd w:id="130"/>
      <w:bookmarkEnd w:id="131"/>
      <w:bookmarkEnd w:id="132"/>
      <w:bookmarkEnd w:id="133"/>
      <w:bookmarkEnd w:id="134"/>
      <w:bookmarkEnd w:id="135"/>
    </w:p>
    <w:p>
      <w:pPr>
        <w:pStyle w:val="Heading5"/>
      </w:pPr>
      <w:bookmarkStart w:id="136" w:name="_Toc159233157"/>
      <w:r>
        <w:rPr>
          <w:rStyle w:val="CharSectno"/>
        </w:rPr>
        <w:t>16</w:t>
      </w:r>
      <w:r>
        <w:t>.</w:t>
      </w:r>
      <w:r>
        <w:tab/>
        <w:t>Terms used in this Part</w:t>
      </w:r>
      <w:bookmarkEnd w:id="136"/>
    </w:p>
    <w:p>
      <w:pPr>
        <w:pStyle w:val="Subsection"/>
      </w:pPr>
      <w:r>
        <w:tab/>
      </w:r>
      <w:r>
        <w:tab/>
        <w:t xml:space="preserve">In this Part — </w:t>
      </w:r>
    </w:p>
    <w:p>
      <w:pPr>
        <w:pStyle w:val="Defstart"/>
      </w:pPr>
      <w:r>
        <w:rPr>
          <w:b/>
        </w:rPr>
        <w:tab/>
        <w:t>“</w:t>
      </w:r>
      <w:r>
        <w:rPr>
          <w:rStyle w:val="CharDefText"/>
        </w:rPr>
        <w:t>panel</w:t>
      </w:r>
      <w:r>
        <w:rPr>
          <w:b/>
        </w:rPr>
        <w:t>”</w:t>
      </w:r>
      <w:r>
        <w:t xml:space="preserve"> means the panel of names referred to in regulation 18(1);</w:t>
      </w:r>
    </w:p>
    <w:p>
      <w:pPr>
        <w:pStyle w:val="Defstart"/>
      </w:pPr>
      <w:r>
        <w:rPr>
          <w:b/>
        </w:rPr>
        <w:tab/>
        <w:t>“</w:t>
      </w:r>
      <w:r>
        <w:rPr>
          <w:rStyle w:val="CharDefText"/>
        </w:rPr>
        <w:t>report</w:t>
      </w:r>
      <w:r>
        <w:rPr>
          <w:b/>
        </w:rPr>
        <w:t>”</w:t>
      </w:r>
      <w:r>
        <w:t xml:space="preserve"> has the meaning given to that term in section 138.</w:t>
      </w:r>
    </w:p>
    <w:p>
      <w:pPr>
        <w:pStyle w:val="Heading5"/>
      </w:pPr>
      <w:bookmarkStart w:id="137" w:name="_Toc159233158"/>
      <w:r>
        <w:rPr>
          <w:rStyle w:val="CharSectno"/>
        </w:rPr>
        <w:t>17</w:t>
      </w:r>
      <w:r>
        <w:t>.</w:t>
      </w:r>
      <w:r>
        <w:tab/>
        <w:t>Appointment of people to provide reports</w:t>
      </w:r>
      <w:bookmarkEnd w:id="137"/>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138" w:name="_Toc159233159"/>
      <w:r>
        <w:rPr>
          <w:rStyle w:val="CharSectno"/>
        </w:rPr>
        <w:t>18</w:t>
      </w:r>
      <w:r>
        <w:t>.</w:t>
      </w:r>
      <w:r>
        <w:tab/>
        <w:t>President to establish panel</w:t>
      </w:r>
      <w:bookmarkEnd w:id="138"/>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139" w:name="_Toc159233160"/>
      <w:r>
        <w:rPr>
          <w:rStyle w:val="CharSectno"/>
        </w:rPr>
        <w:t>19</w:t>
      </w:r>
      <w:r>
        <w:t>.</w:t>
      </w:r>
      <w:r>
        <w:tab/>
        <w:t>Terms and conditions of appointment</w:t>
      </w:r>
      <w:bookmarkEnd w:id="139"/>
    </w:p>
    <w:p>
      <w:pPr>
        <w:pStyle w:val="Subsection"/>
      </w:pPr>
      <w:r>
        <w:tab/>
      </w:r>
      <w:r>
        <w:tab/>
        <w:t>The remuneration, allowances, and other terms and conditions of appointment, of a person appointed for the purposes of section 139 are as described in his or her instrument of appointment.</w:t>
      </w:r>
    </w:p>
    <w:p>
      <w:pPr>
        <w:pStyle w:val="Heading5"/>
      </w:pPr>
      <w:bookmarkStart w:id="140" w:name="_Toc159233161"/>
      <w:r>
        <w:rPr>
          <w:rStyle w:val="CharSectno"/>
        </w:rPr>
        <w:t>20</w:t>
      </w:r>
      <w:r>
        <w:t>.</w:t>
      </w:r>
      <w:r>
        <w:tab/>
        <w:t>Costs of report</w:t>
      </w:r>
      <w:bookmarkEnd w:id="140"/>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141" w:name="_Toc128289378"/>
      <w:bookmarkStart w:id="142" w:name="_Toc128300213"/>
      <w:bookmarkStart w:id="143" w:name="_Toc129056235"/>
      <w:bookmarkStart w:id="144" w:name="_Toc129062246"/>
      <w:bookmarkStart w:id="145" w:name="_Toc143577637"/>
      <w:bookmarkStart w:id="146" w:name="_Toc143588468"/>
      <w:bookmarkStart w:id="147" w:name="_Toc153265849"/>
      <w:bookmarkStart w:id="148" w:name="_Toc156266186"/>
      <w:bookmarkStart w:id="149" w:name="_Toc156267081"/>
      <w:bookmarkStart w:id="150" w:name="_Toc157231975"/>
      <w:bookmarkStart w:id="151" w:name="_Toc159233162"/>
      <w:r>
        <w:rPr>
          <w:rStyle w:val="CharPartNo"/>
        </w:rPr>
        <w:t>Part 6</w:t>
      </w:r>
      <w:r>
        <w:rPr>
          <w:rStyle w:val="CharDivNo"/>
        </w:rPr>
        <w:t> </w:t>
      </w:r>
      <w:r>
        <w:t>—</w:t>
      </w:r>
      <w:r>
        <w:rPr>
          <w:rStyle w:val="CharDivText"/>
        </w:rPr>
        <w:t> </w:t>
      </w:r>
      <w:r>
        <w:rPr>
          <w:rStyle w:val="CharPartText"/>
        </w:rPr>
        <w:t>Miscellaneous</w:t>
      </w:r>
      <w:bookmarkEnd w:id="141"/>
      <w:bookmarkEnd w:id="142"/>
      <w:bookmarkEnd w:id="143"/>
      <w:bookmarkEnd w:id="144"/>
      <w:bookmarkEnd w:id="145"/>
      <w:bookmarkEnd w:id="146"/>
      <w:bookmarkEnd w:id="147"/>
      <w:bookmarkEnd w:id="148"/>
      <w:bookmarkEnd w:id="149"/>
      <w:bookmarkEnd w:id="150"/>
      <w:bookmarkEnd w:id="151"/>
    </w:p>
    <w:p>
      <w:pPr>
        <w:pStyle w:val="Heading5"/>
      </w:pPr>
      <w:bookmarkStart w:id="152" w:name="_Toc159233163"/>
      <w:r>
        <w:rPr>
          <w:rStyle w:val="CharSectno"/>
        </w:rPr>
        <w:t>21</w:t>
      </w:r>
      <w:r>
        <w:t>.</w:t>
      </w:r>
      <w:r>
        <w:tab/>
        <w:t>Payments to enduring parental carers</w:t>
      </w:r>
      <w:bookmarkEnd w:id="152"/>
    </w:p>
    <w:p>
      <w:pPr>
        <w:pStyle w:val="Subsection"/>
      </w:pPr>
      <w:r>
        <w:tab/>
        <w:t>(1)</w:t>
      </w:r>
      <w:r>
        <w:tab/>
        <w:t>For the purposes of section 65 the scale of amounts set out in the Table to this subregulation is prescribed.</w:t>
      </w:r>
    </w:p>
    <w:p>
      <w:pPr>
        <w:pStyle w:val="MiscellaneousHeading"/>
        <w:spacing w:after="120"/>
        <w:rPr>
          <w:b/>
        </w:rPr>
      </w:pPr>
      <w:r>
        <w:rPr>
          <w:b/>
        </w:rPr>
        <w:t>Table</w:t>
      </w:r>
    </w:p>
    <w:tbl>
      <w:tblPr>
        <w:tblW w:w="0" w:type="auto"/>
        <w:tblInd w:w="959" w:type="dxa"/>
        <w:tblLayout w:type="fixed"/>
        <w:tblLook w:val="0000" w:firstRow="0" w:lastRow="0" w:firstColumn="0" w:lastColumn="0" w:noHBand="0" w:noVBand="0"/>
      </w:tblPr>
      <w:tblGrid>
        <w:gridCol w:w="2692"/>
        <w:gridCol w:w="3403"/>
      </w:tblGrid>
      <w:tr>
        <w:trPr>
          <w:tblHeader/>
        </w:trPr>
        <w:tc>
          <w:tcPr>
            <w:tcW w:w="2692" w:type="dxa"/>
            <w:tcBorders>
              <w:top w:val="single" w:sz="4" w:space="0" w:color="auto"/>
              <w:bottom w:val="single" w:sz="4" w:space="0" w:color="auto"/>
            </w:tcBorders>
          </w:tcPr>
          <w:p>
            <w:pPr>
              <w:pStyle w:val="Table"/>
              <w:spacing w:before="0" w:line="240" w:lineRule="auto"/>
              <w:ind w:left="567"/>
              <w:jc w:val="both"/>
              <w:rPr>
                <w:b/>
              </w:rPr>
            </w:pPr>
            <w:r>
              <w:rPr>
                <w:b/>
              </w:rPr>
              <w:t>Age of child</w:t>
            </w:r>
          </w:p>
        </w:tc>
        <w:tc>
          <w:tcPr>
            <w:tcW w:w="3403" w:type="dxa"/>
            <w:tcBorders>
              <w:top w:val="single" w:sz="4" w:space="0" w:color="auto"/>
              <w:bottom w:val="single" w:sz="4" w:space="0" w:color="auto"/>
            </w:tcBorders>
          </w:tcPr>
          <w:p>
            <w:pPr>
              <w:pStyle w:val="Table"/>
              <w:spacing w:before="0" w:line="240" w:lineRule="auto"/>
              <w:ind w:left="567" w:firstLine="602"/>
              <w:rPr>
                <w:b/>
              </w:rPr>
            </w:pPr>
            <w:r>
              <w:rPr>
                <w:b/>
              </w:rPr>
              <w:t>Amount</w:t>
            </w:r>
          </w:p>
        </w:tc>
      </w:tr>
      <w:tr>
        <w:tc>
          <w:tcPr>
            <w:tcW w:w="2692" w:type="dxa"/>
          </w:tcPr>
          <w:p>
            <w:pPr>
              <w:pStyle w:val="Table"/>
              <w:ind w:left="34"/>
            </w:pPr>
            <w:r>
              <w:t>0 to 6 years of age</w:t>
            </w:r>
          </w:p>
        </w:tc>
        <w:tc>
          <w:tcPr>
            <w:tcW w:w="3403" w:type="dxa"/>
          </w:tcPr>
          <w:p>
            <w:pPr>
              <w:pStyle w:val="Table"/>
              <w:jc w:val="center"/>
            </w:pPr>
            <w:r>
              <w:t>$251.93</w:t>
            </w:r>
          </w:p>
        </w:tc>
      </w:tr>
      <w:tr>
        <w:tc>
          <w:tcPr>
            <w:tcW w:w="2692" w:type="dxa"/>
          </w:tcPr>
          <w:p>
            <w:pPr>
              <w:pStyle w:val="Table"/>
            </w:pPr>
            <w:r>
              <w:t>7 to 12 years of age</w:t>
            </w:r>
          </w:p>
        </w:tc>
        <w:tc>
          <w:tcPr>
            <w:tcW w:w="3403" w:type="dxa"/>
          </w:tcPr>
          <w:p>
            <w:pPr>
              <w:pStyle w:val="Table"/>
              <w:jc w:val="center"/>
            </w:pPr>
            <w:r>
              <w:t>$316.45</w:t>
            </w:r>
          </w:p>
        </w:tc>
      </w:tr>
      <w:tr>
        <w:tc>
          <w:tcPr>
            <w:tcW w:w="2692" w:type="dxa"/>
            <w:tcBorders>
              <w:bottom w:val="single" w:sz="4" w:space="0" w:color="auto"/>
            </w:tcBorders>
          </w:tcPr>
          <w:p>
            <w:pPr>
              <w:pStyle w:val="Table"/>
            </w:pPr>
            <w:r>
              <w:t>13 to 18 years of age</w:t>
            </w:r>
          </w:p>
        </w:tc>
        <w:tc>
          <w:tcPr>
            <w:tcW w:w="3403" w:type="dxa"/>
            <w:tcBorders>
              <w:bottom w:val="single" w:sz="4" w:space="0" w:color="auto"/>
            </w:tcBorders>
          </w:tcPr>
          <w:p>
            <w:pPr>
              <w:pStyle w:val="Table"/>
              <w:jc w:val="center"/>
            </w:pPr>
            <w:r>
              <w:t>$405.45</w:t>
            </w:r>
          </w:p>
        </w:tc>
      </w:tr>
    </w:tbl>
    <w:p>
      <w:pPr>
        <w:pStyle w:val="Subsection"/>
      </w:pPr>
      <w:r>
        <w:tab/>
        <w:t>(2)</w:t>
      </w:r>
      <w:r>
        <w:tab/>
        <w:t>Payments of amounts prescribed under subregulation (1) are to be made at fortnightly intervals.</w:t>
      </w:r>
    </w:p>
    <w:p>
      <w:pPr>
        <w:pStyle w:val="Heading5"/>
      </w:pPr>
      <w:bookmarkStart w:id="153" w:name="_Toc159233164"/>
      <w:r>
        <w:rPr>
          <w:rStyle w:val="CharSectno"/>
        </w:rPr>
        <w:t>21A</w:t>
      </w:r>
      <w:r>
        <w:t>.</w:t>
      </w:r>
      <w:r>
        <w:tab/>
        <w:t>Work prescribed for s. 191(4)</w:t>
      </w:r>
      <w:bookmarkEnd w:id="153"/>
    </w:p>
    <w:p>
      <w:pPr>
        <w:pStyle w:val="Subsection"/>
      </w:pPr>
      <w:r>
        <w:tab/>
      </w:r>
      <w:r>
        <w:tab/>
        <w:t>Work that involves the collection of shopping trolleys at or in the vicinity of a shop or other retail outlet is prescribed for the purposes of section 191(4).</w:t>
      </w:r>
    </w:p>
    <w:p>
      <w:pPr>
        <w:pStyle w:val="Footnotesection"/>
      </w:pPr>
      <w:r>
        <w:tab/>
        <w:t>[Regulation 21A inserted in Gazette 18 Aug 2006 p. 3367.]</w:t>
      </w:r>
    </w:p>
    <w:p>
      <w:pPr>
        <w:pStyle w:val="Heading5"/>
      </w:pPr>
      <w:bookmarkStart w:id="154" w:name="_Toc159233165"/>
      <w:r>
        <w:rPr>
          <w:rStyle w:val="CharSectno"/>
        </w:rPr>
        <w:t>22</w:t>
      </w:r>
      <w:r>
        <w:t>.</w:t>
      </w:r>
      <w:r>
        <w:tab/>
        <w:t>Prescribed offences</w:t>
      </w:r>
      <w:bookmarkEnd w:id="154"/>
    </w:p>
    <w:p>
      <w:pPr>
        <w:pStyle w:val="Subsection"/>
      </w:pPr>
      <w:r>
        <w:tab/>
      </w:r>
      <w:r>
        <w:tab/>
        <w:t xml:space="preserve">An offence that is a Class 1 offence or a Class 2 offence, as those terms are defined in the </w:t>
      </w:r>
      <w:r>
        <w:rPr>
          <w:i/>
          <w:iCs/>
        </w:rPr>
        <w:t>Working with Children (Criminal Record Checking) Act 2004</w:t>
      </w:r>
      <w:r>
        <w:t xml:space="preserve"> section 4, is prescribed for the purposes of the definition of “prescribed offence” in section 197.</w:t>
      </w:r>
    </w:p>
    <w:p>
      <w:pPr>
        <w:pStyle w:val="Heading5"/>
      </w:pPr>
      <w:bookmarkStart w:id="155" w:name="_Toc159233166"/>
      <w:r>
        <w:rPr>
          <w:rStyle w:val="CharSectno"/>
        </w:rPr>
        <w:t>22A</w:t>
      </w:r>
      <w:r>
        <w:t>.</w:t>
      </w:r>
      <w:r>
        <w:tab/>
        <w:t>Age prescribed for s. 198(1)</w:t>
      </w:r>
      <w:bookmarkEnd w:id="155"/>
    </w:p>
    <w:p>
      <w:pPr>
        <w:pStyle w:val="Subsection"/>
      </w:pPr>
      <w:r>
        <w:tab/>
      </w:r>
      <w:r>
        <w:tab/>
        <w:t>The age of 15 years and 6 months is prescribed for the purposes of section 198(1).</w:t>
      </w:r>
    </w:p>
    <w:p>
      <w:pPr>
        <w:pStyle w:val="Footnotesection"/>
      </w:pPr>
      <w:r>
        <w:tab/>
        <w:t>[Regulation 22A inserted in Gazette 1 Mar 2006 p. 927; amended in Gazette 18 Aug 2006 p. 3367.]</w:t>
      </w:r>
    </w:p>
    <w:p>
      <w:pPr>
        <w:pStyle w:val="Heading5"/>
      </w:pPr>
      <w:bookmarkStart w:id="156" w:name="_Toc159233167"/>
      <w:r>
        <w:rPr>
          <w:rStyle w:val="CharSectno"/>
        </w:rPr>
        <w:t>23</w:t>
      </w:r>
      <w:r>
        <w:t>.</w:t>
      </w:r>
      <w:r>
        <w:tab/>
        <w:t>Care that is not a child care service</w:t>
      </w:r>
      <w:bookmarkEnd w:id="156"/>
    </w:p>
    <w:p>
      <w:pPr>
        <w:pStyle w:val="Subsection"/>
      </w:pPr>
      <w:r>
        <w:tab/>
        <w:t>(1)</w:t>
      </w:r>
      <w:r>
        <w:tab/>
        <w:t xml:space="preserve">In this regulation — </w:t>
      </w:r>
    </w:p>
    <w:p>
      <w:pPr>
        <w:pStyle w:val="Defstart"/>
      </w:pPr>
      <w:r>
        <w:rPr>
          <w:b/>
        </w:rPr>
        <w:tab/>
        <w:t>“</w:t>
      </w:r>
      <w:r>
        <w:rPr>
          <w:rStyle w:val="CharDefText"/>
        </w:rPr>
        <w:t>care giver</w:t>
      </w:r>
      <w:r>
        <w:rPr>
          <w:b/>
        </w:rPr>
        <w:t>”</w:t>
      </w:r>
      <w:r>
        <w:t xml:space="preserve"> means a person who provides care to the child;</w:t>
      </w:r>
    </w:p>
    <w:p>
      <w:pPr>
        <w:pStyle w:val="Defstart"/>
      </w:pPr>
      <w:r>
        <w:rPr>
          <w:b/>
        </w:rPr>
        <w:tab/>
        <w:t>“</w:t>
      </w:r>
      <w:r>
        <w:rPr>
          <w:rStyle w:val="CharDefText"/>
        </w:rPr>
        <w:t>care session</w:t>
      </w:r>
      <w:r>
        <w:rPr>
          <w:b/>
        </w:rPr>
        <w:t>”</w:t>
      </w:r>
      <w:r>
        <w:t xml:space="preserve"> means a discrete period during which care is provided to the child;</w:t>
      </w:r>
    </w:p>
    <w:p>
      <w:pPr>
        <w:pStyle w:val="Defstart"/>
      </w:pPr>
      <w:r>
        <w:rPr>
          <w:b/>
        </w:rPr>
        <w:tab/>
        <w:t>“</w:t>
      </w:r>
      <w:r>
        <w:rPr>
          <w:rStyle w:val="CharDefText"/>
        </w:rPr>
        <w:t>first aid qualifications</w:t>
      </w:r>
      <w:r>
        <w:rPr>
          <w:b/>
        </w:rPr>
        <w:t>”</w:t>
      </w:r>
      <w:r>
        <w:t xml:space="preserve"> means a certificate or other evidence of successful completion of first aid training in at least the following subjects — </w:t>
      </w:r>
    </w:p>
    <w:p>
      <w:pPr>
        <w:pStyle w:val="Defpara"/>
      </w:pPr>
      <w:r>
        <w:tab/>
        <w:t>(a)</w:t>
      </w:r>
      <w:r>
        <w:tab/>
        <w:t>cardiopulmonary resuscitation;</w:t>
      </w:r>
    </w:p>
    <w:p>
      <w:pPr>
        <w:pStyle w:val="Defpara"/>
      </w:pPr>
      <w:r>
        <w:tab/>
        <w:t>(b)</w:t>
      </w:r>
      <w:r>
        <w:tab/>
        <w:t>expired air resuscitation;</w:t>
      </w:r>
    </w:p>
    <w:p>
      <w:pPr>
        <w:pStyle w:val="Defpara"/>
      </w:pPr>
      <w:r>
        <w:tab/>
        <w:t>(c)</w:t>
      </w:r>
      <w:r>
        <w:tab/>
        <w:t>management of emergency situations that could be life threatening or cause permanent damage to a casualty;</w:t>
      </w:r>
    </w:p>
    <w:p>
      <w:pPr>
        <w:pStyle w:val="Defpara"/>
      </w:pPr>
      <w:r>
        <w:tab/>
        <w:t>(d)</w:t>
      </w:r>
      <w:r>
        <w:tab/>
        <w:t>management of injuries;</w:t>
      </w:r>
    </w:p>
    <w:p>
      <w:pPr>
        <w:pStyle w:val="Defstart"/>
      </w:pPr>
      <w:r>
        <w:rPr>
          <w:b/>
        </w:rPr>
        <w:tab/>
        <w:t>“</w:t>
      </w:r>
      <w:r>
        <w:rPr>
          <w:rStyle w:val="CharDefText"/>
        </w:rPr>
        <w:t>secondary programme</w:t>
      </w:r>
      <w:r>
        <w:rPr>
          <w:b/>
        </w:rPr>
        <w:t>”</w:t>
      </w:r>
      <w:r>
        <w:t xml:space="preserve"> has the meaning given to that term in the </w:t>
      </w:r>
      <w:r>
        <w:rPr>
          <w:i/>
        </w:rPr>
        <w:t>School Education Regulations 2000</w:t>
      </w:r>
      <w:r>
        <w:t xml:space="preserve"> regulation 3(1).</w:t>
      </w:r>
    </w:p>
    <w:p>
      <w:pPr>
        <w:pStyle w:val="Subsection"/>
      </w:pPr>
      <w:r>
        <w:tab/>
        <w:t>(2)</w:t>
      </w:r>
      <w:r>
        <w:tab/>
        <w:t xml:space="preserve">Care provided to a child is excluded from the application of section 198(1) if — </w:t>
      </w:r>
    </w:p>
    <w:p>
      <w:pPr>
        <w:pStyle w:val="Indenta"/>
      </w:pPr>
      <w:r>
        <w:tab/>
        <w:t>(a)</w:t>
      </w:r>
      <w:r>
        <w:tab/>
        <w:t>the child has reached 2 months of age;</w:t>
      </w:r>
    </w:p>
    <w:p>
      <w:pPr>
        <w:pStyle w:val="Ednotepara"/>
        <w:spacing w:before="80"/>
      </w:pPr>
      <w:r>
        <w:tab/>
        <w:t>[(b)</w:t>
      </w:r>
      <w:r>
        <w:tab/>
        <w:t>deleted]</w:t>
      </w:r>
    </w:p>
    <w:p>
      <w:pPr>
        <w:pStyle w:val="Indenta"/>
      </w:pPr>
      <w:r>
        <w:tab/>
        <w:t>(c)</w:t>
      </w:r>
      <w:r>
        <w:tab/>
        <w:t>a parent or other relative of the child is available to attend to the child’s immediate physical needs;</w:t>
      </w:r>
    </w:p>
    <w:p>
      <w:pPr>
        <w:pStyle w:val="Indenta"/>
      </w:pPr>
      <w:r>
        <w:tab/>
        <w:t>(d)</w:t>
      </w:r>
      <w:r>
        <w:tab/>
        <w:t>each care session does not exceed 3 hours;</w:t>
      </w:r>
    </w:p>
    <w:p>
      <w:pPr>
        <w:pStyle w:val="Indenta"/>
      </w:pPr>
      <w:r>
        <w:tab/>
        <w:t>(e)</w:t>
      </w:r>
      <w:r>
        <w:tab/>
        <w:t>the care sessions in any week do not exceed 12 hours;</w:t>
      </w:r>
    </w:p>
    <w:p>
      <w:pPr>
        <w:pStyle w:val="Indenta"/>
      </w:pPr>
      <w:r>
        <w:tab/>
        <w:t>(f)</w:t>
      </w:r>
      <w:r>
        <w:tab/>
        <w:t>the number of care sessions on any day does not exceed 2 and those sessions are separated by a period of at least one hour;</w:t>
      </w:r>
    </w:p>
    <w:p>
      <w:pPr>
        <w:pStyle w:val="Indenta"/>
      </w:pPr>
      <w:r>
        <w:tab/>
        <w:t>(g)</w:t>
      </w:r>
      <w:r>
        <w:tab/>
        <w:t xml:space="preserve">in circumstances where there is one care giver — </w:t>
      </w:r>
    </w:p>
    <w:p>
      <w:pPr>
        <w:pStyle w:val="Indenti"/>
      </w:pPr>
      <w:r>
        <w:tab/>
        <w:t>(i)</w:t>
      </w:r>
      <w:r>
        <w:tab/>
        <w:t>the care giver has reached 21 years of age;</w:t>
      </w:r>
    </w:p>
    <w:p>
      <w:pPr>
        <w:pStyle w:val="Indenti"/>
      </w:pPr>
      <w:r>
        <w:tab/>
        <w:t>(ii)</w:t>
      </w:r>
      <w:r>
        <w:tab/>
        <w:t>the care giver has current first aid qualifications; and</w:t>
      </w:r>
    </w:p>
    <w:p>
      <w:pPr>
        <w:pStyle w:val="Indenti"/>
      </w:pPr>
      <w:r>
        <w:tab/>
        <w:t>(iii)</w:t>
      </w:r>
      <w:r>
        <w:tab/>
        <w:t>another person who has reached 18 years of age is available to provide assistance in an emergency situation;</w:t>
      </w:r>
    </w:p>
    <w:p>
      <w:pPr>
        <w:pStyle w:val="Indenta"/>
      </w:pPr>
      <w:r>
        <w:tab/>
      </w:r>
      <w:r>
        <w:tab/>
        <w:t>and</w:t>
      </w:r>
    </w:p>
    <w:p>
      <w:pPr>
        <w:pStyle w:val="Indenta"/>
      </w:pPr>
      <w:r>
        <w:tab/>
        <w:t>(h)</w:t>
      </w:r>
      <w:r>
        <w:tab/>
        <w:t xml:space="preserve">in circumstances where there are 2 or more care givers — </w:t>
      </w:r>
    </w:p>
    <w:p>
      <w:pPr>
        <w:pStyle w:val="Indenti"/>
      </w:pPr>
      <w:r>
        <w:tab/>
        <w:t>(i)</w:t>
      </w:r>
      <w:r>
        <w:tab/>
        <w:t>at least one of the care givers has reached 21 years of age; and</w:t>
      </w:r>
    </w:p>
    <w:p>
      <w:pPr>
        <w:pStyle w:val="Indenti"/>
      </w:pPr>
      <w:r>
        <w:tab/>
        <w:t>(ii)</w:t>
      </w:r>
      <w:r>
        <w:tab/>
        <w:t>at least one of the care givers has current first aid qualifications.</w:t>
      </w:r>
    </w:p>
    <w:p>
      <w:pPr>
        <w:pStyle w:val="Subsection"/>
      </w:pPr>
      <w:r>
        <w:tab/>
        <w:t>(3)</w:t>
      </w:r>
      <w:r>
        <w:tab/>
        <w:t xml:space="preserve">Care provided to a child with a disability is excluded from the application of section 198(1) if — </w:t>
      </w:r>
    </w:p>
    <w:p>
      <w:pPr>
        <w:pStyle w:val="Indenta"/>
      </w:pPr>
      <w:r>
        <w:tab/>
        <w:t>(a)</w:t>
      </w:r>
      <w:r>
        <w:tab/>
        <w:t xml:space="preserve">the care is funded by a grant of financial assistance approved under the </w:t>
      </w:r>
      <w:r>
        <w:rPr>
          <w:i/>
        </w:rPr>
        <w:t>Disability Services Act 1993</w:t>
      </w:r>
      <w:r>
        <w:t xml:space="preserve"> section 24(1)(c);</w:t>
      </w:r>
    </w:p>
    <w:p>
      <w:pPr>
        <w:pStyle w:val="Indenta"/>
      </w:pPr>
      <w:r>
        <w:tab/>
        <w:t>(b)</w:t>
      </w:r>
      <w:r>
        <w:tab/>
        <w:t>the grant of financial assistance was made to a body corporate; and</w:t>
      </w:r>
    </w:p>
    <w:p>
      <w:pPr>
        <w:pStyle w:val="Indenta"/>
      </w:pPr>
      <w:r>
        <w:tab/>
        <w:t>(c)</w:t>
      </w:r>
      <w:r>
        <w:tab/>
        <w:t>the care is provided by an employee of that body corporate.</w:t>
      </w:r>
    </w:p>
    <w:p>
      <w:pPr>
        <w:pStyle w:val="Subsection"/>
      </w:pPr>
      <w:r>
        <w:tab/>
        <w:t>(4)</w:t>
      </w:r>
      <w:r>
        <w:tab/>
        <w:t xml:space="preserve">Care provided to a child with a disability is excluded from the application of section 198(1) for the period of 2 years after the day on which these regulations come into operation if the care — </w:t>
      </w:r>
    </w:p>
    <w:p>
      <w:pPr>
        <w:pStyle w:val="Indenta"/>
        <w:rPr>
          <w:iCs/>
        </w:rPr>
      </w:pPr>
      <w:r>
        <w:tab/>
        <w:t>(a)</w:t>
      </w:r>
      <w:r>
        <w:tab/>
        <w:t xml:space="preserve">is funded by a grant of financial assistance approved under the </w:t>
      </w:r>
      <w:r>
        <w:rPr>
          <w:i/>
        </w:rPr>
        <w:t>Disability Services Act 1993</w:t>
      </w:r>
      <w:r>
        <w:t xml:space="preserve"> section 24(1)(a) or (b)</w:t>
      </w:r>
      <w:r>
        <w:rPr>
          <w:iCs/>
        </w:rPr>
        <w:t>; or</w:t>
      </w:r>
    </w:p>
    <w:p>
      <w:pPr>
        <w:pStyle w:val="Indenta"/>
      </w:pPr>
      <w:r>
        <w:tab/>
        <w:t>(b)</w:t>
      </w:r>
      <w:r>
        <w:tab/>
        <w:t xml:space="preserve">is funded by a grant of financial assistance approved under the </w:t>
      </w:r>
      <w:r>
        <w:rPr>
          <w:i/>
        </w:rPr>
        <w:t>Disability Services Act 1993</w:t>
      </w:r>
      <w:r>
        <w:t xml:space="preserve"> section 24(1)(c) and is not care to which subregulation (3) applies.</w:t>
      </w:r>
    </w:p>
    <w:p>
      <w:pPr>
        <w:pStyle w:val="Subsection"/>
        <w:keepNext/>
        <w:keepLines/>
      </w:pPr>
      <w:r>
        <w:tab/>
        <w:t>(5)</w:t>
      </w:r>
      <w:r>
        <w:tab/>
        <w:t xml:space="preserve">Care provided to a child is excluded from the application of section 198(1) if the care is provided solely for the purposes of — </w:t>
      </w:r>
    </w:p>
    <w:p>
      <w:pPr>
        <w:pStyle w:val="Indenta"/>
      </w:pPr>
      <w:r>
        <w:tab/>
        <w:t>(a)</w:t>
      </w:r>
      <w:r>
        <w:tab/>
        <w:t>the child’s participation in religious instruction or sporting, educational, recreational or cultural events or activities; or</w:t>
      </w:r>
    </w:p>
    <w:p>
      <w:pPr>
        <w:pStyle w:val="Indenta"/>
      </w:pPr>
      <w:r>
        <w:tab/>
        <w:t>(b)</w:t>
      </w:r>
      <w:r>
        <w:tab/>
        <w:t>the child’s membership of a non</w:t>
      </w:r>
      <w:r>
        <w:noBreakHyphen/>
        <w:t>profit community organisation.</w:t>
      </w:r>
    </w:p>
    <w:p>
      <w:pPr>
        <w:pStyle w:val="Subsection"/>
      </w:pPr>
      <w:r>
        <w:tab/>
        <w:t>(6)</w:t>
      </w:r>
      <w:r>
        <w:tab/>
        <w:t>Care provided solely to children who are enrolled in a secondary programme is excluded from the application of section 198(1).</w:t>
      </w:r>
    </w:p>
    <w:p>
      <w:pPr>
        <w:pStyle w:val="Footnotesection"/>
      </w:pPr>
      <w:r>
        <w:tab/>
        <w:t>[Regulation 23 amended in Gazette 1 Mar 2006 p. 927-8; 18 Aug 2006 p. 3368; 8 Dec 2006 p. 5370.]</w:t>
      </w:r>
    </w:p>
    <w:p>
      <w:pPr>
        <w:pStyle w:val="Heading5"/>
      </w:pPr>
      <w:bookmarkStart w:id="157" w:name="_Toc159233168"/>
      <w:bookmarkStart w:id="158" w:name="_Toc128289382"/>
      <w:bookmarkStart w:id="159" w:name="_Toc128300217"/>
      <w:bookmarkStart w:id="160" w:name="_Toc129056240"/>
      <w:bookmarkStart w:id="161" w:name="_Toc129062251"/>
      <w:r>
        <w:rPr>
          <w:rStyle w:val="CharSectno"/>
        </w:rPr>
        <w:t>23A</w:t>
      </w:r>
      <w:r>
        <w:t>.</w:t>
      </w:r>
      <w:r>
        <w:tab/>
        <w:t>Operator of creche facility to display notice</w:t>
      </w:r>
      <w:bookmarkEnd w:id="157"/>
    </w:p>
    <w:p>
      <w:pPr>
        <w:pStyle w:val="Subsection"/>
      </w:pPr>
      <w:r>
        <w:tab/>
        <w:t>(1)</w:t>
      </w:r>
      <w:r>
        <w:tab/>
        <w:t xml:space="preserve">In this regulation — </w:t>
      </w:r>
    </w:p>
    <w:p>
      <w:pPr>
        <w:pStyle w:val="Defstart"/>
      </w:pPr>
      <w:r>
        <w:rPr>
          <w:b/>
        </w:rPr>
        <w:tab/>
        <w:t>“</w:t>
      </w:r>
      <w:r>
        <w:rPr>
          <w:rStyle w:val="CharDefText"/>
        </w:rPr>
        <w:t>creche facility</w:t>
      </w:r>
      <w:r>
        <w:rPr>
          <w:b/>
        </w:rPr>
        <w:t>”</w:t>
      </w:r>
      <w:r>
        <w:t xml:space="preserve"> means a facility for the provision of care to which regulation 23(2) applies.</w:t>
      </w:r>
    </w:p>
    <w:p>
      <w:pPr>
        <w:pStyle w:val="Subsection"/>
      </w:pPr>
      <w:r>
        <w:tab/>
        <w:t>(2)</w:t>
      </w:r>
      <w:r>
        <w:tab/>
        <w:t>A person who operates a creche facility on or after 1 March 2007 must ensure that a notice in accordance with subregulation (3) is displayed in a prominent position at or near the entrance to the place where the creche facility is operated.</w:t>
      </w:r>
    </w:p>
    <w:p>
      <w:pPr>
        <w:pStyle w:val="Penstart"/>
      </w:pPr>
      <w:r>
        <w:tab/>
        <w:t>Penalty: a fine of $2 000.</w:t>
      </w:r>
    </w:p>
    <w:p>
      <w:pPr>
        <w:pStyle w:val="Subsection"/>
      </w:pPr>
      <w:r>
        <w:tab/>
        <w:t>(3)</w:t>
      </w:r>
      <w:r>
        <w:tab/>
        <w:t>The notice is to contain information to the effect that the creche facility is not a child care service for the purposes of the Act and is therefore not subject to the licensing requirements of the Act.</w:t>
      </w:r>
    </w:p>
    <w:p>
      <w:pPr>
        <w:pStyle w:val="Footnotesection"/>
      </w:pPr>
      <w:r>
        <w:tab/>
        <w:t>[Regulation 23A inserted in Gazette 18 Aug 2006 p. 3368.]</w:t>
      </w:r>
    </w:p>
    <w:p>
      <w:pPr>
        <w:pStyle w:val="Heading2"/>
      </w:pPr>
      <w:bookmarkStart w:id="162" w:name="_Toc143577644"/>
      <w:bookmarkStart w:id="163" w:name="_Toc143588475"/>
      <w:bookmarkStart w:id="164" w:name="_Toc153265856"/>
      <w:bookmarkStart w:id="165" w:name="_Toc156266193"/>
      <w:bookmarkStart w:id="166" w:name="_Toc156267088"/>
      <w:bookmarkStart w:id="167" w:name="_Toc157231982"/>
      <w:bookmarkStart w:id="168" w:name="_Toc159233169"/>
      <w:r>
        <w:rPr>
          <w:rStyle w:val="CharPartNo"/>
        </w:rPr>
        <w:t>Part 7</w:t>
      </w:r>
      <w:r>
        <w:rPr>
          <w:rStyle w:val="CharDivNo"/>
        </w:rPr>
        <w:t> </w:t>
      </w:r>
      <w:r>
        <w:t>—</w:t>
      </w:r>
      <w:r>
        <w:rPr>
          <w:rStyle w:val="CharDivText"/>
        </w:rPr>
        <w:t> </w:t>
      </w:r>
      <w:r>
        <w:rPr>
          <w:rStyle w:val="CharPartText"/>
        </w:rPr>
        <w:t>Transitional arrangements</w:t>
      </w:r>
      <w:bookmarkEnd w:id="158"/>
      <w:bookmarkEnd w:id="159"/>
      <w:bookmarkEnd w:id="160"/>
      <w:bookmarkEnd w:id="161"/>
      <w:bookmarkEnd w:id="162"/>
      <w:bookmarkEnd w:id="163"/>
      <w:bookmarkEnd w:id="164"/>
      <w:bookmarkEnd w:id="165"/>
      <w:bookmarkEnd w:id="166"/>
      <w:bookmarkEnd w:id="167"/>
      <w:bookmarkEnd w:id="168"/>
    </w:p>
    <w:p>
      <w:pPr>
        <w:pStyle w:val="Heading5"/>
      </w:pPr>
      <w:bookmarkStart w:id="169" w:name="_Toc159233170"/>
      <w:r>
        <w:rPr>
          <w:rStyle w:val="CharSectno"/>
        </w:rPr>
        <w:t>24</w:t>
      </w:r>
      <w:r>
        <w:t>.</w:t>
      </w:r>
      <w:r>
        <w:tab/>
        <w:t>Terms used in this Part</w:t>
      </w:r>
      <w:bookmarkEnd w:id="169"/>
    </w:p>
    <w:p>
      <w:pPr>
        <w:pStyle w:val="Subsection"/>
      </w:pPr>
      <w:r>
        <w:tab/>
        <w:t>(1)</w:t>
      </w:r>
      <w:r>
        <w:tab/>
        <w:t xml:space="preserve">In this Part, unless the contrary intention appears — </w:t>
      </w:r>
    </w:p>
    <w:p>
      <w:pPr>
        <w:pStyle w:val="Defstart"/>
      </w:pPr>
      <w:r>
        <w:rPr>
          <w:b/>
        </w:rPr>
        <w:tab/>
        <w:t>“</w:t>
      </w:r>
      <w:r>
        <w:rPr>
          <w:rStyle w:val="CharDefText"/>
        </w:rPr>
        <w:t>commencement day</w:t>
      </w:r>
      <w:r>
        <w:rPr>
          <w:b/>
        </w:rPr>
        <w:t>”</w:t>
      </w:r>
      <w:r>
        <w:t xml:space="preserve"> means the day on which these regulations come into operation;</w:t>
      </w:r>
    </w:p>
    <w:p>
      <w:pPr>
        <w:pStyle w:val="Defstart"/>
      </w:pPr>
      <w:r>
        <w:rPr>
          <w:b/>
        </w:rPr>
        <w:tab/>
        <w:t>“</w:t>
      </w:r>
      <w:r>
        <w:rPr>
          <w:rStyle w:val="CharDefText"/>
        </w:rPr>
        <w:t>existing authorisation</w:t>
      </w:r>
      <w:r>
        <w:rPr>
          <w:b/>
        </w:rPr>
        <w:t>”</w:t>
      </w:r>
      <w:r>
        <w:t xml:space="preserve"> means a licence or permit referred to in the Act Schedule 1 clause 18(1);</w:t>
      </w:r>
    </w:p>
    <w:p>
      <w:pPr>
        <w:pStyle w:val="Defstart"/>
      </w:pPr>
      <w:r>
        <w:rPr>
          <w:b/>
        </w:rPr>
        <w:tab/>
        <w:t>“</w:t>
      </w:r>
      <w:r>
        <w:rPr>
          <w:rStyle w:val="CharDefText"/>
        </w:rPr>
        <w:t>initial authorisation period</w:t>
      </w:r>
      <w:r>
        <w:rPr>
          <w:b/>
        </w:rPr>
        <w:t>”</w:t>
      </w:r>
      <w:r>
        <w:t>, in relation to an existing authorisation, means the period for which the authorisation has effect after commencement day excluding any period for which it is renewed under the Act.</w:t>
      </w:r>
    </w:p>
    <w:p>
      <w:pPr>
        <w:pStyle w:val="Subsection"/>
      </w:pPr>
      <w:r>
        <w:tab/>
        <w:t>(2)</w:t>
      </w:r>
      <w:r>
        <w:tab/>
        <w:t>If a term used in this Part is defined in section 197, it has the same meaning in this Part unless the contrary intention appears.</w:t>
      </w:r>
    </w:p>
    <w:p>
      <w:pPr>
        <w:pStyle w:val="Heading5"/>
      </w:pPr>
      <w:bookmarkStart w:id="170" w:name="_Toc159233171"/>
      <w:r>
        <w:rPr>
          <w:rStyle w:val="CharSectno"/>
        </w:rPr>
        <w:t>25</w:t>
      </w:r>
      <w:r>
        <w:t>.</w:t>
      </w:r>
      <w:r>
        <w:tab/>
        <w:t>Responsible officers to continue as supervising officers</w:t>
      </w:r>
      <w:bookmarkEnd w:id="170"/>
    </w:p>
    <w:p>
      <w:pPr>
        <w:pStyle w:val="Subsection"/>
      </w:pPr>
      <w:r>
        <w:tab/>
        <w:t>(1)</w:t>
      </w:r>
      <w:r>
        <w:tab/>
        <w:t xml:space="preserve">A person who, immediately before commencement day, was the responsible officer for a child care service to which an existing authorisation applies is to be taken to be the supervising officer for the service for the purposes of regulations referred to in section 232 until — </w:t>
      </w:r>
    </w:p>
    <w:p>
      <w:pPr>
        <w:pStyle w:val="Indenta"/>
      </w:pPr>
      <w:r>
        <w:tab/>
        <w:t>(a)</w:t>
      </w:r>
      <w:r>
        <w:tab/>
        <w:t>the end of the initial authorisation period; or</w:t>
      </w:r>
    </w:p>
    <w:p>
      <w:pPr>
        <w:pStyle w:val="Indenta"/>
      </w:pPr>
      <w:r>
        <w:tab/>
        <w:t>(b)</w:t>
      </w:r>
      <w:r>
        <w:tab/>
        <w:t>the appointment of another supervising officer for the service,</w:t>
      </w:r>
    </w:p>
    <w:p>
      <w:pPr>
        <w:pStyle w:val="Subsection"/>
      </w:pPr>
      <w:r>
        <w:tab/>
      </w:r>
      <w:r>
        <w:tab/>
        <w:t>whichever happens first.</w:t>
      </w:r>
    </w:p>
    <w:p>
      <w:pPr>
        <w:pStyle w:val="Subsection"/>
      </w:pPr>
      <w:r>
        <w:tab/>
        <w:t>(2)</w:t>
      </w:r>
      <w:r>
        <w:tab/>
        <w:t xml:space="preserve">In subregulation (1) — </w:t>
      </w:r>
    </w:p>
    <w:p>
      <w:pPr>
        <w:pStyle w:val="Defstart"/>
      </w:pPr>
      <w:r>
        <w:rPr>
          <w:b/>
        </w:rPr>
        <w:tab/>
        <w:t>“</w:t>
      </w:r>
      <w:r>
        <w:rPr>
          <w:rStyle w:val="CharDefText"/>
        </w:rPr>
        <w:t>responsible officer</w:t>
      </w:r>
      <w:r>
        <w:rPr>
          <w:b/>
        </w:rPr>
        <w:t>”</w:t>
      </w:r>
      <w:r>
        <w:t xml:space="preserve"> for a child care service means the individual who, under the </w:t>
      </w:r>
      <w:r>
        <w:rPr>
          <w:i/>
        </w:rPr>
        <w:t>Community Services (Child Care) Regulations </w:t>
      </w:r>
      <w:r>
        <w:rPr>
          <w:i/>
          <w:iCs/>
        </w:rPr>
        <w:t>1988</w:t>
      </w:r>
      <w:r>
        <w:rPr>
          <w:iCs/>
          <w:vertAlign w:val="superscript"/>
        </w:rPr>
        <w:t> 3</w:t>
      </w:r>
      <w:r>
        <w:t xml:space="preserve"> or the </w:t>
      </w:r>
      <w:r>
        <w:rPr>
          <w:i/>
        </w:rPr>
        <w:t>Community Services (Outside School Hours Care) Regulations </w:t>
      </w:r>
      <w:r>
        <w:rPr>
          <w:i/>
          <w:iCs/>
        </w:rPr>
        <w:t>2002</w:t>
      </w:r>
      <w:r>
        <w:rPr>
          <w:iCs/>
          <w:vertAlign w:val="superscript"/>
        </w:rPr>
        <w:t> 3</w:t>
      </w:r>
      <w:r>
        <w:t>, was directly responsible for the effective supervision of the service.</w:t>
      </w:r>
    </w:p>
    <w:p>
      <w:pPr>
        <w:pStyle w:val="Heading5"/>
      </w:pPr>
      <w:bookmarkStart w:id="171" w:name="_Toc159233172"/>
      <w:r>
        <w:rPr>
          <w:rStyle w:val="CharSectno"/>
        </w:rPr>
        <w:t>26</w:t>
      </w:r>
      <w:r>
        <w:t>.</w:t>
      </w:r>
      <w:r>
        <w:tab/>
        <w:t>Application of section 212 to existing authorisations</w:t>
      </w:r>
      <w:bookmarkEnd w:id="171"/>
    </w:p>
    <w:p>
      <w:pPr>
        <w:pStyle w:val="Subsection"/>
      </w:pPr>
      <w:r>
        <w:tab/>
        <w:t>(1)</w:t>
      </w:r>
      <w:r>
        <w:tab/>
        <w:t>Section 212 does not apply to an existing authorisation during the initial authorisation period.</w:t>
      </w:r>
    </w:p>
    <w:p>
      <w:pPr>
        <w:pStyle w:val="Subsection"/>
      </w:pPr>
      <w:r>
        <w:tab/>
        <w:t>(2)</w:t>
      </w:r>
      <w:r>
        <w:tab/>
        <w:t xml:space="preserve">In subregulation (1) — </w:t>
      </w:r>
    </w:p>
    <w:p>
      <w:pPr>
        <w:pStyle w:val="Defstart"/>
      </w:pPr>
      <w:r>
        <w:rPr>
          <w:b/>
        </w:rPr>
        <w:tab/>
        <w:t>“</w:t>
      </w:r>
      <w:r>
        <w:rPr>
          <w:rStyle w:val="CharDefText"/>
        </w:rPr>
        <w:t>existing authorisation</w:t>
      </w:r>
      <w:r>
        <w:rPr>
          <w:b/>
        </w:rPr>
        <w:t>”</w:t>
      </w:r>
      <w:r>
        <w:t xml:space="preserve"> does not include a licence or permit that authorises the provision of a family day care service.</w:t>
      </w:r>
    </w:p>
    <w:p>
      <w:pPr>
        <w:pStyle w:val="Heading5"/>
      </w:pPr>
      <w:bookmarkStart w:id="172" w:name="_Toc159233173"/>
      <w:r>
        <w:rPr>
          <w:rStyle w:val="CharSectno"/>
        </w:rPr>
        <w:t>27</w:t>
      </w:r>
      <w:r>
        <w:t>.</w:t>
      </w:r>
      <w:r>
        <w:tab/>
        <w:t>Period for which certain existing authorisations have effect</w:t>
      </w:r>
      <w:bookmarkEnd w:id="172"/>
    </w:p>
    <w:p>
      <w:pPr>
        <w:pStyle w:val="Subsection"/>
      </w:pPr>
      <w:r>
        <w:tab/>
        <w:t>(1)</w:t>
      </w:r>
      <w:r>
        <w:tab/>
        <w:t xml:space="preserve">If the specified period for an existing authorisation ends within 6 months after commencement day — </w:t>
      </w:r>
    </w:p>
    <w:p>
      <w:pPr>
        <w:pStyle w:val="Indenta"/>
      </w:pPr>
      <w:r>
        <w:tab/>
        <w:t>(a)</w:t>
      </w:r>
      <w:r>
        <w:tab/>
        <w:t>the Act Schedule 1 clause 18(2) does not apply to the authorisation; and</w:t>
      </w:r>
    </w:p>
    <w:p>
      <w:pPr>
        <w:pStyle w:val="Indenta"/>
      </w:pPr>
      <w:r>
        <w:tab/>
        <w:t>(b)</w:t>
      </w:r>
      <w:r>
        <w:tab/>
        <w:t>the authorisation has effect, under and subject to the Act, for the period beginning on commencement day and ending 6 months after the end of the specified period.</w:t>
      </w:r>
    </w:p>
    <w:p>
      <w:pPr>
        <w:pStyle w:val="Subsection"/>
      </w:pPr>
      <w:r>
        <w:tab/>
        <w:t>(2)</w:t>
      </w:r>
      <w:r>
        <w:tab/>
        <w:t xml:space="preserve">In subregulation (1) — </w:t>
      </w:r>
    </w:p>
    <w:p>
      <w:pPr>
        <w:pStyle w:val="Defstart"/>
      </w:pPr>
      <w:r>
        <w:rPr>
          <w:b/>
        </w:rPr>
        <w:tab/>
        <w:t>“</w:t>
      </w:r>
      <w:r>
        <w:rPr>
          <w:rStyle w:val="CharDefText"/>
        </w:rPr>
        <w:t>specified period</w:t>
      </w:r>
      <w:r>
        <w:rPr>
          <w:b/>
        </w:rPr>
        <w:t>”</w:t>
      </w:r>
      <w:r>
        <w:t xml:space="preserve"> means the period referred to in the Act Schedule 1 clause 18(2).</w:t>
      </w:r>
    </w:p>
    <w:p>
      <w:pPr>
        <w:pStyle w:val="Heading5"/>
      </w:pPr>
      <w:bookmarkStart w:id="173" w:name="_Toc159233174"/>
      <w:r>
        <w:rPr>
          <w:rStyle w:val="CharSectno"/>
        </w:rPr>
        <w:t>27A</w:t>
      </w:r>
      <w:r>
        <w:t>.</w:t>
      </w:r>
      <w:r>
        <w:tab/>
        <w:t>Holders of existing authorisations taken to hold licences of a particular type</w:t>
      </w:r>
      <w:bookmarkEnd w:id="173"/>
    </w:p>
    <w:p>
      <w:pPr>
        <w:pStyle w:val="Subsection"/>
      </w:pPr>
      <w:r>
        <w:tab/>
        <w:t>(1)</w:t>
      </w:r>
      <w:r>
        <w:tab/>
        <w:t xml:space="preserve">A person who holds an existing authorisation — </w:t>
      </w:r>
    </w:p>
    <w:p>
      <w:pPr>
        <w:pStyle w:val="Indenta"/>
      </w:pPr>
      <w:r>
        <w:tab/>
        <w:t>(a)</w:t>
      </w:r>
      <w:r>
        <w:tab/>
        <w:t xml:space="preserve">to which the </w:t>
      </w:r>
      <w:r>
        <w:rPr>
          <w:i/>
          <w:iCs/>
        </w:rPr>
        <w:t>Community Services (Child Care) Regulations 1988</w:t>
      </w:r>
      <w:r>
        <w:rPr>
          <w:iCs/>
          <w:vertAlign w:val="superscript"/>
        </w:rPr>
        <w:t> 3</w:t>
      </w:r>
      <w:r>
        <w:t xml:space="preserve"> applied immediately before commencement day; and</w:t>
      </w:r>
    </w:p>
    <w:p>
      <w:pPr>
        <w:pStyle w:val="Indenta"/>
      </w:pPr>
      <w:r>
        <w:tab/>
        <w:t>(b)</w:t>
      </w:r>
      <w:r>
        <w:tab/>
        <w:t>which authorises the provision of a child care service other than a family day care service,</w:t>
      </w:r>
    </w:p>
    <w:p>
      <w:pPr>
        <w:pStyle w:val="Subsection"/>
      </w:pPr>
      <w:r>
        <w:tab/>
      </w:r>
      <w:r>
        <w:tab/>
        <w:t xml:space="preserve">is to be taken to hold a child care licence as defined in the </w:t>
      </w:r>
      <w:r>
        <w:rPr>
          <w:i/>
          <w:iCs/>
        </w:rPr>
        <w:t>Children and Community Services (Child Care) Regulations 2006</w:t>
      </w:r>
      <w:r>
        <w:t xml:space="preserve"> regulation 3.</w:t>
      </w:r>
    </w:p>
    <w:p>
      <w:pPr>
        <w:pStyle w:val="Subsection"/>
        <w:keepNext/>
        <w:keepLines/>
      </w:pPr>
      <w:r>
        <w:tab/>
        <w:t>(2)</w:t>
      </w:r>
      <w:r>
        <w:tab/>
        <w:t xml:space="preserve">A person who holds an existing authorisation — </w:t>
      </w:r>
    </w:p>
    <w:p>
      <w:pPr>
        <w:pStyle w:val="Indenta"/>
      </w:pPr>
      <w:r>
        <w:tab/>
        <w:t>(a)</w:t>
      </w:r>
      <w:r>
        <w:tab/>
        <w:t xml:space="preserve">to which the </w:t>
      </w:r>
      <w:r>
        <w:rPr>
          <w:i/>
          <w:iCs/>
        </w:rPr>
        <w:t>Community Services (Child Care) Regulations 1988</w:t>
      </w:r>
      <w:r>
        <w:rPr>
          <w:iCs/>
          <w:vertAlign w:val="superscript"/>
        </w:rPr>
        <w:t> 3</w:t>
      </w:r>
      <w:r>
        <w:t xml:space="preserve"> applied immediately before commencement day; and</w:t>
      </w:r>
    </w:p>
    <w:p>
      <w:pPr>
        <w:pStyle w:val="Indenta"/>
      </w:pPr>
      <w:r>
        <w:tab/>
        <w:t>(b)</w:t>
      </w:r>
      <w:r>
        <w:tab/>
        <w:t>which authorises the provision of a family day care service,</w:t>
      </w:r>
    </w:p>
    <w:p>
      <w:pPr>
        <w:pStyle w:val="Subsection"/>
      </w:pPr>
      <w:r>
        <w:tab/>
      </w:r>
      <w:r>
        <w:tab/>
        <w:t xml:space="preserve">is to be taken to hold a family day care licence as defined in the </w:t>
      </w:r>
      <w:r>
        <w:rPr>
          <w:i/>
          <w:iCs/>
        </w:rPr>
        <w:t>Children and Community Services (Family Day Care) Regulations 2006</w:t>
      </w:r>
      <w:r>
        <w:t xml:space="preserve"> regulation 3.</w:t>
      </w:r>
    </w:p>
    <w:p>
      <w:pPr>
        <w:pStyle w:val="Subsection"/>
      </w:pPr>
      <w:r>
        <w:tab/>
        <w:t>(3)</w:t>
      </w:r>
      <w:r>
        <w:tab/>
        <w:t xml:space="preserve">A person who holds an existing authorisation which was an outside school hours care centre licence or outside school hours care centre permit under the </w:t>
      </w:r>
      <w:r>
        <w:rPr>
          <w:i/>
          <w:iCs/>
        </w:rPr>
        <w:t>Community Services (Outside School Hours Care) Regulations 2002</w:t>
      </w:r>
      <w:r>
        <w:rPr>
          <w:iCs/>
          <w:vertAlign w:val="superscript"/>
        </w:rPr>
        <w:t> 3</w:t>
      </w:r>
      <w:r>
        <w:t xml:space="preserve"> immediately before commencement day is to be taken to hold an outside school hours care licence as defined in the </w:t>
      </w:r>
      <w:r>
        <w:rPr>
          <w:i/>
          <w:iCs/>
        </w:rPr>
        <w:t>Children and Community Services (Outside School Hours Care) Regulations 2006</w:t>
      </w:r>
      <w:r>
        <w:t xml:space="preserve"> regulation 3.</w:t>
      </w:r>
    </w:p>
    <w:p>
      <w:pPr>
        <w:pStyle w:val="Subsection"/>
      </w:pPr>
      <w:r>
        <w:tab/>
        <w:t>(4)</w:t>
      </w:r>
      <w:r>
        <w:tab/>
        <w:t xml:space="preserve">A person who holds an existing authorisation which was a school age family day care licence or school age family day care permit under the </w:t>
      </w:r>
      <w:r>
        <w:rPr>
          <w:i/>
          <w:iCs/>
        </w:rPr>
        <w:t>Community Services (Outside School Hours Care) Regulations 2002</w:t>
      </w:r>
      <w:r>
        <w:rPr>
          <w:iCs/>
          <w:vertAlign w:val="superscript"/>
        </w:rPr>
        <w:t> 3</w:t>
      </w:r>
      <w:r>
        <w:t xml:space="preserve"> immediately before commencement day is to be taken to hold an outside school hours family day care licence as defined in the </w:t>
      </w:r>
      <w:r>
        <w:rPr>
          <w:i/>
          <w:iCs/>
        </w:rPr>
        <w:t>Children and Community Services (Outside School Hours Family Day Care) Regulations 2006</w:t>
      </w:r>
      <w:r>
        <w:t xml:space="preserve"> regulation 3.</w:t>
      </w:r>
    </w:p>
    <w:p>
      <w:pPr>
        <w:pStyle w:val="Footnotesection"/>
      </w:pPr>
      <w:r>
        <w:tab/>
        <w:t>[Regulation 27A inserted in Gazette 1 Mar 2006 p. 928</w:t>
      </w:r>
      <w:r>
        <w:noBreakHyphen/>
        <w:t>9.]</w:t>
      </w:r>
    </w:p>
    <w:p>
      <w:pPr>
        <w:pStyle w:val="Heading5"/>
      </w:pPr>
      <w:bookmarkStart w:id="174" w:name="_Toc159233175"/>
      <w:r>
        <w:rPr>
          <w:rStyle w:val="CharSectno"/>
        </w:rPr>
        <w:t>28</w:t>
      </w:r>
      <w:r>
        <w:t>.</w:t>
      </w:r>
      <w:r>
        <w:tab/>
        <w:t>Certain unlicensed child care service operators to have time to apply for licence</w:t>
      </w:r>
      <w:bookmarkEnd w:id="174"/>
    </w:p>
    <w:p>
      <w:pPr>
        <w:pStyle w:val="Subsection"/>
      </w:pPr>
      <w:r>
        <w:tab/>
        <w:t>(1)</w:t>
      </w:r>
      <w:r>
        <w:tab/>
        <w:t xml:space="preserve">This regulation applies to a child care service if it is a child care service under section 198(1)(c) that — </w:t>
      </w:r>
    </w:p>
    <w:p>
      <w:pPr>
        <w:pStyle w:val="Indenta"/>
      </w:pPr>
      <w:r>
        <w:tab/>
        <w:t>(a)</w:t>
      </w:r>
      <w:r>
        <w:tab/>
        <w:t>was provided immediately before commencement day; and</w:t>
      </w:r>
    </w:p>
    <w:p>
      <w:pPr>
        <w:pStyle w:val="Indenta"/>
      </w:pPr>
      <w:r>
        <w:tab/>
        <w:t>(b)</w:t>
      </w:r>
      <w:r>
        <w:tab/>
        <w:t>is not covered by an existing authorisation.</w:t>
      </w:r>
    </w:p>
    <w:p>
      <w:pPr>
        <w:pStyle w:val="Subsection"/>
      </w:pPr>
      <w:r>
        <w:tab/>
        <w:t>(2)</w:t>
      </w:r>
      <w:r>
        <w:tab/>
        <w:t xml:space="preserve">If a person who provides a child care service to which this regulation applies — </w:t>
      </w:r>
    </w:p>
    <w:p>
      <w:pPr>
        <w:pStyle w:val="Indenta"/>
      </w:pPr>
      <w:r>
        <w:tab/>
        <w:t>(a)</w:t>
      </w:r>
      <w:r>
        <w:tab/>
        <w:t>gives written notification of the provision of the service to the CEO within one year after commencement day; and</w:t>
      </w:r>
    </w:p>
    <w:p>
      <w:pPr>
        <w:pStyle w:val="Indenta"/>
      </w:pPr>
      <w:r>
        <w:tab/>
        <w:t>(b)</w:t>
      </w:r>
      <w:r>
        <w:tab/>
        <w:t>makes an application for a licence in respect of the service within 2 years after commencement day,</w:t>
      </w:r>
    </w:p>
    <w:p>
      <w:pPr>
        <w:pStyle w:val="Subsection"/>
      </w:pPr>
      <w:r>
        <w:tab/>
      </w:r>
      <w:r>
        <w:tab/>
        <w:t>then, for the purposes of section 201, the service is to be taken, during the relevant period, to be provided under and in accordance with a licence authorising its provision at the place where it is provided.</w:t>
      </w:r>
    </w:p>
    <w:p>
      <w:pPr>
        <w:pStyle w:val="Subsection"/>
      </w:pPr>
      <w:r>
        <w:tab/>
        <w:t>(3)</w:t>
      </w:r>
      <w:r>
        <w:tab/>
        <w:t xml:space="preserve">Written notification for the purposes of subregulation (2)(a) must — </w:t>
      </w:r>
    </w:p>
    <w:p>
      <w:pPr>
        <w:pStyle w:val="Indenta"/>
      </w:pPr>
      <w:r>
        <w:tab/>
        <w:t>(a)</w:t>
      </w:r>
      <w:r>
        <w:tab/>
        <w:t>be in a form approved by the CEO;</w:t>
      </w:r>
    </w:p>
    <w:p>
      <w:pPr>
        <w:pStyle w:val="Indenta"/>
      </w:pPr>
      <w:r>
        <w:tab/>
        <w:t>(b)</w:t>
      </w:r>
      <w:r>
        <w:tab/>
        <w:t>specify the full name, age and postal address of the person giving the notification;</w:t>
      </w:r>
    </w:p>
    <w:p>
      <w:pPr>
        <w:pStyle w:val="Indenta"/>
      </w:pPr>
      <w:r>
        <w:tab/>
        <w:t>(c)</w:t>
      </w:r>
      <w:r>
        <w:tab/>
        <w:t>if the person giving the notification is not responsible for the day</w:t>
      </w:r>
      <w:r>
        <w:noBreakHyphen/>
        <w:t>to</w:t>
      </w:r>
      <w:r>
        <w:noBreakHyphen/>
        <w:t>day supervision and control of the child care service, specify the name, age and postal address of the person who has that responsibility;</w:t>
      </w:r>
    </w:p>
    <w:p>
      <w:pPr>
        <w:pStyle w:val="Indenta"/>
      </w:pPr>
      <w:r>
        <w:tab/>
        <w:t>(d)</w:t>
      </w:r>
      <w:r>
        <w:tab/>
        <w:t>specify the address of the place at which the child care service is provided;</w:t>
      </w:r>
    </w:p>
    <w:p>
      <w:pPr>
        <w:pStyle w:val="Indenta"/>
      </w:pPr>
      <w:r>
        <w:tab/>
        <w:t>(e)</w:t>
      </w:r>
      <w:r>
        <w:tab/>
        <w:t>specify the type of child care service provided; and</w:t>
      </w:r>
    </w:p>
    <w:p>
      <w:pPr>
        <w:pStyle w:val="Indenta"/>
      </w:pPr>
      <w:r>
        <w:tab/>
        <w:t>(f)</w:t>
      </w:r>
      <w:r>
        <w:tab/>
        <w:t>specify the number of children for whom the child care service is provided.</w:t>
      </w:r>
    </w:p>
    <w:p>
      <w:pPr>
        <w:pStyle w:val="Subsection"/>
      </w:pPr>
      <w:r>
        <w:tab/>
        <w:t>(4)</w:t>
      </w:r>
      <w:r>
        <w:tab/>
        <w:t xml:space="preserve">In subregulation (2) — </w:t>
      </w:r>
    </w:p>
    <w:p>
      <w:pPr>
        <w:pStyle w:val="Defstart"/>
      </w:pPr>
      <w:r>
        <w:rPr>
          <w:b/>
        </w:rPr>
        <w:tab/>
        <w:t>“</w:t>
      </w:r>
      <w:r>
        <w:rPr>
          <w:rStyle w:val="CharDefText"/>
        </w:rPr>
        <w:t>relevant period</w:t>
      </w:r>
      <w:r>
        <w:rPr>
          <w:b/>
        </w:rPr>
        <w:t>”</w:t>
      </w:r>
      <w:r>
        <w:t xml:space="preserve"> means the period beginning on commencement day and ending on the day on which a licence in respect of the child care service is granted or refused by the CEO.</w:t>
      </w:r>
    </w:p>
    <w:p>
      <w:pPr>
        <w:pStyle w:val="Subsection"/>
      </w:pPr>
      <w:r>
        <w:tab/>
        <w:t>(5)</w:t>
      </w:r>
      <w:r>
        <w:tab/>
        <w:t>For the purposes of the definition of “relevant period” in subregulation (4), if the application referred to in subregulation (2)(b) is withdrawn, a licence in respect of the child care service is to be taken to have been refused by the CEO.</w:t>
      </w:r>
    </w:p>
    <w:p>
      <w:pPr>
        <w:pStyle w:val="Footnotesection"/>
      </w:pPr>
      <w:r>
        <w:tab/>
        <w:t>[Regulation 28 amended in Gazette 18 Aug 2006 p. 3368.]</w:t>
      </w:r>
    </w:p>
    <w:p>
      <w:pPr>
        <w:pStyle w:val="Heading5"/>
      </w:pPr>
      <w:bookmarkStart w:id="175" w:name="_Toc159233176"/>
      <w:r>
        <w:rPr>
          <w:rStyle w:val="CharSectno"/>
        </w:rPr>
        <w:t>29</w:t>
      </w:r>
      <w:r>
        <w:t>.</w:t>
      </w:r>
      <w:r>
        <w:tab/>
        <w:t>Children in the CEO’s care</w:t>
      </w:r>
      <w:bookmarkEnd w:id="175"/>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3</w:t>
      </w:r>
      <w:r>
        <w:rPr>
          <w:i/>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3</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sectPr>
          <w:headerReference w:type="even" r:id="rId21"/>
          <w:headerReference w:type="default" r:id="rId22"/>
          <w:footerReference w:type="even" r:id="rId23"/>
          <w:footerReference w:type="default" r:id="rId24"/>
          <w:headerReference w:type="first" r:id="rId25"/>
          <w:footerReference w:type="first" r:id="rId26"/>
          <w:endnotePr>
            <w:numFmt w:val="decimal"/>
          </w:endnotePr>
          <w:pgSz w:w="11906" w:h="16838" w:code="9"/>
          <w:pgMar w:top="2376" w:right="2405" w:bottom="3542" w:left="2405" w:header="706" w:footer="3380" w:gutter="0"/>
          <w:pgNumType w:start="1"/>
          <w:cols w:space="720"/>
          <w:noEndnote/>
          <w:titlePg/>
          <w:docGrid w:linePitch="326"/>
        </w:sectPr>
      </w:pPr>
      <w:bookmarkStart w:id="176" w:name="UpToHere"/>
      <w:bookmarkStart w:id="177" w:name="_Toc113695922"/>
      <w:bookmarkStart w:id="178" w:name="_Toc125432175"/>
      <w:bookmarkEnd w:id="176"/>
    </w:p>
    <w:p>
      <w:pPr>
        <w:pStyle w:val="nHeading2"/>
      </w:pPr>
      <w:bookmarkStart w:id="179" w:name="_Toc128289389"/>
      <w:bookmarkStart w:id="180" w:name="_Toc128300224"/>
      <w:bookmarkStart w:id="181" w:name="_Toc129056248"/>
      <w:bookmarkStart w:id="182" w:name="_Toc129062259"/>
      <w:bookmarkStart w:id="183" w:name="_Toc143577652"/>
      <w:bookmarkStart w:id="184" w:name="_Toc143588483"/>
      <w:bookmarkStart w:id="185" w:name="_Toc153265864"/>
      <w:bookmarkStart w:id="186" w:name="_Toc156266201"/>
      <w:bookmarkStart w:id="187" w:name="_Toc156267096"/>
      <w:bookmarkStart w:id="188" w:name="_Toc157231990"/>
      <w:bookmarkStart w:id="189" w:name="_Toc159233177"/>
      <w:r>
        <w:t>Notes</w:t>
      </w:r>
      <w:bookmarkEnd w:id="177"/>
      <w:bookmarkEnd w:id="178"/>
      <w:bookmarkEnd w:id="179"/>
      <w:bookmarkEnd w:id="180"/>
      <w:bookmarkEnd w:id="181"/>
      <w:bookmarkEnd w:id="182"/>
      <w:bookmarkEnd w:id="183"/>
      <w:bookmarkEnd w:id="184"/>
      <w:bookmarkEnd w:id="185"/>
      <w:bookmarkEnd w:id="186"/>
      <w:bookmarkEnd w:id="187"/>
      <w:bookmarkEnd w:id="188"/>
      <w:bookmarkEnd w:id="189"/>
    </w:p>
    <w:p>
      <w:pPr>
        <w:pStyle w:val="nSubsection"/>
        <w:rPr>
          <w:snapToGrid w:val="0"/>
        </w:rPr>
      </w:pPr>
      <w:bookmarkStart w:id="190" w:name="_Toc70311430"/>
      <w:bookmarkStart w:id="191" w:name="_Toc113695923"/>
      <w:r>
        <w:rPr>
          <w:snapToGrid w:val="0"/>
          <w:vertAlign w:val="superscript"/>
        </w:rPr>
        <w:t>1</w:t>
      </w:r>
      <w:r>
        <w:rPr>
          <w:snapToGrid w:val="0"/>
        </w:rPr>
        <w:tab/>
        <w:t xml:space="preserve">This reprint is a compilation as at 2 February 2007 of the </w:t>
      </w:r>
      <w:r>
        <w:rPr>
          <w:i/>
          <w:noProof/>
          <w:snapToGrid w:val="0"/>
        </w:rPr>
        <w:t>Children and Community Services Regulations 2006</w:t>
      </w:r>
      <w:r>
        <w:rPr>
          <w:snapToGrid w:val="0"/>
        </w:rPr>
        <w:t xml:space="preserve"> and includes the amendments made by the other written laws referred to in the following table.  The table also contains information about any reprint.</w:t>
      </w:r>
    </w:p>
    <w:p>
      <w:pPr>
        <w:pStyle w:val="nHeading3"/>
      </w:pPr>
      <w:bookmarkStart w:id="192" w:name="_Toc159233178"/>
      <w:bookmarkEnd w:id="190"/>
      <w:bookmarkEnd w:id="191"/>
      <w:r>
        <w:t>Compilation table</w:t>
      </w:r>
      <w:bookmarkEnd w:id="192"/>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c>
          <w:tcPr>
            <w:tcW w:w="3118" w:type="dxa"/>
            <w:tcBorders>
              <w:top w:val="single" w:sz="8" w:space="0" w:color="auto"/>
            </w:tcBorders>
          </w:tcPr>
          <w:p>
            <w:pPr>
              <w:pStyle w:val="nTable"/>
              <w:spacing w:after="40"/>
              <w:rPr>
                <w:iCs/>
                <w:sz w:val="19"/>
              </w:rPr>
            </w:pPr>
            <w:r>
              <w:rPr>
                <w:i/>
                <w:noProof/>
                <w:snapToGrid w:val="0"/>
                <w:sz w:val="19"/>
              </w:rPr>
              <w:t>Children and Community Services Regulations 2006</w:t>
            </w:r>
          </w:p>
        </w:tc>
        <w:tc>
          <w:tcPr>
            <w:tcW w:w="1276" w:type="dxa"/>
            <w:tcBorders>
              <w:top w:val="single" w:sz="8" w:space="0" w:color="auto"/>
            </w:tcBorders>
          </w:tcPr>
          <w:p>
            <w:pPr>
              <w:pStyle w:val="nTable"/>
              <w:spacing w:after="40"/>
              <w:rPr>
                <w:sz w:val="19"/>
              </w:rPr>
            </w:pPr>
            <w:r>
              <w:rPr>
                <w:sz w:val="19"/>
              </w:rPr>
              <w:t>18 Jan 2006 p. 353-72</w:t>
            </w:r>
          </w:p>
        </w:tc>
        <w:tc>
          <w:tcPr>
            <w:tcW w:w="2693" w:type="dxa"/>
            <w:tcBorders>
              <w:top w:val="single" w:sz="8" w:space="0" w:color="auto"/>
            </w:tcBorders>
          </w:tcPr>
          <w:p>
            <w:pPr>
              <w:pStyle w:val="nTable"/>
              <w:spacing w:after="40"/>
              <w:rPr>
                <w:sz w:val="19"/>
              </w:rPr>
            </w:pPr>
            <w:r>
              <w:rPr>
                <w:sz w:val="19"/>
              </w:rPr>
              <w:t xml:space="preserve">1 Mar 2006 (see r. 2 and </w:t>
            </w:r>
            <w:r>
              <w:rPr>
                <w:i/>
                <w:iCs/>
                <w:sz w:val="19"/>
              </w:rPr>
              <w:t>Gazette</w:t>
            </w:r>
            <w:r>
              <w:rPr>
                <w:sz w:val="19"/>
              </w:rPr>
              <w:t xml:space="preserve"> 14 Feb 2006 p. 695)</w:t>
            </w:r>
          </w:p>
        </w:tc>
      </w:tr>
      <w:tr>
        <w:tc>
          <w:tcPr>
            <w:tcW w:w="3118" w:type="dxa"/>
          </w:tcPr>
          <w:p>
            <w:pPr>
              <w:pStyle w:val="nTable"/>
              <w:spacing w:after="40"/>
              <w:rPr>
                <w:i/>
                <w:noProof/>
                <w:snapToGrid w:val="0"/>
                <w:sz w:val="19"/>
              </w:rPr>
            </w:pPr>
            <w:r>
              <w:rPr>
                <w:i/>
                <w:noProof/>
                <w:snapToGrid w:val="0"/>
                <w:sz w:val="19"/>
              </w:rPr>
              <w:t>Children and Community Services Amendment Regulations 2006</w:t>
            </w:r>
          </w:p>
        </w:tc>
        <w:tc>
          <w:tcPr>
            <w:tcW w:w="1276" w:type="dxa"/>
          </w:tcPr>
          <w:p>
            <w:pPr>
              <w:pStyle w:val="nTable"/>
              <w:spacing w:after="40"/>
              <w:rPr>
                <w:sz w:val="19"/>
              </w:rPr>
            </w:pPr>
            <w:r>
              <w:rPr>
                <w:sz w:val="19"/>
              </w:rPr>
              <w:t>1 Mar 2006 p. 927</w:t>
            </w:r>
            <w:r>
              <w:rPr>
                <w:sz w:val="19"/>
              </w:rPr>
              <w:noBreakHyphen/>
              <w:t>9</w:t>
            </w:r>
          </w:p>
        </w:tc>
        <w:tc>
          <w:tcPr>
            <w:tcW w:w="2693" w:type="dxa"/>
          </w:tcPr>
          <w:p>
            <w:pPr>
              <w:pStyle w:val="nTable"/>
              <w:spacing w:after="40"/>
              <w:rPr>
                <w:sz w:val="19"/>
              </w:rPr>
            </w:pPr>
            <w:r>
              <w:rPr>
                <w:sz w:val="19"/>
              </w:rPr>
              <w:t>1 Mar 2006</w:t>
            </w:r>
          </w:p>
        </w:tc>
      </w:tr>
      <w:tr>
        <w:tc>
          <w:tcPr>
            <w:tcW w:w="3118" w:type="dxa"/>
          </w:tcPr>
          <w:p>
            <w:pPr>
              <w:pStyle w:val="nTable"/>
              <w:spacing w:after="40"/>
              <w:rPr>
                <w:i/>
                <w:noProof/>
                <w:snapToGrid w:val="0"/>
                <w:sz w:val="19"/>
              </w:rPr>
            </w:pPr>
            <w:r>
              <w:rPr>
                <w:i/>
                <w:noProof/>
                <w:snapToGrid w:val="0"/>
                <w:sz w:val="19"/>
              </w:rPr>
              <w:t>Children and Community Services Amendment Regulations (No. 2) 2006</w:t>
            </w:r>
          </w:p>
        </w:tc>
        <w:tc>
          <w:tcPr>
            <w:tcW w:w="1276" w:type="dxa"/>
          </w:tcPr>
          <w:p>
            <w:pPr>
              <w:pStyle w:val="nTable"/>
              <w:spacing w:after="40"/>
              <w:rPr>
                <w:sz w:val="19"/>
              </w:rPr>
            </w:pPr>
            <w:r>
              <w:rPr>
                <w:sz w:val="19"/>
              </w:rPr>
              <w:t>18 Aug 2006 p. 3367-8</w:t>
            </w:r>
          </w:p>
        </w:tc>
        <w:tc>
          <w:tcPr>
            <w:tcW w:w="2693" w:type="dxa"/>
          </w:tcPr>
          <w:p>
            <w:pPr>
              <w:pStyle w:val="nTable"/>
              <w:spacing w:after="40"/>
              <w:rPr>
                <w:sz w:val="19"/>
              </w:rPr>
            </w:pPr>
            <w:r>
              <w:rPr>
                <w:sz w:val="19"/>
              </w:rPr>
              <w:t>18 Aug 2006</w:t>
            </w:r>
          </w:p>
        </w:tc>
      </w:tr>
      <w:tr>
        <w:tc>
          <w:tcPr>
            <w:tcW w:w="3118" w:type="dxa"/>
          </w:tcPr>
          <w:p>
            <w:pPr>
              <w:pStyle w:val="nTable"/>
              <w:spacing w:after="40"/>
              <w:rPr>
                <w:i/>
                <w:noProof/>
                <w:snapToGrid w:val="0"/>
                <w:sz w:val="19"/>
              </w:rPr>
            </w:pPr>
            <w:r>
              <w:rPr>
                <w:i/>
                <w:noProof/>
                <w:snapToGrid w:val="0"/>
                <w:sz w:val="19"/>
              </w:rPr>
              <w:t>Children and Community Services Amendment Regulations (No. 3) 2006</w:t>
            </w:r>
          </w:p>
        </w:tc>
        <w:tc>
          <w:tcPr>
            <w:tcW w:w="1276" w:type="dxa"/>
          </w:tcPr>
          <w:p>
            <w:pPr>
              <w:pStyle w:val="nTable"/>
              <w:spacing w:after="40"/>
              <w:rPr>
                <w:sz w:val="19"/>
              </w:rPr>
            </w:pPr>
            <w:r>
              <w:rPr>
                <w:sz w:val="19"/>
              </w:rPr>
              <w:t>8 Dec 2006 p. 5369-70</w:t>
            </w:r>
          </w:p>
        </w:tc>
        <w:tc>
          <w:tcPr>
            <w:tcW w:w="2693" w:type="dxa"/>
          </w:tcPr>
          <w:p>
            <w:pPr>
              <w:pStyle w:val="nTable"/>
              <w:spacing w:after="40"/>
              <w:rPr>
                <w:sz w:val="19"/>
              </w:rPr>
            </w:pPr>
            <w:r>
              <w:rPr>
                <w:sz w:val="19"/>
              </w:rPr>
              <w:t>8 Dec 2006</w:t>
            </w:r>
          </w:p>
        </w:tc>
      </w:tr>
      <w:tr>
        <w:trPr>
          <w:cantSplit/>
        </w:trPr>
        <w:tc>
          <w:tcPr>
            <w:tcW w:w="7087" w:type="dxa"/>
            <w:gridSpan w:val="3"/>
            <w:tcBorders>
              <w:bottom w:val="single" w:sz="8" w:space="0" w:color="auto"/>
            </w:tcBorders>
          </w:tcPr>
          <w:p>
            <w:pPr>
              <w:pStyle w:val="nTable"/>
              <w:spacing w:after="40"/>
              <w:rPr>
                <w:sz w:val="19"/>
              </w:rPr>
            </w:pPr>
            <w:r>
              <w:rPr>
                <w:b/>
                <w:bCs/>
                <w:sz w:val="19"/>
              </w:rPr>
              <w:t xml:space="preserve">Reprint 1: The </w:t>
            </w:r>
            <w:r>
              <w:rPr>
                <w:b/>
                <w:bCs/>
                <w:i/>
                <w:noProof/>
                <w:snapToGrid w:val="0"/>
                <w:sz w:val="19"/>
              </w:rPr>
              <w:t>Children and Community Services Regulations 2006</w:t>
            </w:r>
            <w:r>
              <w:rPr>
                <w:b/>
                <w:bCs/>
                <w:sz w:val="19"/>
              </w:rPr>
              <w:t xml:space="preserve"> as at 2 Feb 2007</w:t>
            </w:r>
            <w:r>
              <w:rPr>
                <w:sz w:val="19"/>
              </w:rPr>
              <w:t xml:space="preserve"> (includes amendments listed above)</w:t>
            </w:r>
          </w:p>
        </w:tc>
      </w:tr>
    </w:tbl>
    <w:p>
      <w:pPr>
        <w:pStyle w:val="nSubsection"/>
      </w:pPr>
      <w:r>
        <w:rPr>
          <w:vertAlign w:val="superscript"/>
        </w:rPr>
        <w:t>2</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Subsection"/>
      </w:pPr>
      <w:r>
        <w:rPr>
          <w:vertAlign w:val="superscript"/>
        </w:rPr>
        <w:t>3</w:t>
      </w:r>
      <w:r>
        <w:rPr>
          <w:vertAlign w:val="superscript"/>
        </w:rPr>
        <w:tab/>
      </w:r>
      <w:r>
        <w:t xml:space="preserve">Repealed by the </w:t>
      </w:r>
      <w:r>
        <w:rPr>
          <w:i/>
          <w:spacing w:val="-2"/>
        </w:rPr>
        <w:t>Children and Community Services Act 2004</w:t>
      </w:r>
      <w:r>
        <w:rPr>
          <w:iCs/>
          <w:spacing w:val="-2"/>
        </w:rPr>
        <w:t xml:space="preserve"> s. 250</w:t>
      </w:r>
      <w:r>
        <w:t>.</w:t>
      </w:r>
    </w:p>
    <w:p/>
    <w:p>
      <w:pPr>
        <w:sectPr>
          <w:headerReference w:type="even" r:id="rId27"/>
          <w:headerReference w:type="default" r:id="rId28"/>
          <w:headerReference w:type="first" r:id="rId29"/>
          <w:endnotePr>
            <w:numFmt w:val="decimal"/>
          </w:endnotePr>
          <w:pgSz w:w="11906" w:h="16838" w:code="9"/>
          <w:pgMar w:top="2376" w:right="2404" w:bottom="3544" w:left="2404" w:header="720" w:footer="3380" w:gutter="0"/>
          <w:cols w:space="720"/>
          <w:noEndnote/>
          <w:docGrid w:linePitch="326"/>
        </w:sectPr>
      </w:pPr>
    </w:p>
    <w:p/>
    <w:sectPr>
      <w:headerReference w:type="even" r:id="rId30"/>
      <w:endnotePr>
        <w:numFmt w:val="decimal"/>
      </w:endnotePr>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01-a0-04</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02 Feb 2007</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02 Feb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01-a0-04</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02 Feb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01-a0-04</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01-a0-04</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02 Feb 2007</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02 Feb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01-a0-04</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xix</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02 Feb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01-a0-04</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18</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01-a0-04</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02 Feb 2007</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02 Feb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01-a0-04</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19</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02 Feb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01-a0-04</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Children and Community Services Regulations 2006</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Children and Community Services Regulations 2006</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Children and Community Services Regulations 2006</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15AA3C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E188B44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E78DFDE"/>
    <w:lvl w:ilvl="0">
      <w:start w:val="1"/>
      <w:numFmt w:val="decimal"/>
      <w:pStyle w:val="ListNumber3"/>
      <w:lvlText w:val="%1."/>
      <w:lvlJc w:val="left"/>
      <w:pPr>
        <w:tabs>
          <w:tab w:val="num" w:pos="926"/>
        </w:tabs>
        <w:ind w:left="926" w:hanging="360"/>
      </w:pPr>
    </w:lvl>
  </w:abstractNum>
  <w:abstractNum w:abstractNumId="3">
    <w:nsid w:val="FFFFFF7F"/>
    <w:multiLevelType w:val="singleLevel"/>
    <w:tmpl w:val="180AAD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414C91D2"/>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F808CBB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478663D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31563A3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ADCE66E0"/>
    <w:lvl w:ilvl="0">
      <w:start w:val="1"/>
      <w:numFmt w:val="decimal"/>
      <w:pStyle w:val="ListNumber"/>
      <w:lvlText w:val="%1."/>
      <w:lvlJc w:val="left"/>
      <w:pPr>
        <w:tabs>
          <w:tab w:val="num" w:pos="360"/>
        </w:tabs>
        <w:ind w:left="360" w:hanging="360"/>
      </w:pPr>
    </w:lvl>
  </w:abstractNum>
  <w:abstractNum w:abstractNumId="9">
    <w:nsid w:val="FFFFFF89"/>
    <w:multiLevelType w:val="singleLevel"/>
    <w:tmpl w:val="D5DC023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2">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6">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2FF52EB"/>
    <w:multiLevelType w:val="multilevel"/>
    <w:tmpl w:val="CDCEDB6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9">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2">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3C2808C0"/>
    <w:multiLevelType w:val="singleLevel"/>
    <w:tmpl w:val="6FFA42DE"/>
    <w:lvl w:ilvl="0">
      <w:start w:val="1"/>
      <w:numFmt w:val="bullet"/>
      <w:pStyle w:val="NotesPerm2"/>
      <w:lvlText w:val=""/>
      <w:lvlJc w:val="left"/>
      <w:pPr>
        <w:tabs>
          <w:tab w:val="num" w:pos="1446"/>
        </w:tabs>
        <w:ind w:left="1446" w:hanging="567"/>
      </w:pPr>
      <w:rPr>
        <w:rFonts w:ascii="Symbol" w:hAnsi="Symbol" w:hint="default"/>
      </w:rPr>
    </w:lvl>
  </w:abstractNum>
  <w:abstractNum w:abstractNumId="26">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8">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9">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30">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2">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8"/>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5"/>
  </w:num>
  <w:num w:numId="13">
    <w:abstractNumId w:val="1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094259"/>
    <w:docVar w:name="WAFER_20151208094259" w:val="RemoveTrackChanges"/>
    <w:docVar w:name="WAFER_20151208094259_GUID" w:val="6fe0f2ad-be3e-4c70-9185-97d0f4cbb365"/>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Times" w:hAnsi="Times"/>
      <w:sz w:val="18"/>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Times" w:hAnsi="Times"/>
      <w:sz w:val="18"/>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 Type="http://schemas.microsoft.com/office/2007/relationships/stylesWithEffects" Target="stylesWithEffect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8.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image" Target="media/image2.png"/><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0.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9.xml"/><Relationship Id="rId30"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4208</Words>
  <Characters>20705</Characters>
  <Application>Microsoft Office Word</Application>
  <DocSecurity>0</DocSecurity>
  <Lines>627</Lines>
  <Paragraphs>395</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Drafting Template (Regs)</vt:lpstr>
      <vt:lpstr>    Part 1 — Preliminary</vt:lpstr>
      <vt:lpstr>    Part 2 — Children in the CEO’s care</vt:lpstr>
      <vt:lpstr>    Part 3 — Restraint, search and seizure</vt:lpstr>
      <vt:lpstr>    Part 4 — Pre-hearing conferences</vt:lpstr>
      <vt:lpstr>    Part 5 — Reports about child</vt:lpstr>
      <vt:lpstr>    Part 6 — Miscellaneous</vt:lpstr>
      <vt:lpstr>    Part 7 — Transitional arrangements</vt:lpstr>
      <vt:lpstr>    Notes</vt:lpstr>
    </vt:vector>
  </TitlesOfParts>
  <Manager/>
  <Company/>
  <LinksUpToDate>false</LinksUpToDate>
  <CharactersWithSpaces>24518</CharactersWithSpaces>
  <SharedDoc>false</SharedDoc>
  <HLinks>
    <vt:vector size="12" baseType="variant">
      <vt:variant>
        <vt:i4>3014716</vt:i4>
      </vt:variant>
      <vt:variant>
        <vt:i4>4326</vt:i4>
      </vt:variant>
      <vt:variant>
        <vt:i4>1025</vt:i4>
      </vt:variant>
      <vt:variant>
        <vt:i4>1</vt:i4>
      </vt:variant>
      <vt:variant>
        <vt:lpwstr>C:\Program Files\PCO DLL\Support\Crest.wpg</vt:lpwstr>
      </vt:variant>
      <vt:variant>
        <vt:lpwstr/>
      </vt:variant>
      <vt:variant>
        <vt:i4>3014716</vt:i4>
      </vt:variant>
      <vt:variant>
        <vt:i4>-1</vt:i4>
      </vt:variant>
      <vt:variant>
        <vt:i4>2072</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2006 - 01-a0-04</dc:title>
  <dc:subject/>
  <dc:creator/>
  <cp:keywords/>
  <dc:description/>
  <cp:lastModifiedBy>svcMRProcess</cp:lastModifiedBy>
  <cp:revision>4</cp:revision>
  <cp:lastPrinted>2007-01-22T04:24:00Z</cp:lastPrinted>
  <dcterms:created xsi:type="dcterms:W3CDTF">2018-09-10T05:57:00Z</dcterms:created>
  <dcterms:modified xsi:type="dcterms:W3CDTF">2018-09-10T05:57:00Z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CommencementDate">
    <vt:lpwstr>20070202</vt:lpwstr>
  </property>
  <property fmtid="{D5CDD505-2E9C-101B-9397-08002B2CF9AE}" pid="4" name="DocumentType">
    <vt:lpwstr>Reg</vt:lpwstr>
  </property>
  <property fmtid="{D5CDD505-2E9C-101B-9397-08002B2CF9AE}" pid="5" name="OwlsUID">
    <vt:i4>37906</vt:i4>
  </property>
  <property fmtid="{D5CDD505-2E9C-101B-9397-08002B2CF9AE}" pid="6" name="ReprintNo">
    <vt:lpwstr>1</vt:lpwstr>
  </property>
  <property fmtid="{D5CDD505-2E9C-101B-9397-08002B2CF9AE}" pid="7" name="AsAtDate">
    <vt:lpwstr>02 Feb 2007</vt:lpwstr>
  </property>
  <property fmtid="{D5CDD505-2E9C-101B-9397-08002B2CF9AE}" pid="8" name="Suffix">
    <vt:lpwstr>01-a0-04</vt:lpwstr>
  </property>
</Properties>
</file>