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Children’s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_Toc113162190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_Toc113162191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Terms used in these regulations</w:t>
      </w:r>
      <w:r>
        <w:rPr>
          <w:noProof/>
        </w:rPr>
        <w:tab/>
      </w:r>
      <w:r>
        <w:rPr>
          <w:noProof/>
        </w:rPr>
        <w:fldChar w:fldCharType="begin"/>
      </w:r>
      <w:r>
        <w:rPr>
          <w:noProof/>
        </w:rPr>
        <w:instrText xml:space="preserve"> PAGEREF _Toc113162192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napToGrid w:val="0"/>
          <w:szCs w:val="24"/>
        </w:rPr>
        <w:t>Fees to be charged</w:t>
      </w:r>
      <w:r>
        <w:rPr>
          <w:noProof/>
        </w:rPr>
        <w:tab/>
      </w:r>
      <w:r>
        <w:rPr>
          <w:noProof/>
        </w:rPr>
        <w:fldChar w:fldCharType="begin"/>
      </w:r>
      <w:r>
        <w:rPr>
          <w:noProof/>
        </w:rPr>
        <w:instrText xml:space="preserve"> PAGEREF _Toc113162193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napToGrid w:val="0"/>
          <w:szCs w:val="24"/>
        </w:rPr>
        <w:t>Exemptions</w:t>
      </w:r>
      <w:r>
        <w:rPr>
          <w:noProof/>
        </w:rPr>
        <w:tab/>
      </w:r>
      <w:r>
        <w:rPr>
          <w:noProof/>
        </w:rPr>
        <w:fldChar w:fldCharType="begin"/>
      </w:r>
      <w:r>
        <w:rPr>
          <w:noProof/>
        </w:rPr>
        <w:instrText xml:space="preserve"> PAGEREF _Toc113162194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Fees subject to conditions or waiver</w:t>
      </w:r>
      <w:r>
        <w:rPr>
          <w:noProof/>
        </w:rPr>
        <w:tab/>
      </w:r>
      <w:r>
        <w:rPr>
          <w:noProof/>
        </w:rPr>
        <w:fldChar w:fldCharType="begin"/>
      </w:r>
      <w:r>
        <w:rPr>
          <w:noProof/>
        </w:rPr>
        <w:instrText xml:space="preserve"> PAGEREF _Toc113162195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F</w:t>
      </w:r>
      <w:r>
        <w:rPr>
          <w:noProof/>
          <w:snapToGrid w:val="0"/>
          <w:szCs w:val="24"/>
        </w:rPr>
        <w:t>ees to be paid before documents etc. filed</w:t>
      </w:r>
      <w:r>
        <w:rPr>
          <w:noProof/>
        </w:rPr>
        <w:tab/>
      </w:r>
      <w:r>
        <w:rPr>
          <w:noProof/>
        </w:rPr>
        <w:fldChar w:fldCharType="begin"/>
      </w:r>
      <w:r>
        <w:rPr>
          <w:noProof/>
        </w:rPr>
        <w:instrText xml:space="preserve"> PAGEREF _Toc113162196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napToGrid w:val="0"/>
          <w:szCs w:val="24"/>
        </w:rPr>
        <w:t>Court, registrar or deputy registrar may remit fees</w:t>
      </w:r>
      <w:r>
        <w:rPr>
          <w:noProof/>
        </w:rPr>
        <w:tab/>
      </w:r>
      <w:r>
        <w:rPr>
          <w:noProof/>
        </w:rPr>
        <w:fldChar w:fldCharType="begin"/>
      </w:r>
      <w:r>
        <w:rPr>
          <w:noProof/>
        </w:rPr>
        <w:instrText xml:space="preserve"> PAGEREF _Toc113162197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napToGrid w:val="0"/>
          <w:szCs w:val="24"/>
        </w:rPr>
        <w:t>Conventions</w:t>
      </w:r>
      <w:r>
        <w:rPr>
          <w:noProof/>
        </w:rPr>
        <w:tab/>
      </w:r>
      <w:r>
        <w:rPr>
          <w:noProof/>
        </w:rPr>
        <w:fldChar w:fldCharType="begin"/>
      </w:r>
      <w:r>
        <w:rPr>
          <w:noProof/>
        </w:rPr>
        <w:instrText xml:space="preserve"> PAGEREF _Toc113162198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Resolution of disputes as to fees</w:t>
      </w:r>
      <w:r>
        <w:rPr>
          <w:noProof/>
        </w:rPr>
        <w:tab/>
      </w:r>
      <w:r>
        <w:rPr>
          <w:noProof/>
        </w:rPr>
        <w:fldChar w:fldCharType="begin"/>
      </w:r>
      <w:r>
        <w:rPr>
          <w:noProof/>
        </w:rPr>
        <w:instrText xml:space="preserve"> PAGEREF _Toc113162199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Recovery of unpaid fees</w:t>
      </w:r>
      <w:r>
        <w:rPr>
          <w:noProof/>
        </w:rPr>
        <w:tab/>
      </w:r>
      <w:r>
        <w:rPr>
          <w:noProof/>
        </w:rPr>
        <w:fldChar w:fldCharType="begin"/>
      </w:r>
      <w:r>
        <w:rPr>
          <w:noProof/>
        </w:rPr>
        <w:instrText xml:space="preserve"> PAGEREF _Toc113162200 \h </w:instrText>
      </w:r>
      <w:r>
        <w:rPr>
          <w:noProof/>
        </w:rPr>
      </w:r>
      <w:r>
        <w:rPr>
          <w:noProof/>
        </w:rPr>
        <w:fldChar w:fldCharType="separate"/>
      </w:r>
      <w:r>
        <w:rPr>
          <w:noProof/>
        </w:rPr>
        <w:t>6</w:t>
      </w:r>
      <w:r>
        <w:rPr>
          <w:noProof/>
        </w:rPr>
        <w:fldChar w:fldCharType="end"/>
      </w:r>
    </w:p>
    <w:p>
      <w:pPr>
        <w:pStyle w:val="TOC5"/>
        <w:rPr>
          <w:b w:val="0"/>
          <w:noProof/>
          <w:sz w:val="22"/>
        </w:rPr>
      </w:pPr>
      <w:r>
        <w:rPr>
          <w:noProof/>
          <w:szCs w:val="28"/>
        </w:rPr>
        <w:t>Schedule 1 — Fees</w:t>
      </w:r>
      <w:r>
        <w:rPr>
          <w:noProof/>
        </w:rPr>
        <w:tab/>
      </w:r>
      <w:r>
        <w:rPr>
          <w:b w:val="0"/>
          <w:noProof/>
          <w:sz w:val="22"/>
        </w:rPr>
        <w:fldChar w:fldCharType="begin"/>
      </w:r>
      <w:r>
        <w:rPr>
          <w:b w:val="0"/>
          <w:noProof/>
          <w:sz w:val="22"/>
        </w:rPr>
        <w:instrText xml:space="preserve"> PAGEREF _Toc113162201 \h </w:instrText>
      </w:r>
      <w:r>
        <w:rPr>
          <w:b w:val="0"/>
          <w:noProof/>
          <w:sz w:val="22"/>
        </w:rPr>
      </w:r>
      <w:r>
        <w:rPr>
          <w:b w:val="0"/>
          <w:noProof/>
          <w:sz w:val="22"/>
        </w:rPr>
        <w:fldChar w:fldCharType="separate"/>
      </w:r>
      <w:r>
        <w:rPr>
          <w:b w:val="0"/>
          <w:noProof/>
          <w:sz w:val="22"/>
        </w:rPr>
        <w:t>7</w:t>
      </w:r>
      <w:r>
        <w:rPr>
          <w:b w:val="0"/>
          <w:noProof/>
          <w:sz w:val="22"/>
        </w:rPr>
        <w:fldChar w:fldCharType="end"/>
      </w:r>
    </w:p>
    <w:p>
      <w:pPr>
        <w:pStyle w:val="TOC7"/>
        <w:rPr>
          <w:noProof/>
          <w:sz w:val="24"/>
          <w:szCs w:val="24"/>
        </w:rPr>
      </w:pPr>
      <w:r>
        <w:rPr>
          <w:noProof/>
          <w:szCs w:val="24"/>
        </w:rPr>
        <w:t>Division 1 — General</w:t>
      </w:r>
      <w:r>
        <w:rPr>
          <w:noProof/>
        </w:rPr>
        <w:tab/>
      </w:r>
      <w:r>
        <w:rPr>
          <w:noProof/>
        </w:rPr>
        <w:fldChar w:fldCharType="begin"/>
      </w:r>
      <w:r>
        <w:rPr>
          <w:noProof/>
        </w:rPr>
        <w:instrText xml:space="preserve"> PAGEREF _Toc113162202 \h </w:instrText>
      </w:r>
      <w:r>
        <w:rPr>
          <w:noProof/>
        </w:rPr>
      </w:r>
      <w:r>
        <w:rPr>
          <w:noProof/>
        </w:rPr>
        <w:fldChar w:fldCharType="separate"/>
      </w:r>
      <w:r>
        <w:rPr>
          <w:noProof/>
        </w:rPr>
        <w:t>7</w:t>
      </w:r>
      <w:r>
        <w:rPr>
          <w:noProof/>
        </w:rPr>
        <w:fldChar w:fldCharType="end"/>
      </w:r>
    </w:p>
    <w:p>
      <w:pPr>
        <w:pStyle w:val="TOC7"/>
        <w:rPr>
          <w:noProof/>
          <w:sz w:val="24"/>
          <w:szCs w:val="24"/>
        </w:rPr>
      </w:pPr>
      <w:r>
        <w:rPr>
          <w:noProof/>
          <w:szCs w:val="24"/>
        </w:rPr>
        <w:t>Division 2 — Civil jurisdiction</w:t>
      </w:r>
      <w:r>
        <w:rPr>
          <w:noProof/>
        </w:rPr>
        <w:tab/>
      </w:r>
      <w:r>
        <w:rPr>
          <w:noProof/>
        </w:rPr>
        <w:fldChar w:fldCharType="begin"/>
      </w:r>
      <w:r>
        <w:rPr>
          <w:noProof/>
        </w:rPr>
        <w:instrText xml:space="preserve"> PAGEREF _Toc113162203 \h </w:instrText>
      </w:r>
      <w:r>
        <w:rPr>
          <w:noProof/>
        </w:rPr>
      </w:r>
      <w:r>
        <w:rPr>
          <w:noProof/>
        </w:rPr>
        <w:fldChar w:fldCharType="separate"/>
      </w:r>
      <w:r>
        <w:rPr>
          <w:noProof/>
        </w:rPr>
        <w:t>9</w:t>
      </w:r>
      <w:r>
        <w:rPr>
          <w:noProof/>
        </w:rPr>
        <w:fldChar w:fldCharType="end"/>
      </w:r>
    </w:p>
    <w:p>
      <w:pPr>
        <w:pStyle w:val="TOC7"/>
        <w:rPr>
          <w:noProof/>
          <w:sz w:val="24"/>
          <w:szCs w:val="24"/>
        </w:rPr>
      </w:pPr>
      <w:r>
        <w:rPr>
          <w:noProof/>
          <w:szCs w:val="24"/>
        </w:rPr>
        <w:t>Division 3 — Criminal jurisdiction</w:t>
      </w:r>
      <w:r>
        <w:rPr>
          <w:noProof/>
        </w:rPr>
        <w:tab/>
      </w:r>
      <w:r>
        <w:rPr>
          <w:noProof/>
        </w:rPr>
        <w:fldChar w:fldCharType="begin"/>
      </w:r>
      <w:r>
        <w:rPr>
          <w:noProof/>
        </w:rPr>
        <w:instrText xml:space="preserve"> PAGEREF _Toc113162204 \h </w:instrText>
      </w:r>
      <w:r>
        <w:rPr>
          <w:noProof/>
        </w:rPr>
      </w:r>
      <w:r>
        <w:rPr>
          <w:noProof/>
        </w:rPr>
        <w:fldChar w:fldCharType="separate"/>
      </w:r>
      <w:r>
        <w:rPr>
          <w:noProof/>
        </w:rPr>
        <w:t>10</w:t>
      </w:r>
      <w:r>
        <w:rPr>
          <w:noProof/>
        </w:rPr>
        <w:fldChar w:fldCharType="end"/>
      </w:r>
    </w:p>
    <w:p>
      <w:pPr>
        <w:pStyle w:val="TOC5"/>
        <w:rPr>
          <w:b w:val="0"/>
          <w:noProof/>
          <w:sz w:val="24"/>
          <w:szCs w:val="24"/>
        </w:rPr>
      </w:pPr>
      <w:r>
        <w:rPr>
          <w:noProof/>
          <w:szCs w:val="28"/>
        </w:rPr>
        <w:t>Schedule 2</w:t>
      </w:r>
      <w:r>
        <w:rPr>
          <w:noProof/>
          <w:sz w:val="24"/>
          <w:szCs w:val="28"/>
        </w:rPr>
        <w:t> </w:t>
      </w:r>
      <w:r>
        <w:rPr>
          <w:noProof/>
          <w:szCs w:val="28"/>
        </w:rPr>
        <w:t>—</w:t>
      </w:r>
      <w:r>
        <w:rPr>
          <w:noProof/>
          <w:sz w:val="24"/>
          <w:szCs w:val="28"/>
        </w:rPr>
        <w:t> </w:t>
      </w:r>
      <w:r>
        <w:rPr>
          <w:noProof/>
          <w:szCs w:val="28"/>
        </w:rPr>
        <w:t>Forms</w:t>
      </w:r>
      <w:r>
        <w:rPr>
          <w:noProof/>
        </w:rPr>
        <w:tab/>
      </w:r>
      <w:r>
        <w:rPr>
          <w:b w:val="0"/>
          <w:noProof/>
          <w:sz w:val="22"/>
        </w:rPr>
        <w:fldChar w:fldCharType="begin"/>
      </w:r>
      <w:r>
        <w:rPr>
          <w:b w:val="0"/>
          <w:noProof/>
          <w:sz w:val="22"/>
        </w:rPr>
        <w:instrText xml:space="preserve"> PAGEREF _Toc113162205 \h </w:instrText>
      </w:r>
      <w:r>
        <w:rPr>
          <w:b w:val="0"/>
          <w:noProof/>
          <w:sz w:val="22"/>
        </w:rPr>
      </w:r>
      <w:r>
        <w:rPr>
          <w:b w:val="0"/>
          <w:noProof/>
          <w:sz w:val="22"/>
        </w:rPr>
        <w:fldChar w:fldCharType="separate"/>
      </w:r>
      <w:r>
        <w:rPr>
          <w:b w:val="0"/>
          <w:noProof/>
          <w:sz w:val="22"/>
        </w:rPr>
        <w:t>11</w:t>
      </w:r>
      <w:r>
        <w:rPr>
          <w:b w:val="0"/>
          <w:noProof/>
          <w:sz w:val="22"/>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Application to remit fees</w:t>
      </w:r>
      <w:r>
        <w:rPr>
          <w:noProof/>
        </w:rPr>
        <w:tab/>
      </w:r>
      <w:r>
        <w:rPr>
          <w:noProof/>
        </w:rPr>
        <w:fldChar w:fldCharType="begin"/>
      </w:r>
      <w:r>
        <w:rPr>
          <w:noProof/>
        </w:rPr>
        <w:instrText xml:space="preserve"> PAGEREF _Toc113162206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Application for determination of dispute about fees</w:t>
      </w:r>
      <w:r>
        <w:rPr>
          <w:noProof/>
        </w:rPr>
        <w:tab/>
      </w:r>
      <w:r>
        <w:rPr>
          <w:noProof/>
        </w:rPr>
        <w:fldChar w:fldCharType="begin"/>
      </w:r>
      <w:r>
        <w:rPr>
          <w:noProof/>
        </w:rPr>
        <w:instrText xml:space="preserve"> PAGEREF _Toc113162207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_Toc113162209 \h </w:instrText>
      </w:r>
      <w:r>
        <w:rPr>
          <w:noProof/>
        </w:rPr>
      </w:r>
      <w:r>
        <w:rPr>
          <w:noProof/>
        </w:rPr>
        <w:fldChar w:fldCharType="separate"/>
      </w:r>
      <w:r>
        <w:rPr>
          <w:noProof/>
        </w:rPr>
        <w:t>16</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Children’s Court of Western Australia Act 1988</w:t>
      </w:r>
    </w:p>
    <w:p>
      <w:pPr>
        <w:pStyle w:val="NameofActReg"/>
      </w:pPr>
      <w:r>
        <w:t>Children’s Court (Fees)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00634711"/>
      <w:bookmarkStart w:id="9" w:name="_Toc113162190"/>
      <w:r>
        <w:rPr>
          <w:rStyle w:val="CharSectno"/>
        </w:rPr>
        <w:t>1</w:t>
      </w:r>
      <w:r>
        <w:t>.</w:t>
      </w:r>
      <w:r>
        <w:tab/>
        <w:t>Citation</w:t>
      </w:r>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4712"/>
      <w:bookmarkStart w:id="17" w:name="_Toc11316219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18" w:name="_Toc96402830"/>
      <w:bookmarkStart w:id="19" w:name="_Toc100634713"/>
      <w:bookmarkStart w:id="20" w:name="_Toc113162192"/>
      <w:r>
        <w:rPr>
          <w:rStyle w:val="CharSectno"/>
        </w:rPr>
        <w:t>3</w:t>
      </w:r>
      <w:r>
        <w:t>.</w:t>
      </w:r>
      <w:r>
        <w:tab/>
        <w:t>Terms used in these regulations</w:t>
      </w:r>
      <w:bookmarkEnd w:id="18"/>
      <w:bookmarkEnd w:id="19"/>
      <w:bookmarkEnd w:id="20"/>
    </w:p>
    <w:p>
      <w:pPr>
        <w:pStyle w:val="Subsection"/>
      </w:pPr>
      <w:r>
        <w:tab/>
      </w:r>
      <w:r>
        <w:tab/>
        <w:t xml:space="preserve">In these regulations unless the contrary intention appears — </w:t>
      </w:r>
    </w:p>
    <w:p>
      <w:pPr>
        <w:pStyle w:val="Defstart"/>
      </w:pPr>
      <w:r>
        <w:rPr>
          <w:b/>
        </w:rPr>
        <w:tab/>
        <w:t>“</w:t>
      </w:r>
      <w:r>
        <w:rPr>
          <w:rStyle w:val="CharDefText"/>
        </w:rPr>
        <w:t>civil jurisdiction</w:t>
      </w:r>
      <w:r>
        <w:rPr>
          <w:b/>
        </w:rPr>
        <w:t>”</w:t>
      </w:r>
      <w:r>
        <w:t xml:space="preserve"> means the Court’s jurisdiction other than criminal jurisdiction;</w:t>
      </w:r>
    </w:p>
    <w:p>
      <w:pPr>
        <w:pStyle w:val="Defstart"/>
      </w:pPr>
      <w:r>
        <w:rPr>
          <w:b/>
        </w:rPr>
        <w:tab/>
        <w:t>“</w:t>
      </w:r>
      <w:r>
        <w:rPr>
          <w:rStyle w:val="CharDefText"/>
        </w:rPr>
        <w:t>criminal jurisdiction</w:t>
      </w:r>
      <w:r>
        <w:rPr>
          <w:b/>
        </w:rPr>
        <w:t>”</w:t>
      </w:r>
      <w:r>
        <w:t xml:space="preserve"> means the Court’s jurisdiction under the Act section 19;</w:t>
      </w:r>
    </w:p>
    <w:p>
      <w:pPr>
        <w:pStyle w:val="Defstart"/>
      </w:pPr>
      <w:r>
        <w:rPr>
          <w:b/>
        </w:rPr>
        <w:tab/>
        <w:t>“</w:t>
      </w:r>
      <w:r>
        <w:rPr>
          <w:rStyle w:val="CharDefText"/>
        </w:rPr>
        <w:t>deputy registrar</w:t>
      </w:r>
      <w:r>
        <w:rPr>
          <w:b/>
        </w:rPr>
        <w:t>”</w:t>
      </w:r>
      <w:r>
        <w:t xml:space="preserve"> means a deputy registrar appointed under the Act section 16(1);</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Heading5"/>
        <w:rPr>
          <w:snapToGrid w:val="0"/>
        </w:rPr>
      </w:pPr>
      <w:bookmarkStart w:id="21" w:name="_Toc437922206"/>
      <w:bookmarkStart w:id="22" w:name="_Toc483972641"/>
      <w:bookmarkStart w:id="23" w:name="_Toc506018772"/>
      <w:bookmarkStart w:id="24" w:name="_Toc519738591"/>
      <w:bookmarkStart w:id="25" w:name="_Toc520868379"/>
      <w:bookmarkStart w:id="26" w:name="_Toc533482756"/>
      <w:bookmarkStart w:id="27" w:name="_Toc61252559"/>
      <w:bookmarkStart w:id="28" w:name="_Toc96402831"/>
      <w:bookmarkStart w:id="29" w:name="_Toc100634714"/>
      <w:bookmarkStart w:id="30" w:name="_Toc113162193"/>
      <w:r>
        <w:rPr>
          <w:rStyle w:val="CharSectno"/>
        </w:rPr>
        <w:t>4</w:t>
      </w:r>
      <w:r>
        <w:t>.</w:t>
      </w:r>
      <w:r>
        <w:tab/>
      </w:r>
      <w:r>
        <w:rPr>
          <w:snapToGrid w:val="0"/>
        </w:rPr>
        <w:t>Fees to be charged</w:t>
      </w:r>
      <w:bookmarkEnd w:id="21"/>
      <w:bookmarkEnd w:id="22"/>
      <w:bookmarkEnd w:id="23"/>
      <w:bookmarkEnd w:id="24"/>
      <w:bookmarkEnd w:id="25"/>
      <w:bookmarkEnd w:id="26"/>
      <w:bookmarkEnd w:id="27"/>
      <w:bookmarkEnd w:id="28"/>
      <w:bookmarkEnd w:id="29"/>
      <w:bookmarkEnd w:id="30"/>
    </w:p>
    <w:p>
      <w:pPr>
        <w:pStyle w:val="Subsection"/>
        <w:rPr>
          <w:snapToGrid w:val="0"/>
        </w:rPr>
      </w:pPr>
      <w:r>
        <w:rPr>
          <w:snapToGrid w:val="0"/>
        </w:rPr>
        <w:tab/>
        <w:t>(1)</w:t>
      </w:r>
      <w:r>
        <w:rPr>
          <w:snapToGrid w:val="0"/>
        </w:rPr>
        <w:tab/>
        <w:t>Subject to the provisions of these regulations, the fees specified in Schedule </w:t>
      </w:r>
      <w:bookmarkStart w:id="31" w:name="_Hlt533230123"/>
      <w:r>
        <w:rPr>
          <w:snapToGrid w:val="0"/>
        </w:rPr>
        <w:t>1</w:t>
      </w:r>
      <w:bookmarkEnd w:id="31"/>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2" w:name="_Toc437922207"/>
      <w:bookmarkStart w:id="33" w:name="_Toc483972642"/>
      <w:bookmarkStart w:id="34" w:name="_Toc506018773"/>
      <w:bookmarkStart w:id="35" w:name="_Toc519738592"/>
      <w:bookmarkStart w:id="36" w:name="_Toc520868380"/>
      <w:bookmarkStart w:id="37" w:name="_Toc533482757"/>
      <w:bookmarkStart w:id="38" w:name="_Toc61252560"/>
      <w:bookmarkStart w:id="39" w:name="_Toc96402832"/>
      <w:bookmarkStart w:id="40" w:name="_Toc96756225"/>
      <w:bookmarkStart w:id="41" w:name="_Toc100634715"/>
      <w:bookmarkStart w:id="42" w:name="_Toc113162194"/>
      <w:r>
        <w:rPr>
          <w:rStyle w:val="CharSectno"/>
        </w:rPr>
        <w:t>5</w:t>
      </w:r>
      <w:r>
        <w:t>.</w:t>
      </w:r>
      <w:r>
        <w:tab/>
      </w:r>
      <w:r>
        <w:rPr>
          <w:snapToGrid w:val="0"/>
        </w:rPr>
        <w:t>Exemptions</w:t>
      </w:r>
      <w:bookmarkEnd w:id="32"/>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3" w:name="_Toc96756226"/>
      <w:bookmarkStart w:id="44" w:name="_Toc100634716"/>
      <w:bookmarkStart w:id="45" w:name="_Toc113162195"/>
      <w:r>
        <w:rPr>
          <w:rStyle w:val="CharSectno"/>
        </w:rPr>
        <w:t>6</w:t>
      </w:r>
      <w:r>
        <w:t>.</w:t>
      </w:r>
      <w:r>
        <w:tab/>
        <w:t>Fees subject to conditions or waiver</w:t>
      </w:r>
      <w:bookmarkEnd w:id="43"/>
      <w:bookmarkEnd w:id="44"/>
      <w:bookmarkEnd w:id="45"/>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If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6" w:name="_Toc437922208"/>
      <w:bookmarkStart w:id="47" w:name="_Toc483972643"/>
      <w:bookmarkStart w:id="48" w:name="_Toc506018774"/>
      <w:bookmarkStart w:id="49" w:name="_Toc519738593"/>
      <w:bookmarkStart w:id="50" w:name="_Toc520868381"/>
      <w:bookmarkStart w:id="51" w:name="_Toc533482758"/>
      <w:bookmarkStart w:id="52" w:name="_Toc61252561"/>
      <w:bookmarkStart w:id="53" w:name="_Toc96402833"/>
      <w:bookmarkStart w:id="54" w:name="_Toc100634717"/>
      <w:bookmarkStart w:id="55" w:name="_Toc113162196"/>
      <w:r>
        <w:rPr>
          <w:rStyle w:val="CharSectno"/>
        </w:rPr>
        <w:t>7</w:t>
      </w:r>
      <w:r>
        <w:t>.</w:t>
      </w:r>
      <w:r>
        <w:tab/>
      </w:r>
      <w:r>
        <w:rPr>
          <w:rStyle w:val="CharSectno"/>
        </w:rPr>
        <w:t>F</w:t>
      </w:r>
      <w:r>
        <w:rPr>
          <w:snapToGrid w:val="0"/>
        </w:rPr>
        <w:t>ees to be paid before documents etc. filed</w:t>
      </w:r>
      <w:bookmarkEnd w:id="46"/>
      <w:bookmarkEnd w:id="47"/>
      <w:bookmarkEnd w:id="48"/>
      <w:bookmarkEnd w:id="49"/>
      <w:bookmarkEnd w:id="50"/>
      <w:bookmarkEnd w:id="51"/>
      <w:bookmarkEnd w:id="52"/>
      <w:bookmarkEnd w:id="53"/>
      <w:bookmarkEnd w:id="54"/>
      <w:bookmarkEnd w:id="5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rPr>
          <w:snapToGrid w:val="0"/>
        </w:rPr>
      </w:pPr>
      <w:bookmarkStart w:id="56" w:name="_Toc437922210"/>
      <w:bookmarkStart w:id="57" w:name="_Toc483972645"/>
      <w:bookmarkStart w:id="58" w:name="_Toc506018776"/>
      <w:bookmarkStart w:id="59" w:name="_Toc519738594"/>
      <w:bookmarkStart w:id="60" w:name="_Toc520868382"/>
      <w:bookmarkStart w:id="61" w:name="_Toc533482759"/>
      <w:bookmarkStart w:id="62" w:name="_Toc61252562"/>
      <w:bookmarkStart w:id="63" w:name="_Toc96402834"/>
      <w:bookmarkStart w:id="64" w:name="_Toc100634718"/>
      <w:bookmarkStart w:id="65" w:name="_Toc113162197"/>
      <w:r>
        <w:rPr>
          <w:rStyle w:val="CharSectno"/>
        </w:rPr>
        <w:t>8</w:t>
      </w:r>
      <w:r>
        <w:t>.</w:t>
      </w:r>
      <w:r>
        <w:tab/>
      </w:r>
      <w:r>
        <w:rPr>
          <w:snapToGrid w:val="0"/>
        </w:rPr>
        <w:t>Court, registrar or deputy registrar may remit fees</w:t>
      </w:r>
      <w:bookmarkEnd w:id="56"/>
      <w:bookmarkEnd w:id="57"/>
      <w:bookmarkEnd w:id="58"/>
      <w:bookmarkEnd w:id="59"/>
      <w:bookmarkEnd w:id="60"/>
      <w:bookmarkEnd w:id="61"/>
      <w:bookmarkEnd w:id="62"/>
      <w:bookmarkEnd w:id="63"/>
      <w:bookmarkEnd w:id="64"/>
      <w:bookmarkEnd w:id="65"/>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66" w:name="_Toc437922211"/>
      <w:bookmarkStart w:id="67" w:name="_Toc483972646"/>
      <w:bookmarkStart w:id="68" w:name="_Toc506018777"/>
      <w:bookmarkStart w:id="69" w:name="_Toc519738595"/>
      <w:bookmarkStart w:id="70" w:name="_Toc520868383"/>
      <w:bookmarkStart w:id="71" w:name="_Toc533482760"/>
      <w:r>
        <w:tab/>
        <w:t>(12)</w:t>
      </w:r>
      <w:r>
        <w:tab/>
        <w:t>Despite the provisions of these regulations, a fee is not to be charged in respect of an application under subregulation (2).</w:t>
      </w:r>
    </w:p>
    <w:p>
      <w:pPr>
        <w:pStyle w:val="Heading5"/>
        <w:rPr>
          <w:snapToGrid w:val="0"/>
        </w:rPr>
      </w:pPr>
      <w:bookmarkStart w:id="72" w:name="_Toc61252563"/>
      <w:bookmarkStart w:id="73" w:name="_Toc96402835"/>
      <w:bookmarkStart w:id="74" w:name="_Toc100634719"/>
      <w:bookmarkStart w:id="75" w:name="_Toc113162198"/>
      <w:r>
        <w:rPr>
          <w:rStyle w:val="CharSectno"/>
        </w:rPr>
        <w:t>9</w:t>
      </w:r>
      <w:r>
        <w:t>.</w:t>
      </w:r>
      <w:r>
        <w:tab/>
      </w:r>
      <w:r>
        <w:rPr>
          <w:snapToGrid w:val="0"/>
        </w:rPr>
        <w:t>Conventions</w:t>
      </w:r>
      <w:bookmarkEnd w:id="66"/>
      <w:bookmarkEnd w:id="67"/>
      <w:bookmarkEnd w:id="68"/>
      <w:bookmarkEnd w:id="69"/>
      <w:bookmarkEnd w:id="70"/>
      <w:bookmarkEnd w:id="71"/>
      <w:bookmarkEnd w:id="72"/>
      <w:bookmarkEnd w:id="73"/>
      <w:bookmarkEnd w:id="74"/>
      <w:bookmarkEnd w:id="75"/>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76" w:name="_Toc96398500"/>
      <w:bookmarkStart w:id="77" w:name="_Toc100634720"/>
      <w:bookmarkStart w:id="78" w:name="_Toc113162199"/>
      <w:r>
        <w:rPr>
          <w:rStyle w:val="CharSectno"/>
        </w:rPr>
        <w:t>10</w:t>
      </w:r>
      <w:r>
        <w:t>.</w:t>
      </w:r>
      <w:r>
        <w:tab/>
        <w:t>Resolution of disputes as to fees</w:t>
      </w:r>
      <w:bookmarkEnd w:id="76"/>
      <w:bookmarkEnd w:id="77"/>
      <w:bookmarkEnd w:id="78"/>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79" w:name="_Toc97609766"/>
      <w:bookmarkStart w:id="80" w:name="_Toc100634721"/>
      <w:bookmarkStart w:id="81" w:name="_Toc113162200"/>
      <w:r>
        <w:rPr>
          <w:rStyle w:val="CharSectno"/>
        </w:rPr>
        <w:t>11</w:t>
      </w:r>
      <w:r>
        <w:t>.</w:t>
      </w:r>
      <w:r>
        <w:tab/>
        <w:t>Recovery of unpaid fees</w:t>
      </w:r>
      <w:bookmarkEnd w:id="79"/>
      <w:bookmarkEnd w:id="80"/>
      <w:bookmarkEnd w:id="81"/>
    </w:p>
    <w:p>
      <w:pPr>
        <w:pStyle w:val="Subsection"/>
      </w:pPr>
      <w:r>
        <w:tab/>
      </w:r>
      <w:r>
        <w:tab/>
        <w:t>Any unpaid fee is a debt due to the State and may be recovered by action in a court of competent jurisdiction.</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2" w:name="_Toc100634722"/>
    </w:p>
    <w:p>
      <w:pPr>
        <w:pStyle w:val="yScheduleHeading"/>
      </w:pPr>
      <w:bookmarkStart w:id="83" w:name="_Toc113162201"/>
      <w:r>
        <w:rPr>
          <w:rStyle w:val="CharSchNo"/>
        </w:rPr>
        <w:t>Schedule 1</w:t>
      </w:r>
      <w:r>
        <w:t> — </w:t>
      </w:r>
      <w:r>
        <w:rPr>
          <w:rStyle w:val="CharSchText"/>
        </w:rPr>
        <w:t>Fees</w:t>
      </w:r>
      <w:bookmarkEnd w:id="82"/>
      <w:bookmarkEnd w:id="83"/>
    </w:p>
    <w:p>
      <w:pPr>
        <w:pStyle w:val="yShoulderClause"/>
      </w:pPr>
      <w:r>
        <w:t>[r. 4]</w:t>
      </w:r>
    </w:p>
    <w:p>
      <w:pPr>
        <w:pStyle w:val="yHeading3"/>
        <w:spacing w:after="120"/>
      </w:pPr>
      <w:bookmarkStart w:id="84" w:name="_Toc96756237"/>
      <w:bookmarkStart w:id="85" w:name="_Toc100634723"/>
      <w:bookmarkStart w:id="86" w:name="_Toc113162202"/>
      <w:r>
        <w:rPr>
          <w:rStyle w:val="CharSDivNo"/>
        </w:rPr>
        <w:t>Division 1</w:t>
      </w:r>
      <w:r>
        <w:rPr>
          <w:b w:val="0"/>
        </w:rPr>
        <w:t> — </w:t>
      </w:r>
      <w:r>
        <w:rPr>
          <w:rStyle w:val="CharSDivText"/>
        </w:rPr>
        <w:t>General</w:t>
      </w:r>
      <w:bookmarkEnd w:id="84"/>
      <w:bookmarkEnd w:id="85"/>
      <w:bookmarkEnd w:id="86"/>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175"/>
              <w:jc w:val="center"/>
              <w:rPr>
                <w:sz w:val="20"/>
              </w:rPr>
            </w:pPr>
            <w:r>
              <w:rPr>
                <w:sz w:val="20"/>
              </w:rPr>
              <w:br/>
            </w:r>
            <w:r>
              <w:rPr>
                <w:sz w:val="20"/>
              </w:rPr>
              <w:br/>
            </w:r>
          </w:p>
          <w:p>
            <w:pPr>
              <w:pStyle w:val="yTable"/>
              <w:ind w:right="33"/>
              <w:jc w:val="center"/>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jc w:val="center"/>
              <w:rPr>
                <w:sz w:val="20"/>
              </w:rPr>
            </w:pPr>
            <w:r>
              <w:rPr>
                <w:sz w:val="20"/>
              </w:rPr>
              <w:br/>
            </w:r>
            <w:r>
              <w:rPr>
                <w:sz w:val="20"/>
              </w:rPr>
              <w:br/>
              <w:t>37.50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 xml:space="preserve">If it is necessary to travel to execute a warrant or other process, or on service of a summons, order of the Court, other process or document, or on making an arrest or for all attempts, attendances and inspections, from the Bailiff’s Office 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rPr>
                <w:sz w:val="20"/>
              </w:rPr>
            </w:pPr>
            <w:r>
              <w:rPr>
                <w:sz w:val="20"/>
              </w:rPr>
              <w:br/>
            </w:r>
            <w:r>
              <w:rPr>
                <w:sz w:val="20"/>
              </w:rPr>
              <w:br/>
            </w:r>
            <w:r>
              <w:rPr>
                <w:sz w:val="20"/>
              </w:rPr>
              <w:br/>
            </w:r>
            <w:r>
              <w:rPr>
                <w:sz w:val="20"/>
              </w:rPr>
              <w:br/>
            </w:r>
            <w:r>
              <w:rPr>
                <w:sz w:val="20"/>
              </w:rPr>
              <w:br/>
            </w:r>
            <w:r>
              <w:rPr>
                <w:sz w:val="20"/>
              </w:rPr>
              <w:br/>
            </w:r>
          </w:p>
          <w:p>
            <w:pPr>
              <w:pStyle w:val="yTable"/>
              <w:spacing w:before="0"/>
              <w:jc w:val="center"/>
              <w:rPr>
                <w:sz w:val="20"/>
              </w:rPr>
            </w:pPr>
            <w:r>
              <w:rPr>
                <w:sz w:val="20"/>
              </w:rPr>
              <w:br/>
              <w:t>0.95</w:t>
            </w:r>
            <w:r>
              <w:rPr>
                <w:sz w:val="20"/>
              </w:rPr>
              <w:br/>
            </w:r>
            <w:r>
              <w:rPr>
                <w:sz w:val="20"/>
              </w:rPr>
              <w:br/>
              <w:t>1.05</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 bailiff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jc w:val="center"/>
              <w:rPr>
                <w:sz w:val="20"/>
              </w:rPr>
            </w:pPr>
            <w:r>
              <w:rPr>
                <w:sz w:val="20"/>
              </w:rPr>
              <w:br/>
            </w:r>
            <w:r>
              <w:rPr>
                <w:sz w:val="20"/>
              </w:rPr>
              <w:br/>
            </w:r>
            <w:r>
              <w:rPr>
                <w:sz w:val="20"/>
              </w:rPr>
              <w:br/>
            </w:r>
            <w:r>
              <w:rPr>
                <w:sz w:val="20"/>
              </w:rPr>
              <w:br/>
              <w:t>22.00</w:t>
            </w:r>
          </w:p>
          <w:p>
            <w:pPr>
              <w:pStyle w:val="yTable"/>
              <w:spacing w:before="0"/>
              <w:jc w:val="center"/>
              <w:rPr>
                <w:sz w:val="20"/>
              </w:rPr>
            </w:pPr>
            <w:r>
              <w:rPr>
                <w:sz w:val="20"/>
              </w:rPr>
              <w:br/>
            </w:r>
            <w:r>
              <w:rPr>
                <w:sz w:val="20"/>
              </w:rPr>
              <w:br/>
            </w:r>
            <w:r>
              <w:rPr>
                <w:sz w:val="20"/>
              </w:rPr>
              <w:br/>
              <w:t>22.00</w:t>
            </w:r>
          </w:p>
          <w:p>
            <w:pPr>
              <w:pStyle w:val="yTable"/>
              <w:jc w:val="center"/>
              <w:rPr>
                <w:sz w:val="20"/>
              </w:rPr>
            </w:pPr>
            <w:r>
              <w:rPr>
                <w:sz w:val="20"/>
              </w:rPr>
              <w:br/>
              <w:t>55.00</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jc w:val="center"/>
              <w:rPr>
                <w:sz w:val="20"/>
              </w:rPr>
            </w:pPr>
            <w:r>
              <w:rPr>
                <w:sz w:val="20"/>
              </w:rPr>
              <w:br/>
            </w:r>
            <w:r>
              <w:rPr>
                <w:sz w:val="20"/>
              </w:rPr>
              <w:br/>
            </w:r>
            <w:r>
              <w:rPr>
                <w:sz w:val="20"/>
              </w:rPr>
              <w:br/>
            </w:r>
            <w:r>
              <w:rPr>
                <w:sz w:val="20"/>
              </w:rPr>
              <w:br/>
              <w:t>33.00</w:t>
            </w:r>
          </w:p>
          <w:p>
            <w:pPr>
              <w:pStyle w:val="yTable"/>
              <w:jc w:val="center"/>
              <w:rPr>
                <w:sz w:val="20"/>
              </w:rPr>
            </w:pPr>
            <w:r>
              <w:rPr>
                <w:sz w:val="20"/>
              </w:rPr>
              <w:br/>
            </w:r>
            <w:r>
              <w:rPr>
                <w:sz w:val="20"/>
              </w:rPr>
              <w:br/>
            </w:r>
            <w:r>
              <w:rPr>
                <w:sz w:val="20"/>
              </w:rPr>
              <w:br/>
            </w:r>
            <w:r>
              <w:rPr>
                <w:sz w:val="20"/>
              </w:rPr>
              <w:br/>
            </w:r>
            <w:r>
              <w:rPr>
                <w:sz w:val="20"/>
              </w:rPr>
              <w:br/>
            </w:r>
            <w:r>
              <w:rPr>
                <w:sz w:val="20"/>
              </w:rPr>
              <w:br/>
              <w:t>55.00</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r>
            <w:r>
              <w:rPr>
                <w:sz w:val="20"/>
              </w:rPr>
              <w:br/>
            </w:r>
            <w:r>
              <w:rPr>
                <w:sz w:val="20"/>
              </w:rPr>
              <w:br/>
              <w:t>8.00</w:t>
            </w:r>
          </w:p>
          <w:p>
            <w:pPr>
              <w:pStyle w:val="yTable"/>
              <w:jc w:val="center"/>
              <w:rPr>
                <w:sz w:val="20"/>
              </w:rPr>
            </w:pPr>
            <w:r>
              <w:rPr>
                <w:sz w:val="20"/>
              </w:rPr>
              <w:br/>
            </w:r>
            <w:r>
              <w:rPr>
                <w:sz w:val="20"/>
              </w:rPr>
              <w:br/>
              <w:t>1.00</w:t>
            </w:r>
          </w:p>
          <w:p>
            <w:pPr>
              <w:pStyle w:val="yTable"/>
              <w:jc w:val="center"/>
              <w:rPr>
                <w:sz w:val="20"/>
              </w:rPr>
            </w:pPr>
            <w:r>
              <w:rPr>
                <w:sz w:val="20"/>
              </w:rPr>
              <w:br/>
              <w:t>11.00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jc w:val="center"/>
              <w:rPr>
                <w:sz w:val="20"/>
              </w:rPr>
            </w:pPr>
            <w:r>
              <w:rPr>
                <w:sz w:val="20"/>
              </w:rPr>
              <w:br/>
            </w:r>
            <w:r>
              <w:rPr>
                <w:sz w:val="20"/>
              </w:rPr>
              <w:br/>
              <w:t>4.50</w:t>
            </w:r>
          </w:p>
          <w:p>
            <w:pPr>
              <w:pStyle w:val="yTable"/>
              <w:jc w:val="center"/>
              <w:rPr>
                <w:sz w:val="20"/>
              </w:rPr>
            </w:pPr>
            <w:r>
              <w:rPr>
                <w:sz w:val="20"/>
              </w:rPr>
              <w:br/>
            </w:r>
            <w:r>
              <w:rPr>
                <w:sz w:val="20"/>
              </w:rPr>
              <w:br/>
            </w:r>
            <w:r>
              <w:rPr>
                <w:sz w:val="20"/>
              </w:rPr>
              <w:br/>
            </w:r>
            <w:r>
              <w:rPr>
                <w:sz w:val="20"/>
              </w:rPr>
              <w:br/>
              <w:t>10.50</w:t>
            </w:r>
          </w:p>
          <w:p>
            <w:pPr>
              <w:pStyle w:val="yTable"/>
              <w:jc w:val="center"/>
              <w:rPr>
                <w:sz w:val="20"/>
              </w:rPr>
            </w:pPr>
            <w:r>
              <w:rPr>
                <w:sz w:val="20"/>
              </w:rPr>
              <w:br/>
            </w:r>
            <w:r>
              <w:rPr>
                <w:sz w:val="20"/>
              </w:rPr>
              <w:br/>
            </w:r>
            <w:r>
              <w:rPr>
                <w:sz w:val="20"/>
              </w:rPr>
              <w:br/>
            </w:r>
            <w:r>
              <w:rPr>
                <w:sz w:val="20"/>
              </w:rPr>
              <w:br/>
              <w:t>1.50</w:t>
            </w:r>
          </w:p>
        </w:tc>
      </w:tr>
      <w:tr>
        <w:trPr>
          <w:cantSplit/>
        </w:trPr>
        <w:tc>
          <w:tcPr>
            <w:tcW w:w="652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$15.00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Heading3"/>
        <w:spacing w:after="240"/>
      </w:pPr>
      <w:bookmarkStart w:id="87" w:name="_Toc96756238"/>
      <w:bookmarkStart w:id="88" w:name="_Toc100634724"/>
      <w:bookmarkStart w:id="89" w:name="_Toc113162203"/>
      <w:r>
        <w:rPr>
          <w:rStyle w:val="CharSDivNo"/>
        </w:rPr>
        <w:t>Division 2</w:t>
      </w:r>
      <w:r>
        <w:rPr>
          <w:b w:val="0"/>
        </w:rPr>
        <w:t> — </w:t>
      </w:r>
      <w:r>
        <w:rPr>
          <w:rStyle w:val="CharSDivText"/>
        </w:rPr>
        <w:t>Civil jurisdiction</w:t>
      </w:r>
      <w:bookmarkEnd w:id="87"/>
      <w:bookmarkEnd w:id="88"/>
      <w:bookmarkEnd w:id="89"/>
    </w:p>
    <w:tbl>
      <w:tblPr>
        <w:tblW w:w="0" w:type="auto"/>
        <w:tblInd w:w="136" w:type="dxa"/>
        <w:tblLayout w:type="fixed"/>
        <w:tblLook w:val="0000" w:firstRow="0" w:lastRow="0" w:firstColumn="0" w:lastColumn="0" w:noHBand="0" w:noVBand="0"/>
      </w:tblPr>
      <w:tblGrid>
        <w:gridCol w:w="504"/>
        <w:gridCol w:w="14"/>
        <w:gridCol w:w="21"/>
        <w:gridCol w:w="5670"/>
        <w:gridCol w:w="79"/>
        <w:gridCol w:w="772"/>
        <w:gridCol w:w="14"/>
      </w:tblGrid>
      <w:tr>
        <w:trPr>
          <w:gridAfter w:val="1"/>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691" w:type="dxa"/>
            <w:gridSpan w:val="2"/>
            <w:tcBorders>
              <w:top w:val="single" w:sz="4" w:space="0" w:color="auto"/>
              <w:bottom w:val="single" w:sz="4" w:space="0" w:color="auto"/>
            </w:tcBorders>
          </w:tcPr>
          <w:p>
            <w:pPr>
              <w:pStyle w:val="yTable"/>
              <w:jc w:val="center"/>
              <w:rPr>
                <w:b/>
                <w:sz w:val="20"/>
              </w:rPr>
            </w:pPr>
            <w:r>
              <w:rPr>
                <w:b/>
                <w:sz w:val="20"/>
              </w:rPr>
              <w:t>Matter</w:t>
            </w:r>
          </w:p>
        </w:tc>
        <w:tc>
          <w:tcPr>
            <w:tcW w:w="851" w:type="dxa"/>
            <w:gridSpan w:val="2"/>
            <w:tcBorders>
              <w:top w:val="single" w:sz="4" w:space="0" w:color="auto"/>
              <w:bottom w:val="single" w:sz="4" w:space="0" w:color="auto"/>
            </w:tcBorders>
          </w:tcPr>
          <w:p>
            <w:pPr>
              <w:pStyle w:val="yTable"/>
              <w:ind w:left="-250"/>
              <w:jc w:val="center"/>
              <w:rPr>
                <w:b/>
                <w:sz w:val="20"/>
              </w:rPr>
            </w:pPr>
            <w:r>
              <w:rPr>
                <w:b/>
                <w:sz w:val="20"/>
              </w:rPr>
              <w:t>$</w:t>
            </w:r>
          </w:p>
        </w:tc>
      </w:tr>
      <w:tr>
        <w:trPr>
          <w:cantSplit/>
        </w:trPr>
        <w:tc>
          <w:tcPr>
            <w:tcW w:w="539" w:type="dxa"/>
            <w:gridSpan w:val="3"/>
          </w:tcPr>
          <w:p>
            <w:pPr>
              <w:pStyle w:val="yTable"/>
              <w:rPr>
                <w:sz w:val="20"/>
              </w:rPr>
            </w:pPr>
            <w:r>
              <w:rPr>
                <w:sz w:val="20"/>
              </w:rPr>
              <w:t>1.</w:t>
            </w:r>
          </w:p>
        </w:tc>
        <w:tc>
          <w:tcPr>
            <w:tcW w:w="5670" w:type="dxa"/>
          </w:tcPr>
          <w:p>
            <w:pPr>
              <w:pStyle w:val="yTable"/>
              <w:ind w:left="-29" w:right="-68" w:hanging="11"/>
              <w:rPr>
                <w:sz w:val="20"/>
              </w:rPr>
            </w:pPr>
            <w:r>
              <w:rPr>
                <w:sz w:val="20"/>
              </w:rPr>
              <w:t xml:space="preserve">On filing — </w:t>
            </w:r>
          </w:p>
          <w:p>
            <w:pPr>
              <w:pStyle w:val="yTable"/>
              <w:tabs>
                <w:tab w:val="left" w:pos="312"/>
              </w:tabs>
              <w:spacing w:before="0"/>
              <w:ind w:left="326" w:right="-68" w:hanging="366"/>
              <w:rPr>
                <w:sz w:val="20"/>
              </w:rPr>
            </w:pPr>
            <w:r>
              <w:rPr>
                <w:sz w:val="20"/>
              </w:rPr>
              <w:t>(a)</w:t>
            </w:r>
            <w:r>
              <w:rPr>
                <w:sz w:val="20"/>
              </w:rPr>
              <w:tab/>
              <w:t xml:space="preserve">an application for a misconduct restraining order under the </w:t>
            </w:r>
            <w:r>
              <w:rPr>
                <w:i/>
                <w:iCs/>
                <w:sz w:val="20"/>
              </w:rPr>
              <w:t>Restraining Orders Act 1997</w:t>
            </w:r>
            <w:r>
              <w:rPr>
                <w:sz w:val="20"/>
              </w:rPr>
              <w:t>;</w:t>
            </w:r>
          </w:p>
          <w:p>
            <w:pPr>
              <w:pStyle w:val="yTable"/>
              <w:tabs>
                <w:tab w:val="left" w:pos="312"/>
              </w:tabs>
              <w:spacing w:before="0"/>
              <w:ind w:left="326" w:right="-68" w:hanging="366"/>
              <w:rPr>
                <w:sz w:val="20"/>
              </w:rPr>
            </w:pPr>
            <w:r>
              <w:rPr>
                <w:sz w:val="20"/>
              </w:rPr>
              <w:t>(b)</w:t>
            </w:r>
            <w:r>
              <w:rPr>
                <w:sz w:val="20"/>
              </w:rPr>
              <w:tab/>
              <w:t xml:space="preserve">an application for care and protection of a child under the </w:t>
            </w:r>
            <w:r>
              <w:rPr>
                <w:i/>
                <w:sz w:val="20"/>
              </w:rPr>
              <w:t>Child Welfare Act 1947</w:t>
            </w:r>
            <w:r>
              <w:rPr>
                <w:sz w:val="20"/>
              </w:rPr>
              <w:t xml:space="preserve"> section 32;</w:t>
            </w:r>
          </w:p>
          <w:p>
            <w:pPr>
              <w:pStyle w:val="yTable"/>
              <w:tabs>
                <w:tab w:val="left" w:pos="312"/>
              </w:tabs>
              <w:spacing w:before="0"/>
              <w:ind w:left="326" w:right="-68" w:hanging="366"/>
              <w:rPr>
                <w:rStyle w:val="DraftersNotes"/>
              </w:rPr>
            </w:pPr>
            <w:r>
              <w:rPr>
                <w:sz w:val="20"/>
              </w:rPr>
              <w:t>(c)</w:t>
            </w:r>
            <w:r>
              <w:rPr>
                <w:sz w:val="20"/>
              </w:rPr>
              <w:tab/>
              <w:t xml:space="preserve">an application for the release of wardship of a child under the </w:t>
            </w:r>
            <w:r>
              <w:rPr>
                <w:i/>
                <w:sz w:val="20"/>
              </w:rPr>
              <w:t>Child Welfare Act 1947</w:t>
            </w:r>
            <w:r>
              <w:rPr>
                <w:sz w:val="20"/>
              </w:rPr>
              <w:t xml:space="preserve"> section 47 …………………………….</w:t>
            </w:r>
          </w:p>
        </w:tc>
        <w:tc>
          <w:tcPr>
            <w:tcW w:w="865" w:type="dxa"/>
            <w:gridSpan w:val="3"/>
          </w:tcPr>
          <w:p>
            <w:pPr>
              <w:pStyle w:val="yTable"/>
              <w:jc w:val="center"/>
              <w:rPr>
                <w:sz w:val="20"/>
              </w:rPr>
            </w:pPr>
            <w:r>
              <w:rPr>
                <w:sz w:val="20"/>
              </w:rPr>
              <w:br/>
            </w:r>
            <w:r>
              <w:rPr>
                <w:sz w:val="20"/>
              </w:rPr>
              <w:br/>
            </w:r>
            <w:r>
              <w:rPr>
                <w:sz w:val="20"/>
              </w:rPr>
              <w:br/>
            </w:r>
            <w:r>
              <w:rPr>
                <w:sz w:val="20"/>
              </w:rPr>
              <w:br/>
            </w:r>
            <w:r>
              <w:rPr>
                <w:sz w:val="20"/>
              </w:rPr>
              <w:br/>
            </w:r>
            <w:r>
              <w:rPr>
                <w:sz w:val="20"/>
              </w:rPr>
              <w:br/>
              <w:t>63.00</w:t>
            </w:r>
          </w:p>
        </w:tc>
      </w:tr>
      <w:tr>
        <w:trPr>
          <w:cantSplit/>
        </w:trPr>
        <w:tc>
          <w:tcPr>
            <w:tcW w:w="539" w:type="dxa"/>
            <w:gridSpan w:val="3"/>
          </w:tcPr>
          <w:p>
            <w:pPr>
              <w:pStyle w:val="yTable"/>
              <w:rPr>
                <w:sz w:val="20"/>
              </w:rPr>
            </w:pPr>
            <w:r>
              <w:rPr>
                <w:sz w:val="20"/>
              </w:rPr>
              <w:t>2.</w:t>
            </w:r>
          </w:p>
        </w:tc>
        <w:tc>
          <w:tcPr>
            <w:tcW w:w="5670" w:type="dxa"/>
          </w:tcPr>
          <w:p>
            <w:pPr>
              <w:pStyle w:val="yTable"/>
              <w:rPr>
                <w:sz w:val="20"/>
              </w:rPr>
            </w:pPr>
            <w:r>
              <w:rPr>
                <w:sz w:val="20"/>
              </w:rPr>
              <w:t>For the execution of an arrest warrant of any kind …………………</w:t>
            </w:r>
          </w:p>
        </w:tc>
        <w:tc>
          <w:tcPr>
            <w:tcW w:w="865" w:type="dxa"/>
            <w:gridSpan w:val="3"/>
          </w:tcPr>
          <w:p>
            <w:pPr>
              <w:pStyle w:val="yTable"/>
              <w:jc w:val="center"/>
              <w:rPr>
                <w:sz w:val="20"/>
              </w:rPr>
            </w:pPr>
            <w:r>
              <w:rPr>
                <w:sz w:val="20"/>
              </w:rPr>
              <w:t>136.00</w:t>
            </w:r>
          </w:p>
        </w:tc>
      </w:tr>
      <w:tr>
        <w:trPr>
          <w:cantSplit/>
        </w:trPr>
        <w:tc>
          <w:tcPr>
            <w:tcW w:w="7074" w:type="dxa"/>
            <w:gridSpan w:val="7"/>
          </w:tcPr>
          <w:p>
            <w:pPr>
              <w:pStyle w:val="yTable"/>
              <w:rPr>
                <w:sz w:val="20"/>
              </w:rPr>
            </w:pPr>
            <w:r>
              <w:rPr>
                <w:sz w:val="20"/>
              </w:rPr>
              <w:t>NOTE 1</w:t>
            </w:r>
          </w:p>
          <w:p>
            <w:pPr>
              <w:pStyle w:val="yTable"/>
              <w:spacing w:before="0"/>
              <w:rPr>
                <w:sz w:val="20"/>
              </w:rPr>
            </w:pPr>
            <w:r>
              <w:rPr>
                <w:sz w:val="20"/>
              </w:rPr>
              <w:t xml:space="preserve">The fee includes all duties associated with executing an arrest warrant including — </w:t>
            </w:r>
          </w:p>
          <w:p>
            <w:pPr>
              <w:pStyle w:val="yTable"/>
              <w:tabs>
                <w:tab w:val="left" w:pos="431"/>
              </w:tabs>
              <w:spacing w:before="0"/>
              <w:ind w:left="431" w:right="-68" w:hanging="425"/>
              <w:rPr>
                <w:sz w:val="20"/>
              </w:rPr>
            </w:pPr>
            <w:r>
              <w:rPr>
                <w:sz w:val="20"/>
              </w:rPr>
              <w:t>(a)</w:t>
            </w:r>
            <w:r>
              <w:rPr>
                <w:sz w:val="20"/>
              </w:rPr>
              <w:tab/>
              <w:t>arresting the person;</w:t>
            </w:r>
          </w:p>
          <w:p>
            <w:pPr>
              <w:pStyle w:val="yTable"/>
              <w:tabs>
                <w:tab w:val="left" w:pos="431"/>
              </w:tabs>
              <w:spacing w:before="0"/>
              <w:ind w:left="431" w:right="-68" w:hanging="425"/>
              <w:rPr>
                <w:sz w:val="20"/>
              </w:rPr>
            </w:pPr>
            <w:r>
              <w:rPr>
                <w:sz w:val="20"/>
              </w:rPr>
              <w:t>(b)</w:t>
            </w:r>
            <w:r>
              <w:rPr>
                <w:sz w:val="20"/>
              </w:rPr>
              <w:tab/>
              <w:t>conveying the person to a court or a custodial place;</w:t>
            </w:r>
          </w:p>
          <w:p>
            <w:pPr>
              <w:pStyle w:val="yTable"/>
              <w:tabs>
                <w:tab w:val="left" w:pos="431"/>
              </w:tabs>
              <w:spacing w:before="0"/>
              <w:ind w:left="431" w:right="-68" w:hanging="425"/>
              <w:rPr>
                <w:sz w:val="20"/>
              </w:rPr>
            </w:pPr>
            <w:r>
              <w:rPr>
                <w:sz w:val="20"/>
              </w:rPr>
              <w:t>(c)</w:t>
            </w:r>
            <w:r>
              <w:rPr>
                <w:sz w:val="20"/>
              </w:rPr>
              <w:tab/>
              <w:t>ongoing custody of the person;</w:t>
            </w:r>
          </w:p>
          <w:p>
            <w:pPr>
              <w:pStyle w:val="yTable"/>
              <w:tabs>
                <w:tab w:val="left" w:pos="431"/>
              </w:tabs>
              <w:spacing w:before="0"/>
              <w:ind w:left="431" w:right="-68" w:hanging="425"/>
              <w:rPr>
                <w:sz w:val="20"/>
              </w:rPr>
            </w:pPr>
            <w:r>
              <w:rPr>
                <w:sz w:val="20"/>
              </w:rPr>
              <w:t>(d)</w:t>
            </w:r>
            <w:r>
              <w:rPr>
                <w:sz w:val="20"/>
              </w:rPr>
              <w:tab/>
              <w:t>releasing the person from arrest.</w:t>
            </w:r>
          </w:p>
          <w:p>
            <w:pPr>
              <w:pStyle w:val="yTable"/>
              <w:rPr>
                <w:sz w:val="20"/>
              </w:rPr>
            </w:pPr>
            <w:r>
              <w:rPr>
                <w:sz w:val="20"/>
              </w:rPr>
              <w:t>NOTE 2</w:t>
            </w:r>
          </w:p>
          <w:p>
            <w:pPr>
              <w:pStyle w:val="yTable"/>
              <w:spacing w:before="0"/>
              <w:rPr>
                <w:sz w:val="20"/>
              </w:rPr>
            </w:pPr>
            <w:r>
              <w:rPr>
                <w:sz w:val="20"/>
              </w:rPr>
              <w:t>This fee covers up to 2½ hours of a bailiff’s time.  If in any case the execution of the warrant exceeds 2½ hours, the Court may grant the bailiff an additional allowance.</w:t>
            </w:r>
          </w:p>
        </w:tc>
      </w:tr>
      <w:tr>
        <w:trPr>
          <w:cantSplit/>
        </w:trPr>
        <w:tc>
          <w:tcPr>
            <w:tcW w:w="504" w:type="dxa"/>
            <w:tcBorders>
              <w:bottom w:val="single" w:sz="4" w:space="0" w:color="auto"/>
            </w:tcBorders>
          </w:tcPr>
          <w:p>
            <w:pPr>
              <w:pStyle w:val="yTable"/>
              <w:rPr>
                <w:sz w:val="20"/>
              </w:rPr>
            </w:pPr>
            <w:r>
              <w:rPr>
                <w:sz w:val="20"/>
              </w:rPr>
              <w:t>3.</w:t>
            </w:r>
          </w:p>
        </w:tc>
        <w:tc>
          <w:tcPr>
            <w:tcW w:w="5784" w:type="dxa"/>
            <w:gridSpan w:val="4"/>
            <w:tcBorders>
              <w:bottom w:val="single" w:sz="4" w:space="0" w:color="auto"/>
            </w:tcBorders>
          </w:tcPr>
          <w:p>
            <w:pPr>
              <w:pStyle w:val="yTable"/>
              <w:ind w:right="-29"/>
              <w:rPr>
                <w:sz w:val="20"/>
              </w:rPr>
            </w:pPr>
            <w:r>
              <w:rPr>
                <w:sz w:val="20"/>
              </w:rPr>
              <w:t>For an application for an extraordinary drivers licence ……………....</w:t>
            </w:r>
          </w:p>
        </w:tc>
        <w:tc>
          <w:tcPr>
            <w:tcW w:w="786" w:type="dxa"/>
            <w:gridSpan w:val="2"/>
            <w:tcBorders>
              <w:bottom w:val="single" w:sz="4" w:space="0" w:color="auto"/>
            </w:tcBorders>
          </w:tcPr>
          <w:p>
            <w:pPr>
              <w:pStyle w:val="yTable"/>
              <w:jc w:val="center"/>
              <w:rPr>
                <w:sz w:val="20"/>
              </w:rPr>
            </w:pPr>
            <w:r>
              <w:rPr>
                <w:sz w:val="20"/>
              </w:rPr>
              <w:t>161.00</w:t>
            </w:r>
          </w:p>
        </w:tc>
      </w:tr>
    </w:tbl>
    <w:p>
      <w:pPr>
        <w:pStyle w:val="yFootnotesection"/>
      </w:pPr>
      <w:bookmarkStart w:id="90" w:name="_Toc96756239"/>
      <w:bookmarkStart w:id="91" w:name="_Toc100634725"/>
      <w:r>
        <w:tab/>
        <w:t>[Division 2 amended in Gazette 30 Aug 2005 p. 4054.]</w:t>
      </w:r>
    </w:p>
    <w:p>
      <w:pPr>
        <w:pStyle w:val="yHeading3"/>
        <w:spacing w:after="240"/>
      </w:pPr>
      <w:bookmarkStart w:id="92" w:name="_Toc113162204"/>
      <w:r>
        <w:rPr>
          <w:rStyle w:val="CharSDivNo"/>
        </w:rPr>
        <w:t>Division 3</w:t>
      </w:r>
      <w:r>
        <w:rPr>
          <w:b w:val="0"/>
        </w:rPr>
        <w:t> — </w:t>
      </w:r>
      <w:r>
        <w:rPr>
          <w:rStyle w:val="CharSDivText"/>
        </w:rPr>
        <w:t>Criminal jurisdiction</w:t>
      </w:r>
      <w:bookmarkEnd w:id="90"/>
      <w:bookmarkEnd w:id="91"/>
      <w:bookmarkEnd w:id="92"/>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53.00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10.00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53.00</w:t>
            </w:r>
          </w:p>
          <w:p>
            <w:pPr>
              <w:pStyle w:val="yTable"/>
              <w:jc w:val="center"/>
              <w:rPr>
                <w:sz w:val="20"/>
              </w:rPr>
            </w:pPr>
            <w:r>
              <w:rPr>
                <w:sz w:val="20"/>
              </w:rPr>
              <w:t>69.00</w:t>
            </w:r>
          </w:p>
        </w:tc>
      </w:tr>
    </w:tbl>
    <w:p>
      <w:pPr>
        <w:pStyle w:val="yScheduleHeading"/>
        <w:rPr>
          <w:rStyle w:val="CharSchNo"/>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93" w:name="_Toc100634726"/>
    </w:p>
    <w:p>
      <w:pPr>
        <w:pStyle w:val="yScheduleHeading"/>
      </w:pPr>
      <w:bookmarkStart w:id="94" w:name="_Toc113162205"/>
      <w:r>
        <w:rPr>
          <w:rStyle w:val="CharSchNo"/>
        </w:rPr>
        <w:t>Schedule 2</w:t>
      </w:r>
      <w:r>
        <w:rPr>
          <w:rStyle w:val="CharSDivNo"/>
        </w:rPr>
        <w:t> </w:t>
      </w:r>
      <w:r>
        <w:t>—</w:t>
      </w:r>
      <w:r>
        <w:rPr>
          <w:rStyle w:val="CharSDivText"/>
        </w:rPr>
        <w:t> </w:t>
      </w:r>
      <w:r>
        <w:rPr>
          <w:rStyle w:val="CharSchText"/>
        </w:rPr>
        <w:t>Forms</w:t>
      </w:r>
      <w:bookmarkEnd w:id="93"/>
      <w:bookmarkEnd w:id="94"/>
    </w:p>
    <w:p>
      <w:pPr>
        <w:pStyle w:val="yShoulderClause"/>
      </w:pPr>
      <w:r>
        <w:t>[r. 8(6), 10(2)]</w:t>
      </w:r>
    </w:p>
    <w:p>
      <w:pPr>
        <w:pStyle w:val="yHeading5"/>
        <w:spacing w:after="120"/>
      </w:pPr>
      <w:bookmarkStart w:id="95" w:name="_Toc96398511"/>
      <w:bookmarkStart w:id="96" w:name="_Toc100634727"/>
      <w:bookmarkStart w:id="97" w:name="_Toc113162206"/>
      <w:r>
        <w:rPr>
          <w:rStyle w:val="CharSClsNo"/>
        </w:rPr>
        <w:t>1</w:t>
      </w:r>
      <w:r>
        <w:t>.</w:t>
      </w:r>
      <w:r>
        <w:tab/>
        <w:t>Application to remit fees</w:t>
      </w:r>
      <w:bookmarkEnd w:id="95"/>
      <w:bookmarkEnd w:id="96"/>
      <w:bookmarkEnd w:id="9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 . Their business address is ...................................................................... .</w:t>
            </w:r>
          </w:p>
        </w:tc>
      </w:tr>
      <w:tr>
        <w:trPr>
          <w:cantSplit/>
          <w:trHeight w:val="429"/>
        </w:trPr>
        <w:tc>
          <w:tcPr>
            <w:tcW w:w="6804" w:type="dxa"/>
            <w:gridSpan w:val="7"/>
          </w:tcPr>
          <w:p>
            <w:pPr>
              <w:pStyle w:val="yTable"/>
            </w:pPr>
            <w:r>
              <w:t>I am unemployed/ a pensioner* and registered with the Department of Social Security at .....................................................................................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98" w:name="_Toc97609776"/>
      <w:bookmarkStart w:id="99" w:name="_Toc100634728"/>
      <w:bookmarkStart w:id="100" w:name="_Toc113162207"/>
      <w:r>
        <w:rPr>
          <w:rStyle w:val="CharSClsNo"/>
        </w:rPr>
        <w:t>2</w:t>
      </w:r>
      <w:r>
        <w:t>.</w:t>
      </w:r>
      <w:r>
        <w:tab/>
        <w:t>Application for determination of dispute about fees</w:t>
      </w:r>
      <w:bookmarkEnd w:id="98"/>
      <w:bookmarkEnd w:id="99"/>
      <w:bookmarkEnd w:id="10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 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01" w:name="_Toc102453637"/>
      <w:bookmarkStart w:id="102" w:name="_Toc102453907"/>
      <w:bookmarkStart w:id="103" w:name="_Toc113162208"/>
      <w:r>
        <w:t>Notes</w:t>
      </w:r>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rPr>
        <w:t>Children’s Court (Fees) Regulations 2005</w:t>
      </w:r>
      <w:r>
        <w:t xml:space="preserve"> and includes the amendments made by the other written laws referred to in the following table</w:t>
      </w:r>
      <w:r>
        <w:rPr>
          <w:snapToGrid w:val="0"/>
        </w:rPr>
        <w:t>.</w:t>
      </w:r>
    </w:p>
    <w:p>
      <w:pPr>
        <w:pStyle w:val="nHeading3"/>
      </w:pPr>
      <w:bookmarkStart w:id="104" w:name="_Toc70311430"/>
      <w:bookmarkStart w:id="105" w:name="_Toc113162209"/>
      <w: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Children’s Court (Fees) Regulations 2005</w:t>
            </w:r>
          </w:p>
        </w:tc>
        <w:tc>
          <w:tcPr>
            <w:tcW w:w="1276" w:type="dxa"/>
            <w:tcBorders>
              <w:top w:val="single" w:sz="8" w:space="0" w:color="auto"/>
            </w:tcBorders>
          </w:tcPr>
          <w:p>
            <w:pPr>
              <w:pStyle w:val="nTable"/>
              <w:rPr>
                <w:sz w:val="19"/>
              </w:rPr>
            </w:pPr>
            <w:r>
              <w:rPr>
                <w:sz w:val="19"/>
              </w:rPr>
              <w:t>28 Apr 2005 p. 1415-33</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7128)</w:t>
            </w:r>
          </w:p>
        </w:tc>
      </w:tr>
      <w:tr>
        <w:tc>
          <w:tcPr>
            <w:tcW w:w="3118" w:type="dxa"/>
            <w:tcBorders>
              <w:bottom w:val="single" w:sz="4" w:space="0" w:color="auto"/>
            </w:tcBorders>
          </w:tcPr>
          <w:p>
            <w:pPr>
              <w:pStyle w:val="nTable"/>
              <w:rPr>
                <w:i/>
                <w:sz w:val="19"/>
              </w:rPr>
            </w:pPr>
            <w:r>
              <w:rPr>
                <w:i/>
                <w:sz w:val="19"/>
              </w:rPr>
              <w:t>Children’s Court (Fees) Amendment Regulations 2005</w:t>
            </w:r>
          </w:p>
        </w:tc>
        <w:tc>
          <w:tcPr>
            <w:tcW w:w="1276" w:type="dxa"/>
            <w:tcBorders>
              <w:bottom w:val="single" w:sz="4" w:space="0" w:color="auto"/>
            </w:tcBorders>
          </w:tcPr>
          <w:p>
            <w:pPr>
              <w:pStyle w:val="nTable"/>
              <w:rPr>
                <w:sz w:val="19"/>
              </w:rPr>
            </w:pPr>
            <w:r>
              <w:rPr>
                <w:sz w:val="19"/>
              </w:rPr>
              <w:t>30 Aug 2005 p. 4054</w:t>
            </w:r>
          </w:p>
        </w:tc>
        <w:tc>
          <w:tcPr>
            <w:tcW w:w="2693" w:type="dxa"/>
            <w:tcBorders>
              <w:bottom w:val="single" w:sz="4" w:space="0" w:color="auto"/>
            </w:tcBorders>
          </w:tcPr>
          <w:p>
            <w:pPr>
              <w:pStyle w:val="nTable"/>
              <w:rPr>
                <w:sz w:val="19"/>
              </w:rPr>
            </w:pPr>
            <w:r>
              <w:rPr>
                <w:sz w:val="19"/>
              </w:rPr>
              <w:t>30 Aug 2005</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Criminal jurisdiction</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8610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7236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DCAA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1E7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62F8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C00D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6A4FD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5AA2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8581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4AEC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FD41A7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2326B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B526D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3222</Words>
  <Characters>17404</Characters>
  <Application>Microsoft Office Word</Application>
  <DocSecurity>0</DocSecurity>
  <Lines>756</Lines>
  <Paragraphs>468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Schedule 1 — Fees</vt:lpstr>
      <vt:lpstr>        Division 1 — General</vt:lpstr>
      <vt:lpstr>        Division 2 — Civil jurisdiction</vt:lpstr>
      <vt:lpstr>        Division 3 — Criminal jurisdiction</vt:lpstr>
      <vt:lpstr>    </vt:lpstr>
      <vt:lpstr>    Schedule 2 — Forms</vt:lpstr>
      <vt:lpstr>    Notes</vt:lpstr>
    </vt:vector>
  </TitlesOfParts>
  <Manager/>
  <Company/>
  <LinksUpToDate>false</LinksUpToDate>
  <CharactersWithSpaces>20158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2005 - 00-b0-02</dc:title>
  <dc:subject/>
  <dc:creator/>
  <cp:keywords/>
  <dc:description/>
  <cp:lastModifiedBy>svcMRProcess</cp:lastModifiedBy>
  <cp:revision>4</cp:revision>
  <cp:lastPrinted>2005-04-07T02:11:00Z</cp:lastPrinted>
  <dcterms:created xsi:type="dcterms:W3CDTF">2018-09-10T05:39:00Z</dcterms:created>
  <dcterms:modified xsi:type="dcterms:W3CDTF">2018-09-10T05:39:00Z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20050830</vt:lpwstr>
  </property>
  <property fmtid="{D5CDD505-2E9C-101B-9397-08002B2CF9AE}" pid="4" name="DocumentType">
    <vt:lpwstr>Reg</vt:lpwstr>
  </property>
  <property fmtid="{D5CDD505-2E9C-101B-9397-08002B2CF9AE}" pid="5" name="OwlsUID">
    <vt:i4>34705</vt:i4>
  </property>
  <property fmtid="{D5CDD505-2E9C-101B-9397-08002B2CF9AE}" pid="6" name="AsAtDate">
    <vt:lpwstr>30 Aug 2005</vt:lpwstr>
  </property>
  <property fmtid="{D5CDD505-2E9C-101B-9397-08002B2CF9AE}" pid="7" name="Suffix">
    <vt:lpwstr>00-b0-02</vt:lpwstr>
  </property>
</Properties>
</file>