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Chattel Securities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_Toc535589436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_Toc535589437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_Toc535589438 \h </w:instrText>
      </w:r>
      <w:r>
        <w:fldChar w:fldCharType="separate"/>
      </w:r>
      <w:r>
        <w:t>2</w:t>
      </w:r>
      <w:r>
        <w:fldChar w:fldCharType="end"/>
      </w:r>
    </w:p>
    <w:p>
      <w:pPr>
        <w:pStyle w:val="TOC8"/>
        <w:rPr>
          <w:rFonts w:asciiTheme="minorHAnsi" w:eastAsiaTheme="minorEastAsia" w:hAnsiTheme="minorHAnsi" w:cstheme="minorBidi"/>
          <w:szCs w:val="22"/>
        </w:rPr>
      </w:pPr>
      <w:r>
        <w:t>3A.</w:t>
      </w:r>
      <w:r>
        <w:tab/>
        <w:t>Commissioner</w:t>
      </w:r>
      <w:r>
        <w:tab/>
      </w:r>
      <w:r>
        <w:fldChar w:fldCharType="begin"/>
      </w:r>
      <w:r>
        <w:instrText xml:space="preserve"> PAGEREF _Toc535589439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IIA — Act ceases to have effect except as otherwise provided</w:t>
      </w:r>
    </w:p>
    <w:p>
      <w:pPr>
        <w:pStyle w:val="TOC8"/>
        <w:rPr>
          <w:rFonts w:asciiTheme="minorHAnsi" w:eastAsiaTheme="minorEastAsia" w:hAnsiTheme="minorHAnsi" w:cstheme="minorBidi"/>
          <w:szCs w:val="22"/>
        </w:rPr>
      </w:pPr>
      <w:r>
        <w:t>3B.</w:t>
      </w:r>
      <w:r>
        <w:tab/>
        <w:t>Terms used</w:t>
      </w:r>
      <w:r>
        <w:tab/>
      </w:r>
      <w:r>
        <w:fldChar w:fldCharType="begin"/>
      </w:r>
      <w:r>
        <w:instrText xml:space="preserve"> PAGEREF _Toc535589441 \h </w:instrText>
      </w:r>
      <w:r>
        <w:fldChar w:fldCharType="separate"/>
      </w:r>
      <w:r>
        <w:t>7</w:t>
      </w:r>
      <w:r>
        <w:fldChar w:fldCharType="end"/>
      </w:r>
    </w:p>
    <w:p>
      <w:pPr>
        <w:pStyle w:val="TOC8"/>
        <w:rPr>
          <w:rFonts w:asciiTheme="minorHAnsi" w:eastAsiaTheme="minorEastAsia" w:hAnsiTheme="minorHAnsi" w:cstheme="minorBidi"/>
          <w:szCs w:val="22"/>
        </w:rPr>
      </w:pPr>
      <w:r>
        <w:t>3C.</w:t>
      </w:r>
      <w:r>
        <w:tab/>
        <w:t>Effect of Act at and after registration commencement time</w:t>
      </w:r>
      <w:r>
        <w:tab/>
      </w:r>
      <w:r>
        <w:fldChar w:fldCharType="begin"/>
      </w:r>
      <w:r>
        <w:instrText xml:space="preserve"> PAGEREF _Toc535589442 \h </w:instrText>
      </w:r>
      <w:r>
        <w:fldChar w:fldCharType="separate"/>
      </w:r>
      <w:r>
        <w:t>7</w:t>
      </w:r>
      <w:r>
        <w:fldChar w:fldCharType="end"/>
      </w:r>
    </w:p>
    <w:p>
      <w:pPr>
        <w:pStyle w:val="TOC8"/>
        <w:rPr>
          <w:rFonts w:asciiTheme="minorHAnsi" w:eastAsiaTheme="minorEastAsia" w:hAnsiTheme="minorHAnsi" w:cstheme="minorBidi"/>
          <w:szCs w:val="22"/>
        </w:rPr>
      </w:pPr>
      <w:r>
        <w:t>3D.</w:t>
      </w:r>
      <w:r>
        <w:tab/>
        <w:t>Refusal to exercise registration functions</w:t>
      </w:r>
      <w:r>
        <w:tab/>
      </w:r>
      <w:r>
        <w:fldChar w:fldCharType="begin"/>
      </w:r>
      <w:r>
        <w:instrText xml:space="preserve"> PAGEREF _Toc535589443 \h </w:instrText>
      </w:r>
      <w:r>
        <w:fldChar w:fldCharType="separate"/>
      </w:r>
      <w:r>
        <w:t>8</w:t>
      </w:r>
      <w:r>
        <w:fldChar w:fldCharType="end"/>
      </w:r>
    </w:p>
    <w:p>
      <w:pPr>
        <w:pStyle w:val="TOC8"/>
        <w:rPr>
          <w:rFonts w:asciiTheme="minorHAnsi" w:eastAsiaTheme="minorEastAsia" w:hAnsiTheme="minorHAnsi" w:cstheme="minorBidi"/>
          <w:szCs w:val="22"/>
        </w:rPr>
      </w:pPr>
      <w:r>
        <w:t>3E.</w:t>
      </w:r>
      <w:r>
        <w:tab/>
        <w:t>Show cause proceedings under s. 22</w:t>
      </w:r>
      <w:r>
        <w:tab/>
      </w:r>
      <w:r>
        <w:fldChar w:fldCharType="begin"/>
      </w:r>
      <w:r>
        <w:instrText xml:space="preserve"> PAGEREF _Toc535589444 \h </w:instrText>
      </w:r>
      <w:r>
        <w:fldChar w:fldCharType="separate"/>
      </w:r>
      <w:r>
        <w:t>8</w:t>
      </w:r>
      <w:r>
        <w:fldChar w:fldCharType="end"/>
      </w:r>
    </w:p>
    <w:p>
      <w:pPr>
        <w:pStyle w:val="TOC8"/>
        <w:rPr>
          <w:rFonts w:asciiTheme="minorHAnsi" w:eastAsiaTheme="minorEastAsia" w:hAnsiTheme="minorHAnsi" w:cstheme="minorBidi"/>
          <w:szCs w:val="22"/>
        </w:rPr>
      </w:pPr>
      <w:r>
        <w:t>3F.</w:t>
      </w:r>
      <w:r>
        <w:tab/>
        <w:t>Details of entry</w:t>
      </w:r>
      <w:r>
        <w:tab/>
      </w:r>
      <w:r>
        <w:fldChar w:fldCharType="begin"/>
      </w:r>
      <w:r>
        <w:instrText xml:space="preserve"> PAGEREF _Toc535589445 \h </w:instrText>
      </w:r>
      <w:r>
        <w:fldChar w:fldCharType="separate"/>
      </w:r>
      <w:r>
        <w:t>9</w:t>
      </w:r>
      <w:r>
        <w:fldChar w:fldCharType="end"/>
      </w:r>
    </w:p>
    <w:p>
      <w:pPr>
        <w:pStyle w:val="TOC8"/>
        <w:rPr>
          <w:rFonts w:asciiTheme="minorHAnsi" w:eastAsiaTheme="minorEastAsia" w:hAnsiTheme="minorHAnsi" w:cstheme="minorBidi"/>
          <w:szCs w:val="22"/>
        </w:rPr>
      </w:pPr>
      <w:r>
        <w:t>3G.</w:t>
      </w:r>
      <w:r>
        <w:tab/>
        <w:t>Act to expire</w:t>
      </w:r>
      <w:r>
        <w:tab/>
      </w:r>
      <w:r>
        <w:fldChar w:fldCharType="begin"/>
      </w:r>
      <w:r>
        <w:instrText xml:space="preserve"> PAGEREF _Toc535589446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Security interests</w:t>
      </w:r>
    </w:p>
    <w:p>
      <w:pPr>
        <w:pStyle w:val="TOC8"/>
        <w:rPr>
          <w:rFonts w:asciiTheme="minorHAnsi" w:eastAsiaTheme="minorEastAsia" w:hAnsiTheme="minorHAnsi" w:cstheme="minorBidi"/>
          <w:szCs w:val="22"/>
        </w:rPr>
      </w:pPr>
      <w:r>
        <w:t>4</w:t>
      </w:r>
      <w:r>
        <w:rPr>
          <w:snapToGrid w:val="0"/>
        </w:rPr>
        <w:t>.</w:t>
      </w:r>
      <w:r>
        <w:rPr>
          <w:snapToGrid w:val="0"/>
        </w:rPr>
        <w:tab/>
        <w:t>Application of Part</w:t>
      </w:r>
      <w:r>
        <w:tab/>
      </w:r>
      <w:r>
        <w:fldChar w:fldCharType="begin"/>
      </w:r>
      <w:r>
        <w:instrText xml:space="preserve"> PAGEREF _Toc535589448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Agreement that security interest is legal interest</w:t>
      </w:r>
      <w:r>
        <w:tab/>
      </w:r>
      <w:r>
        <w:fldChar w:fldCharType="begin"/>
      </w:r>
      <w:r>
        <w:instrText xml:space="preserve"> PAGEREF _Toc535589449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Fixtures</w:t>
      </w:r>
      <w:r>
        <w:tab/>
      </w:r>
      <w:r>
        <w:fldChar w:fldCharType="begin"/>
      </w:r>
      <w:r>
        <w:instrText xml:space="preserve"> PAGEREF _Toc535589450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Extinguishing of security interest</w:t>
      </w:r>
      <w:r>
        <w:tab/>
      </w:r>
      <w:r>
        <w:fldChar w:fldCharType="begin"/>
      </w:r>
      <w:r>
        <w:instrText xml:space="preserve"> PAGEREF _Toc535589451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Purchase for value in good faith</w:t>
      </w:r>
      <w:r>
        <w:tab/>
      </w:r>
      <w:r>
        <w:fldChar w:fldCharType="begin"/>
      </w:r>
      <w:r>
        <w:instrText xml:space="preserve"> PAGEREF _Toc535589452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Extinguishing of subsequent security interests</w:t>
      </w:r>
      <w:r>
        <w:tab/>
      </w:r>
      <w:r>
        <w:fldChar w:fldCharType="begin"/>
      </w:r>
      <w:r>
        <w:instrText xml:space="preserve"> PAGEREF _Toc535589453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Priority of security interests</w:t>
      </w:r>
      <w:r>
        <w:tab/>
      </w:r>
      <w:r>
        <w:fldChar w:fldCharType="begin"/>
      </w:r>
      <w:r>
        <w:instrText xml:space="preserve"> PAGEREF _Toc535589454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Extinguishing etc. of security interest under corresponding law</w:t>
      </w:r>
      <w:r>
        <w:tab/>
      </w:r>
      <w:r>
        <w:fldChar w:fldCharType="begin"/>
      </w:r>
      <w:r>
        <w:instrText xml:space="preserve"> PAGEREF _Toc535589455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_Toc535589456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Registrable goods</w:t>
      </w:r>
    </w:p>
    <w:p>
      <w:pPr>
        <w:pStyle w:val="TOC8"/>
        <w:rPr>
          <w:rFonts w:asciiTheme="minorHAnsi" w:eastAsiaTheme="minorEastAsia" w:hAnsiTheme="minorHAnsi" w:cstheme="minorBidi"/>
          <w:szCs w:val="22"/>
        </w:rPr>
      </w:pPr>
      <w:r>
        <w:t>13</w:t>
      </w:r>
      <w:r>
        <w:rPr>
          <w:snapToGrid w:val="0"/>
        </w:rPr>
        <w:t>.</w:t>
      </w:r>
      <w:r>
        <w:rPr>
          <w:snapToGrid w:val="0"/>
        </w:rPr>
        <w:tab/>
        <w:t>Application of Part</w:t>
      </w:r>
      <w:r>
        <w:tab/>
      </w:r>
      <w:r>
        <w:fldChar w:fldCharType="begin"/>
      </w:r>
      <w:r>
        <w:instrText xml:space="preserve"> PAGEREF _Toc535589458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_Toc535589459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of security interest</w:t>
      </w:r>
      <w:r>
        <w:tab/>
      </w:r>
      <w:r>
        <w:fldChar w:fldCharType="begin"/>
      </w:r>
      <w:r>
        <w:instrText xml:space="preserve"> PAGEREF _Toc535589460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Offence</w:t>
      </w:r>
      <w:r>
        <w:tab/>
      </w:r>
      <w:r>
        <w:fldChar w:fldCharType="begin"/>
      </w:r>
      <w:r>
        <w:instrText xml:space="preserve"> PAGEREF _Toc535589461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registration</w:t>
      </w:r>
      <w:r>
        <w:tab/>
      </w:r>
      <w:r>
        <w:fldChar w:fldCharType="begin"/>
      </w:r>
      <w:r>
        <w:instrText xml:space="preserve"> PAGEREF _Toc535589462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Discharge of registered security interest</w:t>
      </w:r>
      <w:r>
        <w:tab/>
      </w:r>
      <w:r>
        <w:fldChar w:fldCharType="begin"/>
      </w:r>
      <w:r>
        <w:instrText xml:space="preserve"> PAGEREF _Toc535589463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to cancel registration</w:t>
      </w:r>
      <w:r>
        <w:tab/>
      </w:r>
      <w:r>
        <w:fldChar w:fldCharType="begin"/>
      </w:r>
      <w:r>
        <w:instrText xml:space="preserve"> PAGEREF _Toc535589464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Change in particulars</w:t>
      </w:r>
      <w:r>
        <w:tab/>
      </w:r>
      <w:r>
        <w:fldChar w:fldCharType="begin"/>
      </w:r>
      <w:r>
        <w:instrText xml:space="preserve"> PAGEREF _Toc535589465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Variation of particulars</w:t>
      </w:r>
      <w:r>
        <w:tab/>
      </w:r>
      <w:r>
        <w:fldChar w:fldCharType="begin"/>
      </w:r>
      <w:r>
        <w:instrText xml:space="preserve"> PAGEREF _Toc535589466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Commissioner may cancel registration</w:t>
      </w:r>
      <w:r>
        <w:tab/>
      </w:r>
      <w:r>
        <w:fldChar w:fldCharType="begin"/>
      </w:r>
      <w:r>
        <w:instrText xml:space="preserve"> PAGEREF _Toc535589467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Details of entries</w:t>
      </w:r>
      <w:r>
        <w:tab/>
      </w:r>
      <w:r>
        <w:fldChar w:fldCharType="begin"/>
      </w:r>
      <w:r>
        <w:instrText xml:space="preserve"> PAGEREF _Toc535589468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Compensation for extinguishment of security interest</w:t>
      </w:r>
      <w:r>
        <w:tab/>
      </w:r>
      <w:r>
        <w:fldChar w:fldCharType="begin"/>
      </w:r>
      <w:r>
        <w:instrText xml:space="preserve"> PAGEREF _Toc535589469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Compensation where entry not shown on certificate</w:t>
      </w:r>
      <w:r>
        <w:tab/>
      </w:r>
      <w:r>
        <w:fldChar w:fldCharType="begin"/>
      </w:r>
      <w:r>
        <w:instrText xml:space="preserve"> PAGEREF _Toc535589470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by State Administrative Tribunal</w:t>
      </w:r>
      <w:r>
        <w:tab/>
      </w:r>
      <w:r>
        <w:fldChar w:fldCharType="begin"/>
      </w:r>
      <w:r>
        <w:instrText xml:space="preserve"> PAGEREF _Toc535589471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29</w:t>
      </w:r>
      <w:r>
        <w:rPr>
          <w:snapToGrid w:val="0"/>
        </w:rPr>
        <w:t>.</w:t>
      </w:r>
      <w:r>
        <w:rPr>
          <w:snapToGrid w:val="0"/>
        </w:rPr>
        <w:tab/>
        <w:t>Appropriation</w:t>
      </w:r>
      <w:r>
        <w:tab/>
      </w:r>
      <w:r>
        <w:fldChar w:fldCharType="begin"/>
      </w:r>
      <w:r>
        <w:instrText xml:space="preserve"> PAGEREF _Toc535589473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w:t>
      </w:r>
      <w:r>
        <w:tab/>
      </w:r>
      <w:r>
        <w:fldChar w:fldCharType="begin"/>
      </w:r>
      <w:r>
        <w:instrText xml:space="preserve"> PAGEREF _Toc535589474 \h </w:instrText>
      </w:r>
      <w:r>
        <w:fldChar w:fldCharType="separate"/>
      </w:r>
      <w:r>
        <w:t>26</w:t>
      </w:r>
      <w:r>
        <w:fldChar w:fldCharType="end"/>
      </w:r>
    </w:p>
    <w:p>
      <w:pPr>
        <w:pStyle w:val="TOC8"/>
        <w:rPr>
          <w:rFonts w:asciiTheme="minorHAnsi" w:eastAsiaTheme="minorEastAsia" w:hAnsiTheme="minorHAnsi" w:cstheme="minorBidi"/>
          <w:szCs w:val="22"/>
        </w:rPr>
      </w:pPr>
      <w:r>
        <w:t>30A.</w:t>
      </w:r>
      <w:r>
        <w:tab/>
        <w:t>Delegation by Commissioner</w:t>
      </w:r>
      <w:r>
        <w:tab/>
      </w:r>
      <w:r>
        <w:fldChar w:fldCharType="begin"/>
      </w:r>
      <w:r>
        <w:instrText xml:space="preserve"> PAGEREF _Toc535589475 \h </w:instrText>
      </w:r>
      <w:r>
        <w:fldChar w:fldCharType="separate"/>
      </w:r>
      <w:r>
        <w:t>27</w:t>
      </w:r>
      <w:r>
        <w:fldChar w:fldCharType="end"/>
      </w:r>
    </w:p>
    <w:p>
      <w:pPr>
        <w:pStyle w:val="TOC8"/>
        <w:rPr>
          <w:rFonts w:asciiTheme="minorHAnsi" w:eastAsiaTheme="minorEastAsia" w:hAnsiTheme="minorHAnsi" w:cstheme="minorBidi"/>
          <w:szCs w:val="22"/>
        </w:rPr>
      </w:pPr>
      <w:r>
        <w:t>30B.</w:t>
      </w:r>
      <w:r>
        <w:tab/>
        <w:t>Information officially obtained to be confidential</w:t>
      </w:r>
      <w:r>
        <w:tab/>
      </w:r>
      <w:r>
        <w:fldChar w:fldCharType="begin"/>
      </w:r>
      <w:r>
        <w:instrText xml:space="preserve"> PAGEREF _Toc535589476 \h </w:instrText>
      </w:r>
      <w:r>
        <w:fldChar w:fldCharType="separate"/>
      </w:r>
      <w:r>
        <w:t>27</w:t>
      </w:r>
      <w:r>
        <w:fldChar w:fldCharType="end"/>
      </w:r>
    </w:p>
    <w:p>
      <w:pPr>
        <w:pStyle w:val="TOC8"/>
        <w:rPr>
          <w:rFonts w:asciiTheme="minorHAnsi" w:eastAsiaTheme="minorEastAsia" w:hAnsiTheme="minorHAnsi" w:cstheme="minorBidi"/>
          <w:szCs w:val="22"/>
        </w:rPr>
      </w:pPr>
      <w:r>
        <w:t>30C.</w:t>
      </w:r>
      <w:r>
        <w:tab/>
        <w:t>Protection from liability for wrongdoing</w:t>
      </w:r>
      <w:r>
        <w:tab/>
      </w:r>
      <w:r>
        <w:fldChar w:fldCharType="begin"/>
      </w:r>
      <w:r>
        <w:instrText xml:space="preserve"> PAGEREF _Toc535589477 \h </w:instrText>
      </w:r>
      <w:r>
        <w:fldChar w:fldCharType="separate"/>
      </w:r>
      <w:r>
        <w:t>28</w:t>
      </w:r>
      <w:r>
        <w:fldChar w:fldCharType="end"/>
      </w:r>
    </w:p>
    <w:p>
      <w:pPr>
        <w:pStyle w:val="TOC8"/>
        <w:rPr>
          <w:rFonts w:asciiTheme="minorHAnsi" w:eastAsiaTheme="minorEastAsia" w:hAnsiTheme="minorHAnsi" w:cstheme="minorBidi"/>
          <w:szCs w:val="22"/>
        </w:rPr>
      </w:pPr>
      <w:r>
        <w:t>30D.</w:t>
      </w:r>
      <w:r>
        <w:tab/>
        <w:t>Powers of investigation</w:t>
      </w:r>
      <w:r>
        <w:tab/>
      </w:r>
      <w:r>
        <w:fldChar w:fldCharType="begin"/>
      </w:r>
      <w:r>
        <w:instrText xml:space="preserve"> PAGEREF _Toc535589478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_Toc535589479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_Toc535589481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3" w:name="_Toc377131262"/>
      <w:bookmarkStart w:id="4" w:name="_Toc415234373"/>
      <w:bookmarkStart w:id="5" w:name="_Toc415234421"/>
      <w:bookmarkStart w:id="6" w:name="_Toc53558943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131263"/>
      <w:bookmarkStart w:id="8" w:name="_Toc53558943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9" w:name="_Toc377131264"/>
      <w:bookmarkStart w:id="10" w:name="_Toc53558943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11" w:name="_Toc377131265"/>
      <w:bookmarkStart w:id="12" w:name="_Toc535589438"/>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 and</w:t>
      </w:r>
    </w:p>
    <w:p>
      <w:pPr>
        <w:pStyle w:val="Defpara"/>
      </w:pPr>
      <w:r>
        <w:tab/>
        <w:t>(b)</w:t>
      </w:r>
      <w:r>
        <w:tab/>
        <w:t xml:space="preserve">ships registered in an official register kept under a law in force in </w:t>
      </w:r>
      <w:smartTag w:uri="urn:schemas-microsoft-com:office:smarttags" w:element="place">
        <w:smartTag w:uri="urn:schemas-microsoft-com:office:smarttags" w:element="State">
          <w:r>
            <w:t>Western Australia</w:t>
          </w:r>
        </w:smartTag>
      </w:smartTag>
      <w:r>
        <w:t xml:space="preserve"> relating to title to ships; and</w:t>
      </w:r>
    </w:p>
    <w:p>
      <w:pPr>
        <w:pStyle w:val="Defpara"/>
      </w:pPr>
      <w:r>
        <w:tab/>
        <w:t>(c)</w:t>
      </w:r>
      <w:r>
        <w:tab/>
        <w:t>aircraft; and</w:t>
      </w:r>
    </w:p>
    <w:p>
      <w:pPr>
        <w:pStyle w:val="Defpara"/>
      </w:pPr>
      <w:r>
        <w:tab/>
        <w:t>(d)</w:t>
      </w:r>
      <w:r>
        <w:tab/>
        <w:t>livestock, unshorn wool and growing crops; and</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as defined in the </w:t>
      </w:r>
      <w:r>
        <w:rPr>
          <w:i/>
          <w:iCs/>
        </w:rPr>
        <w:t>Road Traffic (Administration) Act 2008</w:t>
      </w:r>
      <w:r>
        <w:t xml:space="preserve"> section 4 of which the lessor is, or is applying to be, a licence holder as defined in section 6(1) of that Act; or</w:t>
      </w:r>
    </w:p>
    <w:p>
      <w:pPr>
        <w:pStyle w:val="Defpara"/>
      </w:pPr>
      <w:r>
        <w:tab/>
        <w:t>(c)</w:t>
      </w:r>
      <w:r>
        <w:tab/>
        <w:t xml:space="preserve">a contract for the hiring of or for the grant of a licence to use goods, not being a vehicle as defined in the </w:t>
      </w:r>
      <w:r>
        <w:rPr>
          <w:i/>
          <w:iCs/>
        </w:rPr>
        <w:t>Road Traffic (Administration) Act 2008</w:t>
      </w:r>
      <w:r>
        <w:t xml:space="preserve"> section 4,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registered</w:t>
      </w:r>
      <w:r>
        <w:t xml:space="preserve"> means registered under Part III;</w:t>
      </w:r>
    </w:p>
    <w:p>
      <w:pPr>
        <w:pStyle w:val="Defstart"/>
      </w:pPr>
      <w:r>
        <w:tab/>
      </w:r>
      <w:r>
        <w:rPr>
          <w:rStyle w:val="CharDefText"/>
        </w:rPr>
        <w:t>registrable goods</w:t>
      </w:r>
      <w:r>
        <w:t xml:space="preserve"> means goods to which Part III applies;</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unregistered security interest</w:t>
      </w:r>
      <w:r>
        <w:t xml:space="preserve"> means a security interest which is not registered under Part III;</w:t>
      </w:r>
    </w:p>
    <w:p>
      <w:pPr>
        <w:pStyle w:val="Defstart"/>
      </w:pPr>
      <w:r>
        <w:tab/>
      </w:r>
      <w:r>
        <w:rPr>
          <w:rStyle w:val="CharDefText"/>
        </w:rPr>
        <w:t>unregistrable goods</w:t>
      </w:r>
      <w:r>
        <w:t xml:space="preserve"> means goods to which Part III does not apply.</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No. 28 of 2001 s. 26; No. 74 of 2003 s. 34; No. 55 of 2004 s. 104; No. 28 of 2006 s. 59; No. 8 of 2012 s. 49.]</w:t>
      </w:r>
    </w:p>
    <w:p>
      <w:pPr>
        <w:pStyle w:val="Heading5"/>
      </w:pPr>
      <w:bookmarkStart w:id="13" w:name="_Toc377131266"/>
      <w:bookmarkStart w:id="14" w:name="_Toc535589439"/>
      <w:r>
        <w:rPr>
          <w:rStyle w:val="CharSectno"/>
        </w:rPr>
        <w:t>3A</w:t>
      </w:r>
      <w:r>
        <w:t>.</w:t>
      </w:r>
      <w:r>
        <w:tab/>
        <w:t>Commissioner</w:t>
      </w:r>
      <w:bookmarkEnd w:id="13"/>
      <w:bookmarkEnd w:id="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keepNext/>
        <w:keepLines/>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No. 28 of 2006 s. 60.]</w:t>
      </w:r>
    </w:p>
    <w:p>
      <w:pPr>
        <w:pStyle w:val="Heading2"/>
      </w:pPr>
      <w:bookmarkStart w:id="15" w:name="_Toc377131267"/>
      <w:bookmarkStart w:id="16" w:name="_Toc415234378"/>
      <w:bookmarkStart w:id="17" w:name="_Toc415234426"/>
      <w:bookmarkStart w:id="18" w:name="_Toc535589440"/>
      <w:r>
        <w:rPr>
          <w:rStyle w:val="CharPartNo"/>
        </w:rPr>
        <w:t>Part IIA</w:t>
      </w:r>
      <w:r>
        <w:rPr>
          <w:rStyle w:val="CharDivNo"/>
        </w:rPr>
        <w:t> </w:t>
      </w:r>
      <w:r>
        <w:t>—</w:t>
      </w:r>
      <w:r>
        <w:rPr>
          <w:rStyle w:val="CharDivText"/>
        </w:rPr>
        <w:t> </w:t>
      </w:r>
      <w:r>
        <w:rPr>
          <w:rStyle w:val="CharPartText"/>
        </w:rPr>
        <w:t>Act ceases to have effect except as otherwise provided</w:t>
      </w:r>
      <w:bookmarkEnd w:id="15"/>
      <w:bookmarkEnd w:id="16"/>
      <w:bookmarkEnd w:id="17"/>
      <w:bookmarkEnd w:id="18"/>
    </w:p>
    <w:p>
      <w:pPr>
        <w:pStyle w:val="Footnoteheading"/>
      </w:pPr>
      <w:r>
        <w:tab/>
        <w:t>[Heading inserted: No. 42 of 2011 s. 34.]</w:t>
      </w:r>
    </w:p>
    <w:p>
      <w:pPr>
        <w:pStyle w:val="Heading5"/>
      </w:pPr>
      <w:bookmarkStart w:id="19" w:name="_Toc377131268"/>
      <w:bookmarkStart w:id="20" w:name="_Toc535589441"/>
      <w:r>
        <w:rPr>
          <w:rStyle w:val="CharSectno"/>
        </w:rPr>
        <w:t>3B</w:t>
      </w:r>
      <w:r>
        <w:t>.</w:t>
      </w:r>
      <w:r>
        <w:tab/>
        <w:t>Terms used</w:t>
      </w:r>
      <w:bookmarkEnd w:id="19"/>
      <w:bookmarkEnd w:id="20"/>
    </w:p>
    <w:p>
      <w:pPr>
        <w:pStyle w:val="Subsection"/>
      </w:pPr>
      <w:r>
        <w:tab/>
      </w:r>
      <w:r>
        <w:tab/>
        <w:t xml:space="preserve">In this Part — </w:t>
      </w:r>
    </w:p>
    <w:p>
      <w:pPr>
        <w:pStyle w:val="Defstart"/>
      </w:pPr>
      <w:r>
        <w:tab/>
      </w:r>
      <w:r>
        <w:rPr>
          <w:rStyle w:val="CharDefText"/>
        </w:rPr>
        <w:t>migration time</w:t>
      </w:r>
      <w:r>
        <w:t xml:space="preserve"> has the meaning given in the </w:t>
      </w:r>
      <w:r>
        <w:rPr>
          <w:i/>
          <w:iCs/>
        </w:rPr>
        <w:t xml:space="preserve">Personal Property Securities Act 2009 </w:t>
      </w:r>
      <w:r>
        <w:t>(Commonwealth) section 306(1);</w:t>
      </w:r>
    </w:p>
    <w:p>
      <w:pPr>
        <w:pStyle w:val="Defstart"/>
      </w:pPr>
      <w:r>
        <w:tab/>
      </w:r>
      <w:r>
        <w:rPr>
          <w:rStyle w:val="CharDefText"/>
        </w:rPr>
        <w:t>pre</w:t>
      </w:r>
      <w:r>
        <w:rPr>
          <w:rStyle w:val="CharDefText"/>
        </w:rPr>
        <w:noBreakHyphen/>
        <w:t>PPS transition period</w:t>
      </w:r>
      <w:r>
        <w:t xml:space="preserve"> means the period — </w:t>
      </w:r>
    </w:p>
    <w:p>
      <w:pPr>
        <w:pStyle w:val="Defpara"/>
      </w:pPr>
      <w:r>
        <w:tab/>
        <w:t>(a)</w:t>
      </w:r>
      <w:r>
        <w:tab/>
        <w:t>commencing at the migration time or such earlier time as may be prescribed by the regulations; and</w:t>
      </w:r>
    </w:p>
    <w:p>
      <w:pPr>
        <w:pStyle w:val="Defpara"/>
      </w:pPr>
      <w:r>
        <w:tab/>
        <w:t>(b)</w:t>
      </w:r>
      <w:r>
        <w:tab/>
        <w:t>ending at the registration commencement time;</w:t>
      </w:r>
    </w:p>
    <w:p>
      <w:pPr>
        <w:pStyle w:val="Defstart"/>
      </w:pPr>
      <w:r>
        <w:tab/>
      </w:r>
      <w:r>
        <w:rPr>
          <w:rStyle w:val="CharDefText"/>
        </w:rPr>
        <w:t>Registrar</w:t>
      </w:r>
      <w:r>
        <w:t xml:space="preserve"> has the meaning given in the </w:t>
      </w:r>
      <w:r>
        <w:rPr>
          <w:i/>
          <w:iCs/>
        </w:rPr>
        <w:t xml:space="preserve">Personal Property Securities Act 2009 </w:t>
      </w:r>
      <w:r>
        <w:t>(Commonwealth) section 10;</w:t>
      </w:r>
    </w:p>
    <w:p>
      <w:pPr>
        <w:pStyle w:val="Defstart"/>
      </w:pPr>
      <w:r>
        <w:tab/>
      </w:r>
      <w:r>
        <w:rPr>
          <w:rStyle w:val="CharDefText"/>
        </w:rPr>
        <w:t>registration commencement time</w:t>
      </w:r>
      <w:r>
        <w:t xml:space="preserve"> has the meaning given in the </w:t>
      </w:r>
      <w:r>
        <w:rPr>
          <w:i/>
          <w:iCs/>
        </w:rPr>
        <w:t xml:space="preserve">Personal Property Securities Act 2009 </w:t>
      </w:r>
      <w:r>
        <w:t>(Commonwealth) section 306(2);</w:t>
      </w:r>
    </w:p>
    <w:p>
      <w:pPr>
        <w:pStyle w:val="Defstart"/>
      </w:pPr>
      <w:r>
        <w:tab/>
      </w:r>
      <w:r>
        <w:rPr>
          <w:rStyle w:val="CharDefText"/>
        </w:rPr>
        <w:t>registration function</w:t>
      </w:r>
      <w:r>
        <w:t xml:space="preserve"> means any function conferred or imposed on the Commissioner under Part III.</w:t>
      </w:r>
    </w:p>
    <w:p>
      <w:pPr>
        <w:pStyle w:val="Footnotesection"/>
      </w:pPr>
      <w:r>
        <w:tab/>
        <w:t>[Section 3B inserted: No. 42 of 2011 s. 34.]</w:t>
      </w:r>
    </w:p>
    <w:p>
      <w:pPr>
        <w:pStyle w:val="Heading5"/>
      </w:pPr>
      <w:bookmarkStart w:id="21" w:name="_Toc377131269"/>
      <w:bookmarkStart w:id="22" w:name="_Toc535589442"/>
      <w:r>
        <w:rPr>
          <w:rStyle w:val="CharSectno"/>
        </w:rPr>
        <w:t>3C</w:t>
      </w:r>
      <w:r>
        <w:t>.</w:t>
      </w:r>
      <w:r>
        <w:tab/>
        <w:t>Effect of Act at and after registration commencement time</w:t>
      </w:r>
      <w:bookmarkEnd w:id="21"/>
      <w:bookmarkEnd w:id="22"/>
    </w:p>
    <w:p>
      <w:pPr>
        <w:pStyle w:val="Subsection"/>
      </w:pPr>
      <w:r>
        <w:tab/>
        <w:t>(1)</w:t>
      </w:r>
      <w:r>
        <w:tab/>
        <w:t xml:space="preserve">Subject to section 3D, this Act, other than the following provisions, has no effect at and after the registration commencement time — </w:t>
      </w:r>
    </w:p>
    <w:p>
      <w:pPr>
        <w:pStyle w:val="Indenta"/>
      </w:pPr>
      <w:r>
        <w:tab/>
        <w:t>(a)</w:t>
      </w:r>
      <w:r>
        <w:tab/>
        <w:t>sections 3A, 22, 23, 24, 25, 26, 29, 30A, 30B, 30C, 30D and 31;</w:t>
      </w:r>
    </w:p>
    <w:p>
      <w:pPr>
        <w:pStyle w:val="Indenta"/>
      </w:pPr>
      <w:r>
        <w:tab/>
        <w:t>(b)</w:t>
      </w:r>
      <w:r>
        <w:tab/>
        <w:t xml:space="preserve">any other provision of this Act (a </w:t>
      </w:r>
      <w:r>
        <w:rPr>
          <w:rStyle w:val="CharDefText"/>
        </w:rPr>
        <w:t>related provision</w:t>
      </w:r>
      <w:r>
        <w:t xml:space="preserve">) that is referred to in provision listed in paragraph (a) (a </w:t>
      </w:r>
      <w:r>
        <w:rPr>
          <w:rStyle w:val="CharDefText"/>
        </w:rPr>
        <w:t>primary provision</w:t>
      </w:r>
      <w:r>
        <w:t>) to the extent necessary for the purposes of the continued operation of the primary provision;</w:t>
      </w:r>
    </w:p>
    <w:p>
      <w:pPr>
        <w:pStyle w:val="Indenta"/>
      </w:pPr>
      <w:r>
        <w:tab/>
        <w:t>(c)</w:t>
      </w:r>
      <w:r>
        <w:tab/>
        <w:t>any power to make regulations in respect of a matter that is conferred by the primary provision or a related provision.</w:t>
      </w:r>
    </w:p>
    <w:p>
      <w:pPr>
        <w:pStyle w:val="Subsection"/>
      </w:pPr>
      <w:r>
        <w:tab/>
        <w:t>(2)</w:t>
      </w:r>
      <w:r>
        <w:tab/>
        <w:t>Section 23 has no effect on and after the day after the end of the period of 7 years beginning at the registration commencement time.</w:t>
      </w:r>
    </w:p>
    <w:p>
      <w:pPr>
        <w:pStyle w:val="Footnotesection"/>
      </w:pPr>
      <w:r>
        <w:tab/>
        <w:t>[Section 3C inserted: No. 42 of 2011 s. 34.]</w:t>
      </w:r>
    </w:p>
    <w:p>
      <w:pPr>
        <w:pStyle w:val="Heading5"/>
      </w:pPr>
      <w:bookmarkStart w:id="23" w:name="_Toc377131270"/>
      <w:bookmarkStart w:id="24" w:name="_Toc535589443"/>
      <w:r>
        <w:rPr>
          <w:rStyle w:val="CharSectno"/>
        </w:rPr>
        <w:t>3D</w:t>
      </w:r>
      <w:r>
        <w:t>.</w:t>
      </w:r>
      <w:r>
        <w:tab/>
        <w:t>Refusal to exercise registration functions</w:t>
      </w:r>
      <w:bookmarkEnd w:id="23"/>
      <w:bookmarkEnd w:id="24"/>
    </w:p>
    <w:p>
      <w:pPr>
        <w:pStyle w:val="Subsection"/>
      </w:pPr>
      <w:r>
        <w:tab/>
        <w:t>(1)</w:t>
      </w:r>
      <w:r>
        <w:tab/>
        <w:t>Subject to section 3E, the Commissioner may refuse to exercise a registration function during the pre</w:t>
      </w:r>
      <w:r>
        <w:noBreakHyphen/>
        <w:t>PPS transitional period.</w:t>
      </w:r>
    </w:p>
    <w:p>
      <w:pPr>
        <w:pStyle w:val="Subsection"/>
      </w:pPr>
      <w:r>
        <w:tab/>
        <w:t>(2)</w:t>
      </w:r>
      <w:r>
        <w:tab/>
        <w:t>Without limiting subsection (1), the Commissioner may refuse to exercise a registration function during the pre</w:t>
      </w:r>
      <w:r>
        <w:noBreakHyphen/>
        <w:t>PPS transitional period in relation to a matter that was not finally determined or concluded immediately before the commencement of that period.</w:t>
      </w:r>
    </w:p>
    <w:p>
      <w:pPr>
        <w:pStyle w:val="Subsection"/>
      </w:pPr>
      <w:r>
        <w:tab/>
        <w:t>(3)</w:t>
      </w:r>
      <w:r>
        <w:tab/>
        <w:t>After the end of the pre</w:t>
      </w:r>
      <w:r>
        <w:noBreakHyphen/>
        <w:t>PPS transitional period the Commissioner is not to exercise a registration function under section 15, 19, 20, 21 or 22.</w:t>
      </w:r>
    </w:p>
    <w:p>
      <w:pPr>
        <w:pStyle w:val="Footnotesection"/>
      </w:pPr>
      <w:r>
        <w:tab/>
        <w:t>[Section 3D inserted: No. 42 of 2011 s. 34.]</w:t>
      </w:r>
    </w:p>
    <w:p>
      <w:pPr>
        <w:pStyle w:val="Heading5"/>
      </w:pPr>
      <w:bookmarkStart w:id="25" w:name="_Toc377131271"/>
      <w:bookmarkStart w:id="26" w:name="_Toc535589444"/>
      <w:r>
        <w:rPr>
          <w:rStyle w:val="CharSectno"/>
        </w:rPr>
        <w:t>3E</w:t>
      </w:r>
      <w:r>
        <w:t>.</w:t>
      </w:r>
      <w:r>
        <w:tab/>
        <w:t>Show cause proceedings under s. 22</w:t>
      </w:r>
      <w:bookmarkEnd w:id="25"/>
      <w:bookmarkEnd w:id="26"/>
    </w:p>
    <w:p>
      <w:pPr>
        <w:pStyle w:val="Subsection"/>
      </w:pPr>
      <w:r>
        <w:tab/>
      </w:r>
      <w:r>
        <w:tab/>
        <w:t xml:space="preserve">If the Commissioner — </w:t>
      </w:r>
    </w:p>
    <w:p>
      <w:pPr>
        <w:pStyle w:val="Indenta"/>
      </w:pPr>
      <w:r>
        <w:tab/>
        <w:t>(a)</w:t>
      </w:r>
      <w:r>
        <w:tab/>
        <w:t>has given a person a notice under section 22(1) and that notice is in force immediately before the registration commencement time; and</w:t>
      </w:r>
    </w:p>
    <w:p>
      <w:pPr>
        <w:pStyle w:val="Indenta"/>
      </w:pPr>
      <w:r>
        <w:tab/>
        <w:t>(b)</w:t>
      </w:r>
      <w:r>
        <w:tab/>
        <w:t>would have cancelled the registration of the person under section 22(2) had he or she been able to exercise that registration function after the end of the pre</w:t>
      </w:r>
      <w:r>
        <w:noBreakHyphen/>
        <w:t>PPS transition period,</w:t>
      </w:r>
    </w:p>
    <w:p>
      <w:pPr>
        <w:pStyle w:val="Subsection"/>
      </w:pPr>
      <w:r>
        <w:tab/>
      </w:r>
      <w:r>
        <w:tab/>
        <w:t>the Commissioner may provide the Registrar with a written notice stating the registration of the person would have been so cancelled.</w:t>
      </w:r>
    </w:p>
    <w:p>
      <w:pPr>
        <w:pStyle w:val="Footnotesection"/>
      </w:pPr>
      <w:r>
        <w:tab/>
        <w:t>[Section 3E inserted: No. 42 of 2011 s. 34.]</w:t>
      </w:r>
    </w:p>
    <w:p>
      <w:pPr>
        <w:pStyle w:val="Heading5"/>
      </w:pPr>
      <w:bookmarkStart w:id="27" w:name="_Toc377131272"/>
      <w:bookmarkStart w:id="28" w:name="_Toc535589445"/>
      <w:r>
        <w:rPr>
          <w:rStyle w:val="CharSectno"/>
        </w:rPr>
        <w:t>3F</w:t>
      </w:r>
      <w:r>
        <w:t>.</w:t>
      </w:r>
      <w:r>
        <w:tab/>
        <w:t>Details of entry</w:t>
      </w:r>
      <w:bookmarkEnd w:id="27"/>
      <w:bookmarkEnd w:id="28"/>
    </w:p>
    <w:p>
      <w:pPr>
        <w:pStyle w:val="Subsection"/>
      </w:pPr>
      <w:r>
        <w:tab/>
      </w:r>
      <w:r>
        <w:tab/>
        <w:t>At and after the registration commencement time, the Commissioner may, instead of providing a certificate under section 23(3), respond to an application made in accordance with section 23 by providing the applicant with an extract from the register.</w:t>
      </w:r>
    </w:p>
    <w:p>
      <w:pPr>
        <w:pStyle w:val="Footnotesection"/>
      </w:pPr>
      <w:r>
        <w:tab/>
        <w:t>[Section 3F inserted: No. 42 of 2011 s. 34.]</w:t>
      </w:r>
    </w:p>
    <w:p>
      <w:pPr>
        <w:pStyle w:val="Heading5"/>
      </w:pPr>
      <w:bookmarkStart w:id="29" w:name="_Toc377131273"/>
      <w:bookmarkStart w:id="30" w:name="_Toc535589446"/>
      <w:r>
        <w:rPr>
          <w:rStyle w:val="CharSectno"/>
        </w:rPr>
        <w:t>3G</w:t>
      </w:r>
      <w:r>
        <w:t>.</w:t>
      </w:r>
      <w:r>
        <w:tab/>
        <w:t>Act to expire</w:t>
      </w:r>
      <w:bookmarkEnd w:id="29"/>
      <w:bookmarkEnd w:id="30"/>
    </w:p>
    <w:p>
      <w:pPr>
        <w:pStyle w:val="Subsection"/>
      </w:pPr>
      <w:r>
        <w:tab/>
        <w:t>(1)</w:t>
      </w:r>
      <w:r>
        <w:tab/>
        <w:t xml:space="preserve">When the Minister is satisfied that there is no reason for this Act to continue, the Minister is to publish a notice in the </w:t>
      </w:r>
      <w:r>
        <w:rPr>
          <w:i/>
          <w:iCs/>
        </w:rPr>
        <w:t>Gazette</w:t>
      </w:r>
      <w:r>
        <w:t xml:space="preserve"> stating that the Minister is satisfied as to that matter, and that the Act expires at the end of the day on which the notice is published.</w:t>
      </w:r>
    </w:p>
    <w:p>
      <w:pPr>
        <w:pStyle w:val="Subsection"/>
      </w:pPr>
      <w:r>
        <w:tab/>
        <w:t>(2)</w:t>
      </w:r>
      <w:r>
        <w:tab/>
        <w:t>This Act expires as stated in a notice published under subsection (1).</w:t>
      </w:r>
    </w:p>
    <w:p>
      <w:pPr>
        <w:pStyle w:val="Footnotesection"/>
      </w:pPr>
      <w:r>
        <w:tab/>
        <w:t>[Section 3G inserted: No. 42 of 2011 s. 34.]</w:t>
      </w:r>
    </w:p>
    <w:p>
      <w:pPr>
        <w:pStyle w:val="Heading2"/>
      </w:pPr>
      <w:bookmarkStart w:id="31" w:name="_Toc377131274"/>
      <w:bookmarkStart w:id="32" w:name="_Toc415234385"/>
      <w:bookmarkStart w:id="33" w:name="_Toc415234433"/>
      <w:bookmarkStart w:id="34" w:name="_Toc535589447"/>
      <w:r>
        <w:rPr>
          <w:rStyle w:val="CharPartNo"/>
        </w:rPr>
        <w:t>Part II</w:t>
      </w:r>
      <w:r>
        <w:rPr>
          <w:rStyle w:val="CharDivNo"/>
        </w:rPr>
        <w:t> </w:t>
      </w:r>
      <w:r>
        <w:t>—</w:t>
      </w:r>
      <w:r>
        <w:rPr>
          <w:rStyle w:val="CharDivText"/>
        </w:rPr>
        <w:t> </w:t>
      </w:r>
      <w:r>
        <w:rPr>
          <w:rStyle w:val="CharPartText"/>
        </w:rPr>
        <w:t>Security interests</w:t>
      </w:r>
      <w:bookmarkEnd w:id="31"/>
      <w:bookmarkEnd w:id="32"/>
      <w:bookmarkEnd w:id="33"/>
      <w:bookmarkEnd w:id="34"/>
      <w:r>
        <w:rPr>
          <w:rStyle w:val="CharPartText"/>
        </w:rPr>
        <w:t xml:space="preserve"> </w:t>
      </w:r>
    </w:p>
    <w:p>
      <w:pPr>
        <w:pStyle w:val="Heading5"/>
        <w:rPr>
          <w:snapToGrid w:val="0"/>
        </w:rPr>
      </w:pPr>
      <w:bookmarkStart w:id="35" w:name="_Toc377131275"/>
      <w:bookmarkStart w:id="36" w:name="_Toc535589448"/>
      <w:r>
        <w:rPr>
          <w:rStyle w:val="CharSectno"/>
        </w:rPr>
        <w:t>4</w:t>
      </w:r>
      <w:r>
        <w:rPr>
          <w:snapToGrid w:val="0"/>
        </w:rPr>
        <w:t>.</w:t>
      </w:r>
      <w:r>
        <w:rPr>
          <w:snapToGrid w:val="0"/>
        </w:rPr>
        <w:tab/>
        <w:t>Application of Part</w:t>
      </w:r>
      <w:bookmarkEnd w:id="35"/>
      <w:bookmarkEnd w:id="36"/>
    </w:p>
    <w:p>
      <w:pPr>
        <w:pStyle w:val="Subsection"/>
        <w:rPr>
          <w:snapToGrid w:val="0"/>
        </w:rPr>
      </w:pPr>
      <w:r>
        <w:rPr>
          <w:snapToGrid w:val="0"/>
        </w:rPr>
        <w:tab/>
        <w:t>(1)</w:t>
      </w:r>
      <w:r>
        <w:rPr>
          <w:snapToGrid w:val="0"/>
        </w:rPr>
        <w:tab/>
        <w:t xml:space="preserve">The provisions of this Part (other than section 5) apply (notwithstanding anything to the contrary in any other Act or law) to and in respect of a security interest (whether created within or outside </w:t>
      </w:r>
      <w:smartTag w:uri="urn:schemas-microsoft-com:office:smarttags" w:element="place">
        <w:smartTag w:uri="urn:schemas-microsoft-com:office:smarttags" w:element="State">
          <w:r>
            <w:rPr>
              <w:snapToGrid w:val="0"/>
            </w:rPr>
            <w:t>Western Australia</w:t>
          </w:r>
        </w:smartTag>
      </w:smartTag>
      <w:r>
        <w:rPr>
          <w:snapToGrid w:val="0"/>
        </w:rPr>
        <w:t>) if the goods the subject of the security interest — </w:t>
      </w:r>
    </w:p>
    <w:p>
      <w:pPr>
        <w:pStyle w:val="Indenta"/>
        <w:rPr>
          <w:snapToGrid w:val="0"/>
        </w:rPr>
      </w:pPr>
      <w:r>
        <w:rPr>
          <w:snapToGrid w:val="0"/>
        </w:rPr>
        <w:tab/>
        <w:t>(a)</w:t>
      </w:r>
      <w:r>
        <w:rPr>
          <w:snapToGrid w:val="0"/>
        </w:rPr>
        <w:tab/>
        <w:t xml:space="preserve">are at the date of attachment of the security interest situated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are for the time being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Section 5 applies (notwithstanding anything to the contrary in any other Act or law) to and in respect of a security interest (whether created within or outside </w:t>
      </w:r>
      <w:smartTag w:uri="urn:schemas-microsoft-com:office:smarttags" w:element="State">
        <w:r>
          <w:rPr>
            <w:snapToGrid w:val="0"/>
          </w:rPr>
          <w:t>Western Australia</w:t>
        </w:r>
      </w:smartTag>
      <w:r>
        <w:rPr>
          <w:snapToGrid w:val="0"/>
        </w:rPr>
        <w:t xml:space="preserve">) if the goods the subject of the security interest are at the date of attachment of the security interest situated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37" w:name="_Toc377131276"/>
      <w:bookmarkStart w:id="38" w:name="_Toc535589449"/>
      <w:r>
        <w:rPr>
          <w:rStyle w:val="CharSectno"/>
        </w:rPr>
        <w:t>5</w:t>
      </w:r>
      <w:r>
        <w:rPr>
          <w:snapToGrid w:val="0"/>
        </w:rPr>
        <w:t>.</w:t>
      </w:r>
      <w:r>
        <w:rPr>
          <w:snapToGrid w:val="0"/>
        </w:rPr>
        <w:tab/>
        <w:t>Agreement that security interest is legal interest</w:t>
      </w:r>
      <w:bookmarkEnd w:id="37"/>
      <w:bookmarkEnd w:id="38"/>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39" w:name="_Toc377131277"/>
      <w:bookmarkStart w:id="40" w:name="_Toc535589450"/>
      <w:r>
        <w:rPr>
          <w:rStyle w:val="CharSectno"/>
        </w:rPr>
        <w:t>6</w:t>
      </w:r>
      <w:r>
        <w:rPr>
          <w:snapToGrid w:val="0"/>
        </w:rPr>
        <w:t>.</w:t>
      </w:r>
      <w:r>
        <w:rPr>
          <w:snapToGrid w:val="0"/>
        </w:rPr>
        <w:tab/>
        <w:t>Fixtures</w:t>
      </w:r>
      <w:bookmarkEnd w:id="39"/>
      <w:bookmarkEnd w:id="40"/>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41" w:name="_Toc377131278"/>
      <w:bookmarkStart w:id="42" w:name="_Toc535589451"/>
      <w:r>
        <w:rPr>
          <w:rStyle w:val="CharSectno"/>
        </w:rPr>
        <w:t>7</w:t>
      </w:r>
      <w:r>
        <w:rPr>
          <w:snapToGrid w:val="0"/>
        </w:rPr>
        <w:t>.</w:t>
      </w:r>
      <w:r>
        <w:rPr>
          <w:snapToGrid w:val="0"/>
        </w:rPr>
        <w:tab/>
        <w:t>Extinguishing of security interest</w:t>
      </w:r>
      <w:bookmarkEnd w:id="41"/>
      <w:bookmarkEnd w:id="42"/>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t>
      </w:r>
      <w:r>
        <w:t xml:space="preserve">as defined in the </w:t>
      </w:r>
      <w:r>
        <w:rPr>
          <w:i/>
          <w:iCs/>
        </w:rPr>
        <w:t>Road Traffic (Administration) Act 2008</w:t>
      </w:r>
      <w:r>
        <w:t xml:space="preserve"> section 4 </w:t>
      </w:r>
      <w:r>
        <w:rPr>
          <w:snapToGrid w:val="0"/>
        </w:rPr>
        <w:t xml:space="preserve">or a trailer which is not licensed under the </w:t>
      </w:r>
      <w:r>
        <w:rPr>
          <w:i/>
          <w:iCs/>
        </w:rPr>
        <w:t>Road Traffic (Vehicles) Act</w:t>
      </w:r>
      <w:r>
        <w:t> </w:t>
      </w:r>
      <w:r>
        <w:rPr>
          <w:i/>
          <w:iCs/>
        </w:rPr>
        <w:t>2012</w:t>
      </w:r>
      <w:r>
        <w:t xml:space="preserve"> but</w:t>
      </w:r>
      <w:r>
        <w:rPr>
          <w:i/>
          <w:snapToGrid w:val="0"/>
        </w:rPr>
        <w:t xml:space="preserve"> </w:t>
      </w:r>
      <w:r>
        <w:rPr>
          <w:snapToGrid w:val="0"/>
        </w:rPr>
        <w:t>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 or</w:t>
      </w:r>
    </w:p>
    <w:p>
      <w:pPr>
        <w:pStyle w:val="Indenta"/>
        <w:rPr>
          <w:snapToGrid w:val="0"/>
        </w:rPr>
      </w:pPr>
      <w:r>
        <w:rPr>
          <w:snapToGrid w:val="0"/>
        </w:rPr>
        <w:tab/>
        <w:t>(b)</w:t>
      </w:r>
      <w:r>
        <w:rPr>
          <w:snapToGrid w:val="0"/>
        </w:rPr>
        <w:tab/>
      </w:r>
      <w:r>
        <w:rPr>
          <w:snapToGrid w:val="0"/>
          <w:spacing w:val="-4"/>
        </w:rPr>
        <w:t>the purchase price of the goods does not exceed $20 000; or</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t>
      </w:r>
      <w:r>
        <w:t xml:space="preserve">as defined in the </w:t>
      </w:r>
      <w:r>
        <w:rPr>
          <w:i/>
          <w:iCs/>
        </w:rPr>
        <w:t>Road Traffic (Administration) Act 2008</w:t>
      </w:r>
      <w:r>
        <w:t xml:space="preserve"> section 4</w:t>
      </w:r>
      <w:r>
        <w:rPr>
          <w:snapToGrid w:val="0"/>
        </w:rPr>
        <w:t xml:space="preserve"> or a trailer which is not licensed under the </w:t>
      </w:r>
      <w:r>
        <w:rPr>
          <w:i/>
          <w:iCs/>
        </w:rPr>
        <w:t>Road Traffic (Vehicles) Act 2012</w:t>
      </w:r>
      <w:r>
        <w:t xml:space="preserve"> but</w:t>
      </w:r>
      <w:r>
        <w:rPr>
          <w:i/>
          <w:snapToGrid w:val="0"/>
        </w:rPr>
        <w:t xml:space="preserve"> </w:t>
      </w:r>
      <w:r>
        <w:rPr>
          <w:snapToGrid w:val="0"/>
        </w:rPr>
        <w:t>is registered or licensed under the law of another State or of a Territory and there is in force in that State or Territory a law declared under section 3(8) to be a corresponding law for the purposes of this Act.</w:t>
      </w:r>
    </w:p>
    <w:p>
      <w:pPr>
        <w:pStyle w:val="Subsection"/>
        <w:spacing w:before="180"/>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spacing w:before="180"/>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spacing w:before="180"/>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No. 28 of 2001 s. 27; No. 4 of 2002 s. 70; correction to reprint 24 Mar 2006 p. 1102; No. 8 of 2012 s. 50.]</w:t>
      </w:r>
    </w:p>
    <w:p>
      <w:pPr>
        <w:pStyle w:val="Heading5"/>
        <w:spacing w:before="240"/>
        <w:rPr>
          <w:snapToGrid w:val="0"/>
        </w:rPr>
      </w:pPr>
      <w:bookmarkStart w:id="43" w:name="_Toc377131279"/>
      <w:bookmarkStart w:id="44" w:name="_Toc535589452"/>
      <w:r>
        <w:rPr>
          <w:rStyle w:val="CharSectno"/>
        </w:rPr>
        <w:t>8</w:t>
      </w:r>
      <w:r>
        <w:rPr>
          <w:snapToGrid w:val="0"/>
        </w:rPr>
        <w:t>.</w:t>
      </w:r>
      <w:r>
        <w:rPr>
          <w:snapToGrid w:val="0"/>
        </w:rPr>
        <w:tab/>
        <w:t>Purchase for value in good faith</w:t>
      </w:r>
      <w:bookmarkEnd w:id="43"/>
      <w:bookmarkEnd w:id="44"/>
      <w:r>
        <w:rPr>
          <w:snapToGrid w:val="0"/>
        </w:rPr>
        <w:t xml:space="preserve"> </w:t>
      </w:r>
    </w:p>
    <w:p>
      <w:pPr>
        <w:pStyle w:val="Subsection"/>
        <w:spacing w:before="180"/>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 or</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No. 20 of 2003 s. 12.]</w:t>
      </w:r>
    </w:p>
    <w:p>
      <w:pPr>
        <w:pStyle w:val="Heading5"/>
        <w:rPr>
          <w:snapToGrid w:val="0"/>
        </w:rPr>
      </w:pPr>
      <w:bookmarkStart w:id="45" w:name="_Toc377131280"/>
      <w:bookmarkStart w:id="46" w:name="_Toc535589453"/>
      <w:r>
        <w:rPr>
          <w:rStyle w:val="CharSectno"/>
        </w:rPr>
        <w:t>9</w:t>
      </w:r>
      <w:r>
        <w:rPr>
          <w:snapToGrid w:val="0"/>
        </w:rPr>
        <w:t>.</w:t>
      </w:r>
      <w:r>
        <w:rPr>
          <w:snapToGrid w:val="0"/>
        </w:rPr>
        <w:tab/>
        <w:t>Extinguishing of subsequent security interests</w:t>
      </w:r>
      <w:bookmarkEnd w:id="45"/>
      <w:bookmarkEnd w:id="46"/>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keepLines/>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47" w:name="_Toc377131281"/>
      <w:bookmarkStart w:id="48" w:name="_Toc535589454"/>
      <w:r>
        <w:rPr>
          <w:rStyle w:val="CharSectno"/>
        </w:rPr>
        <w:t>10</w:t>
      </w:r>
      <w:r>
        <w:rPr>
          <w:snapToGrid w:val="0"/>
        </w:rPr>
        <w:t>.</w:t>
      </w:r>
      <w:r>
        <w:rPr>
          <w:snapToGrid w:val="0"/>
        </w:rPr>
        <w:tab/>
        <w:t>Priority of security interests</w:t>
      </w:r>
      <w:bookmarkEnd w:id="47"/>
      <w:bookmarkEnd w:id="48"/>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r>
        <w:tab/>
        <w:t>[Section 10 amended: No. 20 of 2003 s. 13.]</w:t>
      </w:r>
    </w:p>
    <w:p>
      <w:pPr>
        <w:pStyle w:val="Heading5"/>
        <w:rPr>
          <w:snapToGrid w:val="0"/>
        </w:rPr>
      </w:pPr>
      <w:bookmarkStart w:id="49" w:name="_Toc377131282"/>
      <w:bookmarkStart w:id="50" w:name="_Toc535589455"/>
      <w:r>
        <w:rPr>
          <w:rStyle w:val="CharSectno"/>
        </w:rPr>
        <w:t>11</w:t>
      </w:r>
      <w:r>
        <w:rPr>
          <w:snapToGrid w:val="0"/>
        </w:rPr>
        <w:t>.</w:t>
      </w:r>
      <w:r>
        <w:rPr>
          <w:snapToGrid w:val="0"/>
        </w:rPr>
        <w:tab/>
        <w:t>Extinguishing etc. of security interest under corresponding law</w:t>
      </w:r>
      <w:bookmarkEnd w:id="49"/>
      <w:bookmarkEnd w:id="50"/>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51" w:name="_Toc377131283"/>
      <w:bookmarkStart w:id="52" w:name="_Toc535589456"/>
      <w:r>
        <w:rPr>
          <w:rStyle w:val="CharSectno"/>
        </w:rPr>
        <w:t>12</w:t>
      </w:r>
      <w:r>
        <w:rPr>
          <w:snapToGrid w:val="0"/>
        </w:rPr>
        <w:t>.</w:t>
      </w:r>
      <w:r>
        <w:rPr>
          <w:snapToGrid w:val="0"/>
        </w:rPr>
        <w:tab/>
        <w:t>Regulations</w:t>
      </w:r>
      <w:bookmarkEnd w:id="51"/>
      <w:bookmarkEnd w:id="52"/>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53" w:name="_Toc377131284"/>
      <w:bookmarkStart w:id="54" w:name="_Toc415234395"/>
      <w:bookmarkStart w:id="55" w:name="_Toc415234443"/>
      <w:bookmarkStart w:id="56" w:name="_Toc535589457"/>
      <w:r>
        <w:rPr>
          <w:rStyle w:val="CharPartNo"/>
        </w:rPr>
        <w:t>Part III</w:t>
      </w:r>
      <w:r>
        <w:rPr>
          <w:rStyle w:val="CharDivNo"/>
        </w:rPr>
        <w:t> </w:t>
      </w:r>
      <w:r>
        <w:t>—</w:t>
      </w:r>
      <w:r>
        <w:rPr>
          <w:rStyle w:val="CharDivText"/>
        </w:rPr>
        <w:t> </w:t>
      </w:r>
      <w:r>
        <w:rPr>
          <w:rStyle w:val="CharPartText"/>
        </w:rPr>
        <w:t>Registrable goods</w:t>
      </w:r>
      <w:bookmarkEnd w:id="53"/>
      <w:bookmarkEnd w:id="54"/>
      <w:bookmarkEnd w:id="55"/>
      <w:bookmarkEnd w:id="56"/>
      <w:r>
        <w:rPr>
          <w:rStyle w:val="CharPartText"/>
        </w:rPr>
        <w:t xml:space="preserve"> </w:t>
      </w:r>
    </w:p>
    <w:p>
      <w:pPr>
        <w:pStyle w:val="Heading5"/>
        <w:rPr>
          <w:snapToGrid w:val="0"/>
        </w:rPr>
      </w:pPr>
      <w:bookmarkStart w:id="57" w:name="_Toc377131285"/>
      <w:bookmarkStart w:id="58" w:name="_Toc535589458"/>
      <w:r>
        <w:rPr>
          <w:rStyle w:val="CharSectno"/>
        </w:rPr>
        <w:t>13</w:t>
      </w:r>
      <w:r>
        <w:rPr>
          <w:snapToGrid w:val="0"/>
        </w:rPr>
        <w:t>.</w:t>
      </w:r>
      <w:r>
        <w:rPr>
          <w:snapToGrid w:val="0"/>
        </w:rPr>
        <w:tab/>
        <w:t>Application of Part</w:t>
      </w:r>
      <w:bookmarkEnd w:id="57"/>
      <w:bookmarkEnd w:id="58"/>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t>
      </w:r>
      <w:r>
        <w:t xml:space="preserve">as defined in the </w:t>
      </w:r>
      <w:r>
        <w:rPr>
          <w:i/>
          <w:iCs/>
        </w:rPr>
        <w:t>Road Traffic (Administration) Act 2008</w:t>
      </w:r>
      <w:r>
        <w:t xml:space="preserve"> section 4, </w:t>
      </w:r>
      <w:r>
        <w:rPr>
          <w:snapToGrid w:val="0"/>
        </w:rPr>
        <w:t xml:space="preserve">being motor vehicles that, unless the regulations otherwise provide, are, or have been, licensed under </w:t>
      </w:r>
      <w:r>
        <w:t xml:space="preserve">the </w:t>
      </w:r>
      <w:r>
        <w:rPr>
          <w:i/>
          <w:iCs/>
        </w:rPr>
        <w:t>Road Traffic (Vehicles) Act 2012</w:t>
      </w:r>
      <w:r>
        <w:t xml:space="preserve">; </w:t>
      </w:r>
      <w:r>
        <w:rPr>
          <w:snapToGrid w:val="0"/>
        </w:rPr>
        <w:t>and</w:t>
      </w:r>
    </w:p>
    <w:p>
      <w:pPr>
        <w:pStyle w:val="Indenta"/>
        <w:rPr>
          <w:snapToGrid w:val="0"/>
        </w:rPr>
      </w:pPr>
      <w:r>
        <w:rPr>
          <w:snapToGrid w:val="0"/>
        </w:rPr>
        <w:tab/>
        <w:t>(b)</w:t>
      </w:r>
      <w:r>
        <w:rPr>
          <w:snapToGrid w:val="0"/>
        </w:rPr>
        <w:tab/>
        <w:t xml:space="preserve">trailers that, unless the regulations otherwise provide, are, or have been, licensed under </w:t>
      </w:r>
      <w:r>
        <w:t xml:space="preserve">the </w:t>
      </w:r>
      <w:r>
        <w:rPr>
          <w:i/>
          <w:iCs/>
        </w:rPr>
        <w:t>Road Traffic (Vehicles) Act 2012</w:t>
      </w:r>
      <w:r>
        <w:t>;</w:t>
      </w:r>
      <w:r>
        <w:rPr>
          <w:snapToGrid w:val="0"/>
        </w:rPr>
        <w:t>and</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No. 28 of 2001 s. 28; No. 8 of 2012 s. 51.]</w:t>
      </w:r>
    </w:p>
    <w:p>
      <w:pPr>
        <w:pStyle w:val="Heading5"/>
        <w:rPr>
          <w:snapToGrid w:val="0"/>
        </w:rPr>
      </w:pPr>
      <w:bookmarkStart w:id="59" w:name="_Toc377131286"/>
      <w:bookmarkStart w:id="60" w:name="_Toc535589459"/>
      <w:r>
        <w:rPr>
          <w:rStyle w:val="CharSectno"/>
        </w:rPr>
        <w:t>14</w:t>
      </w:r>
      <w:r>
        <w:rPr>
          <w:snapToGrid w:val="0"/>
        </w:rPr>
        <w:t>.</w:t>
      </w:r>
      <w:r>
        <w:rPr>
          <w:snapToGrid w:val="0"/>
        </w:rPr>
        <w:tab/>
        <w:t>Register</w:t>
      </w:r>
      <w:bookmarkEnd w:id="59"/>
      <w:bookmarkEnd w:id="60"/>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61" w:name="_Toc377131287"/>
      <w:bookmarkStart w:id="62" w:name="_Toc535589460"/>
      <w:r>
        <w:rPr>
          <w:rStyle w:val="CharSectno"/>
        </w:rPr>
        <w:t>15</w:t>
      </w:r>
      <w:r>
        <w:rPr>
          <w:snapToGrid w:val="0"/>
        </w:rPr>
        <w:t>.</w:t>
      </w:r>
      <w:r>
        <w:rPr>
          <w:snapToGrid w:val="0"/>
        </w:rPr>
        <w:tab/>
        <w:t>Registration of security interest</w:t>
      </w:r>
      <w:bookmarkEnd w:id="61"/>
      <w:bookmarkEnd w:id="62"/>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spacing w:before="180"/>
        <w:rPr>
          <w:snapToGrid w:val="0"/>
        </w:rPr>
      </w:pPr>
      <w:bookmarkStart w:id="63" w:name="_Toc377131288"/>
      <w:bookmarkStart w:id="64" w:name="_Toc535589461"/>
      <w:r>
        <w:rPr>
          <w:rStyle w:val="CharSectno"/>
        </w:rPr>
        <w:t>16</w:t>
      </w:r>
      <w:r>
        <w:rPr>
          <w:snapToGrid w:val="0"/>
        </w:rPr>
        <w:t>.</w:t>
      </w:r>
      <w:r>
        <w:rPr>
          <w:snapToGrid w:val="0"/>
        </w:rPr>
        <w:tab/>
        <w:t>Offence</w:t>
      </w:r>
      <w:bookmarkEnd w:id="63"/>
      <w:bookmarkEnd w:id="64"/>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spacing w:before="180"/>
        <w:rPr>
          <w:snapToGrid w:val="0"/>
        </w:rPr>
      </w:pPr>
      <w:bookmarkStart w:id="65" w:name="_Toc377131289"/>
      <w:bookmarkStart w:id="66" w:name="_Toc535589462"/>
      <w:r>
        <w:rPr>
          <w:rStyle w:val="CharSectno"/>
        </w:rPr>
        <w:t>17</w:t>
      </w:r>
      <w:r>
        <w:rPr>
          <w:snapToGrid w:val="0"/>
        </w:rPr>
        <w:t>.</w:t>
      </w:r>
      <w:r>
        <w:rPr>
          <w:snapToGrid w:val="0"/>
        </w:rPr>
        <w:tab/>
        <w:t>Cancellation of registration</w:t>
      </w:r>
      <w:bookmarkEnd w:id="65"/>
      <w:bookmarkEnd w:id="66"/>
      <w:r>
        <w:rPr>
          <w:snapToGrid w:val="0"/>
        </w:rPr>
        <w:t xml:space="preserve"> </w:t>
      </w:r>
    </w:p>
    <w:p>
      <w:pPr>
        <w:pStyle w:val="Subsection"/>
        <w:spacing w:before="120"/>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spacing w:before="180"/>
        <w:rPr>
          <w:snapToGrid w:val="0"/>
        </w:rPr>
      </w:pPr>
      <w:bookmarkStart w:id="67" w:name="_Toc377131290"/>
      <w:bookmarkStart w:id="68" w:name="_Toc535589463"/>
      <w:r>
        <w:rPr>
          <w:rStyle w:val="CharSectno"/>
        </w:rPr>
        <w:t>18</w:t>
      </w:r>
      <w:r>
        <w:rPr>
          <w:snapToGrid w:val="0"/>
        </w:rPr>
        <w:t>.</w:t>
      </w:r>
      <w:r>
        <w:rPr>
          <w:snapToGrid w:val="0"/>
        </w:rPr>
        <w:tab/>
        <w:t>Discharge of registered security interest</w:t>
      </w:r>
      <w:bookmarkEnd w:id="67"/>
      <w:bookmarkEnd w:id="68"/>
      <w:r>
        <w:rPr>
          <w:snapToGrid w:val="0"/>
        </w:rPr>
        <w:t xml:space="preserve"> </w:t>
      </w:r>
    </w:p>
    <w:p>
      <w:pPr>
        <w:pStyle w:val="Subsection"/>
        <w:spacing w:before="120"/>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spacing w:before="180"/>
        <w:rPr>
          <w:snapToGrid w:val="0"/>
        </w:rPr>
      </w:pPr>
      <w:bookmarkStart w:id="69" w:name="_Toc377131291"/>
      <w:bookmarkStart w:id="70" w:name="_Toc535589464"/>
      <w:r>
        <w:rPr>
          <w:rStyle w:val="CharSectno"/>
        </w:rPr>
        <w:t>19</w:t>
      </w:r>
      <w:r>
        <w:rPr>
          <w:snapToGrid w:val="0"/>
        </w:rPr>
        <w:t>.</w:t>
      </w:r>
      <w:r>
        <w:rPr>
          <w:snapToGrid w:val="0"/>
        </w:rPr>
        <w:tab/>
        <w:t>Commissioner to cancel registration</w:t>
      </w:r>
      <w:bookmarkEnd w:id="69"/>
      <w:bookmarkEnd w:id="70"/>
      <w:r>
        <w:rPr>
          <w:snapToGrid w:val="0"/>
        </w:rPr>
        <w:t xml:space="preserve"> </w:t>
      </w:r>
    </w:p>
    <w:p>
      <w:pPr>
        <w:pStyle w:val="Subsection"/>
        <w:spacing w:before="120"/>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71" w:name="_Toc377131292"/>
      <w:bookmarkStart w:id="72" w:name="_Toc535589465"/>
      <w:r>
        <w:rPr>
          <w:rStyle w:val="CharSectno"/>
        </w:rPr>
        <w:t>20</w:t>
      </w:r>
      <w:r>
        <w:rPr>
          <w:snapToGrid w:val="0"/>
        </w:rPr>
        <w:t>.</w:t>
      </w:r>
      <w:r>
        <w:rPr>
          <w:snapToGrid w:val="0"/>
        </w:rPr>
        <w:tab/>
        <w:t>Change in particulars</w:t>
      </w:r>
      <w:bookmarkEnd w:id="71"/>
      <w:bookmarkEnd w:id="72"/>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No. 39 of 1996 s. 4.] </w:t>
      </w:r>
    </w:p>
    <w:p>
      <w:pPr>
        <w:pStyle w:val="Heading5"/>
        <w:rPr>
          <w:snapToGrid w:val="0"/>
        </w:rPr>
      </w:pPr>
      <w:bookmarkStart w:id="73" w:name="_Toc377131293"/>
      <w:bookmarkStart w:id="74" w:name="_Toc535589466"/>
      <w:r>
        <w:rPr>
          <w:rStyle w:val="CharSectno"/>
        </w:rPr>
        <w:t>21</w:t>
      </w:r>
      <w:r>
        <w:rPr>
          <w:snapToGrid w:val="0"/>
        </w:rPr>
        <w:t>.</w:t>
      </w:r>
      <w:r>
        <w:rPr>
          <w:snapToGrid w:val="0"/>
        </w:rPr>
        <w:tab/>
        <w:t>Variation of particulars</w:t>
      </w:r>
      <w:bookmarkEnd w:id="73"/>
      <w:bookmarkEnd w:id="74"/>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75" w:name="_Toc377131294"/>
      <w:bookmarkStart w:id="76" w:name="_Toc535589467"/>
      <w:r>
        <w:rPr>
          <w:rStyle w:val="CharSectno"/>
        </w:rPr>
        <w:t>22</w:t>
      </w:r>
      <w:r>
        <w:rPr>
          <w:snapToGrid w:val="0"/>
        </w:rPr>
        <w:t>.</w:t>
      </w:r>
      <w:r>
        <w:rPr>
          <w:snapToGrid w:val="0"/>
        </w:rPr>
        <w:tab/>
        <w:t>Commissioner may cancel registration</w:t>
      </w:r>
      <w:bookmarkEnd w:id="75"/>
      <w:bookmarkEnd w:id="76"/>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77" w:name="_Toc377131295"/>
      <w:bookmarkStart w:id="78" w:name="_Toc535589468"/>
      <w:r>
        <w:rPr>
          <w:rStyle w:val="CharSectno"/>
        </w:rPr>
        <w:t>23</w:t>
      </w:r>
      <w:r>
        <w:rPr>
          <w:snapToGrid w:val="0"/>
        </w:rPr>
        <w:t>.</w:t>
      </w:r>
      <w:r>
        <w:rPr>
          <w:snapToGrid w:val="0"/>
        </w:rPr>
        <w:tab/>
        <w:t>Details of entries</w:t>
      </w:r>
      <w:bookmarkEnd w:id="77"/>
      <w:bookmarkEnd w:id="78"/>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No. 39 of 1996 s. 5.] </w:t>
      </w:r>
    </w:p>
    <w:p>
      <w:pPr>
        <w:pStyle w:val="Heading5"/>
        <w:rPr>
          <w:snapToGrid w:val="0"/>
        </w:rPr>
      </w:pPr>
      <w:bookmarkStart w:id="79" w:name="_Toc377131296"/>
      <w:bookmarkStart w:id="80" w:name="_Toc535589469"/>
      <w:r>
        <w:rPr>
          <w:rStyle w:val="CharSectno"/>
        </w:rPr>
        <w:t>24</w:t>
      </w:r>
      <w:r>
        <w:rPr>
          <w:snapToGrid w:val="0"/>
        </w:rPr>
        <w:t>.</w:t>
      </w:r>
      <w:r>
        <w:rPr>
          <w:snapToGrid w:val="0"/>
        </w:rPr>
        <w:tab/>
        <w:t>Compensation for extinguishment of security interest</w:t>
      </w:r>
      <w:bookmarkEnd w:id="79"/>
      <w:bookmarkEnd w:id="80"/>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spacing w:before="120"/>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spacing w:before="120"/>
        <w:rPr>
          <w:snapToGrid w:val="0"/>
        </w:rPr>
      </w:pPr>
      <w:r>
        <w:rPr>
          <w:snapToGrid w:val="0"/>
        </w:rPr>
        <w:tab/>
      </w:r>
      <w:r>
        <w:rPr>
          <w:snapToGrid w:val="0"/>
        </w:rPr>
        <w:tab/>
        <w:t>at the time the loss or damage is suffered, whichever is the lesser.</w:t>
      </w:r>
    </w:p>
    <w:p>
      <w:pPr>
        <w:pStyle w:val="Footnotesection"/>
      </w:pPr>
      <w:r>
        <w:tab/>
        <w:t>[Section 24 amended: No. 8 of 2009 s. 30.]</w:t>
      </w:r>
    </w:p>
    <w:p>
      <w:pPr>
        <w:pStyle w:val="Heading5"/>
        <w:spacing w:before="180"/>
        <w:rPr>
          <w:snapToGrid w:val="0"/>
        </w:rPr>
      </w:pPr>
      <w:bookmarkStart w:id="81" w:name="_Toc377131297"/>
      <w:bookmarkStart w:id="82" w:name="_Toc535589470"/>
      <w:r>
        <w:rPr>
          <w:rStyle w:val="CharSectno"/>
        </w:rPr>
        <w:t>25</w:t>
      </w:r>
      <w:r>
        <w:rPr>
          <w:snapToGrid w:val="0"/>
        </w:rPr>
        <w:t>.</w:t>
      </w:r>
      <w:r>
        <w:rPr>
          <w:snapToGrid w:val="0"/>
        </w:rPr>
        <w:tab/>
        <w:t>Compensation where entry not shown on certificate</w:t>
      </w:r>
      <w:bookmarkEnd w:id="81"/>
      <w:bookmarkEnd w:id="82"/>
      <w:r>
        <w:rPr>
          <w:snapToGrid w:val="0"/>
        </w:rPr>
        <w:t xml:space="preserve"> </w:t>
      </w:r>
    </w:p>
    <w:p>
      <w:pPr>
        <w:pStyle w:val="Subsection"/>
        <w:spacing w:before="120"/>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keepLines/>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No. 39 of 1996 s. 6.] </w:t>
      </w:r>
    </w:p>
    <w:p>
      <w:pPr>
        <w:pStyle w:val="Heading5"/>
        <w:rPr>
          <w:snapToGrid w:val="0"/>
        </w:rPr>
      </w:pPr>
      <w:bookmarkStart w:id="83" w:name="_Toc377131298"/>
      <w:bookmarkStart w:id="84" w:name="_Toc535589471"/>
      <w:r>
        <w:rPr>
          <w:rStyle w:val="CharSectno"/>
        </w:rPr>
        <w:t>26</w:t>
      </w:r>
      <w:r>
        <w:rPr>
          <w:snapToGrid w:val="0"/>
        </w:rPr>
        <w:t>.</w:t>
      </w:r>
      <w:r>
        <w:rPr>
          <w:snapToGrid w:val="0"/>
        </w:rPr>
        <w:tab/>
        <w:t>Review by State Administrative Tribunal</w:t>
      </w:r>
      <w:bookmarkEnd w:id="83"/>
      <w:bookmarkEnd w:id="84"/>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r>
        <w:tab/>
        <w:t>[(2)</w:t>
      </w:r>
      <w:r>
        <w:tab/>
        <w:t>deleted]</w:t>
      </w:r>
    </w:p>
    <w:p>
      <w:pPr>
        <w:pStyle w:val="Footnotesection"/>
      </w:pPr>
      <w:r>
        <w:tab/>
        <w:t>[Section 26 amended: No. 55 of 2004 s. 105.]</w:t>
      </w:r>
    </w:p>
    <w:p>
      <w:pPr>
        <w:pStyle w:val="Ednotesection"/>
      </w:pPr>
      <w:r>
        <w:t>[</w:t>
      </w:r>
      <w:r>
        <w:rPr>
          <w:b/>
        </w:rPr>
        <w:t>27, 28.</w:t>
      </w:r>
      <w:r>
        <w:tab/>
        <w:t>Deleted: No. 55 of 2004 s. 106.]</w:t>
      </w:r>
    </w:p>
    <w:p>
      <w:pPr>
        <w:pStyle w:val="Heading2"/>
      </w:pPr>
      <w:bookmarkStart w:id="85" w:name="_Toc377131299"/>
      <w:bookmarkStart w:id="86" w:name="_Toc415234410"/>
      <w:bookmarkStart w:id="87" w:name="_Toc415234458"/>
      <w:bookmarkStart w:id="88" w:name="_Toc535589472"/>
      <w:r>
        <w:rPr>
          <w:rStyle w:val="CharPartNo"/>
        </w:rPr>
        <w:t>Part IV</w:t>
      </w:r>
      <w:r>
        <w:t xml:space="preserve"> — </w:t>
      </w:r>
      <w:r>
        <w:rPr>
          <w:rStyle w:val="CharPartText"/>
        </w:rPr>
        <w:t>Miscellaneous</w:t>
      </w:r>
      <w:bookmarkEnd w:id="85"/>
      <w:bookmarkEnd w:id="86"/>
      <w:bookmarkEnd w:id="87"/>
      <w:bookmarkEnd w:id="88"/>
    </w:p>
    <w:p>
      <w:pPr>
        <w:pStyle w:val="Footnoteheading"/>
      </w:pPr>
      <w:r>
        <w:tab/>
        <w:t>[Heading inserted: No. 28 of 2006 s. 61.]</w:t>
      </w:r>
    </w:p>
    <w:p>
      <w:pPr>
        <w:pStyle w:val="Heading5"/>
        <w:rPr>
          <w:snapToGrid w:val="0"/>
        </w:rPr>
      </w:pPr>
      <w:bookmarkStart w:id="89" w:name="_Toc377131300"/>
      <w:bookmarkStart w:id="90" w:name="_Toc535589473"/>
      <w:r>
        <w:rPr>
          <w:rStyle w:val="CharSectno"/>
        </w:rPr>
        <w:t>29</w:t>
      </w:r>
      <w:r>
        <w:rPr>
          <w:snapToGrid w:val="0"/>
        </w:rPr>
        <w:t>.</w:t>
      </w:r>
      <w:r>
        <w:rPr>
          <w:snapToGrid w:val="0"/>
        </w:rPr>
        <w:tab/>
        <w:t>Appropriation</w:t>
      </w:r>
      <w:bookmarkEnd w:id="89"/>
      <w:bookmarkEnd w:id="90"/>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No. 6 of 1993 s. 11; No. 49 of 1996 s. 64; No. 55 of 2004 s. 107; No. 77 of 2006 s. 4.]</w:t>
      </w:r>
    </w:p>
    <w:p>
      <w:pPr>
        <w:pStyle w:val="Heading5"/>
        <w:rPr>
          <w:snapToGrid w:val="0"/>
        </w:rPr>
      </w:pPr>
      <w:bookmarkStart w:id="91" w:name="_Toc377131301"/>
      <w:bookmarkStart w:id="92" w:name="_Toc535589474"/>
      <w:r>
        <w:rPr>
          <w:rStyle w:val="CharSectno"/>
        </w:rPr>
        <w:t>30</w:t>
      </w:r>
      <w:r>
        <w:rPr>
          <w:snapToGrid w:val="0"/>
        </w:rPr>
        <w:t>.</w:t>
      </w:r>
      <w:r>
        <w:rPr>
          <w:snapToGrid w:val="0"/>
        </w:rPr>
        <w:tab/>
        <w:t>Offence</w:t>
      </w:r>
      <w:bookmarkEnd w:id="91"/>
      <w:bookmarkEnd w:id="92"/>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 and</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iCs/>
        </w:rPr>
        <w:t>Road Traffic (Vehicles) Act 2012</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Footnotesection"/>
      </w:pPr>
      <w:r>
        <w:tab/>
        <w:t>[Section 30 amended: No. 8 of 2012 s. 52.]</w:t>
      </w:r>
    </w:p>
    <w:p>
      <w:pPr>
        <w:pStyle w:val="Heading5"/>
      </w:pPr>
      <w:bookmarkStart w:id="93" w:name="_Toc377131302"/>
      <w:bookmarkStart w:id="94" w:name="_Toc535589475"/>
      <w:r>
        <w:rPr>
          <w:rStyle w:val="CharSectno"/>
        </w:rPr>
        <w:t>30A</w:t>
      </w:r>
      <w:r>
        <w:t>.</w:t>
      </w:r>
      <w:r>
        <w:tab/>
        <w:t>Delegation by Commissioner</w:t>
      </w:r>
      <w:bookmarkEnd w:id="93"/>
      <w:bookmarkEnd w:id="9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No. 28 of 2006 s. 62.]</w:t>
      </w:r>
    </w:p>
    <w:p>
      <w:pPr>
        <w:pStyle w:val="Heading5"/>
      </w:pPr>
      <w:bookmarkStart w:id="95" w:name="_Toc377131303"/>
      <w:bookmarkStart w:id="96" w:name="_Toc535589476"/>
      <w:r>
        <w:rPr>
          <w:rStyle w:val="CharSectno"/>
        </w:rPr>
        <w:t>30B</w:t>
      </w:r>
      <w:r>
        <w:t>.</w:t>
      </w:r>
      <w:r>
        <w:tab/>
        <w:t>Information officially obtained to be confidential</w:t>
      </w:r>
      <w:bookmarkEnd w:id="95"/>
      <w:bookmarkEnd w:id="9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30B inserted: No. 28 of 2006 s. 62.]</w:t>
      </w:r>
    </w:p>
    <w:p>
      <w:pPr>
        <w:pStyle w:val="Heading5"/>
      </w:pPr>
      <w:bookmarkStart w:id="97" w:name="_Toc377131304"/>
      <w:bookmarkStart w:id="98" w:name="_Toc535589477"/>
      <w:r>
        <w:rPr>
          <w:rStyle w:val="CharSectno"/>
        </w:rPr>
        <w:t>30C</w:t>
      </w:r>
      <w:r>
        <w:t>.</w:t>
      </w:r>
      <w:r>
        <w:tab/>
        <w:t>Protection from liability for wrongdoing</w:t>
      </w:r>
      <w:bookmarkEnd w:id="97"/>
      <w:bookmarkEnd w:id="98"/>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30C inserted: No. 28 of 2006 s. 62.]</w:t>
      </w:r>
    </w:p>
    <w:p>
      <w:pPr>
        <w:pStyle w:val="Heading5"/>
      </w:pPr>
      <w:bookmarkStart w:id="99" w:name="_Toc377131305"/>
      <w:bookmarkStart w:id="100" w:name="_Toc535589478"/>
      <w:r>
        <w:rPr>
          <w:rStyle w:val="CharSectno"/>
        </w:rPr>
        <w:t>30D</w:t>
      </w:r>
      <w:r>
        <w:t>.</w:t>
      </w:r>
      <w:r>
        <w:tab/>
        <w:t>Powers of investigation</w:t>
      </w:r>
      <w:bookmarkEnd w:id="99"/>
      <w:bookmarkEnd w:id="10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30D inserted: No. 58 of 2010 s. 186.]</w:t>
      </w:r>
    </w:p>
    <w:p>
      <w:pPr>
        <w:pStyle w:val="Heading5"/>
        <w:rPr>
          <w:snapToGrid w:val="0"/>
        </w:rPr>
      </w:pPr>
      <w:bookmarkStart w:id="101" w:name="_Toc377131306"/>
      <w:bookmarkStart w:id="102" w:name="_Toc535589479"/>
      <w:r>
        <w:rPr>
          <w:rStyle w:val="CharSectno"/>
        </w:rPr>
        <w:t>31</w:t>
      </w:r>
      <w:r>
        <w:rPr>
          <w:snapToGrid w:val="0"/>
        </w:rPr>
        <w:t>.</w:t>
      </w:r>
      <w:r>
        <w:rPr>
          <w:snapToGrid w:val="0"/>
        </w:rPr>
        <w:tab/>
        <w:t>Regulations</w:t>
      </w:r>
      <w:bookmarkEnd w:id="101"/>
      <w:bookmarkEnd w:id="102"/>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03" w:name="_Toc377131307"/>
      <w:bookmarkStart w:id="104" w:name="_Toc415234418"/>
      <w:bookmarkStart w:id="105" w:name="_Toc415234466"/>
      <w:bookmarkStart w:id="106" w:name="_Toc535589480"/>
      <w:r>
        <w:t>Notes</w:t>
      </w:r>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rPr>
        <w:t>Chattel Securities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 w:name="_Toc377131308"/>
      <w:bookmarkStart w:id="108" w:name="_Toc535589481"/>
      <w:r>
        <w:rPr>
          <w:snapToGrid w:val="0"/>
        </w:rPr>
        <w:t>Compilation table</w:t>
      </w:r>
      <w:bookmarkEnd w:id="107"/>
      <w:bookmarkEnd w:id="108"/>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7" w:type="dxa"/>
        </w:trPr>
        <w:tc>
          <w:tcPr>
            <w:tcW w:w="2268" w:type="dxa"/>
            <w:gridSpan w:val="2"/>
          </w:tcPr>
          <w:p>
            <w:pPr>
              <w:pStyle w:val="nTable"/>
              <w:spacing w:after="40"/>
              <w:rPr>
                <w:i/>
              </w:rPr>
            </w:pPr>
            <w:r>
              <w:rPr>
                <w:i/>
              </w:rPr>
              <w:t>Chattel Securities Act 1987</w:t>
            </w:r>
          </w:p>
        </w:tc>
        <w:tc>
          <w:tcPr>
            <w:tcW w:w="1134" w:type="dxa"/>
            <w:gridSpan w:val="2"/>
          </w:tcPr>
          <w:p>
            <w:pPr>
              <w:pStyle w:val="nTable"/>
              <w:spacing w:after="40"/>
            </w:pPr>
            <w:r>
              <w:t>101 of 1987</w:t>
            </w:r>
          </w:p>
        </w:tc>
        <w:tc>
          <w:tcPr>
            <w:tcW w:w="1134" w:type="dxa"/>
            <w:gridSpan w:val="2"/>
          </w:tcPr>
          <w:p>
            <w:pPr>
              <w:pStyle w:val="nTable"/>
              <w:spacing w:after="40"/>
            </w:pPr>
            <w:r>
              <w:t>18 Dec 1987</w:t>
            </w:r>
          </w:p>
        </w:tc>
        <w:tc>
          <w:tcPr>
            <w:tcW w:w="2551" w:type="dxa"/>
            <w:gridSpan w:val="2"/>
          </w:tcPr>
          <w:p>
            <w:pPr>
              <w:pStyle w:val="nTable"/>
              <w:spacing w:after="40"/>
            </w:pPr>
            <w:r>
              <w:t>s. 1 and 2: 18 Dec 1987;</w:t>
            </w:r>
            <w:r>
              <w:br/>
              <w:t>s. 3, 12</w:t>
            </w:r>
            <w:r>
              <w:noBreakHyphen/>
              <w:t>14, 15(1), (2) and (4), 16</w:t>
            </w:r>
            <w:r>
              <w:noBreakHyphen/>
              <w:t>23, 31</w:t>
            </w:r>
            <w:r>
              <w:noBreakHyphen/>
              <w:t xml:space="preserve">32: 29 Aug 1988 (see s. 2 and </w:t>
            </w:r>
            <w:r>
              <w:rPr>
                <w:i/>
              </w:rPr>
              <w:t>Gazette</w:t>
            </w:r>
            <w:r>
              <w:t xml:space="preserve"> 5 Aug 1988 p. 2583);</w:t>
            </w:r>
            <w:r>
              <w:br/>
              <w:t>s. </w:t>
            </w:r>
            <w:r>
              <w:rPr>
                <w:color w:val="000000"/>
              </w:rPr>
              <w:t>4</w:t>
            </w:r>
            <w:r>
              <w:rPr>
                <w:color w:val="000000"/>
              </w:rPr>
              <w:noBreakHyphen/>
              <w:t>11, 15(3) and 24</w:t>
            </w:r>
            <w:r>
              <w:rPr>
                <w:color w:val="000000"/>
              </w:rPr>
              <w:noBreakHyphen/>
              <w:t>30</w:t>
            </w:r>
            <w:r>
              <w:t xml:space="preserve">: 14 Nov 1988 (see s. 2 and </w:t>
            </w:r>
            <w:r>
              <w:rPr>
                <w:i/>
              </w:rPr>
              <w:t>Gazette</w:t>
            </w:r>
            <w:r>
              <w:t xml:space="preserve"> 5 Aug 1988 p. 2583)</w:t>
            </w:r>
          </w:p>
        </w:tc>
      </w:tr>
      <w:tr>
        <w:trPr>
          <w:gridBefore w:val="1"/>
          <w:wBefore w:w="7" w:type="dxa"/>
        </w:trPr>
        <w:tc>
          <w:tcPr>
            <w:tcW w:w="2268" w:type="dxa"/>
            <w:gridSpan w:val="2"/>
          </w:tcPr>
          <w:p>
            <w:pPr>
              <w:pStyle w:val="nTable"/>
              <w:spacing w:after="40"/>
              <w:rPr>
                <w:i/>
              </w:rPr>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7" w:type="dxa"/>
        </w:trPr>
        <w:tc>
          <w:tcPr>
            <w:tcW w:w="2268" w:type="dxa"/>
            <w:gridSpan w:val="2"/>
          </w:tcPr>
          <w:p>
            <w:pPr>
              <w:pStyle w:val="nTable"/>
              <w:spacing w:after="40"/>
              <w:rPr>
                <w:i/>
              </w:rPr>
            </w:pPr>
            <w:r>
              <w:rPr>
                <w:i/>
              </w:rPr>
              <w:t>Chattel Securities Amendment Act 1996</w:t>
            </w:r>
          </w:p>
        </w:tc>
        <w:tc>
          <w:tcPr>
            <w:tcW w:w="1134" w:type="dxa"/>
            <w:gridSpan w:val="2"/>
          </w:tcPr>
          <w:p>
            <w:pPr>
              <w:pStyle w:val="nTable"/>
              <w:spacing w:after="40"/>
            </w:pPr>
            <w:r>
              <w:t>39 of 1996</w:t>
            </w:r>
          </w:p>
        </w:tc>
        <w:tc>
          <w:tcPr>
            <w:tcW w:w="1134" w:type="dxa"/>
            <w:gridSpan w:val="2"/>
          </w:tcPr>
          <w:p>
            <w:pPr>
              <w:pStyle w:val="nTable"/>
              <w:spacing w:after="40"/>
            </w:pPr>
            <w:r>
              <w:t>27 Sep 1996</w:t>
            </w:r>
          </w:p>
        </w:tc>
        <w:tc>
          <w:tcPr>
            <w:tcW w:w="2551" w:type="dxa"/>
            <w:gridSpan w:val="2"/>
          </w:tcPr>
          <w:p>
            <w:pPr>
              <w:pStyle w:val="nTable"/>
              <w:spacing w:after="40"/>
            </w:pPr>
            <w:r>
              <w:t>s. 1 and 2: 27 Sep 1996;</w:t>
            </w:r>
            <w:r>
              <w:br/>
              <w:t xml:space="preserve">Act other than s. 1 and 2: 4 Nov 1996 (see s. 2 and </w:t>
            </w:r>
            <w:r>
              <w:rPr>
                <w:i/>
              </w:rPr>
              <w:t>Gazette</w:t>
            </w:r>
            <w:r>
              <w:t xml:space="preserve"> 29 Oct 1996 p. 5715)</w:t>
            </w:r>
          </w:p>
        </w:tc>
      </w:tr>
      <w:tr>
        <w:trPr>
          <w:gridBefore w:val="1"/>
          <w:wBefore w:w="7" w:type="dxa"/>
        </w:trPr>
        <w:tc>
          <w:tcPr>
            <w:tcW w:w="2268" w:type="dxa"/>
            <w:gridSpan w:val="2"/>
          </w:tcPr>
          <w:p>
            <w:pPr>
              <w:pStyle w:val="nTable"/>
              <w:spacing w:after="40"/>
              <w:rPr>
                <w:i/>
              </w:rPr>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7" w:type="dxa"/>
        </w:trPr>
        <w:tc>
          <w:tcPr>
            <w:tcW w:w="2268" w:type="dxa"/>
            <w:gridSpan w:val="2"/>
          </w:tcPr>
          <w:p>
            <w:pPr>
              <w:pStyle w:val="nTable"/>
              <w:spacing w:after="40"/>
              <w:rPr>
                <w:iCs/>
              </w:rPr>
            </w:pPr>
            <w:r>
              <w:rPr>
                <w:i/>
              </w:rPr>
              <w:t>Road Traffic Amendment (Vehicle Licensing) Amendment Act 2001</w:t>
            </w:r>
            <w:r>
              <w:rPr>
                <w:iCs/>
              </w:rPr>
              <w:t xml:space="preserve"> Pt. 3 Div. 1</w:t>
            </w:r>
          </w:p>
        </w:tc>
        <w:tc>
          <w:tcPr>
            <w:tcW w:w="1134" w:type="dxa"/>
            <w:gridSpan w:val="2"/>
          </w:tcPr>
          <w:p>
            <w:pPr>
              <w:pStyle w:val="nTable"/>
              <w:spacing w:after="40"/>
            </w:pPr>
            <w:r>
              <w:t>28 of 2001</w:t>
            </w:r>
          </w:p>
        </w:tc>
        <w:tc>
          <w:tcPr>
            <w:tcW w:w="1134" w:type="dxa"/>
            <w:gridSpan w:val="2"/>
          </w:tcPr>
          <w:p>
            <w:pPr>
              <w:pStyle w:val="nTable"/>
              <w:spacing w:after="40"/>
            </w:pPr>
            <w:r>
              <w:t>21 Dec 2001</w:t>
            </w:r>
          </w:p>
        </w:tc>
        <w:tc>
          <w:tcPr>
            <w:tcW w:w="2551" w:type="dxa"/>
            <w:gridSpan w:val="2"/>
          </w:tcPr>
          <w:p>
            <w:pPr>
              <w:pStyle w:val="nTable"/>
              <w:spacing w:after="40"/>
            </w:pPr>
            <w:r>
              <w:t xml:space="preserve">4 Dec 2006 (see s. 2 and </w:t>
            </w:r>
            <w:r>
              <w:rPr>
                <w:i/>
                <w:iCs/>
              </w:rPr>
              <w:t>Gazette</w:t>
            </w:r>
            <w:r>
              <w:t xml:space="preserve"> 28 Nov 2006 p. 4889)</w:t>
            </w:r>
          </w:p>
        </w:tc>
      </w:tr>
      <w:tr>
        <w:trPr>
          <w:gridBefore w:val="1"/>
          <w:wBefore w:w="7" w:type="dxa"/>
        </w:trPr>
        <w:tc>
          <w:tcPr>
            <w:tcW w:w="2268" w:type="dxa"/>
            <w:gridSpan w:val="2"/>
          </w:tcPr>
          <w:p>
            <w:pPr>
              <w:pStyle w:val="nTable"/>
              <w:spacing w:after="40"/>
              <w:rPr>
                <w:i/>
              </w:rPr>
            </w:pPr>
            <w:r>
              <w:rPr>
                <w:i/>
              </w:rPr>
              <w:t xml:space="preserve">Motor Vehicle Dealers Amendment Act 2002 </w:t>
            </w:r>
            <w:r>
              <w:t>s. 70</w:t>
            </w:r>
          </w:p>
        </w:tc>
        <w:tc>
          <w:tcPr>
            <w:tcW w:w="1134" w:type="dxa"/>
            <w:gridSpan w:val="2"/>
          </w:tcPr>
          <w:p>
            <w:pPr>
              <w:pStyle w:val="nTable"/>
              <w:spacing w:after="40"/>
            </w:pPr>
            <w:r>
              <w:t>4 of 2002</w:t>
            </w:r>
          </w:p>
        </w:tc>
        <w:tc>
          <w:tcPr>
            <w:tcW w:w="1134" w:type="dxa"/>
            <w:gridSpan w:val="2"/>
          </w:tcPr>
          <w:p>
            <w:pPr>
              <w:pStyle w:val="nTable"/>
              <w:spacing w:after="40"/>
            </w:pPr>
            <w:r>
              <w:t>4 Jun 2002</w:t>
            </w:r>
          </w:p>
        </w:tc>
        <w:tc>
          <w:tcPr>
            <w:tcW w:w="2551" w:type="dxa"/>
            <w:gridSpan w:val="2"/>
          </w:tcPr>
          <w:p>
            <w:pPr>
              <w:pStyle w:val="nTable"/>
              <w:spacing w:after="40"/>
              <w:rPr>
                <w:u w:val="single"/>
              </w:rPr>
            </w:pPr>
            <w:r>
              <w:t xml:space="preserve">1 Sep 2002 (see s. 2 and </w:t>
            </w:r>
            <w:r>
              <w:rPr>
                <w:i/>
              </w:rPr>
              <w:t xml:space="preserve">Gazette </w:t>
            </w:r>
            <w:r>
              <w:t>13 Aug 2002 p. 4151)</w:t>
            </w:r>
          </w:p>
        </w:tc>
      </w:tr>
      <w:tr>
        <w:trPr>
          <w:gridBefore w:val="1"/>
          <w:wBefore w:w="7" w:type="dxa"/>
          <w:cantSplit/>
        </w:trPr>
        <w:tc>
          <w:tcPr>
            <w:tcW w:w="7087" w:type="dxa"/>
            <w:gridSpan w:val="8"/>
          </w:tcPr>
          <w:p>
            <w:pPr>
              <w:pStyle w:val="nTable"/>
              <w:spacing w:after="40"/>
            </w:pPr>
            <w:r>
              <w:rPr>
                <w:b/>
              </w:rPr>
              <w:t xml:space="preserve">Reprint of the </w:t>
            </w:r>
            <w:r>
              <w:rPr>
                <w:b/>
                <w:i/>
              </w:rPr>
              <w:t>Chattel Securities Act 1987</w:t>
            </w:r>
            <w:r>
              <w:rPr>
                <w:b/>
              </w:rPr>
              <w:t xml:space="preserve"> as at 13 Dec 2002</w:t>
            </w:r>
            <w:r>
              <w:t xml:space="preserve"> (includes amendments listed above except those in the </w:t>
            </w:r>
            <w:r>
              <w:rPr>
                <w:i/>
                <w:iCs/>
              </w:rPr>
              <w:t>Road Traffic Amendment (Vehicle Licensing) Act 2001</w:t>
            </w:r>
            <w:r>
              <w:t xml:space="preserve">) (correction in </w:t>
            </w:r>
            <w:r>
              <w:rPr>
                <w:i/>
              </w:rPr>
              <w:t>Gazette</w:t>
            </w:r>
            <w:r>
              <w:t xml:space="preserve"> 24 Mar 2006 p. 1102)</w:t>
            </w:r>
          </w:p>
        </w:tc>
      </w:tr>
      <w:tr>
        <w:trPr>
          <w:gridBefore w:val="1"/>
          <w:wBefore w:w="7" w:type="dxa"/>
        </w:trPr>
        <w:tc>
          <w:tcPr>
            <w:tcW w:w="2268" w:type="dxa"/>
            <w:gridSpan w:val="2"/>
          </w:tcPr>
          <w:p>
            <w:pPr>
              <w:pStyle w:val="nTable"/>
              <w:spacing w:after="40"/>
              <w:rPr>
                <w:i/>
              </w:rPr>
            </w:pPr>
            <w:r>
              <w:rPr>
                <w:i/>
              </w:rPr>
              <w:t>Corporations (Consequential Amendments) Act (No. 2) 2003</w:t>
            </w:r>
            <w:r>
              <w:t xml:space="preserve"> Pt. 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Before w:val="1"/>
          <w:wBefore w:w="7" w:type="dxa"/>
        </w:trPr>
        <w:tc>
          <w:tcPr>
            <w:tcW w:w="2268" w:type="dxa"/>
            <w:gridSpan w:val="2"/>
          </w:tcPr>
          <w:p>
            <w:pPr>
              <w:pStyle w:val="nTable"/>
              <w:spacing w:after="40"/>
            </w:pPr>
            <w:r>
              <w:rPr>
                <w:i/>
              </w:rPr>
              <w:t>Statutes (Repeals and Minor Amendments) Act 2003</w:t>
            </w:r>
            <w:r>
              <w:t xml:space="preserve"> s. 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7" w:type="dxa"/>
          <w:cantSplit/>
        </w:trPr>
        <w:tc>
          <w:tcPr>
            <w:tcW w:w="2268" w:type="dxa"/>
            <w:gridSpan w:val="2"/>
          </w:tcPr>
          <w:p>
            <w:pPr>
              <w:pStyle w:val="nTable"/>
              <w:spacing w:after="40"/>
              <w:rPr>
                <w:i/>
              </w:rPr>
            </w:pPr>
            <w:r>
              <w:rPr>
                <w:i/>
              </w:rPr>
              <w:t>State Administrative Tribunal (Conferral of Jurisdiction) Amendment and Repeal Act 2004</w:t>
            </w:r>
            <w:r>
              <w:t xml:space="preserve"> Pt. 2 Div. 18</w:t>
            </w:r>
            <w:r>
              <w:rPr>
                <w:vertAlign w:val="superscript"/>
              </w:rPr>
              <w:t> 3</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gridBefore w:val="1"/>
          <w:wBefore w:w="7" w:type="dxa"/>
          <w:cantSplit/>
        </w:trPr>
        <w:tc>
          <w:tcPr>
            <w:tcW w:w="7087" w:type="dxa"/>
            <w:gridSpan w:val="8"/>
          </w:tcPr>
          <w:p>
            <w:pPr>
              <w:pStyle w:val="nTable"/>
              <w:spacing w:after="40"/>
              <w:rPr>
                <w:spacing w:val="-2"/>
              </w:rPr>
            </w:pPr>
            <w:r>
              <w:rPr>
                <w:b/>
              </w:rPr>
              <w:t xml:space="preserve">Reprint 2:  The </w:t>
            </w:r>
            <w:r>
              <w:rPr>
                <w:b/>
                <w:i/>
              </w:rPr>
              <w:t>Chattel Securities Act 1987</w:t>
            </w:r>
            <w:r>
              <w:rPr>
                <w:b/>
              </w:rPr>
              <w:t xml:space="preserve"> as at 21 Apr 2006</w:t>
            </w:r>
            <w:r>
              <w:t xml:space="preserve"> (includes amendments listed above except those in the </w:t>
            </w:r>
            <w:r>
              <w:rPr>
                <w:i/>
                <w:iCs/>
              </w:rPr>
              <w:t>Road Traffic Amendment (Vehicle Licensing) Act 2001</w:t>
            </w:r>
            <w:r>
              <w:t>)</w:t>
            </w:r>
          </w:p>
        </w:tc>
      </w:tr>
      <w:tr>
        <w:trPr>
          <w:gridBefore w:val="1"/>
          <w:wBefore w:w="7"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4 </w:t>
            </w:r>
            <w:r>
              <w:rPr>
                <w:vertAlign w:val="superscript"/>
              </w:rPr>
              <w:t>4</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rPr>
                <w:spacing w:val="-2"/>
              </w:rPr>
            </w:pPr>
            <w:r>
              <w:rPr>
                <w:spacing w:val="-2"/>
              </w:rPr>
              <w:t xml:space="preserve">1 Jul 2006 (see s. 2 and </w:t>
            </w:r>
            <w:r>
              <w:rPr>
                <w:i/>
                <w:iCs/>
                <w:spacing w:val="-2"/>
              </w:rPr>
              <w:t>Gazette</w:t>
            </w:r>
            <w:r>
              <w:rPr>
                <w:spacing w:val="-2"/>
              </w:rPr>
              <w:t xml:space="preserve"> 27 Jun 2006 p. 2347)</w:t>
            </w:r>
          </w:p>
        </w:tc>
      </w:tr>
      <w:tr>
        <w:trPr>
          <w:gridBefore w:val="1"/>
          <w:wBefore w:w="7" w:type="dxa"/>
        </w:trPr>
        <w:tc>
          <w:tcPr>
            <w:tcW w:w="2268" w:type="dxa"/>
            <w:gridSpan w:val="2"/>
          </w:tcPr>
          <w:p>
            <w:pPr>
              <w:pStyle w:val="nTable"/>
              <w:spacing w:after="40"/>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30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7" w:type="dxa"/>
          <w:cantSplit/>
        </w:trPr>
        <w:tc>
          <w:tcPr>
            <w:tcW w:w="2268" w:type="dxa"/>
            <w:gridSpan w:val="2"/>
          </w:tcPr>
          <w:p>
            <w:pPr>
              <w:pStyle w:val="nTable"/>
              <w:spacing w:after="40"/>
              <w:ind w:right="113"/>
              <w:rPr>
                <w:i/>
              </w:rPr>
            </w:pPr>
            <w:r>
              <w:rPr>
                <w:i/>
                <w:noProof/>
                <w:snapToGrid w:val="0"/>
              </w:rPr>
              <w:t>Acts Amendment (Fair Trading) Act 2010 </w:t>
            </w:r>
            <w:r>
              <w:rPr>
                <w:noProof/>
                <w:snapToGrid w:val="0"/>
              </w:rPr>
              <w:t>s.</w:t>
            </w:r>
            <w:r>
              <w:rPr>
                <w:i/>
                <w:noProof/>
                <w:snapToGrid w:val="0"/>
              </w:rPr>
              <w:t xml:space="preserve"> </w:t>
            </w:r>
            <w:r>
              <w:rPr>
                <w:iCs/>
                <w:noProof/>
                <w:snapToGrid w:val="0"/>
              </w:rPr>
              <w:t>186</w:t>
            </w:r>
          </w:p>
        </w:tc>
        <w:tc>
          <w:tcPr>
            <w:tcW w:w="1134" w:type="dxa"/>
            <w:gridSpan w:val="2"/>
          </w:tcPr>
          <w:p>
            <w:pPr>
              <w:pStyle w:val="nTable"/>
              <w:spacing w:after="40"/>
            </w:pPr>
            <w:r>
              <w:t>58 of 2010</w:t>
            </w:r>
          </w:p>
        </w:tc>
        <w:tc>
          <w:tcPr>
            <w:tcW w:w="1134" w:type="dxa"/>
            <w:gridSpan w:val="2"/>
          </w:tcPr>
          <w:p>
            <w:pPr>
              <w:pStyle w:val="nTable"/>
              <w:spacing w:after="40"/>
            </w:pPr>
            <w:r>
              <w:t>8 Dec 2010</w:t>
            </w:r>
          </w:p>
        </w:tc>
        <w:tc>
          <w:tcPr>
            <w:tcW w:w="2551" w:type="dxa"/>
            <w:gridSpan w:val="2"/>
          </w:tcPr>
          <w:p>
            <w:pPr>
              <w:pStyle w:val="nTable"/>
              <w:spacing w:after="40"/>
            </w:pPr>
            <w:r>
              <w:t xml:space="preserve">1 Jan 2011 (see s. 2(c) and </w:t>
            </w:r>
            <w:r>
              <w:rPr>
                <w:i/>
                <w:iCs/>
              </w:rPr>
              <w:t>Gazette</w:t>
            </w:r>
            <w:r>
              <w:t xml:space="preserve"> 24 Dec 2010 p. 6805)</w:t>
            </w:r>
          </w:p>
        </w:tc>
      </w:tr>
      <w:tr>
        <w:trPr>
          <w:gridAfter w:val="1"/>
          <w:wAfter w:w="7" w:type="dxa"/>
          <w:cantSplit/>
        </w:trPr>
        <w:tc>
          <w:tcPr>
            <w:tcW w:w="7087" w:type="dxa"/>
            <w:gridSpan w:val="8"/>
            <w:shd w:val="clear" w:color="auto" w:fill="auto"/>
          </w:tcPr>
          <w:p>
            <w:pPr>
              <w:pStyle w:val="nTable"/>
              <w:spacing w:after="40"/>
            </w:pPr>
            <w:r>
              <w:rPr>
                <w:b/>
              </w:rPr>
              <w:t xml:space="preserve">Reprint 3:  The </w:t>
            </w:r>
            <w:r>
              <w:rPr>
                <w:b/>
                <w:i/>
              </w:rPr>
              <w:t>Chattel Securities Act 1987</w:t>
            </w:r>
            <w:r>
              <w:rPr>
                <w:b/>
              </w:rPr>
              <w:t xml:space="preserve"> as at 23 Sep 2011</w:t>
            </w:r>
            <w:r>
              <w:t xml:space="preserve"> (includes amendments listed above)</w:t>
            </w:r>
          </w:p>
        </w:tc>
      </w:tr>
      <w:tr>
        <w:trPr>
          <w:gridAfter w:val="1"/>
          <w:wAfter w:w="7" w:type="dxa"/>
          <w:cantSplit/>
        </w:trPr>
        <w:tc>
          <w:tcPr>
            <w:tcW w:w="2268" w:type="dxa"/>
            <w:gridSpan w:val="2"/>
          </w:tcPr>
          <w:p>
            <w:pPr>
              <w:pStyle w:val="nTable"/>
              <w:spacing w:after="40"/>
              <w:ind w:right="113"/>
              <w:rPr>
                <w:i/>
              </w:rPr>
            </w:pPr>
            <w:r>
              <w:rPr>
                <w:i/>
                <w:noProof/>
                <w:snapToGrid w:val="0"/>
              </w:rPr>
              <w:t>Personal Property Securities (Consequential Repeals and Amendments) Act 2011</w:t>
            </w:r>
            <w:r>
              <w:rPr>
                <w:noProof/>
                <w:snapToGrid w:val="0"/>
              </w:rPr>
              <w:t xml:space="preserve"> Pt. 4 Div. 2</w:t>
            </w:r>
          </w:p>
        </w:tc>
        <w:tc>
          <w:tcPr>
            <w:tcW w:w="1134" w:type="dxa"/>
            <w:gridSpan w:val="2"/>
          </w:tcPr>
          <w:p>
            <w:pPr>
              <w:pStyle w:val="nTable"/>
              <w:spacing w:after="40"/>
            </w:pPr>
            <w:r>
              <w:t>42 of 2011</w:t>
            </w:r>
          </w:p>
        </w:tc>
        <w:tc>
          <w:tcPr>
            <w:tcW w:w="1134" w:type="dxa"/>
            <w:gridSpan w:val="2"/>
          </w:tcPr>
          <w:p>
            <w:pPr>
              <w:pStyle w:val="nTable"/>
              <w:spacing w:after="40"/>
            </w:pPr>
            <w:r>
              <w:t>4 Oct 2011</w:t>
            </w:r>
          </w:p>
        </w:tc>
        <w:tc>
          <w:tcPr>
            <w:tcW w:w="2551" w:type="dxa"/>
            <w:gridSpan w:val="2"/>
          </w:tcPr>
          <w:p>
            <w:pPr>
              <w:pStyle w:val="nTable"/>
              <w:spacing w:after="40"/>
            </w:pPr>
            <w:r>
              <w:t>5 Oct 2011 (see s. 2(b))</w:t>
            </w:r>
          </w:p>
        </w:tc>
      </w:tr>
      <w:tr>
        <w:trPr>
          <w:gridAfter w:val="1"/>
          <w:wAfter w:w="7" w:type="dxa"/>
          <w:cantSplit/>
        </w:trPr>
        <w:tc>
          <w:tcPr>
            <w:tcW w:w="2268" w:type="dxa"/>
            <w:gridSpan w:val="2"/>
            <w:tcBorders>
              <w:bottom w:val="single" w:sz="4" w:space="0" w:color="auto"/>
            </w:tcBorders>
          </w:tcPr>
          <w:p>
            <w:pPr>
              <w:pStyle w:val="nTable"/>
              <w:spacing w:after="40"/>
              <w:ind w:right="113"/>
              <w:rPr>
                <w:i/>
                <w:noProof/>
                <w:snapToGrid w:val="0"/>
              </w:rPr>
            </w:pPr>
            <w:r>
              <w:rPr>
                <w:i/>
                <w:noProof/>
                <w:snapToGrid w:val="0"/>
              </w:rPr>
              <w:t xml:space="preserve">Road Traffic Legislation Amendment Act 2012 </w:t>
            </w:r>
            <w:r>
              <w:rPr>
                <w:noProof/>
                <w:snapToGrid w:val="0"/>
              </w:rPr>
              <w:t>Pt. 4 Div. 5</w:t>
            </w:r>
          </w:p>
        </w:tc>
        <w:tc>
          <w:tcPr>
            <w:tcW w:w="1134" w:type="dxa"/>
            <w:gridSpan w:val="2"/>
            <w:tcBorders>
              <w:bottom w:val="single" w:sz="4" w:space="0" w:color="auto"/>
            </w:tcBorders>
          </w:tcPr>
          <w:p>
            <w:pPr>
              <w:pStyle w:val="nTable"/>
              <w:spacing w:after="40"/>
            </w:pPr>
            <w:r>
              <w:t>8 of 2012</w:t>
            </w:r>
          </w:p>
        </w:tc>
        <w:tc>
          <w:tcPr>
            <w:tcW w:w="1134" w:type="dxa"/>
            <w:gridSpan w:val="2"/>
            <w:tcBorders>
              <w:bottom w:val="single" w:sz="4" w:space="0" w:color="auto"/>
            </w:tcBorders>
          </w:tcPr>
          <w:p>
            <w:pPr>
              <w:pStyle w:val="nTable"/>
              <w:spacing w:after="40"/>
            </w:pPr>
            <w:r>
              <w:t>21 May 2012</w:t>
            </w:r>
          </w:p>
        </w:tc>
        <w:tc>
          <w:tcPr>
            <w:tcW w:w="2551" w:type="dxa"/>
            <w:gridSpan w:val="2"/>
            <w:tcBorders>
              <w:bottom w:val="single" w:sz="4" w:space="0" w:color="auto"/>
            </w:tcBorders>
          </w:tcPr>
          <w:p>
            <w:pPr>
              <w:pStyle w:val="nTable"/>
              <w:spacing w:after="40"/>
            </w:pPr>
            <w:r>
              <w:rPr>
                <w:snapToGrid w:val="0"/>
              </w:rPr>
              <w:t xml:space="preserve">27 Apr 2015 (see s. 2(d) and </w:t>
            </w:r>
            <w:r>
              <w:rPr>
                <w:i/>
                <w:snapToGrid w:val="0"/>
              </w:rPr>
              <w:t>Gazette</w:t>
            </w:r>
            <w:r>
              <w:rPr>
                <w:snapToGrid w:val="0"/>
              </w:rPr>
              <w:t xml:space="preserve"> 17 Apr 2015 p. 1371) </w:t>
            </w:r>
          </w:p>
        </w:tc>
      </w:tr>
    </w:tbl>
    <w:p>
      <w:pPr>
        <w:pStyle w:val="nSubsection"/>
        <w:tabs>
          <w:tab w:val="left" w:pos="4788"/>
        </w:tabs>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the </w:t>
      </w:r>
      <w:r>
        <w:rPr>
          <w:i/>
          <w:iCs/>
        </w:rPr>
        <w:t>Reprints Act 1984</w:t>
      </w:r>
      <w:r>
        <w:t xml:space="preserve"> s. 7(4)(e).</w:t>
      </w:r>
    </w:p>
    <w:p>
      <w:pPr>
        <w:pStyle w:val="nSubsection"/>
        <w:tabs>
          <w:tab w:val="left" w:pos="4788"/>
        </w:tabs>
        <w:spacing w:before="16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to this Act.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10" w:name="_Toc415234469"/>
      <w:bookmarkStart w:id="111" w:name="_Toc535589482"/>
      <w:r>
        <w:rPr>
          <w:sz w:val="28"/>
        </w:rPr>
        <w:t>Defined terms</w:t>
      </w:r>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23(1)</w:t>
      </w:r>
    </w:p>
    <w:p>
      <w:pPr>
        <w:pStyle w:val="DefinedTerms"/>
      </w:pPr>
      <w:r>
        <w:t>approved form</w:t>
      </w:r>
      <w:r>
        <w:tab/>
        <w:t>3(1)</w:t>
      </w:r>
    </w:p>
    <w:p>
      <w:pPr>
        <w:pStyle w:val="DefinedTerms"/>
      </w:pPr>
      <w:r>
        <w:t>commercial vehicle</w:t>
      </w:r>
      <w:r>
        <w:tab/>
        <w:t>3(1)</w:t>
      </w:r>
    </w:p>
    <w:p>
      <w:pPr>
        <w:pStyle w:val="DefinedTerms"/>
      </w:pPr>
      <w:r>
        <w:t>Commissioner</w:t>
      </w:r>
      <w:r>
        <w:tab/>
        <w:t>3(1)</w:t>
      </w:r>
    </w:p>
    <w:p>
      <w:pPr>
        <w:pStyle w:val="DefinedTerms"/>
      </w:pPr>
      <w:r>
        <w:t>dealer</w:t>
      </w:r>
      <w:r>
        <w:tab/>
        <w:t>3(1)</w:t>
      </w:r>
    </w:p>
    <w:p>
      <w:pPr>
        <w:pStyle w:val="DefinedTerms"/>
      </w:pPr>
      <w:r>
        <w:t>debtor</w:t>
      </w:r>
      <w:r>
        <w:tab/>
        <w:t>3(1)</w:t>
      </w:r>
    </w:p>
    <w:p>
      <w:pPr>
        <w:pStyle w:val="DefinedTerms"/>
      </w:pPr>
      <w:r>
        <w:t>Department</w:t>
      </w:r>
      <w:r>
        <w:tab/>
        <w:t>3(1)</w:t>
      </w:r>
    </w:p>
    <w:p>
      <w:pPr>
        <w:pStyle w:val="DefinedTerms"/>
      </w:pPr>
      <w:r>
        <w:t>entries</w:t>
      </w:r>
      <w:r>
        <w:tab/>
        <w:t>23(4)</w:t>
      </w:r>
    </w:p>
    <w:p>
      <w:pPr>
        <w:pStyle w:val="DefinedTerms"/>
      </w:pPr>
      <w:r>
        <w:t>executive officer</w:t>
      </w:r>
      <w:r>
        <w:tab/>
        <w:t>3A(3)</w:t>
      </w:r>
    </w:p>
    <w:p>
      <w:pPr>
        <w:pStyle w:val="DefinedTerms"/>
      </w:pPr>
      <w:r>
        <w:t>farm machinery</w:t>
      </w:r>
      <w:r>
        <w:tab/>
        <w:t>3(1)</w:t>
      </w:r>
    </w:p>
    <w:p>
      <w:pPr>
        <w:pStyle w:val="DefinedTerms"/>
      </w:pPr>
      <w:r>
        <w:t>goods</w:t>
      </w:r>
      <w:r>
        <w:tab/>
        <w:t>3(1)</w:t>
      </w:r>
    </w:p>
    <w:p>
      <w:pPr>
        <w:pStyle w:val="DefinedTerms"/>
      </w:pPr>
      <w:r>
        <w:t>hire</w:t>
      </w:r>
      <w:r>
        <w:noBreakHyphen/>
        <w:t>purchase agreement</w:t>
      </w:r>
      <w:r>
        <w:tab/>
        <w:t>3(1)</w:t>
      </w:r>
    </w:p>
    <w:p>
      <w:pPr>
        <w:pStyle w:val="DefinedTerms"/>
      </w:pPr>
      <w:r>
        <w:t>hirer</w:t>
      </w:r>
      <w:r>
        <w:tab/>
        <w:t>3(1)</w:t>
      </w:r>
    </w:p>
    <w:p>
      <w:pPr>
        <w:pStyle w:val="DefinedTerms"/>
      </w:pPr>
      <w:r>
        <w:t>information</w:t>
      </w:r>
      <w:r>
        <w:tab/>
        <w:t>30B(3)</w:t>
      </w:r>
    </w:p>
    <w:p>
      <w:pPr>
        <w:pStyle w:val="DefinedTerms"/>
      </w:pPr>
      <w:r>
        <w:t>inventory security interest</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migration time</w:t>
      </w:r>
      <w:r>
        <w:tab/>
        <w:t>3B</w:t>
      </w:r>
    </w:p>
    <w:p>
      <w:pPr>
        <w:pStyle w:val="DefinedTerms"/>
      </w:pPr>
      <w:r>
        <w:t>owner</w:t>
      </w:r>
      <w:r>
        <w:tab/>
        <w:t>3(1)</w:t>
      </w:r>
    </w:p>
    <w:p>
      <w:pPr>
        <w:pStyle w:val="DefinedTerms"/>
      </w:pPr>
      <w:r>
        <w:t>pre</w:t>
      </w:r>
      <w:r>
        <w:noBreakHyphen/>
        <w:t>PPS transition period</w:t>
      </w:r>
      <w:r>
        <w:tab/>
        <w:t>3B</w:t>
      </w:r>
    </w:p>
    <w:p>
      <w:pPr>
        <w:pStyle w:val="DefinedTerms"/>
      </w:pPr>
      <w:r>
        <w:t>primary provision</w:t>
      </w:r>
      <w:r>
        <w:tab/>
        <w:t>3C(1)</w:t>
      </w:r>
    </w:p>
    <w:p>
      <w:pPr>
        <w:pStyle w:val="DefinedTerms"/>
      </w:pPr>
      <w:r>
        <w:t>purchase</w:t>
      </w:r>
      <w:r>
        <w:tab/>
        <w:t>3(1)</w:t>
      </w:r>
    </w:p>
    <w:p>
      <w:pPr>
        <w:pStyle w:val="DefinedTerms"/>
      </w:pPr>
      <w:r>
        <w:t>purchase price</w:t>
      </w:r>
      <w:r>
        <w:tab/>
        <w:t>3(1)</w:t>
      </w:r>
    </w:p>
    <w:p>
      <w:pPr>
        <w:pStyle w:val="DefinedTerms"/>
      </w:pPr>
      <w:r>
        <w:t>purchaser</w:t>
      </w:r>
      <w:r>
        <w:tab/>
        <w:t>3(1)</w:t>
      </w:r>
    </w:p>
    <w:p>
      <w:pPr>
        <w:pStyle w:val="DefinedTerms"/>
      </w:pPr>
      <w:r>
        <w:t>register</w:t>
      </w:r>
      <w:r>
        <w:tab/>
        <w:t>3(1)</w:t>
      </w:r>
    </w:p>
    <w:p>
      <w:pPr>
        <w:pStyle w:val="DefinedTerms"/>
      </w:pPr>
      <w:r>
        <w:t>registered</w:t>
      </w:r>
      <w:r>
        <w:tab/>
        <w:t>3(1)</w:t>
      </w:r>
    </w:p>
    <w:p>
      <w:pPr>
        <w:pStyle w:val="DefinedTerms"/>
      </w:pPr>
      <w:r>
        <w:t>registrable goods</w:t>
      </w:r>
      <w:r>
        <w:tab/>
        <w:t>3(1)</w:t>
      </w:r>
    </w:p>
    <w:p>
      <w:pPr>
        <w:pStyle w:val="DefinedTerms"/>
      </w:pPr>
      <w:r>
        <w:t>Registrar</w:t>
      </w:r>
      <w:r>
        <w:tab/>
        <w:t>3B</w:t>
      </w:r>
    </w:p>
    <w:p>
      <w:pPr>
        <w:pStyle w:val="DefinedTerms"/>
      </w:pPr>
      <w:r>
        <w:t>registration commencement time</w:t>
      </w:r>
      <w:r>
        <w:tab/>
        <w:t>3B</w:t>
      </w:r>
    </w:p>
    <w:p>
      <w:pPr>
        <w:pStyle w:val="DefinedTerms"/>
      </w:pPr>
      <w:r>
        <w:t>registration function</w:t>
      </w:r>
      <w:r>
        <w:tab/>
        <w:t>3B</w:t>
      </w:r>
    </w:p>
    <w:p>
      <w:pPr>
        <w:pStyle w:val="DefinedTerms"/>
      </w:pPr>
      <w:r>
        <w:t>related provision</w:t>
      </w:r>
      <w:r>
        <w:tab/>
        <w:t>3C(1)</w:t>
      </w:r>
    </w:p>
    <w:p>
      <w:pPr>
        <w:pStyle w:val="DefinedTerms"/>
      </w:pPr>
      <w:r>
        <w:t>secured party</w:t>
      </w:r>
      <w:r>
        <w:tab/>
        <w:t>3(1)</w:t>
      </w:r>
    </w:p>
    <w:p>
      <w:pPr>
        <w:pStyle w:val="DefinedTerms"/>
      </w:pPr>
      <w:r>
        <w:t>security interest</w:t>
      </w:r>
      <w:r>
        <w:tab/>
        <w:t>3(1)</w:t>
      </w:r>
    </w:p>
    <w:p>
      <w:pPr>
        <w:pStyle w:val="DefinedTerms"/>
      </w:pPr>
      <w:r>
        <w:t>supply</w:t>
      </w:r>
      <w:r>
        <w:tab/>
        <w:t>3(1)</w:t>
      </w:r>
    </w:p>
    <w:p>
      <w:pPr>
        <w:pStyle w:val="DefinedTerms"/>
      </w:pPr>
      <w:r>
        <w:t>trailer</w:t>
      </w:r>
      <w:r>
        <w:tab/>
        <w:t>3(1)</w:t>
      </w:r>
    </w:p>
    <w:p>
      <w:pPr>
        <w:pStyle w:val="DefinedTerms"/>
      </w:pPr>
      <w:r>
        <w:t>unregistered security interest</w:t>
      </w:r>
      <w:r>
        <w:tab/>
        <w:t>3(1)</w:t>
      </w:r>
    </w:p>
    <w:p>
      <w:pPr>
        <w:pStyle w:val="DefinedTerms"/>
      </w:pPr>
      <w:r>
        <w:t>unregistrable goods</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813"/>
    <w:docVar w:name="WAFER_20140110152630" w:val="RemoveTocBookmarks,RemoveUnusedBookmarks,RemoveLanguageTags,UsedStyles,ResetPageSize"/>
    <w:docVar w:name="WAFER_20140110152630_GUID" w:val="7705efe8-0f55-4122-8cf7-e5986ae09603"/>
    <w:docVar w:name="WAFER_20140110152859" w:val="RemoveTocBookmarks,RunningHeaders"/>
    <w:docVar w:name="WAFER_20140110152859_GUID" w:val="61a961c1-c528-438c-ad3e-6a147a0e703f"/>
    <w:docVar w:name="WAFER_20150327152800" w:val="ResetPageSize,UpdateArrangement,UpdateNTable"/>
    <w:docVar w:name="WAFER_20150327152800_GUID" w:val="59542d36-19ba-442a-a246-d15a19a36323"/>
    <w:docVar w:name="WAFER_20151102150813" w:val="UpdateStyles,UsedStyles"/>
    <w:docVar w:name="WAFER_20151102150813_GUID" w:val="345145df-54a7-4faf-b9c6-7d76a23c5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8299</Words>
  <Characters>39425</Characters>
  <Application>Microsoft Office Word</Application>
  <DocSecurity>0</DocSecurity>
  <Lines>1095</Lines>
  <Paragraphs>604</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1987 - 03-d0-02</dc:title>
  <dc:subject/>
  <dc:creator/>
  <cp:keywords/>
  <dc:description/>
  <cp:lastModifiedBy>svcMRProcess</cp:lastModifiedBy>
  <cp:revision>4</cp:revision>
  <cp:lastPrinted>2011-09-23T02:30:00Z</cp:lastPrinted>
  <dcterms:created xsi:type="dcterms:W3CDTF">2019-01-18T07:41:00Z</dcterms:created>
  <dcterms:modified xsi:type="dcterms:W3CDTF">2019-01-18T07:41:00Z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119</vt:i4>
  </property>
  <property fmtid="{D5CDD505-2E9C-101B-9397-08002B2CF9AE}" pid="6" name="ReprintNo">
    <vt:lpwstr>3</vt:lpwstr>
  </property>
  <property fmtid="{D5CDD505-2E9C-101B-9397-08002B2CF9AE}" pid="7" name="ReprintedAsAt">
    <vt:filetime>2011-09-22T16:00:00Z</vt:filetime>
  </property>
  <property fmtid="{D5CDD505-2E9C-101B-9397-08002B2CF9AE}" pid="8" name="AsAtDate">
    <vt:lpwstr>27 Apr 2015</vt:lpwstr>
  </property>
  <property fmtid="{D5CDD505-2E9C-101B-9397-08002B2CF9AE}" pid="9" name="Suffix">
    <vt:lpwstr>03-d0-02</vt:lpwstr>
  </property>
</Properties>
</file>