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Children’s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_Toc139270555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_Toc139270556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_Toc139270557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_Toc139270558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_Toc139270559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_Toc139270560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_Toc139270561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_Toc139270562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_Toc139270563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_Toc139270564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_Toc139270565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_Toc139270571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_Toc139270572 \h </w:instrText>
      </w:r>
      <w:r>
        <w:fldChar w:fldCharType="separate"/>
      </w:r>
      <w:r>
        <w:t>14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_Toc139270574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13927055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13927055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4713"/>
      <w:bookmarkStart w:id="21" w:name="_Toc138836652"/>
      <w:bookmarkStart w:id="22" w:name="_Toc139270557"/>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139270558"/>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139270559"/>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139270560"/>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139270561"/>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139270562"/>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Heading5"/>
        <w:rPr>
          <w:snapToGrid w:val="0"/>
        </w:rPr>
      </w:pPr>
      <w:bookmarkStart w:id="79" w:name="_Toc61252563"/>
      <w:bookmarkStart w:id="80" w:name="_Toc96402835"/>
      <w:bookmarkStart w:id="81" w:name="_Toc100634719"/>
      <w:bookmarkStart w:id="82" w:name="_Toc138836658"/>
      <w:bookmarkStart w:id="83" w:name="_Toc139270563"/>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139270564"/>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139270565"/>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r>
        <w:rPr>
          <w:rStyle w:val="CharSchNo"/>
        </w:rPr>
        <w:t>Schedule 1</w:t>
      </w:r>
      <w:r>
        <w:t> — </w:t>
      </w:r>
      <w:r>
        <w:rPr>
          <w:rStyle w:val="CharSchText"/>
        </w:rPr>
        <w:t>Fees</w:t>
      </w:r>
      <w:bookmarkEnd w:id="92"/>
      <w:bookmarkEnd w:id="93"/>
      <w:bookmarkEnd w:id="94"/>
      <w:bookmarkEnd w:id="95"/>
    </w:p>
    <w:p>
      <w:pPr>
        <w:pStyle w:val="yShoulderClause"/>
      </w:pPr>
      <w:r>
        <w:t>[r. 4]</w:t>
      </w:r>
    </w:p>
    <w:p>
      <w:pPr>
        <w:pStyle w:val="yHeading3"/>
        <w:spacing w:after="120"/>
      </w:pPr>
      <w:bookmarkStart w:id="96" w:name="_Toc96756237"/>
      <w:bookmarkStart w:id="97" w:name="_Toc100634723"/>
      <w:bookmarkStart w:id="98" w:name="_Toc138836662"/>
      <w:bookmarkStart w:id="99" w:name="_Toc138836730"/>
      <w:bookmarkStart w:id="100" w:name="_Toc139270567"/>
      <w:r>
        <w:rPr>
          <w:rStyle w:val="CharSDivNo"/>
        </w:rPr>
        <w:t>Division 1</w:t>
      </w:r>
      <w:r>
        <w:rPr>
          <w:b w:val="0"/>
        </w:rPr>
        <w:t> — </w:t>
      </w:r>
      <w:r>
        <w:rPr>
          <w:rStyle w:val="CharSDivText"/>
        </w:rPr>
        <w:t>General</w:t>
      </w:r>
      <w:bookmarkEnd w:id="96"/>
      <w:bookmarkEnd w:id="97"/>
      <w:bookmarkEnd w:id="98"/>
      <w:bookmarkEnd w:id="99"/>
      <w:bookmarkEnd w:id="100"/>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39.50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1.00</w:t>
            </w:r>
            <w:r>
              <w:rPr>
                <w:sz w:val="20"/>
              </w:rPr>
              <w:br/>
            </w:r>
            <w:r>
              <w:rPr>
                <w:sz w:val="20"/>
              </w:rPr>
              <w:br/>
              <w:t>1.10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23.00</w:t>
            </w:r>
          </w:p>
          <w:p>
            <w:pPr>
              <w:pStyle w:val="yTable"/>
              <w:spacing w:before="0"/>
              <w:jc w:val="center"/>
              <w:rPr>
                <w:sz w:val="20"/>
              </w:rPr>
            </w:pPr>
            <w:r>
              <w:rPr>
                <w:sz w:val="20"/>
              </w:rPr>
              <w:br/>
            </w:r>
            <w:r>
              <w:rPr>
                <w:sz w:val="20"/>
              </w:rPr>
              <w:br/>
            </w:r>
            <w:r>
              <w:rPr>
                <w:sz w:val="20"/>
              </w:rPr>
              <w:br/>
              <w:t>23.00</w:t>
            </w:r>
          </w:p>
          <w:p>
            <w:pPr>
              <w:pStyle w:val="yTable"/>
              <w:jc w:val="center"/>
              <w:rPr>
                <w:sz w:val="20"/>
              </w:rPr>
            </w:pPr>
            <w:r>
              <w:rPr>
                <w:sz w:val="20"/>
              </w:rPr>
              <w:br/>
              <w:t>57.00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34.00</w:t>
            </w:r>
          </w:p>
          <w:p>
            <w:pPr>
              <w:pStyle w:val="yTable"/>
              <w:jc w:val="center"/>
              <w:rPr>
                <w:sz w:val="20"/>
              </w:rPr>
            </w:pPr>
            <w:r>
              <w:rPr>
                <w:sz w:val="20"/>
              </w:rPr>
              <w:br/>
            </w:r>
            <w:r>
              <w:rPr>
                <w:sz w:val="20"/>
              </w:rPr>
              <w:br/>
            </w:r>
            <w:r>
              <w:rPr>
                <w:sz w:val="20"/>
              </w:rPr>
              <w:br/>
            </w:r>
            <w:r>
              <w:rPr>
                <w:sz w:val="20"/>
              </w:rPr>
              <w:br/>
            </w:r>
            <w:r>
              <w:rPr>
                <w:sz w:val="20"/>
              </w:rPr>
              <w:br/>
            </w:r>
            <w:r>
              <w:rPr>
                <w:sz w:val="20"/>
              </w:rPr>
              <w:br/>
              <w:t>57.00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8.00</w:t>
            </w:r>
          </w:p>
          <w:p>
            <w:pPr>
              <w:pStyle w:val="yTable"/>
              <w:jc w:val="center"/>
              <w:rPr>
                <w:sz w:val="20"/>
              </w:rPr>
            </w:pPr>
            <w:r>
              <w:rPr>
                <w:sz w:val="20"/>
              </w:rPr>
              <w:br/>
            </w:r>
            <w:r>
              <w:rPr>
                <w:sz w:val="20"/>
              </w:rPr>
              <w:br/>
              <w:t>1.00</w:t>
            </w:r>
          </w:p>
          <w:p>
            <w:pPr>
              <w:pStyle w:val="yTable"/>
              <w:jc w:val="center"/>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4.50</w:t>
            </w:r>
          </w:p>
          <w:p>
            <w:pPr>
              <w:pStyle w:val="yTable"/>
              <w:jc w:val="center"/>
              <w:rPr>
                <w:sz w:val="20"/>
              </w:rPr>
            </w:pPr>
            <w:r>
              <w:rPr>
                <w:sz w:val="20"/>
              </w:rPr>
              <w:br/>
            </w:r>
            <w:r>
              <w:rPr>
                <w:sz w:val="20"/>
              </w:rPr>
              <w:br/>
            </w:r>
            <w:r>
              <w:rPr>
                <w:sz w:val="20"/>
              </w:rPr>
              <w:br/>
            </w:r>
            <w:r>
              <w:rPr>
                <w:sz w:val="20"/>
              </w:rPr>
              <w:br/>
              <w:t>11.00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$16.00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01" w:name="_Toc96756238"/>
      <w:bookmarkStart w:id="102" w:name="_Toc100634724"/>
      <w:r>
        <w:tab/>
        <w:t>[Division 1 amended in Gazette 23 Jun 2006 p. 2182.]</w:t>
      </w:r>
    </w:p>
    <w:p>
      <w:pPr>
        <w:pStyle w:val="yHeading3"/>
        <w:spacing w:after="240"/>
      </w:pPr>
      <w:bookmarkStart w:id="103" w:name="_Toc138836663"/>
      <w:bookmarkStart w:id="104" w:name="_Toc138836731"/>
      <w:bookmarkStart w:id="105" w:name="_Toc139270568"/>
      <w:r>
        <w:rPr>
          <w:rStyle w:val="CharSDivNo"/>
        </w:rPr>
        <w:t>Division 2</w:t>
      </w:r>
      <w:r>
        <w:rPr>
          <w:b w:val="0"/>
        </w:rPr>
        <w:t> — </w:t>
      </w:r>
      <w:r>
        <w:rPr>
          <w:rStyle w:val="CharSDivText"/>
        </w:rPr>
        <w:t>Civil jurisdiction</w:t>
      </w:r>
      <w:bookmarkEnd w:id="101"/>
      <w:bookmarkEnd w:id="102"/>
      <w:bookmarkEnd w:id="103"/>
      <w:bookmarkEnd w:id="104"/>
      <w:bookmarkEnd w:id="105"/>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t>66.00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r>
              <w:rPr>
                <w:sz w:val="20"/>
              </w:rPr>
              <w:t>72.50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t>72.50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19.25</w:t>
            </w:r>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r>
              <w:rPr>
                <w:sz w:val="20"/>
              </w:rPr>
              <w:t>169.00</w:t>
            </w:r>
          </w:p>
        </w:tc>
      </w:tr>
    </w:tbl>
    <w:p>
      <w:pPr>
        <w:pStyle w:val="yFootnotesection"/>
      </w:pPr>
      <w:bookmarkStart w:id="106" w:name="_Toc96756239"/>
      <w:bookmarkStart w:id="107" w:name="_Toc100634725"/>
      <w:r>
        <w:tab/>
        <w:t>[Division 2 amended in Gazette 30 Aug 2005 p. 4054; 23 Jun 2006 p. 2183.]</w:t>
      </w:r>
    </w:p>
    <w:p>
      <w:pPr>
        <w:pStyle w:val="yHeading3"/>
        <w:spacing w:after="240"/>
      </w:pPr>
      <w:bookmarkStart w:id="108" w:name="_Toc138836664"/>
      <w:bookmarkStart w:id="109" w:name="_Toc138836732"/>
      <w:bookmarkStart w:id="110" w:name="_Toc139270569"/>
      <w:r>
        <w:rPr>
          <w:rStyle w:val="CharSDivNo"/>
        </w:rPr>
        <w:t>Division 3</w:t>
      </w:r>
      <w:r>
        <w:rPr>
          <w:b w:val="0"/>
        </w:rPr>
        <w:t> — </w:t>
      </w:r>
      <w:r>
        <w:rPr>
          <w:rStyle w:val="CharSDivText"/>
        </w:rPr>
        <w:t>Criminal jurisdiction</w:t>
      </w:r>
      <w:bookmarkEnd w:id="106"/>
      <w:bookmarkEnd w:id="107"/>
      <w:bookmarkEnd w:id="108"/>
      <w:bookmarkEnd w:id="109"/>
      <w:bookmarkEnd w:id="110"/>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55.50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10.50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55.50</w:t>
            </w:r>
          </w:p>
          <w:p>
            <w:pPr>
              <w:pStyle w:val="yTable"/>
              <w:jc w:val="center"/>
              <w:rPr>
                <w:sz w:val="20"/>
              </w:rPr>
            </w:pPr>
            <w:r>
              <w:rPr>
                <w:sz w:val="20"/>
              </w:rPr>
              <w:t>72.50</w:t>
            </w:r>
          </w:p>
        </w:tc>
      </w:tr>
    </w:tbl>
    <w:p>
      <w:pPr>
        <w:pStyle w:val="yFootnotesection"/>
      </w:pPr>
      <w:bookmarkStart w:id="111" w:name="_Toc100634726"/>
      <w:r>
        <w:tab/>
        <w:t>[Division 3 amended in Gazette 23 Jun 2006 p. 2183.]</w:t>
      </w:r>
    </w:p>
    <w:p>
      <w:pPr>
        <w:pStyle w:val="yScheduleHeading"/>
      </w:pPr>
      <w:bookmarkStart w:id="112" w:name="_Toc138836665"/>
      <w:bookmarkStart w:id="113" w:name="_Toc138836733"/>
      <w:bookmarkStart w:id="114" w:name="_Toc139270570"/>
      <w:r>
        <w:rPr>
          <w:rStyle w:val="CharSchNo"/>
        </w:rPr>
        <w:t>Schedule 2</w:t>
      </w:r>
      <w:r>
        <w:rPr>
          <w:rStyle w:val="CharSDivNo"/>
        </w:rPr>
        <w:t> </w:t>
      </w:r>
      <w:r>
        <w:t>—</w:t>
      </w:r>
      <w:r>
        <w:rPr>
          <w:rStyle w:val="CharSDivText"/>
        </w:rPr>
        <w:t> </w:t>
      </w:r>
      <w:r>
        <w:rPr>
          <w:rStyle w:val="CharSchText"/>
        </w:rPr>
        <w:t>Forms</w:t>
      </w:r>
      <w:bookmarkEnd w:id="111"/>
      <w:bookmarkEnd w:id="112"/>
      <w:bookmarkEnd w:id="113"/>
      <w:bookmarkEnd w:id="114"/>
    </w:p>
    <w:p>
      <w:pPr>
        <w:pStyle w:val="yShoulderClause"/>
      </w:pPr>
      <w:r>
        <w:t>[r. 8(6), 10(2)]</w:t>
      </w:r>
    </w:p>
    <w:p>
      <w:pPr>
        <w:pStyle w:val="yHeading5"/>
        <w:spacing w:after="120"/>
      </w:pPr>
      <w:bookmarkStart w:id="115" w:name="_Toc96398511"/>
      <w:bookmarkStart w:id="116" w:name="_Toc100634727"/>
      <w:bookmarkStart w:id="117" w:name="_Toc138836666"/>
      <w:bookmarkStart w:id="118" w:name="_Toc139270571"/>
      <w:r>
        <w:rPr>
          <w:rStyle w:val="CharSClsNo"/>
        </w:rPr>
        <w:t>1</w:t>
      </w:r>
      <w:r>
        <w:t>.</w:t>
      </w:r>
      <w:r>
        <w:tab/>
        <w:t>Application to remit fees</w:t>
      </w:r>
      <w:bookmarkEnd w:id="115"/>
      <w:bookmarkEnd w:id="116"/>
      <w:bookmarkEnd w:id="117"/>
      <w:bookmarkEnd w:id="11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19" w:name="_Toc97609776"/>
      <w:bookmarkStart w:id="120" w:name="_Toc100634728"/>
      <w:bookmarkStart w:id="121" w:name="_Toc138836667"/>
      <w:bookmarkStart w:id="122" w:name="_Toc139270572"/>
      <w:r>
        <w:rPr>
          <w:rStyle w:val="CharSClsNo"/>
        </w:rPr>
        <w:t>2</w:t>
      </w:r>
      <w:r>
        <w:t>.</w:t>
      </w:r>
      <w:r>
        <w:tab/>
        <w:t>Application for determination of dispute about fees</w:t>
      </w:r>
      <w:bookmarkEnd w:id="119"/>
      <w:bookmarkEnd w:id="120"/>
      <w:bookmarkEnd w:id="121"/>
      <w:bookmarkEnd w:id="12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23" w:name="_Toc102453637"/>
      <w:bookmarkStart w:id="124" w:name="_Toc102453907"/>
      <w:bookmarkStart w:id="125" w:name="_Toc113162208"/>
      <w:bookmarkStart w:id="126" w:name="_Toc138836668"/>
      <w:bookmarkStart w:id="127" w:name="_Toc138836736"/>
      <w:bookmarkStart w:id="128" w:name="_Toc139270573"/>
      <w:r>
        <w:t>Notes</w:t>
      </w:r>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29" w:name="_Toc70311430"/>
      <w:bookmarkStart w:id="130" w:name="_Toc138836669"/>
      <w:bookmarkStart w:id="131" w:name="_Toc139270574"/>
      <w:r>
        <w:t>Compilation table</w:t>
      </w:r>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Borders>
              <w:bottom w:val="single" w:sz="4" w:space="0" w:color="auto"/>
            </w:tcBorders>
          </w:tcPr>
          <w:p>
            <w:pPr>
              <w:pStyle w:val="nTable"/>
              <w:rPr>
                <w:i/>
                <w:sz w:val="19"/>
              </w:rPr>
            </w:pPr>
            <w:r>
              <w:rPr>
                <w:i/>
                <w:sz w:val="19"/>
              </w:rPr>
              <w:t>Children’s Court (Fees) Amendment Regulations 2006</w:t>
            </w:r>
          </w:p>
        </w:tc>
        <w:tc>
          <w:tcPr>
            <w:tcW w:w="1276" w:type="dxa"/>
            <w:tcBorders>
              <w:bottom w:val="single" w:sz="4" w:space="0" w:color="auto"/>
            </w:tcBorders>
          </w:tcPr>
          <w:p>
            <w:pPr>
              <w:pStyle w:val="nTable"/>
              <w:rPr>
                <w:sz w:val="19"/>
              </w:rPr>
            </w:pPr>
            <w:r>
              <w:rPr>
                <w:sz w:val="19"/>
              </w:rPr>
              <w:t>23 Jun 2006 p. 2181</w:t>
            </w:r>
            <w:r>
              <w:rPr>
                <w:sz w:val="19"/>
              </w:rPr>
              <w:noBreakHyphen/>
              <w:t>3</w:t>
            </w:r>
          </w:p>
        </w:tc>
        <w:tc>
          <w:tcPr>
            <w:tcW w:w="2693" w:type="dxa"/>
            <w:tcBorders>
              <w:bottom w:val="single" w:sz="4" w:space="0" w:color="auto"/>
            </w:tcBorders>
          </w:tcPr>
          <w:p>
            <w:pPr>
              <w:pStyle w:val="nTable"/>
              <w:rPr>
                <w:sz w:val="19"/>
              </w:rPr>
            </w:pPr>
            <w:r>
              <w:rPr>
                <w:sz w:val="19"/>
              </w:rPr>
              <w:t>1 Jul 2006 (see r. 2)</w:t>
            </w:r>
          </w:p>
        </w:tc>
      </w:tr>
    </w:tbl>
    <w:p>
      <w:bookmarkStart w:id="132" w:name="UpToHere"/>
      <w:bookmarkEnd w:id="132"/>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3302</Words>
  <Characters>17834</Characters>
  <Application>Microsoft Office Word</Application>
  <DocSecurity>0</DocSecurity>
  <Lines>743</Lines>
  <Paragraphs>480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20656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2005 - 00-c0-03</dc:title>
  <dc:subject/>
  <dc:creator/>
  <cp:keywords/>
  <dc:description/>
  <cp:lastModifiedBy>svcMRProcess</cp:lastModifiedBy>
  <cp:revision>4</cp:revision>
  <cp:lastPrinted>2005-04-07T02:11:00Z</cp:lastPrinted>
  <dcterms:created xsi:type="dcterms:W3CDTF">2018-09-10T05:41:00Z</dcterms:created>
  <dcterms:modified xsi:type="dcterms:W3CDTF">2018-09-10T05:41:00Z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34705</vt:i4>
  </property>
  <property fmtid="{D5CDD505-2E9C-101B-9397-08002B2CF9AE}" pid="6" name="AsAtDate">
    <vt:lpwstr>01 Jul 2006</vt:lpwstr>
  </property>
  <property fmtid="{D5CDD505-2E9C-101B-9397-08002B2CF9AE}" pid="7" name="Suffix">
    <vt:lpwstr>00-c0-03</vt:lpwstr>
  </property>
</Properties>
</file>