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_Toc417654867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_Toc417654868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_Toc417654869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_Toc417654871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_Toc417654872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_Toc417654873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_Toc417654874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_Toc417654875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_Toc417654876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_Toc417654878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_Toc417654879 \h </w:instrText>
      </w:r>
      <w:r>
        <w:fldChar w:fldCharType="separate"/>
      </w:r>
      <w:r>
        <w:t>2</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_Toc417654880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_Toc417654882 \h </w:instrText>
      </w:r>
      <w:r>
        <w:fldChar w:fldCharType="separate"/>
      </w:r>
      <w:r>
        <w:t>2</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_Toc417654883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_Toc417654884 \h </w:instrText>
      </w:r>
      <w:r>
        <w:fldChar w:fldCharType="separate"/>
      </w:r>
      <w:r>
        <w:t>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_Toc417654885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_Toc417654887 \h </w:instrText>
      </w:r>
      <w:r>
        <w:fldChar w:fldCharType="separate"/>
      </w:r>
      <w:r>
        <w:t>2</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_Toc417654888 \h </w:instrText>
      </w:r>
      <w:r>
        <w:fldChar w:fldCharType="separate"/>
      </w:r>
      <w:r>
        <w:t>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_Toc417654889 \h </w:instrText>
      </w:r>
      <w:r>
        <w:fldChar w:fldCharType="separate"/>
      </w:r>
      <w:r>
        <w:t>2</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_Toc417654890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_Toc417654892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_Toc417654894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bookmarkStart w:id="7" w:name="_Toc41765486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8498962"/>
      <w:bookmarkStart w:id="9" w:name="_Toc417654867"/>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0" w:name="_Toc408498963"/>
      <w:bookmarkStart w:id="11" w:name="_Toc41765486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408498964"/>
      <w:bookmarkStart w:id="13" w:name="_Toc41765486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4" w:name="_Toc408498965"/>
      <w:bookmarkStart w:id="15" w:name="_Toc416944983"/>
      <w:bookmarkStart w:id="16" w:name="_Toc416945013"/>
      <w:bookmarkStart w:id="17" w:name="_Toc416945044"/>
      <w:bookmarkStart w:id="18" w:name="_Toc417654870"/>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p>
    <w:p>
      <w:pPr>
        <w:pStyle w:val="Heading5"/>
        <w:rPr>
          <w:snapToGrid w:val="0"/>
        </w:rPr>
      </w:pPr>
      <w:bookmarkStart w:id="19" w:name="_Toc408498966"/>
      <w:bookmarkStart w:id="20" w:name="_Toc417654871"/>
      <w:r>
        <w:rPr>
          <w:rStyle w:val="CharSectno"/>
        </w:rPr>
        <w:t>4</w:t>
      </w:r>
      <w:r>
        <w:rPr>
          <w:snapToGrid w:val="0"/>
        </w:rPr>
        <w:t>.</w:t>
      </w:r>
      <w:r>
        <w:rPr>
          <w:snapToGrid w:val="0"/>
        </w:rPr>
        <w:tab/>
        <w:t>Provisions prescribed for financial bodies (Act s. 4(3))</w:t>
      </w:r>
      <w:bookmarkEnd w:id="19"/>
      <w:bookmarkEnd w:id="20"/>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21" w:name="_Toc408498967"/>
      <w:r>
        <w:tab/>
        <w:t>[Regulation 4 amended in Gazette 8 Jan 2015 p. 152.]</w:t>
      </w:r>
    </w:p>
    <w:p>
      <w:pPr>
        <w:pStyle w:val="Heading5"/>
        <w:rPr>
          <w:snapToGrid w:val="0"/>
        </w:rPr>
      </w:pPr>
      <w:bookmarkStart w:id="22" w:name="_Toc417654872"/>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1"/>
      <w:bookmarkEnd w:id="2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23" w:name="_Toc408498968"/>
      <w:bookmarkStart w:id="24" w:name="_Toc417654873"/>
      <w:r>
        <w:rPr>
          <w:rStyle w:val="CharSectno"/>
        </w:rPr>
        <w:t>6</w:t>
      </w:r>
      <w:r>
        <w:rPr>
          <w:snapToGrid w:val="0"/>
        </w:rPr>
        <w:t>.</w:t>
      </w:r>
      <w:r>
        <w:rPr>
          <w:snapToGrid w:val="0"/>
        </w:rPr>
        <w:tab/>
        <w:t>Act s. 38(a) does not apply to sales to minors (Act s. 4(3))</w:t>
      </w:r>
      <w:bookmarkEnd w:id="23"/>
      <w:bookmarkEnd w:id="2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5" w:name="_Toc408498969"/>
      <w:bookmarkStart w:id="26" w:name="_Toc417654874"/>
      <w:r>
        <w:rPr>
          <w:rStyle w:val="CharSectno"/>
        </w:rPr>
        <w:t>7</w:t>
      </w:r>
      <w:r>
        <w:rPr>
          <w:snapToGrid w:val="0"/>
        </w:rPr>
        <w:t>.</w:t>
      </w:r>
      <w:r>
        <w:rPr>
          <w:snapToGrid w:val="0"/>
        </w:rPr>
        <w:tab/>
        <w:t>Act s. 39 does not apply in some cases (Act s. 4(3))</w:t>
      </w:r>
      <w:bookmarkEnd w:id="25"/>
      <w:bookmarkEnd w:id="2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27" w:name="_Toc408498970"/>
      <w:bookmarkStart w:id="28" w:name="_Toc417654875"/>
      <w:r>
        <w:rPr>
          <w:rStyle w:val="CharSectno"/>
        </w:rPr>
        <w:t>8</w:t>
      </w:r>
      <w:r>
        <w:rPr>
          <w:snapToGrid w:val="0"/>
        </w:rPr>
        <w:t>.</w:t>
      </w:r>
      <w:r>
        <w:rPr>
          <w:snapToGrid w:val="0"/>
        </w:rPr>
        <w:tab/>
        <w:t>Amount prescribed (Act s. 59(2)(b))</w:t>
      </w:r>
      <w:bookmarkEnd w:id="27"/>
      <w:bookmarkEnd w:id="2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9" w:name="_Toc408498971"/>
      <w:bookmarkStart w:id="30" w:name="_Toc417654876"/>
      <w:r>
        <w:rPr>
          <w:rStyle w:val="CharSectno"/>
        </w:rPr>
        <w:t>9</w:t>
      </w:r>
      <w:r>
        <w:rPr>
          <w:snapToGrid w:val="0"/>
        </w:rPr>
        <w:t>.</w:t>
      </w:r>
      <w:r>
        <w:rPr>
          <w:snapToGrid w:val="0"/>
        </w:rPr>
        <w:tab/>
        <w:t>Act s. 61 does not apply to certain goods (Act s. 4(3))</w:t>
      </w:r>
      <w:bookmarkEnd w:id="29"/>
      <w:bookmarkEnd w:id="30"/>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31" w:name="_Toc408498972"/>
      <w:bookmarkStart w:id="32" w:name="_Toc416944990"/>
      <w:bookmarkStart w:id="33" w:name="_Toc416945020"/>
      <w:bookmarkStart w:id="34" w:name="_Toc416945051"/>
      <w:bookmarkStart w:id="35" w:name="_Toc417654877"/>
      <w:r>
        <w:rPr>
          <w:rStyle w:val="CharPartNo"/>
        </w:rPr>
        <w:t>Part 3</w:t>
      </w:r>
      <w:r>
        <w:rPr>
          <w:rStyle w:val="CharDivNo"/>
        </w:rPr>
        <w:t> </w:t>
      </w:r>
      <w:r>
        <w:t>—</w:t>
      </w:r>
      <w:r>
        <w:rPr>
          <w:rStyle w:val="CharDivText"/>
        </w:rPr>
        <w:t> </w:t>
      </w:r>
      <w:r>
        <w:rPr>
          <w:rStyle w:val="CharPartText"/>
        </w:rPr>
        <w:t>Matters prescribed for licence applications</w:t>
      </w:r>
      <w:bookmarkEnd w:id="31"/>
      <w:bookmarkEnd w:id="32"/>
      <w:bookmarkEnd w:id="33"/>
      <w:bookmarkEnd w:id="34"/>
      <w:bookmarkEnd w:id="35"/>
    </w:p>
    <w:p>
      <w:pPr>
        <w:pStyle w:val="Heading5"/>
        <w:rPr>
          <w:snapToGrid w:val="0"/>
        </w:rPr>
      </w:pPr>
      <w:bookmarkStart w:id="36" w:name="_Toc408498973"/>
      <w:bookmarkStart w:id="37" w:name="_Toc417654878"/>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6"/>
      <w:bookmarkEnd w:id="37"/>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38" w:name="_Toc408498974"/>
      <w:bookmarkStart w:id="39" w:name="_Toc417654879"/>
      <w:r>
        <w:rPr>
          <w:rStyle w:val="CharSectno"/>
        </w:rPr>
        <w:t>11</w:t>
      </w:r>
      <w:r>
        <w:rPr>
          <w:snapToGrid w:val="0"/>
        </w:rPr>
        <w:t>.</w:t>
      </w:r>
      <w:r>
        <w:rPr>
          <w:snapToGrid w:val="0"/>
        </w:rPr>
        <w:tab/>
        <w:t xml:space="preserve">Other evidence to accompany applications prescribed </w:t>
      </w:r>
      <w:r>
        <w:rPr>
          <w:snapToGrid w:val="0"/>
          <w:spacing w:val="-4"/>
        </w:rPr>
        <w:t>(Act s. 14(f))</w:t>
      </w:r>
      <w:bookmarkEnd w:id="38"/>
      <w:bookmarkEnd w:id="39"/>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0" w:name="_Toc408498975"/>
      <w:bookmarkStart w:id="41" w:name="_Toc417654880"/>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0"/>
      <w:bookmarkEnd w:id="41"/>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2" w:name="_Toc408498976"/>
      <w:bookmarkStart w:id="43" w:name="_Toc416944994"/>
      <w:bookmarkStart w:id="44" w:name="_Toc416945024"/>
      <w:bookmarkStart w:id="45" w:name="_Toc416945055"/>
      <w:bookmarkStart w:id="46" w:name="_Toc417654881"/>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2"/>
      <w:bookmarkEnd w:id="43"/>
      <w:bookmarkEnd w:id="44"/>
      <w:bookmarkEnd w:id="45"/>
      <w:bookmarkEnd w:id="46"/>
    </w:p>
    <w:p>
      <w:pPr>
        <w:pStyle w:val="Heading5"/>
        <w:rPr>
          <w:snapToGrid w:val="0"/>
        </w:rPr>
      </w:pPr>
      <w:bookmarkStart w:id="47" w:name="_Toc408498977"/>
      <w:bookmarkStart w:id="48" w:name="_Toc417654882"/>
      <w:r>
        <w:rPr>
          <w:rStyle w:val="CharSectno"/>
        </w:rPr>
        <w:t>13</w:t>
      </w:r>
      <w:r>
        <w:rPr>
          <w:snapToGrid w:val="0"/>
        </w:rPr>
        <w:t>.</w:t>
      </w:r>
      <w:r>
        <w:rPr>
          <w:snapToGrid w:val="0"/>
        </w:rPr>
        <w:tab/>
        <w:t xml:space="preserve">Means of verifying person’s identity prescribed </w:t>
      </w:r>
      <w:r>
        <w:rPr>
          <w:snapToGrid w:val="0"/>
          <w:spacing w:val="-4"/>
        </w:rPr>
        <w:t>(Act s. 39(b))</w:t>
      </w:r>
      <w:bookmarkEnd w:id="47"/>
      <w:bookmarkEnd w:id="4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49" w:name="_Toc408498978"/>
      <w:bookmarkStart w:id="50" w:name="_Toc417654883"/>
      <w:r>
        <w:rPr>
          <w:rStyle w:val="CharSectno"/>
        </w:rPr>
        <w:t>13A</w:t>
      </w:r>
      <w:r>
        <w:t>.</w:t>
      </w:r>
      <w:r>
        <w:tab/>
        <w:t>Transaction cards, form and issue of</w:t>
      </w:r>
      <w:bookmarkEnd w:id="49"/>
      <w:bookmarkEnd w:id="5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51" w:name="_Toc408498979"/>
      <w:bookmarkStart w:id="52" w:name="_Toc417654884"/>
      <w:r>
        <w:rPr>
          <w:rStyle w:val="CharSectno"/>
        </w:rPr>
        <w:t>14</w:t>
      </w:r>
      <w:r>
        <w:rPr>
          <w:snapToGrid w:val="0"/>
        </w:rPr>
        <w:t>.</w:t>
      </w:r>
      <w:r>
        <w:rPr>
          <w:snapToGrid w:val="0"/>
        </w:rPr>
        <w:tab/>
        <w:t xml:space="preserve">Manner of keeping records prescribed </w:t>
      </w:r>
      <w:r>
        <w:rPr>
          <w:snapToGrid w:val="0"/>
          <w:spacing w:val="-4"/>
        </w:rPr>
        <w:t>(Act s. 45)</w:t>
      </w:r>
      <w:bookmarkEnd w:id="51"/>
      <w:bookmarkEnd w:id="5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3" w:name="_Toc408498980"/>
      <w:bookmarkStart w:id="54" w:name="_Toc417654885"/>
      <w:r>
        <w:rPr>
          <w:rStyle w:val="CharSectno"/>
        </w:rPr>
        <w:t>15</w:t>
      </w:r>
      <w:r>
        <w:rPr>
          <w:snapToGrid w:val="0"/>
        </w:rPr>
        <w:t>.</w:t>
      </w:r>
      <w:r>
        <w:rPr>
          <w:snapToGrid w:val="0"/>
        </w:rPr>
        <w:tab/>
      </w:r>
      <w:r>
        <w:rPr>
          <w:snapToGrid w:val="0"/>
          <w:spacing w:val="-4"/>
        </w:rPr>
        <w:t>Information prescribed (Act s. 79)</w:t>
      </w:r>
      <w:bookmarkEnd w:id="53"/>
      <w:bookmarkEnd w:id="5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55" w:name="_Toc408498981"/>
      <w:bookmarkStart w:id="56" w:name="_Toc416944999"/>
      <w:bookmarkStart w:id="57" w:name="_Toc416945029"/>
      <w:bookmarkStart w:id="58" w:name="_Toc416945060"/>
      <w:bookmarkStart w:id="59" w:name="_Toc417654886"/>
      <w:r>
        <w:rPr>
          <w:rStyle w:val="CharPartNo"/>
        </w:rPr>
        <w:t>Part 6</w:t>
      </w:r>
      <w:r>
        <w:rPr>
          <w:rStyle w:val="CharDivNo"/>
        </w:rPr>
        <w:t> </w:t>
      </w:r>
      <w:r>
        <w:t>—</w:t>
      </w:r>
      <w:r>
        <w:rPr>
          <w:rStyle w:val="CharDivText"/>
        </w:rPr>
        <w:t> </w:t>
      </w:r>
      <w:r>
        <w:rPr>
          <w:rStyle w:val="CharPartText"/>
        </w:rPr>
        <w:t>Fees</w:t>
      </w:r>
      <w:bookmarkEnd w:id="55"/>
      <w:bookmarkEnd w:id="56"/>
      <w:bookmarkEnd w:id="57"/>
      <w:bookmarkEnd w:id="58"/>
      <w:bookmarkEnd w:id="59"/>
    </w:p>
    <w:p>
      <w:pPr>
        <w:pStyle w:val="Heading5"/>
        <w:rPr>
          <w:snapToGrid w:val="0"/>
        </w:rPr>
      </w:pPr>
      <w:bookmarkStart w:id="60" w:name="_Toc408498982"/>
      <w:bookmarkStart w:id="61" w:name="_Toc417654887"/>
      <w:r>
        <w:rPr>
          <w:rStyle w:val="CharSectno"/>
        </w:rPr>
        <w:t>28</w:t>
      </w:r>
      <w:r>
        <w:rPr>
          <w:snapToGrid w:val="0"/>
        </w:rPr>
        <w:t>.</w:t>
      </w:r>
      <w:r>
        <w:rPr>
          <w:snapToGrid w:val="0"/>
        </w:rPr>
        <w:tab/>
        <w:t>Fees prescribed for applications for licences (Act s. 13(b))</w:t>
      </w:r>
      <w:bookmarkEnd w:id="60"/>
      <w:bookmarkEnd w:id="61"/>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6"/>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62" w:name="_Toc408498983"/>
      <w:bookmarkStart w:id="63" w:name="_Toc417654888"/>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62"/>
      <w:bookmarkEnd w:id="63"/>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3"/>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64" w:name="_Toc408498984"/>
      <w:bookmarkStart w:id="65" w:name="_Toc417654889"/>
      <w:r>
        <w:rPr>
          <w:rStyle w:val="CharSectno"/>
        </w:rPr>
        <w:t>30</w:t>
      </w:r>
      <w:r>
        <w:rPr>
          <w:snapToGrid w:val="0"/>
        </w:rPr>
        <w:t>.</w:t>
      </w:r>
      <w:r>
        <w:rPr>
          <w:snapToGrid w:val="0"/>
        </w:rPr>
        <w:tab/>
        <w:t>Refund of fees, when payable</w:t>
      </w:r>
      <w:bookmarkEnd w:id="64"/>
      <w:bookmarkEnd w:id="65"/>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66" w:name="_Toc408498985"/>
      <w:bookmarkStart w:id="67" w:name="_Toc417654890"/>
      <w:r>
        <w:rPr>
          <w:rStyle w:val="CharSectno"/>
          <w:spacing w:val="-4"/>
        </w:rPr>
        <w:t>31</w:t>
      </w:r>
      <w:r>
        <w:rPr>
          <w:snapToGrid w:val="0"/>
          <w:spacing w:val="-4"/>
        </w:rPr>
        <w:t>.</w:t>
      </w:r>
      <w:r>
        <w:rPr>
          <w:snapToGrid w:val="0"/>
          <w:spacing w:val="-4"/>
        </w:rPr>
        <w:tab/>
        <w:t>Fee prescribed for inspecting register (Act s. 28(2))</w:t>
      </w:r>
      <w:bookmarkEnd w:id="66"/>
      <w:bookmarkEnd w:id="6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68" w:name="_Toc408498986"/>
      <w:bookmarkStart w:id="69" w:name="_Toc416945004"/>
      <w:bookmarkStart w:id="70" w:name="_Toc416945034"/>
      <w:bookmarkStart w:id="71" w:name="_Toc416945065"/>
      <w:bookmarkStart w:id="72" w:name="_Toc417654891"/>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68"/>
      <w:bookmarkEnd w:id="69"/>
      <w:bookmarkEnd w:id="70"/>
      <w:bookmarkEnd w:id="71"/>
      <w:bookmarkEnd w:id="72"/>
    </w:p>
    <w:p>
      <w:pPr>
        <w:pStyle w:val="Footnoteheading"/>
      </w:pPr>
      <w:r>
        <w:tab/>
        <w:t>[Heading inserted in Gazette 28 Jul 2000 p. 4025.]</w:t>
      </w:r>
    </w:p>
    <w:p>
      <w:pPr>
        <w:pStyle w:val="Heading5"/>
      </w:pPr>
      <w:bookmarkStart w:id="73" w:name="_Toc408498987"/>
      <w:bookmarkStart w:id="74" w:name="_Toc417654892"/>
      <w:r>
        <w:rPr>
          <w:rStyle w:val="CharSectno"/>
        </w:rPr>
        <w:t>32</w:t>
      </w:r>
      <w:r>
        <w:t>.</w:t>
      </w:r>
      <w:r>
        <w:tab/>
        <w:t>Offences and modified penalties prescribed (Act s. 90)</w:t>
      </w:r>
      <w:bookmarkEnd w:id="73"/>
      <w:bookmarkEnd w:id="7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5" w:name="_Toc408498988"/>
      <w:bookmarkStart w:id="76" w:name="_Toc416945006"/>
      <w:bookmarkStart w:id="77" w:name="_Toc416945036"/>
      <w:bookmarkStart w:id="78" w:name="_Toc416945067"/>
      <w:bookmarkStart w:id="79" w:name="_Toc417654893"/>
      <w:r>
        <w:t>Notes</w:t>
      </w:r>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408498989"/>
      <w:bookmarkStart w:id="81" w:name="_Toc417654894"/>
      <w:r>
        <w:rPr>
          <w:snapToGrid w:val="0"/>
        </w:rPr>
        <w:t>Compilation table</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tcBorders>
              <w:bottom w:val="single" w:sz="4" w:space="0" w:color="auto"/>
            </w:tcBorders>
            <w:shd w:val="clear" w:color="auto" w:fill="auto"/>
          </w:tcPr>
          <w:p>
            <w:pPr>
              <w:pStyle w:val="nTable"/>
              <w:spacing w:after="40"/>
              <w:rPr>
                <w:spacing w:val="-4"/>
              </w:rPr>
            </w:pPr>
            <w:r>
              <w:t>8 Jan 2015 p. 151</w:t>
            </w:r>
            <w:r>
              <w:noBreakHyphen/>
              <w:t>2</w:t>
            </w:r>
          </w:p>
        </w:tc>
        <w:tc>
          <w:tcPr>
            <w:tcW w:w="2693" w:type="dxa"/>
            <w:tcBorders>
              <w:bottom w:val="single" w:sz="4" w:space="0" w:color="auto"/>
            </w:tcBorders>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pPr>
      <w:r>
        <w:rPr>
          <w:vertAlign w:val="superscript"/>
        </w:rPr>
        <w:t>2</w:t>
      </w:r>
      <w:r>
        <w:tab/>
        <w:t>Footnote no longer applicable.</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83" w:name="_Toc416945039"/>
      <w:bookmarkStart w:id="84" w:name="_Toc416945070"/>
      <w:bookmarkStart w:id="85" w:name="_Toc417654895"/>
      <w:r>
        <w:rPr>
          <w:sz w:val="28"/>
        </w:rPr>
        <w:t>Defined terms</w:t>
      </w:r>
      <w:bookmarkEnd w:id="83"/>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2" w:name="Compilation"/>
    <w:bookmarkEnd w:id="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0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03117"/>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6771</Words>
  <Characters>31962</Characters>
  <Application>Microsoft Office Word</Application>
  <DocSecurity>0</DocSecurity>
  <Lines>1775</Lines>
  <Paragraphs>900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Company>Ministry of Justice</Company>
  <LinksUpToDate>false</LinksUpToDate>
  <CharactersWithSpaces>37833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1996 - 04-f0-00</dc:title>
  <dc:subject>SubIF_P</dc:subject>
  <dc:creator>Matthew Pether</dc:creator>
  <cp:lastModifiedBy>svcMRProcess</cp:lastModifiedBy>
  <cp:revision>4</cp:revision>
  <cp:lastPrinted>2012-10-29T06:55:00Z</cp:lastPrinted>
  <dcterms:created xsi:type="dcterms:W3CDTF">2015-04-24T08:31:00Z</dcterms:created>
  <dcterms:modified xsi:type="dcterms:W3CDTF">2015-04-24T08:31:00Z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27 Apr 2015</vt:lpwstr>
  </property>
  <property fmtid="{D5CDD505-2E9C-101B-9397-08002B2CF9AE}" pid="8" name="Suffix">
    <vt:lpwstr>04-f0-00</vt:lpwstr>
  </property>
  <property fmtid="{D5CDD505-2E9C-101B-9397-08002B2CF9AE}" pid="9" name="CommencementDate">
    <vt:lpwstr>20150427</vt:lpwstr>
  </property>
</Properties>
</file>