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4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Land Legislation Amendment (Taxing) Act 2015</w:t>
      </w:r>
      <w:r>
        <w:fldChar w:fldCharType="end"/>
      </w:r>
    </w:p>
    <w:p>
      <w:pPr>
        <w:jc w:val="center"/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Land Legislation Amendment (Taxing) Act 2015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Part 1 — Preliminary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1.</w:t>
      </w:r>
      <w:r>
        <w:tab/>
      </w:r>
      <w:r>
        <w:rPr>
          <w:snapToGrid w:val="0"/>
        </w:rPr>
        <w:t>Short title</w:t>
      </w:r>
      <w:r>
        <w:tab/>
      </w:r>
      <w:r>
        <w:fldChar w:fldCharType="begin"/>
      </w:r>
      <w:r>
        <w:instrText xml:space="preserve"> PAGEREF _Toc418083007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napToGrid w:val="0"/>
        </w:rPr>
        <w:t>.</w:t>
      </w:r>
      <w:r>
        <w:rPr>
          <w:snapToGrid w:val="0"/>
        </w:rPr>
        <w:tab/>
      </w:r>
      <w:r>
        <w:t>Commencement</w:t>
      </w:r>
      <w:r>
        <w:tab/>
      </w:r>
      <w:r>
        <w:fldChar w:fldCharType="begin"/>
      </w:r>
      <w:r>
        <w:instrText xml:space="preserve"> PAGEREF _Toc418083008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2 — </w:t>
      </w:r>
      <w:r>
        <w:rPr>
          <w:i/>
        </w:rPr>
        <w:t>Registration of Deeds Act 1856</w:t>
      </w:r>
      <w:r>
        <w:t xml:space="preserve"> amended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Act amended</w:t>
      </w:r>
      <w:r>
        <w:tab/>
      </w:r>
      <w:r>
        <w:fldChar w:fldCharType="begin"/>
      </w:r>
      <w:r>
        <w:instrText xml:space="preserve"> PAGEREF _Toc418083010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Section 22AA amended</w:t>
      </w:r>
      <w:r>
        <w:tab/>
      </w:r>
      <w:r>
        <w:fldChar w:fldCharType="begin"/>
      </w:r>
      <w:r>
        <w:instrText xml:space="preserve"> PAGEREF _Toc418083011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3 — </w:t>
      </w:r>
      <w:r>
        <w:rPr>
          <w:i/>
        </w:rPr>
        <w:t>Strata Titles Act 1985</w:t>
      </w:r>
      <w:r>
        <w:t xml:space="preserve"> amended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</w:t>
      </w:r>
      <w:r>
        <w:rPr>
          <w:snapToGrid w:val="0"/>
        </w:rPr>
        <w:t>.</w:t>
      </w:r>
      <w:r>
        <w:rPr>
          <w:snapToGrid w:val="0"/>
        </w:rPr>
        <w:tab/>
        <w:t>Act amended</w:t>
      </w:r>
      <w:r>
        <w:tab/>
      </w:r>
      <w:r>
        <w:fldChar w:fldCharType="begin"/>
      </w:r>
      <w:r>
        <w:instrText xml:space="preserve"> PAGEREF _Toc418083013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  <w:t>Section 131A amended</w:t>
      </w:r>
      <w:r>
        <w:tab/>
      </w:r>
      <w:r>
        <w:fldChar w:fldCharType="begin"/>
      </w:r>
      <w:r>
        <w:instrText xml:space="preserve"> PAGEREF _Toc418083014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4 — </w:t>
      </w:r>
      <w:r>
        <w:rPr>
          <w:i/>
        </w:rPr>
        <w:t>Transfer of Land Act 1893</w:t>
      </w:r>
      <w:r>
        <w:t xml:space="preserve"> amended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</w:t>
      </w:r>
      <w:r>
        <w:rPr>
          <w:snapToGrid w:val="0"/>
        </w:rPr>
        <w:t>.</w:t>
      </w:r>
      <w:r>
        <w:rPr>
          <w:snapToGrid w:val="0"/>
        </w:rPr>
        <w:tab/>
        <w:t>Act amended</w:t>
      </w:r>
      <w:r>
        <w:tab/>
      </w:r>
      <w:r>
        <w:fldChar w:fldCharType="begin"/>
      </w:r>
      <w:r>
        <w:instrText xml:space="preserve"> PAGEREF _Toc418083016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8.</w:t>
      </w:r>
      <w:r>
        <w:tab/>
        <w:t>Section 182AA amended</w:t>
      </w:r>
      <w:r>
        <w:tab/>
      </w:r>
      <w:r>
        <w:fldChar w:fldCharType="begin"/>
      </w:r>
      <w:r>
        <w:instrText xml:space="preserve"> PAGEREF _Toc418083017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5 — </w:t>
      </w:r>
      <w:r>
        <w:rPr>
          <w:i/>
        </w:rPr>
        <w:t>Valuation of Land Act 1978</w:t>
      </w:r>
      <w:r>
        <w:t xml:space="preserve"> amended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9</w:t>
      </w:r>
      <w:r>
        <w:rPr>
          <w:snapToGrid w:val="0"/>
        </w:rPr>
        <w:t>.</w:t>
      </w:r>
      <w:r>
        <w:rPr>
          <w:snapToGrid w:val="0"/>
        </w:rPr>
        <w:tab/>
        <w:t>Act amended</w:t>
      </w:r>
      <w:r>
        <w:tab/>
      </w:r>
      <w:r>
        <w:fldChar w:fldCharType="begin"/>
      </w:r>
      <w:r>
        <w:instrText xml:space="preserve"> PAGEREF _Toc418083019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10.</w:t>
      </w:r>
      <w:r>
        <w:tab/>
        <w:t>Section 50 amended</w:t>
      </w:r>
      <w:r>
        <w:tab/>
      </w:r>
      <w:r>
        <w:fldChar w:fldCharType="begin"/>
      </w:r>
      <w:r>
        <w:instrText xml:space="preserve"> PAGEREF _Toc418083020 \h </w:instrText>
      </w:r>
      <w:r>
        <w:fldChar w:fldCharType="separate"/>
      </w:r>
      <w:r>
        <w:t>1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  <w:suppressLineNumbers/>
        <w:spacing w:after="480"/>
        <w:outlineLvl w:val="0"/>
      </w:pPr>
      <w:r>
        <w:rPr>
          <w:noProof/>
        </w:rPr>
        <w:lastRenderedPageBreak/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3455670</wp:posOffset>
            </wp:positionH>
            <wp:positionV relativeFrom="page">
              <wp:posOffset>827405</wp:posOffset>
            </wp:positionV>
            <wp:extent cx="648000" cy="412750"/>
            <wp:effectExtent l="0" t="0" r="0" b="6350"/>
            <wp:wrapNone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00" cy="412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t>Western Australia</w:t>
      </w:r>
    </w:p>
    <w:p>
      <w:pPr>
        <w:pStyle w:val="NameofActReg"/>
        <w:suppressLineNumbers/>
      </w:pPr>
      <w:r>
        <w:t>Land Legislation Amendment (Taxing) Act 2015</w:t>
      </w:r>
    </w:p>
    <w:p>
      <w:pPr>
        <w:pStyle w:val="ABillFor"/>
        <w:pBdr>
          <w:top w:val="single" w:sz="4" w:space="6" w:color="auto"/>
          <w:bottom w:val="single" w:sz="4" w:space="6" w:color="auto"/>
        </w:pBdr>
        <w:spacing w:before="0" w:after="240"/>
        <w:ind w:left="2551" w:right="2551"/>
      </w:pPr>
      <w:bookmarkStart w:id="3" w:name="BillCited"/>
      <w:bookmarkEnd w:id="3"/>
      <w:r>
        <w:t>No. 12 of 2015</w:t>
      </w:r>
    </w:p>
    <w:p>
      <w:pPr>
        <w:pStyle w:val="LongTitle"/>
        <w:suppressLineNumbers/>
        <w:rPr>
          <w:snapToGrid w:val="0"/>
        </w:rPr>
      </w:pPr>
      <w:r>
        <w:rPr>
          <w:snapToGrid w:val="0"/>
        </w:rPr>
        <w:t xml:space="preserve">An Act to amend the following Acts to impose certain fees prescribed under those Acts to the extent that those fees are a tax — </w:t>
      </w:r>
    </w:p>
    <w:p>
      <w:pPr>
        <w:pStyle w:val="LongTitle"/>
        <w:numPr>
          <w:ilvl w:val="0"/>
          <w:numId w:val="16"/>
        </w:numPr>
        <w:suppressLineNumbers/>
        <w:rPr>
          <w:snapToGrid w:val="0"/>
        </w:rPr>
      </w:pPr>
      <w:r>
        <w:rPr>
          <w:snapToGrid w:val="0"/>
        </w:rPr>
        <w:t xml:space="preserve">the </w:t>
      </w:r>
      <w:r>
        <w:rPr>
          <w:i/>
          <w:snapToGrid w:val="0"/>
        </w:rPr>
        <w:t>Registration of Deeds Act 1856</w:t>
      </w:r>
      <w:r>
        <w:rPr>
          <w:snapToGrid w:val="0"/>
        </w:rPr>
        <w:t>;</w:t>
      </w:r>
    </w:p>
    <w:p>
      <w:pPr>
        <w:pStyle w:val="LongTitle"/>
        <w:numPr>
          <w:ilvl w:val="0"/>
          <w:numId w:val="16"/>
        </w:numPr>
        <w:suppressLineNumbers/>
        <w:rPr>
          <w:snapToGrid w:val="0"/>
        </w:rPr>
      </w:pPr>
      <w:r>
        <w:rPr>
          <w:snapToGrid w:val="0"/>
        </w:rPr>
        <w:t xml:space="preserve">the </w:t>
      </w:r>
      <w:r>
        <w:rPr>
          <w:i/>
          <w:snapToGrid w:val="0"/>
        </w:rPr>
        <w:t>Strata Titles Act 1985</w:t>
      </w:r>
      <w:r>
        <w:rPr>
          <w:snapToGrid w:val="0"/>
        </w:rPr>
        <w:t>;</w:t>
      </w:r>
    </w:p>
    <w:p>
      <w:pPr>
        <w:pStyle w:val="LongTitle"/>
        <w:numPr>
          <w:ilvl w:val="0"/>
          <w:numId w:val="16"/>
        </w:numPr>
        <w:suppressLineNumbers/>
        <w:rPr>
          <w:snapToGrid w:val="0"/>
        </w:rPr>
      </w:pPr>
      <w:r>
        <w:rPr>
          <w:snapToGrid w:val="0"/>
        </w:rPr>
        <w:t xml:space="preserve">the </w:t>
      </w:r>
      <w:r>
        <w:rPr>
          <w:i/>
          <w:snapToGrid w:val="0"/>
        </w:rPr>
        <w:t>Transfer of Land Act 1893</w:t>
      </w:r>
      <w:r>
        <w:rPr>
          <w:snapToGrid w:val="0"/>
        </w:rPr>
        <w:t>;</w:t>
      </w:r>
    </w:p>
    <w:p>
      <w:pPr>
        <w:pStyle w:val="LongTitle"/>
        <w:numPr>
          <w:ilvl w:val="0"/>
          <w:numId w:val="16"/>
        </w:numPr>
        <w:suppressLineNumbers/>
        <w:rPr>
          <w:snapToGrid w:val="0"/>
        </w:rPr>
      </w:pPr>
      <w:r>
        <w:rPr>
          <w:snapToGrid w:val="0"/>
        </w:rPr>
        <w:t xml:space="preserve">the </w:t>
      </w:r>
      <w:r>
        <w:rPr>
          <w:i/>
          <w:snapToGrid w:val="0"/>
        </w:rPr>
        <w:t>Valuation of Land Act 1978</w:t>
      </w:r>
      <w:r>
        <w:rPr>
          <w:snapToGrid w:val="0"/>
        </w:rPr>
        <w:t>.</w:t>
      </w:r>
    </w:p>
    <w:p>
      <w:pPr>
        <w:pStyle w:val="AssentNote"/>
      </w:pPr>
      <w:r>
        <w:t>[Assented to 29 April 2015]</w:t>
      </w:r>
    </w:p>
    <w:p>
      <w:pPr>
        <w:pStyle w:val="Enactment"/>
      </w:pPr>
      <w:r>
        <w:rPr>
          <w:snapToGrid w:val="0"/>
        </w:rPr>
        <w:t>The Parliament of Western Australia enacts as follows:</w:t>
      </w:r>
    </w:p>
    <w:p>
      <w:pPr>
        <w:sectPr>
          <w:headerReference w:type="even" r:id="rId23"/>
          <w:headerReference w:type="default" r:id="rId24"/>
          <w:headerReference w:type="first" r:id="rId25"/>
          <w:endnotePr>
            <w:numFmt w:val="decimal"/>
          </w:endnotePr>
          <w:type w:val="oddPage"/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  <w:docGrid w:linePitch="326"/>
        </w:sectPr>
      </w:pPr>
    </w:p>
    <w:p>
      <w:pPr>
        <w:pStyle w:val="Heading2"/>
      </w:pPr>
      <w:bookmarkStart w:id="4" w:name="_Toc403391156"/>
      <w:bookmarkStart w:id="5" w:name="_Toc403391171"/>
      <w:bookmarkStart w:id="6" w:name="_Toc403391590"/>
      <w:bookmarkStart w:id="7" w:name="_Toc403401766"/>
      <w:bookmarkStart w:id="8" w:name="_Toc403465754"/>
      <w:bookmarkStart w:id="9" w:name="_Toc403466172"/>
      <w:bookmarkStart w:id="10" w:name="_Toc417475063"/>
      <w:bookmarkStart w:id="11" w:name="_Toc417548743"/>
      <w:bookmarkStart w:id="12" w:name="_Toc418081700"/>
      <w:bookmarkStart w:id="13" w:name="_Toc418082619"/>
      <w:bookmarkStart w:id="14" w:name="_Toc418083006"/>
      <w:r>
        <w:rPr>
          <w:rStyle w:val="CharPartNo"/>
        </w:rPr>
        <w:t>Part 1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Preliminary</w:t>
      </w:r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</w:p>
    <w:p>
      <w:pPr>
        <w:pStyle w:val="Heading5"/>
      </w:pPr>
      <w:bookmarkStart w:id="15" w:name="_Toc418081701"/>
      <w:bookmarkStart w:id="16" w:name="_Toc418082620"/>
      <w:bookmarkStart w:id="17" w:name="_Toc418083007"/>
      <w:r>
        <w:rPr>
          <w:rStyle w:val="CharSectno"/>
        </w:rPr>
        <w:t>1</w:t>
      </w:r>
      <w:r>
        <w:t>.</w:t>
      </w:r>
      <w:r>
        <w:tab/>
      </w:r>
      <w:r>
        <w:rPr>
          <w:snapToGrid w:val="0"/>
        </w:rPr>
        <w:t>Short title</w:t>
      </w:r>
      <w:bookmarkEnd w:id="15"/>
      <w:bookmarkEnd w:id="16"/>
      <w:bookmarkEnd w:id="17"/>
    </w:p>
    <w:p>
      <w:pPr>
        <w:pStyle w:val="Subsection"/>
      </w:pPr>
      <w:r>
        <w:tab/>
      </w:r>
      <w:r>
        <w:tab/>
        <w:t>This</w:t>
      </w:r>
      <w:r>
        <w:rPr>
          <w:snapToGrid w:val="0"/>
        </w:rPr>
        <w:t xml:space="preserve"> is the</w:t>
      </w:r>
      <w:r>
        <w:rPr>
          <w:i/>
          <w:snapToGrid w:val="0"/>
        </w:rPr>
        <w:t xml:space="preserve"> Land Legislation Amendment (Taxing) Act 2015</w:t>
      </w:r>
      <w:r>
        <w:rPr>
          <w:snapToGrid w:val="0"/>
        </w:rPr>
        <w:t>.</w:t>
      </w:r>
    </w:p>
    <w:p>
      <w:pPr>
        <w:pStyle w:val="Heading5"/>
        <w:rPr>
          <w:snapToGrid w:val="0"/>
        </w:rPr>
      </w:pPr>
      <w:bookmarkStart w:id="18" w:name="_Toc418081702"/>
      <w:bookmarkStart w:id="19" w:name="_Toc418082621"/>
      <w:bookmarkStart w:id="20" w:name="_Toc418083008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</w:r>
      <w:r>
        <w:t>Commencement</w:t>
      </w:r>
      <w:bookmarkEnd w:id="18"/>
      <w:bookmarkEnd w:id="19"/>
      <w:bookmarkEnd w:id="20"/>
    </w:p>
    <w:p>
      <w:pPr>
        <w:pStyle w:val="Subsection"/>
        <w:rPr>
          <w:spacing w:val="-2"/>
        </w:rPr>
      </w:pPr>
      <w:r>
        <w:tab/>
      </w:r>
      <w:r>
        <w:tab/>
        <w:t xml:space="preserve">This Act </w:t>
      </w:r>
      <w:r>
        <w:rPr>
          <w:spacing w:val="-2"/>
        </w:rPr>
        <w:t xml:space="preserve">comes into </w:t>
      </w:r>
      <w:r>
        <w:t>operation</w:t>
      </w:r>
      <w:r>
        <w:rPr>
          <w:spacing w:val="-2"/>
        </w:rPr>
        <w:t xml:space="preserve"> as follows</w:t>
      </w:r>
      <w:r>
        <w:t> —</w:t>
      </w:r>
    </w:p>
    <w:p>
      <w:pPr>
        <w:pStyle w:val="Indenta"/>
      </w:pPr>
      <w:r>
        <w:tab/>
        <w:t>(a)</w:t>
      </w:r>
      <w:r>
        <w:tab/>
        <w:t>Part 1 — on the day on which this Act receives the Royal Assent;</w:t>
      </w:r>
    </w:p>
    <w:p>
      <w:pPr>
        <w:pStyle w:val="Indenta"/>
      </w:pPr>
      <w:r>
        <w:tab/>
        <w:t>(b)</w:t>
      </w:r>
      <w:r>
        <w:tab/>
        <w:t xml:space="preserve">the rest of the Act — when the </w:t>
      </w:r>
      <w:r>
        <w:rPr>
          <w:i/>
        </w:rPr>
        <w:t>Land Legislation Amendment Act 2015</w:t>
      </w:r>
      <w:r>
        <w:t xml:space="preserve"> section 3 comes into operation.</w:t>
      </w:r>
    </w:p>
    <w:p>
      <w:pPr>
        <w:pStyle w:val="Heading2"/>
      </w:pPr>
      <w:bookmarkStart w:id="21" w:name="_Toc403391159"/>
      <w:bookmarkStart w:id="22" w:name="_Toc403391174"/>
      <w:bookmarkStart w:id="23" w:name="_Toc403391593"/>
      <w:bookmarkStart w:id="24" w:name="_Toc403401769"/>
      <w:bookmarkStart w:id="25" w:name="_Toc403465757"/>
      <w:bookmarkStart w:id="26" w:name="_Toc403466175"/>
      <w:bookmarkStart w:id="27" w:name="_Toc417475066"/>
      <w:bookmarkStart w:id="28" w:name="_Toc417548746"/>
      <w:bookmarkStart w:id="29" w:name="_Toc418081703"/>
      <w:bookmarkStart w:id="30" w:name="_Toc418082622"/>
      <w:bookmarkStart w:id="31" w:name="_Toc418083009"/>
      <w:r>
        <w:rPr>
          <w:rStyle w:val="CharPartNo"/>
        </w:rPr>
        <w:t>Part 2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</w:rPr>
        <w:t>Registration of Deeds Act 1856</w:t>
      </w:r>
      <w:r>
        <w:rPr>
          <w:rStyle w:val="CharPartText"/>
        </w:rPr>
        <w:t xml:space="preserve"> amended</w:t>
      </w:r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</w:p>
    <w:p>
      <w:pPr>
        <w:pStyle w:val="Heading5"/>
        <w:rPr>
          <w:snapToGrid w:val="0"/>
        </w:rPr>
      </w:pPr>
      <w:bookmarkStart w:id="32" w:name="_Toc418081704"/>
      <w:bookmarkStart w:id="33" w:name="_Toc418082623"/>
      <w:bookmarkStart w:id="34" w:name="_Toc418083010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Act amended</w:t>
      </w:r>
      <w:bookmarkEnd w:id="32"/>
      <w:bookmarkEnd w:id="33"/>
      <w:bookmarkEnd w:id="34"/>
    </w:p>
    <w:p>
      <w:pPr>
        <w:pStyle w:val="Subsection"/>
      </w:pPr>
      <w:r>
        <w:tab/>
      </w:r>
      <w:r>
        <w:tab/>
        <w:t xml:space="preserve">This Part amends the </w:t>
      </w:r>
      <w:r>
        <w:rPr>
          <w:i/>
        </w:rPr>
        <w:t>Registration of Deeds Act 1856</w:t>
      </w:r>
      <w:r>
        <w:t xml:space="preserve"> as amended by the </w:t>
      </w:r>
      <w:r>
        <w:rPr>
          <w:i/>
        </w:rPr>
        <w:t>Land Legislation Amendment Act 2015</w:t>
      </w:r>
      <w:r>
        <w:t>.</w:t>
      </w:r>
    </w:p>
    <w:p>
      <w:pPr>
        <w:pStyle w:val="Heading5"/>
      </w:pPr>
      <w:bookmarkStart w:id="35" w:name="_Toc418081705"/>
      <w:bookmarkStart w:id="36" w:name="_Toc418082624"/>
      <w:bookmarkStart w:id="37" w:name="_Toc418083011"/>
      <w:r>
        <w:rPr>
          <w:rStyle w:val="CharSectno"/>
        </w:rPr>
        <w:t>4</w:t>
      </w:r>
      <w:r>
        <w:t>.</w:t>
      </w:r>
      <w:r>
        <w:tab/>
        <w:t>Section 22AA amended</w:t>
      </w:r>
      <w:bookmarkEnd w:id="35"/>
      <w:bookmarkEnd w:id="36"/>
      <w:bookmarkEnd w:id="37"/>
    </w:p>
    <w:p>
      <w:pPr>
        <w:pStyle w:val="Subsection"/>
      </w:pPr>
      <w:r>
        <w:tab/>
      </w:r>
      <w:r>
        <w:tab/>
        <w:t>After section 22AA(1) insert:</w:t>
      </w:r>
    </w:p>
    <w:p>
      <w:pPr>
        <w:pStyle w:val="BlankOpen"/>
      </w:pPr>
    </w:p>
    <w:p>
      <w:pPr>
        <w:pStyle w:val="zSubsection"/>
      </w:pPr>
      <w:r>
        <w:tab/>
        <w:t>(2A)</w:t>
      </w:r>
      <w:r>
        <w:tab/>
        <w:t>To the extent that regulations to which subsection (1) applies prescribe a fee that includes an amount that is a tax, the regulations may impose the tax.</w:t>
      </w:r>
    </w:p>
    <w:p>
      <w:pPr>
        <w:pStyle w:val="BlankClose"/>
      </w:pPr>
    </w:p>
    <w:p>
      <w:pPr>
        <w:pStyle w:val="Heading2"/>
      </w:pPr>
      <w:bookmarkStart w:id="38" w:name="_Toc403391162"/>
      <w:bookmarkStart w:id="39" w:name="_Toc403391177"/>
      <w:bookmarkStart w:id="40" w:name="_Toc403391596"/>
      <w:bookmarkStart w:id="41" w:name="_Toc403401772"/>
      <w:bookmarkStart w:id="42" w:name="_Toc403465760"/>
      <w:bookmarkStart w:id="43" w:name="_Toc403466178"/>
      <w:bookmarkStart w:id="44" w:name="_Toc417475069"/>
      <w:bookmarkStart w:id="45" w:name="_Toc417548749"/>
      <w:bookmarkStart w:id="46" w:name="_Toc418081706"/>
      <w:bookmarkStart w:id="47" w:name="_Toc418082625"/>
      <w:bookmarkStart w:id="48" w:name="_Toc418083012"/>
      <w:r>
        <w:rPr>
          <w:rStyle w:val="CharPartNo"/>
        </w:rPr>
        <w:t>Part 3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</w:rPr>
        <w:t>Strata Titles Act 1985</w:t>
      </w:r>
      <w:r>
        <w:rPr>
          <w:rStyle w:val="CharPartText"/>
        </w:rPr>
        <w:t xml:space="preserve"> amended</w:t>
      </w:r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</w:p>
    <w:p>
      <w:pPr>
        <w:pStyle w:val="Heading5"/>
        <w:rPr>
          <w:snapToGrid w:val="0"/>
        </w:rPr>
      </w:pPr>
      <w:bookmarkStart w:id="49" w:name="_Toc418081707"/>
      <w:bookmarkStart w:id="50" w:name="_Toc418082626"/>
      <w:bookmarkStart w:id="51" w:name="_Toc418083013"/>
      <w:r>
        <w:rPr>
          <w:rStyle w:val="CharSectno"/>
        </w:rPr>
        <w:t>5</w:t>
      </w:r>
      <w:r>
        <w:rPr>
          <w:snapToGrid w:val="0"/>
        </w:rPr>
        <w:t>.</w:t>
      </w:r>
      <w:r>
        <w:rPr>
          <w:snapToGrid w:val="0"/>
        </w:rPr>
        <w:tab/>
        <w:t>Act amended</w:t>
      </w:r>
      <w:bookmarkEnd w:id="49"/>
      <w:bookmarkEnd w:id="50"/>
      <w:bookmarkEnd w:id="51"/>
    </w:p>
    <w:p>
      <w:pPr>
        <w:pStyle w:val="Subsection"/>
      </w:pPr>
      <w:r>
        <w:tab/>
      </w:r>
      <w:r>
        <w:tab/>
        <w:t xml:space="preserve">This Part amends the </w:t>
      </w:r>
      <w:r>
        <w:rPr>
          <w:i/>
        </w:rPr>
        <w:t>Strata Titles Act 1985</w:t>
      </w:r>
      <w:r>
        <w:t xml:space="preserve"> as amended by the </w:t>
      </w:r>
      <w:r>
        <w:rPr>
          <w:i/>
        </w:rPr>
        <w:t>Land Legislation Amendment Act 2015</w:t>
      </w:r>
      <w:r>
        <w:t>.</w:t>
      </w:r>
    </w:p>
    <w:p>
      <w:pPr>
        <w:pStyle w:val="Heading5"/>
      </w:pPr>
      <w:bookmarkStart w:id="52" w:name="_Toc418081708"/>
      <w:bookmarkStart w:id="53" w:name="_Toc418082627"/>
      <w:bookmarkStart w:id="54" w:name="_Toc418083014"/>
      <w:r>
        <w:rPr>
          <w:rStyle w:val="CharSectno"/>
        </w:rPr>
        <w:t>6</w:t>
      </w:r>
      <w:r>
        <w:t>.</w:t>
      </w:r>
      <w:r>
        <w:tab/>
        <w:t>Section 131A amended</w:t>
      </w:r>
      <w:bookmarkEnd w:id="52"/>
      <w:bookmarkEnd w:id="53"/>
      <w:bookmarkEnd w:id="54"/>
    </w:p>
    <w:p>
      <w:pPr>
        <w:pStyle w:val="Subsection"/>
      </w:pPr>
      <w:r>
        <w:tab/>
      </w:r>
      <w:r>
        <w:tab/>
        <w:t>After section 131A(1) insert:</w:t>
      </w:r>
    </w:p>
    <w:p>
      <w:pPr>
        <w:pStyle w:val="BlankOpen"/>
      </w:pPr>
    </w:p>
    <w:p>
      <w:pPr>
        <w:pStyle w:val="zSubsection"/>
      </w:pPr>
      <w:r>
        <w:tab/>
        <w:t>(2A)</w:t>
      </w:r>
      <w:r>
        <w:tab/>
        <w:t>To the extent that regulations to which subsection (1) applies prescribe a fee that includes an amount that is a tax, the regulations may impose the tax.</w:t>
      </w:r>
    </w:p>
    <w:p>
      <w:pPr>
        <w:pStyle w:val="BlankClose"/>
      </w:pPr>
    </w:p>
    <w:p>
      <w:pPr>
        <w:pStyle w:val="Heading2"/>
      </w:pPr>
      <w:bookmarkStart w:id="55" w:name="_Toc403391165"/>
      <w:bookmarkStart w:id="56" w:name="_Toc403391180"/>
      <w:bookmarkStart w:id="57" w:name="_Toc403391599"/>
      <w:bookmarkStart w:id="58" w:name="_Toc403401775"/>
      <w:bookmarkStart w:id="59" w:name="_Toc403465763"/>
      <w:bookmarkStart w:id="60" w:name="_Toc403466181"/>
      <w:bookmarkStart w:id="61" w:name="_Toc417475072"/>
      <w:bookmarkStart w:id="62" w:name="_Toc417548752"/>
      <w:bookmarkStart w:id="63" w:name="_Toc418081709"/>
      <w:bookmarkStart w:id="64" w:name="_Toc418082628"/>
      <w:bookmarkStart w:id="65" w:name="_Toc418083015"/>
      <w:r>
        <w:rPr>
          <w:rStyle w:val="CharPartNo"/>
        </w:rPr>
        <w:t>Part 4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</w:rPr>
        <w:t>Transfer of Land Act 1893</w:t>
      </w:r>
      <w:r>
        <w:rPr>
          <w:rStyle w:val="CharPartText"/>
        </w:rPr>
        <w:t xml:space="preserve"> amended</w:t>
      </w:r>
      <w:bookmarkEnd w:id="55"/>
      <w:bookmarkEnd w:id="56"/>
      <w:bookmarkEnd w:id="57"/>
      <w:bookmarkEnd w:id="58"/>
      <w:bookmarkEnd w:id="59"/>
      <w:bookmarkEnd w:id="60"/>
      <w:bookmarkEnd w:id="61"/>
      <w:bookmarkEnd w:id="62"/>
      <w:bookmarkEnd w:id="63"/>
      <w:bookmarkEnd w:id="64"/>
      <w:bookmarkEnd w:id="65"/>
    </w:p>
    <w:p>
      <w:pPr>
        <w:pStyle w:val="Heading5"/>
        <w:rPr>
          <w:snapToGrid w:val="0"/>
        </w:rPr>
      </w:pPr>
      <w:bookmarkStart w:id="66" w:name="_Toc418081710"/>
      <w:bookmarkStart w:id="67" w:name="_Toc418082629"/>
      <w:bookmarkStart w:id="68" w:name="_Toc418083016"/>
      <w:r>
        <w:rPr>
          <w:rStyle w:val="CharSectno"/>
        </w:rPr>
        <w:t>7</w:t>
      </w:r>
      <w:r>
        <w:rPr>
          <w:snapToGrid w:val="0"/>
        </w:rPr>
        <w:t>.</w:t>
      </w:r>
      <w:r>
        <w:rPr>
          <w:snapToGrid w:val="0"/>
        </w:rPr>
        <w:tab/>
        <w:t>Act amended</w:t>
      </w:r>
      <w:bookmarkEnd w:id="66"/>
      <w:bookmarkEnd w:id="67"/>
      <w:bookmarkEnd w:id="68"/>
    </w:p>
    <w:p>
      <w:pPr>
        <w:pStyle w:val="Subsection"/>
      </w:pPr>
      <w:r>
        <w:tab/>
      </w:r>
      <w:r>
        <w:tab/>
        <w:t xml:space="preserve">This Part amends the </w:t>
      </w:r>
      <w:r>
        <w:rPr>
          <w:i/>
        </w:rPr>
        <w:t>Transfer of Land Act 1893</w:t>
      </w:r>
      <w:r>
        <w:t xml:space="preserve"> as amended by the </w:t>
      </w:r>
      <w:r>
        <w:rPr>
          <w:i/>
        </w:rPr>
        <w:t>Land Legislation Amendment Act 2015</w:t>
      </w:r>
      <w:r>
        <w:t>.</w:t>
      </w:r>
    </w:p>
    <w:p>
      <w:pPr>
        <w:pStyle w:val="Heading5"/>
      </w:pPr>
      <w:bookmarkStart w:id="69" w:name="_Toc418081711"/>
      <w:bookmarkStart w:id="70" w:name="_Toc418082630"/>
      <w:bookmarkStart w:id="71" w:name="_Toc418083017"/>
      <w:r>
        <w:rPr>
          <w:rStyle w:val="CharSectno"/>
        </w:rPr>
        <w:t>8</w:t>
      </w:r>
      <w:r>
        <w:t>.</w:t>
      </w:r>
      <w:r>
        <w:tab/>
        <w:t>Section 182AA amended</w:t>
      </w:r>
      <w:bookmarkEnd w:id="69"/>
      <w:bookmarkEnd w:id="70"/>
      <w:bookmarkEnd w:id="71"/>
    </w:p>
    <w:p>
      <w:pPr>
        <w:pStyle w:val="Subsection"/>
      </w:pPr>
      <w:r>
        <w:tab/>
      </w:r>
      <w:r>
        <w:tab/>
        <w:t>After section 182AA(1) insert:</w:t>
      </w:r>
    </w:p>
    <w:p>
      <w:pPr>
        <w:pStyle w:val="BlankOpen"/>
      </w:pPr>
    </w:p>
    <w:p>
      <w:pPr>
        <w:pStyle w:val="zSubsection"/>
      </w:pPr>
      <w:r>
        <w:tab/>
        <w:t>(2A)</w:t>
      </w:r>
      <w:r>
        <w:tab/>
        <w:t>To the extent that regulations to which subsection (1) applies prescribe a fee that includes an amount that is a tax, the regulations may impose the tax.</w:t>
      </w:r>
    </w:p>
    <w:p>
      <w:pPr>
        <w:pStyle w:val="BlankClose"/>
      </w:pPr>
    </w:p>
    <w:p>
      <w:pPr>
        <w:pStyle w:val="Heading2"/>
      </w:pPr>
      <w:bookmarkStart w:id="72" w:name="_Toc403391168"/>
      <w:bookmarkStart w:id="73" w:name="_Toc403391183"/>
      <w:bookmarkStart w:id="74" w:name="_Toc403391602"/>
      <w:bookmarkStart w:id="75" w:name="_Toc403401778"/>
      <w:bookmarkStart w:id="76" w:name="_Toc403465766"/>
      <w:bookmarkStart w:id="77" w:name="_Toc403466184"/>
      <w:bookmarkStart w:id="78" w:name="_Toc417475075"/>
      <w:bookmarkStart w:id="79" w:name="_Toc417548755"/>
      <w:bookmarkStart w:id="80" w:name="_Toc418081712"/>
      <w:bookmarkStart w:id="81" w:name="_Toc418082631"/>
      <w:bookmarkStart w:id="82" w:name="_Toc418083018"/>
      <w:r>
        <w:rPr>
          <w:rStyle w:val="CharPartNo"/>
        </w:rPr>
        <w:t>Part 5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</w:rPr>
        <w:t>Valuation of Land Act 1978</w:t>
      </w:r>
      <w:r>
        <w:rPr>
          <w:rStyle w:val="CharPartText"/>
        </w:rPr>
        <w:t xml:space="preserve"> amended</w:t>
      </w:r>
      <w:bookmarkEnd w:id="72"/>
      <w:bookmarkEnd w:id="73"/>
      <w:bookmarkEnd w:id="74"/>
      <w:bookmarkEnd w:id="75"/>
      <w:bookmarkEnd w:id="76"/>
      <w:bookmarkEnd w:id="77"/>
      <w:bookmarkEnd w:id="78"/>
      <w:bookmarkEnd w:id="79"/>
      <w:bookmarkEnd w:id="80"/>
      <w:bookmarkEnd w:id="81"/>
      <w:bookmarkEnd w:id="82"/>
    </w:p>
    <w:p>
      <w:pPr>
        <w:pStyle w:val="Heading5"/>
        <w:rPr>
          <w:snapToGrid w:val="0"/>
        </w:rPr>
      </w:pPr>
      <w:bookmarkStart w:id="83" w:name="_Toc418081713"/>
      <w:bookmarkStart w:id="84" w:name="_Toc418082632"/>
      <w:bookmarkStart w:id="85" w:name="_Toc418083019"/>
      <w:r>
        <w:rPr>
          <w:rStyle w:val="CharSectno"/>
        </w:rPr>
        <w:t>9</w:t>
      </w:r>
      <w:r>
        <w:rPr>
          <w:snapToGrid w:val="0"/>
        </w:rPr>
        <w:t>.</w:t>
      </w:r>
      <w:r>
        <w:rPr>
          <w:snapToGrid w:val="0"/>
        </w:rPr>
        <w:tab/>
        <w:t>Act amended</w:t>
      </w:r>
      <w:bookmarkEnd w:id="83"/>
      <w:bookmarkEnd w:id="84"/>
      <w:bookmarkEnd w:id="85"/>
    </w:p>
    <w:p>
      <w:pPr>
        <w:pStyle w:val="Subsection"/>
      </w:pPr>
      <w:r>
        <w:tab/>
      </w:r>
      <w:r>
        <w:tab/>
        <w:t xml:space="preserve">This Part amends the </w:t>
      </w:r>
      <w:r>
        <w:rPr>
          <w:i/>
        </w:rPr>
        <w:t>Valuation of Land Act 1978</w:t>
      </w:r>
      <w:r>
        <w:t xml:space="preserve"> as amended by the </w:t>
      </w:r>
      <w:r>
        <w:rPr>
          <w:i/>
        </w:rPr>
        <w:t>Land Legislation Amendment Act 2015</w:t>
      </w:r>
      <w:r>
        <w:t>.</w:t>
      </w:r>
    </w:p>
    <w:p>
      <w:pPr>
        <w:pStyle w:val="Heading5"/>
      </w:pPr>
      <w:bookmarkStart w:id="86" w:name="_Toc418081714"/>
      <w:bookmarkStart w:id="87" w:name="_Toc418082633"/>
      <w:bookmarkStart w:id="88" w:name="_Toc418083020"/>
      <w:r>
        <w:rPr>
          <w:rStyle w:val="CharSectno"/>
        </w:rPr>
        <w:t>10</w:t>
      </w:r>
      <w:r>
        <w:t>.</w:t>
      </w:r>
      <w:r>
        <w:tab/>
        <w:t>Section 50 amended</w:t>
      </w:r>
      <w:bookmarkEnd w:id="86"/>
      <w:bookmarkEnd w:id="87"/>
      <w:bookmarkEnd w:id="88"/>
    </w:p>
    <w:p>
      <w:pPr>
        <w:pStyle w:val="Subsection"/>
      </w:pPr>
      <w:r>
        <w:tab/>
      </w:r>
      <w:r>
        <w:tab/>
        <w:t>After section 50(1) insert:</w:t>
      </w:r>
    </w:p>
    <w:p>
      <w:pPr>
        <w:pStyle w:val="BlankOpen"/>
      </w:pPr>
    </w:p>
    <w:p>
      <w:pPr>
        <w:pStyle w:val="zSubsection"/>
      </w:pPr>
      <w:r>
        <w:tab/>
        <w:t>(2A)</w:t>
      </w:r>
      <w:r>
        <w:tab/>
        <w:t>To the extent that regulations to which subsection (1) applies prescribe a fee that includes an amount that is a tax, the regulations may impose the tax.</w:t>
      </w:r>
    </w:p>
    <w:p>
      <w:pPr>
        <w:pStyle w:val="BlankClose"/>
      </w:pP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1" name="Picture 1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line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>
      <w:pPr>
        <w:sectPr>
          <w:headerReference w:type="even" r:id="rId27"/>
          <w:headerReference w:type="default" r:id="rId28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cols w:space="720"/>
          <w:docGrid w:linePitch="326"/>
        </w:sectPr>
      </w:pPr>
    </w:p>
    <w:p/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endnotePr>
        <w:numFmt w:val="decimal"/>
      </w:endnotePr>
      <w:type w:val="continuous"/>
      <w:pgSz w:w="11907" w:h="16840" w:code="9"/>
      <w:pgMar w:top="567" w:right="2410" w:bottom="567" w:left="2410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</w:endnote>
  <w:endnote w:type="continuationSeparator" w:id="0">
    <w:p>
      <w:pPr>
        <w:pStyle w:val="Footer"/>
      </w:pPr>
    </w:p>
  </w:endnote>
  <w:endnote w:type="continuationNotice" w:id="1"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12 of 2015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29 Apr 2015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29 Apr 2015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12 of 2015</w:t>
    </w:r>
    <w:r>
      <w:rPr>
        <w:sz w:val="20"/>
      </w:rPr>
      <w:fldChar w:fldCharType="end"/>
    </w:r>
    <w:r>
      <w:rPr>
        <w:sz w:val="20"/>
      </w:rPr>
      <w:tab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29 Apr 2015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12 of 2015</w:t>
    </w:r>
    <w:r>
      <w:rPr>
        <w:sz w:val="20"/>
      </w:rPr>
      <w:fldChar w:fldCharType="end"/>
    </w:r>
    <w:r>
      <w:rPr>
        <w:sz w:val="20"/>
      </w:rPr>
      <w:tab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12 of 2015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29 Apr 2015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29 Apr 2015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12 of 2015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5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29 Apr 2015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12 of 2015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Legislation Amendment (Taxing) Act 2015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Legislation Amendment (Taxing) Act 2015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Legislation Amendment (Taxing) Act 2015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"" "" </w:instrText>
          </w:r>
          <w:r>
            <w:rPr>
              <w:b/>
            </w:rPr>
            <w:fldChar w:fldCharType="begin"/>
          </w:r>
          <w:r>
            <w:rPr>
              <w:b/>
            </w:rPr>
            <w:instrText>styleref CharPartNo \n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"" ""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\n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>
            <w:rPr>
              <w:b/>
            </w:rPr>
            <w:t>0</w:t>
          </w:r>
          <w:r>
            <w:rPr>
              <w:b/>
            </w:rPr>
            <w:fldChar w:fldCharType="end"/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  <w:rPr>
        <w:rFonts w:ascii="Times New Roman" w:hAnsi="Times New Roman"/>
      </w:rP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Legislation Amendment (Taxing) Act 2015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"" "" </w:instrText>
          </w:r>
          <w:r>
            <w:rPr>
              <w:b/>
            </w:rPr>
            <w:fldChar w:fldCharType="begin"/>
          </w:r>
          <w:r>
            <w:rPr>
              <w:b/>
            </w:rPr>
            <w:instrText>styleref CharPartNo \n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"" "" </w:instrText>
          </w:r>
          <w:r>
            <w:rPr>
              <w:b/>
            </w:rPr>
            <w:fldChar w:fldCharType="begin"/>
          </w:r>
          <w:r>
            <w:rPr>
              <w:b/>
            </w:rPr>
            <w:instrText>styleref CharDivNo \n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 \n</w:instrText>
          </w:r>
          <w:r>
            <w:rPr>
              <w:b/>
            </w:rPr>
            <w:fldChar w:fldCharType="separate"/>
          </w:r>
          <w:r>
            <w:rPr>
              <w:b/>
            </w:rPr>
            <w:t>0</w:t>
          </w:r>
          <w:r>
            <w:rPr>
              <w:b/>
            </w:rPr>
            <w:fldChar w:fldCharType="end"/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  <w:rPr>
        <w:rFonts w:ascii="Times New Roman" w:hAnsi="Times New Roman"/>
      </w:rP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Legislation Amendment (Taxing) Act 2015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>STYLEREF CharPartNo \n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>STYLEREF CharPartNo \n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>styleref CharPartText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>STYLEREF CharDivNo \n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>STYLEREF CharDivNo \n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9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  <w:rPr>
        <w:rFonts w:ascii="Times New Roman" w:hAnsi="Times New Roman"/>
      </w:rP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Legislation Amendment (Taxing) Act 2015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>styleref CharPartText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>STYLEREF CharPartNo \n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>STYLEREF CharPartNo \n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>STYLEREF CharDivNo \n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>STYLEREF CharDivNo \n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 \n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 \n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  <w:rPr>
        <w:rFonts w:ascii="Times New Roman" w:hAnsi="Times New Roman"/>
      </w:rPr>
    </w:pPr>
    <w:bookmarkStart w:id="89" w:name="Compilation"/>
    <w:bookmarkEnd w:id="89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90" w:name="Coversheet"/>
    <w:bookmarkEnd w:id="90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6E38D7C8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6144F876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94C2480C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7A4ED7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8FC29B50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99EDD40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2D0D50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48EB14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BB1C8FA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842CE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>
    <w:nsid w:val="07422AA1"/>
    <w:multiLevelType w:val="multilevel"/>
    <w:tmpl w:val="4F10B00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>
    <w:nsid w:val="0F3C3412"/>
    <w:multiLevelType w:val="multilevel"/>
    <w:tmpl w:val="CC00AE5C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3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4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>
    <w:nsid w:val="1C3A0729"/>
    <w:multiLevelType w:val="multilevel"/>
    <w:tmpl w:val="C868F7A4"/>
    <w:name w:val="TableNumbers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6">
    <w:nsid w:val="22FF52EB"/>
    <w:multiLevelType w:val="multilevel"/>
    <w:tmpl w:val="85E88ED0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7">
    <w:nsid w:val="24866EA5"/>
    <w:multiLevelType w:val="hybridMultilevel"/>
    <w:tmpl w:val="03CC2A9E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1">
    <w:nsid w:val="30BF5862"/>
    <w:multiLevelType w:val="multilevel"/>
    <w:tmpl w:val="78A0113E"/>
    <w:name w:val="headings"/>
    <w:lvl w:ilvl="0">
      <w:start w:val="1"/>
      <w:numFmt w:val="decimal"/>
      <w:suff w:val="nothing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0" w:firstLine="0"/>
      </w:pPr>
    </w:lvl>
    <w:lvl w:ilvl="5">
      <w:start w:val="1"/>
      <w:numFmt w:val="none"/>
      <w:lvlText w:val="()"/>
      <w:lvlJc w:val="right"/>
      <w:pPr>
        <w:tabs>
          <w:tab w:val="num" w:pos="1080"/>
        </w:tabs>
        <w:ind w:left="0" w:firstLine="720"/>
      </w:pPr>
    </w:lvl>
    <w:lvl w:ilvl="6">
      <w:start w:val="1"/>
      <w:numFmt w:val="lowerLetter"/>
      <w:lvlText w:val="(%7)"/>
      <w:lvlJc w:val="left"/>
      <w:pPr>
        <w:tabs>
          <w:tab w:val="num" w:pos="2880"/>
        </w:tabs>
        <w:ind w:left="2520" w:hanging="360"/>
      </w:pPr>
    </w:lvl>
    <w:lvl w:ilvl="7">
      <w:start w:val="1"/>
      <w:numFmt w:val="lowerRoman"/>
      <w:lvlText w:val="(%8)"/>
      <w:lvlJc w:val="right"/>
      <w:pPr>
        <w:tabs>
          <w:tab w:val="num" w:pos="1800"/>
        </w:tabs>
        <w:ind w:left="1800" w:hanging="288"/>
      </w:pPr>
    </w:lvl>
    <w:lvl w:ilvl="8">
      <w:start w:val="1"/>
      <w:numFmt w:val="upperRoman"/>
      <w:lvlText w:val="(%9)"/>
      <w:lvlJc w:val="right"/>
      <w:pPr>
        <w:tabs>
          <w:tab w:val="num" w:pos="2160"/>
        </w:tabs>
        <w:ind w:left="2160" w:hanging="288"/>
      </w:pPr>
    </w:lvl>
  </w:abstractNum>
  <w:abstractNum w:abstractNumId="22">
    <w:nsid w:val="30E2035F"/>
    <w:multiLevelType w:val="singleLevel"/>
    <w:tmpl w:val="F356D5B2"/>
    <w:name w:val="ScheduleNumberedItems2"/>
    <w:lvl w:ilvl="0">
      <w:start w:val="1"/>
      <w:numFmt w:val="bullet"/>
      <w:lvlText w:val="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</w:abstractNum>
  <w:abstractNum w:abstractNumId="23">
    <w:nsid w:val="3C2808C0"/>
    <w:multiLevelType w:val="singleLevel"/>
    <w:tmpl w:val="B1B4B30E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4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25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6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7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8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>
    <w:nsid w:val="65D140E9"/>
    <w:multiLevelType w:val="multilevel"/>
    <w:tmpl w:val="DBF4D434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0">
    <w:nsid w:val="6CD156B2"/>
    <w:multiLevelType w:val="multilevel"/>
    <w:tmpl w:val="F54273BE"/>
    <w:name w:val="mainbill"/>
    <w:lvl w:ilvl="0">
      <w:start w:val="1"/>
      <w:numFmt w:val="decimal"/>
      <w:suff w:val="nothing"/>
      <w:lvlText w:val="Chapter %1 — "/>
      <w:lvlJc w:val="left"/>
      <w:pPr>
        <w:ind w:left="0" w:firstLine="0"/>
      </w:pPr>
    </w:lvl>
    <w:lvl w:ilvl="1">
      <w:start w:val="1"/>
      <w:numFmt w:val="decimal"/>
      <w:suff w:val="nothing"/>
      <w:lvlText w:val="Part %2 — "/>
      <w:lvlJc w:val="left"/>
      <w:pPr>
        <w:ind w:left="0" w:firstLine="0"/>
      </w:pPr>
    </w:lvl>
    <w:lvl w:ilvl="2">
      <w:start w:val="1"/>
      <w:numFmt w:val="decimal"/>
      <w:suff w:val="nothing"/>
      <w:lvlText w:val="Division %3 — "/>
      <w:lvlJc w:val="left"/>
      <w:pPr>
        <w:ind w:left="0" w:firstLine="0"/>
      </w:pPr>
    </w:lvl>
    <w:lvl w:ilvl="3">
      <w:start w:val="1"/>
      <w:numFmt w:val="decimal"/>
      <w:suff w:val="nothing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lvlText w:val="(%6)"/>
      <w:lvlJc w:val="right"/>
      <w:pPr>
        <w:tabs>
          <w:tab w:val="num" w:pos="893"/>
        </w:tabs>
        <w:ind w:left="893" w:hanging="173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lowerRoman"/>
      <w:lvlText w:val="(%8)"/>
      <w:lvlJc w:val="right"/>
      <w:pPr>
        <w:tabs>
          <w:tab w:val="num" w:pos="1800"/>
        </w:tabs>
        <w:ind w:left="1800" w:hanging="288"/>
      </w:pPr>
    </w:lvl>
    <w:lvl w:ilvl="8">
      <w:start w:val="1"/>
      <w:numFmt w:val="upperRoman"/>
      <w:lvlText w:val="(%9)"/>
      <w:lvlJc w:val="right"/>
      <w:pPr>
        <w:tabs>
          <w:tab w:val="num" w:pos="2160"/>
        </w:tabs>
        <w:ind w:left="2160" w:hanging="288"/>
      </w:pPr>
    </w:lvl>
  </w:abstractNum>
  <w:abstractNum w:abstractNumId="31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2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3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4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30"/>
  </w:num>
  <w:num w:numId="3">
    <w:abstractNumId w:val="13"/>
  </w:num>
  <w:num w:numId="4">
    <w:abstractNumId w:val="16"/>
  </w:num>
  <w:num w:numId="5">
    <w:abstractNumId w:val="9"/>
  </w:num>
  <w:num w:numId="6">
    <w:abstractNumId w:val="7"/>
  </w:num>
  <w:num w:numId="7">
    <w:abstractNumId w:val="6"/>
  </w:num>
  <w:num w:numId="8">
    <w:abstractNumId w:val="5"/>
  </w:num>
  <w:num w:numId="9">
    <w:abstractNumId w:val="4"/>
  </w:num>
  <w:num w:numId="10">
    <w:abstractNumId w:val="8"/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  <w:num w:numId="15">
    <w:abstractNumId w:val="23"/>
  </w:num>
  <w:num w:numId="16">
    <w:abstractNumId w:val="17"/>
  </w:num>
  <w:num w:numId="17">
    <w:abstractNumId w:val="14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61"/>
  <w:printFractionalCharacterWidth/>
  <w:activeWritingStyle w:appName="MSWord" w:lang="en-AU" w:vendorID="8" w:dllVersion="513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140"/>
  <w:doNotHyphenateCaps/>
  <w:evenAndOddHeader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pos w:val="sectEnd"/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0429145921"/>
    <w:docVar w:name="WAFER_20140924112052" w:val="RemoveTocBookmarks,RemoveUnusedBookmarks,RemoveLanguageTags,UsedStyles,ResetPageSize"/>
    <w:docVar w:name="WAFER_20140924112052_GUID" w:val="3798b5d0-27f7-4b23-ad93-7a849e23787b"/>
    <w:docVar w:name="WAFER_20141110135514" w:val="RemoveTocBookmarks,RemoveUnusedBookmarks,RemoveLanguageTags,UsedStyles,ResetPageSize"/>
    <w:docVar w:name="WAFER_20141110135514_GUID" w:val="a0eddf80-a9f9-4f25-9f9d-92535c6f6bd1"/>
    <w:docVar w:name="WAFER_20150429145921" w:val="ResetPageSize,UpdateArrangement,UpdateNTable"/>
    <w:docVar w:name="WAFER_20150429145921_GUID" w:val="83bd5600-7772-4532-bed1-c103fef7cb50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G Times" w:eastAsia="Times New Roman" w:hAnsi="CG Times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Times New Roman" w:hAnsi="Times New Roman"/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rFonts w:ascii="Times New Roman" w:hAnsi="Times New Roman"/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rFonts w:ascii="Times New Roman" w:hAnsi="Times New Roman"/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rFonts w:ascii="Times New Roman" w:hAnsi="Times New Roman"/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rFonts w:ascii="Times New Roman" w:hAnsi="Times New Roman"/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rFonts w:ascii="Times New Roman" w:hAnsi="Times New Roman"/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rFonts w:ascii="Times New Roman" w:hAnsi="Times New Roman"/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Footer">
    <w:name w:val="footer"/>
    <w:basedOn w:val="Normal"/>
    <w:rPr>
      <w:rFonts w:ascii="Arial" w:hAnsi="Arial"/>
      <w:noProof/>
    </w:rPr>
  </w:style>
  <w:style w:type="paragraph" w:styleId="Header">
    <w:name w:val="header"/>
    <w:rPr>
      <w:rFonts w:ascii="Arial" w:hAnsi="Arial"/>
      <w:noProof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rFonts w:ascii="Times New Roman" w:hAnsi="Times New Roman"/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rFonts w:ascii="Times New Roman" w:hAnsi="Times New Roman"/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rFonts w:ascii="Times New Roman" w:hAnsi="Times New Roman"/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rFonts w:ascii="Times New Roman" w:hAnsi="Times New Roman"/>
      <w:noProof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rFonts w:ascii="Times New Roman" w:hAnsi="Times New Roman"/>
      <w:b/>
      <w:snapToGrid w:val="0"/>
      <w:sz w:val="34"/>
    </w:rPr>
  </w:style>
  <w:style w:type="character" w:customStyle="1" w:styleId="CharSectno">
    <w:name w:val="CharSectno"/>
    <w:rPr>
      <w:noProof w:val="0"/>
    </w:r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pPr>
      <w:spacing w:after="120"/>
    </w:p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rFonts w:ascii="Times New Roman" w:hAnsi="Times New Roman"/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rFonts w:ascii="Times New Roman" w:hAnsi="Times New Roman"/>
      <w:sz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rFonts w:ascii="Times New Roman" w:hAnsi="Times New Roman"/>
      <w:sz w:val="24"/>
    </w:rPr>
  </w:style>
  <w:style w:type="paragraph" w:customStyle="1" w:styleId="LongTitle">
    <w:name w:val="Long Title"/>
    <w:rPr>
      <w:rFonts w:ascii="Times New Roman" w:hAnsi="Times New Roman"/>
      <w:b/>
      <w:sz w:val="24"/>
    </w:rPr>
  </w:style>
  <w:style w:type="paragraph" w:customStyle="1" w:styleId="WA">
    <w:name w:val="WA"/>
    <w:pPr>
      <w:spacing w:after="720"/>
      <w:jc w:val="center"/>
    </w:pPr>
    <w:rPr>
      <w:rFonts w:ascii="Times New Roman" w:hAnsi="Times New Roman"/>
      <w:sz w:val="24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rFonts w:ascii="Times New Roman" w:hAnsi="Times New Roman"/>
      <w:snapToGrid w:val="0"/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rFonts w:ascii="Times New Roman" w:hAnsi="Times New Roman"/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rFonts w:ascii="Times New Roman" w:hAnsi="Times New Roman"/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nitionNumbers">
    <w:name w:val="DefinitionNumbers"/>
    <w:basedOn w:val="Normal"/>
    <w:pPr>
      <w:numPr>
        <w:numId w:val="4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rFonts w:ascii="Times New Roman" w:hAnsi="Times New Roman"/>
      <w:sz w:val="24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rFonts w:ascii="Times New Roman" w:hAnsi="Times New Roman"/>
      <w:i/>
      <w:sz w:val="24"/>
    </w:r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rFonts w:ascii="Times New Roman" w:hAnsi="Times New Roman"/>
      <w:i/>
      <w:sz w:val="24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rFonts w:ascii="Times New Roman" w:hAnsi="Times New Roman"/>
      <w:i/>
      <w:sz w:val="24"/>
    </w:r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rFonts w:ascii="Times New Roman" w:hAnsi="Times New Roman"/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rFonts w:ascii="Times New Roman" w:hAnsi="Times New Roman"/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rFonts w:ascii="Times New Roman" w:hAnsi="Times New Roman"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rFonts w:ascii="Times New Roman" w:hAnsi="Times New Roman"/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rFonts w:ascii="Times New Roman" w:hAnsi="Times New Roman"/>
      <w:i/>
      <w:snapToGrid w:val="0"/>
      <w:sz w:val="24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rFonts w:ascii="Times New Roman" w:hAnsi="Times New Roman"/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rFonts w:ascii="Times New Roman" w:hAnsi="Times New Roman"/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rFonts w:ascii="Times New Roman" w:hAnsi="Times New Roman"/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rFonts w:ascii="Times New Roman" w:hAnsi="Times New Roman"/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5"/>
      </w:numPr>
    </w:pPr>
  </w:style>
  <w:style w:type="paragraph" w:styleId="ListBullet2">
    <w:name w:val="List Bullet 2"/>
    <w:basedOn w:val="Normal"/>
    <w:autoRedefine/>
    <w:pPr>
      <w:numPr>
        <w:numId w:val="6"/>
      </w:numPr>
    </w:pPr>
  </w:style>
  <w:style w:type="paragraph" w:styleId="ListBullet3">
    <w:name w:val="List Bullet 3"/>
    <w:basedOn w:val="Normal"/>
    <w:autoRedefine/>
    <w:pPr>
      <w:numPr>
        <w:numId w:val="7"/>
      </w:numPr>
    </w:pPr>
  </w:style>
  <w:style w:type="paragraph" w:styleId="ListBullet4">
    <w:name w:val="List Bullet 4"/>
    <w:basedOn w:val="Normal"/>
    <w:autoRedefine/>
    <w:pPr>
      <w:numPr>
        <w:numId w:val="8"/>
      </w:numPr>
    </w:pPr>
  </w:style>
  <w:style w:type="paragraph" w:styleId="ListBullet5">
    <w:name w:val="List Bullet 5"/>
    <w:basedOn w:val="Normal"/>
    <w:autoRedefine/>
    <w:pPr>
      <w:numPr>
        <w:numId w:val="9"/>
      </w:numPr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0"/>
      </w:numPr>
    </w:pPr>
  </w:style>
  <w:style w:type="paragraph" w:styleId="ListNumber2">
    <w:name w:val="List Number 2"/>
    <w:basedOn w:val="Normal"/>
    <w:pPr>
      <w:numPr>
        <w:numId w:val="11"/>
      </w:numPr>
    </w:pPr>
  </w:style>
  <w:style w:type="paragraph" w:styleId="ListNumber3">
    <w:name w:val="List Number 3"/>
    <w:basedOn w:val="Normal"/>
    <w:pPr>
      <w:numPr>
        <w:numId w:val="12"/>
      </w:numPr>
    </w:pPr>
  </w:style>
  <w:style w:type="paragraph" w:styleId="ListNumber4">
    <w:name w:val="List Number 4"/>
    <w:basedOn w:val="Normal"/>
    <w:pPr>
      <w:numPr>
        <w:numId w:val="13"/>
      </w:numPr>
    </w:pPr>
  </w:style>
  <w:style w:type="paragraph" w:styleId="ListNumber5">
    <w:name w:val="List Number 5"/>
    <w:basedOn w:val="Normal"/>
    <w:pPr>
      <w:numPr>
        <w:numId w:val="14"/>
      </w:numPr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Times New Roman" w:hAnsi="Times New Roman"/>
      <w:sz w:val="24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rFonts w:ascii="Times New Roman" w:hAnsi="Times New Roman"/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rFonts w:ascii="Times New Roman" w:hAnsi="Times New Roman"/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rFonts w:ascii="Times New Roman" w:hAnsi="Times New Roman"/>
      <w:sz w:val="24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Table">
    <w:name w:val="nTable"/>
    <w:basedOn w:val="Table"/>
    <w:pPr>
      <w:spacing w:before="40" w:line="240" w:lineRule="auto"/>
    </w:pPr>
    <w:rPr>
      <w:sz w:val="19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rFonts w:ascii="Times New Roman" w:hAnsi="Times New Roman"/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rFonts w:ascii="Times New Roman" w:hAnsi="Times New Roman"/>
      <w:sz w:val="24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styleId="Signature">
    <w:name w:val="Signature"/>
    <w:basedOn w:val="Normal"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rFonts w:ascii="Times New Roman" w:hAnsi="Times New Roman"/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</w:rPr>
  </w:style>
  <w:style w:type="paragraph" w:customStyle="1" w:styleId="CentredBaseLine">
    <w:name w:val="CentredBaseLine"/>
    <w:pPr>
      <w:suppressLineNumbers/>
      <w:spacing w:before="240"/>
    </w:pPr>
    <w:rPr>
      <w:rFonts w:ascii="Times New Roman" w:hAnsi="Times New Roman"/>
    </w:rPr>
  </w:style>
  <w:style w:type="paragraph" w:customStyle="1" w:styleId="MadeBy">
    <w:name w:val="MadeBy"/>
    <w:pPr>
      <w:spacing w:before="600"/>
    </w:pPr>
    <w:rPr>
      <w:rFonts w:ascii="Times New Roman" w:hAnsi="Times New Roman"/>
      <w:sz w:val="24"/>
    </w:rPr>
  </w:style>
  <w:style w:type="paragraph" w:customStyle="1" w:styleId="PrincipalActReg">
    <w:name w:val="PrincipalAct_Reg"/>
    <w:pPr>
      <w:spacing w:after="480"/>
      <w:jc w:val="center"/>
    </w:pPr>
    <w:rPr>
      <w:rFonts w:ascii="Times New Roman" w:hAnsi="Times New Roman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rFonts w:ascii="Times New Roman" w:hAnsi="Times New Roman"/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rFonts w:ascii="Times New Roman" w:hAnsi="Times New Roman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5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rPr>
      <w:rFonts w:ascii="Times New Roman" w:hAnsi="Times New Roman"/>
      <w:b/>
      <w:noProof/>
      <w:sz w:val="28"/>
    </w:rPr>
  </w:style>
  <w:style w:type="paragraph" w:customStyle="1" w:styleId="yEdnotedefitem">
    <w:name w:val="yEdnote(defitem)"/>
    <w:basedOn w:val="Ednotedefitem"/>
    <w:rPr>
      <w:i w:val="0"/>
      <w:sz w:val="22"/>
    </w:rPr>
  </w:style>
  <w:style w:type="paragraph" w:customStyle="1" w:styleId="yEdnotedefpara">
    <w:name w:val="yEdnote(defpara)"/>
    <w:basedOn w:val="Ednotedefpara"/>
    <w:pPr>
      <w:tabs>
        <w:tab w:val="clear" w:pos="1613"/>
        <w:tab w:val="clear" w:pos="1901"/>
        <w:tab w:val="right" w:pos="1332"/>
        <w:tab w:val="left" w:pos="1616"/>
      </w:tabs>
      <w:spacing w:before="80"/>
      <w:ind w:left="1616" w:hanging="1616"/>
    </w:pPr>
    <w:rPr>
      <w:snapToGrid w:val="0"/>
      <w:sz w:val="22"/>
    </w:rPr>
  </w:style>
  <w:style w:type="paragraph" w:customStyle="1" w:styleId="yEdnotedefsubpara">
    <w:name w:val="yEdnote(defsubpara)"/>
    <w:basedOn w:val="Ednotedefsubpara"/>
    <w:rPr>
      <w:i w:val="0"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rFonts w:ascii="Times New Roman" w:hAnsi="Times New Roman"/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-PAGE-">
    <w:name w:val="- PAGE -"/>
    <w:rPr>
      <w:rFonts w:ascii="Times New Roman" w:hAnsi="Times New Roman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TableNAm">
    <w:name w:val="TableNAm"/>
    <w:basedOn w:val="TableAm"/>
  </w:style>
  <w:style w:type="paragraph" w:customStyle="1" w:styleId="zTableNAm">
    <w:name w:val="zTableNAm"/>
    <w:basedOn w:val="TableAm"/>
  </w:style>
  <w:style w:type="paragraph" w:customStyle="1" w:styleId="yTableNAm">
    <w:name w:val="yTableNAm"/>
    <w:basedOn w:val="TableAm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SignatureText">
    <w:name w:val="SignatureText"/>
    <w:basedOn w:val="Normal"/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G Times" w:eastAsia="Times New Roman" w:hAnsi="CG Times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Times New Roman" w:hAnsi="Times New Roman"/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rFonts w:ascii="Times New Roman" w:hAnsi="Times New Roman"/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rFonts w:ascii="Times New Roman" w:hAnsi="Times New Roman"/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rFonts w:ascii="Times New Roman" w:hAnsi="Times New Roman"/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rFonts w:ascii="Times New Roman" w:hAnsi="Times New Roman"/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rFonts w:ascii="Times New Roman" w:hAnsi="Times New Roman"/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rFonts w:ascii="Times New Roman" w:hAnsi="Times New Roman"/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Footer">
    <w:name w:val="footer"/>
    <w:basedOn w:val="Normal"/>
    <w:rPr>
      <w:rFonts w:ascii="Arial" w:hAnsi="Arial"/>
      <w:noProof/>
    </w:rPr>
  </w:style>
  <w:style w:type="paragraph" w:styleId="Header">
    <w:name w:val="header"/>
    <w:rPr>
      <w:rFonts w:ascii="Arial" w:hAnsi="Arial"/>
      <w:noProof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rFonts w:ascii="Times New Roman" w:hAnsi="Times New Roman"/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rFonts w:ascii="Times New Roman" w:hAnsi="Times New Roman"/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rFonts w:ascii="Times New Roman" w:hAnsi="Times New Roman"/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rFonts w:ascii="Times New Roman" w:hAnsi="Times New Roman"/>
      <w:noProof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rFonts w:ascii="Times New Roman" w:hAnsi="Times New Roman"/>
      <w:b/>
      <w:snapToGrid w:val="0"/>
      <w:sz w:val="34"/>
    </w:rPr>
  </w:style>
  <w:style w:type="character" w:customStyle="1" w:styleId="CharSectno">
    <w:name w:val="CharSectno"/>
    <w:rPr>
      <w:noProof w:val="0"/>
    </w:r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pPr>
      <w:spacing w:after="120"/>
    </w:p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rFonts w:ascii="Times New Roman" w:hAnsi="Times New Roman"/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rFonts w:ascii="Times New Roman" w:hAnsi="Times New Roman"/>
      <w:sz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rFonts w:ascii="Times New Roman" w:hAnsi="Times New Roman"/>
      <w:sz w:val="24"/>
    </w:rPr>
  </w:style>
  <w:style w:type="paragraph" w:customStyle="1" w:styleId="LongTitle">
    <w:name w:val="Long Title"/>
    <w:rPr>
      <w:rFonts w:ascii="Times New Roman" w:hAnsi="Times New Roman"/>
      <w:b/>
      <w:sz w:val="24"/>
    </w:rPr>
  </w:style>
  <w:style w:type="paragraph" w:customStyle="1" w:styleId="WA">
    <w:name w:val="WA"/>
    <w:pPr>
      <w:spacing w:after="720"/>
      <w:jc w:val="center"/>
    </w:pPr>
    <w:rPr>
      <w:rFonts w:ascii="Times New Roman" w:hAnsi="Times New Roman"/>
      <w:sz w:val="24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rFonts w:ascii="Times New Roman" w:hAnsi="Times New Roman"/>
      <w:snapToGrid w:val="0"/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rFonts w:ascii="Times New Roman" w:hAnsi="Times New Roman"/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rFonts w:ascii="Times New Roman" w:hAnsi="Times New Roman"/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nitionNumbers">
    <w:name w:val="DefinitionNumbers"/>
    <w:basedOn w:val="Normal"/>
    <w:pPr>
      <w:numPr>
        <w:numId w:val="4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rFonts w:ascii="Times New Roman" w:hAnsi="Times New Roman"/>
      <w:sz w:val="24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rFonts w:ascii="Times New Roman" w:hAnsi="Times New Roman"/>
      <w:i/>
      <w:sz w:val="24"/>
    </w:r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rFonts w:ascii="Times New Roman" w:hAnsi="Times New Roman"/>
      <w:i/>
      <w:sz w:val="24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rFonts w:ascii="Times New Roman" w:hAnsi="Times New Roman"/>
      <w:i/>
      <w:sz w:val="24"/>
    </w:r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rFonts w:ascii="Times New Roman" w:hAnsi="Times New Roman"/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rFonts w:ascii="Times New Roman" w:hAnsi="Times New Roman"/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rFonts w:ascii="Times New Roman" w:hAnsi="Times New Roman"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rFonts w:ascii="Times New Roman" w:hAnsi="Times New Roman"/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rFonts w:ascii="Times New Roman" w:hAnsi="Times New Roman"/>
      <w:i/>
      <w:snapToGrid w:val="0"/>
      <w:sz w:val="24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rFonts w:ascii="Times New Roman" w:hAnsi="Times New Roman"/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rFonts w:ascii="Times New Roman" w:hAnsi="Times New Roman"/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rFonts w:ascii="Times New Roman" w:hAnsi="Times New Roman"/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rFonts w:ascii="Times New Roman" w:hAnsi="Times New Roman"/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5"/>
      </w:numPr>
    </w:pPr>
  </w:style>
  <w:style w:type="paragraph" w:styleId="ListBullet2">
    <w:name w:val="List Bullet 2"/>
    <w:basedOn w:val="Normal"/>
    <w:autoRedefine/>
    <w:pPr>
      <w:numPr>
        <w:numId w:val="6"/>
      </w:numPr>
    </w:pPr>
  </w:style>
  <w:style w:type="paragraph" w:styleId="ListBullet3">
    <w:name w:val="List Bullet 3"/>
    <w:basedOn w:val="Normal"/>
    <w:autoRedefine/>
    <w:pPr>
      <w:numPr>
        <w:numId w:val="7"/>
      </w:numPr>
    </w:pPr>
  </w:style>
  <w:style w:type="paragraph" w:styleId="ListBullet4">
    <w:name w:val="List Bullet 4"/>
    <w:basedOn w:val="Normal"/>
    <w:autoRedefine/>
    <w:pPr>
      <w:numPr>
        <w:numId w:val="8"/>
      </w:numPr>
    </w:pPr>
  </w:style>
  <w:style w:type="paragraph" w:styleId="ListBullet5">
    <w:name w:val="List Bullet 5"/>
    <w:basedOn w:val="Normal"/>
    <w:autoRedefine/>
    <w:pPr>
      <w:numPr>
        <w:numId w:val="9"/>
      </w:numPr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0"/>
      </w:numPr>
    </w:pPr>
  </w:style>
  <w:style w:type="paragraph" w:styleId="ListNumber2">
    <w:name w:val="List Number 2"/>
    <w:basedOn w:val="Normal"/>
    <w:pPr>
      <w:numPr>
        <w:numId w:val="11"/>
      </w:numPr>
    </w:pPr>
  </w:style>
  <w:style w:type="paragraph" w:styleId="ListNumber3">
    <w:name w:val="List Number 3"/>
    <w:basedOn w:val="Normal"/>
    <w:pPr>
      <w:numPr>
        <w:numId w:val="12"/>
      </w:numPr>
    </w:pPr>
  </w:style>
  <w:style w:type="paragraph" w:styleId="ListNumber4">
    <w:name w:val="List Number 4"/>
    <w:basedOn w:val="Normal"/>
    <w:pPr>
      <w:numPr>
        <w:numId w:val="13"/>
      </w:numPr>
    </w:pPr>
  </w:style>
  <w:style w:type="paragraph" w:styleId="ListNumber5">
    <w:name w:val="List Number 5"/>
    <w:basedOn w:val="Normal"/>
    <w:pPr>
      <w:numPr>
        <w:numId w:val="14"/>
      </w:numPr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Times New Roman" w:hAnsi="Times New Roman"/>
      <w:sz w:val="24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rFonts w:ascii="Times New Roman" w:hAnsi="Times New Roman"/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rFonts w:ascii="Times New Roman" w:hAnsi="Times New Roman"/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rFonts w:ascii="Times New Roman" w:hAnsi="Times New Roman"/>
      <w:sz w:val="24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Table">
    <w:name w:val="nTable"/>
    <w:basedOn w:val="Table"/>
    <w:pPr>
      <w:spacing w:before="40" w:line="240" w:lineRule="auto"/>
    </w:pPr>
    <w:rPr>
      <w:sz w:val="19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rFonts w:ascii="Times New Roman" w:hAnsi="Times New Roman"/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rFonts w:ascii="Times New Roman" w:hAnsi="Times New Roman"/>
      <w:sz w:val="24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styleId="Signature">
    <w:name w:val="Signature"/>
    <w:basedOn w:val="Normal"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rFonts w:ascii="Times New Roman" w:hAnsi="Times New Roman"/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</w:rPr>
  </w:style>
  <w:style w:type="paragraph" w:customStyle="1" w:styleId="CentredBaseLine">
    <w:name w:val="CentredBaseLine"/>
    <w:pPr>
      <w:suppressLineNumbers/>
      <w:spacing w:before="240"/>
    </w:pPr>
    <w:rPr>
      <w:rFonts w:ascii="Times New Roman" w:hAnsi="Times New Roman"/>
    </w:rPr>
  </w:style>
  <w:style w:type="paragraph" w:customStyle="1" w:styleId="MadeBy">
    <w:name w:val="MadeBy"/>
    <w:pPr>
      <w:spacing w:before="600"/>
    </w:pPr>
    <w:rPr>
      <w:rFonts w:ascii="Times New Roman" w:hAnsi="Times New Roman"/>
      <w:sz w:val="24"/>
    </w:rPr>
  </w:style>
  <w:style w:type="paragraph" w:customStyle="1" w:styleId="PrincipalActReg">
    <w:name w:val="PrincipalAct_Reg"/>
    <w:pPr>
      <w:spacing w:after="480"/>
      <w:jc w:val="center"/>
    </w:pPr>
    <w:rPr>
      <w:rFonts w:ascii="Times New Roman" w:hAnsi="Times New Roman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rFonts w:ascii="Times New Roman" w:hAnsi="Times New Roman"/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rFonts w:ascii="Times New Roman" w:hAnsi="Times New Roman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5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rPr>
      <w:rFonts w:ascii="Times New Roman" w:hAnsi="Times New Roman"/>
      <w:b/>
      <w:noProof/>
      <w:sz w:val="28"/>
    </w:rPr>
  </w:style>
  <w:style w:type="paragraph" w:customStyle="1" w:styleId="yEdnotedefitem">
    <w:name w:val="yEdnote(defitem)"/>
    <w:basedOn w:val="Ednotedefitem"/>
    <w:rPr>
      <w:i w:val="0"/>
      <w:sz w:val="22"/>
    </w:rPr>
  </w:style>
  <w:style w:type="paragraph" w:customStyle="1" w:styleId="yEdnotedefpara">
    <w:name w:val="yEdnote(defpara)"/>
    <w:basedOn w:val="Ednotedefpara"/>
    <w:pPr>
      <w:tabs>
        <w:tab w:val="clear" w:pos="1613"/>
        <w:tab w:val="clear" w:pos="1901"/>
        <w:tab w:val="right" w:pos="1332"/>
        <w:tab w:val="left" w:pos="1616"/>
      </w:tabs>
      <w:spacing w:before="80"/>
      <w:ind w:left="1616" w:hanging="1616"/>
    </w:pPr>
    <w:rPr>
      <w:snapToGrid w:val="0"/>
      <w:sz w:val="22"/>
    </w:rPr>
  </w:style>
  <w:style w:type="paragraph" w:customStyle="1" w:styleId="yEdnotedefsubpara">
    <w:name w:val="yEdnote(defsubpara)"/>
    <w:basedOn w:val="Ednotedefsubpara"/>
    <w:rPr>
      <w:i w:val="0"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rFonts w:ascii="Times New Roman" w:hAnsi="Times New Roman"/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-PAGE-">
    <w:name w:val="- PAGE -"/>
    <w:rPr>
      <w:rFonts w:ascii="Times New Roman" w:hAnsi="Times New Roman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TableNAm">
    <w:name w:val="TableNAm"/>
    <w:basedOn w:val="TableAm"/>
  </w:style>
  <w:style w:type="paragraph" w:customStyle="1" w:styleId="zTableNAm">
    <w:name w:val="zTableNAm"/>
    <w:basedOn w:val="TableAm"/>
  </w:style>
  <w:style w:type="paragraph" w:customStyle="1" w:styleId="yTableNAm">
    <w:name w:val="yTableNAm"/>
    <w:basedOn w:val="TableAm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SignatureText">
    <w:name w:val="SignatureText"/>
    <w:basedOn w:val="Normal"/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footer" Target="footer4.xml"/><Relationship Id="rId26" Type="http://schemas.openxmlformats.org/officeDocument/2006/relationships/image" Target="media/image3.png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34" Type="http://schemas.openxmlformats.org/officeDocument/2006/relationships/footer" Target="footer9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header" Target="header5.xml"/><Relationship Id="rId25" Type="http://schemas.openxmlformats.org/officeDocument/2006/relationships/header" Target="header9.xml"/><Relationship Id="rId33" Type="http://schemas.openxmlformats.org/officeDocument/2006/relationships/header" Target="header14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header" Target="header6.xml"/><Relationship Id="rId29" Type="http://schemas.openxmlformats.org/officeDocument/2006/relationships/header" Target="header1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24" Type="http://schemas.openxmlformats.org/officeDocument/2006/relationships/header" Target="header8.xml"/><Relationship Id="rId32" Type="http://schemas.openxmlformats.org/officeDocument/2006/relationships/footer" Target="footer8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23" Type="http://schemas.openxmlformats.org/officeDocument/2006/relationships/header" Target="header7.xml"/><Relationship Id="rId28" Type="http://schemas.openxmlformats.org/officeDocument/2006/relationships/header" Target="header11.xml"/><Relationship Id="rId36" Type="http://schemas.openxmlformats.org/officeDocument/2006/relationships/theme" Target="theme/theme1.xml"/><Relationship Id="rId10" Type="http://schemas.openxmlformats.org/officeDocument/2006/relationships/header" Target="header1.xml"/><Relationship Id="rId19" Type="http://schemas.openxmlformats.org/officeDocument/2006/relationships/footer" Target="footer5.xml"/><Relationship Id="rId31" Type="http://schemas.openxmlformats.org/officeDocument/2006/relationships/footer" Target="footer7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3.xml"/><Relationship Id="rId22" Type="http://schemas.openxmlformats.org/officeDocument/2006/relationships/image" Target="media/image2.tiff"/><Relationship Id="rId27" Type="http://schemas.openxmlformats.org/officeDocument/2006/relationships/header" Target="header10.xml"/><Relationship Id="rId30" Type="http://schemas.openxmlformats.org/officeDocument/2006/relationships/header" Target="header13.xm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9E2441-FC37-4863-9257-1795AB9051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609</Words>
  <Characters>2900</Characters>
  <Application>Microsoft Office Word</Application>
  <DocSecurity>0</DocSecurity>
  <Lines>120</Lines>
  <Paragraphs>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(Bills)</vt:lpstr>
    </vt:vector>
  </TitlesOfParts>
  <Company>Parliamentary Counsel's Office</Company>
  <LinksUpToDate>false</LinksUpToDate>
  <CharactersWithSpaces>3417</CharactersWithSpaces>
  <SharedDoc>false</SharedDoc>
  <HyperlinkBase/>
  <HLinks>
    <vt:vector size="12" baseType="variant">
      <vt:variant>
        <vt:i4>3276894</vt:i4>
      </vt:variant>
      <vt:variant>
        <vt:i4>140</vt:i4>
      </vt:variant>
      <vt:variant>
        <vt:i4>0</vt:i4>
      </vt:variant>
      <vt:variant>
        <vt:i4>5</vt:i4>
      </vt:variant>
      <vt:variant>
        <vt:lpwstr>mailto:John.Lightowlers@psc.wa.gov.au</vt:lpwstr>
      </vt:variant>
      <vt:variant>
        <vt:lpwstr/>
      </vt:variant>
      <vt:variant>
        <vt:i4>5898351</vt:i4>
      </vt:variant>
      <vt:variant>
        <vt:i4>135</vt:i4>
      </vt:variant>
      <vt:variant>
        <vt:i4>0</vt:i4>
      </vt:variant>
      <vt:variant>
        <vt:i4>5</vt:i4>
      </vt:variant>
      <vt:variant>
        <vt:lpwstr>mailto:DraftLegislation@treasury.wa.gov.au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Land Legislation Amendment (Taxing) Act 2015 - 00-00-00</dc:title>
  <dc:subject>Bills and Amendments</dc:subject>
  <dc:creator>svcMRProcess</dc:creator>
  <cp:lastModifiedBy>svcMRProcess</cp:lastModifiedBy>
  <cp:revision>4</cp:revision>
  <cp:lastPrinted>2015-04-29T06:40:00Z</cp:lastPrinted>
  <dcterms:created xsi:type="dcterms:W3CDTF">2015-04-29T08:33:00Z</dcterms:created>
  <dcterms:modified xsi:type="dcterms:W3CDTF">2015-04-29T08:33:00Z</dcterms:modified>
  <cp:category>Bill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llID">
    <vt:lpwstr>2349</vt:lpwstr>
  </property>
  <property fmtid="{D5CDD505-2E9C-101B-9397-08002B2CF9AE}" pid="3" name="ActNo">
    <vt:lpwstr>12 of 2015</vt:lpwstr>
  </property>
  <property fmtid="{D5CDD505-2E9C-101B-9397-08002B2CF9AE}" pid="4" name="DocumentType">
    <vt:lpwstr>Act</vt:lpwstr>
  </property>
  <property fmtid="{D5CDD505-2E9C-101B-9397-08002B2CF9AE}" pid="5" name="CommencementDate">
    <vt:lpwstr>20150429</vt:lpwstr>
  </property>
  <property fmtid="{D5CDD505-2E9C-101B-9397-08002B2CF9AE}" pid="6" name="AsAtDate">
    <vt:lpwstr>29 Apr 2015</vt:lpwstr>
  </property>
  <property fmtid="{D5CDD505-2E9C-101B-9397-08002B2CF9AE}" pid="7" name="Suffix">
    <vt:lpwstr>00-00-00</vt:lpwstr>
  </property>
  <property fmtid="{D5CDD505-2E9C-101B-9397-08002B2CF9AE}" pid="8" name="ActNoFooter">
    <vt:lpwstr>No. 12 of 2015</vt:lpwstr>
  </property>
</Properties>
</file>