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_Toc419119364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_Toc419119365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_Toc419119366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_Toc419119367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5.</w:t>
      </w:r>
      <w:r>
        <w:tab/>
        <w:t>Agreement ratified and implementation authorised</w:t>
      </w:r>
      <w:r>
        <w:tab/>
      </w:r>
      <w:r>
        <w:fldChar w:fldCharType="begin"/>
      </w:r>
      <w:r>
        <w:instrText xml:space="preserve"> PAGEREF _Toc419119369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Use of reserve under the </w:t>
      </w:r>
      <w:r>
        <w:rPr>
          <w:i/>
        </w:rPr>
        <w:t>Land Administration Act 1997</w:t>
      </w:r>
    </w:p>
    <w:p>
      <w:pPr>
        <w:pStyle w:val="TOC8"/>
        <w:rPr>
          <w:rFonts w:asciiTheme="minorHAnsi" w:eastAsiaTheme="minorEastAsia" w:hAnsiTheme="minorHAnsi" w:cstheme="minorBidi"/>
          <w:szCs w:val="22"/>
        </w:rPr>
      </w:pPr>
      <w:r>
        <w:t>6.</w:t>
      </w:r>
      <w:r>
        <w:tab/>
        <w:t>Leasing parts of the reserve</w:t>
      </w:r>
      <w:r>
        <w:tab/>
      </w:r>
      <w:r>
        <w:fldChar w:fldCharType="begin"/>
      </w:r>
      <w:r>
        <w:instrText xml:space="preserve"> PAGEREF _Toc419119371 \h </w:instrText>
      </w:r>
      <w:r>
        <w:fldChar w:fldCharType="separate"/>
      </w:r>
      <w:r>
        <w:t>5</w:t>
      </w:r>
      <w:r>
        <w:fldChar w:fldCharType="end"/>
      </w:r>
    </w:p>
    <w:p>
      <w:pPr>
        <w:pStyle w:val="TOC8"/>
        <w:rPr>
          <w:rFonts w:asciiTheme="minorHAnsi" w:eastAsiaTheme="minorEastAsia" w:hAnsiTheme="minorHAnsi" w:cstheme="minorBidi"/>
          <w:szCs w:val="22"/>
        </w:rPr>
      </w:pPr>
      <w:r>
        <w:t>7.</w:t>
      </w:r>
      <w:r>
        <w:tab/>
        <w:t>Licences affecting the reserve</w:t>
      </w:r>
      <w:r>
        <w:tab/>
      </w:r>
      <w:r>
        <w:fldChar w:fldCharType="begin"/>
      </w:r>
      <w:r>
        <w:instrText xml:space="preserve"> PAGEREF _Toc419119372 \h </w:instrText>
      </w:r>
      <w:r>
        <w:fldChar w:fldCharType="separate"/>
      </w:r>
      <w:r>
        <w:t>7</w:t>
      </w:r>
      <w:r>
        <w:fldChar w:fldCharType="end"/>
      </w:r>
    </w:p>
    <w:p>
      <w:pPr>
        <w:pStyle w:val="TOC8"/>
        <w:rPr>
          <w:rFonts w:asciiTheme="minorHAnsi" w:eastAsiaTheme="minorEastAsia" w:hAnsiTheme="minorHAnsi" w:cstheme="minorBidi"/>
          <w:szCs w:val="22"/>
        </w:rPr>
      </w:pPr>
      <w:r>
        <w:t>8.</w:t>
      </w:r>
      <w:r>
        <w:tab/>
        <w:t>Easements affecting the reserve</w:t>
      </w:r>
      <w:r>
        <w:tab/>
      </w:r>
      <w:r>
        <w:fldChar w:fldCharType="begin"/>
      </w:r>
      <w:r>
        <w:instrText xml:space="preserve"> PAGEREF _Toc419119373 \h </w:instrText>
      </w:r>
      <w:r>
        <w:fldChar w:fldCharType="separate"/>
      </w:r>
      <w:r>
        <w:t>8</w:t>
      </w:r>
      <w:r>
        <w:fldChar w:fldCharType="end"/>
      </w:r>
    </w:p>
    <w:p>
      <w:pPr>
        <w:pStyle w:val="TOC8"/>
        <w:rPr>
          <w:rFonts w:asciiTheme="minorHAnsi" w:eastAsiaTheme="minorEastAsia" w:hAnsiTheme="minorHAnsi" w:cstheme="minorBidi"/>
          <w:szCs w:val="22"/>
        </w:rPr>
      </w:pPr>
      <w:r>
        <w:t>9.</w:t>
      </w:r>
      <w:r>
        <w:tab/>
        <w:t>No more than 332 ha in total of uncleared land to be subject of leases, licences or easements</w:t>
      </w:r>
      <w:r>
        <w:tab/>
      </w:r>
      <w:r>
        <w:fldChar w:fldCharType="begin"/>
      </w:r>
      <w:r>
        <w:instrText xml:space="preserve"> PAGEREF _Toc419119374 \h </w:instrText>
      </w:r>
      <w:r>
        <w:fldChar w:fldCharType="separate"/>
      </w:r>
      <w:r>
        <w:t>9</w:t>
      </w:r>
      <w:r>
        <w:fldChar w:fldCharType="end"/>
      </w:r>
    </w:p>
    <w:p>
      <w:pPr>
        <w:pStyle w:val="TOC8"/>
        <w:rPr>
          <w:rFonts w:asciiTheme="minorHAnsi" w:eastAsiaTheme="minorEastAsia" w:hAnsiTheme="minorHAnsi" w:cstheme="minorBidi"/>
          <w:szCs w:val="22"/>
        </w:rPr>
      </w:pPr>
      <w:r>
        <w:t>10.</w:t>
      </w:r>
      <w:r>
        <w:tab/>
        <w:t>Status and purposes of reserve not affected</w:t>
      </w:r>
      <w:r>
        <w:tab/>
      </w:r>
      <w:r>
        <w:fldChar w:fldCharType="begin"/>
      </w:r>
      <w:r>
        <w:instrText xml:space="preserve"> PAGEREF _Toc419119375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Conveyance and underground disposal of carbon dioxide</w:t>
      </w:r>
    </w:p>
    <w:p>
      <w:pPr>
        <w:pStyle w:val="TOC8"/>
        <w:rPr>
          <w:rFonts w:asciiTheme="minorHAnsi" w:eastAsiaTheme="minorEastAsia" w:hAnsiTheme="minorHAnsi" w:cstheme="minorBidi"/>
          <w:szCs w:val="22"/>
        </w:rPr>
      </w:pPr>
      <w:r>
        <w:t>11.</w:t>
      </w:r>
      <w:r>
        <w:tab/>
      </w:r>
      <w:r>
        <w:rPr>
          <w:i/>
        </w:rPr>
        <w:t>Petroleum Pipelines Act 1969</w:t>
      </w:r>
      <w:r>
        <w:t xml:space="preserve"> applies to pipelines on Barrow Island for conveyance of carbon dioxide</w:t>
      </w:r>
      <w:r>
        <w:tab/>
      </w:r>
      <w:r>
        <w:fldChar w:fldCharType="begin"/>
      </w:r>
      <w:r>
        <w:instrText xml:space="preserve"> PAGEREF _Toc419119377 \h </w:instrText>
      </w:r>
      <w:r>
        <w:fldChar w:fldCharType="separate"/>
      </w:r>
      <w:r>
        <w:t>11</w:t>
      </w:r>
      <w:r>
        <w:fldChar w:fldCharType="end"/>
      </w:r>
    </w:p>
    <w:p>
      <w:pPr>
        <w:pStyle w:val="TOC8"/>
        <w:rPr>
          <w:rFonts w:asciiTheme="minorHAnsi" w:eastAsiaTheme="minorEastAsia" w:hAnsiTheme="minorHAnsi" w:cstheme="minorBidi"/>
          <w:szCs w:val="22"/>
        </w:rPr>
      </w:pPr>
      <w:r>
        <w:t>13.</w:t>
      </w:r>
      <w:r>
        <w:tab/>
        <w:t>Disposal of carbon dioxide underground</w:t>
      </w:r>
      <w:r>
        <w:tab/>
      </w:r>
      <w:r>
        <w:fldChar w:fldCharType="begin"/>
      </w:r>
      <w:r>
        <w:instrText xml:space="preserve"> PAGEREF _Toc419119378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5A — Indemnification by State for long</w:t>
      </w:r>
      <w:r>
        <w:noBreakHyphen/>
        <w:t>term liability resulting from underground disposal of carbon dioxide</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_Toc419119380 \h </w:instrText>
      </w:r>
      <w:r>
        <w:fldChar w:fldCharType="separate"/>
      </w:r>
      <w:r>
        <w:t>14</w:t>
      </w:r>
      <w:r>
        <w:fldChar w:fldCharType="end"/>
      </w:r>
    </w:p>
    <w:p>
      <w:pPr>
        <w:pStyle w:val="TOC8"/>
        <w:rPr>
          <w:rFonts w:asciiTheme="minorHAnsi" w:eastAsiaTheme="minorEastAsia" w:hAnsiTheme="minorHAnsi" w:cstheme="minorBidi"/>
          <w:szCs w:val="22"/>
        </w:rPr>
      </w:pPr>
      <w:r>
        <w:t>14B.</w:t>
      </w:r>
      <w:r>
        <w:tab/>
        <w:t>Notice that Commonwealth representative is satisfied of certain matters</w:t>
      </w:r>
      <w:r>
        <w:tab/>
      </w:r>
      <w:r>
        <w:fldChar w:fldCharType="begin"/>
      </w:r>
      <w:r>
        <w:instrText xml:space="preserve"> PAGEREF _Toc419119381 \h </w:instrText>
      </w:r>
      <w:r>
        <w:fldChar w:fldCharType="separate"/>
      </w:r>
      <w:r>
        <w:t>17</w:t>
      </w:r>
      <w:r>
        <w:fldChar w:fldCharType="end"/>
      </w:r>
    </w:p>
    <w:p>
      <w:pPr>
        <w:pStyle w:val="TOC8"/>
        <w:rPr>
          <w:rFonts w:asciiTheme="minorHAnsi" w:eastAsiaTheme="minorEastAsia" w:hAnsiTheme="minorHAnsi" w:cstheme="minorBidi"/>
          <w:szCs w:val="22"/>
        </w:rPr>
      </w:pPr>
      <w:r>
        <w:t>14C.</w:t>
      </w:r>
      <w:r>
        <w:tab/>
        <w:t>Declaration of liability assumption date</w:t>
      </w:r>
      <w:r>
        <w:tab/>
      </w:r>
      <w:r>
        <w:fldChar w:fldCharType="begin"/>
      </w:r>
      <w:r>
        <w:instrText xml:space="preserve"> PAGEREF _Toc419119382 \h </w:instrText>
      </w:r>
      <w:r>
        <w:fldChar w:fldCharType="separate"/>
      </w:r>
      <w:r>
        <w:t>18</w:t>
      </w:r>
      <w:r>
        <w:fldChar w:fldCharType="end"/>
      </w:r>
    </w:p>
    <w:p>
      <w:pPr>
        <w:pStyle w:val="TOC8"/>
        <w:rPr>
          <w:rFonts w:asciiTheme="minorHAnsi" w:eastAsiaTheme="minorEastAsia" w:hAnsiTheme="minorHAnsi" w:cstheme="minorBidi"/>
          <w:szCs w:val="22"/>
        </w:rPr>
      </w:pPr>
      <w:r>
        <w:t>14D.</w:t>
      </w:r>
      <w:r>
        <w:tab/>
        <w:t>State to indemnify</w:t>
      </w:r>
      <w:r>
        <w:tab/>
      </w:r>
      <w:r>
        <w:fldChar w:fldCharType="begin"/>
      </w:r>
      <w:r>
        <w:instrText xml:space="preserve"> PAGEREF _Toc419119383 \h </w:instrText>
      </w:r>
      <w:r>
        <w:fldChar w:fldCharType="separate"/>
      </w:r>
      <w:r>
        <w:t>18</w:t>
      </w:r>
      <w:r>
        <w:fldChar w:fldCharType="end"/>
      </w:r>
    </w:p>
    <w:p>
      <w:pPr>
        <w:pStyle w:val="TOC8"/>
        <w:rPr>
          <w:rFonts w:asciiTheme="minorHAnsi" w:eastAsiaTheme="minorEastAsia" w:hAnsiTheme="minorHAnsi" w:cstheme="minorBidi"/>
          <w:szCs w:val="22"/>
        </w:rPr>
      </w:pPr>
      <w:r>
        <w:t>14E.</w:t>
      </w:r>
      <w:r>
        <w:tab/>
        <w:t>Payment under indemnity and appropriation</w:t>
      </w:r>
      <w:r>
        <w:tab/>
      </w:r>
      <w:r>
        <w:fldChar w:fldCharType="begin"/>
      </w:r>
      <w:r>
        <w:instrText xml:space="preserve"> PAGEREF _Toc419119384 \h </w:instrText>
      </w:r>
      <w:r>
        <w:fldChar w:fldCharType="separate"/>
      </w:r>
      <w:r>
        <w:t>19</w:t>
      </w:r>
      <w:r>
        <w:fldChar w:fldCharType="end"/>
      </w:r>
    </w:p>
    <w:p>
      <w:pPr>
        <w:pStyle w:val="TOC8"/>
        <w:rPr>
          <w:rFonts w:asciiTheme="minorHAnsi" w:eastAsiaTheme="minorEastAsia" w:hAnsiTheme="minorHAnsi" w:cstheme="minorBidi"/>
          <w:szCs w:val="22"/>
        </w:rPr>
      </w:pPr>
      <w:r>
        <w:t>14F.</w:t>
      </w:r>
      <w:r>
        <w:tab/>
        <w:t>Disclosure of information to Commonwealth representative</w:t>
      </w:r>
      <w:r>
        <w:tab/>
      </w:r>
      <w:r>
        <w:fldChar w:fldCharType="begin"/>
      </w:r>
      <w:r>
        <w:instrText xml:space="preserve"> PAGEREF _Toc419119385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14.</w:t>
      </w:r>
      <w:r>
        <w:tab/>
        <w:t>Requirement to obtain authorisations under other laws not affected</w:t>
      </w:r>
      <w:r>
        <w:tab/>
      </w:r>
      <w:r>
        <w:fldChar w:fldCharType="begin"/>
      </w:r>
      <w:r>
        <w:instrText xml:space="preserve"> PAGEREF _Toc419119387 \h </w:instrText>
      </w:r>
      <w:r>
        <w:fldChar w:fldCharType="separate"/>
      </w:r>
      <w:r>
        <w:t>20</w:t>
      </w:r>
      <w:r>
        <w:fldChar w:fldCharType="end"/>
      </w:r>
    </w:p>
    <w:p>
      <w:pPr>
        <w:pStyle w:val="TOC8"/>
        <w:rPr>
          <w:rFonts w:asciiTheme="minorHAnsi" w:eastAsiaTheme="minorEastAsia" w:hAnsiTheme="minorHAnsi" w:cstheme="minorBidi"/>
          <w:szCs w:val="22"/>
        </w:rPr>
      </w:pPr>
      <w:r>
        <w:t>15.</w:t>
      </w:r>
      <w:r>
        <w:tab/>
        <w:t>Limitations on gas processing projects on Barrow Island</w:t>
      </w:r>
      <w:r>
        <w:tab/>
      </w:r>
      <w:r>
        <w:fldChar w:fldCharType="begin"/>
      </w:r>
      <w:r>
        <w:instrText xml:space="preserve"> PAGEREF _Toc419119388 \h </w:instrText>
      </w:r>
      <w:r>
        <w:fldChar w:fldCharType="separate"/>
      </w:r>
      <w:r>
        <w:t>20</w:t>
      </w:r>
      <w:r>
        <w:fldChar w:fldCharType="end"/>
      </w:r>
    </w:p>
    <w:p>
      <w:pPr>
        <w:pStyle w:val="TOC8"/>
        <w:rPr>
          <w:rFonts w:asciiTheme="minorHAnsi" w:eastAsiaTheme="minorEastAsia" w:hAnsiTheme="minorHAnsi" w:cstheme="minorBidi"/>
          <w:szCs w:val="22"/>
        </w:rPr>
      </w:pPr>
      <w:r>
        <w:t>16.</w:t>
      </w:r>
      <w:r>
        <w:tab/>
        <w:t>Land used for gas processing project purpose is rateable land</w:t>
      </w:r>
      <w:r>
        <w:tab/>
      </w:r>
      <w:r>
        <w:fldChar w:fldCharType="begin"/>
      </w:r>
      <w:r>
        <w:instrText xml:space="preserve"> PAGEREF _Toc419119389 \h </w:instrText>
      </w:r>
      <w:r>
        <w:fldChar w:fldCharType="separate"/>
      </w:r>
      <w:r>
        <w:t>21</w:t>
      </w:r>
      <w:r>
        <w:fldChar w:fldCharType="end"/>
      </w:r>
    </w:p>
    <w:p>
      <w:pPr>
        <w:pStyle w:val="TOC8"/>
        <w:rPr>
          <w:rFonts w:asciiTheme="minorHAnsi" w:eastAsiaTheme="minorEastAsia" w:hAnsiTheme="minorHAnsi" w:cstheme="minorBidi"/>
          <w:szCs w:val="22"/>
        </w:rPr>
      </w:pPr>
      <w:r>
        <w:t>17A.</w:t>
      </w:r>
      <w:r>
        <w:tab/>
        <w:t>Protection from liability for wrongdoing</w:t>
      </w:r>
      <w:r>
        <w:tab/>
      </w:r>
      <w:r>
        <w:fldChar w:fldCharType="begin"/>
      </w:r>
      <w:r>
        <w:instrText xml:space="preserve"> PAGEREF _Toc419119390 \h </w:instrText>
      </w:r>
      <w:r>
        <w:fldChar w:fldCharType="separate"/>
      </w:r>
      <w:r>
        <w:t>21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_Toc419119391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 on cessation of Agreement</w:t>
      </w:r>
      <w:r>
        <w:tab/>
      </w:r>
      <w:r>
        <w:fldChar w:fldCharType="begin"/>
      </w:r>
      <w:r>
        <w:instrText xml:space="preserve"> PAGEREF _Toc419119392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Gorgon Gas Processing and Infrastructure Project Agreement</w:t>
      </w:r>
    </w:p>
    <w:p>
      <w:pPr>
        <w:pStyle w:val="TOC2"/>
        <w:tabs>
          <w:tab w:val="right" w:leader="dot" w:pos="7077"/>
        </w:tabs>
        <w:rPr>
          <w:rFonts w:asciiTheme="minorHAnsi" w:eastAsiaTheme="minorEastAsia" w:hAnsiTheme="minorHAnsi" w:cstheme="minorBidi"/>
          <w:b w:val="0"/>
          <w:sz w:val="22"/>
          <w:szCs w:val="22"/>
        </w:rPr>
      </w:pPr>
      <w:r>
        <w:t>Schedule 2 — 2013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_Toc419119396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0" w:after="480"/>
      </w:pPr>
      <w:r>
        <w:t>Barrow Island Act 2003</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by No. 24 of 2013 s. 4.]</w:t>
      </w:r>
    </w:p>
    <w:p>
      <w:pPr>
        <w:pStyle w:val="Heading2"/>
      </w:pPr>
      <w:bookmarkStart w:id="4" w:name="_Toc377369838"/>
      <w:bookmarkStart w:id="5" w:name="_Toc414960916"/>
      <w:bookmarkStart w:id="6" w:name="_Toc414960954"/>
      <w:bookmarkStart w:id="7" w:name="_Toc41911936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377369839"/>
      <w:bookmarkStart w:id="9" w:name="_Toc419119364"/>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0" w:name="_Toc377369840"/>
      <w:bookmarkStart w:id="11" w:name="_Toc419119365"/>
      <w:r>
        <w:rPr>
          <w:rStyle w:val="CharSectno"/>
        </w:rPr>
        <w:t>2</w:t>
      </w:r>
      <w:r>
        <w:rPr>
          <w:snapToGrid w:val="0"/>
        </w:rPr>
        <w:t>.</w:t>
      </w:r>
      <w:r>
        <w:rPr>
          <w:snapToGrid w:val="0"/>
        </w:rPr>
        <w:tab/>
        <w:t>Commencement</w:t>
      </w:r>
      <w:bookmarkEnd w:id="10"/>
      <w:bookmarkEnd w:id="11"/>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by No. 13 of 2005 s. 48(2).]</w:t>
      </w:r>
    </w:p>
    <w:p>
      <w:pPr>
        <w:pStyle w:val="Heading5"/>
        <w:rPr>
          <w:snapToGrid w:val="0"/>
        </w:rPr>
      </w:pPr>
      <w:bookmarkStart w:id="12" w:name="_Toc377369841"/>
      <w:bookmarkStart w:id="13" w:name="_Toc419119366"/>
      <w:r>
        <w:rPr>
          <w:rStyle w:val="CharSectno"/>
        </w:rPr>
        <w:t>3</w:t>
      </w:r>
      <w:r>
        <w:rPr>
          <w:snapToGrid w:val="0"/>
        </w:rPr>
        <w:t>.</w:t>
      </w:r>
      <w:r>
        <w:rPr>
          <w:snapToGrid w:val="0"/>
        </w:rPr>
        <w:tab/>
        <w:t>Definitions</w:t>
      </w:r>
      <w:bookmarkEnd w:id="12"/>
      <w:bookmarkEnd w:id="13"/>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w:t>
      </w:r>
    </w:p>
    <w:p>
      <w:pPr>
        <w:pStyle w:val="PermNoteText"/>
      </w:pPr>
      <w:r>
        <w:tab/>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rStyle w:val="CharDefText"/>
        </w:rPr>
        <w:t>the 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rPr>
          <w:b/>
        </w:rPr>
        <w:tab/>
      </w:r>
      <w:r>
        <w:rPr>
          <w:rStyle w:val="CharDefText"/>
        </w:rPr>
        <w:t>the reserve</w:t>
      </w:r>
      <w:r>
        <w:t xml:space="preserve"> means class A reserve no. 11648 comprising the whole of Barrow Island that is reserved under the LA Act section 41 for the purpose of conservation of flora and fauna.</w:t>
      </w:r>
    </w:p>
    <w:p>
      <w:pPr>
        <w:pStyle w:val="Footnotesection"/>
      </w:pPr>
      <w:r>
        <w:tab/>
        <w:t>[Section 3 amended by No. 24 of 2013 s. 5.]</w:t>
      </w:r>
    </w:p>
    <w:p>
      <w:pPr>
        <w:pStyle w:val="Heading5"/>
      </w:pPr>
      <w:bookmarkStart w:id="14" w:name="_Toc377369842"/>
      <w:bookmarkStart w:id="15" w:name="_Toc419119367"/>
      <w:r>
        <w:rPr>
          <w:rStyle w:val="CharSectno"/>
        </w:rPr>
        <w:t>4</w:t>
      </w:r>
      <w:r>
        <w:t>.</w:t>
      </w:r>
      <w:r>
        <w:tab/>
        <w:t>Notes not part of the law</w:t>
      </w:r>
      <w:bookmarkEnd w:id="14"/>
      <w:bookmarkEnd w:id="15"/>
    </w:p>
    <w:p>
      <w:pPr>
        <w:pStyle w:val="Subsection"/>
      </w:pPr>
      <w:r>
        <w:tab/>
      </w:r>
      <w:r>
        <w:tab/>
        <w:t>Notes in this Act are provided to assist understanding and do not form part of the Act.</w:t>
      </w:r>
    </w:p>
    <w:p>
      <w:pPr>
        <w:pStyle w:val="Heading2"/>
      </w:pPr>
      <w:bookmarkStart w:id="16" w:name="_Toc377369843"/>
      <w:bookmarkStart w:id="17" w:name="_Toc414960921"/>
      <w:bookmarkStart w:id="18" w:name="_Toc414960959"/>
      <w:bookmarkStart w:id="19" w:name="_Toc419119368"/>
      <w:r>
        <w:rPr>
          <w:rStyle w:val="CharPartNo"/>
        </w:rPr>
        <w:t>Part 2</w:t>
      </w:r>
      <w:r>
        <w:rPr>
          <w:rStyle w:val="CharDivNo"/>
        </w:rPr>
        <w:t> </w:t>
      </w:r>
      <w:r>
        <w:t>—</w:t>
      </w:r>
      <w:r>
        <w:rPr>
          <w:rStyle w:val="CharDivText"/>
        </w:rPr>
        <w:t> </w:t>
      </w:r>
      <w:r>
        <w:rPr>
          <w:rStyle w:val="CharPartText"/>
        </w:rPr>
        <w:t>Ratification of Agreement</w:t>
      </w:r>
      <w:bookmarkEnd w:id="16"/>
      <w:bookmarkEnd w:id="17"/>
      <w:bookmarkEnd w:id="18"/>
      <w:bookmarkEnd w:id="19"/>
    </w:p>
    <w:p>
      <w:pPr>
        <w:pStyle w:val="Heading5"/>
      </w:pPr>
      <w:bookmarkStart w:id="20" w:name="_Toc377369844"/>
      <w:bookmarkStart w:id="21" w:name="_Toc419119369"/>
      <w:r>
        <w:rPr>
          <w:rStyle w:val="CharSectno"/>
        </w:rPr>
        <w:t>5</w:t>
      </w:r>
      <w:r>
        <w:t>.</w:t>
      </w:r>
      <w:r>
        <w:tab/>
        <w:t>Agreement ratified and implementation authorised</w:t>
      </w:r>
      <w:bookmarkEnd w:id="20"/>
      <w:bookmarkEnd w:id="21"/>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by No. 24 of 2013 s. 6.]</w:t>
      </w:r>
    </w:p>
    <w:p>
      <w:pPr>
        <w:pStyle w:val="Heading2"/>
      </w:pPr>
      <w:bookmarkStart w:id="22" w:name="_Toc377369845"/>
      <w:bookmarkStart w:id="23" w:name="_Toc414960923"/>
      <w:bookmarkStart w:id="24" w:name="_Toc414960961"/>
      <w:bookmarkStart w:id="25" w:name="_Toc419119370"/>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22"/>
      <w:bookmarkEnd w:id="23"/>
      <w:bookmarkEnd w:id="24"/>
      <w:bookmarkEnd w:id="25"/>
    </w:p>
    <w:p>
      <w:pPr>
        <w:pStyle w:val="Heading5"/>
      </w:pPr>
      <w:bookmarkStart w:id="26" w:name="_Toc377369846"/>
      <w:bookmarkStart w:id="27" w:name="_Toc419119371"/>
      <w:r>
        <w:rPr>
          <w:rStyle w:val="CharSectno"/>
        </w:rPr>
        <w:t>6</w:t>
      </w:r>
      <w:r>
        <w:t>.</w:t>
      </w:r>
      <w:r>
        <w:tab/>
        <w:t>Leasing parts of the reserve</w:t>
      </w:r>
      <w:bookmarkEnd w:id="26"/>
      <w:bookmarkEnd w:id="27"/>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28" w:name="_Toc377369847"/>
      <w:bookmarkStart w:id="29" w:name="_Toc419119372"/>
      <w:r>
        <w:rPr>
          <w:rStyle w:val="CharSectno"/>
        </w:rPr>
        <w:t>7</w:t>
      </w:r>
      <w:r>
        <w:t>.</w:t>
      </w:r>
      <w:r>
        <w:tab/>
        <w:t>Licences affecting the reserve</w:t>
      </w:r>
      <w:bookmarkEnd w:id="28"/>
      <w:bookmarkEnd w:id="29"/>
    </w:p>
    <w:p>
      <w:pPr>
        <w:pStyle w:val="Subsection"/>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by No. 35 of 2007 s. 90.]</w:t>
      </w:r>
    </w:p>
    <w:p>
      <w:pPr>
        <w:pStyle w:val="Heading5"/>
      </w:pPr>
      <w:bookmarkStart w:id="30" w:name="_Toc377369848"/>
      <w:bookmarkStart w:id="31" w:name="_Toc419119373"/>
      <w:r>
        <w:rPr>
          <w:rStyle w:val="CharSectno"/>
        </w:rPr>
        <w:t>8</w:t>
      </w:r>
      <w:r>
        <w:t>.</w:t>
      </w:r>
      <w:r>
        <w:tab/>
        <w:t>Easements affecting the reserve</w:t>
      </w:r>
      <w:bookmarkEnd w:id="30"/>
      <w:bookmarkEnd w:id="31"/>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32" w:name="_Toc377369849"/>
      <w:bookmarkStart w:id="33" w:name="_Toc419119374"/>
      <w:r>
        <w:rPr>
          <w:rStyle w:val="CharSectno"/>
        </w:rPr>
        <w:t>9</w:t>
      </w:r>
      <w:r>
        <w:t>.</w:t>
      </w:r>
      <w:r>
        <w:tab/>
        <w:t>No more than 332 ha in total of uncleared land to be subject of leases, licences or easements</w:t>
      </w:r>
      <w:bookmarkEnd w:id="32"/>
      <w:bookmarkEnd w:id="33"/>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by No. 24 of 2013 s. 7.]</w:t>
      </w:r>
    </w:p>
    <w:p>
      <w:pPr>
        <w:pStyle w:val="Heading5"/>
      </w:pPr>
      <w:bookmarkStart w:id="34" w:name="_Toc377369850"/>
      <w:bookmarkStart w:id="35" w:name="_Toc419119375"/>
      <w:r>
        <w:rPr>
          <w:rStyle w:val="CharSectno"/>
        </w:rPr>
        <w:t>10</w:t>
      </w:r>
      <w:r>
        <w:t>.</w:t>
      </w:r>
      <w:r>
        <w:tab/>
        <w:t>Status and purposes of reserve not affected</w:t>
      </w:r>
      <w:bookmarkEnd w:id="34"/>
      <w:bookmarkEnd w:id="35"/>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36" w:name="_Toc377369851"/>
      <w:bookmarkStart w:id="37" w:name="_Toc414960929"/>
      <w:bookmarkStart w:id="38" w:name="_Toc414960967"/>
      <w:bookmarkStart w:id="39" w:name="_Toc419119376"/>
      <w:r>
        <w:rPr>
          <w:rStyle w:val="CharPartNo"/>
        </w:rPr>
        <w:t>Part 4</w:t>
      </w:r>
      <w:r>
        <w:rPr>
          <w:rStyle w:val="CharDivNo"/>
        </w:rPr>
        <w:t> </w:t>
      </w:r>
      <w:r>
        <w:t>—</w:t>
      </w:r>
      <w:r>
        <w:rPr>
          <w:rStyle w:val="CharDivText"/>
        </w:rPr>
        <w:t> </w:t>
      </w:r>
      <w:r>
        <w:rPr>
          <w:rStyle w:val="CharPartText"/>
        </w:rPr>
        <w:t>Conveyance and underground disposal of carbon dioxide</w:t>
      </w:r>
      <w:bookmarkEnd w:id="36"/>
      <w:bookmarkEnd w:id="37"/>
      <w:bookmarkEnd w:id="38"/>
      <w:bookmarkEnd w:id="39"/>
    </w:p>
    <w:p>
      <w:pPr>
        <w:pStyle w:val="Heading5"/>
      </w:pPr>
      <w:bookmarkStart w:id="40" w:name="_Toc377369852"/>
      <w:bookmarkStart w:id="41" w:name="_Toc419119377"/>
      <w:r>
        <w:rPr>
          <w:rStyle w:val="CharSectno"/>
        </w:rPr>
        <w:t>11</w:t>
      </w:r>
      <w:r>
        <w:t>.</w:t>
      </w:r>
      <w:r>
        <w:tab/>
      </w:r>
      <w:r>
        <w:rPr>
          <w:i/>
        </w:rPr>
        <w:t>Petroleum Pipelines Act 1969</w:t>
      </w:r>
      <w:r>
        <w:t xml:space="preserve"> applies to pipelines on Barrow Island for conveyance of carbon dioxide</w:t>
      </w:r>
      <w:bookmarkEnd w:id="40"/>
      <w:bookmarkEnd w:id="41"/>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r>
        <w:rPr>
          <w:rStyle w:val="CharSectno"/>
        </w:rPr>
        <w:t>[</w:t>
      </w:r>
      <w:r>
        <w:rPr>
          <w:rStyle w:val="CharSectno"/>
          <w:b/>
        </w:rPr>
        <w:t>12</w:t>
      </w:r>
      <w:r>
        <w:rPr>
          <w:b/>
        </w:rPr>
        <w:t>.</w:t>
      </w:r>
      <w:r>
        <w:tab/>
        <w:t>Deleted by No. 13 of 2005 s. 48(3)</w:t>
      </w:r>
      <w:r>
        <w:rPr>
          <w:vertAlign w:val="superscript"/>
        </w:rPr>
        <w:t> 2</w:t>
      </w:r>
      <w:r>
        <w:t>.]</w:t>
      </w:r>
    </w:p>
    <w:p>
      <w:pPr>
        <w:pStyle w:val="Heading5"/>
      </w:pPr>
      <w:bookmarkStart w:id="42" w:name="_Toc377369853"/>
      <w:bookmarkStart w:id="43" w:name="_Toc419119378"/>
      <w:r>
        <w:rPr>
          <w:rStyle w:val="CharSectno"/>
        </w:rPr>
        <w:t>13</w:t>
      </w:r>
      <w:r>
        <w:t>.</w:t>
      </w:r>
      <w:r>
        <w:tab/>
        <w:t>Disposal of carbon dioxide underground</w:t>
      </w:r>
      <w:bookmarkEnd w:id="42"/>
      <w:bookmarkEnd w:id="43"/>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44" w:name="_Toc385420220"/>
      <w:bookmarkStart w:id="45" w:name="_Toc385420233"/>
      <w:bookmarkStart w:id="46" w:name="_Toc385424672"/>
      <w:bookmarkStart w:id="47" w:name="_Toc385427008"/>
      <w:bookmarkStart w:id="48" w:name="_Toc385427054"/>
      <w:bookmarkStart w:id="49" w:name="_Toc391025675"/>
      <w:bookmarkStart w:id="50" w:name="_Toc391025788"/>
      <w:bookmarkStart w:id="51" w:name="_Toc412132602"/>
      <w:bookmarkStart w:id="52" w:name="_Toc412132639"/>
      <w:bookmarkStart w:id="53" w:name="_Toc412132652"/>
      <w:bookmarkStart w:id="54" w:name="_Toc412639239"/>
      <w:bookmarkStart w:id="55" w:name="_Toc412639252"/>
      <w:bookmarkStart w:id="56" w:name="_Toc412706873"/>
      <w:bookmarkStart w:id="57" w:name="_Toc412707635"/>
      <w:bookmarkStart w:id="58" w:name="_Toc412707760"/>
      <w:bookmarkStart w:id="59" w:name="_Toc412708379"/>
      <w:bookmarkStart w:id="60" w:name="_Toc418610248"/>
      <w:bookmarkStart w:id="61" w:name="_Toc419104537"/>
      <w:bookmarkStart w:id="62" w:name="_Toc419106187"/>
      <w:bookmarkStart w:id="63" w:name="_Toc419110076"/>
      <w:bookmarkStart w:id="64" w:name="_Toc419119379"/>
      <w:bookmarkStart w:id="65" w:name="_Toc377369854"/>
      <w:bookmarkStart w:id="66" w:name="_Toc414960932"/>
      <w:bookmarkStart w:id="67" w:name="_Toc414960970"/>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13 of 2015 s. 4.]</w:t>
      </w:r>
    </w:p>
    <w:p>
      <w:pPr>
        <w:pStyle w:val="Heading5"/>
      </w:pPr>
      <w:bookmarkStart w:id="68" w:name="_Toc391025789"/>
      <w:bookmarkStart w:id="69" w:name="_Toc418610249"/>
      <w:bookmarkStart w:id="70" w:name="_Toc419104538"/>
      <w:bookmarkStart w:id="71" w:name="_Toc419106188"/>
      <w:bookmarkStart w:id="72" w:name="_Toc419110077"/>
      <w:bookmarkStart w:id="73" w:name="_Toc419119380"/>
      <w:r>
        <w:rPr>
          <w:rStyle w:val="CharSectno"/>
        </w:rPr>
        <w:t>14A</w:t>
      </w:r>
      <w:r>
        <w:t>.</w:t>
      </w:r>
      <w:r>
        <w:tab/>
        <w:t>Terms used</w:t>
      </w:r>
      <w:bookmarkEnd w:id="68"/>
      <w:bookmarkEnd w:id="69"/>
      <w:bookmarkEnd w:id="70"/>
      <w:bookmarkEnd w:id="71"/>
      <w:bookmarkEnd w:id="72"/>
      <w:bookmarkEnd w:id="73"/>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tab/>
      </w:r>
      <w:r>
        <w:rPr>
          <w:rStyle w:val="CharDefText"/>
        </w:rPr>
        <w:t>Title Areas</w:t>
      </w:r>
      <w:r>
        <w:t xml:space="preserve"> has the meaning given in clause 1 of the Agreement.</w:t>
      </w:r>
    </w:p>
    <w:p>
      <w:pPr>
        <w:pStyle w:val="Footnotesection"/>
      </w:pPr>
      <w:r>
        <w:tab/>
        <w:t>[Section 14A inserted by No. 13 of 2015 s. 4.]</w:t>
      </w:r>
    </w:p>
    <w:p>
      <w:pPr>
        <w:pStyle w:val="Heading5"/>
      </w:pPr>
      <w:bookmarkStart w:id="74" w:name="_Toc391025790"/>
      <w:bookmarkStart w:id="75" w:name="_Toc418610250"/>
      <w:bookmarkStart w:id="76" w:name="_Toc419104539"/>
      <w:bookmarkStart w:id="77" w:name="_Toc419106189"/>
      <w:bookmarkStart w:id="78" w:name="_Toc419110078"/>
      <w:bookmarkStart w:id="79" w:name="_Toc419119381"/>
      <w:r>
        <w:rPr>
          <w:rStyle w:val="CharSectno"/>
        </w:rPr>
        <w:t>14B</w:t>
      </w:r>
      <w:r>
        <w:t>.</w:t>
      </w:r>
      <w:r>
        <w:tab/>
        <w:t>Notice that Commonwealth representative is satisfied of certain matters</w:t>
      </w:r>
      <w:bookmarkEnd w:id="74"/>
      <w:bookmarkEnd w:id="75"/>
      <w:bookmarkEnd w:id="76"/>
      <w:bookmarkEnd w:id="77"/>
      <w:bookmarkEnd w:id="78"/>
      <w:bookmarkEnd w:id="79"/>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by No. 13 of 2015 s. 4.]</w:t>
      </w:r>
    </w:p>
    <w:p>
      <w:pPr>
        <w:pStyle w:val="Heading5"/>
      </w:pPr>
      <w:bookmarkStart w:id="80" w:name="_Toc391025791"/>
      <w:bookmarkStart w:id="81" w:name="_Toc418610251"/>
      <w:bookmarkStart w:id="82" w:name="_Toc419104540"/>
      <w:bookmarkStart w:id="83" w:name="_Toc419106190"/>
      <w:bookmarkStart w:id="84" w:name="_Toc419110079"/>
      <w:bookmarkStart w:id="85" w:name="_Toc419119382"/>
      <w:r>
        <w:rPr>
          <w:rStyle w:val="CharSectno"/>
        </w:rPr>
        <w:t>14C</w:t>
      </w:r>
      <w:r>
        <w:t>.</w:t>
      </w:r>
      <w:r>
        <w:tab/>
        <w:t>Declaration of liability assumption date</w:t>
      </w:r>
      <w:bookmarkEnd w:id="80"/>
      <w:bookmarkEnd w:id="81"/>
      <w:bookmarkEnd w:id="82"/>
      <w:bookmarkEnd w:id="83"/>
      <w:bookmarkEnd w:id="84"/>
      <w:bookmarkEnd w:id="85"/>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bookmarkStart w:id="86" w:name="_Toc391025792"/>
      <w:bookmarkStart w:id="87" w:name="_Toc418610252"/>
      <w:bookmarkStart w:id="88" w:name="_Toc419104541"/>
      <w:bookmarkStart w:id="89" w:name="_Toc419106191"/>
      <w:r>
        <w:tab/>
        <w:t>[Section 14C inserted by No. 13 of 2015 s. 4.]</w:t>
      </w:r>
    </w:p>
    <w:p>
      <w:pPr>
        <w:pStyle w:val="Heading5"/>
      </w:pPr>
      <w:bookmarkStart w:id="90" w:name="_Toc419110080"/>
      <w:bookmarkStart w:id="91" w:name="_Toc419119383"/>
      <w:r>
        <w:rPr>
          <w:rStyle w:val="CharSectno"/>
        </w:rPr>
        <w:t>14D</w:t>
      </w:r>
      <w:r>
        <w:t>.</w:t>
      </w:r>
      <w:r>
        <w:tab/>
        <w:t>State to indemnify</w:t>
      </w:r>
      <w:bookmarkEnd w:id="86"/>
      <w:bookmarkEnd w:id="87"/>
      <w:bookmarkEnd w:id="88"/>
      <w:bookmarkEnd w:id="89"/>
      <w:bookmarkEnd w:id="90"/>
      <w:bookmarkEnd w:id="91"/>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bookmarkStart w:id="92" w:name="_Toc391025793"/>
      <w:bookmarkStart w:id="93" w:name="_Toc418610253"/>
      <w:bookmarkStart w:id="94" w:name="_Toc419104542"/>
      <w:bookmarkStart w:id="95" w:name="_Toc419106192"/>
      <w:r>
        <w:tab/>
        <w:t>[Section 14D inserted by No. 13 of 2015 s. 4.]</w:t>
      </w:r>
    </w:p>
    <w:p>
      <w:pPr>
        <w:pStyle w:val="Heading5"/>
      </w:pPr>
      <w:bookmarkStart w:id="96" w:name="_Toc419110081"/>
      <w:bookmarkStart w:id="97" w:name="_Toc419119384"/>
      <w:r>
        <w:rPr>
          <w:rStyle w:val="CharSectno"/>
        </w:rPr>
        <w:t>14E</w:t>
      </w:r>
      <w:r>
        <w:t>.</w:t>
      </w:r>
      <w:r>
        <w:tab/>
        <w:t>Payment under indemnity and appropriation</w:t>
      </w:r>
      <w:bookmarkEnd w:id="92"/>
      <w:bookmarkEnd w:id="93"/>
      <w:bookmarkEnd w:id="94"/>
      <w:bookmarkEnd w:id="95"/>
      <w:bookmarkEnd w:id="96"/>
      <w:bookmarkEnd w:id="97"/>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bookmarkStart w:id="98" w:name="_Toc391025794"/>
      <w:bookmarkStart w:id="99" w:name="_Toc418610254"/>
      <w:bookmarkStart w:id="100" w:name="_Toc419104543"/>
      <w:bookmarkStart w:id="101" w:name="_Toc419106193"/>
      <w:r>
        <w:tab/>
        <w:t>[Section 14E inserted by No. 13 of 2015 s. 4.]</w:t>
      </w:r>
    </w:p>
    <w:p>
      <w:pPr>
        <w:pStyle w:val="Heading5"/>
      </w:pPr>
      <w:bookmarkStart w:id="102" w:name="_Toc419110082"/>
      <w:bookmarkStart w:id="103" w:name="_Toc419119385"/>
      <w:r>
        <w:rPr>
          <w:rStyle w:val="CharSectno"/>
        </w:rPr>
        <w:t>14F</w:t>
      </w:r>
      <w:r>
        <w:t>.</w:t>
      </w:r>
      <w:r>
        <w:tab/>
        <w:t>Disclosure of information to Commonwealth representative</w:t>
      </w:r>
      <w:bookmarkEnd w:id="98"/>
      <w:bookmarkEnd w:id="99"/>
      <w:bookmarkEnd w:id="100"/>
      <w:bookmarkEnd w:id="101"/>
      <w:bookmarkEnd w:id="102"/>
      <w:bookmarkEnd w:id="103"/>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by No. 13 of 2015 s. 4.]</w:t>
      </w:r>
    </w:p>
    <w:p>
      <w:pPr>
        <w:pStyle w:val="Heading2"/>
      </w:pPr>
      <w:bookmarkStart w:id="104" w:name="_Toc419119386"/>
      <w:r>
        <w:rPr>
          <w:rStyle w:val="CharPartNo"/>
        </w:rPr>
        <w:t>Part 5</w:t>
      </w:r>
      <w:r>
        <w:rPr>
          <w:rStyle w:val="CharDivNo"/>
        </w:rPr>
        <w:t> </w:t>
      </w:r>
      <w:r>
        <w:t>—</w:t>
      </w:r>
      <w:r>
        <w:rPr>
          <w:rStyle w:val="CharDivText"/>
        </w:rPr>
        <w:t> </w:t>
      </w:r>
      <w:r>
        <w:rPr>
          <w:rStyle w:val="CharPartText"/>
        </w:rPr>
        <w:t>Miscellaneous</w:t>
      </w:r>
      <w:bookmarkEnd w:id="65"/>
      <w:bookmarkEnd w:id="66"/>
      <w:bookmarkEnd w:id="67"/>
      <w:bookmarkEnd w:id="104"/>
    </w:p>
    <w:p>
      <w:pPr>
        <w:pStyle w:val="Heading5"/>
      </w:pPr>
      <w:bookmarkStart w:id="105" w:name="_Toc377369855"/>
      <w:bookmarkStart w:id="106" w:name="_Toc419119387"/>
      <w:r>
        <w:rPr>
          <w:rStyle w:val="CharSectno"/>
        </w:rPr>
        <w:t>14</w:t>
      </w:r>
      <w:r>
        <w:t>.</w:t>
      </w:r>
      <w:r>
        <w:tab/>
        <w:t>Requirement to obtain authorisations under other laws not affected</w:t>
      </w:r>
      <w:bookmarkEnd w:id="105"/>
      <w:bookmarkEnd w:id="106"/>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107" w:name="_Toc377369856"/>
      <w:bookmarkStart w:id="108" w:name="_Toc419119388"/>
      <w:r>
        <w:rPr>
          <w:rStyle w:val="CharSectno"/>
        </w:rPr>
        <w:t>15</w:t>
      </w:r>
      <w:r>
        <w:t>.</w:t>
      </w:r>
      <w:r>
        <w:tab/>
        <w:t>Limitations on gas processing projects on Barrow Island</w:t>
      </w:r>
      <w:bookmarkEnd w:id="107"/>
      <w:bookmarkEnd w:id="108"/>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109" w:name="_Toc377369857"/>
      <w:bookmarkStart w:id="110" w:name="_Toc419119389"/>
      <w:r>
        <w:rPr>
          <w:rStyle w:val="CharSectno"/>
        </w:rPr>
        <w:t>16</w:t>
      </w:r>
      <w:r>
        <w:t>.</w:t>
      </w:r>
      <w:r>
        <w:tab/>
        <w:t>Land used for gas processing project purpose is rateable land</w:t>
      </w:r>
      <w:bookmarkEnd w:id="109"/>
      <w:bookmarkEnd w:id="110"/>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111" w:name="_Toc391025796"/>
      <w:bookmarkStart w:id="112" w:name="_Toc418610256"/>
      <w:bookmarkStart w:id="113" w:name="_Toc419104545"/>
      <w:bookmarkStart w:id="114" w:name="_Toc419106195"/>
      <w:bookmarkStart w:id="115" w:name="_Toc419110087"/>
      <w:bookmarkStart w:id="116" w:name="_Toc419119390"/>
      <w:bookmarkStart w:id="117" w:name="_Toc377369858"/>
      <w:r>
        <w:rPr>
          <w:rStyle w:val="CharSectno"/>
        </w:rPr>
        <w:t>17A</w:t>
      </w:r>
      <w:r>
        <w:t>.</w:t>
      </w:r>
      <w:r>
        <w:tab/>
        <w:t>Protection from liability for wrongdoing</w:t>
      </w:r>
      <w:bookmarkEnd w:id="111"/>
      <w:bookmarkEnd w:id="112"/>
      <w:bookmarkEnd w:id="113"/>
      <w:bookmarkEnd w:id="114"/>
      <w:bookmarkEnd w:id="115"/>
      <w:bookmarkEnd w:id="1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by No. 13 of 2015 s. 5.]</w:t>
      </w:r>
    </w:p>
    <w:p>
      <w:pPr>
        <w:pStyle w:val="Heading5"/>
      </w:pPr>
      <w:bookmarkStart w:id="118" w:name="_Toc419119391"/>
      <w:r>
        <w:rPr>
          <w:rStyle w:val="CharSectno"/>
        </w:rPr>
        <w:t>17</w:t>
      </w:r>
      <w:r>
        <w:t>.</w:t>
      </w:r>
      <w:r>
        <w:tab/>
        <w:t>Regulations</w:t>
      </w:r>
      <w:bookmarkEnd w:id="117"/>
      <w:bookmarkEnd w:id="11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9" w:name="_Toc377369859"/>
      <w:bookmarkStart w:id="120" w:name="_Toc419119392"/>
      <w:r>
        <w:rPr>
          <w:rStyle w:val="CharSectno"/>
        </w:rPr>
        <w:t>18</w:t>
      </w:r>
      <w:r>
        <w:t>.</w:t>
      </w:r>
      <w:r>
        <w:tab/>
        <w:t>Review of Act on cessation of Agreement</w:t>
      </w:r>
      <w:bookmarkEnd w:id="119"/>
      <w:bookmarkEnd w:id="120"/>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1" w:name="_Toc377369860"/>
      <w:bookmarkStart w:id="122" w:name="_Toc414960938"/>
      <w:bookmarkStart w:id="123" w:name="_Toc414960976"/>
      <w:bookmarkStart w:id="124" w:name="_Toc419119393"/>
      <w:r>
        <w:rPr>
          <w:rStyle w:val="CharSchNo"/>
        </w:rPr>
        <w:t>Schedule 1</w:t>
      </w:r>
      <w:r>
        <w:t xml:space="preserve"> — </w:t>
      </w:r>
      <w:r>
        <w:rPr>
          <w:rStyle w:val="CharSchText"/>
        </w:rPr>
        <w:t>Gorgon Gas Processing and Infrastructure Project Agreement</w:t>
      </w:r>
      <w:bookmarkEnd w:id="121"/>
      <w:bookmarkEnd w:id="122"/>
      <w:bookmarkEnd w:id="123"/>
      <w:bookmarkEnd w:id="124"/>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125" w:name="Temp"/>
      <w:bookmarkEnd w:id="125"/>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cheduleHeading"/>
      </w:pPr>
      <w:bookmarkStart w:id="126" w:name="_Toc377369861"/>
      <w:bookmarkStart w:id="127" w:name="_Toc414960939"/>
      <w:bookmarkStart w:id="128" w:name="_Toc414960977"/>
      <w:bookmarkStart w:id="129" w:name="_Toc419119394"/>
      <w:r>
        <w:rPr>
          <w:rStyle w:val="CharSchNo"/>
        </w:rPr>
        <w:t>Schedule 2</w:t>
      </w:r>
      <w:r>
        <w:t> — </w:t>
      </w:r>
      <w:r>
        <w:rPr>
          <w:rStyle w:val="CharSchText"/>
        </w:rPr>
        <w:t>2013 variation agreement</w:t>
      </w:r>
      <w:bookmarkEnd w:id="126"/>
      <w:bookmarkEnd w:id="127"/>
      <w:bookmarkEnd w:id="128"/>
      <w:bookmarkEnd w:id="129"/>
    </w:p>
    <w:p>
      <w:pPr>
        <w:pStyle w:val="yShoulderClause"/>
      </w:pPr>
      <w:r>
        <w:t>[s. 3]</w:t>
      </w:r>
    </w:p>
    <w:p>
      <w:pPr>
        <w:pStyle w:val="yFootnoteheading"/>
      </w:pPr>
      <w:r>
        <w:tab/>
        <w:t>[Heading inserted by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rPr>
          <w:b/>
        </w:rPr>
      </w:pPr>
    </w:p>
    <w:p>
      <w:pPr>
        <w:pStyle w:val="yMiscellaneousBody"/>
        <w:rPr>
          <w:b/>
        </w:rPr>
      </w:pPr>
    </w:p>
    <w:p>
      <w:pPr>
        <w:pStyle w:val="yMiscellaneousBody"/>
        <w:spacing w:before="0"/>
        <w:rPr>
          <w:b/>
        </w:rPr>
      </w:pPr>
      <w:r>
        <w:rPr>
          <w:b/>
        </w:rPr>
        <w:t xml:space="preserve">EXECUTED </w:t>
      </w:r>
      <w:r>
        <w:t xml:space="preserve">by </w:t>
      </w:r>
      <w:r>
        <w:rPr>
          <w:b/>
        </w:rPr>
        <w:t xml:space="preserve">SHELL DEVELOPMENT </w:t>
      </w:r>
      <w:r>
        <w:rPr>
          <w:b/>
        </w:rPr>
        <w:tab/>
      </w:r>
      <w:r>
        <w:t>)</w:t>
      </w:r>
    </w:p>
    <w:p>
      <w:pPr>
        <w:pStyle w:val="yMiscellaneousBody"/>
        <w:spacing w:before="0"/>
      </w:pPr>
      <w:r>
        <w:rPr>
          <w:b/>
        </w:rPr>
        <w:t>(AUSTRALIA) PROPRIETARY LIMITED</w:t>
      </w:r>
      <w:r>
        <w:tab/>
        <w:t>)</w:t>
      </w:r>
    </w:p>
    <w:p>
      <w:pPr>
        <w:pStyle w:val="yMiscellaneousBody"/>
        <w:spacing w:before="0"/>
      </w:pPr>
      <w:r>
        <w:t xml:space="preserve">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tabs>
          <w:tab w:val="left" w:pos="3402"/>
        </w:tabs>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TOKYO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 xml:space="preserve">with section 127(1) of the </w:t>
      </w:r>
      <w:r>
        <w:rPr>
          <w:i/>
        </w:rPr>
        <w:t>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by No. 24 of 2013 s. 8.]</w:t>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377369862"/>
      <w:bookmarkStart w:id="132" w:name="_Toc414960940"/>
      <w:bookmarkStart w:id="133" w:name="_Toc414960978"/>
      <w:bookmarkStart w:id="134" w:name="_Toc419119395"/>
      <w:r>
        <w:t>Notes</w:t>
      </w:r>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p>
    <w:p>
      <w:pPr>
        <w:pStyle w:val="nHeading3"/>
        <w:rPr>
          <w:snapToGrid w:val="0"/>
        </w:rPr>
      </w:pPr>
      <w:bookmarkStart w:id="135" w:name="_Toc377369863"/>
      <w:bookmarkStart w:id="136" w:name="_Toc419119396"/>
      <w:r>
        <w:rPr>
          <w:snapToGrid w:val="0"/>
        </w:rPr>
        <w:t>Compilation table</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00"/>
            </w:pPr>
            <w:r>
              <w:rPr>
                <w:i/>
                <w:noProof/>
                <w:snapToGrid w:val="0"/>
              </w:rPr>
              <w:t>Barrow Island Act 2003</w:t>
            </w:r>
            <w:r>
              <w:rPr>
                <w:i/>
                <w:noProof/>
                <w:snapToGrid w:val="0"/>
                <w:vertAlign w:val="superscript"/>
              </w:rPr>
              <w:t> 2</w:t>
            </w:r>
          </w:p>
        </w:tc>
        <w:tc>
          <w:tcPr>
            <w:tcW w:w="1134" w:type="dxa"/>
          </w:tcPr>
          <w:p>
            <w:pPr>
              <w:pStyle w:val="nTable"/>
              <w:spacing w:before="100"/>
            </w:pPr>
            <w:r>
              <w:t>61 of 2003</w:t>
            </w:r>
          </w:p>
        </w:tc>
        <w:tc>
          <w:tcPr>
            <w:tcW w:w="1134" w:type="dxa"/>
          </w:tcPr>
          <w:p>
            <w:pPr>
              <w:pStyle w:val="nTable"/>
              <w:spacing w:before="100"/>
            </w:pPr>
            <w:r>
              <w:t>20 Nov 2003</w:t>
            </w:r>
          </w:p>
        </w:tc>
        <w:tc>
          <w:tcPr>
            <w:tcW w:w="2551" w:type="dxa"/>
          </w:tcPr>
          <w:p>
            <w:pPr>
              <w:pStyle w:val="nTable"/>
              <w:spacing w:before="100"/>
            </w:pPr>
            <w:r>
              <w:t>Act other than s. 12: 20 Nov 2003 (see s. 2);</w:t>
            </w:r>
          </w:p>
          <w:p>
            <w:pPr>
              <w:pStyle w:val="nTable"/>
              <w:spacing w:before="0"/>
            </w:pPr>
            <w:r>
              <w:t>s. 12 repealed by No. 13 of 2005 s. 48(3)</w:t>
            </w:r>
          </w:p>
        </w:tc>
      </w:tr>
      <w:tr>
        <w:tc>
          <w:tcPr>
            <w:tcW w:w="2268" w:type="dxa"/>
          </w:tcPr>
          <w:p>
            <w:pPr>
              <w:pStyle w:val="nTable"/>
              <w:spacing w:before="10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before="100"/>
            </w:pPr>
            <w:r>
              <w:t>13 of 2005</w:t>
            </w:r>
          </w:p>
        </w:tc>
        <w:tc>
          <w:tcPr>
            <w:tcW w:w="1134" w:type="dxa"/>
          </w:tcPr>
          <w:p>
            <w:pPr>
              <w:pStyle w:val="nTable"/>
              <w:spacing w:before="100"/>
            </w:pPr>
            <w:r>
              <w:t>1 Sep 2005</w:t>
            </w:r>
          </w:p>
        </w:tc>
        <w:tc>
          <w:tcPr>
            <w:tcW w:w="2551" w:type="dxa"/>
          </w:tcPr>
          <w:p>
            <w:pPr>
              <w:pStyle w:val="nTable"/>
              <w:spacing w:before="100"/>
              <w:rPr>
                <w:i/>
                <w:iCs/>
              </w:rPr>
            </w:pPr>
            <w:r>
              <w:t xml:space="preserve">28 Mar 2007 (see s. 2 and </w:t>
            </w:r>
            <w:r>
              <w:rPr>
                <w:i/>
                <w:iCs/>
              </w:rPr>
              <w:t xml:space="preserve">Gazette </w:t>
            </w:r>
            <w:r>
              <w:t>27 Mar 2007 p. 1405)</w:t>
            </w:r>
          </w:p>
        </w:tc>
      </w:tr>
      <w:tr>
        <w:tc>
          <w:tcPr>
            <w:tcW w:w="2268" w:type="dxa"/>
          </w:tcPr>
          <w:p>
            <w:pPr>
              <w:pStyle w:val="nTable"/>
              <w:spacing w:before="100"/>
              <w:rPr>
                <w:i/>
                <w:noProof/>
                <w:snapToGrid w:val="0"/>
              </w:rPr>
            </w:pPr>
            <w:r>
              <w:rPr>
                <w:i/>
                <w:snapToGrid w:val="0"/>
              </w:rPr>
              <w:t>Petroleum Amendment Act 2007</w:t>
            </w:r>
            <w:r>
              <w:rPr>
                <w:iCs/>
                <w:snapToGrid w:val="0"/>
              </w:rPr>
              <w:t xml:space="preserve"> s. 90</w:t>
            </w:r>
            <w:r>
              <w:t> </w:t>
            </w:r>
          </w:p>
        </w:tc>
        <w:tc>
          <w:tcPr>
            <w:tcW w:w="1134" w:type="dxa"/>
          </w:tcPr>
          <w:p>
            <w:pPr>
              <w:pStyle w:val="nTable"/>
              <w:spacing w:before="100"/>
            </w:pPr>
            <w:r>
              <w:t>35 of 2007</w:t>
            </w:r>
          </w:p>
        </w:tc>
        <w:tc>
          <w:tcPr>
            <w:tcW w:w="1134" w:type="dxa"/>
          </w:tcPr>
          <w:p>
            <w:pPr>
              <w:pStyle w:val="nTable"/>
              <w:spacing w:before="100"/>
            </w:pPr>
            <w:r>
              <w:t>21 Dec 2007</w:t>
            </w:r>
          </w:p>
        </w:tc>
        <w:tc>
          <w:tcPr>
            <w:tcW w:w="2551" w:type="dxa"/>
          </w:tcPr>
          <w:p>
            <w:pPr>
              <w:pStyle w:val="nTable"/>
              <w:spacing w:before="100"/>
            </w:pPr>
            <w:r>
              <w:t xml:space="preserve">19 Jan 2008 (see s. 2(b) and </w:t>
            </w:r>
            <w:r>
              <w:rPr>
                <w:i/>
                <w:iCs/>
              </w:rPr>
              <w:t>Gazette</w:t>
            </w:r>
            <w:r>
              <w:t xml:space="preserve"> 18 Jan 2008 p. 147)</w:t>
            </w:r>
          </w:p>
        </w:tc>
      </w:tr>
      <w:tr>
        <w:tc>
          <w:tcPr>
            <w:tcW w:w="2268" w:type="dxa"/>
          </w:tcPr>
          <w:p>
            <w:pPr>
              <w:pStyle w:val="nTable"/>
              <w:spacing w:before="100"/>
              <w:rPr>
                <w:i/>
                <w:snapToGrid w:val="0"/>
              </w:rPr>
            </w:pPr>
            <w:r>
              <w:rPr>
                <w:i/>
                <w:snapToGrid w:val="0"/>
              </w:rPr>
              <w:t>Barrow Island Amendment Act 2013</w:t>
            </w:r>
          </w:p>
        </w:tc>
        <w:tc>
          <w:tcPr>
            <w:tcW w:w="1134" w:type="dxa"/>
          </w:tcPr>
          <w:p>
            <w:pPr>
              <w:pStyle w:val="nTable"/>
              <w:spacing w:before="100"/>
            </w:pPr>
            <w:r>
              <w:t>24 of 2013</w:t>
            </w:r>
          </w:p>
        </w:tc>
        <w:tc>
          <w:tcPr>
            <w:tcW w:w="1134" w:type="dxa"/>
          </w:tcPr>
          <w:p>
            <w:pPr>
              <w:pStyle w:val="nTable"/>
              <w:spacing w:before="100"/>
            </w:pPr>
            <w:r>
              <w:t>18 Dec 2013</w:t>
            </w:r>
          </w:p>
        </w:tc>
        <w:tc>
          <w:tcPr>
            <w:tcW w:w="2551" w:type="dxa"/>
          </w:tcPr>
          <w:p>
            <w:pPr>
              <w:pStyle w:val="nTable"/>
              <w:spacing w:before="100"/>
              <w:rPr>
                <w:i/>
              </w:rPr>
            </w:pPr>
            <w:r>
              <w:t>s. 1 and 2: 18 Dec 2013 (see s. 2(a));</w:t>
            </w:r>
            <w:r>
              <w:br/>
              <w:t>Act other than s. 1 and 2: 19 Dec 2013 see s. 2(b))</w:t>
            </w:r>
          </w:p>
        </w:tc>
      </w:tr>
      <w:tr>
        <w:tc>
          <w:tcPr>
            <w:tcW w:w="2268" w:type="dxa"/>
            <w:tcBorders>
              <w:bottom w:val="single" w:sz="4" w:space="0" w:color="auto"/>
            </w:tcBorders>
          </w:tcPr>
          <w:p>
            <w:pPr>
              <w:pStyle w:val="nTable"/>
              <w:spacing w:before="100"/>
              <w:rPr>
                <w:i/>
                <w:snapToGrid w:val="0"/>
              </w:rPr>
            </w:pPr>
            <w:r>
              <w:rPr>
                <w:i/>
                <w:snapToGrid w:val="0"/>
              </w:rPr>
              <w:t>Barrow Island Amendment Act 2015</w:t>
            </w:r>
          </w:p>
        </w:tc>
        <w:tc>
          <w:tcPr>
            <w:tcW w:w="1134" w:type="dxa"/>
            <w:tcBorders>
              <w:bottom w:val="single" w:sz="4" w:space="0" w:color="auto"/>
            </w:tcBorders>
          </w:tcPr>
          <w:p>
            <w:pPr>
              <w:pStyle w:val="nTable"/>
              <w:spacing w:before="100"/>
            </w:pPr>
            <w:r>
              <w:t>13 of 2015</w:t>
            </w:r>
          </w:p>
        </w:tc>
        <w:tc>
          <w:tcPr>
            <w:tcW w:w="1134" w:type="dxa"/>
            <w:tcBorders>
              <w:bottom w:val="single" w:sz="4" w:space="0" w:color="auto"/>
            </w:tcBorders>
          </w:tcPr>
          <w:p>
            <w:pPr>
              <w:pStyle w:val="nTable"/>
              <w:spacing w:before="100"/>
            </w:pPr>
            <w:r>
              <w:t>8 May 2015</w:t>
            </w:r>
          </w:p>
        </w:tc>
        <w:tc>
          <w:tcPr>
            <w:tcW w:w="2551" w:type="dxa"/>
            <w:tcBorders>
              <w:bottom w:val="single" w:sz="4" w:space="0" w:color="auto"/>
            </w:tcBorders>
          </w:tcPr>
          <w:p>
            <w:pPr>
              <w:pStyle w:val="nTable"/>
              <w:spacing w:before="100"/>
            </w:pPr>
            <w:r>
              <w:t>s. 5: 20 Nov 2003 (see s. 2(b));</w:t>
            </w:r>
            <w:r>
              <w:br/>
              <w:t>s. 1 and 2: 8 May 2015 (see s. 2(a));</w:t>
            </w:r>
            <w:r>
              <w:br/>
              <w:t>Act other than s. 1, 2 and 5: 9 May 2015 (see s. 2(c))</w:t>
            </w:r>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2013 variation agreement</w:t>
      </w:r>
      <w:r>
        <w:tab/>
        <w:t>3</w:t>
      </w:r>
    </w:p>
    <w:p>
      <w:pPr>
        <w:pStyle w:val="DefinedTerms"/>
      </w:pPr>
      <w:r>
        <w:t>Barrow Island lease</w:t>
      </w:r>
      <w:r>
        <w:tab/>
        <w:t>3</w:t>
      </w:r>
    </w:p>
    <w:p>
      <w:pPr>
        <w:pStyle w:val="DefinedTerms"/>
      </w:pPr>
      <w:r>
        <w:t>Barrow Island lessee</w:t>
      </w:r>
      <w:r>
        <w:tab/>
        <w:t>3</w:t>
      </w:r>
    </w:p>
    <w:p>
      <w:pPr>
        <w:pStyle w:val="DefinedTerms"/>
      </w:pPr>
      <w:r>
        <w:t>BI Act Minister</w:t>
      </w:r>
      <w:r>
        <w:tab/>
        <w:t>3</w:t>
      </w:r>
    </w:p>
    <w:p>
      <w:pPr>
        <w:pStyle w:val="DefinedTerms"/>
      </w:pPr>
      <w:r>
        <w:t>CALM Act Minister</w:t>
      </w:r>
      <w:r>
        <w:tab/>
        <w:t>3</w:t>
      </w:r>
    </w:p>
    <w:p>
      <w:pPr>
        <w:pStyle w:val="DefinedTerms"/>
      </w:pPr>
      <w:r>
        <w:t>carbon dioxide</w:t>
      </w:r>
      <w:r>
        <w:tab/>
        <w:t>3</w:t>
      </w:r>
    </w:p>
    <w:p>
      <w:pPr>
        <w:pStyle w:val="DefinedTerms"/>
      </w:pPr>
      <w:r>
        <w:t>CO2</w:t>
      </w:r>
      <w:r>
        <w:tab/>
        <w:t>14A</w:t>
      </w:r>
    </w:p>
    <w:p>
      <w:pPr>
        <w:pStyle w:val="DefinedTerms"/>
      </w:pPr>
      <w:r>
        <w:t>CO2 disposal management plan</w:t>
      </w:r>
      <w:r>
        <w:tab/>
        <w:t>14A</w:t>
      </w:r>
    </w:p>
    <w:p>
      <w:pPr>
        <w:pStyle w:val="DefinedTerms"/>
      </w:pPr>
      <w:r>
        <w:t>CO2 injection cessation date</w:t>
      </w:r>
      <w:r>
        <w:tab/>
        <w:t>14A</w:t>
      </w:r>
    </w:p>
    <w:p>
      <w:pPr>
        <w:pStyle w:val="DefinedTerms"/>
      </w:pPr>
      <w:r>
        <w:t>CO2 injection operations</w:t>
      </w:r>
      <w:r>
        <w:tab/>
        <w:t>14A</w:t>
      </w:r>
    </w:p>
    <w:p>
      <w:pPr>
        <w:pStyle w:val="DefinedTerms"/>
      </w:pPr>
      <w:r>
        <w:t>CO2 injection site closure notice</w:t>
      </w:r>
      <w:r>
        <w:tab/>
        <w:t>14A</w:t>
      </w:r>
    </w:p>
    <w:p>
      <w:pPr>
        <w:pStyle w:val="DefinedTerms"/>
      </w:pPr>
      <w:r>
        <w:t>collateral deed</w:t>
      </w:r>
      <w:r>
        <w:tab/>
        <w:t>14A</w:t>
      </w:r>
    </w:p>
    <w:p>
      <w:pPr>
        <w:pStyle w:val="DefinedTerms"/>
      </w:pPr>
      <w:r>
        <w:t>common law liability</w:t>
      </w:r>
      <w:r>
        <w:tab/>
        <w:t>14A</w:t>
      </w:r>
    </w:p>
    <w:p>
      <w:pPr>
        <w:pStyle w:val="DefinedTerms"/>
      </w:pPr>
      <w:r>
        <w:t>Commonwealth representative</w:t>
      </w:r>
      <w:r>
        <w:tab/>
        <w:t>14A</w:t>
      </w:r>
    </w:p>
    <w:p>
      <w:pPr>
        <w:pStyle w:val="DefinedTerms"/>
      </w:pPr>
      <w:r>
        <w:t>formation</w:t>
      </w:r>
      <w:r>
        <w:tab/>
        <w:t>14A</w:t>
      </w:r>
    </w:p>
    <w:p>
      <w:pPr>
        <w:pStyle w:val="DefinedTerms"/>
      </w:pPr>
      <w:r>
        <w:t>gas</w:t>
      </w:r>
      <w:r>
        <w:tab/>
        <w:t>3</w:t>
      </w:r>
    </w:p>
    <w:p>
      <w:pPr>
        <w:pStyle w:val="DefinedTerms"/>
      </w:pPr>
      <w:r>
        <w:t>gas processing project purpose</w:t>
      </w:r>
      <w:r>
        <w:tab/>
        <w:t>3</w:t>
      </w:r>
    </w:p>
    <w:p>
      <w:pPr>
        <w:pStyle w:val="DefinedTerms"/>
      </w:pPr>
      <w:r>
        <w:t>Gorgon CO2</w:t>
      </w:r>
      <w:r>
        <w:tab/>
        <w:t>14A</w:t>
      </w:r>
    </w:p>
    <w:p>
      <w:pPr>
        <w:pStyle w:val="DefinedTerms"/>
      </w:pPr>
      <w:r>
        <w:t>Greater Gorgon Area</w:t>
      </w:r>
      <w:r>
        <w:tab/>
        <w:t>14A</w:t>
      </w:r>
    </w:p>
    <w:p>
      <w:pPr>
        <w:pStyle w:val="DefinedTerms"/>
      </w:pPr>
      <w:r>
        <w:t>holding company</w:t>
      </w:r>
      <w:r>
        <w:tab/>
        <w:t>14A</w:t>
      </w:r>
    </w:p>
    <w:p>
      <w:pPr>
        <w:pStyle w:val="DefinedTerms"/>
      </w:pPr>
      <w:r>
        <w:t>independent third party</w:t>
      </w:r>
      <w:r>
        <w:tab/>
        <w:t>14A</w:t>
      </w:r>
    </w:p>
    <w:p>
      <w:pPr>
        <w:pStyle w:val="DefinedTerms"/>
      </w:pPr>
      <w:r>
        <w:t>Joint Venturers</w:t>
      </w:r>
      <w:r>
        <w:tab/>
        <w:t>14A</w:t>
      </w:r>
    </w:p>
    <w:p>
      <w:pPr>
        <w:pStyle w:val="DefinedTerms"/>
      </w:pPr>
      <w:r>
        <w:t>LA Act</w:t>
      </w:r>
      <w:r>
        <w:tab/>
        <w:t>3</w:t>
      </w:r>
    </w:p>
    <w:p>
      <w:pPr>
        <w:pStyle w:val="DefinedTerms"/>
      </w:pPr>
      <w:r>
        <w:t>LA Act Minister</w:t>
      </w:r>
      <w:r>
        <w:tab/>
        <w:t>3</w:t>
      </w:r>
    </w:p>
    <w:p>
      <w:pPr>
        <w:pStyle w:val="DefinedTerms"/>
      </w:pPr>
      <w:r>
        <w:t>leakage</w:t>
      </w:r>
      <w:r>
        <w:tab/>
        <w:t>14A</w:t>
      </w:r>
    </w:p>
    <w:p>
      <w:pPr>
        <w:pStyle w:val="DefinedTerms"/>
      </w:pPr>
      <w:r>
        <w:t>liability assumption date</w:t>
      </w:r>
      <w:r>
        <w:tab/>
        <w:t>14A</w:t>
      </w:r>
    </w:p>
    <w:p>
      <w:pPr>
        <w:pStyle w:val="DefinedTerms"/>
      </w:pPr>
      <w:r>
        <w:t>Project</w:t>
      </w:r>
      <w:r>
        <w:tab/>
        <w:t>14A</w:t>
      </w:r>
    </w:p>
    <w:p>
      <w:pPr>
        <w:pStyle w:val="DefinedTerms"/>
      </w:pPr>
      <w:r>
        <w:t>related entity</w:t>
      </w:r>
      <w:r>
        <w:tab/>
        <w:t>14A</w:t>
      </w:r>
    </w:p>
    <w:p>
      <w:pPr>
        <w:pStyle w:val="DefinedTerms"/>
      </w:pPr>
      <w:r>
        <w:t>section 13 approval</w:t>
      </w:r>
      <w:r>
        <w:tab/>
        <w:t>14A</w:t>
      </w:r>
    </w:p>
    <w:p>
      <w:pPr>
        <w:pStyle w:val="DefinedTerms"/>
      </w:pPr>
      <w:r>
        <w:t>subsidiary</w:t>
      </w:r>
      <w:r>
        <w:tab/>
        <w:t>14A</w:t>
      </w:r>
    </w:p>
    <w:p>
      <w:pPr>
        <w:pStyle w:val="DefinedTerms"/>
      </w:pPr>
      <w:r>
        <w:t>the Agreement</w:t>
      </w:r>
      <w:r>
        <w:tab/>
        <w:t>3</w:t>
      </w:r>
    </w:p>
    <w:p>
      <w:pPr>
        <w:pStyle w:val="DefinedTerms"/>
      </w:pPr>
      <w:r>
        <w:t>the reserve</w:t>
      </w:r>
      <w:r>
        <w:tab/>
        <w:t>3</w:t>
      </w:r>
    </w:p>
    <w:p>
      <w:pPr>
        <w:pStyle w:val="DefinedTerms"/>
      </w:pPr>
      <w:r>
        <w:t>Title Areas</w:t>
      </w:r>
      <w:r>
        <w:tab/>
        <w:t>14A</w:t>
      </w:r>
    </w:p>
    <w:p>
      <w:pPr>
        <w:pStyle w:val="DefinedTerms"/>
      </w:pPr>
      <w:r>
        <w:t>uncleared land</w:t>
      </w:r>
      <w:r>
        <w:tab/>
        <w:t>9(2)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lvlText w:val="%1."/>
      <w:lvlJc w:val="left"/>
      <w:pPr>
        <w:tabs>
          <w:tab w:val="num" w:pos="1800"/>
        </w:tabs>
        <w:ind w:left="1800" w:hanging="360"/>
      </w:pPr>
    </w:lvl>
  </w:abstractNum>
  <w:abstractNum w:abstractNumId="1">
    <w:nsid w:val="FFFFFF7D"/>
    <w:multiLevelType w:val="singleLevel"/>
    <w:tmpl w:val="17AA1BF6"/>
    <w:lvl w:ilvl="0">
      <w:start w:val="1"/>
      <w:numFmt w:val="decimal"/>
      <w:lvlText w:val="%1."/>
      <w:lvlJc w:val="left"/>
      <w:pPr>
        <w:tabs>
          <w:tab w:val="num" w:pos="1440"/>
        </w:tabs>
        <w:ind w:left="1440" w:hanging="360"/>
      </w:pPr>
    </w:lvl>
  </w:abstractNum>
  <w:abstractNum w:abstractNumId="2">
    <w:nsid w:val="FFFFFF7E"/>
    <w:multiLevelType w:val="singleLevel"/>
    <w:tmpl w:val="8B26CF88"/>
    <w:lvl w:ilvl="0">
      <w:start w:val="1"/>
      <w:numFmt w:val="decimal"/>
      <w:lvlText w:val="%1."/>
      <w:lvlJc w:val="left"/>
      <w:pPr>
        <w:tabs>
          <w:tab w:val="num" w:pos="1080"/>
        </w:tabs>
        <w:ind w:left="1080" w:hanging="360"/>
      </w:pPr>
    </w:lvl>
  </w:abstractNum>
  <w:abstractNum w:abstractNumId="3">
    <w:nsid w:val="FFFFFF7F"/>
    <w:multiLevelType w:val="singleLevel"/>
    <w:tmpl w:val="6532B754"/>
    <w:lvl w:ilvl="0">
      <w:start w:val="1"/>
      <w:numFmt w:val="decimal"/>
      <w:lvlText w:val="%1."/>
      <w:lvlJc w:val="left"/>
      <w:pPr>
        <w:tabs>
          <w:tab w:val="num" w:pos="720"/>
        </w:tabs>
        <w:ind w:left="720" w:hanging="360"/>
      </w:pPr>
    </w:lvl>
  </w:abstractNum>
  <w:abstractNum w:abstractNumId="4">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lvlText w:val="%1."/>
      <w:lvlJc w:val="left"/>
      <w:pPr>
        <w:tabs>
          <w:tab w:val="num" w:pos="360"/>
        </w:tabs>
        <w:ind w:left="360" w:hanging="360"/>
      </w:pPr>
    </w:lvl>
  </w:abstractNum>
  <w:abstractNum w:abstractNumId="9">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0808"/>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19728</Words>
  <Characters>98249</Characters>
  <Application>Microsoft Office Word</Application>
  <DocSecurity>0</DocSecurity>
  <Lines>2585</Lines>
  <Paragraphs>999</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116978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2003 - 00-f0-04</dc:title>
  <dc:subject/>
  <dc:creator/>
  <cp:keywords/>
  <dc:description/>
  <cp:lastModifiedBy>svcMRProcess</cp:lastModifiedBy>
  <cp:revision>4</cp:revision>
  <cp:lastPrinted>2007-03-27T04:35:00Z</cp:lastPrinted>
  <dcterms:created xsi:type="dcterms:W3CDTF">2020-02-13T10:23:00Z</dcterms:created>
  <dcterms:modified xsi:type="dcterms:W3CDTF">2020-02-13T10:23:00Z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20150509</vt:lpwstr>
  </property>
  <property fmtid="{D5CDD505-2E9C-101B-9397-08002B2CF9AE}" pid="4" name="DocumentType">
    <vt:lpwstr>Act</vt:lpwstr>
  </property>
  <property fmtid="{D5CDD505-2E9C-101B-9397-08002B2CF9AE}" pid="5" name="OwlsUID">
    <vt:i4>6988</vt:i4>
  </property>
  <property fmtid="{D5CDD505-2E9C-101B-9397-08002B2CF9AE}" pid="6" name="AsAtDate">
    <vt:lpwstr>09 May 2015</vt:lpwstr>
  </property>
  <property fmtid="{D5CDD505-2E9C-101B-9397-08002B2CF9AE}" pid="7" name="Suffix">
    <vt:lpwstr>00-f0-04</vt:lpwstr>
  </property>
</Properties>
</file>