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Real Estate and Business Agents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(General)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_Toc419453482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_Toc419453483 \h </w:instrText>
      </w:r>
      <w:r>
        <w:fldChar w:fldCharType="separate"/>
      </w:r>
      <w:r>
        <w:t>2</w:t>
      </w:r>
      <w:r>
        <w:fldChar w:fldCharType="end"/>
      </w:r>
    </w:p>
    <w:p>
      <w:pPr>
        <w:pStyle w:val="TOC8"/>
        <w:rPr>
          <w:rFonts w:asciiTheme="minorHAnsi" w:eastAsiaTheme="minorEastAsia" w:hAnsiTheme="minorHAnsi" w:cstheme="minorBidi"/>
          <w:szCs w:val="22"/>
        </w:rPr>
      </w:pPr>
      <w:r>
        <w:t>3A.</w:t>
      </w:r>
      <w:r>
        <w:tab/>
        <w:t>Prescribed duty (Act s. 4(4)(d))</w:t>
      </w:r>
      <w:r>
        <w:tab/>
      </w:r>
      <w:r>
        <w:fldChar w:fldCharType="begin"/>
      </w:r>
      <w:r>
        <w:instrText xml:space="preserve"> PAGEREF _Toc419453484 \h </w:instrText>
      </w:r>
      <w:r>
        <w:fldChar w:fldCharType="separate"/>
      </w:r>
      <w:r>
        <w:t>2</w:t>
      </w:r>
      <w:r>
        <w:fldChar w:fldCharType="end"/>
      </w:r>
    </w:p>
    <w:p>
      <w:pPr>
        <w:pStyle w:val="TOC8"/>
        <w:rPr>
          <w:rFonts w:asciiTheme="minorHAnsi" w:eastAsiaTheme="minorEastAsia" w:hAnsiTheme="minorHAnsi" w:cstheme="minorBidi"/>
          <w:szCs w:val="22"/>
        </w:rPr>
      </w:pPr>
      <w:r>
        <w:t>4.</w:t>
      </w:r>
      <w:r>
        <w:tab/>
        <w:t>Fees (Sch. 1)</w:t>
      </w:r>
      <w:r>
        <w:tab/>
      </w:r>
      <w:r>
        <w:fldChar w:fldCharType="begin"/>
      </w:r>
      <w:r>
        <w:instrText xml:space="preserve"> PAGEREF _Toc419453485 \h </w:instrText>
      </w:r>
      <w:r>
        <w:fldChar w:fldCharType="separate"/>
      </w:r>
      <w:r>
        <w:t>2</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Holding </w:t>
      </w:r>
      <w:r>
        <w:t>fee</w:t>
      </w:r>
      <w:r>
        <w:tab/>
      </w:r>
      <w:r>
        <w:fldChar w:fldCharType="begin"/>
      </w:r>
      <w:r>
        <w:instrText xml:space="preserve"> PAGEREF _Toc419453486 \h </w:instrText>
      </w:r>
      <w:r>
        <w:fldChar w:fldCharType="separate"/>
      </w:r>
      <w:r>
        <w:t>2</w:t>
      </w:r>
      <w:r>
        <w:fldChar w:fldCharType="end"/>
      </w:r>
    </w:p>
    <w:p>
      <w:pPr>
        <w:pStyle w:val="TOC8"/>
        <w:rPr>
          <w:rFonts w:asciiTheme="minorHAnsi" w:eastAsiaTheme="minorEastAsia" w:hAnsiTheme="minorHAnsi" w:cstheme="minorBidi"/>
          <w:szCs w:val="22"/>
        </w:rPr>
      </w:pPr>
      <w:r>
        <w:t>4AA.</w:t>
      </w:r>
      <w:r>
        <w:tab/>
        <w:t>CPD activities</w:t>
      </w:r>
      <w:r>
        <w:tab/>
      </w:r>
      <w:r>
        <w:fldChar w:fldCharType="begin"/>
      </w:r>
      <w:r>
        <w:instrText xml:space="preserve"> PAGEREF _Toc419453487 \h </w:instrText>
      </w:r>
      <w:r>
        <w:fldChar w:fldCharType="separate"/>
      </w:r>
      <w:r>
        <w:t>2</w:t>
      </w:r>
      <w:r>
        <w:fldChar w:fldCharType="end"/>
      </w:r>
    </w:p>
    <w:p>
      <w:pPr>
        <w:pStyle w:val="TOC8"/>
        <w:rPr>
          <w:rFonts w:asciiTheme="minorHAnsi" w:eastAsiaTheme="minorEastAsia" w:hAnsiTheme="minorHAnsi" w:cstheme="minorBidi"/>
          <w:szCs w:val="22"/>
        </w:rPr>
      </w:pPr>
      <w:r>
        <w:t>4AB.</w:t>
      </w:r>
      <w:r>
        <w:tab/>
        <w:t>Prescribed educational requirement (Act s. 31(3)(b))</w:t>
      </w:r>
      <w:r>
        <w:tab/>
      </w:r>
      <w:r>
        <w:fldChar w:fldCharType="begin"/>
      </w:r>
      <w:r>
        <w:instrText xml:space="preserve"> PAGEREF _Toc419453488 \h </w:instrText>
      </w:r>
      <w:r>
        <w:fldChar w:fldCharType="separate"/>
      </w:r>
      <w:r>
        <w:t>2</w:t>
      </w:r>
      <w:r>
        <w:fldChar w:fldCharType="end"/>
      </w:r>
    </w:p>
    <w:p>
      <w:pPr>
        <w:pStyle w:val="TOC8"/>
        <w:rPr>
          <w:rFonts w:asciiTheme="minorHAnsi" w:eastAsiaTheme="minorEastAsia" w:hAnsiTheme="minorHAnsi" w:cstheme="minorBidi"/>
          <w:szCs w:val="22"/>
        </w:rPr>
      </w:pPr>
      <w:r>
        <w:t>4AC.</w:t>
      </w:r>
      <w:r>
        <w:tab/>
        <w:t>Prescribed educational requirement (Act s. 48(5)(b))</w:t>
      </w:r>
      <w:r>
        <w:tab/>
      </w:r>
      <w:r>
        <w:fldChar w:fldCharType="begin"/>
      </w:r>
      <w:r>
        <w:instrText xml:space="preserve"> PAGEREF _Toc419453489 \h </w:instrText>
      </w:r>
      <w:r>
        <w:fldChar w:fldCharType="separate"/>
      </w:r>
      <w:r>
        <w:t>2</w:t>
      </w:r>
      <w:r>
        <w:fldChar w:fldCharType="end"/>
      </w:r>
    </w:p>
    <w:p>
      <w:pPr>
        <w:pStyle w:val="TOC8"/>
        <w:rPr>
          <w:rFonts w:asciiTheme="minorHAnsi" w:eastAsiaTheme="minorEastAsia" w:hAnsiTheme="minorHAnsi" w:cstheme="minorBidi"/>
          <w:szCs w:val="22"/>
        </w:rPr>
      </w:pPr>
      <w:r>
        <w:t>4B.</w:t>
      </w:r>
      <w:r>
        <w:tab/>
        <w:t>Prescribed periods (Act s. 48(1), (2) and 49(2))</w:t>
      </w:r>
      <w:r>
        <w:tab/>
      </w:r>
      <w:r>
        <w:fldChar w:fldCharType="begin"/>
      </w:r>
      <w:r>
        <w:instrText xml:space="preserve"> PAGEREF _Toc419453490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examinations (Act Sch. 1 cl. 1(a))</w:t>
      </w:r>
      <w:r>
        <w:tab/>
      </w:r>
      <w:r>
        <w:fldChar w:fldCharType="begin"/>
      </w:r>
      <w:r>
        <w:instrText xml:space="preserve"> PAGEREF _Toc419453491 \h </w:instrText>
      </w:r>
      <w:r>
        <w:fldChar w:fldCharType="separate"/>
      </w:r>
      <w:r>
        <w:t>2</w:t>
      </w:r>
      <w:r>
        <w:fldChar w:fldCharType="end"/>
      </w:r>
    </w:p>
    <w:p>
      <w:pPr>
        <w:pStyle w:val="TOC8"/>
        <w:rPr>
          <w:rFonts w:asciiTheme="minorHAnsi" w:eastAsiaTheme="minorEastAsia" w:hAnsiTheme="minorHAnsi" w:cstheme="minorBidi"/>
          <w:szCs w:val="22"/>
        </w:rPr>
      </w:pPr>
      <w:r>
        <w:t>6A.</w:t>
      </w:r>
      <w:r>
        <w:tab/>
        <w:t>Prescribed qualifications for sales representatives (Act s. 47(2))</w:t>
      </w:r>
      <w:r>
        <w:tab/>
      </w:r>
      <w:r>
        <w:fldChar w:fldCharType="begin"/>
      </w:r>
      <w:r>
        <w:instrText xml:space="preserve"> PAGEREF _Toc419453492 \h </w:instrText>
      </w:r>
      <w:r>
        <w:fldChar w:fldCharType="separate"/>
      </w:r>
      <w:r>
        <w:t>2</w:t>
      </w:r>
      <w:r>
        <w:fldChar w:fldCharType="end"/>
      </w:r>
    </w:p>
    <w:p>
      <w:pPr>
        <w:pStyle w:val="TOC8"/>
        <w:rPr>
          <w:rFonts w:asciiTheme="minorHAnsi" w:eastAsiaTheme="minorEastAsia" w:hAnsiTheme="minorHAnsi" w:cstheme="minorBidi"/>
          <w:szCs w:val="22"/>
        </w:rPr>
      </w:pPr>
      <w:r>
        <w:t>6B.</w:t>
      </w:r>
      <w:r>
        <w:tab/>
        <w:t>Certificate of registration, grant of (Act s. 47)</w:t>
      </w:r>
      <w:r>
        <w:tab/>
      </w:r>
      <w:r>
        <w:fldChar w:fldCharType="begin"/>
      </w:r>
      <w:r>
        <w:instrText xml:space="preserve"> PAGEREF _Toc419453493 \h </w:instrText>
      </w:r>
      <w:r>
        <w:fldChar w:fldCharType="separate"/>
      </w:r>
      <w:r>
        <w:t>2</w:t>
      </w:r>
      <w:r>
        <w:fldChar w:fldCharType="end"/>
      </w:r>
    </w:p>
    <w:p>
      <w:pPr>
        <w:pStyle w:val="TOC8"/>
        <w:rPr>
          <w:rFonts w:asciiTheme="minorHAnsi" w:eastAsiaTheme="minorEastAsia" w:hAnsiTheme="minorHAnsi" w:cstheme="minorBidi"/>
          <w:szCs w:val="22"/>
        </w:rPr>
      </w:pPr>
      <w:r>
        <w:t>6BA</w:t>
      </w:r>
      <w:r>
        <w:rPr>
          <w:snapToGrid w:val="0"/>
        </w:rPr>
        <w:t>.</w:t>
      </w:r>
      <w:r>
        <w:rPr>
          <w:snapToGrid w:val="0"/>
        </w:rPr>
        <w:tab/>
        <w:t>Appointment to act as agent, content of</w:t>
      </w:r>
      <w:r>
        <w:tab/>
      </w:r>
      <w:r>
        <w:fldChar w:fldCharType="begin"/>
      </w:r>
      <w:r>
        <w:instrText xml:space="preserve"> PAGEREF _Toc419453494 \h </w:instrText>
      </w:r>
      <w:r>
        <w:fldChar w:fldCharType="separate"/>
      </w:r>
      <w:r>
        <w:t>2</w:t>
      </w:r>
      <w:r>
        <w:fldChar w:fldCharType="end"/>
      </w:r>
    </w:p>
    <w:p>
      <w:pPr>
        <w:pStyle w:val="TOC8"/>
        <w:rPr>
          <w:rFonts w:asciiTheme="minorHAnsi" w:eastAsiaTheme="minorEastAsia" w:hAnsiTheme="minorHAnsi" w:cstheme="minorBidi"/>
          <w:szCs w:val="22"/>
        </w:rPr>
      </w:pPr>
      <w:r>
        <w:t>6C.</w:t>
      </w:r>
      <w:r>
        <w:tab/>
        <w:t>Authorised financial institution (Act s. 67), classes of body prescribed</w:t>
      </w:r>
      <w:r>
        <w:tab/>
      </w:r>
      <w:r>
        <w:fldChar w:fldCharType="begin"/>
      </w:r>
      <w:r>
        <w:instrText xml:space="preserve"> PAGEREF _Toc419453495 \h </w:instrText>
      </w:r>
      <w:r>
        <w:fldChar w:fldCharType="separate"/>
      </w:r>
      <w:r>
        <w:t>2</w:t>
      </w:r>
      <w:r>
        <w:fldChar w:fldCharType="end"/>
      </w:r>
    </w:p>
    <w:p>
      <w:pPr>
        <w:pStyle w:val="TOC8"/>
        <w:rPr>
          <w:rFonts w:asciiTheme="minorHAnsi" w:eastAsiaTheme="minorEastAsia" w:hAnsiTheme="minorHAnsi" w:cstheme="minorBidi"/>
          <w:szCs w:val="22"/>
        </w:rPr>
      </w:pPr>
      <w:r>
        <w:t>6D.</w:t>
      </w:r>
      <w:r>
        <w:tab/>
        <w:t>Trust accounts, designation of (Act s. 68(1))</w:t>
      </w:r>
      <w:r>
        <w:tab/>
      </w:r>
      <w:r>
        <w:fldChar w:fldCharType="begin"/>
      </w:r>
      <w:r>
        <w:instrText xml:space="preserve"> PAGEREF _Toc419453496 \h </w:instrText>
      </w:r>
      <w:r>
        <w:fldChar w:fldCharType="separate"/>
      </w:r>
      <w:r>
        <w:t>2</w:t>
      </w:r>
      <w:r>
        <w:fldChar w:fldCharType="end"/>
      </w:r>
    </w:p>
    <w:p>
      <w:pPr>
        <w:pStyle w:val="TOC8"/>
        <w:rPr>
          <w:rFonts w:asciiTheme="minorHAnsi" w:eastAsiaTheme="minorEastAsia" w:hAnsiTheme="minorHAnsi" w:cstheme="minorBidi"/>
          <w:szCs w:val="22"/>
        </w:rPr>
      </w:pPr>
      <w:r>
        <w:t>6E.</w:t>
      </w:r>
      <w:r>
        <w:tab/>
        <w:t>Separate trust accounts, requests for, requirements prescribed (Act s. 68A(4))</w:t>
      </w:r>
      <w:r>
        <w:tab/>
      </w:r>
      <w:r>
        <w:fldChar w:fldCharType="begin"/>
      </w:r>
      <w:r>
        <w:instrText xml:space="preserve"> PAGEREF _Toc419453497 \h </w:instrText>
      </w:r>
      <w:r>
        <w:fldChar w:fldCharType="separate"/>
      </w:r>
      <w:r>
        <w:t>2</w:t>
      </w:r>
      <w:r>
        <w:fldChar w:fldCharType="end"/>
      </w:r>
    </w:p>
    <w:p>
      <w:pPr>
        <w:pStyle w:val="TOC8"/>
        <w:rPr>
          <w:rFonts w:asciiTheme="minorHAnsi" w:eastAsiaTheme="minorEastAsia" w:hAnsiTheme="minorHAnsi" w:cstheme="minorBidi"/>
          <w:szCs w:val="22"/>
        </w:rPr>
      </w:pPr>
      <w:r>
        <w:t>6F.</w:t>
      </w:r>
      <w:r>
        <w:tab/>
        <w:t>Trust accounts, interest on (Act s. 68B(1))</w:t>
      </w:r>
      <w:r>
        <w:tab/>
      </w:r>
      <w:r>
        <w:fldChar w:fldCharType="begin"/>
      </w:r>
      <w:r>
        <w:instrText xml:space="preserve"> PAGEREF _Toc419453498 \h </w:instrText>
      </w:r>
      <w:r>
        <w:fldChar w:fldCharType="separate"/>
      </w:r>
      <w:r>
        <w:t>2</w:t>
      </w:r>
      <w:r>
        <w:fldChar w:fldCharType="end"/>
      </w:r>
    </w:p>
    <w:p>
      <w:pPr>
        <w:pStyle w:val="TOC8"/>
        <w:rPr>
          <w:rFonts w:asciiTheme="minorHAnsi" w:eastAsiaTheme="minorEastAsia" w:hAnsiTheme="minorHAnsi" w:cstheme="minorBidi"/>
          <w:szCs w:val="22"/>
        </w:rPr>
      </w:pPr>
      <w:r>
        <w:t>6G.</w:t>
      </w:r>
      <w:r>
        <w:tab/>
        <w:t>Receipts by agents, information in (Act s. 69(1)(a))</w:t>
      </w:r>
      <w:r>
        <w:tab/>
      </w:r>
      <w:r>
        <w:fldChar w:fldCharType="begin"/>
      </w:r>
      <w:r>
        <w:instrText xml:space="preserve"> PAGEREF _Toc419453499 \h </w:instrText>
      </w:r>
      <w:r>
        <w:fldChar w:fldCharType="separate"/>
      </w:r>
      <w:r>
        <w:t>2</w:t>
      </w:r>
      <w:r>
        <w:fldChar w:fldCharType="end"/>
      </w:r>
    </w:p>
    <w:p>
      <w:pPr>
        <w:pStyle w:val="TOC8"/>
        <w:rPr>
          <w:rFonts w:asciiTheme="minorHAnsi" w:eastAsiaTheme="minorEastAsia" w:hAnsiTheme="minorHAnsi" w:cstheme="minorBidi"/>
          <w:szCs w:val="22"/>
        </w:rPr>
      </w:pPr>
      <w:r>
        <w:t>6H</w:t>
      </w:r>
      <w:r>
        <w:rPr>
          <w:snapToGrid w:val="0"/>
        </w:rPr>
        <w:t>.</w:t>
      </w:r>
      <w:r>
        <w:rPr>
          <w:snapToGrid w:val="0"/>
        </w:rPr>
        <w:tab/>
        <w:t>Record keeping requirements</w:t>
      </w:r>
      <w:r>
        <w:tab/>
      </w:r>
      <w:r>
        <w:fldChar w:fldCharType="begin"/>
      </w:r>
      <w:r>
        <w:instrText xml:space="preserve"> PAGEREF _Toc419453500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Registers (Act s. 133(2))</w:t>
      </w:r>
      <w:r>
        <w:tab/>
      </w:r>
      <w:r>
        <w:fldChar w:fldCharType="begin"/>
      </w:r>
      <w:r>
        <w:instrText xml:space="preserve"> PAGEREF _Toc419453501 \h </w:instrText>
      </w:r>
      <w:r>
        <w:fldChar w:fldCharType="separate"/>
      </w:r>
      <w:r>
        <w:t>2</w:t>
      </w:r>
      <w:r>
        <w:fldChar w:fldCharType="end"/>
      </w:r>
    </w:p>
    <w:p>
      <w:pPr>
        <w:pStyle w:val="TOC8"/>
        <w:rPr>
          <w:rFonts w:asciiTheme="minorHAnsi" w:eastAsiaTheme="minorEastAsia" w:hAnsiTheme="minorHAnsi" w:cstheme="minorBidi"/>
          <w:szCs w:val="22"/>
        </w:rPr>
      </w:pPr>
      <w:r>
        <w:t>7AA.</w:t>
      </w:r>
      <w:r>
        <w:tab/>
        <w:t>Lending institution (Act s. 131A), classes of body prescribed</w:t>
      </w:r>
      <w:r>
        <w:tab/>
      </w:r>
      <w:r>
        <w:fldChar w:fldCharType="begin"/>
      </w:r>
      <w:r>
        <w:instrText xml:space="preserve"> PAGEREF _Toc419453502 \h </w:instrText>
      </w:r>
      <w:r>
        <w:fldChar w:fldCharType="separate"/>
      </w:r>
      <w:r>
        <w:t>2</w:t>
      </w:r>
      <w:r>
        <w:fldChar w:fldCharType="end"/>
      </w:r>
    </w:p>
    <w:p>
      <w:pPr>
        <w:pStyle w:val="TOC8"/>
        <w:rPr>
          <w:rFonts w:asciiTheme="minorHAnsi" w:eastAsiaTheme="minorEastAsia" w:hAnsiTheme="minorHAnsi" w:cstheme="minorBidi"/>
          <w:szCs w:val="22"/>
        </w:rPr>
      </w:pPr>
      <w:r>
        <w:lastRenderedPageBreak/>
        <w:t>7A</w:t>
      </w:r>
      <w:r>
        <w:rPr>
          <w:snapToGrid w:val="0"/>
        </w:rPr>
        <w:t>.</w:t>
      </w:r>
      <w:r>
        <w:rPr>
          <w:snapToGrid w:val="0"/>
        </w:rPr>
        <w:tab/>
        <w:t>Application for assistance from Home Buyers Assistance Account, form of (Act s. 131L(1))</w:t>
      </w:r>
      <w:r>
        <w:tab/>
      </w:r>
      <w:r>
        <w:fldChar w:fldCharType="begin"/>
      </w:r>
      <w:r>
        <w:instrText xml:space="preserve"> PAGEREF _Toc419453503 \h </w:instrText>
      </w:r>
      <w:r>
        <w:fldChar w:fldCharType="separate"/>
      </w:r>
      <w:r>
        <w:t>2</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Maximum amount prescribed (Act s. 131M(3))</w:t>
      </w:r>
      <w:r>
        <w:tab/>
      </w:r>
      <w:r>
        <w:fldChar w:fldCharType="begin"/>
      </w:r>
      <w:r>
        <w:instrText xml:space="preserve"> PAGEREF _Toc419453504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Changes in particulars, licensees to notify Commissioner of</w:t>
      </w:r>
      <w:r>
        <w:tab/>
      </w:r>
      <w:r>
        <w:fldChar w:fldCharType="begin"/>
      </w:r>
      <w:r>
        <w:instrText xml:space="preserve"> PAGEREF _Toc419453505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Fees and costs, </w:t>
      </w:r>
      <w:r>
        <w:t>recovery</w:t>
      </w:r>
      <w:r>
        <w:rPr>
          <w:snapToGrid w:val="0"/>
        </w:rPr>
        <w:t xml:space="preserve"> of</w:t>
      </w:r>
      <w:r>
        <w:tab/>
      </w:r>
      <w:r>
        <w:fldChar w:fldCharType="begin"/>
      </w:r>
      <w:r>
        <w:instrText xml:space="preserve"> PAGEREF _Toc419453506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Unsuccessful</w:t>
      </w:r>
      <w:r>
        <w:rPr>
          <w:snapToGrid w:val="0"/>
        </w:rPr>
        <w:t xml:space="preserve"> applicant for licence etc., refund to (Act s. 113)</w:t>
      </w:r>
      <w:r>
        <w:tab/>
      </w:r>
      <w:r>
        <w:fldChar w:fldCharType="begin"/>
      </w:r>
      <w:r>
        <w:instrText xml:space="preserve"> PAGEREF _Toc419453507 \h </w:instrText>
      </w:r>
      <w:r>
        <w:fldChar w:fldCharType="separate"/>
      </w:r>
      <w:r>
        <w:t>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Real Estate and Business Agents</w:t>
      </w:r>
      <w:r>
        <w:rPr>
          <w:snapToGrid w:val="0"/>
        </w:rPr>
        <w:t xml:space="preserve"> Interest Account, application of (Act s. 127)</w:t>
      </w:r>
      <w:r>
        <w:tab/>
      </w:r>
      <w:r>
        <w:fldChar w:fldCharType="begin"/>
      </w:r>
      <w:r>
        <w:instrText xml:space="preserve"> PAGEREF _Toc419453508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Fidelity Guarantee Account, claims against</w:t>
      </w:r>
      <w:r>
        <w:tab/>
      </w:r>
      <w:r>
        <w:fldChar w:fldCharType="begin"/>
      </w:r>
      <w:r>
        <w:instrText xml:space="preserve"> PAGEREF _Toc419453509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Codes of conduct prescribed to be published (Act s. 101)</w:t>
      </w:r>
      <w:r>
        <w:tab/>
      </w:r>
      <w:r>
        <w:fldChar w:fldCharType="begin"/>
      </w:r>
      <w:r>
        <w:instrText xml:space="preserve"> PAGEREF _Toc419453510 \h </w:instrText>
      </w:r>
      <w:r>
        <w:fldChar w:fldCharType="separate"/>
      </w:r>
      <w:r>
        <w:t>2</w:t>
      </w:r>
      <w:r>
        <w:fldChar w:fldCharType="end"/>
      </w:r>
    </w:p>
    <w:p>
      <w:pPr>
        <w:pStyle w:val="TOC8"/>
        <w:rPr>
          <w:rFonts w:asciiTheme="minorHAnsi" w:eastAsiaTheme="minorEastAsia" w:hAnsiTheme="minorHAnsi" w:cstheme="minorBidi"/>
          <w:szCs w:val="22"/>
        </w:rPr>
      </w:pPr>
      <w:r>
        <w:t>14.</w:t>
      </w:r>
      <w:r>
        <w:tab/>
        <w:t>Infringement notices</w:t>
      </w:r>
      <w:r>
        <w:tab/>
      </w:r>
      <w:r>
        <w:fldChar w:fldCharType="begin"/>
      </w:r>
      <w:r>
        <w:instrText xml:space="preserve"> PAGEREF _Toc419453511 \h </w:instrText>
      </w:r>
      <w:r>
        <w:fldChar w:fldCharType="separate"/>
      </w:r>
      <w:r>
        <w:t>2</w:t>
      </w:r>
      <w:r>
        <w:fldChar w:fldCharType="end"/>
      </w:r>
    </w:p>
    <w:p>
      <w:pPr>
        <w:pStyle w:val="TOC8"/>
        <w:rPr>
          <w:rFonts w:asciiTheme="minorHAnsi" w:eastAsiaTheme="minorEastAsia" w:hAnsiTheme="minorHAnsi" w:cstheme="minorBidi"/>
          <w:szCs w:val="22"/>
        </w:rPr>
      </w:pPr>
      <w:r>
        <w:t>15.</w:t>
      </w:r>
      <w:r>
        <w:tab/>
        <w:t>Forms (Sch. 2)</w:t>
      </w:r>
      <w:r>
        <w:tab/>
      </w:r>
      <w:r>
        <w:fldChar w:fldCharType="begin"/>
      </w:r>
      <w:r>
        <w:instrText xml:space="preserve"> PAGEREF _Toc419453512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1A — Professional development subjects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_Toc419453518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Real Estate and Business Agents Act 1978</w:t>
      </w:r>
    </w:p>
    <w:p>
      <w:pPr>
        <w:pStyle w:val="NameofActReg"/>
        <w:spacing w:before="360"/>
      </w:pPr>
      <w:r>
        <w:t>Real Estate and Business Agents (General) Regulations 1979</w:t>
      </w:r>
    </w:p>
    <w:p>
      <w:pPr>
        <w:pStyle w:val="Heading5"/>
        <w:spacing w:before="0"/>
        <w:rPr>
          <w:snapToGrid w:val="0"/>
        </w:rPr>
      </w:pPr>
      <w:bookmarkStart w:id="3" w:name="_Toc404151290"/>
      <w:bookmarkStart w:id="4" w:name="_Toc419453482"/>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5" w:name="_Toc404151291"/>
      <w:bookmarkStart w:id="6" w:name="_Toc419453483"/>
      <w:r>
        <w:rPr>
          <w:rStyle w:val="CharSectno"/>
        </w:rPr>
        <w:t>2</w:t>
      </w:r>
      <w:r>
        <w:rPr>
          <w:snapToGrid w:val="0"/>
        </w:rPr>
        <w:t>.</w:t>
      </w:r>
      <w:r>
        <w:rPr>
          <w:snapToGrid w:val="0"/>
        </w:rPr>
        <w:tab/>
        <w:t>Terms used</w:t>
      </w:r>
      <w:bookmarkEnd w:id="5"/>
      <w:bookmarkEnd w:id="6"/>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xml:space="preserve"> means —</w:t>
      </w:r>
    </w:p>
    <w:p>
      <w:pPr>
        <w:pStyle w:val="Defpara"/>
      </w:pPr>
      <w:r>
        <w:tab/>
        <w:t>(a)</w:t>
      </w:r>
      <w:r>
        <w:tab/>
        <w:t>in relation to the calendar year 2009 or any subsequent calendar year, an educational activity approved for that calendar year in accordance with regulation 4AA(1); and</w:t>
      </w:r>
    </w:p>
    <w:p>
      <w:pPr>
        <w:pStyle w:val="Defpara"/>
      </w:pPr>
      <w:r>
        <w:tab/>
        <w:t>(b)</w:t>
      </w:r>
      <w:r>
        <w:tab/>
        <w:t>in relation to either of the calendar years 2007 and 2008, an educational activity approved for that calendar year in accordance with regulations in force at the time of approval;</w:t>
      </w:r>
    </w:p>
    <w:p>
      <w:pPr>
        <w:pStyle w:val="Defstart"/>
      </w:pPr>
      <w:r>
        <w:tab/>
      </w:r>
      <w:r>
        <w:rPr>
          <w:rStyle w:val="CharDefText"/>
        </w:rPr>
        <w:t>CPD subject</w:t>
      </w:r>
      <w:r>
        <w:t xml:space="preserve"> means a subject listed in Schedule 1A;</w:t>
      </w:r>
    </w:p>
    <w:p>
      <w:pPr>
        <w:pStyle w:val="Defstart"/>
      </w:pPr>
      <w:r>
        <w:rPr>
          <w:b/>
        </w:rPr>
        <w:tab/>
      </w:r>
      <w:r>
        <w:rPr>
          <w:rStyle w:val="CharDefText"/>
        </w:rPr>
        <w:t>dwelling</w:t>
      </w:r>
      <w:r>
        <w:t xml:space="preserve"> has the same meaning as it has in section 131L of the Act;</w:t>
      </w:r>
    </w:p>
    <w:p>
      <w:pPr>
        <w:pStyle w:val="Defstart"/>
        <w:keepNext/>
        <w:spacing w:before="90"/>
      </w:pPr>
      <w:r>
        <w:tab/>
      </w:r>
      <w:r>
        <w:rPr>
          <w:rStyle w:val="CharDefText"/>
        </w:rPr>
        <w:t>educational activity</w:t>
      </w:r>
      <w:r>
        <w:t xml:space="preserve"> means —</w:t>
      </w:r>
    </w:p>
    <w:p>
      <w:pPr>
        <w:pStyle w:val="Defpara"/>
        <w:spacing w:before="90"/>
      </w:pPr>
      <w:r>
        <w:tab/>
        <w:t>(a)</w:t>
      </w:r>
      <w:r>
        <w:tab/>
        <w:t>attendance, including by means of audiolink or videolink, at a specific training course provided by a specific body or person and successful completion of any assessment requirements for that course; or</w:t>
      </w:r>
    </w:p>
    <w:p>
      <w:pPr>
        <w:pStyle w:val="Defpara"/>
        <w:spacing w:before="90"/>
      </w:pPr>
      <w:r>
        <w:tab/>
        <w:t>(b)</w:t>
      </w:r>
      <w:r>
        <w:tab/>
        <w:t>attendance, including by means of audiolink or videolink, at a specific seminar presented by a specific body or person and successful completion of any assessment requirements for that seminar; or</w:t>
      </w:r>
    </w:p>
    <w:p>
      <w:pPr>
        <w:pStyle w:val="Defpara"/>
        <w:spacing w:before="90"/>
      </w:pPr>
      <w:r>
        <w:tab/>
        <w:t>(c)</w:t>
      </w:r>
      <w:r>
        <w:tab/>
        <w:t>viewing of a specific recording, and successful completion of any assessment requirements for that viewing; or</w:t>
      </w:r>
    </w:p>
    <w:p>
      <w:pPr>
        <w:pStyle w:val="Defpara"/>
        <w:spacing w:before="90"/>
      </w:pPr>
      <w:r>
        <w:tab/>
        <w:t>(d)</w:t>
      </w:r>
      <w:r>
        <w:tab/>
        <w:t>participation in a specific course of study, or a specific component of a course of study, and successful completion of any assessment requirements for that course or component;</w:t>
      </w:r>
    </w:p>
    <w:p>
      <w:pPr>
        <w:pStyle w:val="Defstart"/>
        <w:spacing w:before="90"/>
      </w:pPr>
      <w:r>
        <w:tab/>
      </w:r>
      <w:r>
        <w:rPr>
          <w:rStyle w:val="CharDefText"/>
        </w:rPr>
        <w:t>mandatory CPD activity</w:t>
      </w:r>
      <w:r>
        <w:t>, in relation to the calendar year 2009 or any subsequent calendar year, means a CPD activity for that year which the Commissioner has specified as a mandatory CPD activity for that year in accordance with regulation 4AA(3)(b);</w:t>
      </w:r>
    </w:p>
    <w:p>
      <w:pPr>
        <w:pStyle w:val="Defstart"/>
        <w:spacing w:before="90"/>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spacing w:before="90"/>
      </w:pPr>
      <w:r>
        <w:tab/>
      </w:r>
      <w:r>
        <w:rPr>
          <w:rStyle w:val="CharDefText"/>
        </w:rPr>
        <w:t>point value</w:t>
      </w:r>
      <w:r>
        <w:t xml:space="preserve"> means —</w:t>
      </w:r>
    </w:p>
    <w:p>
      <w:pPr>
        <w:pStyle w:val="Defpara"/>
        <w:spacing w:before="90"/>
      </w:pPr>
      <w:r>
        <w:tab/>
        <w:t>(a)</w:t>
      </w:r>
      <w:r>
        <w:tab/>
        <w:t>in relation to a CPD activity approved for the calendar year 2009 or any subsequent calendar year, the point value specified under regulation 4AA(2)(a); and</w:t>
      </w:r>
    </w:p>
    <w:p>
      <w:pPr>
        <w:pStyle w:val="Defpara"/>
        <w:spacing w:before="90"/>
      </w:pPr>
      <w:r>
        <w:tab/>
        <w:t>(b)</w:t>
      </w:r>
      <w:r>
        <w:tab/>
        <w:t>in relation to a CPD activity approved for either of the calendar years 2007 or 2008, the point value specified or determined in accordance with regulations in force at the time of approval;</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tab/>
      </w:r>
      <w:r>
        <w:rPr>
          <w:rStyle w:val="CharDefText"/>
        </w:rPr>
        <w:t>relevant day</w:t>
      </w:r>
      <w:r>
        <w:t>, for a calendar year, means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w:t>
      </w:r>
      <w:r>
        <w:rPr>
          <w:vertAlign w:val="superscript"/>
        </w:rPr>
        <w:t> 1</w:t>
      </w:r>
      <w:r>
        <w:t>; and</w:t>
      </w:r>
    </w:p>
    <w:p>
      <w:pPr>
        <w:pStyle w:val="Defpara"/>
      </w:pPr>
      <w:r>
        <w:tab/>
        <w:t>(b)</w:t>
      </w:r>
      <w:r>
        <w:tab/>
        <w:t>for the calendar year 2010 and each subsequent calendar year, 1 January in that calendar year;</w:t>
      </w:r>
    </w:p>
    <w:p>
      <w:pPr>
        <w:pStyle w:val="Defstart"/>
      </w:pPr>
      <w:r>
        <w:tab/>
      </w:r>
      <w:r>
        <w:rPr>
          <w:rStyle w:val="CharDefText"/>
        </w:rPr>
        <w:t>working day</w:t>
      </w:r>
      <w:r>
        <w:t xml:space="preserve"> means a day that is not a Saturday, Sunday, public holiday or public service holiday.</w:t>
      </w:r>
    </w:p>
    <w:p>
      <w:pPr>
        <w:pStyle w:val="Footnotesection"/>
      </w:pPr>
      <w:r>
        <w:tab/>
        <w:t>[Regulation 2 inserted in Gazette 25 Jun 1996 p. 2918; amended in Gazette 7 Feb 2003 p. 385; 28 Dec 2007 p. 6403</w:t>
      </w:r>
      <w:r>
        <w:noBreakHyphen/>
        <w:t>4; 17 Apr 2009 p. 1319</w:t>
      </w:r>
      <w:r>
        <w:noBreakHyphen/>
        <w:t>21; 30 Jun 2011 p. 2671.]</w:t>
      </w:r>
    </w:p>
    <w:p>
      <w:pPr>
        <w:pStyle w:val="Ednotesection"/>
      </w:pPr>
      <w:r>
        <w:t>[</w:t>
      </w:r>
      <w:r>
        <w:rPr>
          <w:b/>
        </w:rPr>
        <w:t>3.</w:t>
      </w:r>
      <w:r>
        <w:tab/>
        <w:t>Deleted in Gazette 30 Jun 2011 p. 2669.]</w:t>
      </w:r>
    </w:p>
    <w:p>
      <w:pPr>
        <w:pStyle w:val="Heading5"/>
      </w:pPr>
      <w:bookmarkStart w:id="7" w:name="_Toc404151292"/>
      <w:bookmarkStart w:id="8" w:name="_Toc419453484"/>
      <w:r>
        <w:rPr>
          <w:rStyle w:val="CharSectno"/>
        </w:rPr>
        <w:t>3A</w:t>
      </w:r>
      <w:r>
        <w:t>.</w:t>
      </w:r>
      <w:r>
        <w:tab/>
        <w:t>Prescribed duty (Act s. 4(4)(d))</w:t>
      </w:r>
      <w:bookmarkEnd w:id="7"/>
      <w:bookmarkEnd w:id="8"/>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in Gazette 24 Jul 2007 p. 3660.]</w:t>
      </w:r>
    </w:p>
    <w:p>
      <w:pPr>
        <w:pStyle w:val="Heading5"/>
      </w:pPr>
      <w:bookmarkStart w:id="9" w:name="_Toc404151293"/>
      <w:bookmarkStart w:id="10" w:name="_Toc419453485"/>
      <w:r>
        <w:rPr>
          <w:rStyle w:val="CharSectno"/>
        </w:rPr>
        <w:t>4</w:t>
      </w:r>
      <w:r>
        <w:t>.</w:t>
      </w:r>
      <w:r>
        <w:tab/>
        <w:t>Fees (Sch. 1)</w:t>
      </w:r>
      <w:bookmarkEnd w:id="9"/>
      <w:bookmarkEnd w:id="10"/>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in Gazette 2 Jul 1982 p. 2334; 25 Jun 1996 p. 2924.]</w:t>
      </w:r>
    </w:p>
    <w:p>
      <w:pPr>
        <w:pStyle w:val="Heading5"/>
        <w:rPr>
          <w:snapToGrid w:val="0"/>
        </w:rPr>
      </w:pPr>
      <w:bookmarkStart w:id="11" w:name="_Toc404151294"/>
      <w:bookmarkStart w:id="12" w:name="_Toc419453486"/>
      <w:r>
        <w:rPr>
          <w:rStyle w:val="CharSectno"/>
        </w:rPr>
        <w:t>4A</w:t>
      </w:r>
      <w:r>
        <w:rPr>
          <w:snapToGrid w:val="0"/>
        </w:rPr>
        <w:t>.</w:t>
      </w:r>
      <w:r>
        <w:rPr>
          <w:snapToGrid w:val="0"/>
        </w:rPr>
        <w:tab/>
        <w:t xml:space="preserve">Holding </w:t>
      </w:r>
      <w:r>
        <w:t>fee</w:t>
      </w:r>
      <w:bookmarkEnd w:id="11"/>
      <w:bookmarkEnd w:id="12"/>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item 11 of Schedule 1 and referred to in section 30(2a)(b) of the Act.</w:t>
      </w:r>
    </w:p>
    <w:p>
      <w:pPr>
        <w:pStyle w:val="Subsection"/>
        <w:keepNext/>
        <w:rPr>
          <w:snapToGrid w:val="0"/>
        </w:rPr>
      </w:pPr>
      <w:r>
        <w:rPr>
          <w:snapToGrid w:val="0"/>
        </w:rPr>
        <w:tab/>
        <w:t>(2)</w:t>
      </w:r>
      <w:r>
        <w:rPr>
          <w:snapToGrid w:val="0"/>
        </w:rPr>
        <w:tab/>
        <w:t>The holding fee is payable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in Gazette 25 Jun 1996 p. 2924; amended in Gazette 17 Jun 2008 p. 2558; 30 Jun 2011 p. 2671.]</w:t>
      </w:r>
    </w:p>
    <w:p>
      <w:pPr>
        <w:pStyle w:val="Heading5"/>
      </w:pPr>
      <w:bookmarkStart w:id="13" w:name="_Toc404151295"/>
      <w:bookmarkStart w:id="14" w:name="_Toc419453487"/>
      <w:r>
        <w:rPr>
          <w:rStyle w:val="CharSectno"/>
        </w:rPr>
        <w:t>4AA</w:t>
      </w:r>
      <w:r>
        <w:t>.</w:t>
      </w:r>
      <w:r>
        <w:tab/>
        <w:t>CPD activities</w:t>
      </w:r>
      <w:bookmarkEnd w:id="13"/>
      <w:bookmarkEnd w:id="14"/>
    </w:p>
    <w:p>
      <w:pPr>
        <w:pStyle w:val="Subsection"/>
      </w:pPr>
      <w:r>
        <w:tab/>
        <w:t>(1)</w:t>
      </w:r>
      <w:r>
        <w:tab/>
        <w:t>For each calendar year the Commissioner is to approve educational activities in accordance with this regulation.</w:t>
      </w:r>
    </w:p>
    <w:p>
      <w:pPr>
        <w:pStyle w:val="Subsection"/>
      </w:pPr>
      <w:r>
        <w:tab/>
        <w:t>(2)</w:t>
      </w:r>
      <w:r>
        <w:tab/>
        <w:t>In approving an educational activity under subregulation (1) —</w:t>
      </w:r>
    </w:p>
    <w:p>
      <w:pPr>
        <w:pStyle w:val="Indenta"/>
      </w:pPr>
      <w:r>
        <w:tab/>
        <w:t>(a)</w:t>
      </w:r>
      <w:r>
        <w:tab/>
        <w:t>the Commissioner is to specify a point value for the educational activity, and may specify different point values in relation to different regulated persons or classes of regulated persons; and</w:t>
      </w:r>
    </w:p>
    <w:p>
      <w:pPr>
        <w:pStyle w:val="Indenta"/>
      </w:pPr>
      <w:r>
        <w:tab/>
        <w:t>(b)</w:t>
      </w:r>
      <w:r>
        <w:tab/>
        <w:t>the Commissioner is to specify the CPD subject or CPD subjects in relation to which the educational activity is approved; and</w:t>
      </w:r>
    </w:p>
    <w:p>
      <w:pPr>
        <w:pStyle w:val="Indenta"/>
      </w:pPr>
      <w:r>
        <w:tab/>
        <w:t>(c)</w:t>
      </w:r>
      <w:r>
        <w:tab/>
        <w:t>the Commissioner may approve the educational activity in relation only to specified regulated persons or a specified class of regulated persons.</w:t>
      </w:r>
    </w:p>
    <w:p>
      <w:pPr>
        <w:pStyle w:val="Subsection"/>
      </w:pPr>
      <w:r>
        <w:tab/>
        <w:t>(3)</w:t>
      </w:r>
      <w:r>
        <w:tab/>
        <w:t>Before the relevant day for each calendar year, in relation to each regulated person —</w:t>
      </w:r>
    </w:p>
    <w:p>
      <w:pPr>
        <w:pStyle w:val="Indenta"/>
      </w:pPr>
      <w:r>
        <w:tab/>
        <w:t>(a)</w:t>
      </w:r>
      <w:r>
        <w:tab/>
        <w:t>the Commissioner is to approve educational activities for that calendar year under subregulation (1) which have an aggregate point value of at least 10; and</w:t>
      </w:r>
    </w:p>
    <w:p>
      <w:pPr>
        <w:pStyle w:val="Indenta"/>
      </w:pPr>
      <w:r>
        <w:tab/>
        <w:t>(b)</w:t>
      </w:r>
      <w:r>
        <w:tab/>
        <w:t>the Commissioner may specify one or more CPD activities for that calendar year as mandatory CPD activities for that calendar year.</w:t>
      </w:r>
    </w:p>
    <w:p>
      <w:pPr>
        <w:pStyle w:val="Subsection"/>
      </w:pPr>
      <w:r>
        <w:tab/>
        <w:t>(4)</w:t>
      </w:r>
      <w:r>
        <w:tab/>
        <w:t>At any time after the relevant day for each calendar year the Commissioner may approve further educational activities for that calendar year under subregulation (1).</w:t>
      </w:r>
    </w:p>
    <w:p>
      <w:pPr>
        <w:pStyle w:val="Subsection"/>
      </w:pPr>
      <w:r>
        <w:tab/>
        <w:t>(5)</w:t>
      </w:r>
      <w:r>
        <w:tab/>
        <w:t>Throughout each calendar year the Commissioner is to maintain on the website maintained by the Commissioner an up</w:t>
      </w:r>
      <w:r>
        <w:noBreakHyphen/>
        <w:t>to</w:t>
      </w:r>
      <w:r>
        <w:noBreakHyphen/>
        <w:t>date notice setting out —</w:t>
      </w:r>
    </w:p>
    <w:p>
      <w:pPr>
        <w:pStyle w:val="Indenta"/>
      </w:pPr>
      <w:r>
        <w:tab/>
        <w:t>(a)</w:t>
      </w:r>
      <w:r>
        <w:tab/>
        <w:t>sufficient details to identify each CPD activity for that calendar year for each regulated person; and</w:t>
      </w:r>
    </w:p>
    <w:p>
      <w:pPr>
        <w:pStyle w:val="Indenta"/>
      </w:pPr>
      <w:r>
        <w:tab/>
        <w:t>(b)</w:t>
      </w:r>
      <w:r>
        <w:tab/>
        <w:t>in relation to each CPD activity —</w:t>
      </w:r>
    </w:p>
    <w:p>
      <w:pPr>
        <w:pStyle w:val="Indenti"/>
      </w:pPr>
      <w:r>
        <w:tab/>
        <w:t>(i)</w:t>
      </w:r>
      <w:r>
        <w:tab/>
        <w:t>the CPD subject to which it relates; and</w:t>
      </w:r>
    </w:p>
    <w:p>
      <w:pPr>
        <w:pStyle w:val="Indenti"/>
      </w:pPr>
      <w:r>
        <w:tab/>
        <w:t>(ii)</w:t>
      </w:r>
      <w:r>
        <w:tab/>
        <w:t>its point value;</w:t>
      </w:r>
    </w:p>
    <w:p>
      <w:pPr>
        <w:pStyle w:val="Indenta"/>
      </w:pPr>
      <w:r>
        <w:tab/>
      </w:r>
      <w:r>
        <w:tab/>
        <w:t>and</w:t>
      </w:r>
    </w:p>
    <w:p>
      <w:pPr>
        <w:pStyle w:val="Indenta"/>
      </w:pPr>
      <w:r>
        <w:tab/>
        <w:t>(c)</w:t>
      </w:r>
      <w:r>
        <w:tab/>
        <w:t>if the Commissioner has specified mandatory CPD activities for that year in accordance with subregulation (3)(b), sufficient details to identify the mandatory CPD activities for each regulated person.</w:t>
      </w:r>
    </w:p>
    <w:p>
      <w:pPr>
        <w:pStyle w:val="Footnotesection"/>
      </w:pPr>
      <w:r>
        <w:tab/>
        <w:t>[Regulation 4AA inserted in Gazette 17 Apr 2009 p. 1321</w:t>
      </w:r>
      <w:r>
        <w:noBreakHyphen/>
        <w:t>2; amended in Gazette 30 Jun 2011 p. 2671.]</w:t>
      </w:r>
    </w:p>
    <w:p>
      <w:pPr>
        <w:pStyle w:val="Heading5"/>
      </w:pPr>
      <w:bookmarkStart w:id="15" w:name="_Toc404151296"/>
      <w:bookmarkStart w:id="16" w:name="_Toc419453488"/>
      <w:r>
        <w:rPr>
          <w:rStyle w:val="CharSectno"/>
        </w:rPr>
        <w:t>4AB</w:t>
      </w:r>
      <w:r>
        <w:t>.</w:t>
      </w:r>
      <w:r>
        <w:tab/>
        <w:t>Prescribed educational requirement (Act s. 31(3)(b))</w:t>
      </w:r>
      <w:bookmarkEnd w:id="15"/>
      <w:bookmarkEnd w:id="16"/>
    </w:p>
    <w:p>
      <w:pPr>
        <w:pStyle w:val="Subsection"/>
      </w:pPr>
      <w:r>
        <w:tab/>
        <w:t>(1)</w:t>
      </w:r>
      <w:r>
        <w:tab/>
        <w:t>This regulation applies to a licensee —</w:t>
      </w:r>
    </w:p>
    <w:p>
      <w:pPr>
        <w:pStyle w:val="Indenta"/>
      </w:pPr>
      <w:r>
        <w:tab/>
        <w:t>(a)</w:t>
      </w:r>
      <w:r>
        <w:tab/>
        <w:t>who is a natural person; and</w:t>
      </w:r>
    </w:p>
    <w:p>
      <w:pPr>
        <w:pStyle w:val="Indenta"/>
      </w:pPr>
      <w:r>
        <w:tab/>
        <w:t>(b)</w:t>
      </w:r>
      <w:r>
        <w:tab/>
        <w:t>whose triennial certificate is due to expire during the calendar year 2009 or a subsequent calendar year.</w:t>
      </w:r>
    </w:p>
    <w:p>
      <w:pPr>
        <w:pStyle w:val="Subsection"/>
      </w:pPr>
      <w:r>
        <w:tab/>
        <w:t>(2)</w:t>
      </w:r>
      <w:r>
        <w:tab/>
        <w:t>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w:t>
      </w:r>
    </w:p>
    <w:p>
      <w:pPr>
        <w:pStyle w:val="Indenta"/>
      </w:pPr>
      <w:r>
        <w:tab/>
        <w:t>(a)</w:t>
      </w:r>
      <w:r>
        <w:tab/>
        <w:t>which have an aggregate point value of at least 10; and</w:t>
      </w:r>
    </w:p>
    <w:p>
      <w:pPr>
        <w:pStyle w:val="Indenta"/>
        <w:keepNext/>
      </w:pPr>
      <w:r>
        <w:tab/>
        <w:t>(b)</w:t>
      </w:r>
      <w:r>
        <w:tab/>
        <w:t>which —</w:t>
      </w:r>
    </w:p>
    <w:p>
      <w:pPr>
        <w:pStyle w:val="Indenti"/>
      </w:pPr>
      <w:r>
        <w:tab/>
        <w:t>(i)</w:t>
      </w:r>
      <w:r>
        <w:tab/>
        <w:t>in respect of any calendar year before the calendar year 2009, include at least one CPD activity approved in respect of each mandatory CPD subject for that calendar year; and</w:t>
      </w:r>
    </w:p>
    <w:p>
      <w:pPr>
        <w:pStyle w:val="Indenti"/>
      </w:pPr>
      <w:r>
        <w:tab/>
        <w:t>(ii)</w:t>
      </w:r>
      <w:r>
        <w:tab/>
        <w:t>in respect of the calendar year 2009 or any subsequent calendar year, include any mandatory CPD activities in relation to that licensee for that calendar year.</w:t>
      </w:r>
    </w:p>
    <w:p>
      <w:pPr>
        <w:pStyle w:val="Subsection"/>
      </w:pPr>
      <w:r>
        <w:tab/>
        <w:t>(3)</w:t>
      </w:r>
      <w:r>
        <w:tab/>
        <w:t>Where a triennial certificate —</w:t>
      </w:r>
    </w:p>
    <w:p>
      <w:pPr>
        <w:pStyle w:val="Indenta"/>
      </w:pPr>
      <w:r>
        <w:tab/>
        <w:t>(a)</w:t>
      </w:r>
      <w:r>
        <w:tab/>
        <w:t>expires during the calendar year 2009; or</w:t>
      </w:r>
    </w:p>
    <w:p>
      <w:pPr>
        <w:pStyle w:val="Indenta"/>
      </w:pPr>
      <w:r>
        <w:tab/>
        <w:t>(b)</w:t>
      </w:r>
      <w:r>
        <w:tab/>
        <w:t>expires for the first time after it was granted,</w:t>
      </w:r>
    </w:p>
    <w:p>
      <w:pPr>
        <w:pStyle w:val="Subsection"/>
      </w:pPr>
      <w:r>
        <w:tab/>
      </w:r>
      <w:r>
        <w:tab/>
        <w:t>the requirement to have undertaken CPD activities set out in subregulation (2) applies only in respect of the 2 calendar years preceding the year in which the certificate expires.</w:t>
      </w:r>
    </w:p>
    <w:p>
      <w:pPr>
        <w:pStyle w:val="Footnotesection"/>
      </w:pPr>
      <w:r>
        <w:tab/>
        <w:t>[Regulation 4AB inserted in Gazette 17 Apr 2009 p. 1322</w:t>
      </w:r>
      <w:r>
        <w:noBreakHyphen/>
        <w:t>3.]</w:t>
      </w:r>
    </w:p>
    <w:p>
      <w:pPr>
        <w:pStyle w:val="Heading5"/>
        <w:spacing w:before="260"/>
      </w:pPr>
      <w:bookmarkStart w:id="17" w:name="_Toc404151297"/>
      <w:bookmarkStart w:id="18" w:name="_Toc419453489"/>
      <w:r>
        <w:rPr>
          <w:rStyle w:val="CharSectno"/>
        </w:rPr>
        <w:t>4AC</w:t>
      </w:r>
      <w:r>
        <w:t>.</w:t>
      </w:r>
      <w:r>
        <w:tab/>
        <w:t>Prescribed educational requirement (Act s. 48(5)(b))</w:t>
      </w:r>
      <w:bookmarkEnd w:id="17"/>
      <w:bookmarkEnd w:id="18"/>
    </w:p>
    <w:p>
      <w:pPr>
        <w:pStyle w:val="Subsection"/>
      </w:pPr>
      <w:r>
        <w:tab/>
        <w:t>(1)</w:t>
      </w:r>
      <w:r>
        <w:tab/>
        <w:t>This regulation applies to a sales representative whose certificate of registration is due to expire during the calendar year 2010 or a subsequent calendar year.</w:t>
      </w:r>
    </w:p>
    <w:p>
      <w:pPr>
        <w:pStyle w:val="Subsection"/>
      </w:pPr>
      <w:r>
        <w:tab/>
        <w:t>(2)</w:t>
      </w:r>
      <w:r>
        <w:tab/>
        <w:t>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w:t>
      </w:r>
    </w:p>
    <w:p>
      <w:pPr>
        <w:pStyle w:val="Indenta"/>
      </w:pPr>
      <w:r>
        <w:tab/>
        <w:t>(a)</w:t>
      </w:r>
      <w:r>
        <w:tab/>
        <w:t>which have an aggregate point value of at least 10; and</w:t>
      </w:r>
    </w:p>
    <w:p>
      <w:pPr>
        <w:pStyle w:val="Indenta"/>
      </w:pPr>
      <w:r>
        <w:tab/>
        <w:t>(b)</w:t>
      </w:r>
      <w:r>
        <w:tab/>
        <w:t>which, in respect of the calendar year 2009 or any subsequent calendar year, include any mandatory CPD activities in relation to that sales representative for that calendar year.</w:t>
      </w:r>
    </w:p>
    <w:p>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pPr>
        <w:pStyle w:val="Footnotesection"/>
      </w:pPr>
      <w:r>
        <w:tab/>
        <w:t>[Regulation 4AC inserted in Gazette 17 Apr 2009 p. 1323.]</w:t>
      </w:r>
    </w:p>
    <w:p>
      <w:pPr>
        <w:pStyle w:val="Heading5"/>
        <w:spacing w:before="260"/>
      </w:pPr>
      <w:bookmarkStart w:id="19" w:name="_Toc404151298"/>
      <w:bookmarkStart w:id="20" w:name="_Toc419453490"/>
      <w:r>
        <w:rPr>
          <w:rStyle w:val="CharSectno"/>
        </w:rPr>
        <w:t>4B</w:t>
      </w:r>
      <w:r>
        <w:t>.</w:t>
      </w:r>
      <w:r>
        <w:tab/>
        <w:t>Prescribed periods (Act s. 48(1), (2) and 49(2))</w:t>
      </w:r>
      <w:bookmarkEnd w:id="19"/>
      <w:bookmarkEnd w:id="20"/>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in Gazette 25 Jun 1996 p. 2924.]</w:t>
      </w:r>
    </w:p>
    <w:p>
      <w:pPr>
        <w:pStyle w:val="Ednotesection"/>
      </w:pPr>
      <w:r>
        <w:t>[</w:t>
      </w:r>
      <w:r>
        <w:rPr>
          <w:b/>
        </w:rPr>
        <w:t>5.</w:t>
      </w:r>
      <w:r>
        <w:tab/>
        <w:t>Deleted in Gazette 18 Nov 2014 p. 4324.]</w:t>
      </w:r>
    </w:p>
    <w:p>
      <w:pPr>
        <w:pStyle w:val="Heading5"/>
      </w:pPr>
      <w:bookmarkStart w:id="21" w:name="_Toc404151299"/>
      <w:bookmarkStart w:id="22" w:name="_Toc419453491"/>
      <w:r>
        <w:rPr>
          <w:rStyle w:val="CharSectno"/>
        </w:rPr>
        <w:t>6</w:t>
      </w:r>
      <w:r>
        <w:t>.</w:t>
      </w:r>
      <w:r>
        <w:tab/>
        <w:t>Prescribed examinations (Act Sch. 1 cl. 1(a))</w:t>
      </w:r>
      <w:bookmarkEnd w:id="21"/>
      <w:bookmarkEnd w:id="22"/>
    </w:p>
    <w:p>
      <w:pPr>
        <w:pStyle w:val="Subsection"/>
      </w:pPr>
      <w:r>
        <w:tab/>
        <w:t>(1)</w:t>
      </w:r>
      <w:r>
        <w:tab/>
        <w:t xml:space="preserve">The prescribed examinations for the purposes of Schedule 1 clause 1(a) to the Act are — </w:t>
      </w:r>
    </w:p>
    <w:p>
      <w:pPr>
        <w:pStyle w:val="Indenta"/>
      </w:pPr>
      <w:r>
        <w:tab/>
        <w:t>(a)</w:t>
      </w:r>
      <w:r>
        <w:tab/>
        <w:t xml:space="preserve">the examinations required by the Curtin University of Technology to be passed for the conferral of any of the following degrees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by a registered training provider to be passed for the conferral of a Diploma of Property Services (Agency Management) CPP50307.</w:t>
      </w:r>
    </w:p>
    <w:p>
      <w:pPr>
        <w:pStyle w:val="Subsection"/>
      </w:pPr>
      <w:r>
        <w:tab/>
        <w:t>(2)</w:t>
      </w:r>
      <w:r>
        <w:tab/>
        <w:t xml:space="preserve">In respect of a person who was a licensee and ceased to be licensed due to section 30(2a) of the Act the prescribed examinations for the purposes of clause 1(a) of Schedule 1 to the Act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t>.</w:t>
      </w:r>
    </w:p>
    <w:p>
      <w:pPr>
        <w:pStyle w:val="Subsection"/>
      </w:pPr>
      <w:r>
        <w:tab/>
        <w:t>(3)</w:t>
      </w:r>
      <w:r>
        <w:tab/>
        <w:t xml:space="preserve">In respect of a person who applies for a licence on or before 31 December 2018, the prescribed examinations for the purposes of Schedule 1 clause 1(a) to the Act also include the examinations required by a registered training provider to be passed for the conferral of a Diploma of Property (Real Estate), together with the examinations conducted by a registered training provider in all of the following courses — </w:t>
      </w:r>
    </w:p>
    <w:p>
      <w:pPr>
        <w:pStyle w:val="Indenta"/>
      </w:pPr>
      <w:r>
        <w:tab/>
        <w:t>(a)</w:t>
      </w:r>
      <w:r>
        <w:tab/>
        <w:t xml:space="preserve">Unit 15826 — Rural Sales; </w:t>
      </w:r>
    </w:p>
    <w:p>
      <w:pPr>
        <w:pStyle w:val="Indenta"/>
      </w:pPr>
      <w:r>
        <w:tab/>
        <w:t>(b)</w:t>
      </w:r>
      <w:r>
        <w:tab/>
        <w:t xml:space="preserve">Unit 15825 — Selling Businesses; </w:t>
      </w:r>
    </w:p>
    <w:p>
      <w:pPr>
        <w:pStyle w:val="Indenta"/>
      </w:pPr>
      <w:r>
        <w:tab/>
        <w:t>(c)</w:t>
      </w:r>
      <w:r>
        <w:tab/>
        <w:t>Unit 15892 — Real Estate Law.</w:t>
      </w:r>
    </w:p>
    <w:p>
      <w:pPr>
        <w:pStyle w:val="Subsection"/>
      </w:pPr>
      <w:r>
        <w:tab/>
        <w:t>(4)</w:t>
      </w:r>
      <w:r>
        <w:tab/>
        <w:t>For the purposes of this regulation, a reference to the examinations required to be passed for the conferral of a particular qualification is a reference to the examinations that are or were required to be passed for the conferral of that qualification at any time when that qualification is or was conferred.</w:t>
      </w:r>
    </w:p>
    <w:p>
      <w:pPr>
        <w:pStyle w:val="Footnotesection"/>
      </w:pPr>
      <w:r>
        <w:tab/>
        <w:t>[Regulation 6 inserted in Gazette 7 Feb 2003 p. 385; amended in Gazette 13 Jan 2004 p. 145; 8 May 2009 p. 1491</w:t>
      </w:r>
      <w:r>
        <w:noBreakHyphen/>
        <w:t>2; 18 Nov 2014 p. 4325; 15 May 2015 p. 1717</w:t>
      </w:r>
      <w:r>
        <w:noBreakHyphen/>
        <w:t>18.]</w:t>
      </w:r>
    </w:p>
    <w:p>
      <w:pPr>
        <w:pStyle w:val="Heading5"/>
      </w:pPr>
      <w:bookmarkStart w:id="23" w:name="_Toc404151300"/>
      <w:bookmarkStart w:id="24" w:name="_Toc419453492"/>
      <w:r>
        <w:rPr>
          <w:rStyle w:val="CharSectno"/>
        </w:rPr>
        <w:t>6A</w:t>
      </w:r>
      <w:r>
        <w:t>.</w:t>
      </w:r>
      <w:r>
        <w:tab/>
        <w:t>Prescribed qualifications for sales representatives (Act s. 47(2))</w:t>
      </w:r>
      <w:bookmarkEnd w:id="23"/>
      <w:bookmarkEnd w:id="24"/>
    </w:p>
    <w:p>
      <w:pPr>
        <w:pStyle w:val="Subsection"/>
      </w:pPr>
      <w:r>
        <w:tab/>
        <w:t>(1)</w:t>
      </w:r>
      <w:r>
        <w:tab/>
        <w:t>The prescribed qualifications for the purposes of section 47(2) of the Act are the successful completion of —</w:t>
      </w:r>
    </w:p>
    <w:p>
      <w:pPr>
        <w:pStyle w:val="Indenta"/>
      </w:pPr>
      <w:r>
        <w:tab/>
        <w:t>(a)</w:t>
      </w:r>
      <w:r>
        <w:tab/>
        <w:t>the TAFE Sales Representatives Registration Course provided by a registered training provider; or</w:t>
      </w:r>
    </w:p>
    <w:p>
      <w:pPr>
        <w:pStyle w:val="Indenta"/>
        <w:spacing w:before="60"/>
      </w:pPr>
      <w:r>
        <w:tab/>
        <w:t>(b)</w:t>
      </w:r>
      <w:r>
        <w:tab/>
        <w:t xml:space="preserve">the REIWA Sales Representatives Registration Course provided by the Real Estate Institute of </w:t>
      </w:r>
      <w:smartTag w:uri="urn:schemas-microsoft-com:office:smarttags" w:element="place">
        <w:smartTag w:uri="urn:schemas-microsoft-com:office:smarttags" w:element="State">
          <w:r>
            <w:t>Western Australia</w:t>
          </w:r>
        </w:smartTag>
      </w:smartTag>
      <w:r>
        <w:t xml:space="preserve"> Incorporated; or</w:t>
      </w:r>
    </w:p>
    <w:p>
      <w:pPr>
        <w:pStyle w:val="Indenta"/>
        <w:keepNext/>
      </w:pPr>
      <w:r>
        <w:tab/>
        <w:t>(c)</w:t>
      </w:r>
      <w:r>
        <w:tab/>
        <w:t>both —</w:t>
      </w:r>
    </w:p>
    <w:p>
      <w:pPr>
        <w:pStyle w:val="Indenti"/>
      </w:pPr>
      <w:r>
        <w:tab/>
        <w:t>(i)</w:t>
      </w:r>
      <w:r>
        <w:tab/>
        <w:t>Real Estate Business 305; and</w:t>
      </w:r>
    </w:p>
    <w:p>
      <w:pPr>
        <w:pStyle w:val="Indenti"/>
        <w:keepNext/>
      </w:pPr>
      <w:r>
        <w:tab/>
        <w:t>(ii)</w:t>
      </w:r>
      <w:r>
        <w:tab/>
        <w:t>Property Management 330,</w:t>
      </w:r>
    </w:p>
    <w:p>
      <w:pPr>
        <w:pStyle w:val="Indenta"/>
      </w:pPr>
      <w:r>
        <w:tab/>
      </w:r>
      <w:r>
        <w:tab/>
        <w:t xml:space="preserve">provided by the </w:t>
      </w: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 or</w:t>
      </w:r>
    </w:p>
    <w:p>
      <w:pPr>
        <w:pStyle w:val="Indenta"/>
      </w:pPr>
      <w:r>
        <w:tab/>
        <w:t>(d)</w:t>
      </w:r>
      <w:r>
        <w:tab/>
        <w:t>each of the following modules from the CPP07 Property Services Training Package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CPPDSM4008A — Identify legal and ethical requirements of property sales to complete agency work;</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in the case of an application for registration as a sales representative with a condition restricting the registrant to property management transactions only — each of the following modules from the CPP07 Property Services Training Package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CPPDSM4011A — List property for lease;</w:t>
      </w:r>
    </w:p>
    <w:p>
      <w:pPr>
        <w:pStyle w:val="Indenti"/>
        <w:keepNext/>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spacing w:before="180"/>
      </w:pPr>
      <w:r>
        <w:tab/>
        <w:t>(2)</w:t>
      </w:r>
      <w:r>
        <w:tab/>
        <w:t>In this regulation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pPr>
      <w:r>
        <w:tab/>
        <w:t>[Regulation 6A inserted in Gazette 7 Feb 2003 p. 386; amended in Gazette 24 Jun 2008 p. 2886</w:t>
      </w:r>
      <w:r>
        <w:noBreakHyphen/>
        <w:t>7.]</w:t>
      </w:r>
    </w:p>
    <w:p>
      <w:pPr>
        <w:pStyle w:val="Heading5"/>
      </w:pPr>
      <w:bookmarkStart w:id="25" w:name="_Toc404151301"/>
      <w:bookmarkStart w:id="26" w:name="_Toc419453493"/>
      <w:r>
        <w:rPr>
          <w:rStyle w:val="CharSectno"/>
        </w:rPr>
        <w:t>6B</w:t>
      </w:r>
      <w:r>
        <w:t>.</w:t>
      </w:r>
      <w:r>
        <w:tab/>
        <w:t>Certificate of registration, grant of (Act s. 47)</w:t>
      </w:r>
      <w:bookmarkEnd w:id="25"/>
      <w:bookmarkEnd w:id="26"/>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one year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 (b).</w:t>
      </w:r>
    </w:p>
    <w:p>
      <w:pPr>
        <w:pStyle w:val="Footnotesection"/>
      </w:pPr>
      <w:r>
        <w:tab/>
        <w:t>[Regulation 6B inserted in Gazette 8 May 1987 p. 2103; amended in Gazette 30 Oct 1987 p. 4047; 12 Aug 1988 p. 2770; 7 Feb 2003 p. 386</w:t>
      </w:r>
      <w:r>
        <w:noBreakHyphen/>
        <w:t>7; 30 Dec 2004 p. 6924; 17 Nov 2006 p. 4760; 30 Jun 2011 p. 2671.]</w:t>
      </w:r>
    </w:p>
    <w:p>
      <w:pPr>
        <w:pStyle w:val="Heading5"/>
        <w:rPr>
          <w:snapToGrid w:val="0"/>
        </w:rPr>
      </w:pPr>
      <w:bookmarkStart w:id="27" w:name="_Toc404151302"/>
      <w:bookmarkStart w:id="28" w:name="_Toc419453494"/>
      <w:r>
        <w:rPr>
          <w:rStyle w:val="CharSectno"/>
        </w:rPr>
        <w:t>6BA</w:t>
      </w:r>
      <w:r>
        <w:rPr>
          <w:snapToGrid w:val="0"/>
        </w:rPr>
        <w:t>.</w:t>
      </w:r>
      <w:r>
        <w:rPr>
          <w:snapToGrid w:val="0"/>
        </w:rPr>
        <w:tab/>
        <w:t>Appointment to act as agent, content of</w:t>
      </w:r>
      <w:bookmarkEnd w:id="27"/>
      <w:bookmarkEnd w:id="28"/>
    </w:p>
    <w:p>
      <w:pPr>
        <w:pStyle w:val="Subsection"/>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in Gazette 16 Oct 1998 p. 5734</w:t>
      </w:r>
      <w:r>
        <w:noBreakHyphen/>
        <w:t>5; amended in Gazette 30 Jun 2011 p. 2671.]</w:t>
      </w:r>
    </w:p>
    <w:p>
      <w:pPr>
        <w:pStyle w:val="Heading5"/>
      </w:pPr>
      <w:bookmarkStart w:id="29" w:name="_Toc404151303"/>
      <w:bookmarkStart w:id="30" w:name="_Toc419453495"/>
      <w:r>
        <w:rPr>
          <w:rStyle w:val="CharSectno"/>
        </w:rPr>
        <w:t>6C</w:t>
      </w:r>
      <w:r>
        <w:t>.</w:t>
      </w:r>
      <w:r>
        <w:tab/>
        <w:t>Authorised financial institution (Act s. 67), classes of body prescribed</w:t>
      </w:r>
      <w:bookmarkEnd w:id="29"/>
      <w:bookmarkEnd w:id="30"/>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[Regulation 6C inserted in Gazette 25 Jun 1996 p. 2918.]</w:t>
      </w:r>
    </w:p>
    <w:p>
      <w:pPr>
        <w:pStyle w:val="Heading5"/>
      </w:pPr>
      <w:bookmarkStart w:id="31" w:name="_Toc404151304"/>
      <w:bookmarkStart w:id="32" w:name="_Toc419453496"/>
      <w:r>
        <w:rPr>
          <w:rStyle w:val="CharSectno"/>
        </w:rPr>
        <w:t>6D</w:t>
      </w:r>
      <w:r>
        <w:t>.</w:t>
      </w:r>
      <w:r>
        <w:tab/>
        <w:t>Trust accounts, designation of (Act s. 68(1))</w:t>
      </w:r>
      <w:bookmarkEnd w:id="31"/>
      <w:bookmarkEnd w:id="32"/>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spacing w:before="100"/>
        <w:rPr>
          <w:snapToGrid w:val="0"/>
        </w:rPr>
      </w:pPr>
      <w:r>
        <w:rPr>
          <w:snapToGrid w:val="0"/>
        </w:rPr>
        <w:tab/>
        <w:t>(a)</w:t>
      </w:r>
      <w:r>
        <w:rPr>
          <w:snapToGrid w:val="0"/>
        </w:rPr>
        <w:tab/>
        <w:t>the description “REBA Trust Account” or “REBA Tenancy Bond Trust Account” as appropriate;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19.]</w:t>
      </w:r>
    </w:p>
    <w:p>
      <w:pPr>
        <w:pStyle w:val="Heading5"/>
      </w:pPr>
      <w:bookmarkStart w:id="33" w:name="_Toc404151305"/>
      <w:bookmarkStart w:id="34" w:name="_Toc419453497"/>
      <w:r>
        <w:rPr>
          <w:rStyle w:val="CharSectno"/>
        </w:rPr>
        <w:t>6E</w:t>
      </w:r>
      <w:r>
        <w:t>.</w:t>
      </w:r>
      <w:r>
        <w:tab/>
        <w:t>Separate trust accounts, requests for, requirements prescribed (Act s. 68A(4))</w:t>
      </w:r>
      <w:bookmarkEnd w:id="33"/>
      <w:bookmarkEnd w:id="34"/>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in Gazette 25 Jun 1996 p. 2919.]</w:t>
      </w:r>
    </w:p>
    <w:p>
      <w:pPr>
        <w:pStyle w:val="Heading5"/>
        <w:spacing w:before="260"/>
      </w:pPr>
      <w:bookmarkStart w:id="35" w:name="_Toc404151306"/>
      <w:bookmarkStart w:id="36" w:name="_Toc419453498"/>
      <w:r>
        <w:rPr>
          <w:rStyle w:val="CharSectno"/>
        </w:rPr>
        <w:t>6F</w:t>
      </w:r>
      <w:r>
        <w:t>.</w:t>
      </w:r>
      <w:r>
        <w:tab/>
        <w:t>Trust accounts, interest on (Act s. 68B(1))</w:t>
      </w:r>
      <w:bookmarkEnd w:id="35"/>
      <w:bookmarkEnd w:id="36"/>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pPr>
        <w:pStyle w:val="Footnotesection"/>
      </w:pPr>
      <w:r>
        <w:tab/>
        <w:t>[Regulation 6F inserted in Gazette 25 Jun 1996 p. 2919.]</w:t>
      </w:r>
    </w:p>
    <w:p>
      <w:pPr>
        <w:pStyle w:val="Heading5"/>
        <w:spacing w:before="260"/>
      </w:pPr>
      <w:bookmarkStart w:id="37" w:name="_Toc404151307"/>
      <w:bookmarkStart w:id="38" w:name="_Toc419453499"/>
      <w:r>
        <w:rPr>
          <w:rStyle w:val="CharSectno"/>
        </w:rPr>
        <w:t>6G</w:t>
      </w:r>
      <w:r>
        <w:t>.</w:t>
      </w:r>
      <w:r>
        <w:tab/>
        <w:t>Receipts by agents, information in (Act s. 69(1)(a))</w:t>
      </w:r>
      <w:bookmarkEnd w:id="37"/>
      <w:bookmarkEnd w:id="38"/>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in Gazette 25 Jun 1996 p. 2919; amended in Gazette 17 Nov 2006 p. 4760.]</w:t>
      </w:r>
    </w:p>
    <w:p>
      <w:pPr>
        <w:pStyle w:val="Heading5"/>
        <w:rPr>
          <w:snapToGrid w:val="0"/>
        </w:rPr>
      </w:pPr>
      <w:bookmarkStart w:id="39" w:name="_Toc404151308"/>
      <w:bookmarkStart w:id="40" w:name="_Toc419453500"/>
      <w:r>
        <w:rPr>
          <w:rStyle w:val="CharSectno"/>
        </w:rPr>
        <w:t>6H</w:t>
      </w:r>
      <w:r>
        <w:rPr>
          <w:snapToGrid w:val="0"/>
        </w:rPr>
        <w:t>.</w:t>
      </w:r>
      <w:r>
        <w:rPr>
          <w:snapToGrid w:val="0"/>
        </w:rPr>
        <w:tab/>
        <w:t>Record keeping requirements</w:t>
      </w:r>
      <w:bookmarkEnd w:id="39"/>
      <w:bookmarkEnd w:id="40"/>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20.]</w:t>
      </w:r>
    </w:p>
    <w:p>
      <w:pPr>
        <w:pStyle w:val="Heading5"/>
        <w:rPr>
          <w:snapToGrid w:val="0"/>
        </w:rPr>
      </w:pPr>
      <w:bookmarkStart w:id="41" w:name="_Toc404151309"/>
      <w:bookmarkStart w:id="42" w:name="_Toc419453501"/>
      <w:r>
        <w:rPr>
          <w:rStyle w:val="CharSectno"/>
        </w:rPr>
        <w:t>7</w:t>
      </w:r>
      <w:r>
        <w:rPr>
          <w:snapToGrid w:val="0"/>
        </w:rPr>
        <w:t>.</w:t>
      </w:r>
      <w:r>
        <w:rPr>
          <w:snapToGrid w:val="0"/>
        </w:rPr>
        <w:tab/>
        <w:t>Registers (Act s. 133(2))</w:t>
      </w:r>
      <w:bookmarkEnd w:id="41"/>
      <w:bookmarkEnd w:id="42"/>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 23 Dec 2008 p. 5467; 10 Nov 2009 p. 4495; 30 Jun 2011 p. 2671.]</w:t>
      </w:r>
    </w:p>
    <w:p>
      <w:pPr>
        <w:pStyle w:val="Heading5"/>
      </w:pPr>
      <w:bookmarkStart w:id="43" w:name="_Toc404151310"/>
      <w:bookmarkStart w:id="44" w:name="_Toc419453502"/>
      <w:r>
        <w:rPr>
          <w:rStyle w:val="CharSectno"/>
        </w:rPr>
        <w:t>7AA</w:t>
      </w:r>
      <w:r>
        <w:t>.</w:t>
      </w:r>
      <w:r>
        <w:tab/>
        <w:t>Lending institution (Act s. 131A), classes of body prescribed</w:t>
      </w:r>
      <w:bookmarkEnd w:id="43"/>
      <w:bookmarkEnd w:id="44"/>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in Gazette 25 Jun 1996 p. 2920; amended in Gazette 18 Nov 2014 p. 4325.]</w:t>
      </w:r>
    </w:p>
    <w:p>
      <w:pPr>
        <w:pStyle w:val="Heading5"/>
        <w:rPr>
          <w:snapToGrid w:val="0"/>
        </w:rPr>
      </w:pPr>
      <w:bookmarkStart w:id="45" w:name="_Toc404151311"/>
      <w:bookmarkStart w:id="46" w:name="_Toc419453503"/>
      <w:r>
        <w:rPr>
          <w:rStyle w:val="CharSectno"/>
        </w:rPr>
        <w:t>7A</w:t>
      </w:r>
      <w:r>
        <w:rPr>
          <w:snapToGrid w:val="0"/>
        </w:rPr>
        <w:t>.</w:t>
      </w:r>
      <w:r>
        <w:rPr>
          <w:snapToGrid w:val="0"/>
        </w:rPr>
        <w:tab/>
        <w:t>Application for assistance from Home Buyers Assistance Account, form of (Act s. 131L(1))</w:t>
      </w:r>
      <w:bookmarkEnd w:id="45"/>
      <w:bookmarkEnd w:id="46"/>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[Regulation 7A inserted in Gazette 2 Jul 1982 p. 2355.]</w:t>
      </w:r>
    </w:p>
    <w:p>
      <w:pPr>
        <w:pStyle w:val="Heading5"/>
        <w:rPr>
          <w:snapToGrid w:val="0"/>
        </w:rPr>
      </w:pPr>
      <w:bookmarkStart w:id="47" w:name="_Toc404151312"/>
      <w:bookmarkStart w:id="48" w:name="_Toc419453504"/>
      <w:r>
        <w:rPr>
          <w:rStyle w:val="CharSectno"/>
        </w:rPr>
        <w:t>7B</w:t>
      </w:r>
      <w:r>
        <w:rPr>
          <w:snapToGrid w:val="0"/>
        </w:rPr>
        <w:t>.</w:t>
      </w:r>
      <w:r>
        <w:rPr>
          <w:snapToGrid w:val="0"/>
        </w:rPr>
        <w:tab/>
        <w:t>Maximum amount prescribed (Act s. 131M(3))</w:t>
      </w:r>
      <w:bookmarkEnd w:id="47"/>
      <w:bookmarkEnd w:id="48"/>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in Gazette 30 Sep 1994 p. 4969.]</w:t>
      </w:r>
    </w:p>
    <w:p>
      <w:pPr>
        <w:pStyle w:val="Heading5"/>
        <w:rPr>
          <w:snapToGrid w:val="0"/>
        </w:rPr>
      </w:pPr>
      <w:bookmarkStart w:id="49" w:name="_Toc404151313"/>
      <w:bookmarkStart w:id="50" w:name="_Toc419453505"/>
      <w:r>
        <w:rPr>
          <w:rStyle w:val="CharSectno"/>
        </w:rPr>
        <w:t>8</w:t>
      </w:r>
      <w:r>
        <w:rPr>
          <w:snapToGrid w:val="0"/>
        </w:rPr>
        <w:t>.</w:t>
      </w:r>
      <w:r>
        <w:rPr>
          <w:snapToGrid w:val="0"/>
        </w:rPr>
        <w:tab/>
        <w:t>Changes in particulars, licensees to notify Commissioner of</w:t>
      </w:r>
      <w:bookmarkEnd w:id="49"/>
      <w:bookmarkEnd w:id="50"/>
    </w:p>
    <w:p>
      <w:pPr>
        <w:pStyle w:val="Subsection"/>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Footnotesection"/>
      </w:pPr>
      <w:r>
        <w:tab/>
        <w:t>[Regulation 8 amended in Gazette 30 Jun 2011 p. 2672.]</w:t>
      </w:r>
    </w:p>
    <w:p>
      <w:pPr>
        <w:pStyle w:val="Heading5"/>
        <w:rPr>
          <w:snapToGrid w:val="0"/>
        </w:rPr>
      </w:pPr>
      <w:bookmarkStart w:id="51" w:name="_Toc404151314"/>
      <w:bookmarkStart w:id="52" w:name="_Toc419453506"/>
      <w:r>
        <w:rPr>
          <w:rStyle w:val="CharSectno"/>
        </w:rPr>
        <w:t>9</w:t>
      </w:r>
      <w:r>
        <w:rPr>
          <w:snapToGrid w:val="0"/>
        </w:rPr>
        <w:t>.</w:t>
      </w:r>
      <w:r>
        <w:rPr>
          <w:snapToGrid w:val="0"/>
        </w:rPr>
        <w:tab/>
        <w:t xml:space="preserve">Fees and costs, </w:t>
      </w:r>
      <w:r>
        <w:t>recovery</w:t>
      </w:r>
      <w:r>
        <w:rPr>
          <w:snapToGrid w:val="0"/>
        </w:rPr>
        <w:t xml:space="preserve"> of</w:t>
      </w:r>
      <w:bookmarkEnd w:id="51"/>
      <w:bookmarkEnd w:id="52"/>
    </w:p>
    <w:p>
      <w:pPr>
        <w:pStyle w:val="Subsection"/>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in Gazette 30 Dec 2004 p. 6924; 30 Jun 2011 p. 2672.]</w:t>
      </w:r>
    </w:p>
    <w:p>
      <w:pPr>
        <w:pStyle w:val="Heading5"/>
        <w:rPr>
          <w:snapToGrid w:val="0"/>
        </w:rPr>
      </w:pPr>
      <w:bookmarkStart w:id="53" w:name="_Toc404151315"/>
      <w:bookmarkStart w:id="54" w:name="_Toc419453507"/>
      <w:r>
        <w:rPr>
          <w:rStyle w:val="CharSectno"/>
        </w:rPr>
        <w:t>10</w:t>
      </w:r>
      <w:r>
        <w:rPr>
          <w:snapToGrid w:val="0"/>
        </w:rPr>
        <w:t>.</w:t>
      </w:r>
      <w:r>
        <w:rPr>
          <w:snapToGrid w:val="0"/>
        </w:rPr>
        <w:tab/>
      </w:r>
      <w:r>
        <w:t>Unsuccessful</w:t>
      </w:r>
      <w:r>
        <w:rPr>
          <w:snapToGrid w:val="0"/>
        </w:rPr>
        <w:t xml:space="preserve"> applicant for licence etc., refund to (Act s. 113)</w:t>
      </w:r>
      <w:bookmarkEnd w:id="53"/>
      <w:bookmarkEnd w:id="54"/>
    </w:p>
    <w:p>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in Gazette 10 Nov 2009 p. 4495; 30 Jun 2011 p. 2672.]</w:t>
      </w:r>
    </w:p>
    <w:p>
      <w:pPr>
        <w:pStyle w:val="Heading5"/>
        <w:rPr>
          <w:snapToGrid w:val="0"/>
        </w:rPr>
      </w:pPr>
      <w:bookmarkStart w:id="55" w:name="_Toc404151316"/>
      <w:bookmarkStart w:id="56" w:name="_Toc419453508"/>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55"/>
      <w:bookmarkEnd w:id="56"/>
    </w:p>
    <w:p>
      <w:pPr>
        <w:pStyle w:val="Subsection"/>
        <w:rPr>
          <w:snapToGrid w:val="0"/>
        </w:rPr>
      </w:pPr>
      <w:r>
        <w:rPr>
          <w:snapToGrid w:val="0"/>
        </w:rPr>
        <w:tab/>
      </w:r>
      <w:r>
        <w:rPr>
          <w:snapToGrid w:val="0"/>
        </w:rPr>
        <w:tab/>
        <w:t>For the purposes of section 127 of the Act —</w:t>
      </w:r>
    </w:p>
    <w:p>
      <w:pPr>
        <w:pStyle w:val="Indenta"/>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rPr>
          <w:snapToGrid w:val="0"/>
        </w:rPr>
      </w:pPr>
      <w:r>
        <w:rPr>
          <w:snapToGrid w:val="0"/>
        </w:rPr>
        <w:tab/>
        <w:t>(b)</w:t>
      </w:r>
      <w:r>
        <w:rPr>
          <w:snapToGrid w:val="0"/>
        </w:rPr>
        <w:tab/>
        <w:t>the following proportions are prescribed —</w:t>
      </w:r>
    </w:p>
    <w:p>
      <w:pPr>
        <w:pStyle w:val="Indenti"/>
        <w:rPr>
          <w:snapToGrid w:val="0"/>
        </w:rPr>
      </w:pPr>
      <w:r>
        <w:rPr>
          <w:snapToGrid w:val="0"/>
        </w:rPr>
        <w:tab/>
        <w:t>(i)</w:t>
      </w:r>
      <w:r>
        <w:rPr>
          <w:snapToGrid w:val="0"/>
        </w:rPr>
        <w:tab/>
        <w:t>4.5% to the Fidelity Account; and</w:t>
      </w:r>
    </w:p>
    <w:p>
      <w:pPr>
        <w:pStyle w:val="Indenti"/>
        <w:rPr>
          <w:snapToGrid w:val="0"/>
        </w:rPr>
      </w:pPr>
      <w:r>
        <w:rPr>
          <w:snapToGrid w:val="0"/>
        </w:rPr>
        <w:tab/>
        <w:t>(ii)</w:t>
      </w:r>
      <w:r>
        <w:rPr>
          <w:snapToGrid w:val="0"/>
        </w:rPr>
        <w:tab/>
        <w:t>57% to the General Purpose Account; and</w:t>
      </w:r>
    </w:p>
    <w:p>
      <w:pPr>
        <w:pStyle w:val="Indenti"/>
        <w:rPr>
          <w:snapToGrid w:val="0"/>
        </w:rPr>
      </w:pPr>
      <w:r>
        <w:rPr>
          <w:snapToGrid w:val="0"/>
        </w:rPr>
        <w:tab/>
        <w:t>(iii)</w:t>
      </w:r>
      <w:r>
        <w:rPr>
          <w:snapToGrid w:val="0"/>
        </w:rPr>
        <w:tab/>
        <w:t>38.5% to the Assistance Account.</w:t>
      </w:r>
    </w:p>
    <w:p>
      <w:pPr>
        <w:pStyle w:val="Footnotesection"/>
      </w:pPr>
      <w:r>
        <w:tab/>
        <w:t>[Regulation 11 inserted in Gazette 25 Jun 1996 p. 2920; amended in Gazette 6 Nov 2001 p. 5837; 10 Nov 2009 p. 4495</w:t>
      </w:r>
      <w:r>
        <w:noBreakHyphen/>
        <w:t>6; 30 Jun 2011 p. 2672.]</w:t>
      </w:r>
    </w:p>
    <w:p>
      <w:pPr>
        <w:pStyle w:val="Ednotesection"/>
      </w:pPr>
      <w:r>
        <w:t>[</w:t>
      </w:r>
      <w:r>
        <w:rPr>
          <w:b/>
        </w:rPr>
        <w:t>11A, 11AA and 11B.</w:t>
      </w:r>
      <w:r>
        <w:tab/>
        <w:t>Deleted in Gazette 25 Jun 1996 p. 2920.]</w:t>
      </w:r>
    </w:p>
    <w:p>
      <w:pPr>
        <w:pStyle w:val="Heading5"/>
        <w:rPr>
          <w:snapToGrid w:val="0"/>
        </w:rPr>
      </w:pPr>
      <w:bookmarkStart w:id="57" w:name="_Toc404151317"/>
      <w:bookmarkStart w:id="58" w:name="_Toc419453509"/>
      <w:r>
        <w:rPr>
          <w:rStyle w:val="CharSectno"/>
        </w:rPr>
        <w:t>12</w:t>
      </w:r>
      <w:r>
        <w:rPr>
          <w:snapToGrid w:val="0"/>
        </w:rPr>
        <w:t>.</w:t>
      </w:r>
      <w:r>
        <w:rPr>
          <w:snapToGrid w:val="0"/>
        </w:rPr>
        <w:tab/>
        <w:t>Fidelity Guarantee Account, claims against</w:t>
      </w:r>
      <w:bookmarkEnd w:id="57"/>
      <w:bookmarkEnd w:id="58"/>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in Gazette 10 Nov 2009 p. 4495</w:t>
      </w:r>
      <w:r>
        <w:noBreakHyphen/>
        <w:t>6.]</w:t>
      </w:r>
    </w:p>
    <w:p>
      <w:pPr>
        <w:pStyle w:val="Heading5"/>
        <w:rPr>
          <w:snapToGrid w:val="0"/>
        </w:rPr>
      </w:pPr>
      <w:bookmarkStart w:id="59" w:name="_Toc404151318"/>
      <w:bookmarkStart w:id="60" w:name="_Toc419453510"/>
      <w:r>
        <w:rPr>
          <w:rStyle w:val="CharSectno"/>
        </w:rPr>
        <w:t>13</w:t>
      </w:r>
      <w:r>
        <w:rPr>
          <w:snapToGrid w:val="0"/>
        </w:rPr>
        <w:t>.</w:t>
      </w:r>
      <w:r>
        <w:rPr>
          <w:snapToGrid w:val="0"/>
        </w:rPr>
        <w:tab/>
        <w:t>Codes of conduct prescribed to be published (Act s. 101)</w:t>
      </w:r>
      <w:bookmarkEnd w:id="59"/>
      <w:bookmarkEnd w:id="60"/>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in Gazette 30 Jun 2011 p. 2672.]</w:t>
      </w:r>
    </w:p>
    <w:p>
      <w:pPr>
        <w:pStyle w:val="Heading5"/>
      </w:pPr>
      <w:bookmarkStart w:id="61" w:name="_Toc404151319"/>
      <w:bookmarkStart w:id="62" w:name="_Toc419453511"/>
      <w:r>
        <w:rPr>
          <w:rStyle w:val="CharSectno"/>
        </w:rPr>
        <w:t>14</w:t>
      </w:r>
      <w:r>
        <w:t>.</w:t>
      </w:r>
      <w:r>
        <w:tab/>
        <w:t>Infringement notices</w:t>
      </w:r>
      <w:bookmarkEnd w:id="61"/>
      <w:bookmarkEnd w:id="62"/>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in Gazette 28 Aug 2009 p. 3348; amended in Gazette 30 Jun 2011 p. 2672.]</w:t>
      </w:r>
    </w:p>
    <w:p>
      <w:pPr>
        <w:pStyle w:val="Heading5"/>
      </w:pPr>
      <w:bookmarkStart w:id="63" w:name="_Toc404151320"/>
      <w:bookmarkStart w:id="64" w:name="_Toc419453512"/>
      <w:r>
        <w:rPr>
          <w:rStyle w:val="CharSectno"/>
        </w:rPr>
        <w:t>15</w:t>
      </w:r>
      <w:r>
        <w:t>.</w:t>
      </w:r>
      <w:r>
        <w:tab/>
        <w:t>Forms (Sch. 2)</w:t>
      </w:r>
      <w:bookmarkEnd w:id="63"/>
      <w:bookmarkEnd w:id="64"/>
    </w:p>
    <w:p>
      <w:pPr>
        <w:pStyle w:val="Subsection"/>
      </w:pPr>
      <w:r>
        <w:tab/>
      </w:r>
      <w:r>
        <w:tab/>
        <w:t>The forms set out in Schedule 2 are prescribed in relation to the matters specified in those forms.</w:t>
      </w:r>
    </w:p>
    <w:p>
      <w:pPr>
        <w:pStyle w:val="Footnotesection"/>
      </w:pPr>
      <w:r>
        <w:tab/>
        <w:t>[Regulation 15 inserted in Gazette 28 Aug 2009 p. 3348.]</w:t>
      </w:r>
    </w:p>
    <w:p>
      <w:pPr>
        <w:rPr>
          <w:rStyle w:val="CharDivText"/>
        </w:r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65" w:name="_Toc404151321"/>
      <w:bookmarkStart w:id="66" w:name="_Toc419375217"/>
      <w:bookmarkStart w:id="67" w:name="_Toc419375254"/>
      <w:bookmarkStart w:id="68" w:name="_Toc419453513"/>
      <w:r>
        <w:rPr>
          <w:rStyle w:val="CharSchNo"/>
        </w:rPr>
        <w:t>Schedule 1</w:t>
      </w:r>
      <w:r>
        <w:t> — </w:t>
      </w:r>
      <w:r>
        <w:rPr>
          <w:rStyle w:val="CharSchText"/>
        </w:rPr>
        <w:t>Fees</w:t>
      </w:r>
      <w:bookmarkEnd w:id="65"/>
      <w:bookmarkEnd w:id="66"/>
      <w:bookmarkEnd w:id="67"/>
      <w:bookmarkEnd w:id="68"/>
    </w:p>
    <w:p>
      <w:pPr>
        <w:pStyle w:val="yShoulderClause"/>
      </w:pPr>
      <w:r>
        <w:t>[r. 4 and 4A]</w:t>
      </w:r>
    </w:p>
    <w:p>
      <w:pPr>
        <w:pStyle w:val="yFootnoteheading"/>
        <w:spacing w:before="180" w:after="60"/>
      </w:pPr>
      <w:r>
        <w:tab/>
        <w:t>[Heading inserted in Gazette 23 Jun 2009 p. 2454.]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5082"/>
        <w:gridCol w:w="1038"/>
      </w:tblGrid>
      <w:tr>
        <w:trPr>
          <w:tblHeader/>
        </w:trPr>
        <w:tc>
          <w:tcPr>
            <w:tcW w:w="960" w:type="dxa"/>
          </w:tcPr>
          <w:p>
            <w:pPr>
              <w:pStyle w:val="yTableNAm"/>
              <w:rPr>
                <w:b/>
                <w:bCs/>
              </w:rPr>
            </w:pPr>
            <w:r>
              <w:rPr>
                <w:b/>
                <w:bCs/>
              </w:rPr>
              <w:t>Item</w:t>
            </w:r>
          </w:p>
        </w:tc>
        <w:tc>
          <w:tcPr>
            <w:tcW w:w="5082" w:type="dxa"/>
          </w:tcPr>
          <w:p>
            <w:pPr>
              <w:pStyle w:val="yTableNAm"/>
              <w:tabs>
                <w:tab w:val="left" w:leader="dot" w:pos="2643"/>
              </w:tabs>
              <w:rPr>
                <w:b/>
                <w:bCs/>
              </w:rPr>
            </w:pPr>
            <w:r>
              <w:rPr>
                <w:b/>
                <w:bCs/>
              </w:rPr>
              <w:t>Type of fee</w:t>
            </w:r>
          </w:p>
        </w:tc>
        <w:tc>
          <w:tcPr>
            <w:tcW w:w="1038" w:type="dxa"/>
          </w:tcPr>
          <w:p>
            <w:pPr>
              <w:pStyle w:val="yTableNAm"/>
              <w:tabs>
                <w:tab w:val="clear" w:pos="567"/>
              </w:tabs>
              <w:rPr>
                <w:b/>
                <w:bCs/>
              </w:rPr>
            </w:pPr>
            <w:r>
              <w:rPr>
                <w:b/>
                <w:bCs/>
              </w:rPr>
              <w:t>Fee</w:t>
            </w:r>
          </w:p>
        </w:tc>
      </w:tr>
      <w:tr>
        <w:tc>
          <w:tcPr>
            <w:tcW w:w="960" w:type="dxa"/>
          </w:tcPr>
          <w:p>
            <w:pPr>
              <w:pStyle w:val="yTableNAm"/>
            </w:pPr>
            <w:r>
              <w:t>1.</w:t>
            </w:r>
          </w:p>
        </w:tc>
        <w:tc>
          <w:tcPr>
            <w:tcW w:w="5082" w:type="dxa"/>
          </w:tcPr>
          <w:p>
            <w:pPr>
              <w:pStyle w:val="yTableNAm"/>
              <w:tabs>
                <w:tab w:val="left" w:leader="dot" w:pos="4866"/>
              </w:tabs>
            </w:pPr>
            <w:r>
              <w:t xml:space="preserve">Application for licence </w:t>
            </w:r>
            <w:r>
              <w:tab/>
            </w:r>
          </w:p>
        </w:tc>
        <w:tc>
          <w:tcPr>
            <w:tcW w:w="1038" w:type="dxa"/>
          </w:tcPr>
          <w:p>
            <w:pPr>
              <w:pStyle w:val="yTableNAm"/>
              <w:tabs>
                <w:tab w:val="left" w:pos="1103"/>
              </w:tabs>
            </w:pPr>
            <w:r>
              <w:rPr>
                <w:szCs w:val="22"/>
              </w:rPr>
              <w:t>$70.00</w:t>
            </w:r>
          </w:p>
        </w:tc>
      </w:tr>
      <w:tr>
        <w:tc>
          <w:tcPr>
            <w:tcW w:w="960" w:type="dxa"/>
          </w:tcPr>
          <w:p>
            <w:pPr>
              <w:pStyle w:val="yTableNAm"/>
            </w:pPr>
            <w:r>
              <w:t>2.</w:t>
            </w:r>
          </w:p>
        </w:tc>
        <w:tc>
          <w:tcPr>
            <w:tcW w:w="5082" w:type="dxa"/>
          </w:tcPr>
          <w:p>
            <w:pPr>
              <w:pStyle w:val="yTableNAm"/>
              <w:tabs>
                <w:tab w:val="left" w:leader="dot" w:pos="4866"/>
              </w:tabs>
            </w:pPr>
            <w:r>
              <w:t xml:space="preserve">Grant of licence </w:t>
            </w:r>
            <w:r>
              <w:tab/>
            </w:r>
          </w:p>
        </w:tc>
        <w:tc>
          <w:tcPr>
            <w:tcW w:w="1038" w:type="dxa"/>
          </w:tcPr>
          <w:p>
            <w:pPr>
              <w:pStyle w:val="yTableNAm"/>
              <w:tabs>
                <w:tab w:val="left" w:pos="1103"/>
              </w:tabs>
            </w:pPr>
            <w:r>
              <w:rPr>
                <w:szCs w:val="22"/>
              </w:rPr>
              <w:t>$739.00</w:t>
            </w:r>
          </w:p>
        </w:tc>
      </w:tr>
      <w:tr>
        <w:tc>
          <w:tcPr>
            <w:tcW w:w="960" w:type="dxa"/>
          </w:tcPr>
          <w:p>
            <w:pPr>
              <w:pStyle w:val="yTableNAm"/>
            </w:pPr>
            <w:r>
              <w:t>3.</w:t>
            </w:r>
          </w:p>
        </w:tc>
        <w:tc>
          <w:tcPr>
            <w:tcW w:w="5082" w:type="dxa"/>
          </w:tcPr>
          <w:p>
            <w:pPr>
              <w:pStyle w:val="yTableNAm"/>
              <w:tabs>
                <w:tab w:val="left" w:leader="dot" w:pos="4866"/>
              </w:tabs>
            </w:pPr>
            <w:r>
              <w:t xml:space="preserve">Grant of licence to firm </w:t>
            </w:r>
            <w:r>
              <w:tab/>
            </w:r>
          </w:p>
        </w:tc>
        <w:tc>
          <w:tcPr>
            <w:tcW w:w="1038" w:type="dxa"/>
          </w:tcPr>
          <w:p>
            <w:pPr>
              <w:pStyle w:val="yTableNAm"/>
              <w:tabs>
                <w:tab w:val="left" w:pos="1103"/>
              </w:tabs>
            </w:pPr>
            <w:r>
              <w:rPr>
                <w:szCs w:val="22"/>
              </w:rPr>
              <w:t>$967.00</w:t>
            </w:r>
          </w:p>
        </w:tc>
      </w:tr>
      <w:tr>
        <w:tc>
          <w:tcPr>
            <w:tcW w:w="960" w:type="dxa"/>
          </w:tcPr>
          <w:p>
            <w:pPr>
              <w:pStyle w:val="yTableNAm"/>
            </w:pPr>
            <w:r>
              <w:t>4.</w:t>
            </w:r>
          </w:p>
        </w:tc>
        <w:tc>
          <w:tcPr>
            <w:tcW w:w="5082" w:type="dxa"/>
          </w:tcPr>
          <w:p>
            <w:pPr>
              <w:pStyle w:val="yTableNAm"/>
              <w:tabs>
                <w:tab w:val="left" w:leader="dot" w:pos="4866"/>
              </w:tabs>
            </w:pPr>
            <w:r>
              <w:t xml:space="preserve">Grant of licence to body corporate </w:t>
            </w:r>
            <w:r>
              <w:tab/>
            </w:r>
          </w:p>
        </w:tc>
        <w:tc>
          <w:tcPr>
            <w:tcW w:w="1038" w:type="dxa"/>
          </w:tcPr>
          <w:p>
            <w:pPr>
              <w:pStyle w:val="yTableNAm"/>
              <w:tabs>
                <w:tab w:val="left" w:pos="1103"/>
              </w:tabs>
            </w:pPr>
            <w:r>
              <w:rPr>
                <w:szCs w:val="22"/>
              </w:rPr>
              <w:t>$967.00</w:t>
            </w:r>
          </w:p>
        </w:tc>
      </w:tr>
      <w:tr>
        <w:tc>
          <w:tcPr>
            <w:tcW w:w="960" w:type="dxa"/>
          </w:tcPr>
          <w:p>
            <w:pPr>
              <w:pStyle w:val="yTableNAm"/>
            </w:pPr>
            <w:r>
              <w:t>5.</w:t>
            </w:r>
          </w:p>
        </w:tc>
        <w:tc>
          <w:tcPr>
            <w:tcW w:w="5082" w:type="dxa"/>
          </w:tcPr>
          <w:p>
            <w:pPr>
              <w:pStyle w:val="yTableNAm"/>
              <w:tabs>
                <w:tab w:val="left" w:leader="dot" w:pos="4866"/>
              </w:tabs>
            </w:pPr>
            <w:r>
              <w:t xml:space="preserve">Renewal of triennial certificate </w:t>
            </w:r>
            <w:r>
              <w:tab/>
            </w:r>
          </w:p>
        </w:tc>
        <w:tc>
          <w:tcPr>
            <w:tcW w:w="1038" w:type="dxa"/>
          </w:tcPr>
          <w:p>
            <w:pPr>
              <w:pStyle w:val="yTableNAm"/>
              <w:tabs>
                <w:tab w:val="left" w:pos="1103"/>
              </w:tabs>
            </w:pPr>
            <w:r>
              <w:rPr>
                <w:szCs w:val="22"/>
              </w:rPr>
              <w:t>$475.00</w:t>
            </w:r>
          </w:p>
        </w:tc>
      </w:tr>
      <w:tr>
        <w:tc>
          <w:tcPr>
            <w:tcW w:w="960" w:type="dxa"/>
          </w:tcPr>
          <w:p>
            <w:pPr>
              <w:pStyle w:val="yTableNAm"/>
            </w:pPr>
            <w:r>
              <w:t>6.</w:t>
            </w:r>
          </w:p>
        </w:tc>
        <w:tc>
          <w:tcPr>
            <w:tcW w:w="5082" w:type="dxa"/>
          </w:tcPr>
          <w:p>
            <w:pPr>
              <w:pStyle w:val="yTableNAm"/>
              <w:tabs>
                <w:tab w:val="left" w:leader="dot" w:pos="4866"/>
              </w:tabs>
            </w:pPr>
            <w:r>
              <w:t xml:space="preserve">Grant of certificate of registration </w:t>
            </w:r>
            <w:r>
              <w:tab/>
            </w:r>
          </w:p>
        </w:tc>
        <w:tc>
          <w:tcPr>
            <w:tcW w:w="1038" w:type="dxa"/>
          </w:tcPr>
          <w:p>
            <w:pPr>
              <w:pStyle w:val="yTableNAm"/>
              <w:tabs>
                <w:tab w:val="left" w:pos="1103"/>
              </w:tabs>
            </w:pPr>
            <w:r>
              <w:rPr>
                <w:szCs w:val="22"/>
              </w:rPr>
              <w:t>$188.00</w:t>
            </w:r>
          </w:p>
        </w:tc>
      </w:tr>
      <w:tr>
        <w:tc>
          <w:tcPr>
            <w:tcW w:w="960" w:type="dxa"/>
          </w:tcPr>
          <w:p>
            <w:pPr>
              <w:pStyle w:val="yTableNAm"/>
            </w:pPr>
            <w:r>
              <w:t>7.</w:t>
            </w:r>
          </w:p>
        </w:tc>
        <w:tc>
          <w:tcPr>
            <w:tcW w:w="5082" w:type="dxa"/>
          </w:tcPr>
          <w:p>
            <w:pPr>
              <w:pStyle w:val="yTableNAm"/>
              <w:tabs>
                <w:tab w:val="left" w:leader="dot" w:pos="4866"/>
              </w:tabs>
            </w:pPr>
            <w:r>
              <w:t xml:space="preserve">Renewal of certificate of registration </w:t>
            </w:r>
            <w:r>
              <w:tab/>
            </w:r>
          </w:p>
        </w:tc>
        <w:tc>
          <w:tcPr>
            <w:tcW w:w="1038" w:type="dxa"/>
          </w:tcPr>
          <w:p>
            <w:pPr>
              <w:pStyle w:val="yTableNAm"/>
              <w:tabs>
                <w:tab w:val="left" w:pos="1103"/>
              </w:tabs>
            </w:pPr>
            <w:r>
              <w:rPr>
                <w:szCs w:val="22"/>
              </w:rPr>
              <w:t>$154.50</w:t>
            </w:r>
          </w:p>
        </w:tc>
      </w:tr>
      <w:tr>
        <w:tc>
          <w:tcPr>
            <w:tcW w:w="960" w:type="dxa"/>
          </w:tcPr>
          <w:p>
            <w:pPr>
              <w:pStyle w:val="yTableNAm"/>
            </w:pPr>
            <w:r>
              <w:t>8.</w:t>
            </w:r>
          </w:p>
        </w:tc>
        <w:tc>
          <w:tcPr>
            <w:tcW w:w="5082" w:type="dxa"/>
          </w:tcPr>
          <w:p>
            <w:pPr>
              <w:pStyle w:val="yTableNAm"/>
              <w:tabs>
                <w:tab w:val="left" w:leader="dot" w:pos="4866"/>
              </w:tabs>
            </w:pPr>
            <w:r>
              <w:t xml:space="preserve">Inspection of a register </w:t>
            </w:r>
            <w:r>
              <w:tab/>
            </w:r>
          </w:p>
        </w:tc>
        <w:tc>
          <w:tcPr>
            <w:tcW w:w="1038" w:type="dxa"/>
          </w:tcPr>
          <w:p>
            <w:pPr>
              <w:pStyle w:val="yTableNAm"/>
              <w:tabs>
                <w:tab w:val="left" w:pos="1103"/>
              </w:tabs>
            </w:pPr>
            <w:r>
              <w:rPr>
                <w:szCs w:val="22"/>
              </w:rPr>
              <w:t>$10.90</w:t>
            </w:r>
          </w:p>
        </w:tc>
      </w:tr>
      <w:tr>
        <w:tc>
          <w:tcPr>
            <w:tcW w:w="960" w:type="dxa"/>
          </w:tcPr>
          <w:p>
            <w:pPr>
              <w:pStyle w:val="yTableNAm"/>
            </w:pPr>
            <w:r>
              <w:t>9A.</w:t>
            </w:r>
          </w:p>
        </w:tc>
        <w:tc>
          <w:tcPr>
            <w:tcW w:w="5082" w:type="dxa"/>
          </w:tcPr>
          <w:p>
            <w:pPr>
              <w:pStyle w:val="yTableNAm"/>
              <w:tabs>
                <w:tab w:val="left" w:leader="dot" w:pos="4866"/>
              </w:tabs>
            </w:pPr>
            <w:r>
              <w:t xml:space="preserve">Issue of duplicate licence, duplicate certificate of registration or duplicate triennial certificate </w:t>
            </w:r>
            <w:r>
              <w:tab/>
            </w:r>
          </w:p>
        </w:tc>
        <w:tc>
          <w:tcPr>
            <w:tcW w:w="1038" w:type="dxa"/>
          </w:tcPr>
          <w:p>
            <w:pPr>
              <w:pStyle w:val="yTableNAm"/>
              <w:tabs>
                <w:tab w:val="left" w:pos="1103"/>
              </w:tabs>
              <w:rPr>
                <w:szCs w:val="22"/>
              </w:rPr>
            </w:pPr>
            <w:r>
              <w:br/>
              <w:t>$28.00</w:t>
            </w:r>
          </w:p>
        </w:tc>
      </w:tr>
      <w:tr>
        <w:tc>
          <w:tcPr>
            <w:tcW w:w="960" w:type="dxa"/>
          </w:tcPr>
          <w:p>
            <w:pPr>
              <w:pStyle w:val="yTableNAm"/>
            </w:pPr>
            <w:r>
              <w:t>9.</w:t>
            </w:r>
          </w:p>
        </w:tc>
        <w:tc>
          <w:tcPr>
            <w:tcW w:w="5082" w:type="dxa"/>
          </w:tcPr>
          <w:p>
            <w:pPr>
              <w:pStyle w:val="yTableNAm"/>
              <w:tabs>
                <w:tab w:val="left" w:leader="dot" w:pos="2643"/>
                <w:tab w:val="left" w:leader="dot" w:pos="4866"/>
              </w:tabs>
            </w:pPr>
            <w:r>
              <w:t>Copy (certified or uncertified) or an extract of an individual registration —</w:t>
            </w:r>
          </w:p>
          <w:p>
            <w:pPr>
              <w:pStyle w:val="yTableNAm"/>
              <w:tabs>
                <w:tab w:val="left" w:leader="dot" w:pos="4866"/>
              </w:tabs>
            </w:pPr>
            <w:r>
              <w:t xml:space="preserve">first page </w:t>
            </w:r>
            <w:r>
              <w:tab/>
            </w:r>
          </w:p>
          <w:p>
            <w:pPr>
              <w:pStyle w:val="yTableNAm"/>
              <w:tabs>
                <w:tab w:val="left" w:leader="dot" w:pos="4866"/>
              </w:tabs>
            </w:pPr>
            <w:r>
              <w:t xml:space="preserve">each </w:t>
            </w:r>
            <w:r>
              <w:rPr>
                <w:szCs w:val="22"/>
              </w:rPr>
              <w:t>subsequent</w:t>
            </w:r>
            <w:r>
              <w:t xml:space="preserve"> page </w:t>
            </w:r>
            <w:r>
              <w:tab/>
            </w:r>
          </w:p>
        </w:tc>
        <w:tc>
          <w:tcPr>
            <w:tcW w:w="1038" w:type="dxa"/>
          </w:tcPr>
          <w:p>
            <w:pPr>
              <w:pStyle w:val="yTableNAm"/>
              <w:tabs>
                <w:tab w:val="left" w:pos="1103"/>
              </w:tabs>
            </w:pPr>
            <w:r>
              <w:br/>
            </w:r>
          </w:p>
          <w:p>
            <w:pPr>
              <w:pStyle w:val="yTableNAm"/>
              <w:tabs>
                <w:tab w:val="left" w:pos="1103"/>
              </w:tabs>
            </w:pPr>
            <w:r>
              <w:rPr>
                <w:szCs w:val="22"/>
              </w:rPr>
              <w:t>$22.00</w:t>
            </w:r>
          </w:p>
          <w:p>
            <w:pPr>
              <w:pStyle w:val="yTableNAm"/>
              <w:tabs>
                <w:tab w:val="left" w:pos="1103"/>
              </w:tabs>
            </w:pPr>
            <w:r>
              <w:rPr>
                <w:szCs w:val="22"/>
              </w:rPr>
              <w:t>$2.20</w:t>
            </w:r>
          </w:p>
        </w:tc>
      </w:tr>
      <w:tr>
        <w:tc>
          <w:tcPr>
            <w:tcW w:w="960" w:type="dxa"/>
          </w:tcPr>
          <w:p>
            <w:pPr>
              <w:pStyle w:val="yTableNAm"/>
            </w:pPr>
            <w:r>
              <w:t>10.</w:t>
            </w:r>
          </w:p>
        </w:tc>
        <w:tc>
          <w:tcPr>
            <w:tcW w:w="5082" w:type="dxa"/>
          </w:tcPr>
          <w:p>
            <w:pPr>
              <w:pStyle w:val="yTableNAm"/>
              <w:tabs>
                <w:tab w:val="left" w:leader="dot" w:pos="4866"/>
              </w:tabs>
            </w:pPr>
            <w:r>
              <w:t xml:space="preserve">Copy (certified or uncertified) or an extract of all registrations in a register </w:t>
            </w:r>
            <w:r>
              <w:tab/>
            </w:r>
          </w:p>
        </w:tc>
        <w:tc>
          <w:tcPr>
            <w:tcW w:w="1038" w:type="dxa"/>
          </w:tcPr>
          <w:p>
            <w:pPr>
              <w:pStyle w:val="yTableNAm"/>
              <w:tabs>
                <w:tab w:val="left" w:pos="1103"/>
              </w:tabs>
            </w:pPr>
            <w:r>
              <w:br/>
            </w:r>
            <w:r>
              <w:rPr>
                <w:szCs w:val="22"/>
              </w:rPr>
              <w:t>$326.00</w:t>
            </w:r>
          </w:p>
        </w:tc>
      </w:tr>
      <w:tr>
        <w:tc>
          <w:tcPr>
            <w:tcW w:w="960" w:type="dxa"/>
          </w:tcPr>
          <w:p>
            <w:pPr>
              <w:pStyle w:val="yTableNAm"/>
              <w:keepNext/>
            </w:pPr>
            <w:r>
              <w:t>11.</w:t>
            </w:r>
          </w:p>
        </w:tc>
        <w:tc>
          <w:tcPr>
            <w:tcW w:w="5082" w:type="dxa"/>
          </w:tcPr>
          <w:p>
            <w:pPr>
              <w:pStyle w:val="yTableNAm"/>
              <w:tabs>
                <w:tab w:val="left" w:leader="dot" w:pos="4866"/>
              </w:tabs>
            </w:pPr>
            <w:r>
              <w:t xml:space="preserve">For the purposes of section 30(2a) (the holding fee) </w:t>
            </w:r>
            <w:r>
              <w:tab/>
            </w:r>
          </w:p>
        </w:tc>
        <w:tc>
          <w:tcPr>
            <w:tcW w:w="1038" w:type="dxa"/>
          </w:tcPr>
          <w:p>
            <w:pPr>
              <w:pStyle w:val="yTableNAm"/>
              <w:tabs>
                <w:tab w:val="left" w:pos="1103"/>
              </w:tabs>
            </w:pPr>
            <w:r>
              <w:rPr>
                <w:szCs w:val="22"/>
              </w:rPr>
              <w:t>$222.00</w:t>
            </w:r>
          </w:p>
        </w:tc>
      </w:tr>
    </w:tbl>
    <w:p>
      <w:pPr>
        <w:pStyle w:val="yFootnotesection"/>
      </w:pPr>
      <w:r>
        <w:tab/>
        <w:t>[Schedule 1 inserted in Gazette 23 Jun 2009 p. 2454; amended in Gazette 25 Jun 2010 p. 2851</w:t>
      </w:r>
      <w:r>
        <w:noBreakHyphen/>
        <w:t>2; 22 Jun 2011 p. 2368; 15 Jun 2012 p. 2600; 27 Jun 2013 p. 2691-2; 17 Jun 2014 p. 1978; 18 Nov 2014 p. 4325.]</w:t>
      </w:r>
    </w:p>
    <w:p>
      <w:pPr>
        <w:pStyle w:val="yScheduleHeading"/>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70" w:name="_Toc404151322"/>
      <w:bookmarkStart w:id="71" w:name="_Toc419375218"/>
      <w:bookmarkStart w:id="72" w:name="_Toc419375255"/>
      <w:bookmarkStart w:id="73" w:name="_Toc419453514"/>
      <w:r>
        <w:rPr>
          <w:rStyle w:val="CharSchNo"/>
        </w:rPr>
        <w:t>Schedule 1A</w:t>
      </w:r>
      <w:r>
        <w:rPr>
          <w:rStyle w:val="CharSDivNo"/>
        </w:rPr>
        <w:t> </w:t>
      </w:r>
      <w:r>
        <w:t>—</w:t>
      </w:r>
      <w:r>
        <w:rPr>
          <w:rStyle w:val="CharSDivText"/>
        </w:rPr>
        <w:t> </w:t>
      </w:r>
      <w:r>
        <w:rPr>
          <w:rStyle w:val="CharSchText"/>
        </w:rPr>
        <w:t>Professional development subjects</w:t>
      </w:r>
      <w:bookmarkEnd w:id="70"/>
      <w:bookmarkEnd w:id="71"/>
      <w:bookmarkEnd w:id="72"/>
      <w:bookmarkEnd w:id="73"/>
    </w:p>
    <w:p>
      <w:pPr>
        <w:pStyle w:val="yShoulderClause"/>
      </w:pPr>
      <w:r>
        <w:t>[r. 4AB]</w:t>
      </w:r>
    </w:p>
    <w:p>
      <w:pPr>
        <w:pStyle w:val="yFootnoteheading"/>
      </w:pPr>
      <w:r>
        <w:tab/>
        <w:t>[Heading inserted in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 xml:space="preserve">Legislation regulating the carrying on of business as an agent in </w:t>
      </w:r>
      <w:smartTag w:uri="urn:schemas-microsoft-com:office:smarttags" w:element="place">
        <w:smartTag w:uri="urn:schemas-microsoft-com:office:smarttags" w:element="State">
          <w:r>
            <w:t>Western Australia</w:t>
          </w:r>
        </w:smartTag>
      </w:smartTag>
    </w:p>
    <w:p>
      <w:pPr>
        <w:pStyle w:val="yNumberedItem"/>
      </w:pPr>
      <w:r>
        <w:t>13.</w:t>
      </w:r>
      <w:r>
        <w:tab/>
        <w:t>Property management</w:t>
      </w:r>
    </w:p>
    <w:p>
      <w:pPr>
        <w:pStyle w:val="yNumberedItem"/>
      </w:pPr>
      <w:r>
        <w:t>14.</w:t>
      </w:r>
      <w:r>
        <w:tab/>
      </w:r>
      <w:smartTag w:uri="urn:schemas-microsoft-com:office:smarttags" w:element="place">
        <w:smartTag w:uri="urn:schemas-microsoft-com:office:smarttags" w:element="City">
          <w:r>
            <w:t>Sale</w:t>
          </w:r>
        </w:smartTag>
      </w:smartTag>
      <w:r>
        <w:t xml:space="preserve"> and lease of commercial property</w:t>
      </w:r>
    </w:p>
    <w:p>
      <w:pPr>
        <w:pStyle w:val="yNumberedItem"/>
      </w:pPr>
      <w:r>
        <w:t>15.</w:t>
      </w:r>
      <w:r>
        <w:tab/>
      </w:r>
      <w:smartTag w:uri="urn:schemas-microsoft-com:office:smarttags" w:element="place">
        <w:smartTag w:uri="urn:schemas-microsoft-com:office:smarttags" w:element="City">
          <w:r>
            <w:t>Sale</w:t>
          </w:r>
        </w:smartTag>
      </w:smartTag>
      <w:r>
        <w:t xml:space="preserv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in Gazette 28 Dec 2007 p. 6407.]</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74" w:name="_Toc404151323"/>
      <w:bookmarkStart w:id="75" w:name="_Toc419375219"/>
      <w:bookmarkStart w:id="76" w:name="_Toc419375256"/>
      <w:bookmarkStart w:id="77" w:name="_Toc419453515"/>
      <w:r>
        <w:rPr>
          <w:rStyle w:val="CharSchNo"/>
        </w:rPr>
        <w:t>Schedule 2</w:t>
      </w:r>
      <w:r>
        <w:rPr>
          <w:rStyle w:val="CharSDivNo"/>
        </w:rPr>
        <w:t> </w:t>
      </w:r>
      <w:r>
        <w:t>—</w:t>
      </w:r>
      <w:r>
        <w:rPr>
          <w:rStyle w:val="CharSDivText"/>
        </w:rPr>
        <w:t> </w:t>
      </w:r>
      <w:r>
        <w:rPr>
          <w:rStyle w:val="CharSchText"/>
        </w:rPr>
        <w:t>Forms</w:t>
      </w:r>
      <w:bookmarkEnd w:id="74"/>
      <w:bookmarkEnd w:id="75"/>
      <w:bookmarkEnd w:id="76"/>
      <w:bookmarkEnd w:id="77"/>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in Gazette 28 Aug 2009 p. 3349.]</w:t>
      </w:r>
    </w:p>
    <w:p>
      <w:pPr>
        <w:pStyle w:val="yMiscellaneousHeading"/>
      </w:pPr>
      <w:r>
        <w:rPr>
          <w:rStyle w:val="CharSClsNo"/>
          <w:b/>
        </w:rPr>
        <w:t>Form 1</w:t>
      </w:r>
    </w:p>
    <w:p>
      <w:pPr>
        <w:pStyle w:val="yMiscellaneousHeading"/>
        <w:rPr>
          <w:b/>
        </w:rPr>
      </w:pPr>
      <w:r>
        <w:rPr>
          <w:b/>
        </w:rPr>
        <w:t>HOME BUYERS ASSISTANCE ACCOUNT</w:t>
      </w:r>
    </w:p>
    <w:p>
      <w:pPr>
        <w:pStyle w:val="yMiscellaneousHeading"/>
        <w:rPr>
          <w:b/>
        </w:rPr>
      </w:pPr>
      <w:r>
        <w:rPr>
          <w:b/>
        </w:rPr>
        <w:t xml:space="preserve">Application for grant for assistance with incidental expenses under the </w:t>
      </w:r>
      <w:r>
        <w:rPr>
          <w:b/>
          <w:i/>
        </w:rPr>
        <w:t>Real Estate and Business Agents Act 1978</w:t>
      </w:r>
      <w:r>
        <w:rPr>
          <w:b/>
        </w:rPr>
        <w:t xml:space="preserve"> section 131L</w:t>
      </w:r>
    </w:p>
    <w:p>
      <w:pPr>
        <w:pStyle w:val="yMiscellaneousHeading"/>
        <w:spacing w:before="240"/>
        <w:jc w:val="left"/>
        <w:rPr>
          <w:b/>
        </w:rPr>
      </w:pPr>
      <w:r>
        <w:rPr>
          <w:b/>
        </w:rPr>
        <w:t>Section A — To be completed by the applicant(s)</w:t>
      </w:r>
    </w:p>
    <w:p>
      <w:pPr>
        <w:pStyle w:val="yMiscellaneousBody"/>
        <w:rPr>
          <w:snapToGrid w:val="0"/>
          <w:sz w:val="20"/>
          <w:u w:val="single"/>
        </w:rPr>
      </w:pPr>
      <w:r>
        <w:rPr>
          <w:snapToGrid w:val="0"/>
          <w:sz w:val="20"/>
          <w:u w:val="single"/>
        </w:rPr>
        <w:t>All persons who are purchasing the dwelling must be included in the Application</w:t>
      </w:r>
    </w:p>
    <w:p>
      <w:pPr>
        <w:pStyle w:val="yMiscellaneousBody"/>
        <w:rPr>
          <w:snapToGrid w:val="0"/>
          <w:sz w:val="20"/>
          <w:u w:val="single"/>
        </w:rPr>
      </w:pPr>
      <w:r>
        <w:rPr>
          <w:snapToGrid w:val="0"/>
          <w:sz w:val="20"/>
          <w:u w:val="single"/>
        </w:rPr>
        <w:t>All sections of this Application form must be completed.</w:t>
      </w:r>
    </w:p>
    <w:p>
      <w:pPr>
        <w:pStyle w:val="yMiscellaneousHeading"/>
        <w:spacing w:before="360" w:after="120"/>
        <w:rPr>
          <w:b/>
        </w:rPr>
      </w:pPr>
      <w:r>
        <w:rPr>
          <w:b/>
        </w:rPr>
        <w:t>PARTICULARS OF THE APPLICANT(S)</w:t>
      </w:r>
    </w:p>
    <w:p>
      <w:pPr>
        <w:pStyle w:val="yMiscellaneousHeading"/>
        <w:jc w:val="left"/>
        <w:rPr>
          <w:b/>
        </w:rPr>
      </w:pPr>
      <w:r>
        <w:rPr>
          <w:b/>
        </w:rPr>
        <w:t>Applicant 1</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_____________________________________________</w:t>
      </w:r>
    </w:p>
    <w:p>
      <w:pPr>
        <w:pStyle w:val="yMiscellaneousBody"/>
        <w:tabs>
          <w:tab w:val="left" w:pos="2127"/>
        </w:tabs>
        <w:rPr>
          <w:snapToGrid w:val="0"/>
        </w:rPr>
      </w:pPr>
      <w:r>
        <w:rPr>
          <w:snapToGrid w:val="0"/>
        </w:rPr>
        <w:t xml:space="preserve">Other Given Name(s) </w:t>
      </w:r>
      <w:r>
        <w:rPr>
          <w:snapToGrid w:val="0"/>
        </w:rPr>
        <w:tab/>
        <w:t>_____________________________________________</w:t>
      </w:r>
    </w:p>
    <w:p>
      <w:pPr>
        <w:pStyle w:val="yMiscellaneousBody"/>
        <w:tabs>
          <w:tab w:val="left" w:pos="2127"/>
        </w:tabs>
        <w:rPr>
          <w:snapToGrid w:val="0"/>
        </w:rPr>
      </w:pPr>
      <w:r>
        <w:rPr>
          <w:snapToGrid w:val="0"/>
        </w:rPr>
        <w:t xml:space="preserve">Previous Family Name </w:t>
      </w:r>
      <w:r>
        <w:rPr>
          <w:snapToGrid w:val="0"/>
        </w:rPr>
        <w:tab/>
        <w:t>_____________________________________________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_____________________________________________</w:t>
      </w:r>
    </w:p>
    <w:p>
      <w:pPr>
        <w:pStyle w:val="yMiscellaneousBody"/>
        <w:tabs>
          <w:tab w:val="left" w:pos="2127"/>
        </w:tabs>
        <w:rPr>
          <w:snapToGrid w:val="0"/>
        </w:rPr>
      </w:pPr>
      <w:r>
        <w:rPr>
          <w:snapToGrid w:val="0"/>
        </w:rPr>
        <w:t>Suburb/Town</w:t>
      </w:r>
      <w:r>
        <w:rPr>
          <w:snapToGrid w:val="0"/>
        </w:rPr>
        <w:tab/>
        <w:t>____________________________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w:t>
      </w:r>
      <w:r>
        <w:rPr>
          <w:snapToGrid w:val="0"/>
          <w:sz w:val="20"/>
        </w:rPr>
        <w:t>________</w:t>
      </w:r>
      <w:r>
        <w:rPr>
          <w:snapToGrid w:val="0"/>
        </w:rPr>
        <w:t>_</w:t>
      </w:r>
      <w:r>
        <w:rPr>
          <w:snapToGrid w:val="0"/>
          <w:sz w:val="20"/>
        </w:rPr>
        <w:t xml:space="preserve"> (Home)</w:t>
      </w:r>
      <w:r>
        <w:rPr>
          <w:snapToGrid w:val="0"/>
        </w:rPr>
        <w:t xml:space="preserve">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___________</w:t>
      </w:r>
    </w:p>
    <w:p>
      <w:pPr>
        <w:pStyle w:val="yMiscellaneousBody"/>
        <w:tabs>
          <w:tab w:val="left" w:pos="2127"/>
        </w:tabs>
        <w:rPr>
          <w:snapToGrid w:val="0"/>
        </w:rPr>
      </w:pPr>
      <w:r>
        <w:rPr>
          <w:snapToGrid w:val="0"/>
        </w:rPr>
        <w:t>Email</w:t>
      </w:r>
      <w:r>
        <w:rPr>
          <w:snapToGrid w:val="0"/>
        </w:rPr>
        <w:tab/>
        <w:t>_____________________________________________</w:t>
      </w:r>
    </w:p>
    <w:p>
      <w:pPr>
        <w:pStyle w:val="yMiscellaneousBody"/>
        <w:tabs>
          <w:tab w:val="left" w:pos="2127"/>
        </w:tabs>
        <w:rPr>
          <w:snapToGrid w:val="0"/>
        </w:rPr>
      </w:pPr>
      <w:r>
        <w:rPr>
          <w:snapToGrid w:val="0"/>
        </w:rPr>
        <w:t>Date of Birth</w:t>
      </w:r>
      <w:r>
        <w:rPr>
          <w:snapToGrid w:val="0"/>
        </w:rPr>
        <w:tab/>
        <w:t>_____/_______/_______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spacing w:before="360"/>
        <w:jc w:val="left"/>
        <w:rPr>
          <w:b/>
        </w:rPr>
      </w:pPr>
      <w:r>
        <w:rPr>
          <w:b/>
        </w:rPr>
        <w:t xml:space="preserve">Applicant 2 </w:t>
      </w:r>
      <w:r>
        <w:rPr>
          <w:b/>
          <w:sz w:val="20"/>
        </w:rPr>
        <w:t>(</w:t>
      </w:r>
      <w:r>
        <w:rPr>
          <w:b/>
          <w:i/>
          <w:sz w:val="20"/>
        </w:rPr>
        <w:t>If applicable</w:t>
      </w:r>
      <w:r>
        <w:rPr>
          <w:b/>
          <w:sz w:val="20"/>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_____________________________________________</w:t>
      </w:r>
    </w:p>
    <w:p>
      <w:pPr>
        <w:pStyle w:val="yMiscellaneousBody"/>
        <w:tabs>
          <w:tab w:val="left" w:pos="2127"/>
        </w:tabs>
        <w:rPr>
          <w:snapToGrid w:val="0"/>
        </w:rPr>
      </w:pPr>
      <w:r>
        <w:rPr>
          <w:snapToGrid w:val="0"/>
        </w:rPr>
        <w:t xml:space="preserve">Other Given Name(s) </w:t>
      </w:r>
      <w:r>
        <w:rPr>
          <w:snapToGrid w:val="0"/>
        </w:rPr>
        <w:tab/>
        <w:t>_____________________________________________</w:t>
      </w:r>
    </w:p>
    <w:p>
      <w:pPr>
        <w:pStyle w:val="yMiscellaneousBody"/>
        <w:tabs>
          <w:tab w:val="left" w:pos="2127"/>
        </w:tabs>
        <w:rPr>
          <w:snapToGrid w:val="0"/>
        </w:rPr>
      </w:pPr>
      <w:r>
        <w:rPr>
          <w:snapToGrid w:val="0"/>
        </w:rPr>
        <w:t xml:space="preserve">Previous Family Name </w:t>
      </w:r>
      <w:r>
        <w:rPr>
          <w:snapToGrid w:val="0"/>
        </w:rPr>
        <w:tab/>
        <w:t>_____________________________________________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_____________________________________________</w:t>
      </w:r>
    </w:p>
    <w:p>
      <w:pPr>
        <w:pStyle w:val="yMiscellaneousBody"/>
        <w:tabs>
          <w:tab w:val="left" w:pos="2127"/>
        </w:tabs>
        <w:rPr>
          <w:snapToGrid w:val="0"/>
        </w:rPr>
      </w:pPr>
      <w:r>
        <w:rPr>
          <w:snapToGrid w:val="0"/>
        </w:rPr>
        <w:t>Suburb/Town</w:t>
      </w:r>
      <w:r>
        <w:rPr>
          <w:snapToGrid w:val="0"/>
        </w:rPr>
        <w:tab/>
        <w:t>____________________________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________ </w:t>
      </w:r>
      <w:r>
        <w:rPr>
          <w:snapToGrid w:val="0"/>
          <w:sz w:val="20"/>
        </w:rPr>
        <w:t>(Home)</w:t>
      </w:r>
      <w:r>
        <w:rPr>
          <w:snapToGrid w:val="0"/>
        </w:rPr>
        <w:t xml:space="preserve">_________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w:t>
      </w:r>
    </w:p>
    <w:p>
      <w:pPr>
        <w:pStyle w:val="yMiscellaneousBody"/>
        <w:tabs>
          <w:tab w:val="left" w:pos="2127"/>
        </w:tabs>
        <w:rPr>
          <w:snapToGrid w:val="0"/>
        </w:rPr>
      </w:pPr>
      <w:r>
        <w:rPr>
          <w:snapToGrid w:val="0"/>
        </w:rPr>
        <w:t>Email</w:t>
      </w:r>
      <w:r>
        <w:rPr>
          <w:snapToGrid w:val="0"/>
        </w:rPr>
        <w:tab/>
        <w:t>_____________________________________________</w:t>
      </w:r>
    </w:p>
    <w:p>
      <w:pPr>
        <w:pStyle w:val="yMiscellaneousBody"/>
        <w:tabs>
          <w:tab w:val="left" w:pos="2127"/>
        </w:tabs>
        <w:rPr>
          <w:snapToGrid w:val="0"/>
        </w:rPr>
      </w:pPr>
      <w:r>
        <w:rPr>
          <w:snapToGrid w:val="0"/>
        </w:rPr>
        <w:t>Date of Birth</w:t>
      </w:r>
      <w:r>
        <w:rPr>
          <w:snapToGrid w:val="0"/>
        </w:rPr>
        <w:tab/>
        <w:t>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spacing w:before="140"/>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spacing w:before="140"/>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________________________________________________________________________________________________________________________________________________________________________________________________</w:t>
      </w:r>
    </w:p>
    <w:p>
      <w:pPr>
        <w:pStyle w:val="yMiscellaneousBody"/>
        <w:rPr>
          <w:snapToGrid w:val="0"/>
          <w:sz w:val="20"/>
        </w:rPr>
      </w:pPr>
    </w:p>
    <w:p>
      <w:pPr>
        <w:pStyle w:val="yMiscellaneousHeading"/>
        <w:tabs>
          <w:tab w:val="left" w:pos="570"/>
        </w:tabs>
        <w:spacing w:before="40"/>
        <w:jc w:val="left"/>
        <w:rPr>
          <w:b/>
        </w:rPr>
      </w:pPr>
      <w:r>
        <w:rPr>
          <w:b/>
        </w:rPr>
        <w:t>1.</w:t>
      </w:r>
      <w:r>
        <w:rPr>
          <w:b/>
        </w:rPr>
        <w:tab/>
        <w:t>What is the address of the dwelling purchased?</w:t>
      </w:r>
    </w:p>
    <w:p>
      <w:pPr>
        <w:pStyle w:val="yMiscellaneousBody"/>
        <w:tabs>
          <w:tab w:val="left" w:pos="570"/>
          <w:tab w:val="left" w:pos="2552"/>
        </w:tabs>
        <w:spacing w:before="140"/>
        <w:rPr>
          <w:snapToGrid w:val="0"/>
        </w:rPr>
      </w:pPr>
      <w:r>
        <w:rPr>
          <w:snapToGrid w:val="0"/>
        </w:rPr>
        <w:tab/>
        <w:t>Street Address</w:t>
      </w:r>
      <w:r>
        <w:rPr>
          <w:snapToGrid w:val="0"/>
        </w:rPr>
        <w:tab/>
        <w:t>_________________________________________</w:t>
      </w:r>
    </w:p>
    <w:p>
      <w:pPr>
        <w:pStyle w:val="yMiscellaneousBody"/>
        <w:tabs>
          <w:tab w:val="left" w:pos="570"/>
          <w:tab w:val="left" w:pos="2552"/>
        </w:tabs>
        <w:spacing w:before="140"/>
        <w:rPr>
          <w:snapToGrid w:val="0"/>
        </w:rPr>
      </w:pPr>
      <w:r>
        <w:rPr>
          <w:snapToGrid w:val="0"/>
        </w:rPr>
        <w:tab/>
        <w:t>Suburb/Town</w:t>
      </w:r>
      <w:r>
        <w:rPr>
          <w:snapToGrid w:val="0"/>
        </w:rPr>
        <w:tab/>
        <w:t>_______________________  Post Code ________</w:t>
      </w:r>
    </w:p>
    <w:p>
      <w:pPr>
        <w:pStyle w:val="yMiscellaneousHeading"/>
        <w:tabs>
          <w:tab w:val="left" w:pos="570"/>
        </w:tabs>
        <w:jc w:val="left"/>
        <w:rPr>
          <w:b/>
        </w:rPr>
      </w:pPr>
      <w:r>
        <w:rPr>
          <w:b/>
        </w:rPr>
        <w:t>2.</w:t>
      </w:r>
      <w:r>
        <w:rPr>
          <w:b/>
        </w:rPr>
        <w:tab/>
        <w:t>What was the purchase price of the dwelling?</w:t>
      </w:r>
    </w:p>
    <w:p>
      <w:pPr>
        <w:pStyle w:val="yMiscellaneousBody"/>
        <w:tabs>
          <w:tab w:val="left" w:pos="570"/>
        </w:tabs>
        <w:spacing w:before="140"/>
        <w:rPr>
          <w:snapToGrid w:val="0"/>
        </w:rPr>
      </w:pPr>
      <w:r>
        <w:rPr>
          <w:snapToGrid w:val="0"/>
        </w:rPr>
        <w:tab/>
        <w:t>$ _________________________________________________________</w:t>
      </w:r>
    </w:p>
    <w:p>
      <w:pPr>
        <w:pStyle w:val="yMiscellaneousHeading"/>
        <w:tabs>
          <w:tab w:val="left" w:pos="570"/>
        </w:tabs>
        <w:ind w:left="570" w:hanging="570"/>
        <w:jc w:val="left"/>
        <w:rPr>
          <w:b/>
        </w:rPr>
      </w:pPr>
      <w:r>
        <w:rPr>
          <w:b/>
        </w:rPr>
        <w:t>3.</w:t>
      </w:r>
      <w:r>
        <w:rPr>
          <w:b/>
        </w:rPr>
        <w:tab/>
        <w:t>Was the dwelling purchased through a licensed real estate agent carrying on business in WA?</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2694"/>
        </w:tabs>
        <w:spacing w:before="140"/>
        <w:ind w:left="570" w:hanging="570"/>
        <w:rPr>
          <w:snapToGrid w:val="0"/>
        </w:rPr>
      </w:pPr>
      <w:r>
        <w:rPr>
          <w:snapToGrid w:val="0"/>
        </w:rPr>
        <w:tab/>
        <w:t>If “Yes”, please provide the name and address of the selling real estate agent:</w:t>
      </w:r>
      <w:r>
        <w:rPr>
          <w:snapToGrid w:val="0"/>
        </w:rPr>
        <w:br/>
        <w:t>______________________________________________________________________________________________________________________</w:t>
      </w:r>
    </w:p>
    <w:p>
      <w:pPr>
        <w:pStyle w:val="yMiscellaneousHeading"/>
        <w:tabs>
          <w:tab w:val="left" w:pos="570"/>
        </w:tabs>
        <w:ind w:left="570" w:hanging="570"/>
        <w:jc w:val="left"/>
        <w:rPr>
          <w:b/>
        </w:rPr>
      </w:pPr>
      <w:r>
        <w:rPr>
          <w:b/>
        </w:rPr>
        <w:t>4.</w:t>
      </w:r>
      <w:r>
        <w:rPr>
          <w:b/>
        </w:rPr>
        <w:tab/>
        <w:t>What is the name and address of the lending institution that provided the loan to purchase the dwelling?</w:t>
      </w:r>
    </w:p>
    <w:p>
      <w:pPr>
        <w:pStyle w:val="yMiscellaneousBody"/>
        <w:tabs>
          <w:tab w:val="left" w:pos="570"/>
          <w:tab w:val="left" w:pos="1985"/>
        </w:tabs>
        <w:spacing w:before="140"/>
        <w:rPr>
          <w:snapToGrid w:val="0"/>
        </w:rPr>
      </w:pPr>
      <w:r>
        <w:rPr>
          <w:snapToGrid w:val="0"/>
        </w:rPr>
        <w:tab/>
        <w:t>Name</w:t>
      </w:r>
      <w:r>
        <w:rPr>
          <w:snapToGrid w:val="0"/>
        </w:rPr>
        <w:tab/>
        <w:t>______________________________________________</w:t>
      </w:r>
    </w:p>
    <w:p>
      <w:pPr>
        <w:pStyle w:val="yMiscellaneousBody"/>
        <w:tabs>
          <w:tab w:val="left" w:pos="570"/>
          <w:tab w:val="left" w:pos="1985"/>
        </w:tabs>
        <w:spacing w:before="140"/>
        <w:rPr>
          <w:snapToGrid w:val="0"/>
        </w:rPr>
      </w:pPr>
      <w:r>
        <w:rPr>
          <w:snapToGrid w:val="0"/>
        </w:rPr>
        <w:tab/>
        <w:t>Address</w:t>
      </w:r>
      <w:r>
        <w:rPr>
          <w:snapToGrid w:val="0"/>
        </w:rPr>
        <w:tab/>
        <w:t>______________________________________________</w:t>
      </w:r>
    </w:p>
    <w:p>
      <w:pPr>
        <w:pStyle w:val="yMiscellaneousHeading"/>
        <w:tabs>
          <w:tab w:val="left" w:pos="570"/>
          <w:tab w:val="left" w:pos="2552"/>
        </w:tabs>
        <w:ind w:left="570" w:hanging="570"/>
        <w:jc w:val="left"/>
        <w:rPr>
          <w:b/>
        </w:rPr>
      </w:pPr>
      <w:r>
        <w:rPr>
          <w:b/>
        </w:rPr>
        <w:t>5.</w:t>
      </w:r>
      <w:r>
        <w:rPr>
          <w:b/>
        </w:rPr>
        <w:tab/>
        <w:t>Was the dwelling established or partially built at the time of purchase?</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 </w:t>
      </w:r>
    </w:p>
    <w:p>
      <w:pPr>
        <w:pStyle w:val="yMiscellaneousHeading"/>
        <w:tabs>
          <w:tab w:val="left" w:pos="570"/>
          <w:tab w:val="left" w:pos="2552"/>
        </w:tabs>
        <w:ind w:left="570" w:hanging="570"/>
        <w:jc w:val="left"/>
        <w:rPr>
          <w:b/>
        </w:rPr>
      </w:pPr>
      <w:r>
        <w:rPr>
          <w:b/>
        </w:rPr>
        <w:t>6.</w:t>
      </w:r>
      <w:r>
        <w:rPr>
          <w:b/>
        </w:rPr>
        <w:tab/>
        <w:t>Do all applicants intend to live in the dwelling for at least 12 months after settlement on purchase of the established dwelling or completion of the partially built dwelling?</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ind w:left="570" w:hanging="570"/>
        <w:jc w:val="left"/>
        <w:rPr>
          <w:b/>
        </w:rPr>
      </w:pPr>
      <w:r>
        <w:rPr>
          <w:b/>
        </w:rPr>
        <w:t>7.</w:t>
      </w:r>
      <w:r>
        <w:rPr>
          <w:b/>
        </w:rPr>
        <w:tab/>
        <w:t>Is there an existing tenancy agreement in place for the established dwelling purchased?</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1418"/>
        </w:tabs>
        <w:spacing w:before="140"/>
        <w:rPr>
          <w:snapToGrid w:val="0"/>
        </w:rPr>
      </w:pPr>
      <w:r>
        <w:rPr>
          <w:snapToGrid w:val="0"/>
        </w:rPr>
        <w:tab/>
        <w:t>If “Yes”:</w:t>
      </w:r>
    </w:p>
    <w:p>
      <w:pPr>
        <w:pStyle w:val="yMiscellaneousBody"/>
        <w:tabs>
          <w:tab w:val="left" w:pos="570"/>
          <w:tab w:val="left" w:pos="1140"/>
        </w:tabs>
        <w:spacing w:before="140"/>
        <w:ind w:left="1140" w:hanging="1140"/>
        <w:rPr>
          <w:snapToGrid w:val="0"/>
        </w:rPr>
      </w:pPr>
      <w:r>
        <w:rPr>
          <w:snapToGrid w:val="0"/>
        </w:rPr>
        <w:tab/>
        <w:t>(a)</w:t>
      </w:r>
      <w:r>
        <w:rPr>
          <w:snapToGrid w:val="0"/>
        </w:rPr>
        <w:tab/>
        <w:t>When does the tenancy agreement expire?</w:t>
      </w:r>
      <w:r>
        <w:rPr>
          <w:snapToGrid w:val="0"/>
        </w:rPr>
        <w:br/>
        <w:t>____/____/_______</w:t>
      </w:r>
    </w:p>
    <w:p>
      <w:pPr>
        <w:pStyle w:val="yMiscellaneousBody"/>
        <w:tabs>
          <w:tab w:val="left" w:pos="570"/>
          <w:tab w:val="left" w:pos="1140"/>
        </w:tabs>
        <w:spacing w:before="140"/>
        <w:ind w:left="1140" w:hanging="1140"/>
        <w:rPr>
          <w:snapToGrid w:val="0"/>
        </w:rPr>
      </w:pPr>
      <w:r>
        <w:rPr>
          <w:snapToGrid w:val="0"/>
        </w:rPr>
        <w:tab/>
        <w:t>(b)</w:t>
      </w:r>
      <w:r>
        <w:rPr>
          <w:snapToGrid w:val="0"/>
        </w:rPr>
        <w:tab/>
        <w:t>Do all applicants intend to live in the dwelling for at least 12 months after expiry of the existing tenancy agreement?</w:t>
      </w:r>
    </w:p>
    <w:p>
      <w:pPr>
        <w:pStyle w:val="yMiscellaneousBody"/>
        <w:tabs>
          <w:tab w:val="left" w:pos="570"/>
          <w:tab w:val="left" w:pos="1140"/>
          <w:tab w:val="left" w:pos="2552"/>
          <w:tab w:val="left" w:pos="2977"/>
        </w:tabs>
        <w:spacing w:before="140"/>
        <w:rPr>
          <w:snapToGrid w:val="0"/>
        </w:rPr>
      </w:pPr>
      <w:r>
        <w:rPr>
          <w:snapToGrid w:val="0"/>
        </w:rPr>
        <w:tab/>
      </w: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spacing w:before="240" w:after="160"/>
        <w:jc w:val="left"/>
        <w:rPr>
          <w:b/>
        </w:rPr>
      </w:pPr>
      <w:r>
        <w:rPr>
          <w:b/>
        </w:rPr>
        <w:t>8.</w:t>
      </w:r>
      <w:r>
        <w:rPr>
          <w:b/>
        </w:rPr>
        <w:tab/>
        <w:t>What were your incidental expenses?</w:t>
      </w:r>
    </w:p>
    <w:tbl>
      <w:tblPr>
        <w:tblW w:w="6379" w:type="dxa"/>
        <w:tblInd w:w="687" w:type="dxa"/>
        <w:tblLayout w:type="fixed"/>
        <w:tblCellMar>
          <w:left w:w="120" w:type="dxa"/>
          <w:right w:w="120" w:type="dxa"/>
        </w:tblCellMar>
        <w:tblLook w:val="0000" w:firstRow="0" w:lastRow="0" w:firstColumn="0" w:lastColumn="0" w:noHBand="0" w:noVBand="0"/>
      </w:tblPr>
      <w:tblGrid>
        <w:gridCol w:w="4962"/>
        <w:gridCol w:w="1417"/>
      </w:tblGrid>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Expense</w:t>
            </w: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Amount $</w:t>
            </w:r>
          </w:p>
        </w:tc>
      </w:tr>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r>
              <w:t>Settlement / Conveyancing fees</w:t>
            </w:r>
          </w:p>
          <w:p>
            <w:pPr>
              <w:pStyle w:val="yTableNAm"/>
              <w:tabs>
                <w:tab w:val="clear" w:pos="567"/>
                <w:tab w:val="left" w:pos="570"/>
              </w:tabs>
              <w:spacing w:before="80"/>
              <w:rPr>
                <w:sz w:val="16"/>
                <w:szCs w:val="16"/>
              </w:rPr>
            </w:pPr>
            <w:r>
              <w:t>Stamp duty</w:t>
            </w:r>
          </w:p>
          <w:p>
            <w:pPr>
              <w:pStyle w:val="yTableNAm"/>
              <w:tabs>
                <w:tab w:val="clear" w:pos="567"/>
                <w:tab w:val="left" w:pos="570"/>
              </w:tabs>
              <w:spacing w:before="80"/>
            </w:pPr>
            <w:r>
              <w:t xml:space="preserve">Strata company enquiry fee / section 43 </w:t>
            </w:r>
            <w:r>
              <w:br/>
              <w:t>certificate fee</w:t>
            </w:r>
          </w:p>
          <w:p>
            <w:pPr>
              <w:pStyle w:val="yTableNAm"/>
              <w:tabs>
                <w:tab w:val="clear" w:pos="567"/>
                <w:tab w:val="left" w:pos="570"/>
              </w:tabs>
              <w:spacing w:before="80"/>
            </w:pPr>
            <w:r>
              <w:t>Landgate transfer registration fee</w:t>
            </w:r>
          </w:p>
          <w:p>
            <w:pPr>
              <w:pStyle w:val="yTableNAm"/>
              <w:tabs>
                <w:tab w:val="clear" w:pos="567"/>
                <w:tab w:val="left" w:pos="570"/>
              </w:tabs>
              <w:spacing w:before="80"/>
            </w:pPr>
            <w:r>
              <w:t>Inspection fees</w:t>
            </w:r>
          </w:p>
          <w:p>
            <w:pPr>
              <w:pStyle w:val="yTableNAm"/>
              <w:tabs>
                <w:tab w:val="clear" w:pos="567"/>
                <w:tab w:val="left" w:pos="570"/>
              </w:tabs>
              <w:spacing w:before="80"/>
              <w:rPr>
                <w:sz w:val="16"/>
                <w:szCs w:val="16"/>
              </w:rPr>
            </w:pP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p>
        </w:tc>
      </w:tr>
      <w:tr>
        <w:tc>
          <w:tcPr>
            <w:tcW w:w="4962"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r>
              <w:rPr>
                <w:b/>
              </w:rPr>
              <w:t>Total</w:t>
            </w:r>
          </w:p>
        </w:tc>
        <w:tc>
          <w:tcPr>
            <w:tcW w:w="1417"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p>
        </w:tc>
      </w:tr>
    </w:tbl>
    <w:p>
      <w:pPr>
        <w:pStyle w:val="yMiscellaneousHeading"/>
        <w:spacing w:before="280"/>
        <w:jc w:val="left"/>
        <w:rPr>
          <w:b/>
        </w:rPr>
      </w:pPr>
      <w:r>
        <w:rPr>
          <w:b/>
        </w:rPr>
        <w:t>Statutory Declaration</w:t>
      </w:r>
    </w:p>
    <w:p>
      <w:pPr>
        <w:pStyle w:val="yMiscellaneousBody"/>
        <w:spacing w:before="140"/>
        <w:rPr>
          <w:snapToGrid w:val="0"/>
        </w:rPr>
      </w:pPr>
      <w:r>
        <w:rPr>
          <w:snapToGrid w:val="0"/>
        </w:rPr>
        <w:t>I/We,</w:t>
      </w:r>
    </w:p>
    <w:p>
      <w:pPr>
        <w:pStyle w:val="yMiscellaneousBody"/>
        <w:spacing w:before="120"/>
        <w:rPr>
          <w:snapToGrid w:val="0"/>
        </w:rPr>
      </w:pPr>
      <w:r>
        <w:rPr>
          <w:snapToGrid w:val="0"/>
        </w:rPr>
        <w:t>________________________________________________________________</w:t>
      </w:r>
    </w:p>
    <w:p>
      <w:pPr>
        <w:pStyle w:val="yMiscellaneousBody"/>
        <w:spacing w:before="0"/>
        <w:jc w:val="center"/>
        <w:rPr>
          <w:i/>
          <w:snapToGrid w:val="0"/>
          <w:sz w:val="20"/>
        </w:rPr>
      </w:pPr>
      <w:r>
        <w:rPr>
          <w:i/>
          <w:snapToGrid w:val="0"/>
        </w:rPr>
        <w:t>[</w:t>
      </w:r>
      <w:r>
        <w:rPr>
          <w:i/>
          <w:snapToGrid w:val="0"/>
          <w:sz w:val="20"/>
        </w:rPr>
        <w:t>name, and address of</w:t>
      </w:r>
      <w:r>
        <w:rPr>
          <w:b/>
          <w:i/>
          <w:snapToGrid w:val="0"/>
          <w:sz w:val="20"/>
        </w:rPr>
        <w:t xml:space="preserve"> applicant 1</w:t>
      </w:r>
      <w:r>
        <w:rPr>
          <w:i/>
          <w:snapToGrid w:val="0"/>
          <w:sz w:val="20"/>
        </w:rPr>
        <w:t xml:space="preserve"> making the declaration]</w:t>
      </w:r>
    </w:p>
    <w:p>
      <w:pPr>
        <w:pStyle w:val="yMiscellaneousBody"/>
        <w:spacing w:before="120"/>
        <w:rPr>
          <w:snapToGrid w:val="0"/>
        </w:rPr>
      </w:pPr>
      <w:r>
        <w:rPr>
          <w:snapToGrid w:val="0"/>
        </w:rPr>
        <w:t>________________________________________________________________</w:t>
      </w:r>
    </w:p>
    <w:p>
      <w:pPr>
        <w:pStyle w:val="yMiscellaneousBody"/>
        <w:spacing w:before="0"/>
        <w:jc w:val="center"/>
        <w:rPr>
          <w:i/>
          <w:snapToGrid w:val="0"/>
          <w:sz w:val="20"/>
        </w:rPr>
      </w:pPr>
      <w:r>
        <w:rPr>
          <w:i/>
          <w:snapToGrid w:val="0"/>
        </w:rPr>
        <w:t>[</w:t>
      </w:r>
      <w:r>
        <w:rPr>
          <w:i/>
          <w:snapToGrid w:val="0"/>
          <w:sz w:val="20"/>
        </w:rPr>
        <w:t xml:space="preserve">name and address of </w:t>
      </w:r>
      <w:r>
        <w:rPr>
          <w:b/>
          <w:i/>
          <w:snapToGrid w:val="0"/>
          <w:sz w:val="20"/>
        </w:rPr>
        <w:t>applicant 2</w:t>
      </w:r>
      <w:r>
        <w:rPr>
          <w:i/>
          <w:snapToGrid w:val="0"/>
          <w:sz w:val="20"/>
        </w:rPr>
        <w:t xml:space="preserve"> making the declaration]</w:t>
      </w:r>
    </w:p>
    <w:p>
      <w:pPr>
        <w:pStyle w:val="yMiscellaneousBody"/>
        <w:spacing w:before="140"/>
        <w:rPr>
          <w:snapToGrid w:val="0"/>
        </w:rPr>
      </w:pPr>
      <w:r>
        <w:rPr>
          <w:snapToGrid w:val="0"/>
        </w:rPr>
        <w:t xml:space="preserve">sincerely declare as follows — </w:t>
      </w:r>
    </w:p>
    <w:p>
      <w:pPr>
        <w:pStyle w:val="yMiscellaneousBody"/>
        <w:spacing w:before="120"/>
        <w:ind w:right="305"/>
        <w:rPr>
          <w:snapToGrid w:val="0"/>
        </w:rPr>
      </w:pPr>
      <w:r>
        <w:rPr>
          <w:snapToGrid w:val="0"/>
        </w:rPr>
        <w:t>The information provided by me/us in this Home Buyers Assistance Account Application is true and correct.</w:t>
      </w:r>
    </w:p>
    <w:p>
      <w:pPr>
        <w:pStyle w:val="yMiscellaneousBody"/>
        <w:spacing w:before="120"/>
        <w:ind w:right="305"/>
        <w:rPr>
          <w:snapToGrid w:val="0"/>
        </w:rPr>
      </w:pPr>
      <w:r>
        <w:rPr>
          <w:snapToGrid w:val="0"/>
        </w:rPr>
        <w:t>This declaration is true and I/we know that it is an offence to make a declaration knowing that it is false in a material particular.</w:t>
      </w:r>
    </w:p>
    <w:p>
      <w:pPr>
        <w:pStyle w:val="yMiscellaneousBody"/>
        <w:spacing w:before="240"/>
        <w:rPr>
          <w:b/>
          <w:snapToGrid w:val="0"/>
        </w:rPr>
      </w:pPr>
      <w:r>
        <w:rPr>
          <w:b/>
          <w:snapToGrid w:val="0"/>
        </w:rPr>
        <w:t>Applicant 1</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_______________________ on ____/____/____ by ______________________</w:t>
      </w:r>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___________________   ____________________   ______________________</w:t>
      </w:r>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33"/>
              <w:jc w:val="center"/>
              <w:rPr>
                <w:i/>
                <w:snapToGrid w:val="0"/>
                <w:sz w:val="18"/>
                <w:szCs w:val="18"/>
              </w:rPr>
            </w:pPr>
            <w:r>
              <w:rPr>
                <w:i/>
                <w:snapToGrid w:val="0"/>
                <w:sz w:val="18"/>
                <w:szCs w:val="18"/>
              </w:rPr>
              <w:t>Signature of 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r>
              <w:rPr>
                <w:i/>
                <w:snapToGrid w:val="0"/>
                <w:sz w:val="18"/>
                <w:szCs w:val="18"/>
              </w:rPr>
              <w:b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Body"/>
        <w:spacing w:before="360"/>
        <w:rPr>
          <w:b/>
          <w:snapToGrid w:val="0"/>
        </w:rPr>
      </w:pPr>
      <w:r>
        <w:rPr>
          <w:b/>
          <w:snapToGrid w:val="0"/>
        </w:rPr>
        <w:t>Applicant 2 (</w:t>
      </w:r>
      <w:r>
        <w:rPr>
          <w:b/>
          <w:i/>
          <w:snapToGrid w:val="0"/>
          <w:sz w:val="20"/>
        </w:rPr>
        <w:t>If applicable</w:t>
      </w:r>
      <w:r>
        <w:rPr>
          <w:b/>
          <w:snapToGrid w:val="0"/>
        </w:rPr>
        <w:t>)</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_______________________ on ____/____/____ by ______________________</w:t>
      </w:r>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ind w:right="176"/>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___________________   ____________________  ______________________</w:t>
      </w:r>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175"/>
              <w:jc w:val="center"/>
              <w:rPr>
                <w:i/>
                <w:snapToGrid w:val="0"/>
                <w:sz w:val="18"/>
                <w:szCs w:val="18"/>
              </w:rPr>
            </w:pPr>
            <w:r>
              <w:rPr>
                <w:i/>
                <w:snapToGrid w:val="0"/>
                <w:sz w:val="18"/>
                <w:szCs w:val="18"/>
              </w:rPr>
              <w:t xml:space="preserve">Signature of </w:t>
            </w:r>
            <w:r>
              <w:rPr>
                <w:i/>
                <w:snapToGrid w:val="0"/>
                <w:sz w:val="18"/>
                <w:szCs w:val="18"/>
              </w:rPr>
              <w:br/>
              <w:t>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r>
              <w:rPr>
                <w:i/>
                <w:snapToGrid w:val="0"/>
                <w:sz w:val="18"/>
                <w:szCs w:val="18"/>
              </w:rPr>
              <w:b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Heading"/>
        <w:spacing w:before="360"/>
        <w:rPr>
          <w:b/>
        </w:rPr>
      </w:pPr>
      <w:r>
        <w:rPr>
          <w:b/>
        </w:rPr>
        <w:t>AUTHORITY TO RELEASE PERSONAL INFORMATION</w:t>
      </w:r>
    </w:p>
    <w:p>
      <w:pPr>
        <w:pStyle w:val="yMiscellaneousBody"/>
        <w:spacing w:before="360"/>
        <w:rPr>
          <w:snapToGrid w:val="0"/>
        </w:rPr>
      </w:pPr>
      <w:r>
        <w:rPr>
          <w:snapToGrid w:val="0"/>
        </w:rPr>
        <w:t>I ___________________ of _________________________________________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1</w:t>
      </w:r>
      <w:r>
        <w:rPr>
          <w:i/>
          <w:snapToGrid w:val="0"/>
          <w:sz w:val="20"/>
        </w:rPr>
        <w:t>]</w:t>
      </w:r>
    </w:p>
    <w:p>
      <w:pPr>
        <w:pStyle w:val="yMiscellaneousBody"/>
        <w:spacing w:before="360"/>
        <w:rPr>
          <w:snapToGrid w:val="0"/>
        </w:rPr>
      </w:pPr>
      <w:r>
        <w:rPr>
          <w:snapToGrid w:val="0"/>
        </w:rPr>
        <w:t>I ___________________ of _________________________________________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2</w:t>
      </w:r>
      <w:r>
        <w:rPr>
          <w:i/>
          <w:snapToGrid w:val="0"/>
          <w:sz w:val="20"/>
        </w:rPr>
        <w:t>]</w:t>
      </w:r>
    </w:p>
    <w:p>
      <w:pPr>
        <w:pStyle w:val="yMiscellaneousBody"/>
        <w:rPr>
          <w:snapToGrid w:val="0"/>
        </w:rPr>
      </w:pPr>
      <w:r>
        <w:rPr>
          <w:snapToGrid w:val="0"/>
        </w:rPr>
        <w:t xml:space="preserve">being the applicant(s) for assistance from the Home Buyers Assistance Account under the </w:t>
      </w:r>
      <w:r>
        <w:rPr>
          <w:i/>
          <w:snapToGrid w:val="0"/>
        </w:rPr>
        <w:t>Real Estate and Business Agents Act 1978</w:t>
      </w:r>
      <w:r>
        <w:rPr>
          <w:snapToGrid w:val="0"/>
        </w:rPr>
        <w:t xml:space="preserve"> </w:t>
      </w:r>
      <w:r>
        <w:rPr>
          <w:b/>
          <w:snapToGrid w:val="0"/>
        </w:rPr>
        <w:t>AUTHORISE</w:t>
      </w:r>
      <w:r>
        <w:rPr>
          <w:snapToGrid w:val="0"/>
        </w:rPr>
        <w:t xml:space="preserve"> the Chief Executive Officer of the Department of Commerce, or persons that he or she may direct, to make such further enquiries as deemed necessary to assess this Application under the Act. My general consent includes specifically authorising the Chief Executive Officer, or persons that he or she may direct, to obtain on my behalf from any relevant agency any information that may be necessary to assist with the assessment. I acknowledge that the Chief Executive Officer, or persons that he or she may direct, can use any or all of the information or documentation received pursuant to this authority for the purpose of assessing this Application.</w:t>
      </w:r>
    </w:p>
    <w:p>
      <w:pPr>
        <w:pStyle w:val="yMiscellaneousBody"/>
        <w:tabs>
          <w:tab w:val="left" w:pos="4845"/>
        </w:tabs>
        <w:spacing w:before="360"/>
        <w:rPr>
          <w:snapToGrid w:val="0"/>
        </w:rPr>
      </w:pPr>
      <w:r>
        <w:rPr>
          <w:snapToGrid w:val="0"/>
        </w:rPr>
        <w:t>____________________________________________ on _____/_____/______</w:t>
      </w:r>
    </w:p>
    <w:p>
      <w:pPr>
        <w:pStyle w:val="yMiscellaneousBody"/>
        <w:tabs>
          <w:tab w:val="left" w:pos="5812"/>
        </w:tabs>
        <w:ind w:right="305"/>
        <w:rPr>
          <w:snapToGrid w:val="0"/>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Body"/>
        <w:tabs>
          <w:tab w:val="left" w:pos="4845"/>
        </w:tabs>
        <w:spacing w:before="360"/>
        <w:rPr>
          <w:snapToGrid w:val="0"/>
        </w:rPr>
      </w:pPr>
      <w:r>
        <w:rPr>
          <w:snapToGrid w:val="0"/>
        </w:rPr>
        <w:t>____________________________________________ on _____/_____/______</w:t>
      </w:r>
    </w:p>
    <w:p>
      <w:pPr>
        <w:pStyle w:val="yMiscellaneousBody"/>
        <w:tabs>
          <w:tab w:val="left" w:pos="5812"/>
        </w:tabs>
        <w:ind w:right="-2"/>
        <w:rPr>
          <w:snapToGrid w:val="0"/>
          <w:sz w:val="18"/>
          <w:szCs w:val="18"/>
        </w:rPr>
      </w:pPr>
      <w:r>
        <w:rPr>
          <w:i/>
          <w:snapToGrid w:val="0"/>
          <w:sz w:val="18"/>
          <w:szCs w:val="18"/>
        </w:rPr>
        <w:t xml:space="preserve">Signature of </w:t>
      </w:r>
      <w:r>
        <w:rPr>
          <w:b/>
          <w:i/>
          <w:snapToGrid w:val="0"/>
          <w:sz w:val="18"/>
          <w:szCs w:val="18"/>
        </w:rPr>
        <w:t>applicant 2</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Heading"/>
        <w:spacing w:before="360"/>
        <w:jc w:val="left"/>
        <w:rPr>
          <w:b/>
        </w:rPr>
      </w:pPr>
      <w:r>
        <w:rPr>
          <w:b/>
        </w:rPr>
        <w:t>Section B — To be completed by the lending institution</w:t>
      </w:r>
    </w:p>
    <w:p>
      <w:pPr>
        <w:pStyle w:val="yMiscellaneousBody"/>
        <w:ind w:right="248"/>
        <w:rPr>
          <w:snapToGrid w:val="0"/>
        </w:rPr>
      </w:pPr>
      <w:r>
        <w:rPr>
          <w:snapToGrid w:val="0"/>
        </w:rPr>
        <w:t>(The lender is the party that actually provides the loan, not the agent/broker who arranged the loan)</w:t>
      </w:r>
    </w:p>
    <w:p>
      <w:pPr>
        <w:pStyle w:val="yMiscellaneousHeading"/>
        <w:spacing w:before="240"/>
        <w:jc w:val="left"/>
        <w:rPr>
          <w:b/>
        </w:rPr>
      </w:pPr>
      <w:r>
        <w:rPr>
          <w:b/>
        </w:rPr>
        <w:t>Applicant 1</w:t>
      </w:r>
    </w:p>
    <w:p>
      <w:pPr>
        <w:pStyle w:val="yMiscellaneousBody"/>
        <w:tabs>
          <w:tab w:val="left" w:pos="1701"/>
        </w:tabs>
        <w:rPr>
          <w:snapToGrid w:val="0"/>
        </w:rPr>
      </w:pPr>
      <w:r>
        <w:rPr>
          <w:snapToGrid w:val="0"/>
        </w:rPr>
        <w:t>Full name</w:t>
      </w:r>
      <w:r>
        <w:rPr>
          <w:snapToGrid w:val="0"/>
        </w:rPr>
        <w:tab/>
        <w:t>________________________________________________</w:t>
      </w:r>
    </w:p>
    <w:p>
      <w:pPr>
        <w:pStyle w:val="yMiscellaneousBody"/>
        <w:spacing w:before="240"/>
        <w:rPr>
          <w:b/>
          <w:snapToGrid w:val="0"/>
        </w:rPr>
      </w:pPr>
      <w:r>
        <w:rPr>
          <w:b/>
          <w:snapToGrid w:val="0"/>
        </w:rPr>
        <w:t>Applicant 2 (</w:t>
      </w:r>
      <w:r>
        <w:rPr>
          <w:b/>
          <w:i/>
          <w:snapToGrid w:val="0"/>
          <w:sz w:val="20"/>
        </w:rPr>
        <w:t>If applicable</w:t>
      </w:r>
      <w:r>
        <w:rPr>
          <w:b/>
          <w:snapToGrid w:val="0"/>
        </w:rPr>
        <w:t>)</w:t>
      </w:r>
    </w:p>
    <w:p>
      <w:pPr>
        <w:pStyle w:val="yMiscellaneousBody"/>
        <w:tabs>
          <w:tab w:val="left" w:pos="1701"/>
        </w:tabs>
        <w:rPr>
          <w:snapToGrid w:val="0"/>
        </w:rPr>
      </w:pPr>
      <w:r>
        <w:rPr>
          <w:snapToGrid w:val="0"/>
        </w:rPr>
        <w:t>Full name</w:t>
      </w:r>
      <w:r>
        <w:rPr>
          <w:snapToGrid w:val="0"/>
        </w:rPr>
        <w:tab/>
        <w:t>________________________________________________</w:t>
      </w:r>
    </w:p>
    <w:p>
      <w:pPr>
        <w:pStyle w:val="yMiscellaneousBody"/>
        <w:tabs>
          <w:tab w:val="left" w:pos="1985"/>
          <w:tab w:val="left" w:pos="2410"/>
          <w:tab w:val="left" w:pos="3119"/>
        </w:tabs>
        <w:spacing w:before="240"/>
        <w:rPr>
          <w:snapToGrid w:val="0"/>
        </w:rPr>
      </w:pPr>
      <w:r>
        <w:rPr>
          <w:snapToGrid w:val="0"/>
        </w:rPr>
        <w:t>Loan BSB and account number</w:t>
      </w:r>
      <w:r>
        <w:rPr>
          <w:snapToGrid w:val="0"/>
        </w:rPr>
        <w:tab/>
        <w:t>__________   ________________________</w:t>
      </w:r>
    </w:p>
    <w:p>
      <w:pPr>
        <w:pStyle w:val="yMiscellaneousBody"/>
        <w:tabs>
          <w:tab w:val="left" w:pos="1985"/>
          <w:tab w:val="left" w:pos="2410"/>
          <w:tab w:val="left" w:pos="3119"/>
        </w:tabs>
        <w:rPr>
          <w:snapToGrid w:val="0"/>
        </w:rPr>
      </w:pPr>
      <w:r>
        <w:rPr>
          <w:snapToGrid w:val="0"/>
        </w:rPr>
        <w:t>Name of lending institution</w:t>
      </w:r>
      <w:r>
        <w:rPr>
          <w:snapToGrid w:val="0"/>
        </w:rPr>
        <w:tab/>
        <w:t>____________________________________</w:t>
      </w:r>
    </w:p>
    <w:p>
      <w:pPr>
        <w:pStyle w:val="yMiscellaneousBody"/>
        <w:tabs>
          <w:tab w:val="left" w:pos="1985"/>
          <w:tab w:val="left" w:pos="2410"/>
        </w:tabs>
        <w:rPr>
          <w:snapToGrid w:val="0"/>
        </w:rPr>
      </w:pPr>
      <w:r>
        <w:rPr>
          <w:snapToGrid w:val="0"/>
        </w:rPr>
        <w:t>Address</w:t>
      </w:r>
      <w:r>
        <w:rPr>
          <w:snapToGrid w:val="0"/>
        </w:rPr>
        <w:tab/>
        <w:t>______________________________________________</w:t>
      </w:r>
    </w:p>
    <w:p>
      <w:pPr>
        <w:pStyle w:val="yMiscellaneousBody"/>
        <w:tabs>
          <w:tab w:val="left" w:pos="1985"/>
          <w:tab w:val="left" w:pos="2410"/>
        </w:tabs>
        <w:rPr>
          <w:snapToGrid w:val="0"/>
        </w:rPr>
      </w:pPr>
      <w:r>
        <w:rPr>
          <w:snapToGrid w:val="0"/>
        </w:rPr>
        <w:t>Suburb/Town</w:t>
      </w:r>
      <w:r>
        <w:rPr>
          <w:snapToGrid w:val="0"/>
        </w:rPr>
        <w:tab/>
        <w:t>____________________________ Postcode __________</w:t>
      </w:r>
    </w:p>
    <w:p>
      <w:pPr>
        <w:pStyle w:val="yMiscellaneousBody"/>
        <w:tabs>
          <w:tab w:val="left" w:pos="1985"/>
          <w:tab w:val="left" w:pos="2410"/>
          <w:tab w:val="left" w:pos="3119"/>
        </w:tabs>
        <w:rPr>
          <w:snapToGrid w:val="0"/>
        </w:rPr>
      </w:pPr>
      <w:r>
        <w:rPr>
          <w:snapToGrid w:val="0"/>
        </w:rPr>
        <w:t>Business Telephone No.</w:t>
      </w:r>
      <w:r>
        <w:rPr>
          <w:snapToGrid w:val="0"/>
        </w:rPr>
        <w:tab/>
        <w:t>__________________________________________</w:t>
      </w:r>
    </w:p>
    <w:p>
      <w:pPr>
        <w:pStyle w:val="yMiscellaneousBody"/>
        <w:tabs>
          <w:tab w:val="left" w:pos="2410"/>
        </w:tabs>
        <w:rPr>
          <w:snapToGrid w:val="0"/>
        </w:rPr>
      </w:pPr>
      <w:r>
        <w:rPr>
          <w:snapToGrid w:val="0"/>
        </w:rPr>
        <w:t>Business Fax No.</w:t>
      </w:r>
      <w:r>
        <w:rPr>
          <w:snapToGrid w:val="0"/>
        </w:rPr>
        <w:tab/>
        <w:t>__________________________________________</w:t>
      </w:r>
    </w:p>
    <w:p>
      <w:pPr>
        <w:pStyle w:val="yMiscellaneousHeading"/>
        <w:spacing w:before="240" w:after="160"/>
        <w:jc w:val="left"/>
        <w:rPr>
          <w:b/>
        </w:rPr>
      </w:pPr>
      <w:r>
        <w:rPr>
          <w:b/>
        </w:rPr>
        <w:t>Further incidental expenses associated with the loan</w:t>
      </w:r>
    </w:p>
    <w:tbl>
      <w:tblPr>
        <w:tblW w:w="708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5670"/>
        <w:gridCol w:w="1418"/>
      </w:tblGrid>
      <w:tr>
        <w:tc>
          <w:tcPr>
            <w:tcW w:w="5670" w:type="dxa"/>
          </w:tcPr>
          <w:p>
            <w:pPr>
              <w:pStyle w:val="yTableNAm"/>
              <w:jc w:val="center"/>
              <w:rPr>
                <w:b/>
                <w:sz w:val="20"/>
              </w:rPr>
            </w:pPr>
            <w:r>
              <w:rPr>
                <w:b/>
                <w:sz w:val="20"/>
              </w:rPr>
              <w:t>Expense</w:t>
            </w:r>
          </w:p>
        </w:tc>
        <w:tc>
          <w:tcPr>
            <w:tcW w:w="1418" w:type="dxa"/>
          </w:tcPr>
          <w:p>
            <w:pPr>
              <w:pStyle w:val="yTableNAm"/>
              <w:jc w:val="center"/>
              <w:rPr>
                <w:b/>
                <w:sz w:val="20"/>
              </w:rPr>
            </w:pPr>
            <w:r>
              <w:rPr>
                <w:b/>
                <w:sz w:val="20"/>
              </w:rPr>
              <w:t>Amount $</w:t>
            </w:r>
          </w:p>
        </w:tc>
      </w:tr>
      <w:tr>
        <w:tc>
          <w:tcPr>
            <w:tcW w:w="5670" w:type="dxa"/>
          </w:tcPr>
          <w:p>
            <w:pPr>
              <w:pStyle w:val="yTableNAm"/>
              <w:tabs>
                <w:tab w:val="clear" w:pos="567"/>
                <w:tab w:val="left" w:pos="306"/>
              </w:tabs>
              <w:rPr>
                <w:sz w:val="20"/>
              </w:rPr>
            </w:pPr>
            <w:r>
              <w:rPr>
                <w:sz w:val="20"/>
              </w:rPr>
              <w:t>Mortgage registration fees</w:t>
            </w:r>
          </w:p>
          <w:p>
            <w:pPr>
              <w:pStyle w:val="yTableNAm"/>
              <w:tabs>
                <w:tab w:val="clear" w:pos="567"/>
                <w:tab w:val="left" w:pos="306"/>
              </w:tabs>
              <w:rPr>
                <w:sz w:val="20"/>
              </w:rPr>
            </w:pPr>
            <w:r>
              <w:rPr>
                <w:sz w:val="20"/>
              </w:rPr>
              <w:t>Caveat registration fees</w:t>
            </w:r>
          </w:p>
          <w:p>
            <w:pPr>
              <w:pStyle w:val="yTableNAm"/>
              <w:tabs>
                <w:tab w:val="clear" w:pos="567"/>
                <w:tab w:val="left" w:pos="306"/>
              </w:tabs>
              <w:rPr>
                <w:sz w:val="20"/>
              </w:rPr>
            </w:pPr>
            <w:r>
              <w:rPr>
                <w:sz w:val="20"/>
              </w:rPr>
              <w:t>Bank’s solicitor fees</w:t>
            </w:r>
          </w:p>
          <w:p>
            <w:pPr>
              <w:pStyle w:val="yTableNAm"/>
              <w:tabs>
                <w:tab w:val="clear" w:pos="567"/>
                <w:tab w:val="left" w:pos="306"/>
              </w:tabs>
              <w:rPr>
                <w:sz w:val="20"/>
              </w:rPr>
            </w:pPr>
            <w:r>
              <w:rPr>
                <w:sz w:val="20"/>
              </w:rPr>
              <w:t>Valuation fees</w:t>
            </w:r>
          </w:p>
          <w:p>
            <w:pPr>
              <w:pStyle w:val="yTableNAm"/>
              <w:tabs>
                <w:tab w:val="clear" w:pos="567"/>
                <w:tab w:val="left" w:pos="306"/>
              </w:tabs>
              <w:rPr>
                <w:sz w:val="20"/>
              </w:rPr>
            </w:pPr>
            <w:r>
              <w:rPr>
                <w:sz w:val="20"/>
              </w:rPr>
              <w:t>Lending institution fees for lodging this Application</w:t>
            </w:r>
          </w:p>
          <w:p>
            <w:pPr>
              <w:pStyle w:val="yTableNAm"/>
              <w:tabs>
                <w:tab w:val="clear" w:pos="567"/>
                <w:tab w:val="left" w:pos="306"/>
              </w:tabs>
              <w:rPr>
                <w:sz w:val="20"/>
              </w:rPr>
            </w:pPr>
            <w:r>
              <w:rPr>
                <w:sz w:val="20"/>
              </w:rPr>
              <w:t>Mortgage guarantee fees or mortgage insurance premium</w:t>
            </w:r>
            <w:r>
              <w:rPr>
                <w:sz w:val="20"/>
              </w:rPr>
              <w:br/>
            </w:r>
            <w:r>
              <w:rPr>
                <w:sz w:val="18"/>
                <w:szCs w:val="18"/>
              </w:rPr>
              <w:t>(</w:t>
            </w:r>
            <w:r>
              <w:rPr>
                <w:b/>
                <w:sz w:val="18"/>
                <w:szCs w:val="18"/>
              </w:rPr>
              <w:t>not house and contents insurance or mortgage protection insurance</w:t>
            </w:r>
            <w:r>
              <w:rPr>
                <w:sz w:val="18"/>
                <w:szCs w:val="18"/>
              </w:rPr>
              <w:t>)</w:t>
            </w:r>
          </w:p>
          <w:p>
            <w:pPr>
              <w:pStyle w:val="yTableNAm"/>
              <w:tabs>
                <w:tab w:val="clear" w:pos="567"/>
                <w:tab w:val="left" w:pos="306"/>
              </w:tabs>
              <w:rPr>
                <w:sz w:val="20"/>
              </w:rPr>
            </w:pPr>
            <w:r>
              <w:rPr>
                <w:sz w:val="20"/>
              </w:rPr>
              <w:t>Loan Establishment fees</w:t>
            </w:r>
          </w:p>
          <w:p>
            <w:pPr>
              <w:pStyle w:val="yTableNAm"/>
              <w:tabs>
                <w:tab w:val="clear" w:pos="567"/>
                <w:tab w:val="left" w:pos="306"/>
              </w:tabs>
              <w:spacing w:before="0"/>
              <w:rPr>
                <w:sz w:val="20"/>
              </w:rPr>
            </w:pPr>
          </w:p>
        </w:tc>
        <w:tc>
          <w:tcPr>
            <w:tcW w:w="1418" w:type="dxa"/>
          </w:tcPr>
          <w:p>
            <w:pPr>
              <w:pStyle w:val="yTableNAm"/>
              <w:rPr>
                <w:sz w:val="20"/>
              </w:rPr>
            </w:pPr>
          </w:p>
        </w:tc>
      </w:tr>
      <w:tr>
        <w:tc>
          <w:tcPr>
            <w:tcW w:w="5670" w:type="dxa"/>
          </w:tcPr>
          <w:p>
            <w:pPr>
              <w:pStyle w:val="yTableNAm"/>
              <w:jc w:val="center"/>
              <w:rPr>
                <w:b/>
                <w:sz w:val="20"/>
              </w:rPr>
            </w:pPr>
            <w:r>
              <w:rPr>
                <w:b/>
                <w:sz w:val="20"/>
              </w:rPr>
              <w:t>Total</w:t>
            </w:r>
          </w:p>
        </w:tc>
        <w:tc>
          <w:tcPr>
            <w:tcW w:w="1418" w:type="dxa"/>
          </w:tcPr>
          <w:p>
            <w:pPr>
              <w:pStyle w:val="yTableNAm"/>
              <w:jc w:val="center"/>
              <w:rPr>
                <w:b/>
                <w:sz w:val="20"/>
              </w:rPr>
            </w:pPr>
          </w:p>
        </w:tc>
      </w:tr>
    </w:tbl>
    <w:p>
      <w:pPr>
        <w:pStyle w:val="yMiscellaneousBody"/>
        <w:rPr>
          <w:snapToGrid w:val="0"/>
        </w:rPr>
      </w:pPr>
      <w:r>
        <w:rPr>
          <w:snapToGrid w:val="0"/>
        </w:rPr>
        <w:t>Having approved a loan to assist the applicant(s) to purchase a dwelling we:</w:t>
      </w:r>
    </w:p>
    <w:p>
      <w:pPr>
        <w:pStyle w:val="yMiscellaneousBody"/>
        <w:tabs>
          <w:tab w:val="left" w:pos="627"/>
        </w:tabs>
        <w:ind w:left="627" w:hanging="513"/>
        <w:rPr>
          <w:snapToGrid w:val="0"/>
        </w:rPr>
      </w:pPr>
      <w:r>
        <w:rPr>
          <w:snapToGrid w:val="0"/>
        </w:rPr>
        <w:t>(a)</w:t>
      </w:r>
      <w:r>
        <w:rPr>
          <w:snapToGrid w:val="0"/>
        </w:rPr>
        <w:tab/>
        <w:t>hereby lodge the Application for a grant to cover the whole or part of the amount of incidental expenses in connection with the purchase; and</w:t>
      </w:r>
    </w:p>
    <w:p>
      <w:pPr>
        <w:pStyle w:val="yMiscellaneousBody"/>
        <w:tabs>
          <w:tab w:val="left" w:pos="627"/>
        </w:tabs>
        <w:ind w:left="627" w:hanging="513"/>
        <w:rPr>
          <w:snapToGrid w:val="0"/>
        </w:rPr>
      </w:pPr>
      <w:r>
        <w:rPr>
          <w:snapToGrid w:val="0"/>
        </w:rPr>
        <w:t>(b)</w:t>
      </w:r>
      <w:r>
        <w:rPr>
          <w:snapToGrid w:val="0"/>
        </w:rPr>
        <w:tab/>
        <w:t>advise that the details disclosed in the Application in relation to our arrangements and the incidental expenses, to the best of our knowledge and involvement, are correct.</w:t>
      </w:r>
    </w:p>
    <w:p>
      <w:pPr>
        <w:pStyle w:val="yMiscellaneousBody"/>
        <w:spacing w:before="280"/>
        <w:rPr>
          <w:snapToGrid w:val="0"/>
        </w:rPr>
      </w:pPr>
      <w:r>
        <w:rPr>
          <w:snapToGrid w:val="0"/>
        </w:rPr>
        <w:t>______________________________   ________________________________</w:t>
      </w:r>
    </w:p>
    <w:tbl>
      <w:tblPr>
        <w:tblW w:w="6954" w:type="dxa"/>
        <w:jc w:val="center"/>
        <w:tblInd w:w="820" w:type="dxa"/>
        <w:tblLayout w:type="fixed"/>
        <w:tblLook w:val="0000" w:firstRow="0" w:lastRow="0" w:firstColumn="0" w:lastColumn="0" w:noHBand="0" w:noVBand="0"/>
      </w:tblPr>
      <w:tblGrid>
        <w:gridCol w:w="3477"/>
        <w:gridCol w:w="3477"/>
      </w:tblGrid>
      <w:tr>
        <w:trPr>
          <w:jc w:val="center"/>
        </w:trPr>
        <w:tc>
          <w:tcPr>
            <w:tcW w:w="3477" w:type="dxa"/>
          </w:tcPr>
          <w:p>
            <w:pPr>
              <w:pStyle w:val="Table"/>
              <w:ind w:left="109" w:right="317"/>
              <w:jc w:val="center"/>
              <w:rPr>
                <w:sz w:val="18"/>
                <w:szCs w:val="18"/>
              </w:rPr>
            </w:pPr>
            <w:r>
              <w:rPr>
                <w:i/>
                <w:snapToGrid w:val="0"/>
                <w:sz w:val="18"/>
                <w:szCs w:val="18"/>
              </w:rPr>
              <w:t>Signature of authorised officer of lending institution</w:t>
            </w:r>
          </w:p>
        </w:tc>
        <w:tc>
          <w:tcPr>
            <w:tcW w:w="3477" w:type="dxa"/>
            <w:tcBorders>
              <w:left w:val="nil"/>
            </w:tcBorders>
          </w:tcPr>
          <w:p>
            <w:pPr>
              <w:pStyle w:val="Table"/>
              <w:ind w:left="176" w:right="250"/>
              <w:jc w:val="center"/>
              <w:rPr>
                <w:sz w:val="18"/>
                <w:szCs w:val="18"/>
              </w:rPr>
            </w:pPr>
            <w:r>
              <w:rPr>
                <w:i/>
                <w:snapToGrid w:val="0"/>
                <w:sz w:val="18"/>
                <w:szCs w:val="18"/>
              </w:rPr>
              <w:t>Name of officer of lending institution (</w:t>
            </w:r>
            <w:r>
              <w:rPr>
                <w:b/>
                <w:i/>
                <w:snapToGrid w:val="0"/>
                <w:sz w:val="18"/>
                <w:szCs w:val="18"/>
              </w:rPr>
              <w:t>please print</w:t>
            </w:r>
            <w:r>
              <w:rPr>
                <w:i/>
                <w:snapToGrid w:val="0"/>
                <w:sz w:val="18"/>
                <w:szCs w:val="18"/>
              </w:rPr>
              <w:t>)</w:t>
            </w:r>
          </w:p>
        </w:tc>
      </w:tr>
    </w:tbl>
    <w:p>
      <w:pPr>
        <w:pStyle w:val="yMiscellaneousBody"/>
        <w:spacing w:before="280"/>
        <w:rPr>
          <w:snapToGrid w:val="0"/>
        </w:rPr>
      </w:pPr>
      <w:r>
        <w:rPr>
          <w:snapToGrid w:val="0"/>
        </w:rPr>
        <w:t>________________________________________________________________</w:t>
      </w:r>
    </w:p>
    <w:p>
      <w:pPr>
        <w:pStyle w:val="yMiscellaneousBody"/>
        <w:spacing w:after="120"/>
        <w:jc w:val="center"/>
        <w:rPr>
          <w:i/>
          <w:snapToGrid w:val="0"/>
          <w:sz w:val="20"/>
        </w:rPr>
      </w:pPr>
      <w:r>
        <w:rPr>
          <w:i/>
          <w:snapToGrid w:val="0"/>
          <w:sz w:val="20"/>
        </w:rPr>
        <w:t>Title of authorised officer of lending institution</w:t>
      </w:r>
    </w:p>
    <w:tbl>
      <w:tblPr>
        <w:tblStyle w:val="TableGrid"/>
        <w:tblW w:w="0" w:type="auto"/>
        <w:tblInd w:w="817" w:type="dxa"/>
        <w:tblLook w:val="01E0" w:firstRow="1" w:lastRow="1" w:firstColumn="1" w:lastColumn="1" w:noHBand="0" w:noVBand="0"/>
      </w:tblPr>
      <w:tblGrid>
        <w:gridCol w:w="1701"/>
      </w:tblGrid>
      <w:tr>
        <w:tc>
          <w:tcPr>
            <w:tcW w:w="1701" w:type="dxa"/>
            <w:tcBorders>
              <w:top w:val="nil"/>
              <w:left w:val="nil"/>
              <w:bottom w:val="single" w:sz="4" w:space="0" w:color="auto"/>
              <w:right w:val="nil"/>
            </w:tcBorders>
          </w:tcPr>
          <w:p>
            <w:pPr>
              <w:pStyle w:val="yMiscellaneousBody"/>
              <w:rPr>
                <w:b/>
                <w:snapToGrid w:val="0"/>
                <w:sz w:val="24"/>
                <w:szCs w:val="24"/>
              </w:rPr>
            </w:pPr>
            <w:r>
              <w:rPr>
                <w:b/>
                <w:snapToGrid w:val="0"/>
                <w:sz w:val="24"/>
                <w:szCs w:val="24"/>
              </w:rPr>
              <w:t>affix seal here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1" w:type="dxa"/>
            <w:tcBorders>
              <w:top w:val="single" w:sz="4" w:space="0" w:color="auto"/>
              <w:left w:val="single" w:sz="4" w:space="0" w:color="auto"/>
              <w:bottom w:val="single" w:sz="4" w:space="0" w:color="auto"/>
              <w:right w:val="single" w:sz="4" w:space="0" w:color="auto"/>
            </w:tcBorders>
          </w:tcPr>
          <w:p>
            <w:pPr>
              <w:pStyle w:val="yMiscellaneousBody"/>
              <w:rPr>
                <w:b/>
                <w:snapToGrid w:val="0"/>
                <w:sz w:val="24"/>
                <w:szCs w:val="24"/>
              </w:rPr>
            </w:pPr>
          </w:p>
          <w:p>
            <w:pPr>
              <w:pStyle w:val="yMiscellaneousBody"/>
              <w:rPr>
                <w:b/>
                <w:snapToGrid w:val="0"/>
                <w:sz w:val="24"/>
                <w:szCs w:val="24"/>
              </w:rPr>
            </w:pPr>
          </w:p>
          <w:p>
            <w:pPr>
              <w:pStyle w:val="yMiscellaneousBody"/>
              <w:rPr>
                <w:b/>
                <w:snapToGrid w:val="0"/>
                <w:sz w:val="24"/>
                <w:szCs w:val="24"/>
              </w:rPr>
            </w:pPr>
          </w:p>
        </w:tc>
      </w:tr>
    </w:tbl>
    <w:p>
      <w:pPr>
        <w:pStyle w:val="yFootnotesection"/>
      </w:pPr>
      <w:r>
        <w:tab/>
        <w:t>[Form 1 inserted in Gazette 23 Oct 2012 p. 5049</w:t>
      </w:r>
      <w:r>
        <w:noBreakHyphen/>
        <w:t>54.]</w:t>
      </w:r>
    </w:p>
    <w:p>
      <w:pPr>
        <w:pStyle w:val="yMiscellaneousHeading"/>
        <w:keepNext w:val="0"/>
        <w:pageBreakBefore/>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rPr>
                <w:szCs w:val="22"/>
              </w:rPr>
              <w:t>Department of Commerce — Consumer Protection</w:t>
            </w:r>
          </w:p>
          <w:p>
            <w:pPr>
              <w:pStyle w:val="yTableNAm"/>
            </w:pPr>
            <w:r>
              <w:t>[</w:t>
            </w:r>
            <w:r>
              <w:rPr>
                <w:i/>
                <w:iCs/>
              </w:rPr>
              <w:t>Address</w:t>
            </w:r>
            <w:r>
              <w:t>]</w:t>
            </w:r>
          </w:p>
          <w:p>
            <w:pPr>
              <w:pStyle w:val="yTableNAm"/>
            </w:pPr>
            <w:r>
              <w:rPr>
                <w:b/>
              </w:rPr>
              <w:t>In person:</w:t>
            </w:r>
            <w:r>
              <w:t xml:space="preserve"> Pay the cashier at:</w:t>
            </w:r>
          </w:p>
          <w:p>
            <w:pPr>
              <w:pStyle w:val="yTableNAm"/>
            </w:pPr>
            <w:r>
              <w:rPr>
                <w:szCs w:val="22"/>
              </w:rPr>
              <w:t>Department of Commerce — Consumer Protection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in Gazette 28 Aug 2009 p. 3349</w:t>
      </w:r>
      <w:r>
        <w:noBreakHyphen/>
        <w:t>50; amended in Gazette 30 Jun 2011 p. 2670; 20 Aug 2013 p. 3839.]</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rPr>
                <w:szCs w:val="22"/>
              </w:rPr>
              <w:t>Department of Commerce — Consumer Protection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in Gazette 28 Aug 2009 p. 3350</w:t>
      </w:r>
      <w:r>
        <w:noBreakHyphen/>
        <w:t>1; amended in Gazette 30 Jun 2011 p. 2670.]</w:t>
      </w:r>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pPr>
      <w:bookmarkStart w:id="78" w:name="_Toc404151324"/>
      <w:bookmarkStart w:id="79" w:name="_Toc419375220"/>
      <w:bookmarkStart w:id="80" w:name="_Toc419375257"/>
      <w:bookmarkStart w:id="81" w:name="_Toc419453516"/>
      <w:r>
        <w:rPr>
          <w:rStyle w:val="CharSchNo"/>
        </w:rPr>
        <w:t>Schedule 3</w:t>
      </w:r>
      <w:r>
        <w:rPr>
          <w:rStyle w:val="CharSDivNo"/>
        </w:rPr>
        <w:t> </w:t>
      </w:r>
      <w:r>
        <w:t>—</w:t>
      </w:r>
      <w:r>
        <w:rPr>
          <w:rStyle w:val="CharSDivText"/>
        </w:rPr>
        <w:t> </w:t>
      </w:r>
      <w:r>
        <w:rPr>
          <w:rStyle w:val="CharSchText"/>
        </w:rPr>
        <w:t>Prescribed offences and modified penalties</w:t>
      </w:r>
      <w:bookmarkEnd w:id="78"/>
      <w:bookmarkEnd w:id="79"/>
      <w:bookmarkEnd w:id="80"/>
      <w:bookmarkEnd w:id="81"/>
    </w:p>
    <w:p>
      <w:pPr>
        <w:pStyle w:val="yShoulderClause"/>
      </w:pPr>
      <w:r>
        <w:t>[r. 14]</w:t>
      </w:r>
    </w:p>
    <w:p>
      <w:pPr>
        <w:pStyle w:val="yFootnoteheading"/>
        <w:spacing w:after="120"/>
      </w:pPr>
      <w:r>
        <w:rPr>
          <w:snapToGrid w:val="0"/>
        </w:rPr>
        <w:tab/>
        <w:t>[Heading inserted in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35</w:t>
            </w:r>
          </w:p>
        </w:tc>
        <w:tc>
          <w:tcPr>
            <w:tcW w:w="4680" w:type="dxa"/>
          </w:tcPr>
          <w:p>
            <w:pPr>
              <w:pStyle w:val="yTableNAm"/>
            </w:pPr>
            <w:r>
              <w:t xml:space="preserve">Failing to notify </w:t>
            </w:r>
            <w:r>
              <w:rPr>
                <w:szCs w:val="22"/>
              </w:rPr>
              <w:t>Commissioner</w:t>
            </w:r>
            <w:r>
              <w:t xml:space="preserve"> of ceasing or commencing business</w:t>
            </w:r>
          </w:p>
        </w:tc>
        <w:tc>
          <w:tcPr>
            <w:tcW w:w="1080" w:type="dxa"/>
          </w:tcPr>
          <w:p>
            <w:pPr>
              <w:pStyle w:val="yTableNAm"/>
            </w:pPr>
            <w:r>
              <w:br/>
              <w:t>$400</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37(3)</w:t>
            </w:r>
          </w:p>
        </w:tc>
        <w:tc>
          <w:tcPr>
            <w:tcW w:w="4680" w:type="dxa"/>
          </w:tcPr>
          <w:p>
            <w:pPr>
              <w:pStyle w:val="yTableNAm"/>
            </w:pPr>
            <w:r>
              <w:t>Branch manager acting for more than one licensee or as an agent on own account</w:t>
            </w:r>
          </w:p>
        </w:tc>
        <w:tc>
          <w:tcPr>
            <w:tcW w:w="1080" w:type="dxa"/>
          </w:tcPr>
          <w:p>
            <w:pPr>
              <w:pStyle w:val="yTableNAm"/>
            </w:pPr>
            <w:r>
              <w:br/>
              <w:t>$400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tcPr>
          <w:p>
            <w:pPr>
              <w:pStyle w:val="yTableNAm"/>
            </w:pPr>
            <w:r>
              <w:b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tcPr>
          <w:p>
            <w:pPr>
              <w:pStyle w:val="yTableNAm"/>
            </w:pPr>
            <w:r>
              <w:b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tcPr>
          <w:p>
            <w:pPr>
              <w:pStyle w:val="yTableNAm"/>
            </w:pPr>
            <w:r>
              <w:br/>
              <w:t>$200</w:t>
            </w:r>
          </w:p>
        </w:tc>
      </w:tr>
      <w:tr>
        <w:tc>
          <w:tcPr>
            <w:tcW w:w="1320" w:type="dxa"/>
          </w:tcPr>
          <w:p>
            <w:pPr>
              <w:pStyle w:val="yTableNAm"/>
            </w:pPr>
            <w:r>
              <w:t>s. 41(1)(a)</w:t>
            </w:r>
          </w:p>
        </w:tc>
        <w:tc>
          <w:tcPr>
            <w:tcW w:w="4680" w:type="dxa"/>
          </w:tcPr>
          <w:p>
            <w:pPr>
              <w:pStyle w:val="yTableNAm"/>
            </w:pPr>
            <w:r>
              <w:t>Failing to display official details at registered office</w:t>
            </w:r>
          </w:p>
        </w:tc>
        <w:tc>
          <w:tcPr>
            <w:tcW w:w="1080" w:type="dxa"/>
          </w:tcPr>
          <w:p>
            <w:pPr>
              <w:pStyle w:val="yTableNAm"/>
            </w:pPr>
            <w:r>
              <w:br/>
              <w:t>$400</w:t>
            </w:r>
          </w:p>
        </w:tc>
      </w:tr>
      <w:tr>
        <w:tc>
          <w:tcPr>
            <w:tcW w:w="1320" w:type="dxa"/>
          </w:tcPr>
          <w:p>
            <w:pPr>
              <w:pStyle w:val="yTableNAm"/>
            </w:pPr>
            <w:r>
              <w:t>s. 41(1)(b)</w:t>
            </w:r>
          </w:p>
        </w:tc>
        <w:tc>
          <w:tcPr>
            <w:tcW w:w="4680" w:type="dxa"/>
          </w:tcPr>
          <w:p>
            <w:pPr>
              <w:pStyle w:val="yTableNAm"/>
            </w:pPr>
            <w:r>
              <w:t>Failing to display official details at branch office</w:t>
            </w:r>
          </w:p>
        </w:tc>
        <w:tc>
          <w:tcPr>
            <w:tcW w:w="1080" w:type="dxa"/>
          </w:tcPr>
          <w:p>
            <w:pPr>
              <w:pStyle w:val="yTableNAm"/>
            </w:pPr>
            <w:r>
              <w:t>$400</w:t>
            </w:r>
          </w:p>
        </w:tc>
      </w:tr>
      <w:tr>
        <w:trPr>
          <w:cantSplit/>
        </w:trPr>
        <w:tc>
          <w:tcPr>
            <w:tcW w:w="1320" w:type="dxa"/>
          </w:tcPr>
          <w:p>
            <w:pPr>
              <w:pStyle w:val="yTableNAm"/>
            </w:pPr>
            <w:r>
              <w:t>s. 41(2)(a)</w:t>
            </w:r>
          </w:p>
        </w:tc>
        <w:tc>
          <w:tcPr>
            <w:tcW w:w="4680" w:type="dxa"/>
          </w:tcPr>
          <w:p>
            <w:pPr>
              <w:pStyle w:val="yTableNAm"/>
            </w:pPr>
            <w:r>
              <w:t>Failing to display official details on all correspondence and documents from registered office</w:t>
            </w:r>
          </w:p>
        </w:tc>
        <w:tc>
          <w:tcPr>
            <w:tcW w:w="1080" w:type="dxa"/>
          </w:tcPr>
          <w:p>
            <w:pPr>
              <w:pStyle w:val="yTableNAm"/>
            </w:pPr>
            <w:r>
              <w:br/>
            </w:r>
            <w:r>
              <w:br/>
              <w:t>$400</w:t>
            </w:r>
          </w:p>
        </w:tc>
      </w:tr>
      <w:tr>
        <w:trPr>
          <w:cantSplit/>
        </w:trPr>
        <w:tc>
          <w:tcPr>
            <w:tcW w:w="1320" w:type="dxa"/>
          </w:tcPr>
          <w:p>
            <w:pPr>
              <w:pStyle w:val="yTableNAm"/>
            </w:pPr>
            <w:r>
              <w:t>s. 41(2)(b)</w:t>
            </w:r>
          </w:p>
        </w:tc>
        <w:tc>
          <w:tcPr>
            <w:tcW w:w="4680" w:type="dxa"/>
          </w:tcPr>
          <w:p>
            <w:pPr>
              <w:pStyle w:val="yTableNAm"/>
            </w:pPr>
            <w:r>
              <w:t>Failing to display official details on all correspondence and documents from branch office</w:t>
            </w:r>
          </w:p>
        </w:tc>
        <w:tc>
          <w:tcPr>
            <w:tcW w:w="1080" w:type="dxa"/>
          </w:tcPr>
          <w:p>
            <w:pPr>
              <w:pStyle w:val="yTableNAm"/>
            </w:pPr>
            <w:r>
              <w:br/>
            </w:r>
            <w:r>
              <w:br/>
              <w:t>$400</w:t>
            </w:r>
          </w:p>
        </w:tc>
      </w:tr>
      <w:tr>
        <w:tc>
          <w:tcPr>
            <w:tcW w:w="1320" w:type="dxa"/>
          </w:tcPr>
          <w:p>
            <w:pPr>
              <w:pStyle w:val="yTableNAm"/>
            </w:pPr>
            <w:r>
              <w:t>s. 51(1)</w:t>
            </w:r>
          </w:p>
        </w:tc>
        <w:tc>
          <w:tcPr>
            <w:tcW w:w="4680" w:type="dxa"/>
          </w:tcPr>
          <w:p>
            <w:pPr>
              <w:pStyle w:val="yTableNAm"/>
            </w:pPr>
            <w:r>
              <w:t xml:space="preserve">Failing to notify </w:t>
            </w:r>
            <w:r>
              <w:rPr>
                <w:szCs w:val="22"/>
              </w:rPr>
              <w:t>Commissioner</w:t>
            </w:r>
            <w:r>
              <w:t xml:space="preserve"> of commencing or ceasing employment, or to act, as a sales representative</w:t>
            </w:r>
          </w:p>
        </w:tc>
        <w:tc>
          <w:tcPr>
            <w:tcW w:w="1080" w:type="dxa"/>
          </w:tcPr>
          <w:p>
            <w:pPr>
              <w:pStyle w:val="yTableNAm"/>
            </w:pPr>
            <w:r>
              <w:br/>
            </w:r>
            <w:r>
              <w:br/>
              <w:t>$400</w:t>
            </w:r>
          </w:p>
        </w:tc>
      </w:tr>
      <w:tr>
        <w:tc>
          <w:tcPr>
            <w:tcW w:w="1320" w:type="dxa"/>
          </w:tcPr>
          <w:p>
            <w:pPr>
              <w:pStyle w:val="yTableNAm"/>
            </w:pPr>
            <w:r>
              <w:t>s. 70(1)</w:t>
            </w:r>
          </w:p>
        </w:tc>
        <w:tc>
          <w:tcPr>
            <w:tcW w:w="4680" w:type="dxa"/>
          </w:tcPr>
          <w:p>
            <w:pPr>
              <w:pStyle w:val="yTableNAm"/>
            </w:pPr>
            <w:r>
              <w:t>Failing to cause audit of trust account</w:t>
            </w:r>
          </w:p>
        </w:tc>
        <w:tc>
          <w:tcPr>
            <w:tcW w:w="1080" w:type="dxa"/>
          </w:tcPr>
          <w:p>
            <w:pPr>
              <w:pStyle w:val="yTableNAm"/>
            </w:pPr>
            <w:r>
              <w:t>$600</w:t>
            </w:r>
          </w:p>
        </w:tc>
      </w:tr>
      <w:tr>
        <w:tc>
          <w:tcPr>
            <w:tcW w:w="1320" w:type="dxa"/>
          </w:tcPr>
          <w:p>
            <w:pPr>
              <w:pStyle w:val="yTableNAm"/>
            </w:pPr>
            <w:r>
              <w:t>s. 70(3)</w:t>
            </w:r>
          </w:p>
        </w:tc>
        <w:tc>
          <w:tcPr>
            <w:tcW w:w="4680" w:type="dxa"/>
          </w:tcPr>
          <w:p>
            <w:pPr>
              <w:pStyle w:val="yTableNAm"/>
            </w:pPr>
            <w:r>
              <w:t>Failing to deliver audit report to the</w:t>
            </w:r>
            <w:r>
              <w:rPr>
                <w:szCs w:val="22"/>
              </w:rPr>
              <w:t xml:space="preserve"> Commissioner</w:t>
            </w:r>
          </w:p>
        </w:tc>
        <w:tc>
          <w:tcPr>
            <w:tcW w:w="1080" w:type="dxa"/>
          </w:tcPr>
          <w:p>
            <w:pPr>
              <w:pStyle w:val="yTableNAm"/>
            </w:pPr>
            <w:r>
              <w:br/>
              <w:t>$600</w:t>
            </w:r>
          </w:p>
        </w:tc>
      </w:tr>
      <w:tr>
        <w:tc>
          <w:tcPr>
            <w:tcW w:w="1320" w:type="dxa"/>
          </w:tcPr>
          <w:p>
            <w:pPr>
              <w:pStyle w:val="yTableNAm"/>
            </w:pPr>
            <w:r>
              <w:t>s. 70(8)</w:t>
            </w:r>
          </w:p>
        </w:tc>
        <w:tc>
          <w:tcPr>
            <w:tcW w:w="4680" w:type="dxa"/>
          </w:tcPr>
          <w:p>
            <w:pPr>
              <w:pStyle w:val="yTableNAm"/>
            </w:pPr>
            <w:r>
              <w:t>Failing to deliver a termination audit report</w:t>
            </w:r>
          </w:p>
        </w:tc>
        <w:tc>
          <w:tcPr>
            <w:tcW w:w="1080" w:type="dxa"/>
          </w:tcPr>
          <w:p>
            <w:pPr>
              <w:pStyle w:val="yTableNAm"/>
            </w:pPr>
            <w:r>
              <w:t>$600</w:t>
            </w:r>
          </w:p>
        </w:tc>
      </w:tr>
      <w:tr>
        <w:tc>
          <w:tcPr>
            <w:tcW w:w="1320" w:type="dxa"/>
          </w:tcPr>
          <w:p>
            <w:pPr>
              <w:pStyle w:val="yTableNAm"/>
            </w:pPr>
            <w:r>
              <w:t>s. 86</w:t>
            </w:r>
          </w:p>
        </w:tc>
        <w:tc>
          <w:tcPr>
            <w:tcW w:w="4680" w:type="dxa"/>
          </w:tcPr>
          <w:p>
            <w:pPr>
              <w:pStyle w:val="yTableNAm"/>
            </w:pPr>
            <w:r>
              <w:t>Failing to lodge a statutory declaration in relation to the audit of trust accounts</w:t>
            </w:r>
          </w:p>
        </w:tc>
        <w:tc>
          <w:tcPr>
            <w:tcW w:w="1080" w:type="dxa"/>
          </w:tcPr>
          <w:p>
            <w:pPr>
              <w:pStyle w:val="yTableNAm"/>
            </w:pPr>
            <w:r>
              <w:br/>
              <w:t>$200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tcPr>
          <w:p>
            <w:pPr>
              <w:pStyle w:val="yTableNAm"/>
            </w:pPr>
            <w:r>
              <w:br/>
              <w:t>$20</w:t>
            </w:r>
          </w:p>
        </w:tc>
      </w:tr>
    </w:tbl>
    <w:p>
      <w:pPr>
        <w:pStyle w:val="yFootnotesection"/>
      </w:pPr>
      <w:r>
        <w:tab/>
        <w:t>[Schedule 3 inserted in Gazette 28 Aug 2009 p. 3351</w:t>
      </w:r>
      <w:r>
        <w:noBreakHyphen/>
        <w:t>2; amended in Gazette 30 Jun 2011 p. 2670; 23 Oct 2012 p. 5055.]</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nHeading2"/>
      </w:pPr>
      <w:bookmarkStart w:id="82" w:name="_Toc404151325"/>
      <w:bookmarkStart w:id="83" w:name="_Toc419375221"/>
      <w:bookmarkStart w:id="84" w:name="_Toc419375258"/>
      <w:bookmarkStart w:id="85" w:name="_Toc419453517"/>
      <w:r>
        <w:t>Notes</w:t>
      </w:r>
      <w:bookmarkEnd w:id="82"/>
      <w:bookmarkEnd w:id="83"/>
      <w:bookmarkEnd w:id="84"/>
      <w:bookmarkEnd w:id="85"/>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6" w:name="_Toc404151326"/>
      <w:bookmarkStart w:id="87" w:name="_Toc419453518"/>
      <w:r>
        <w:t>Compilation table</w:t>
      </w:r>
      <w:bookmarkEnd w:id="86"/>
      <w:bookmarkEnd w:id="8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4" w:type="dxa"/>
            <w:tcBorders>
              <w:top w:val="single" w:sz="8" w:space="0" w:color="auto"/>
            </w:tcBorders>
          </w:tcPr>
          <w:p>
            <w:pPr>
              <w:pStyle w:val="nTable"/>
              <w:spacing w:after="40"/>
            </w:pPr>
            <w:r>
              <w:t>1 Sep 1979</w:t>
            </w:r>
          </w:p>
        </w:tc>
      </w:tr>
      <w:tr>
        <w:trPr>
          <w:cantSplit/>
        </w:trPr>
        <w:tc>
          <w:tcPr>
            <w:tcW w:w="3118"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4" w:type="dxa"/>
          </w:tcPr>
          <w:p>
            <w:pPr>
              <w:pStyle w:val="nTable"/>
              <w:spacing w:after="40"/>
            </w:pPr>
            <w:r>
              <w:t>26 Sep 1980</w:t>
            </w:r>
          </w:p>
        </w:tc>
      </w:tr>
      <w:tr>
        <w:trPr>
          <w:cantSplit/>
        </w:trPr>
        <w:tc>
          <w:tcPr>
            <w:tcW w:w="3118"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4" w:type="dxa"/>
          </w:tcPr>
          <w:p>
            <w:pPr>
              <w:pStyle w:val="nTable"/>
              <w:spacing w:after="40"/>
            </w:pPr>
            <w:r>
              <w:t>26 Jun 1981</w:t>
            </w:r>
          </w:p>
        </w:tc>
      </w:tr>
      <w:tr>
        <w:trPr>
          <w:cantSplit/>
        </w:trPr>
        <w:tc>
          <w:tcPr>
            <w:tcW w:w="3118"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4" w:type="dxa"/>
          </w:tcPr>
          <w:p>
            <w:pPr>
              <w:pStyle w:val="nTable"/>
              <w:spacing w:after="40"/>
            </w:pPr>
            <w:r>
              <w:t>1 Dec 1981 (see r. 2)</w:t>
            </w:r>
          </w:p>
        </w:tc>
      </w:tr>
      <w:tr>
        <w:trPr>
          <w:cantSplit/>
        </w:trPr>
        <w:tc>
          <w:tcPr>
            <w:tcW w:w="3118"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4" w:type="dxa"/>
          </w:tcPr>
          <w:p>
            <w:pPr>
              <w:pStyle w:val="nTable"/>
              <w:spacing w:after="40"/>
            </w:pPr>
            <w:r>
              <w:t>2 Jul 1982 </w:t>
            </w:r>
            <w:r>
              <w:rPr>
                <w:vertAlign w:val="superscript"/>
              </w:rPr>
              <w:t>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rPr>
          <w:cantSplit/>
        </w:trPr>
        <w:tc>
          <w:tcPr>
            <w:tcW w:w="3118"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4" w:type="dxa"/>
          </w:tcPr>
          <w:p>
            <w:pPr>
              <w:pStyle w:val="nTable"/>
              <w:spacing w:after="40"/>
            </w:pPr>
            <w:r>
              <w:t>1 Jan 1984 (see r. 2)</w:t>
            </w:r>
          </w:p>
        </w:tc>
      </w:tr>
      <w:tr>
        <w:trPr>
          <w:cantSplit/>
        </w:trPr>
        <w:tc>
          <w:tcPr>
            <w:tcW w:w="3118"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4" w:type="dxa"/>
          </w:tcPr>
          <w:p>
            <w:pPr>
              <w:pStyle w:val="nTable"/>
              <w:spacing w:after="40"/>
            </w:pPr>
            <w:r>
              <w:t>30 Dec 1983</w:t>
            </w:r>
          </w:p>
        </w:tc>
      </w:tr>
      <w:tr>
        <w:trPr>
          <w:cantSplit/>
        </w:trPr>
        <w:tc>
          <w:tcPr>
            <w:tcW w:w="3118" w:type="dxa"/>
          </w:tcPr>
          <w:p>
            <w:pPr>
              <w:pStyle w:val="nTable"/>
              <w:spacing w:after="40"/>
              <w:ind w:right="113"/>
              <w:rPr>
                <w:vertAlign w:val="superscript"/>
              </w:rPr>
            </w:pPr>
            <w:r>
              <w:rPr>
                <w:i/>
              </w:rPr>
              <w:t>Real Estate and Business Agents (General) Amendment Regulations 1984</w:t>
            </w:r>
            <w:r>
              <w:t> </w:t>
            </w:r>
            <w:r>
              <w:rPr>
                <w:iCs/>
                <w:vertAlign w:val="superscript"/>
              </w:rPr>
              <w:t>3</w:t>
            </w:r>
          </w:p>
        </w:tc>
        <w:tc>
          <w:tcPr>
            <w:tcW w:w="1276" w:type="dxa"/>
          </w:tcPr>
          <w:p>
            <w:pPr>
              <w:pStyle w:val="nTable"/>
              <w:spacing w:after="40"/>
            </w:pPr>
            <w:r>
              <w:t>21 Dec 1984 p. 4191</w:t>
            </w:r>
          </w:p>
        </w:tc>
        <w:tc>
          <w:tcPr>
            <w:tcW w:w="2694" w:type="dxa"/>
          </w:tcPr>
          <w:p>
            <w:pPr>
              <w:pStyle w:val="nTable"/>
              <w:spacing w:after="40"/>
            </w:pPr>
            <w:r>
              <w:t>21 Dec 1984</w:t>
            </w:r>
          </w:p>
        </w:tc>
      </w:tr>
      <w:tr>
        <w:trPr>
          <w:cantSplit/>
        </w:trPr>
        <w:tc>
          <w:tcPr>
            <w:tcW w:w="3118"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4" w:type="dxa"/>
          </w:tcPr>
          <w:p>
            <w:pPr>
              <w:pStyle w:val="nTable"/>
              <w:spacing w:after="40"/>
            </w:pPr>
            <w:r>
              <w:t>21 Jun 1985</w:t>
            </w:r>
          </w:p>
        </w:tc>
      </w:tr>
      <w:tr>
        <w:trPr>
          <w:cantSplit/>
        </w:trPr>
        <w:tc>
          <w:tcPr>
            <w:tcW w:w="3118"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4" w:type="dxa"/>
          </w:tcPr>
          <w:p>
            <w:pPr>
              <w:pStyle w:val="nTable"/>
              <w:spacing w:after="40"/>
            </w:pPr>
            <w:r>
              <w:t>28 Feb 1986</w:t>
            </w:r>
          </w:p>
        </w:tc>
      </w:tr>
      <w:tr>
        <w:trPr>
          <w:cantSplit/>
        </w:trPr>
        <w:tc>
          <w:tcPr>
            <w:tcW w:w="3118"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4" w:type="dxa"/>
          </w:tcPr>
          <w:p>
            <w:pPr>
              <w:pStyle w:val="nTable"/>
              <w:spacing w:after="40"/>
            </w:pPr>
            <w:r>
              <w:t>1 Jul 1986 (see r. 2)</w:t>
            </w:r>
          </w:p>
        </w:tc>
      </w:tr>
      <w:tr>
        <w:trPr>
          <w:cantSplit/>
        </w:trPr>
        <w:tc>
          <w:tcPr>
            <w:tcW w:w="3118"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4" w:type="dxa"/>
          </w:tcPr>
          <w:p>
            <w:pPr>
              <w:pStyle w:val="nTable"/>
              <w:spacing w:after="40"/>
            </w:pPr>
            <w:r>
              <w:t>1 Feb 1987 (see r. 2)</w:t>
            </w:r>
          </w:p>
        </w:tc>
      </w:tr>
      <w:tr>
        <w:trPr>
          <w:cantSplit/>
        </w:trPr>
        <w:tc>
          <w:tcPr>
            <w:tcW w:w="3118"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4" w:type="dxa"/>
          </w:tcPr>
          <w:p>
            <w:pPr>
              <w:pStyle w:val="nTable"/>
              <w:spacing w:after="40"/>
            </w:pPr>
            <w:r>
              <w:t>24 Dec 1986</w:t>
            </w:r>
          </w:p>
        </w:tc>
      </w:tr>
      <w:tr>
        <w:trPr>
          <w:cantSplit/>
        </w:trPr>
        <w:tc>
          <w:tcPr>
            <w:tcW w:w="3118"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4" w:type="dxa"/>
          </w:tcPr>
          <w:p>
            <w:pPr>
              <w:pStyle w:val="nTable"/>
              <w:spacing w:after="40"/>
            </w:pPr>
            <w:r>
              <w:t>8 May 1987</w:t>
            </w:r>
          </w:p>
        </w:tc>
      </w:tr>
      <w:tr>
        <w:trPr>
          <w:cantSplit/>
        </w:trPr>
        <w:tc>
          <w:tcPr>
            <w:tcW w:w="3118"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4" w:type="dxa"/>
          </w:tcPr>
          <w:p>
            <w:pPr>
              <w:pStyle w:val="nTable"/>
              <w:spacing w:after="40"/>
            </w:pPr>
            <w:r>
              <w:t>4 Sep 1987</w:t>
            </w:r>
          </w:p>
        </w:tc>
      </w:tr>
      <w:tr>
        <w:trPr>
          <w:cantSplit/>
        </w:trPr>
        <w:tc>
          <w:tcPr>
            <w:tcW w:w="3118"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4" w:type="dxa"/>
          </w:tcPr>
          <w:p>
            <w:pPr>
              <w:pStyle w:val="nTable"/>
              <w:spacing w:after="40"/>
            </w:pPr>
            <w:r>
              <w:t>30 Oct 1987</w:t>
            </w:r>
          </w:p>
        </w:tc>
      </w:tr>
      <w:tr>
        <w:trPr>
          <w:cantSplit/>
        </w:trPr>
        <w:tc>
          <w:tcPr>
            <w:tcW w:w="3118"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4" w:type="dxa"/>
          </w:tcPr>
          <w:p>
            <w:pPr>
              <w:pStyle w:val="nTable"/>
              <w:spacing w:after="40"/>
            </w:pPr>
            <w:r>
              <w:t>18 Dec 1987</w:t>
            </w:r>
          </w:p>
        </w:tc>
      </w:tr>
      <w:tr>
        <w:trPr>
          <w:cantSplit/>
        </w:trPr>
        <w:tc>
          <w:tcPr>
            <w:tcW w:w="3118"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4" w:type="dxa"/>
          </w:tcPr>
          <w:p>
            <w:pPr>
              <w:pStyle w:val="nTable"/>
              <w:spacing w:after="40"/>
            </w:pPr>
            <w:r>
              <w:t>12 Aug 1988</w:t>
            </w:r>
          </w:p>
        </w:tc>
      </w:tr>
      <w:tr>
        <w:trPr>
          <w:cantSplit/>
        </w:trPr>
        <w:tc>
          <w:tcPr>
            <w:tcW w:w="3118"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4" w:type="dxa"/>
          </w:tcPr>
          <w:p>
            <w:pPr>
              <w:pStyle w:val="nTable"/>
              <w:spacing w:after="40"/>
            </w:pPr>
            <w:r>
              <w:t>2 Sep 1988</w:t>
            </w:r>
          </w:p>
        </w:tc>
      </w:tr>
      <w:tr>
        <w:trPr>
          <w:cantSplit/>
        </w:trPr>
        <w:tc>
          <w:tcPr>
            <w:tcW w:w="3118"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4" w:type="dxa"/>
          </w:tcPr>
          <w:p>
            <w:pPr>
              <w:pStyle w:val="nTable"/>
              <w:spacing w:after="40"/>
            </w:pPr>
            <w:r>
              <w:t>20 Jan 1989</w:t>
            </w:r>
          </w:p>
        </w:tc>
      </w:tr>
      <w:tr>
        <w:trPr>
          <w:cantSplit/>
        </w:trPr>
        <w:tc>
          <w:tcPr>
            <w:tcW w:w="3118"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4" w:type="dxa"/>
          </w:tcPr>
          <w:p>
            <w:pPr>
              <w:pStyle w:val="nTable"/>
              <w:spacing w:after="40"/>
            </w:pPr>
            <w:r>
              <w:t>3 Feb 1989</w:t>
            </w:r>
          </w:p>
        </w:tc>
      </w:tr>
      <w:tr>
        <w:trPr>
          <w:cantSplit/>
        </w:trPr>
        <w:tc>
          <w:tcPr>
            <w:tcW w:w="3118"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4" w:type="dxa"/>
          </w:tcPr>
          <w:p>
            <w:pPr>
              <w:pStyle w:val="nTable"/>
              <w:spacing w:after="40"/>
            </w:pPr>
            <w:r>
              <w:t>1 Jul 1989 (see r. 2)</w:t>
            </w:r>
          </w:p>
        </w:tc>
      </w:tr>
      <w:tr>
        <w:trPr>
          <w:cantSplit/>
        </w:trPr>
        <w:tc>
          <w:tcPr>
            <w:tcW w:w="3118"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4" w:type="dxa"/>
          </w:tcPr>
          <w:p>
            <w:pPr>
              <w:pStyle w:val="nTable"/>
              <w:spacing w:after="40"/>
            </w:pPr>
            <w:r>
              <w:t>15 Jun 1990</w:t>
            </w:r>
          </w:p>
        </w:tc>
      </w:tr>
      <w:tr>
        <w:trPr>
          <w:cantSplit/>
        </w:trPr>
        <w:tc>
          <w:tcPr>
            <w:tcW w:w="3118"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4" w:type="dxa"/>
          </w:tcPr>
          <w:p>
            <w:pPr>
              <w:pStyle w:val="nTable"/>
              <w:spacing w:after="40"/>
            </w:pPr>
            <w:r>
              <w:t>20 Jul 1990</w:t>
            </w:r>
          </w:p>
        </w:tc>
      </w:tr>
      <w:tr>
        <w:trPr>
          <w:cantSplit/>
        </w:trPr>
        <w:tc>
          <w:tcPr>
            <w:tcW w:w="3118"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4" w:type="dxa"/>
          </w:tcPr>
          <w:p>
            <w:pPr>
              <w:pStyle w:val="nTable"/>
              <w:spacing w:after="40"/>
            </w:pPr>
            <w:r>
              <w:t>1 Aug 1990</w:t>
            </w:r>
          </w:p>
        </w:tc>
      </w:tr>
      <w:tr>
        <w:trPr>
          <w:cantSplit/>
        </w:trPr>
        <w:tc>
          <w:tcPr>
            <w:tcW w:w="3118"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4" w:type="dxa"/>
          </w:tcPr>
          <w:p>
            <w:pPr>
              <w:pStyle w:val="nTable"/>
              <w:spacing w:after="40"/>
            </w:pPr>
            <w:r>
              <w:t>26 Oct 1990</w:t>
            </w:r>
          </w:p>
        </w:tc>
      </w:tr>
      <w:tr>
        <w:trPr>
          <w:cantSplit/>
        </w:trPr>
        <w:tc>
          <w:tcPr>
            <w:tcW w:w="3118"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4" w:type="dxa"/>
          </w:tcPr>
          <w:p>
            <w:pPr>
              <w:pStyle w:val="nTable"/>
              <w:spacing w:after="40"/>
            </w:pPr>
            <w:r>
              <w:t>28 Jun 1991</w:t>
            </w:r>
          </w:p>
        </w:tc>
      </w:tr>
      <w:tr>
        <w:trPr>
          <w:cantSplit/>
        </w:trPr>
        <w:tc>
          <w:tcPr>
            <w:tcW w:w="3118"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4" w:type="dxa"/>
          </w:tcPr>
          <w:p>
            <w:pPr>
              <w:pStyle w:val="nTable"/>
              <w:spacing w:after="40"/>
            </w:pPr>
            <w:r>
              <w:t>13 Dec 1991</w:t>
            </w:r>
          </w:p>
        </w:tc>
      </w:tr>
      <w:tr>
        <w:trPr>
          <w:cantSplit/>
        </w:trPr>
        <w:tc>
          <w:tcPr>
            <w:tcW w:w="3118"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4" w:type="dxa"/>
          </w:tcPr>
          <w:p>
            <w:pPr>
              <w:pStyle w:val="nTable"/>
              <w:spacing w:after="40"/>
            </w:pPr>
            <w:r>
              <w:t>14 Aug 1992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rPr>
          <w:cantSplit/>
        </w:trPr>
        <w:tc>
          <w:tcPr>
            <w:tcW w:w="3118"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4" w:type="dxa"/>
          </w:tcPr>
          <w:p>
            <w:pPr>
              <w:pStyle w:val="nTable"/>
              <w:spacing w:after="40"/>
            </w:pPr>
            <w:r>
              <w:t>30 Nov 1993</w:t>
            </w:r>
          </w:p>
        </w:tc>
      </w:tr>
      <w:tr>
        <w:trPr>
          <w:cantSplit/>
        </w:trPr>
        <w:tc>
          <w:tcPr>
            <w:tcW w:w="3118"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4" w:type="dxa"/>
          </w:tcPr>
          <w:p>
            <w:pPr>
              <w:pStyle w:val="nTable"/>
              <w:spacing w:after="40"/>
            </w:pPr>
            <w:r>
              <w:t>6 Oct 1994 (see r. 2)</w:t>
            </w:r>
          </w:p>
        </w:tc>
      </w:tr>
      <w:tr>
        <w:trPr>
          <w:cantSplit/>
        </w:trPr>
        <w:tc>
          <w:tcPr>
            <w:tcW w:w="3118"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4" w:type="dxa"/>
          </w:tcPr>
          <w:p>
            <w:pPr>
              <w:pStyle w:val="nTable"/>
              <w:spacing w:after="40"/>
            </w:pPr>
            <w:r>
              <w:t>9 Dec 1994</w:t>
            </w:r>
          </w:p>
        </w:tc>
      </w:tr>
      <w:tr>
        <w:trPr>
          <w:cantSplit/>
        </w:trPr>
        <w:tc>
          <w:tcPr>
            <w:tcW w:w="3118"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4" w:type="dxa"/>
          </w:tcPr>
          <w:p>
            <w:pPr>
              <w:pStyle w:val="nTable"/>
              <w:spacing w:after="40"/>
            </w:pPr>
            <w:r>
              <w:t>7 Jun 1996</w:t>
            </w:r>
          </w:p>
        </w:tc>
      </w:tr>
      <w:tr>
        <w:trPr>
          <w:cantSplit/>
        </w:trPr>
        <w:tc>
          <w:tcPr>
            <w:tcW w:w="3118"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4" w:type="dxa"/>
          </w:tcPr>
          <w:p>
            <w:pPr>
              <w:pStyle w:val="nTable"/>
              <w:spacing w:after="40"/>
            </w:pPr>
            <w:r>
              <w:t xml:space="preserve">1 Jul 1996 (see r. 2 and </w:t>
            </w:r>
            <w:r>
              <w:rPr>
                <w:i/>
              </w:rPr>
              <w:t>Gazette</w:t>
            </w:r>
            <w:r>
              <w:t xml:space="preserve"> 25 Jun 1996 p. 2902)</w:t>
            </w:r>
          </w:p>
        </w:tc>
      </w:tr>
      <w:tr>
        <w:trPr>
          <w:cantSplit/>
        </w:trPr>
        <w:tc>
          <w:tcPr>
            <w:tcW w:w="3118"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4" w:type="dxa"/>
          </w:tcPr>
          <w:p>
            <w:pPr>
              <w:pStyle w:val="nTable"/>
              <w:spacing w:after="40"/>
            </w:pPr>
            <w:r>
              <w:t xml:space="preserve">1 Jul 1996 (see r. 2 and </w:t>
            </w:r>
            <w:r>
              <w:rPr>
                <w:i/>
              </w:rPr>
              <w:t>Gazette</w:t>
            </w:r>
            <w:r>
              <w:t xml:space="preserve"> 1 Jul 1996 p. 3179)</w:t>
            </w:r>
          </w:p>
        </w:tc>
      </w:tr>
      <w:tr>
        <w:trPr>
          <w:cantSplit/>
        </w:trPr>
        <w:tc>
          <w:tcPr>
            <w:tcW w:w="3118"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4" w:type="dxa"/>
          </w:tcPr>
          <w:p>
            <w:pPr>
              <w:pStyle w:val="nTable"/>
              <w:spacing w:after="40"/>
            </w:pPr>
            <w:r>
              <w:t>1 Jul 1997 (see r. 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rPr>
          <w:cantSplit/>
        </w:trPr>
        <w:tc>
          <w:tcPr>
            <w:tcW w:w="3118"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4" w:type="dxa"/>
          </w:tcPr>
          <w:p>
            <w:pPr>
              <w:pStyle w:val="nTable"/>
              <w:spacing w:after="40"/>
            </w:pPr>
            <w:r>
              <w:t xml:space="preserve">1 Nov 1998 (see r. 2 and </w:t>
            </w:r>
            <w:r>
              <w:rPr>
                <w:i/>
              </w:rPr>
              <w:t>Gazette</w:t>
            </w:r>
            <w:r>
              <w:t xml:space="preserve"> 16 Oct 1998 p. 5729)</w:t>
            </w:r>
          </w:p>
        </w:tc>
      </w:tr>
      <w:tr>
        <w:trPr>
          <w:cantSplit/>
        </w:trPr>
        <w:tc>
          <w:tcPr>
            <w:tcW w:w="3118"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4" w:type="dxa"/>
          </w:tcPr>
          <w:p>
            <w:pPr>
              <w:pStyle w:val="nTable"/>
              <w:spacing w:after="40"/>
            </w:pPr>
            <w:r>
              <w:t>8 Oct 1999</w:t>
            </w:r>
          </w:p>
        </w:tc>
      </w:tr>
      <w:tr>
        <w:trPr>
          <w:cantSplit/>
        </w:trPr>
        <w:tc>
          <w:tcPr>
            <w:tcW w:w="3118"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4" w:type="dxa"/>
          </w:tcPr>
          <w:p>
            <w:pPr>
              <w:pStyle w:val="nTable"/>
              <w:spacing w:after="40"/>
            </w:pPr>
            <w:r>
              <w:t>18 Feb 2000</w:t>
            </w:r>
          </w:p>
        </w:tc>
      </w:tr>
      <w:tr>
        <w:trPr>
          <w:cantSplit/>
        </w:trPr>
        <w:tc>
          <w:tcPr>
            <w:tcW w:w="3118"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4" w:type="dxa"/>
          </w:tcPr>
          <w:p>
            <w:pPr>
              <w:pStyle w:val="nTable"/>
              <w:spacing w:after="40"/>
            </w:pPr>
            <w:r>
              <w:t>6 Nov 2001</w:t>
            </w:r>
          </w:p>
        </w:tc>
      </w:tr>
      <w:tr>
        <w:trPr>
          <w:cantSplit/>
        </w:trPr>
        <w:tc>
          <w:tcPr>
            <w:tcW w:w="3118"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4" w:type="dxa"/>
          </w:tcPr>
          <w:p>
            <w:pPr>
              <w:pStyle w:val="nTable"/>
              <w:spacing w:after="40"/>
            </w:pPr>
            <w:r>
              <w:t>8 Feb 2002</w:t>
            </w:r>
          </w:p>
        </w:tc>
      </w:tr>
      <w:tr>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rPr>
          <w:cantSplit/>
        </w:trPr>
        <w:tc>
          <w:tcPr>
            <w:tcW w:w="3118" w:type="dxa"/>
          </w:tcPr>
          <w:p>
            <w:pPr>
              <w:pStyle w:val="nTable"/>
              <w:spacing w:after="40"/>
              <w:ind w:right="113"/>
              <w:rPr>
                <w:i/>
                <w:vertAlign w:val="superscript"/>
              </w:rPr>
            </w:pPr>
            <w:r>
              <w:rPr>
                <w:i/>
              </w:rPr>
              <w:t>Real Estate and Business Agents (General) Amendment Regulations 2003</w:t>
            </w:r>
            <w:r>
              <w:t> </w:t>
            </w:r>
            <w:r>
              <w:rPr>
                <w:vertAlign w:val="superscript"/>
              </w:rPr>
              <w:t>4</w:t>
            </w:r>
          </w:p>
        </w:tc>
        <w:tc>
          <w:tcPr>
            <w:tcW w:w="1276" w:type="dxa"/>
          </w:tcPr>
          <w:p>
            <w:pPr>
              <w:pStyle w:val="nTable"/>
              <w:spacing w:after="40"/>
            </w:pPr>
            <w:r>
              <w:t>7 Feb 2003 p. 384</w:t>
            </w:r>
            <w:r>
              <w:noBreakHyphen/>
              <w:t>7 (as amended 13 Jan 2004 p. 145</w:t>
            </w:r>
            <w:r>
              <w:noBreakHyphen/>
              <w:t>6)</w:t>
            </w:r>
          </w:p>
        </w:tc>
        <w:tc>
          <w:tcPr>
            <w:tcW w:w="2694" w:type="dxa"/>
          </w:tcPr>
          <w:p>
            <w:pPr>
              <w:pStyle w:val="nTable"/>
              <w:spacing w:after="40"/>
            </w:pPr>
            <w:r>
              <w:t>7 Feb 2003</w:t>
            </w:r>
          </w:p>
        </w:tc>
      </w:tr>
      <w:tr>
        <w:trPr>
          <w:cantSplit/>
        </w:trPr>
        <w:tc>
          <w:tcPr>
            <w:tcW w:w="3118"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4" w:type="dxa"/>
          </w:tcPr>
          <w:p>
            <w:pPr>
              <w:pStyle w:val="nTable"/>
              <w:spacing w:after="40"/>
            </w:pPr>
            <w:r>
              <w:t>13 Jan 2004</w:t>
            </w:r>
          </w:p>
        </w:tc>
      </w:tr>
      <w:tr>
        <w:trPr>
          <w:cantSplit/>
        </w:trPr>
        <w:tc>
          <w:tcPr>
            <w:tcW w:w="3118"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4" w:type="dxa"/>
          </w:tcPr>
          <w:p>
            <w:pPr>
              <w:pStyle w:val="nTable"/>
              <w:spacing w:after="40"/>
            </w:pPr>
            <w:r>
              <w:t>17 Nov 2006</w:t>
            </w:r>
          </w:p>
        </w:tc>
      </w:tr>
      <w:tr>
        <w:trPr>
          <w:cantSplit/>
        </w:trPr>
        <w:tc>
          <w:tcPr>
            <w:tcW w:w="3118"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4" w:type="dxa"/>
          </w:tcPr>
          <w:p>
            <w:pPr>
              <w:pStyle w:val="nTable"/>
              <w:spacing w:after="40"/>
            </w:pPr>
            <w:r>
              <w:t>6 Feb 2007</w:t>
            </w:r>
          </w:p>
        </w:tc>
      </w:tr>
      <w:tr>
        <w:trPr>
          <w:cantSplit/>
        </w:trPr>
        <w:tc>
          <w:tcPr>
            <w:tcW w:w="3118"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4" w:type="dxa"/>
          </w:tcPr>
          <w:p>
            <w:pPr>
              <w:pStyle w:val="nTable"/>
              <w:spacing w:after="40"/>
            </w:pPr>
            <w:r>
              <w:t>9 Mar 2007</w:t>
            </w:r>
          </w:p>
        </w:tc>
      </w:tr>
      <w:tr>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rPr>
          <w:cantSplit/>
        </w:trPr>
        <w:tc>
          <w:tcPr>
            <w:tcW w:w="3118"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4"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rPr>
          <w:cantSplit/>
        </w:trPr>
        <w:tc>
          <w:tcPr>
            <w:tcW w:w="3118"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4" w:type="dxa"/>
          </w:tcPr>
          <w:p>
            <w:pPr>
              <w:pStyle w:val="nTable"/>
              <w:spacing w:after="40"/>
            </w:pPr>
            <w:r>
              <w:t>r. 1 and 2: 28 Dec 2007 (see r. 2(a));</w:t>
            </w:r>
          </w:p>
          <w:p>
            <w:pPr>
              <w:pStyle w:val="nTable"/>
              <w:spacing w:after="40"/>
              <w:rPr>
                <w:snapToGrid w:val="0"/>
              </w:rPr>
            </w:pPr>
            <w:r>
              <w:t>Regulations other than r. 1 and 2: 29 Dec 2007 (see r. 2(b))</w:t>
            </w:r>
          </w:p>
        </w:tc>
      </w:tr>
      <w:tr>
        <w:trPr>
          <w:cantSplit/>
        </w:trPr>
        <w:tc>
          <w:tcPr>
            <w:tcW w:w="3118"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4" w:type="dxa"/>
          </w:tcPr>
          <w:p>
            <w:pPr>
              <w:pStyle w:val="nTable"/>
              <w:spacing w:after="40"/>
            </w:pPr>
            <w:r>
              <w:t>r. 1 and 2: 17 Jun 2008 (see r. 2(a));</w:t>
            </w:r>
            <w:r>
              <w:br/>
              <w:t>Regulations other than r. 1 and 2: 1 Jul 2008 (see r. 2(b))</w:t>
            </w:r>
          </w:p>
        </w:tc>
      </w:tr>
      <w:tr>
        <w:trPr>
          <w:cantSplit/>
        </w:trPr>
        <w:tc>
          <w:tcPr>
            <w:tcW w:w="3118"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4" w:type="dxa"/>
          </w:tcPr>
          <w:p>
            <w:pPr>
              <w:pStyle w:val="nTable"/>
              <w:spacing w:after="40"/>
            </w:pPr>
            <w:r>
              <w:t>r. 1 and 2: 24 Jun 2008 (see r. 2(a));</w:t>
            </w:r>
            <w:r>
              <w:br/>
              <w:t>Regulations other than r. 1 and 2: 25 Jun 2008 (see r. 2(b))</w:t>
            </w:r>
          </w:p>
        </w:tc>
      </w:tr>
      <w:tr>
        <w:trPr>
          <w:cantSplit/>
        </w:trPr>
        <w:tc>
          <w:tcPr>
            <w:tcW w:w="3118"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4" w:type="dxa"/>
          </w:tcPr>
          <w:p>
            <w:pPr>
              <w:pStyle w:val="nTable"/>
              <w:spacing w:after="40"/>
            </w:pPr>
            <w:r>
              <w:t>r. 1 and 2: 23 Dec 2008 (see r. 2(a));</w:t>
            </w:r>
            <w:r>
              <w:br/>
              <w:t>Regulations other than r. 1 and 2: 24 Dec 2008 (see r. 2(b))</w:t>
            </w:r>
          </w:p>
        </w:tc>
      </w:tr>
      <w:tr>
        <w:trPr>
          <w:cantSplit/>
        </w:trPr>
        <w:tc>
          <w:tcPr>
            <w:tcW w:w="3118"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4"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4" w:type="dxa"/>
          </w:tcPr>
          <w:p>
            <w:pPr>
              <w:pStyle w:val="nTable"/>
              <w:spacing w:after="40"/>
              <w:rPr>
                <w:rFonts w:ascii="Times" w:hAnsi="Times"/>
              </w:rPr>
            </w:pPr>
            <w:r>
              <w:rPr>
                <w:rFonts w:ascii="Times" w:hAnsi="Times"/>
              </w:rPr>
              <w:t>r. 1 and 2: 8 May 2009 (see r. 2(a));</w:t>
            </w:r>
            <w:r>
              <w:rPr>
                <w:rFonts w:ascii="Times" w:hAnsi="Times"/>
              </w:rPr>
              <w:br/>
              <w:t>Regulations other than r. 1 and 2: 1 Jul 2009 (see r. 2(b))</w:t>
            </w:r>
          </w:p>
        </w:tc>
      </w:tr>
      <w:tr>
        <w:trPr>
          <w:cantSplit/>
        </w:trPr>
        <w:tc>
          <w:tcPr>
            <w:tcW w:w="3118"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4" w:type="dxa"/>
          </w:tcPr>
          <w:p>
            <w:pPr>
              <w:pStyle w:val="nTable"/>
              <w:spacing w:after="40"/>
              <w:rPr>
                <w:rFonts w:ascii="Times" w:hAnsi="Times"/>
              </w:rPr>
            </w:pPr>
            <w:r>
              <w:rPr>
                <w:rFonts w:ascii="Times" w:hAnsi="Times"/>
                <w:snapToGrid w:val="0"/>
              </w:rPr>
              <w:t>r. 1 and 2: 23 Jun 2009 (see r. 2(a));</w:t>
            </w:r>
            <w:r>
              <w:rPr>
                <w:rFonts w:ascii="Times" w:hAnsi="Times"/>
                <w:snapToGrid w:val="0"/>
              </w:rPr>
              <w:br/>
              <w:t>Regulations other than r. 1 and 2: 1 Jul 2009 (see r. 2(b))</w:t>
            </w:r>
          </w:p>
        </w:tc>
      </w:tr>
      <w:tr>
        <w:trPr>
          <w:cantSplit/>
        </w:trPr>
        <w:tc>
          <w:tcPr>
            <w:tcW w:w="3118"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4" w:type="dxa"/>
          </w:tcPr>
          <w:p>
            <w:pPr>
              <w:pStyle w:val="nTable"/>
              <w:spacing w:after="40"/>
              <w:rPr>
                <w:rFonts w:ascii="Times" w:hAnsi="Times"/>
                <w:snapToGrid w:val="0"/>
              </w:rPr>
            </w:pPr>
            <w:r>
              <w:rPr>
                <w:rFonts w:ascii="Times" w:hAnsi="Times"/>
                <w:snapToGrid w:val="0"/>
              </w:rPr>
              <w:t>r. 1 and 2: 28 Aug 2009 (see r. 2(a));</w:t>
            </w:r>
            <w:r>
              <w:rPr>
                <w:rFonts w:ascii="Times" w:hAnsi="Times"/>
                <w:snapToGrid w:val="0"/>
              </w:rPr>
              <w:br/>
              <w:t>Regulations other than r. 1 and 2: 29 Aug 2009 (see r. 2(b))</w:t>
            </w:r>
          </w:p>
        </w:tc>
      </w:tr>
      <w:tr>
        <w:trPr>
          <w:cantSplit/>
        </w:trPr>
        <w:tc>
          <w:tcPr>
            <w:tcW w:w="3118"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4" w:type="dxa"/>
          </w:tcPr>
          <w:p>
            <w:pPr>
              <w:pStyle w:val="nTable"/>
              <w:spacing w:after="40"/>
              <w:rPr>
                <w:rFonts w:ascii="Times" w:hAnsi="Times"/>
                <w:snapToGrid w:val="0"/>
              </w:rPr>
            </w:pPr>
            <w:r>
              <w:rPr>
                <w:rFonts w:ascii="Times" w:hAnsi="Times"/>
                <w:snapToGrid w:val="0"/>
              </w:rPr>
              <w:t>r. 1 and 2: 10 Nov 2009 (see r. 2(a));</w:t>
            </w:r>
            <w:r>
              <w:rPr>
                <w:rFonts w:ascii="Times" w:hAnsi="Times"/>
                <w:snapToGrid w:val="0"/>
              </w:rPr>
              <w:br/>
              <w:t>Regulations other than r. 1 and 2: 11 Nov 2009 (see r. 2(b))</w:t>
            </w:r>
          </w:p>
        </w:tc>
      </w:tr>
      <w:tr>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rPr>
          <w:cantSplit/>
        </w:trPr>
        <w:tc>
          <w:tcPr>
            <w:tcW w:w="3118"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4" w:type="dxa"/>
          </w:tcPr>
          <w:p>
            <w:pPr>
              <w:pStyle w:val="nTable"/>
              <w:spacing w:after="40"/>
              <w:rPr>
                <w:rFonts w:ascii="Times" w:hAnsi="Times"/>
                <w:snapToGrid w:val="0"/>
              </w:rPr>
            </w:pPr>
            <w:r>
              <w:rPr>
                <w:rFonts w:ascii="Times" w:hAnsi="Times"/>
                <w:snapToGrid w:val="0"/>
              </w:rPr>
              <w:t>r. 1 and 2: 28 May 2010 (see r. 2(a));</w:t>
            </w:r>
            <w:r>
              <w:rPr>
                <w:rFonts w:ascii="Times" w:hAnsi="Times"/>
                <w:snapToGrid w:val="0"/>
              </w:rPr>
              <w:br/>
              <w:t>Regulations other than r. 1 and 2: 29 May 2010 (see r. 2(b))</w:t>
            </w:r>
          </w:p>
        </w:tc>
      </w:tr>
      <w:tr>
        <w:trPr>
          <w:cantSplit/>
        </w:trPr>
        <w:tc>
          <w:tcPr>
            <w:tcW w:w="3118"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4" w:type="dxa"/>
          </w:tcPr>
          <w:p>
            <w:pPr>
              <w:pStyle w:val="nTable"/>
              <w:spacing w:after="40"/>
              <w:rPr>
                <w:rFonts w:ascii="Times" w:hAnsi="Times"/>
                <w:snapToGrid w:val="0"/>
              </w:rPr>
            </w:pPr>
            <w:r>
              <w:rPr>
                <w:rFonts w:ascii="Times" w:hAnsi="Times"/>
                <w:snapToGrid w:val="0"/>
              </w:rPr>
              <w:t>r. 1 and 2: 25 Jun 2010 (see r. 2(a));</w:t>
            </w:r>
            <w:r>
              <w:rPr>
                <w:rFonts w:ascii="Times" w:hAnsi="Times"/>
                <w:snapToGrid w:val="0"/>
              </w:rPr>
              <w:br/>
              <w:t>Regulations other than r. 1 and 2: 1 Jul 2010 (see r. 2(b))</w:t>
            </w:r>
          </w:p>
        </w:tc>
      </w:tr>
      <w:tr>
        <w:trPr>
          <w:cantSplit/>
        </w:trPr>
        <w:tc>
          <w:tcPr>
            <w:tcW w:w="3118"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4" w:type="dxa"/>
          </w:tcPr>
          <w:p>
            <w:pPr>
              <w:pStyle w:val="nTable"/>
              <w:spacing w:after="40"/>
              <w:rPr>
                <w:rFonts w:ascii="Times" w:hAnsi="Times"/>
                <w:snapToGrid w:val="0"/>
              </w:rPr>
            </w:pPr>
            <w:r>
              <w:rPr>
                <w:rFonts w:ascii="Times" w:hAnsi="Times"/>
                <w:snapToGrid w:val="0"/>
              </w:rPr>
              <w:t>r. 1 and 2: 22 Jun 2011 (see r. 2(a));</w:t>
            </w:r>
            <w:r>
              <w:rPr>
                <w:rFonts w:ascii="Times" w:hAnsi="Times"/>
                <w:snapToGrid w:val="0"/>
              </w:rPr>
              <w:br/>
              <w:t>Regulations other than r. 1 and 2: 1 Jul 2011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4" w:type="dxa"/>
            <w:shd w:val="clear" w:color="auto" w:fill="auto"/>
          </w:tcPr>
          <w:p>
            <w:pPr>
              <w:pStyle w:val="nTable"/>
              <w:spacing w:after="40"/>
              <w:rPr>
                <w:rFonts w:ascii="Times" w:hAnsi="Times"/>
                <w:snapToGrid w:val="0"/>
              </w:rPr>
            </w:pPr>
            <w:r>
              <w:rPr>
                <w:rFonts w:ascii="Times" w:hAnsi="Times"/>
                <w:snapToGrid w:val="0"/>
              </w:rPr>
              <w:t>r. 1 and 2: 30 Jun 2011 (see r. 2(a));</w:t>
            </w:r>
            <w:r>
              <w:rPr>
                <w:rFonts w:ascii="Times" w:hAnsi="Times"/>
                <w:snapToGrid w:val="0"/>
              </w:rPr>
              <w:br/>
              <w:t>Regulations other than r. 1 and 2: 1 Jul 2011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rPr>
          <w:cantSplit/>
        </w:trPr>
        <w:tc>
          <w:tcPr>
            <w:tcW w:w="3118"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4" w:type="dxa"/>
            <w:shd w:val="clear" w:color="auto" w:fill="auto"/>
          </w:tcPr>
          <w:p>
            <w:pPr>
              <w:pStyle w:val="nTable"/>
              <w:spacing w:after="40"/>
              <w:rPr>
                <w:rFonts w:ascii="Times" w:hAnsi="Times"/>
                <w:snapToGrid w:val="0"/>
              </w:rPr>
            </w:pPr>
            <w:r>
              <w:rPr>
                <w:rFonts w:ascii="Times" w:hAnsi="Times"/>
                <w:snapToGrid w:val="0"/>
              </w:rPr>
              <w:t>r. 1 and 2: 15 Jun 2012 (see r. 2(a));</w:t>
            </w:r>
            <w:r>
              <w:rPr>
                <w:rFonts w:ascii="Times" w:hAnsi="Times"/>
                <w:snapToGrid w:val="0"/>
              </w:rPr>
              <w:br/>
              <w:t>Regulations other than r. 1 and 2: 1 Jul 2012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4" w:type="dxa"/>
            <w:shd w:val="clear" w:color="auto" w:fill="auto"/>
          </w:tcPr>
          <w:p>
            <w:pPr>
              <w:pStyle w:val="nTable"/>
              <w:spacing w:after="40"/>
              <w:rPr>
                <w:rFonts w:ascii="Times" w:hAnsi="Times"/>
                <w:snapToGrid w:val="0"/>
              </w:rPr>
            </w:pPr>
            <w:r>
              <w:rPr>
                <w:rFonts w:ascii="Times" w:hAnsi="Times"/>
                <w:snapToGrid w:val="0"/>
              </w:rPr>
              <w:t>r. 1 and 2: 23 Oct 2012 (see r. 2(a));</w:t>
            </w:r>
            <w:r>
              <w:rPr>
                <w:rFonts w:ascii="Times" w:hAnsi="Times"/>
                <w:snapToGrid w:val="0"/>
              </w:rPr>
              <w:br/>
              <w:t>Regulations other than r. 1 and 2: 24 Oct 2012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4" w:type="dxa"/>
            <w:shd w:val="clear" w:color="auto" w:fill="auto"/>
          </w:tcPr>
          <w:p>
            <w:pPr>
              <w:pStyle w:val="nTable"/>
              <w:spacing w:after="40"/>
              <w:rPr>
                <w:rFonts w:ascii="Times" w:hAnsi="Times"/>
                <w:b/>
                <w:snapToGrid w:val="0"/>
              </w:rPr>
            </w:pPr>
            <w:r>
              <w:rPr>
                <w:rFonts w:ascii="Times" w:hAnsi="Times"/>
                <w:snapToGrid w:val="0"/>
              </w:rPr>
              <w:t>r. 1 and 2: 27 Jun 2013 (see r. 2(a));</w:t>
            </w:r>
            <w:r>
              <w:rPr>
                <w:rFonts w:ascii="Times" w:hAnsi="Times"/>
                <w:snapToGrid w:val="0"/>
              </w:rPr>
              <w:br/>
              <w:t>Regulations other than r. 1 and 2: 1 Jul 2013 (see r. 2(b))</w:t>
            </w:r>
          </w:p>
        </w:tc>
      </w:tr>
      <w:tr>
        <w:trPr>
          <w:cantSplit/>
        </w:trPr>
        <w:tc>
          <w:tcPr>
            <w:tcW w:w="3118"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4" w:type="dxa"/>
            <w:shd w:val="clear" w:color="auto" w:fill="auto"/>
          </w:tcPr>
          <w:p>
            <w:pPr>
              <w:pStyle w:val="nTable"/>
              <w:spacing w:after="40"/>
              <w:rPr>
                <w:rFonts w:ascii="Times" w:hAnsi="Times"/>
                <w:b/>
                <w:snapToGrid w:val="0"/>
                <w:spacing w:val="-2"/>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rPr>
          <w:cantSplit/>
        </w:trPr>
        <w:tc>
          <w:tcPr>
            <w:tcW w:w="3118"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4"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rPr>
          <w:cantSplit/>
        </w:trPr>
        <w:tc>
          <w:tcPr>
            <w:tcW w:w="3118"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4" w:type="dxa"/>
            <w:shd w:val="clear" w:color="auto" w:fill="auto"/>
          </w:tcPr>
          <w:p>
            <w:pPr>
              <w:pStyle w:val="nTable"/>
              <w:spacing w:after="40"/>
              <w:rPr>
                <w:snapToGrid w:val="0"/>
              </w:rPr>
            </w:pPr>
            <w:r>
              <w:rPr>
                <w:rFonts w:ascii="Times" w:hAnsi="Times"/>
                <w:bCs/>
                <w:snapToGrid w:val="0"/>
                <w:spacing w:val="-2"/>
              </w:rPr>
              <w:t>r. 1 and 2: 18 Nov 2014 (see r. 2(a));</w:t>
            </w:r>
            <w:r>
              <w:rPr>
                <w:rFonts w:ascii="Times" w:hAnsi="Times"/>
                <w:bCs/>
                <w:snapToGrid w:val="0"/>
                <w:spacing w:val="-2"/>
              </w:rPr>
              <w:br/>
              <w:t xml:space="preserve">Regulations other than r. 1 and 2: 19 Nov 2014 (see r. 2(b) and </w:t>
            </w:r>
            <w:r>
              <w:rPr>
                <w:rFonts w:ascii="Times" w:hAnsi="Times"/>
                <w:bCs/>
                <w:i/>
                <w:snapToGrid w:val="0"/>
                <w:spacing w:val="-2"/>
              </w:rPr>
              <w:t>Gazette</w:t>
            </w:r>
            <w:r>
              <w:rPr>
                <w:rFonts w:ascii="Times" w:hAnsi="Times"/>
                <w:bCs/>
                <w:snapToGrid w:val="0"/>
                <w:spacing w:val="-2"/>
              </w:rPr>
              <w:t xml:space="preserve"> 18 Nov 2014 p. 4315)</w:t>
            </w:r>
          </w:p>
        </w:tc>
      </w:tr>
      <w:tr>
        <w:trPr>
          <w:cantSplit/>
        </w:trPr>
        <w:tc>
          <w:tcPr>
            <w:tcW w:w="3118" w:type="dxa"/>
            <w:tcBorders>
              <w:bottom w:val="single" w:sz="4" w:space="0" w:color="auto"/>
            </w:tcBorders>
            <w:shd w:val="clear" w:color="auto" w:fill="auto"/>
          </w:tcPr>
          <w:p>
            <w:pPr>
              <w:pStyle w:val="nTable"/>
              <w:spacing w:after="40"/>
              <w:ind w:right="113"/>
            </w:pPr>
            <w:r>
              <w:rPr>
                <w:i/>
              </w:rPr>
              <w:t>Real Estate and Business Agents (General) Amendment Regulations 2015</w:t>
            </w:r>
          </w:p>
        </w:tc>
        <w:tc>
          <w:tcPr>
            <w:tcW w:w="1276" w:type="dxa"/>
            <w:tcBorders>
              <w:bottom w:val="single" w:sz="4" w:space="0" w:color="auto"/>
            </w:tcBorders>
            <w:shd w:val="clear" w:color="auto" w:fill="auto"/>
          </w:tcPr>
          <w:p>
            <w:pPr>
              <w:pStyle w:val="nTable"/>
              <w:spacing w:after="40"/>
            </w:pPr>
            <w:r>
              <w:t>15 May 2015 p. 1717</w:t>
            </w:r>
            <w:r>
              <w:noBreakHyphen/>
              <w:t>18</w:t>
            </w:r>
          </w:p>
        </w:tc>
        <w:tc>
          <w:tcPr>
            <w:tcW w:w="2694"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15 May 2015 (see r. 2(a));</w:t>
            </w:r>
            <w:r>
              <w:rPr>
                <w:rFonts w:ascii="Times" w:hAnsi="Times"/>
                <w:bCs/>
                <w:snapToGrid w:val="0"/>
                <w:spacing w:val="-2"/>
              </w:rPr>
              <w:br/>
              <w:t>Regulations other than r. 1 and 2: 16 May 2015 (see r. 2(b))</w:t>
            </w:r>
          </w:p>
        </w:tc>
      </w:tr>
    </w:tbl>
    <w:p>
      <w:pPr>
        <w:pStyle w:val="nSubsection"/>
        <w:spacing w:before="120"/>
      </w:pPr>
      <w:r>
        <w:rPr>
          <w:vertAlign w:val="superscript"/>
        </w:rPr>
        <w:t>2</w:t>
      </w:r>
      <w:r>
        <w:tab/>
        <w:t>The commencement date in r. 2 was of no effect as it was before the date of gazettal.</w:t>
      </w:r>
    </w:p>
    <w:p>
      <w:pPr>
        <w:pStyle w:val="nSubsection"/>
        <w:keepLines/>
        <w:spacing w:before="120"/>
      </w:pPr>
      <w:r>
        <w:rPr>
          <w:vertAlign w:val="superscript"/>
        </w:rPr>
        <w:t>3</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Subsection"/>
        <w:spacing w:before="120"/>
        <w:rPr>
          <w:snapToGrid w:val="0"/>
        </w:rPr>
      </w:pPr>
      <w:r>
        <w:rPr>
          <w:snapToGrid w:val="0"/>
          <w:vertAlign w:val="superscript"/>
        </w:rPr>
        <w:t>4</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sectPr>
          <w:headerReference w:type="even" r:id="rId36"/>
          <w:headerReference w:type="default" r:id="rId37"/>
          <w:headerReference w:type="first" r:id="rId38"/>
          <w:pgSz w:w="11907" w:h="16840" w:code="9"/>
          <w:pgMar w:top="2376" w:right="2404" w:bottom="3544" w:left="2404" w:header="720" w:footer="3380" w:gutter="0"/>
          <w:cols w:space="720"/>
          <w:noEndnote/>
          <w:docGrid w:linePitch="326"/>
        </w:sectPr>
      </w:pPr>
    </w:p>
    <w:p>
      <w:pPr>
        <w:pStyle w:val="nHeading2"/>
        <w:rPr>
          <w:sz w:val="28"/>
        </w:rPr>
      </w:pPr>
      <w:bookmarkStart w:id="89" w:name="_Toc419375260"/>
      <w:bookmarkStart w:id="90" w:name="_Toc419453519"/>
      <w:r>
        <w:rPr>
          <w:sz w:val="28"/>
        </w:rPr>
        <w:t>Defined terms</w:t>
      </w:r>
      <w:bookmarkEnd w:id="89"/>
      <w:bookmarkEnd w:id="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financial institution</w:t>
      </w:r>
      <w:r>
        <w:tab/>
        <w:t>6C</w:t>
      </w:r>
    </w:p>
    <w:p>
      <w:pPr>
        <w:pStyle w:val="DefinedTerms"/>
      </w:pPr>
      <w:r>
        <w:t>business</w:t>
      </w:r>
      <w:r>
        <w:tab/>
        <w:t>6E(2)</w:t>
      </w:r>
    </w:p>
    <w:p>
      <w:pPr>
        <w:pStyle w:val="DefinedTerms"/>
      </w:pPr>
      <w:r>
        <w:t>calendar year</w:t>
      </w:r>
      <w:r>
        <w:tab/>
        <w:t>2</w:t>
      </w:r>
    </w:p>
    <w:p>
      <w:pPr>
        <w:pStyle w:val="DefinedTerms"/>
      </w:pPr>
      <w:r>
        <w:t>CPD activity</w:t>
      </w:r>
      <w:r>
        <w:tab/>
        <w:t>2</w:t>
      </w:r>
    </w:p>
    <w:p>
      <w:pPr>
        <w:pStyle w:val="DefinedTerms"/>
      </w:pPr>
      <w:r>
        <w:t>CPD subject</w:t>
      </w:r>
      <w:r>
        <w:tab/>
        <w:t>2</w:t>
      </w:r>
    </w:p>
    <w:p>
      <w:pPr>
        <w:pStyle w:val="DefinedTerms"/>
      </w:pPr>
      <w:r>
        <w:t>CPP07 Property Services Training Package</w:t>
      </w:r>
      <w:r>
        <w:tab/>
        <w:t>6A(2)</w:t>
      </w:r>
    </w:p>
    <w:p>
      <w:pPr>
        <w:pStyle w:val="DefinedTerms"/>
      </w:pPr>
      <w:r>
        <w:t>dwelling</w:t>
      </w:r>
      <w:r>
        <w:tab/>
        <w:t>2</w:t>
      </w:r>
    </w:p>
    <w:p>
      <w:pPr>
        <w:pStyle w:val="DefinedTerms"/>
      </w:pPr>
      <w:r>
        <w:t>educational activity</w:t>
      </w:r>
      <w:r>
        <w:tab/>
        <w:t>2</w:t>
      </w:r>
    </w:p>
    <w:p>
      <w:pPr>
        <w:pStyle w:val="DefinedTerms"/>
      </w:pPr>
      <w:r>
        <w:t>holding fee</w:t>
      </w:r>
      <w:r>
        <w:tab/>
        <w:t>4A(1)</w:t>
      </w:r>
    </w:p>
    <w:p>
      <w:pPr>
        <w:pStyle w:val="DefinedTerms"/>
      </w:pPr>
      <w:r>
        <w:t>mandatory CPD activity</w:t>
      </w:r>
      <w:r>
        <w:tab/>
        <w:t>2</w:t>
      </w:r>
    </w:p>
    <w:p>
      <w:pPr>
        <w:pStyle w:val="DefinedTerms"/>
      </w:pPr>
      <w:r>
        <w:t>mandatory CPD subject</w:t>
      </w:r>
      <w:r>
        <w:tab/>
        <w:t>2</w:t>
      </w:r>
    </w:p>
    <w:p>
      <w:pPr>
        <w:pStyle w:val="DefinedTerms"/>
      </w:pPr>
      <w:r>
        <w:t>point value</w:t>
      </w:r>
      <w:r>
        <w:tab/>
        <w:t>2</w:t>
      </w:r>
    </w:p>
    <w:p>
      <w:pPr>
        <w:pStyle w:val="DefinedTerms"/>
      </w:pPr>
      <w:r>
        <w:t>record</w:t>
      </w:r>
      <w:r>
        <w:tab/>
        <w:t>2</w:t>
      </w:r>
    </w:p>
    <w:p>
      <w:pPr>
        <w:pStyle w:val="DefinedTerms"/>
      </w:pPr>
      <w:r>
        <w:t>register</w:t>
      </w:r>
      <w:r>
        <w:tab/>
        <w:t>2</w:t>
      </w:r>
    </w:p>
    <w:p>
      <w:pPr>
        <w:pStyle w:val="DefinedTerms"/>
      </w:pPr>
      <w:r>
        <w:t>registered training provider</w:t>
      </w:r>
      <w:r>
        <w:tab/>
        <w:t>2</w:t>
      </w:r>
    </w:p>
    <w:p>
      <w:pPr>
        <w:pStyle w:val="DefinedTerms"/>
      </w:pPr>
      <w:r>
        <w:t>regulated person</w:t>
      </w:r>
      <w:r>
        <w:tab/>
        <w:t>2</w:t>
      </w:r>
    </w:p>
    <w:p>
      <w:pPr>
        <w:pStyle w:val="DefinedTerms"/>
      </w:pPr>
      <w:r>
        <w:t>relevant bank accepted bills rate</w:t>
      </w:r>
      <w:r>
        <w:tab/>
        <w:t>6F(2)</w:t>
      </w:r>
    </w:p>
    <w:p>
      <w:pPr>
        <w:pStyle w:val="DefinedTerms"/>
      </w:pPr>
      <w:r>
        <w:t>relevant day</w:t>
      </w:r>
      <w:r>
        <w:tab/>
        <w:t>2</w:t>
      </w:r>
    </w:p>
    <w:p>
      <w:pPr>
        <w:pStyle w:val="DefinedTerms"/>
      </w:pPr>
      <w:r>
        <w:t>working day</w:t>
      </w:r>
      <w:r>
        <w:tab/>
        <w:t>2</w:t>
      </w:r>
    </w:p>
    <w:p>
      <w:pPr>
        <w:pStyle w:val="DefinedTerms"/>
        <w:sectPr>
          <w:headerReference w:type="even" r:id="rId39"/>
          <w:headerReference w:type="default" r:id="rId40"/>
          <w:pgSz w:w="11907" w:h="16840" w:code="9"/>
          <w:pgMar w:top="2381" w:right="2409" w:bottom="3543" w:left="2409" w:header="720" w:footer="3380" w:gutter="0"/>
          <w:cols w:space="720"/>
          <w:noEndnote/>
          <w:docGrid w:linePitch="326"/>
        </w:sectPr>
      </w:pPr>
    </w:p>
    <w:p>
      <w:pPr>
        <w:jc w:val="center"/>
        <w:rPr>
          <w:rFonts w:ascii="Arial" w:hAnsi="Arial" w:cs="Arial"/>
          <w:sz w:val="12"/>
        </w:rPr>
      </w:pP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May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9" w:name="Schedule"/>
    <w:bookmarkEnd w:id="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Professional development subjects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8" w:name="Compilation"/>
    <w:bookmarkEnd w:id="88"/>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1" w:name="DefinedTerms"/>
    <w:bookmarkEnd w:id="91"/>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2" w:name="Coversheet"/>
    <w:bookmarkEnd w:id="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7E0295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D870D1F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23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14135140"/>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image" Target="media/image2.png"/><Relationship Id="rId38" Type="http://schemas.openxmlformats.org/officeDocument/2006/relationships/header" Target="header21.xml"/><Relationship Id="rId46"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BB5BB7-4919-47E3-816B-F748EC2CA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10089</Words>
  <Characters>51862</Characters>
  <Application>Microsoft Office Word</Application>
  <DocSecurity>0</DocSecurity>
  <Lines>1852</Lines>
  <Paragraphs>1147</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Company>Ministry of Justice</Company>
  <LinksUpToDate>false</LinksUpToDate>
  <CharactersWithSpaces>60804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1979 - 08-c0-00</dc:title>
  <dc:subject>SubIF_R</dc:subject>
  <dc:creator>Matthew Pether</dc:creator>
  <cp:lastModifiedBy>svcMRProcess</cp:lastModifiedBy>
  <cp:revision>4</cp:revision>
  <cp:lastPrinted>2014-10-02T03:16:00Z</cp:lastPrinted>
  <dcterms:created xsi:type="dcterms:W3CDTF">2015-05-15T04:39:00Z</dcterms:created>
  <dcterms:modified xsi:type="dcterms:W3CDTF">2015-05-15T04:39:00Z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AsAtDate">
    <vt:lpwstr>16 May 2015</vt:lpwstr>
  </property>
  <property fmtid="{D5CDD505-2E9C-101B-9397-08002B2CF9AE}" pid="8" name="Suffix">
    <vt:lpwstr>08-c0-00</vt:lpwstr>
  </property>
  <property fmtid="{D5CDD505-2E9C-101B-9397-08002B2CF9AE}" pid="9" name="CommencementDate">
    <vt:lpwstr>20150516</vt:lpwstr>
  </property>
</Properties>
</file>