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3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Valuation of Land Amendment Act 2015</w:t>
      </w:r>
      <w:r>
        <w:fldChar w:fldCharType="end"/>
      </w:r>
    </w:p>
    <w:p>
      <w:pPr>
        <w:jc w:val="center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Valuation of Land Amendment Act 2015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Short title</w:t>
      </w:r>
      <w:r>
        <w:tab/>
      </w:r>
      <w:r>
        <w:fldChar w:fldCharType="begin"/>
      </w:r>
      <w:r>
        <w:instrText xml:space="preserve"> PAGEREF _Toc419810565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_Toc419810566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r>
        <w:tab/>
      </w:r>
      <w:r>
        <w:fldChar w:fldCharType="begin"/>
      </w:r>
      <w:r>
        <w:instrText xml:space="preserve"> PAGEREF _Toc419810567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4 amended</w:t>
      </w:r>
      <w:r>
        <w:tab/>
      </w:r>
      <w:r>
        <w:fldChar w:fldCharType="begin"/>
      </w:r>
      <w:r>
        <w:instrText xml:space="preserve"> PAGEREF _Toc419810568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8000" cy="409575"/>
            <wp:effectExtent l="0" t="0" r="0" b="0"/>
            <wp:wrapNone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Western Australia</w:t>
      </w:r>
    </w:p>
    <w:p>
      <w:pPr>
        <w:pStyle w:val="NameofActReg"/>
        <w:suppressLineNumbers/>
        <w:spacing w:before="120"/>
      </w:pPr>
      <w:r>
        <w:t>Valuation of Land Amendment Act 2015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14 of 2015</w:t>
      </w:r>
    </w:p>
    <w:p>
      <w:pPr>
        <w:pStyle w:val="LongTitle"/>
        <w:suppressLineNumbers/>
      </w:pPr>
      <w:r>
        <w:t xml:space="preserve">An Act to amend the </w:t>
      </w:r>
      <w:r>
        <w:rPr>
          <w:i/>
        </w:rPr>
        <w:t>Valuation of Land Act 1978</w:t>
      </w:r>
      <w:r>
        <w:t>.</w:t>
      </w:r>
    </w:p>
    <w:p>
      <w:pPr>
        <w:pStyle w:val="AssentNote"/>
      </w:pPr>
      <w:r>
        <w:t>[Assented to 15 May 2015]</w:t>
      </w:r>
    </w:p>
    <w:p>
      <w:pPr>
        <w:pStyle w:val="Enactment"/>
        <w:suppressLineNumbers/>
        <w:spacing w:before="0"/>
      </w:pPr>
      <w:r>
        <w:t>The Parliament of Western Australia enacts as follows:</w:t>
      </w:r>
    </w:p>
    <w:p>
      <w:pPr>
        <w:sectPr>
          <w:headerReference w:type="even" r:id="rId23"/>
          <w:headerReference w:type="default" r:id="rId24"/>
          <w:footerReference w:type="even" r:id="rId25"/>
          <w:footerReference w:type="default" r:id="rId26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Heading5"/>
      </w:pPr>
      <w:bookmarkStart w:id="4" w:name="_Toc418849671"/>
      <w:bookmarkStart w:id="5" w:name="_Toc419797953"/>
      <w:bookmarkStart w:id="6" w:name="_Toc419810565"/>
      <w:r>
        <w:rPr>
          <w:rStyle w:val="CharSectno"/>
        </w:rPr>
        <w:lastRenderedPageBreak/>
        <w:t>1</w:t>
      </w:r>
      <w:r>
        <w:t>.</w:t>
      </w:r>
      <w:r>
        <w:tab/>
        <w:t>Short title</w:t>
      </w:r>
      <w:bookmarkEnd w:id="4"/>
      <w:bookmarkEnd w:id="5"/>
      <w:bookmarkEnd w:id="6"/>
    </w:p>
    <w:p>
      <w:pPr>
        <w:pStyle w:val="Subsection"/>
        <w:spacing w:before="120"/>
      </w:pPr>
      <w:r>
        <w:tab/>
      </w:r>
      <w:r>
        <w:tab/>
        <w:t>This is the</w:t>
      </w:r>
      <w:r>
        <w:rPr>
          <w:i/>
        </w:rPr>
        <w:t xml:space="preserve"> Valuation of Land Amendment Act 2015</w:t>
      </w:r>
      <w:r>
        <w:t>.</w:t>
      </w:r>
    </w:p>
    <w:p>
      <w:pPr>
        <w:pStyle w:val="Heading5"/>
      </w:pPr>
      <w:bookmarkStart w:id="7" w:name="_Toc418849672"/>
      <w:bookmarkStart w:id="8" w:name="_Toc419797954"/>
      <w:bookmarkStart w:id="9" w:name="_Toc419810566"/>
      <w:r>
        <w:rPr>
          <w:rStyle w:val="CharSectno"/>
        </w:rPr>
        <w:t>2</w:t>
      </w:r>
      <w:r>
        <w:t>.</w:t>
      </w:r>
      <w:r>
        <w:tab/>
        <w:t>Commencement</w:t>
      </w:r>
      <w:bookmarkEnd w:id="7"/>
      <w:bookmarkEnd w:id="8"/>
      <w:bookmarkEnd w:id="9"/>
    </w:p>
    <w:p>
      <w:pPr>
        <w:pStyle w:val="Subsection"/>
        <w:spacing w:before="120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 2 come into operation on the day on which this Act receives the Royal Assent (</w:t>
      </w:r>
      <w:r>
        <w:rPr>
          <w:rStyle w:val="CharDefText"/>
        </w:rPr>
        <w:t>assent day</w:t>
      </w:r>
      <w:r>
        <w:t>);</w:t>
      </w:r>
    </w:p>
    <w:p>
      <w:pPr>
        <w:pStyle w:val="Indenta"/>
      </w:pPr>
      <w:r>
        <w:tab/>
        <w:t>(b)</w:t>
      </w:r>
      <w:r>
        <w:tab/>
        <w:t xml:space="preserve">the rest of the Act — </w:t>
      </w:r>
    </w:p>
    <w:p>
      <w:pPr>
        <w:pStyle w:val="Indenti"/>
      </w:pPr>
      <w:r>
        <w:tab/>
        <w:t>(i)</w:t>
      </w:r>
      <w:r>
        <w:tab/>
        <w:t>comes into operation on 30 June 2015 if assent day is not later than that day; or</w:t>
      </w:r>
    </w:p>
    <w:p>
      <w:pPr>
        <w:pStyle w:val="Indenti"/>
      </w:pPr>
      <w:r>
        <w:tab/>
        <w:t>(ii)</w:t>
      </w:r>
      <w:r>
        <w:tab/>
        <w:t>is deemed to have come into operation on 30 June 2015 if assent day is later than that day.</w:t>
      </w:r>
    </w:p>
    <w:p>
      <w:pPr>
        <w:pStyle w:val="Heading5"/>
        <w:rPr>
          <w:snapToGrid w:val="0"/>
        </w:rPr>
      </w:pPr>
      <w:bookmarkStart w:id="10" w:name="_Toc418849673"/>
      <w:bookmarkStart w:id="11" w:name="_Toc419797955"/>
      <w:bookmarkStart w:id="12" w:name="_Toc41981056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Act amended</w:t>
      </w:r>
      <w:bookmarkEnd w:id="10"/>
      <w:bookmarkEnd w:id="11"/>
      <w:bookmarkEnd w:id="12"/>
    </w:p>
    <w:p>
      <w:pPr>
        <w:pStyle w:val="Subsection"/>
        <w:spacing w:before="120"/>
      </w:pPr>
      <w:r>
        <w:tab/>
      </w:r>
      <w:r>
        <w:tab/>
        <w:t xml:space="preserve">This Act amends the </w:t>
      </w:r>
      <w:r>
        <w:rPr>
          <w:i/>
        </w:rPr>
        <w:t>Valuation of Land Act 1978</w:t>
      </w:r>
      <w:r>
        <w:t>.</w:t>
      </w:r>
    </w:p>
    <w:p>
      <w:pPr>
        <w:pStyle w:val="Heading5"/>
      </w:pPr>
      <w:bookmarkStart w:id="13" w:name="_Toc418849674"/>
      <w:bookmarkStart w:id="14" w:name="_Toc419797956"/>
      <w:bookmarkStart w:id="15" w:name="_Toc419810568"/>
      <w:r>
        <w:rPr>
          <w:rStyle w:val="CharSectno"/>
        </w:rPr>
        <w:t>4</w:t>
      </w:r>
      <w:r>
        <w:t>.</w:t>
      </w:r>
      <w:r>
        <w:tab/>
        <w:t>Section 4 amended</w:t>
      </w:r>
      <w:bookmarkEnd w:id="13"/>
      <w:bookmarkEnd w:id="14"/>
      <w:bookmarkEnd w:id="15"/>
    </w:p>
    <w:p>
      <w:pPr>
        <w:pStyle w:val="Subsection"/>
        <w:spacing w:before="120"/>
      </w:pPr>
      <w:r>
        <w:tab/>
        <w:t>(1)</w:t>
      </w:r>
      <w:r>
        <w:tab/>
        <w:t xml:space="preserve">In section 4(1) in the definition of </w:t>
      </w:r>
      <w:r>
        <w:rPr>
          <w:b/>
          <w:i/>
        </w:rPr>
        <w:t>unimproved value</w:t>
      </w:r>
      <w:r>
        <w:t>:</w:t>
      </w:r>
    </w:p>
    <w:p>
      <w:pPr>
        <w:pStyle w:val="Indenta"/>
      </w:pPr>
      <w:r>
        <w:tab/>
        <w:t>(a)</w:t>
      </w:r>
      <w:r>
        <w:tab/>
        <w:t>in paragraph (b)(ii)(I) delete “rent that would be payable”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annual rent that would be used to calculate unimproved value under item (II) or (III)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paragraph (b)(ii)(II), (III) and (IV) and insert:</w:t>
      </w:r>
    </w:p>
    <w:p>
      <w:pPr>
        <w:pStyle w:val="BlankOpen"/>
      </w:pPr>
    </w:p>
    <w:p>
      <w:pPr>
        <w:pStyle w:val="zDefitem"/>
      </w:pPr>
      <w:r>
        <w:tab/>
        <w:t>(II)</w:t>
      </w:r>
      <w:r>
        <w:tab/>
        <w:t xml:space="preserve">an exploration licence is held under the </w:t>
      </w:r>
      <w:r>
        <w:rPr>
          <w:i/>
        </w:rPr>
        <w:t>Mining Act 1978</w:t>
      </w:r>
      <w:r>
        <w:t xml:space="preserve"> — </w:t>
      </w:r>
    </w:p>
    <w:p>
      <w:pPr>
        <w:pStyle w:val="zIndentA0"/>
      </w:pPr>
      <w:r>
        <w:tab/>
        <w:t>(A)</w:t>
      </w:r>
      <w:r>
        <w:tab/>
        <w:t>2.5 times the annual rent payable for the licence under that Act if it is the first year of the term of the licence; or</w:t>
      </w:r>
    </w:p>
    <w:p>
      <w:pPr>
        <w:pStyle w:val="zIndentA0"/>
      </w:pPr>
      <w:r>
        <w:tab/>
        <w:t>(B)</w:t>
      </w:r>
      <w:r>
        <w:tab/>
        <w:t>2.5 times the annual rent that would be payable for the licence under that Act if it were the first year of the term of the licence;</w:t>
      </w:r>
    </w:p>
    <w:p>
      <w:pPr>
        <w:pStyle w:val="zDefitem"/>
      </w:pPr>
      <w:r>
        <w:tab/>
      </w:r>
      <w:r>
        <w:tab/>
        <w:t>or</w:t>
      </w:r>
    </w:p>
    <w:p>
      <w:pPr>
        <w:pStyle w:val="zDefitem"/>
      </w:pPr>
      <w:r>
        <w:tab/>
        <w:t>(III)</w:t>
      </w:r>
      <w:r>
        <w:tab/>
        <w:t xml:space="preserve">any other licence or a lease is held under the </w:t>
      </w:r>
      <w:r>
        <w:rPr>
          <w:i/>
        </w:rPr>
        <w:t>Mining Act 1978</w:t>
      </w:r>
      <w:r>
        <w:t> — 5 times the annual rent payable for the licence or lease under that Act; or</w:t>
      </w:r>
    </w:p>
    <w:p>
      <w:pPr>
        <w:pStyle w:val="zDefitem"/>
      </w:pPr>
      <w:r>
        <w:tab/>
        <w:t>(IV)</w:t>
      </w:r>
      <w:r>
        <w:tab/>
        <w:t xml:space="preserve">a licence or lease is held under the </w:t>
      </w:r>
      <w:r>
        <w:rPr>
          <w:i/>
        </w:rPr>
        <w:t>Petroleum and Geothermal Energy Resources Act 1967</w:t>
      </w:r>
      <w:r>
        <w:t> — 2.5 times the annual fee payable for the licence or lease under that Act; or</w:t>
      </w:r>
    </w:p>
    <w:p>
      <w:pPr>
        <w:pStyle w:val="zDefitem"/>
      </w:pPr>
      <w:r>
        <w:tab/>
        <w:t>(VA)</w:t>
      </w:r>
      <w:r>
        <w:tab/>
        <w:t xml:space="preserve">a permit or drilling reservation is held under the </w:t>
      </w:r>
      <w:r>
        <w:rPr>
          <w:i/>
        </w:rPr>
        <w:t>Petroleum and Geothermal Energy Resources Act 1967</w:t>
      </w:r>
      <w:r>
        <w:t> — the annual fee payable for the permit or drilling reservation under that Act; or</w:t>
      </w:r>
    </w:p>
    <w:p>
      <w:pPr>
        <w:pStyle w:val="BlankClose"/>
        <w:keepNext/>
      </w:pPr>
    </w:p>
    <w:p>
      <w:pPr>
        <w:pStyle w:val="Subsection"/>
        <w:spacing w:before="0"/>
      </w:pPr>
      <w:r>
        <w:tab/>
        <w:t>(2)</w:t>
      </w:r>
      <w:r>
        <w:tab/>
        <w:t xml:space="preserve">In section 4(1) in the definition of </w:t>
      </w:r>
      <w:r>
        <w:rPr>
          <w:b/>
          <w:i/>
        </w:rPr>
        <w:t>unimproved value</w:t>
      </w:r>
      <w:r>
        <w:t xml:space="preserve"> after paragraph (b)(ii)(I) insert:</w:t>
      </w:r>
    </w:p>
    <w:p>
      <w:pPr>
        <w:pStyle w:val="BlankOpen"/>
      </w:pPr>
    </w:p>
    <w:p>
      <w:pPr>
        <w:pStyle w:val="Indenta"/>
        <w:spacing w:before="0"/>
      </w:pPr>
      <w:r>
        <w:tab/>
      </w:r>
      <w:r>
        <w:tab/>
        <w:t>or</w:t>
      </w:r>
    </w:p>
    <w:p>
      <w:pPr>
        <w:pStyle w:val="BlankClose"/>
      </w:pPr>
    </w:p>
    <w:p>
      <w:pPr>
        <w:pStyle w:val="CentredBaseLine"/>
        <w:keepNext/>
        <w:keepLines/>
        <w:spacing w:before="120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8"/>
          <w:headerReference w:type="default" r:id="rId2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cols w:space="720"/>
          <w:docGrid w:linePitch="326"/>
        </w:sectPr>
      </w:pPr>
    </w:p>
    <w:p/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endnotePr>
        <w:numFmt w:val="decimal"/>
      </w:endnotePr>
      <w:type w:val="continuous"/>
      <w:pgSz w:w="11907" w:h="16840" w:code="9"/>
      <w:pgMar w:top="567" w:right="2410" w:bottom="567" w:left="2410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15 May 2015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"ActNoFooter" </w:instrText>
    </w:r>
    <w:r>
      <w:rPr>
        <w:sz w:val="20"/>
      </w:rPr>
      <w:fldChar w:fldCharType="separate"/>
    </w:r>
    <w:r>
      <w:rPr>
        <w:sz w:val="20"/>
      </w:rPr>
      <w:t>No. 14 of 2015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</w:pPr>
    <w:r>
      <w:rPr>
        <w:sz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Valuation of Land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Valuation of Land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Valuation of Land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Valuation of Land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t xml:space="preserve">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"" ""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Valuation of Land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Valuation of Land Amendment Act 2015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\n 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</w:rPr>
            <w:instrText>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6" w:name="Coversheet"/>
    <w:bookmarkEnd w:id="1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4B67C24"/>
    <w:multiLevelType w:val="hybridMultilevel"/>
    <w:tmpl w:val="250CA5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2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3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0"/>
  </w:num>
  <w:num w:numId="3">
    <w:abstractNumId w:val="14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1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519143943"/>
    <w:docVar w:name="WAFER_20150206084435" w:val="ResetPageSize"/>
    <w:docVar w:name="WAFER_20150206084435_GUID" w:val="bd672a8f-e74f-4265-8b59-571b146e34b9"/>
    <w:docVar w:name="WAFER_20150225111918" w:val="RemoveTocBookmarks,RemoveUnusedBookmarks,RemoveLanguageTags,UsedStyles,ResetPageSize"/>
    <w:docVar w:name="WAFER_20150225111918_GUID" w:val="d88b22d8-0887-4a4f-b1f2-bbc0dcbccf4c"/>
    <w:docVar w:name="WAFER_20150303152430" w:val="RemoveTocBookmarks,RemoveUnusedBookmarks,RemoveLanguageTags,UsedStyles,ResetPageSize"/>
    <w:docVar w:name="WAFER_20150303152430_GUID" w:val="f34097cc-d833-4520-8c0d-3958f701ab91"/>
    <w:docVar w:name="WAFER_20150519143943" w:val="ResetPageSize,UpdateArrangement,UpdateNTable"/>
    <w:docVar w:name="WAFER_20150519143943_GUID" w:val="2996acde-4634-47b0-bbac-482cdc582ca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styleId="Header">
    <w:name w:val="header"/>
    <w:rPr>
      <w:rFonts w:ascii="Arial" w:hAnsi="Arial"/>
      <w:noProof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34" Type="http://schemas.openxmlformats.org/officeDocument/2006/relationships/header" Target="header1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footer" Target="footer7.xml"/><Relationship Id="rId33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header" Target="header8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header" Target="header7.xml"/><Relationship Id="rId28" Type="http://schemas.openxmlformats.org/officeDocument/2006/relationships/header" Target="header9.xml"/><Relationship Id="rId36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Relationship Id="rId22" Type="http://schemas.openxmlformats.org/officeDocument/2006/relationships/image" Target="media/image2.tiff"/><Relationship Id="rId27" Type="http://schemas.openxmlformats.org/officeDocument/2006/relationships/image" Target="media/image3.png"/><Relationship Id="rId30" Type="http://schemas.openxmlformats.org/officeDocument/2006/relationships/header" Target="header11.xml"/><Relationship Id="rId35" Type="http://schemas.openxmlformats.org/officeDocument/2006/relationships/footer" Target="foot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1C4C6-CB09-423D-8690-666D97E39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490</Words>
  <Characters>2196</Characters>
  <Application>Microsoft Office Word</Application>
  <DocSecurity>0</DocSecurity>
  <Lines>109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Manager/>
  <Company/>
  <LinksUpToDate>false</LinksUpToDate>
  <CharactersWithSpaces>2627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Valuation of Land Amendment Act 2015 - 00-00-01</dc:title>
  <dc:subject/>
  <dc:creator/>
  <cp:keywords/>
  <dc:description/>
  <cp:lastModifiedBy>svcMRProcess</cp:lastModifiedBy>
  <cp:revision>4</cp:revision>
  <cp:lastPrinted>2015-05-19T03:10:00Z</cp:lastPrinted>
  <dcterms:created xsi:type="dcterms:W3CDTF">2015-12-21T09:10:00Z</dcterms:created>
  <dcterms:modified xsi:type="dcterms:W3CDTF">2015-12-21T09:10:00Z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2388</vt:lpwstr>
  </property>
  <property fmtid="{D5CDD505-2E9C-101B-9397-08002B2CF9AE}" pid="3" name="ShortTitle">
    <vt:lpwstr>Valuation of Land Amendment Act 2015</vt:lpwstr>
  </property>
  <property fmtid="{D5CDD505-2E9C-101B-9397-08002B2CF9AE}" pid="4" name="Citation">
    <vt:lpwstr>Valuation of Land Amendment Act 2015</vt:lpwstr>
  </property>
  <property fmtid="{D5CDD505-2E9C-101B-9397-08002B2CF9AE}" pid="5" name="PrincipalAct">
    <vt:lpwstr>Valuation of Land Act 1978</vt:lpwstr>
  </property>
  <property fmtid="{D5CDD505-2E9C-101B-9397-08002B2CF9AE}" pid="6" name="SLPBillNumber">
    <vt:lpwstr>119—2</vt:lpwstr>
  </property>
  <property fmtid="{D5CDD505-2E9C-101B-9397-08002B2CF9AE}" pid="7" name="ActNo">
    <vt:lpwstr>14 of 2015</vt:lpwstr>
  </property>
  <property fmtid="{D5CDD505-2E9C-101B-9397-08002B2CF9AE}" pid="8" name="KitandImprint">
    <vt:lpwstr>  </vt:lpwstr>
  </property>
  <property fmtid="{D5CDD505-2E9C-101B-9397-08002B2CF9AE}" pid="9" name="Assent Date">
    <vt:lpwstr>15 May 2015</vt:lpwstr>
  </property>
  <property fmtid="{D5CDD505-2E9C-101B-9397-08002B2CF9AE}" pid="10" name="PerfectBound">
    <vt:lpwstr>NO</vt:lpwstr>
  </property>
  <property fmtid="{D5CDD505-2E9C-101B-9397-08002B2CF9AE}" pid="11" name="DocumentType">
    <vt:lpwstr>Act</vt:lpwstr>
  </property>
  <property fmtid="{D5CDD505-2E9C-101B-9397-08002B2CF9AE}" pid="12" name="AsAtDate">
    <vt:lpwstr>15 May 2015</vt:lpwstr>
  </property>
  <property fmtid="{D5CDD505-2E9C-101B-9397-08002B2CF9AE}" pid="13" name="Suffix">
    <vt:lpwstr>00-00-01</vt:lpwstr>
  </property>
  <property fmtid="{D5CDD505-2E9C-101B-9397-08002B2CF9AE}" pid="14" name="ActNoFooter">
    <vt:lpwstr>No. 14 of 2015</vt:lpwstr>
  </property>
  <property fmtid="{D5CDD505-2E9C-101B-9397-08002B2CF9AE}" pid="15" name="CommencementDate">
    <vt:lpwstr>20150515</vt:lpwstr>
  </property>
</Properties>
</file>