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_Toc423443300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_Toc423443301 \h </w:instrText>
      </w:r>
      <w:r>
        <w:fldChar w:fldCharType="separate"/>
      </w:r>
      <w:r>
        <w:t>1</w:t>
      </w:r>
      <w:r>
        <w:fldChar w:fldCharType="end"/>
      </w:r>
    </w:p>
    <w:p>
      <w:pPr>
        <w:pStyle w:val="TOC8"/>
        <w:rPr>
          <w:rFonts w:asciiTheme="minorHAnsi" w:eastAsiaTheme="minorEastAsia" w:hAnsiTheme="minorHAnsi" w:cstheme="minorBidi"/>
          <w:szCs w:val="22"/>
        </w:rPr>
      </w:pPr>
      <w:r>
        <w:t>1.3.</w:t>
      </w:r>
      <w:r>
        <w:rPr>
          <w:spacing w:val="-2"/>
        </w:rPr>
        <w:tab/>
        <w:t>Commencement</w:t>
      </w:r>
      <w:r>
        <w:tab/>
      </w:r>
      <w:r>
        <w:fldChar w:fldCharType="begin"/>
      </w:r>
      <w:r>
        <w:instrText xml:space="preserve"> PAGEREF _Toc423443302 \h </w:instrText>
      </w:r>
      <w:r>
        <w:fldChar w:fldCharType="separate"/>
      </w:r>
      <w:r>
        <w:t>1</w:t>
      </w:r>
      <w:r>
        <w:fldChar w:fldCharType="end"/>
      </w:r>
    </w:p>
    <w:p>
      <w:pPr>
        <w:pStyle w:val="TOC8"/>
        <w:rPr>
          <w:rFonts w:asciiTheme="minorHAnsi" w:eastAsiaTheme="minorEastAsia" w:hAnsiTheme="minorHAnsi" w:cstheme="minorBidi"/>
          <w:szCs w:val="22"/>
        </w:rPr>
      </w:pPr>
      <w:r>
        <w:t>1.4.</w:t>
      </w:r>
      <w:r>
        <w:rPr>
          <w:spacing w:val="-2"/>
        </w:rPr>
        <w:tab/>
        <w:t>Interpretation</w:t>
      </w:r>
      <w:r>
        <w:tab/>
      </w:r>
      <w:r>
        <w:fldChar w:fldCharType="begin"/>
      </w:r>
      <w:r>
        <w:instrText xml:space="preserve"> PAGEREF _Toc423443303 \h </w:instrText>
      </w:r>
      <w:r>
        <w:fldChar w:fldCharType="separate"/>
      </w:r>
      <w:r>
        <w:t>1</w:t>
      </w:r>
      <w:r>
        <w:fldChar w:fldCharType="end"/>
      </w:r>
    </w:p>
    <w:p>
      <w:pPr>
        <w:pStyle w:val="TOC8"/>
        <w:rPr>
          <w:rFonts w:asciiTheme="minorHAnsi" w:eastAsiaTheme="minorEastAsia" w:hAnsiTheme="minorHAnsi" w:cstheme="minorBidi"/>
          <w:szCs w:val="22"/>
        </w:rPr>
      </w:pPr>
      <w:r>
        <w:t>1.5.</w:t>
      </w:r>
      <w:r>
        <w:rPr>
          <w:spacing w:val="-2"/>
        </w:rPr>
        <w:tab/>
        <w:t>Definitions</w:t>
      </w:r>
      <w:r>
        <w:tab/>
      </w:r>
      <w:r>
        <w:fldChar w:fldCharType="begin"/>
      </w:r>
      <w:r>
        <w:instrText xml:space="preserve"> PAGEREF _Toc423443304 \h </w:instrText>
      </w:r>
      <w:r>
        <w:fldChar w:fldCharType="separate"/>
      </w:r>
      <w:r>
        <w:t>2</w:t>
      </w:r>
      <w:r>
        <w:fldChar w:fldCharType="end"/>
      </w:r>
    </w:p>
    <w:p>
      <w:pPr>
        <w:pStyle w:val="TOC8"/>
        <w:rPr>
          <w:rFonts w:asciiTheme="minorHAnsi" w:eastAsiaTheme="minorEastAsia" w:hAnsiTheme="minorHAnsi" w:cstheme="minorBidi"/>
          <w:szCs w:val="22"/>
        </w:rPr>
      </w:pPr>
      <w:r>
        <w:t>1.6.</w:t>
      </w:r>
      <w:r>
        <w:rPr>
          <w:spacing w:val="-2"/>
        </w:rPr>
        <w:tab/>
        <w:t>Application</w:t>
      </w:r>
      <w:r>
        <w:tab/>
      </w:r>
      <w:r>
        <w:fldChar w:fldCharType="begin"/>
      </w:r>
      <w:r>
        <w:instrText xml:space="preserve"> PAGEREF _Toc423443305 \h </w:instrText>
      </w:r>
      <w:r>
        <w:fldChar w:fldCharType="separate"/>
      </w:r>
      <w:r>
        <w:t>6</w:t>
      </w:r>
      <w:r>
        <w:fldChar w:fldCharType="end"/>
      </w:r>
    </w:p>
    <w:p>
      <w:pPr>
        <w:pStyle w:val="TOC8"/>
        <w:rPr>
          <w:rFonts w:asciiTheme="minorHAnsi" w:eastAsiaTheme="minorEastAsia" w:hAnsiTheme="minorHAnsi" w:cstheme="minorBidi"/>
          <w:szCs w:val="22"/>
        </w:rPr>
      </w:pPr>
      <w:r>
        <w:t>1.7.</w:t>
      </w:r>
      <w:r>
        <w:rPr>
          <w:spacing w:val="-2"/>
        </w:rPr>
        <w:tab/>
        <w:t>Purpose</w:t>
      </w:r>
      <w:r>
        <w:tab/>
      </w:r>
      <w:r>
        <w:fldChar w:fldCharType="begin"/>
      </w:r>
      <w:r>
        <w:instrText xml:space="preserve"> PAGEREF _Toc423443306 \h </w:instrText>
      </w:r>
      <w:r>
        <w:fldChar w:fldCharType="separate"/>
      </w:r>
      <w:r>
        <w:t>7</w:t>
      </w:r>
      <w:r>
        <w:fldChar w:fldCharType="end"/>
      </w:r>
    </w:p>
    <w:p>
      <w:pPr>
        <w:pStyle w:val="TOC8"/>
        <w:rPr>
          <w:rFonts w:asciiTheme="minorHAnsi" w:eastAsiaTheme="minorEastAsia" w:hAnsiTheme="minorHAnsi" w:cstheme="minorBidi"/>
          <w:szCs w:val="22"/>
        </w:rPr>
      </w:pPr>
      <w:r>
        <w:t>1.8.</w:t>
      </w:r>
      <w:r>
        <w:rPr>
          <w:spacing w:val="-2"/>
        </w:rPr>
        <w:tab/>
        <w:t>Objectives</w:t>
      </w:r>
      <w:r>
        <w:tab/>
      </w:r>
      <w:r>
        <w:fldChar w:fldCharType="begin"/>
      </w:r>
      <w:r>
        <w:instrText xml:space="preserve"> PAGEREF _Toc423443307 \h </w:instrText>
      </w:r>
      <w:r>
        <w:fldChar w:fldCharType="separate"/>
      </w:r>
      <w:r>
        <w:t>7</w:t>
      </w:r>
      <w:r>
        <w:fldChar w:fldCharType="end"/>
      </w:r>
    </w:p>
    <w:p>
      <w:pPr>
        <w:pStyle w:val="TOC8"/>
        <w:rPr>
          <w:rFonts w:asciiTheme="minorHAnsi" w:eastAsiaTheme="minorEastAsia" w:hAnsiTheme="minorHAnsi" w:cstheme="minorBidi"/>
          <w:szCs w:val="22"/>
        </w:rPr>
      </w:pPr>
      <w:r>
        <w:t>1.9</w:t>
      </w:r>
      <w:r>
        <w:rPr>
          <w:spacing w:val="-2"/>
        </w:rPr>
        <w:t>.</w:t>
      </w:r>
      <w:r>
        <w:rPr>
          <w:spacing w:val="-2"/>
        </w:rPr>
        <w:tab/>
        <w:t>Amendment and Review</w:t>
      </w:r>
      <w:r>
        <w:tab/>
      </w:r>
      <w:r>
        <w:fldChar w:fldCharType="begin"/>
      </w:r>
      <w:r>
        <w:instrText xml:space="preserve"> PAGEREF _Toc423443308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Obligations particular to retailers</w:t>
      </w:r>
    </w:p>
    <w:p>
      <w:pPr>
        <w:pStyle w:val="TOC8"/>
        <w:rPr>
          <w:rFonts w:asciiTheme="minorHAnsi" w:eastAsiaTheme="minorEastAsia" w:hAnsiTheme="minorHAnsi" w:cstheme="minorBidi"/>
          <w:szCs w:val="22"/>
        </w:rPr>
      </w:pPr>
      <w:r>
        <w:t>2.1.</w:t>
      </w:r>
      <w:r>
        <w:rPr>
          <w:spacing w:val="-2"/>
        </w:rPr>
        <w:tab/>
        <w:t>Retailers to ensure representatives comply with this Part</w:t>
      </w:r>
      <w:r>
        <w:tab/>
      </w:r>
      <w:r>
        <w:fldChar w:fldCharType="begin"/>
      </w:r>
      <w:r>
        <w:instrText xml:space="preserve"> PAGEREF _Toc423443311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t>2.2.</w:t>
      </w:r>
      <w:r>
        <w:rPr>
          <w:spacing w:val="-2"/>
        </w:rPr>
        <w:tab/>
        <w:t>Entering into a standard form contract</w:t>
      </w:r>
      <w:r>
        <w:tab/>
      </w:r>
      <w:r>
        <w:fldChar w:fldCharType="begin"/>
      </w:r>
      <w:r>
        <w:instrText xml:space="preserve"> PAGEREF _Toc423443313 \h </w:instrText>
      </w:r>
      <w:r>
        <w:fldChar w:fldCharType="separate"/>
      </w:r>
      <w:r>
        <w:t>8</w:t>
      </w:r>
      <w:r>
        <w:fldChar w:fldCharType="end"/>
      </w:r>
    </w:p>
    <w:p>
      <w:pPr>
        <w:pStyle w:val="TOC8"/>
        <w:rPr>
          <w:rFonts w:asciiTheme="minorHAnsi" w:eastAsiaTheme="minorEastAsia" w:hAnsiTheme="minorHAnsi" w:cstheme="minorBidi"/>
          <w:szCs w:val="22"/>
        </w:rPr>
      </w:pPr>
      <w:r>
        <w:t>2.3.</w:t>
      </w:r>
      <w:r>
        <w:rPr>
          <w:spacing w:val="-2"/>
        </w:rPr>
        <w:tab/>
        <w:t>Entering into a non-standard contract</w:t>
      </w:r>
      <w:r>
        <w:tab/>
      </w:r>
      <w:r>
        <w:fldChar w:fldCharType="begin"/>
      </w:r>
      <w:r>
        <w:instrText xml:space="preserve"> PAGEREF _Toc423443314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2.4.</w:t>
      </w:r>
      <w:r>
        <w:rPr>
          <w:spacing w:val="-2"/>
        </w:rPr>
        <w:tab/>
        <w:t>Standards of conduct</w:t>
      </w:r>
      <w:r>
        <w:tab/>
      </w:r>
      <w:r>
        <w:fldChar w:fldCharType="begin"/>
      </w:r>
      <w:r>
        <w:instrText xml:space="preserve"> PAGEREF _Toc423443316 \h </w:instrText>
      </w:r>
      <w:r>
        <w:fldChar w:fldCharType="separate"/>
      </w:r>
      <w:r>
        <w:t>12</w:t>
      </w:r>
      <w:r>
        <w:fldChar w:fldCharType="end"/>
      </w:r>
    </w:p>
    <w:p>
      <w:pPr>
        <w:pStyle w:val="TOC8"/>
        <w:rPr>
          <w:rFonts w:asciiTheme="minorHAnsi" w:eastAsiaTheme="minorEastAsia" w:hAnsiTheme="minorHAnsi" w:cstheme="minorBidi"/>
          <w:szCs w:val="22"/>
        </w:rPr>
      </w:pPr>
      <w:r>
        <w:t>2.5.</w:t>
      </w:r>
      <w:r>
        <w:rPr>
          <w:spacing w:val="-2"/>
        </w:rPr>
        <w:tab/>
        <w:t>Contact for the purposes of marketing</w:t>
      </w:r>
      <w:r>
        <w:tab/>
      </w:r>
      <w:r>
        <w:fldChar w:fldCharType="begin"/>
      </w:r>
      <w:r>
        <w:instrText xml:space="preserve"> PAGEREF _Toc423443317 \h </w:instrText>
      </w:r>
      <w:r>
        <w:fldChar w:fldCharType="separate"/>
      </w:r>
      <w:r>
        <w:t>12</w:t>
      </w:r>
      <w:r>
        <w:fldChar w:fldCharType="end"/>
      </w:r>
    </w:p>
    <w:p>
      <w:pPr>
        <w:pStyle w:val="TOC8"/>
        <w:rPr>
          <w:rFonts w:asciiTheme="minorHAnsi" w:eastAsiaTheme="minorEastAsia" w:hAnsiTheme="minorHAnsi" w:cstheme="minorBidi"/>
          <w:szCs w:val="22"/>
        </w:rPr>
      </w:pPr>
      <w:r>
        <w:t>2.6.</w:t>
      </w:r>
      <w:r>
        <w:rPr>
          <w:spacing w:val="-2"/>
        </w:rPr>
        <w:tab/>
        <w:t>No canvassing or advertising signs</w:t>
      </w:r>
      <w:r>
        <w:tab/>
      </w:r>
      <w:r>
        <w:fldChar w:fldCharType="begin"/>
      </w:r>
      <w:r>
        <w:instrText xml:space="preserve"> PAGEREF _Toc423443318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2.7.</w:t>
      </w:r>
      <w:r>
        <w:rPr>
          <w:spacing w:val="-2"/>
        </w:rPr>
        <w:tab/>
        <w:t>Compliance</w:t>
      </w:r>
      <w:r>
        <w:tab/>
      </w:r>
      <w:r>
        <w:fldChar w:fldCharType="begin"/>
      </w:r>
      <w:r>
        <w:instrText xml:space="preserve"> PAGEREF _Toc423443320 \h </w:instrText>
      </w:r>
      <w:r>
        <w:fldChar w:fldCharType="separate"/>
      </w:r>
      <w:r>
        <w:t>13</w:t>
      </w:r>
      <w:r>
        <w:fldChar w:fldCharType="end"/>
      </w:r>
    </w:p>
    <w:p>
      <w:pPr>
        <w:pStyle w:val="TOC8"/>
        <w:rPr>
          <w:rFonts w:asciiTheme="minorHAnsi" w:eastAsiaTheme="minorEastAsia" w:hAnsiTheme="minorHAnsi" w:cstheme="minorBidi"/>
          <w:szCs w:val="22"/>
        </w:rPr>
      </w:pPr>
      <w:r>
        <w:t>2.8.</w:t>
      </w:r>
      <w:r>
        <w:rPr>
          <w:spacing w:val="-2"/>
        </w:rPr>
        <w:tab/>
        <w:t>Presumption of authority</w:t>
      </w:r>
      <w:r>
        <w:tab/>
      </w:r>
      <w:r>
        <w:fldChar w:fldCharType="begin"/>
      </w:r>
      <w:r>
        <w:instrText xml:space="preserve"> PAGEREF _Toc423443321 \h </w:instrText>
      </w:r>
      <w:r>
        <w:fldChar w:fldCharType="separate"/>
      </w:r>
      <w:r>
        <w:t>14</w:t>
      </w:r>
      <w:r>
        <w:fldChar w:fldCharType="end"/>
      </w:r>
    </w:p>
    <w:p>
      <w:pPr>
        <w:pStyle w:val="TOC8"/>
        <w:rPr>
          <w:rFonts w:asciiTheme="minorHAnsi" w:eastAsiaTheme="minorEastAsia" w:hAnsiTheme="minorHAnsi" w:cstheme="minorBidi"/>
          <w:szCs w:val="22"/>
        </w:rPr>
      </w:pPr>
      <w:r>
        <w:t>2.9.</w:t>
      </w:r>
      <w:r>
        <w:rPr>
          <w:spacing w:val="-2"/>
        </w:rPr>
        <w:tab/>
        <w:t>Gas marketing agent complaints</w:t>
      </w:r>
      <w:r>
        <w:tab/>
      </w:r>
      <w:r>
        <w:fldChar w:fldCharType="begin"/>
      </w:r>
      <w:r>
        <w:instrText xml:space="preserve"> PAGEREF _Toc423443322 \h </w:instrText>
      </w:r>
      <w:r>
        <w:fldChar w:fldCharType="separate"/>
      </w:r>
      <w:r>
        <w:t>14</w:t>
      </w:r>
      <w:r>
        <w:fldChar w:fldCharType="end"/>
      </w:r>
    </w:p>
    <w:p>
      <w:pPr>
        <w:pStyle w:val="TOC8"/>
        <w:rPr>
          <w:rFonts w:asciiTheme="minorHAnsi" w:eastAsiaTheme="minorEastAsia" w:hAnsiTheme="minorHAnsi" w:cstheme="minorBidi"/>
          <w:szCs w:val="22"/>
        </w:rPr>
      </w:pPr>
      <w:r>
        <w:t>2.10.</w:t>
      </w:r>
      <w:r>
        <w:rPr>
          <w:spacing w:val="-2"/>
        </w:rPr>
        <w:tab/>
        <w:t>Records to be kept</w:t>
      </w:r>
      <w:r>
        <w:tab/>
      </w:r>
      <w:r>
        <w:fldChar w:fldCharType="begin"/>
      </w:r>
      <w:r>
        <w:instrText xml:space="preserve"> PAGEREF _Toc423443323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_Toc423443325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Energy Coordination Act 1994</w:t>
      </w:r>
    </w:p>
    <w:p>
      <w:pPr>
        <w:pStyle w:val="NameofActReg"/>
      </w:pPr>
      <w:r>
        <w:t>Gas Marketing Code of Conduct 2015</w:t>
      </w:r>
    </w:p>
    <w:p>
      <w:pPr>
        <w:pStyle w:val="Heading2"/>
        <w:pageBreakBefore w:val="0"/>
        <w:spacing w:before="240"/>
      </w:pPr>
      <w:bookmarkStart w:id="3" w:name="_Toc375148345"/>
      <w:bookmarkStart w:id="4" w:name="_Toc375565090"/>
      <w:bookmarkStart w:id="5" w:name="_Toc375565363"/>
      <w:bookmarkStart w:id="6" w:name="_Toc375566945"/>
      <w:bookmarkStart w:id="7" w:name="_Toc376240533"/>
      <w:bookmarkStart w:id="8" w:name="_Toc418678297"/>
      <w:bookmarkStart w:id="9" w:name="_Toc418678323"/>
      <w:bookmarkStart w:id="10" w:name="_Toc421087723"/>
      <w:bookmarkStart w:id="11" w:name="_Toc4234432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376240534"/>
      <w:bookmarkStart w:id="13" w:name="_Toc423443300"/>
      <w:r>
        <w:rPr>
          <w:rStyle w:val="CharSectno"/>
        </w:rPr>
        <w:t>1.1.</w:t>
      </w:r>
      <w:r>
        <w:tab/>
        <w:t>Title</w:t>
      </w:r>
      <w:bookmarkEnd w:id="12"/>
      <w:bookmarkEnd w:id="13"/>
    </w:p>
    <w:p>
      <w:pPr>
        <w:pStyle w:val="Subsection"/>
        <w:ind w:right="282"/>
      </w:pPr>
      <w:r>
        <w:tab/>
      </w:r>
      <w:r>
        <w:tab/>
        <w:t xml:space="preserve">The </w:t>
      </w:r>
      <w:r>
        <w:rPr>
          <w:b/>
          <w:i/>
        </w:rPr>
        <w:t>Code</w:t>
      </w:r>
      <w:r>
        <w:t xml:space="preserve"> may be cited as the </w:t>
      </w:r>
      <w:r>
        <w:rPr>
          <w:i/>
        </w:rPr>
        <w:t>Gas Marketing Code of Conduct 2015</w:t>
      </w:r>
      <w:r>
        <w:t>.</w:t>
      </w:r>
    </w:p>
    <w:p>
      <w:pPr>
        <w:pStyle w:val="Heading5"/>
        <w:rPr>
          <w:spacing w:val="-2"/>
        </w:rPr>
      </w:pPr>
      <w:bookmarkStart w:id="14" w:name="_Toc376240535"/>
      <w:bookmarkStart w:id="15" w:name="_Toc423443301"/>
      <w:r>
        <w:rPr>
          <w:rStyle w:val="CharSectno"/>
        </w:rPr>
        <w:t>1.2.</w:t>
      </w:r>
      <w:r>
        <w:rPr>
          <w:spacing w:val="-2"/>
        </w:rPr>
        <w:tab/>
        <w:t>Authority</w:t>
      </w:r>
      <w:bookmarkEnd w:id="14"/>
      <w:bookmarkEnd w:id="15"/>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6" w:name="_Toc376240536"/>
      <w:bookmarkStart w:id="17" w:name="_Toc423443302"/>
      <w:r>
        <w:rPr>
          <w:rStyle w:val="CharSectno"/>
        </w:rPr>
        <w:t>1.3.</w:t>
      </w:r>
      <w:r>
        <w:rPr>
          <w:spacing w:val="-2"/>
        </w:rPr>
        <w:tab/>
        <w:t>Commencement</w:t>
      </w:r>
      <w:bookmarkEnd w:id="16"/>
      <w:bookmarkEnd w:id="17"/>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18" w:name="_Toc376240537"/>
      <w:bookmarkStart w:id="19" w:name="_Toc423443303"/>
      <w:r>
        <w:rPr>
          <w:rStyle w:val="CharSectno"/>
        </w:rPr>
        <w:t>1.4.</w:t>
      </w:r>
      <w:r>
        <w:rPr>
          <w:spacing w:val="-2"/>
        </w:rPr>
        <w:tab/>
        <w:t>Interpretation</w:t>
      </w:r>
      <w:bookmarkEnd w:id="18"/>
      <w:bookmarkEnd w:id="19"/>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lang w:val="en-US"/>
        </w:rPr>
        <w:t xml:space="preserve">Other parts of speech and grammatical forms of a word or phrase defined in the </w:t>
      </w:r>
      <w:r>
        <w:rPr>
          <w:rFonts w:cs="Arial"/>
          <w:b/>
          <w:bCs/>
          <w:i/>
          <w:iCs/>
          <w:lang w:val="en-US"/>
        </w:rPr>
        <w:t>Code</w:t>
      </w:r>
      <w:r>
        <w:rPr>
          <w:rFonts w:cs="Arial"/>
          <w:lang w:val="en-US"/>
        </w:rP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20" w:name="_Toc376240538"/>
      <w:bookmarkStart w:id="21" w:name="_Toc423443304"/>
      <w:r>
        <w:rPr>
          <w:rStyle w:val="CharSectno"/>
        </w:rPr>
        <w:t>1.5.</w:t>
      </w:r>
      <w:r>
        <w:rPr>
          <w:spacing w:val="-2"/>
        </w:rPr>
        <w:tab/>
        <w:t>Definitions</w:t>
      </w:r>
      <w:bookmarkEnd w:id="20"/>
      <w:bookmarkEnd w:id="21"/>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 xml:space="preserve">means the </w:t>
      </w:r>
      <w:r>
        <w:rPr>
          <w:i/>
        </w:rPr>
        <w:t>Energy Coordination Act 1994</w:t>
      </w:r>
      <w:r>
        <w:t>.</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2015</w:t>
      </w:r>
      <w:r>
        <w:t xml:space="preserve"> as amended by the Authority.</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Footnotesection"/>
      </w:pPr>
      <w:r>
        <w:tab/>
        <w:t>[Clause 1.5 amended in Gazette 26 Jun 2015 p. 2282.]</w:t>
      </w:r>
    </w:p>
    <w:p>
      <w:pPr>
        <w:pStyle w:val="Heading5"/>
        <w:rPr>
          <w:spacing w:val="-2"/>
        </w:rPr>
      </w:pPr>
      <w:bookmarkStart w:id="22" w:name="_Toc376240539"/>
      <w:bookmarkStart w:id="23" w:name="_Toc423443305"/>
      <w:r>
        <w:rPr>
          <w:rStyle w:val="CharSectno"/>
        </w:rPr>
        <w:t>1.6.</w:t>
      </w:r>
      <w:r>
        <w:rPr>
          <w:spacing w:val="-2"/>
        </w:rPr>
        <w:tab/>
        <w:t>Application</w:t>
      </w:r>
      <w:bookmarkEnd w:id="22"/>
      <w:bookmarkEnd w:id="23"/>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4" w:name="_Toc376240540"/>
      <w:bookmarkStart w:id="25" w:name="_Toc423443306"/>
      <w:r>
        <w:rPr>
          <w:rStyle w:val="CharSectno"/>
        </w:rPr>
        <w:t>1.7.</w:t>
      </w:r>
      <w:r>
        <w:rPr>
          <w:spacing w:val="-2"/>
        </w:rPr>
        <w:tab/>
        <w:t>Purpose</w:t>
      </w:r>
      <w:bookmarkEnd w:id="24"/>
      <w:bookmarkEnd w:id="25"/>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6" w:name="_Toc376240541"/>
      <w:bookmarkStart w:id="27" w:name="_Toc423443307"/>
      <w:r>
        <w:rPr>
          <w:rStyle w:val="CharSectno"/>
        </w:rPr>
        <w:t>1.8.</w:t>
      </w:r>
      <w:r>
        <w:rPr>
          <w:spacing w:val="-2"/>
        </w:rPr>
        <w:tab/>
        <w:t>Objectives</w:t>
      </w:r>
      <w:bookmarkEnd w:id="26"/>
      <w:bookmarkEnd w:id="27"/>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28" w:name="_Toc376240542"/>
      <w:bookmarkStart w:id="29" w:name="_Toc423443308"/>
      <w:r>
        <w:rPr>
          <w:rStyle w:val="CharSectno"/>
        </w:rPr>
        <w:t>1.9</w:t>
      </w:r>
      <w:r>
        <w:rPr>
          <w:spacing w:val="-2"/>
        </w:rPr>
        <w:t>.</w:t>
      </w:r>
      <w:r>
        <w:rPr>
          <w:spacing w:val="-2"/>
        </w:rPr>
        <w:tab/>
        <w:t>Amendment and Review</w:t>
      </w:r>
      <w:bookmarkEnd w:id="28"/>
      <w:bookmarkEnd w:id="29"/>
    </w:p>
    <w:p>
      <w:pPr>
        <w:pStyle w:val="Subsection"/>
      </w:pPr>
      <w:r>
        <w:tab/>
      </w:r>
      <w:r>
        <w:tab/>
        <w:t xml:space="preserve">The </w:t>
      </w:r>
      <w:r>
        <w:rPr>
          <w:b/>
          <w:i/>
        </w:rPr>
        <w:t>Code</w:t>
      </w:r>
      <w:r>
        <w:t xml:space="preserve"> will be amended in accordance with Part 2C of the Act.</w:t>
      </w:r>
    </w:p>
    <w:p>
      <w:pPr>
        <w:pStyle w:val="Heading2"/>
      </w:pPr>
      <w:bookmarkStart w:id="30" w:name="_Toc375565100"/>
      <w:bookmarkStart w:id="31" w:name="_Toc375565373"/>
      <w:bookmarkStart w:id="32" w:name="_Toc375566955"/>
      <w:bookmarkStart w:id="33" w:name="_Toc376240543"/>
      <w:bookmarkStart w:id="34" w:name="_Toc418678307"/>
      <w:bookmarkStart w:id="35" w:name="_Toc418678333"/>
      <w:bookmarkStart w:id="36" w:name="_Toc421087733"/>
      <w:bookmarkStart w:id="37" w:name="_Toc423443309"/>
      <w:r>
        <w:rPr>
          <w:rStyle w:val="CharPartNo"/>
        </w:rPr>
        <w:t>Part 2</w:t>
      </w:r>
      <w:r>
        <w:t> — </w:t>
      </w:r>
      <w:r>
        <w:rPr>
          <w:rStyle w:val="CharPartText"/>
        </w:rPr>
        <w:t>Marketing</w:t>
      </w:r>
      <w:bookmarkEnd w:id="30"/>
      <w:bookmarkEnd w:id="31"/>
      <w:bookmarkEnd w:id="32"/>
      <w:bookmarkEnd w:id="33"/>
      <w:bookmarkEnd w:id="34"/>
      <w:bookmarkEnd w:id="35"/>
      <w:bookmarkEnd w:id="36"/>
      <w:bookmarkEnd w:id="37"/>
    </w:p>
    <w:p>
      <w:pPr>
        <w:pStyle w:val="Heading3"/>
      </w:pPr>
      <w:bookmarkStart w:id="38" w:name="_Toc375565101"/>
      <w:bookmarkStart w:id="39" w:name="_Toc375565374"/>
      <w:bookmarkStart w:id="40" w:name="_Toc375566956"/>
      <w:bookmarkStart w:id="41" w:name="_Toc376240544"/>
      <w:bookmarkStart w:id="42" w:name="_Toc418678308"/>
      <w:bookmarkStart w:id="43" w:name="_Toc418678334"/>
      <w:bookmarkStart w:id="44" w:name="_Toc421087734"/>
      <w:bookmarkStart w:id="45" w:name="_Toc423443310"/>
      <w:r>
        <w:rPr>
          <w:rStyle w:val="CharDivNo"/>
        </w:rPr>
        <w:t>Division 1</w:t>
      </w:r>
      <w:r>
        <w:t> — </w:t>
      </w:r>
      <w:r>
        <w:rPr>
          <w:rStyle w:val="CharDivText"/>
        </w:rPr>
        <w:t>Obligations particular to retailers</w:t>
      </w:r>
      <w:bookmarkEnd w:id="38"/>
      <w:bookmarkEnd w:id="39"/>
      <w:bookmarkEnd w:id="40"/>
      <w:bookmarkEnd w:id="41"/>
      <w:bookmarkEnd w:id="42"/>
      <w:bookmarkEnd w:id="43"/>
      <w:bookmarkEnd w:id="44"/>
      <w:bookmarkEnd w:id="45"/>
    </w:p>
    <w:p>
      <w:pPr>
        <w:pStyle w:val="Heading5"/>
        <w:rPr>
          <w:spacing w:val="-2"/>
        </w:rPr>
      </w:pPr>
      <w:bookmarkStart w:id="46" w:name="_Toc376240545"/>
      <w:bookmarkStart w:id="47" w:name="_Toc423443311"/>
      <w:r>
        <w:rPr>
          <w:rStyle w:val="CharSectno"/>
        </w:rPr>
        <w:t>2.1.</w:t>
      </w:r>
      <w:r>
        <w:rPr>
          <w:spacing w:val="-2"/>
        </w:rPr>
        <w:tab/>
        <w:t>Retailers to ensure representatives comply with this Part</w:t>
      </w:r>
      <w:bookmarkEnd w:id="46"/>
      <w:bookmarkEnd w:id="47"/>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48" w:name="_Toc375565103"/>
      <w:bookmarkStart w:id="49" w:name="_Toc375565376"/>
      <w:bookmarkStart w:id="50" w:name="_Toc375566958"/>
      <w:bookmarkStart w:id="51" w:name="_Toc376240546"/>
      <w:bookmarkStart w:id="52" w:name="_Toc418678310"/>
      <w:bookmarkStart w:id="53" w:name="_Toc418678336"/>
      <w:bookmarkStart w:id="54" w:name="_Toc421087736"/>
      <w:bookmarkStart w:id="55" w:name="_Toc423443312"/>
      <w:r>
        <w:rPr>
          <w:rStyle w:val="CharDivNo"/>
        </w:rPr>
        <w:t>Division 2</w:t>
      </w:r>
      <w:r>
        <w:t> — </w:t>
      </w:r>
      <w:r>
        <w:rPr>
          <w:rStyle w:val="CharDivText"/>
        </w:rPr>
        <w:t>Contracts and information to be provided to customers</w:t>
      </w:r>
      <w:bookmarkEnd w:id="48"/>
      <w:bookmarkEnd w:id="49"/>
      <w:bookmarkEnd w:id="50"/>
      <w:bookmarkEnd w:id="51"/>
      <w:bookmarkEnd w:id="52"/>
      <w:bookmarkEnd w:id="53"/>
      <w:bookmarkEnd w:id="54"/>
      <w:bookmarkEnd w:id="55"/>
    </w:p>
    <w:p>
      <w:pPr>
        <w:pStyle w:val="Heading5"/>
        <w:rPr>
          <w:spacing w:val="-2"/>
        </w:rPr>
      </w:pPr>
      <w:bookmarkStart w:id="56" w:name="_Toc376240547"/>
      <w:bookmarkStart w:id="57" w:name="_Toc423443313"/>
      <w:r>
        <w:rPr>
          <w:rStyle w:val="CharSectno"/>
        </w:rPr>
        <w:t>2.2.</w:t>
      </w:r>
      <w:r>
        <w:rPr>
          <w:spacing w:val="-2"/>
        </w:rPr>
        <w:tab/>
        <w:t>Entering into a standard form contract</w:t>
      </w:r>
      <w:bookmarkEnd w:id="56"/>
      <w:bookmarkEnd w:id="57"/>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58" w:name="_Toc376240548"/>
      <w:bookmarkStart w:id="59" w:name="_Toc423443314"/>
      <w:r>
        <w:rPr>
          <w:rStyle w:val="CharSectno"/>
        </w:rPr>
        <w:t>2.3.</w:t>
      </w:r>
      <w:r>
        <w:rPr>
          <w:spacing w:val="-2"/>
        </w:rPr>
        <w:tab/>
        <w:t>Entering into a non-standard contract</w:t>
      </w:r>
      <w:bookmarkEnd w:id="58"/>
      <w:bookmarkEnd w:id="59"/>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60" w:name="_Toc375565106"/>
      <w:bookmarkStart w:id="61" w:name="_Toc375565379"/>
      <w:bookmarkStart w:id="62" w:name="_Toc375566961"/>
      <w:bookmarkStart w:id="63" w:name="_Toc376240549"/>
      <w:bookmarkStart w:id="64" w:name="_Toc418678313"/>
      <w:bookmarkStart w:id="65" w:name="_Toc418678339"/>
      <w:bookmarkStart w:id="66" w:name="_Toc421087739"/>
      <w:bookmarkStart w:id="67" w:name="_Toc423443315"/>
      <w:r>
        <w:rPr>
          <w:rStyle w:val="CharDivNo"/>
        </w:rPr>
        <w:t>Division 3</w:t>
      </w:r>
      <w:r>
        <w:t> — </w:t>
      </w:r>
      <w:r>
        <w:rPr>
          <w:rStyle w:val="CharDivText"/>
        </w:rPr>
        <w:t>Marketing conduct</w:t>
      </w:r>
      <w:bookmarkEnd w:id="60"/>
      <w:bookmarkEnd w:id="61"/>
      <w:bookmarkEnd w:id="62"/>
      <w:bookmarkEnd w:id="63"/>
      <w:bookmarkEnd w:id="64"/>
      <w:bookmarkEnd w:id="65"/>
      <w:bookmarkEnd w:id="66"/>
      <w:bookmarkEnd w:id="67"/>
    </w:p>
    <w:p>
      <w:pPr>
        <w:pStyle w:val="Heading5"/>
        <w:rPr>
          <w:spacing w:val="-2"/>
        </w:rPr>
      </w:pPr>
      <w:bookmarkStart w:id="68" w:name="_Toc376240550"/>
      <w:bookmarkStart w:id="69" w:name="_Toc423443316"/>
      <w:r>
        <w:rPr>
          <w:rStyle w:val="CharSectno"/>
        </w:rPr>
        <w:t>2.4.</w:t>
      </w:r>
      <w:r>
        <w:rPr>
          <w:spacing w:val="-2"/>
        </w:rPr>
        <w:tab/>
        <w:t>Standards of conduct</w:t>
      </w:r>
      <w:bookmarkEnd w:id="68"/>
      <w:bookmarkEnd w:id="69"/>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70" w:name="_Toc376240551"/>
      <w:bookmarkStart w:id="71" w:name="_Toc423443317"/>
      <w:r>
        <w:rPr>
          <w:rStyle w:val="CharSectno"/>
        </w:rPr>
        <w:t>2.5.</w:t>
      </w:r>
      <w:r>
        <w:rPr>
          <w:spacing w:val="-2"/>
        </w:rPr>
        <w:tab/>
        <w:t>Contact for the purposes of marketing</w:t>
      </w:r>
      <w:bookmarkEnd w:id="70"/>
      <w:bookmarkEnd w:id="71"/>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72" w:name="_Toc376240552"/>
      <w:bookmarkStart w:id="73" w:name="_Toc423443318"/>
      <w:r>
        <w:rPr>
          <w:rStyle w:val="CharSectno"/>
        </w:rPr>
        <w:t>2.6.</w:t>
      </w:r>
      <w:r>
        <w:rPr>
          <w:spacing w:val="-2"/>
        </w:rPr>
        <w:tab/>
        <w:t>No canvassing or advertising signs</w:t>
      </w:r>
      <w:bookmarkEnd w:id="72"/>
      <w:bookmarkEnd w:id="73"/>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74" w:name="_Toc375565110"/>
      <w:bookmarkStart w:id="75" w:name="_Toc375565383"/>
      <w:bookmarkStart w:id="76" w:name="_Toc375566965"/>
      <w:bookmarkStart w:id="77" w:name="_Toc376240553"/>
      <w:bookmarkStart w:id="78" w:name="_Toc418678317"/>
      <w:bookmarkStart w:id="79" w:name="_Toc418678343"/>
      <w:bookmarkStart w:id="80" w:name="_Toc421087743"/>
      <w:bookmarkStart w:id="81" w:name="_Toc423443319"/>
      <w:r>
        <w:rPr>
          <w:rStyle w:val="CharDivNo"/>
        </w:rPr>
        <w:t>Division 4</w:t>
      </w:r>
      <w:r>
        <w:t> — </w:t>
      </w:r>
      <w:r>
        <w:rPr>
          <w:rStyle w:val="CharDivText"/>
        </w:rPr>
        <w:t>Miscellaneous</w:t>
      </w:r>
      <w:bookmarkEnd w:id="74"/>
      <w:bookmarkEnd w:id="75"/>
      <w:bookmarkEnd w:id="76"/>
      <w:bookmarkEnd w:id="77"/>
      <w:bookmarkEnd w:id="78"/>
      <w:bookmarkEnd w:id="79"/>
      <w:bookmarkEnd w:id="80"/>
      <w:bookmarkEnd w:id="81"/>
    </w:p>
    <w:p>
      <w:pPr>
        <w:pStyle w:val="Heading5"/>
        <w:rPr>
          <w:spacing w:val="-2"/>
        </w:rPr>
      </w:pPr>
      <w:bookmarkStart w:id="82" w:name="_Toc423443320"/>
      <w:bookmarkStart w:id="83" w:name="_Toc376240554"/>
      <w:r>
        <w:rPr>
          <w:rStyle w:val="CharSectno"/>
        </w:rPr>
        <w:t>2.7.</w:t>
      </w:r>
      <w:r>
        <w:rPr>
          <w:spacing w:val="-2"/>
        </w:rPr>
        <w:tab/>
        <w:t>Compliance</w:t>
      </w:r>
      <w:bookmarkEnd w:id="82"/>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84" w:name="_Toc423443321"/>
      <w:r>
        <w:rPr>
          <w:rStyle w:val="CharSectno"/>
        </w:rPr>
        <w:t>2.8.</w:t>
      </w:r>
      <w:r>
        <w:rPr>
          <w:spacing w:val="-2"/>
        </w:rPr>
        <w:tab/>
        <w:t>Presumption of authority</w:t>
      </w:r>
      <w:bookmarkEnd w:id="83"/>
      <w:bookmarkEnd w:id="84"/>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85" w:name="_Toc376240555"/>
      <w:bookmarkStart w:id="86" w:name="_Toc423443322"/>
      <w:r>
        <w:rPr>
          <w:rStyle w:val="CharSectno"/>
        </w:rPr>
        <w:t>2.9.</w:t>
      </w:r>
      <w:r>
        <w:rPr>
          <w:spacing w:val="-2"/>
        </w:rPr>
        <w:tab/>
        <w:t>Gas marketing agent complaints</w:t>
      </w:r>
      <w:bookmarkEnd w:id="85"/>
      <w:bookmarkEnd w:id="86"/>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87" w:name="_Toc376240556"/>
      <w:bookmarkStart w:id="88" w:name="_Toc423443323"/>
      <w:r>
        <w:rPr>
          <w:rStyle w:val="CharSectno"/>
        </w:rPr>
        <w:t>2.10.</w:t>
      </w:r>
      <w:r>
        <w:rPr>
          <w:spacing w:val="-2"/>
        </w:rPr>
        <w:tab/>
        <w:t>Records to be kept</w:t>
      </w:r>
      <w:bookmarkEnd w:id="87"/>
      <w:bookmarkEnd w:id="88"/>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PermNoteHeading"/>
      </w:pPr>
      <w:r>
        <w:tab/>
        <w:t>Note for this clause:</w:t>
      </w:r>
    </w:p>
    <w:p>
      <w:pPr>
        <w:pStyle w:val="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9" w:name="_Toc375148348"/>
      <w:bookmarkStart w:id="90" w:name="_Toc375565114"/>
      <w:bookmarkStart w:id="91" w:name="_Toc375565387"/>
      <w:bookmarkStart w:id="92" w:name="_Toc375566969"/>
      <w:bookmarkStart w:id="93" w:name="_Toc376240557"/>
      <w:bookmarkStart w:id="94" w:name="_Toc418678321"/>
      <w:bookmarkStart w:id="95" w:name="_Toc418678347"/>
      <w:bookmarkStart w:id="96" w:name="_Toc421087748"/>
      <w:bookmarkStart w:id="97" w:name="_Toc423443324"/>
      <w:r>
        <w:t>Notes</w:t>
      </w:r>
      <w:bookmarkEnd w:id="89"/>
      <w:bookmarkEnd w:id="90"/>
      <w:bookmarkEnd w:id="91"/>
      <w:bookmarkEnd w:id="92"/>
      <w:bookmarkEnd w:id="93"/>
      <w:bookmarkEnd w:id="94"/>
      <w:bookmarkEnd w:id="95"/>
      <w:bookmarkEnd w:id="96"/>
      <w:bookmarkEnd w:id="97"/>
    </w:p>
    <w:p>
      <w:pPr>
        <w:pStyle w:val="nSubsection"/>
      </w:pPr>
      <w:r>
        <w:rPr>
          <w:vertAlign w:val="superscript"/>
        </w:rPr>
        <w:t>1</w:t>
      </w:r>
      <w:r>
        <w:tab/>
        <w:t xml:space="preserve">This is a compilation of the </w:t>
      </w:r>
      <w:r>
        <w:rPr>
          <w:i/>
          <w:noProof/>
        </w:rPr>
        <w:t>Gas Marketing Code of Conduct 2015</w:t>
      </w:r>
      <w:r>
        <w:t xml:space="preserve"> and includes the amendments made by the other written laws referred to in the following table.</w:t>
      </w:r>
    </w:p>
    <w:p>
      <w:pPr>
        <w:pStyle w:val="nHeading3"/>
      </w:pPr>
      <w:bookmarkStart w:id="98" w:name="_Toc376240558"/>
      <w:bookmarkStart w:id="99" w:name="_Toc423443325"/>
      <w:r>
        <w:t>Compilation table</w:t>
      </w:r>
      <w:bookmarkEnd w:id="98"/>
      <w:bookmarkEnd w:id="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Borders>
              <w:bottom w:val="nil"/>
            </w:tcBorders>
          </w:tcPr>
          <w:p>
            <w:pPr>
              <w:pStyle w:val="nTable"/>
              <w:rPr>
                <w:iCs/>
              </w:rPr>
            </w:pPr>
            <w:r>
              <w:rPr>
                <w:i/>
              </w:rPr>
              <w:t>Gas Marketing Code of Conduct 2015</w:t>
            </w:r>
          </w:p>
        </w:tc>
        <w:tc>
          <w:tcPr>
            <w:tcW w:w="1276" w:type="dxa"/>
            <w:tcBorders>
              <w:bottom w:val="nil"/>
            </w:tcBorders>
          </w:tcPr>
          <w:p>
            <w:pPr>
              <w:pStyle w:val="nTable"/>
            </w:pPr>
            <w:r>
              <w:t>3 Jun 2015 p. 1959</w:t>
            </w:r>
            <w:r>
              <w:noBreakHyphen/>
              <w:t>68</w:t>
            </w:r>
          </w:p>
        </w:tc>
        <w:tc>
          <w:tcPr>
            <w:tcW w:w="2693" w:type="dxa"/>
            <w:tcBorders>
              <w:bottom w:val="nil"/>
            </w:tcBorders>
          </w:tcPr>
          <w:p>
            <w:pPr>
              <w:pStyle w:val="nTable"/>
            </w:pPr>
            <w:r>
              <w:t>1 Jul 2015 (see cl. 1.3)</w:t>
            </w:r>
          </w:p>
        </w:tc>
      </w:tr>
      <w:tr>
        <w:tc>
          <w:tcPr>
            <w:tcW w:w="3118" w:type="dxa"/>
            <w:tcBorders>
              <w:top w:val="nil"/>
            </w:tcBorders>
          </w:tcPr>
          <w:p>
            <w:pPr>
              <w:pStyle w:val="nTable"/>
              <w:rPr>
                <w:i/>
              </w:rPr>
            </w:pPr>
            <w:r>
              <w:rPr>
                <w:i/>
              </w:rPr>
              <w:t>Gas Marketing Code of Conduct Amendment Instrument 2015</w:t>
            </w:r>
          </w:p>
        </w:tc>
        <w:tc>
          <w:tcPr>
            <w:tcW w:w="1276" w:type="dxa"/>
            <w:tcBorders>
              <w:top w:val="nil"/>
            </w:tcBorders>
          </w:tcPr>
          <w:p>
            <w:pPr>
              <w:pStyle w:val="nTable"/>
            </w:pPr>
            <w:r>
              <w:t>26 Jun 2015 p. 2282</w:t>
            </w:r>
          </w:p>
        </w:tc>
        <w:tc>
          <w:tcPr>
            <w:tcW w:w="2693" w:type="dxa"/>
            <w:tcBorders>
              <w:top w:val="nil"/>
            </w:tcBorders>
          </w:tcPr>
          <w:p>
            <w:pPr>
              <w:pStyle w:val="nTable"/>
            </w:pPr>
            <w:r>
              <w:t>cl. 1 and 2: 26 Jun 2015 (see cl. 2(a));</w:t>
            </w:r>
            <w:r>
              <w:br/>
              <w:t>Instrument other than cl. 1 and 2: 1 Jul 2015 (see cl. 2(b))</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1" w:name="_Toc421087750"/>
      <w:bookmarkStart w:id="102" w:name="_Toc423443326"/>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1.5</w:t>
      </w:r>
    </w:p>
    <w:p>
      <w:pPr>
        <w:pStyle w:val="DefinedTerms"/>
      </w:pPr>
      <w:r>
        <w:t>alternative tariff</w:t>
      </w:r>
      <w:r>
        <w:tab/>
        <w:t>1.5</w:t>
      </w:r>
    </w:p>
    <w:p>
      <w:pPr>
        <w:pStyle w:val="DefinedTerms"/>
      </w:pPr>
      <w:r>
        <w:t>Australian Consumer Law (WA)</w:t>
      </w:r>
      <w:r>
        <w:tab/>
        <w:t>1.5</w:t>
      </w:r>
    </w:p>
    <w:p>
      <w:pPr>
        <w:pStyle w:val="DefinedTerms"/>
      </w:pPr>
      <w:r>
        <w:t>Authority</w:t>
      </w:r>
      <w:r>
        <w:tab/>
        <w:t>1.5</w:t>
      </w:r>
    </w:p>
    <w:p>
      <w:pPr>
        <w:pStyle w:val="DefinedTerms"/>
      </w:pPr>
      <w:r>
        <w:t>basic living needs</w:t>
      </w:r>
      <w:r>
        <w:tab/>
        <w:t>1.5</w:t>
      </w:r>
    </w:p>
    <w:p>
      <w:pPr>
        <w:pStyle w:val="DefinedTerms"/>
      </w:pPr>
      <w:r>
        <w:t>business day</w:t>
      </w:r>
      <w:r>
        <w:tab/>
        <w:t>1.5</w:t>
      </w:r>
    </w:p>
    <w:p>
      <w:pPr>
        <w:pStyle w:val="DefinedTerms"/>
      </w:pPr>
      <w:r>
        <w:t>change in personal circumstances</w:t>
      </w:r>
      <w:r>
        <w:tab/>
        <w:t>1.5</w:t>
      </w:r>
    </w:p>
    <w:p>
      <w:pPr>
        <w:pStyle w:val="DefinedTerms"/>
      </w:pPr>
      <w:r>
        <w:t>Code</w:t>
      </w:r>
      <w:r>
        <w:tab/>
        <w:t>1.5</w:t>
      </w:r>
    </w:p>
    <w:p>
      <w:pPr>
        <w:pStyle w:val="DefinedTerms"/>
      </w:pPr>
      <w:r>
        <w:t xml:space="preserve">Compendium </w:t>
      </w:r>
      <w:r>
        <w:tab/>
        <w:t>1.5</w:t>
      </w:r>
    </w:p>
    <w:p>
      <w:pPr>
        <w:pStyle w:val="DefinedTerms"/>
      </w:pPr>
      <w:r>
        <w:t>complaint</w:t>
      </w:r>
      <w:r>
        <w:tab/>
        <w:t>1.5</w:t>
      </w:r>
    </w:p>
    <w:p>
      <w:pPr>
        <w:pStyle w:val="DefinedTerms"/>
      </w:pPr>
      <w:r>
        <w:t>concession</w:t>
      </w:r>
      <w:r>
        <w:tab/>
        <w:t>1.5</w:t>
      </w:r>
    </w:p>
    <w:p>
      <w:pPr>
        <w:pStyle w:val="DefinedTerms"/>
      </w:pPr>
      <w:r>
        <w:t>contact</w:t>
      </w:r>
      <w:r>
        <w:tab/>
        <w:t>1.5</w:t>
      </w:r>
    </w:p>
    <w:p>
      <w:pPr>
        <w:pStyle w:val="DefinedTerms"/>
      </w:pPr>
      <w:r>
        <w:t xml:space="preserve">contract </w:t>
      </w:r>
      <w:r>
        <w:tab/>
        <w:t>1.5</w:t>
      </w:r>
    </w:p>
    <w:p>
      <w:pPr>
        <w:pStyle w:val="DefinedTerms"/>
      </w:pPr>
      <w:r>
        <w:t>cooling-off period</w:t>
      </w:r>
      <w:r>
        <w:tab/>
        <w:t>1.5</w:t>
      </w:r>
    </w:p>
    <w:p>
      <w:pPr>
        <w:pStyle w:val="DefinedTerms"/>
      </w:pPr>
      <w:r>
        <w:t>customer</w:t>
      </w:r>
      <w:r>
        <w:tab/>
        <w:t>1.5</w:t>
      </w:r>
    </w:p>
    <w:p>
      <w:pPr>
        <w:pStyle w:val="DefinedTerms"/>
      </w:pPr>
      <w:r>
        <w:t>distributor</w:t>
      </w:r>
      <w:r>
        <w:tab/>
        <w:t>1.5</w:t>
      </w:r>
    </w:p>
    <w:p>
      <w:pPr>
        <w:pStyle w:val="DefinedTerms"/>
      </w:pPr>
      <w:r>
        <w:t>door to door marketing</w:t>
      </w:r>
      <w:r>
        <w:tab/>
        <w:t>1.5</w:t>
      </w:r>
    </w:p>
    <w:p>
      <w:pPr>
        <w:pStyle w:val="DefinedTerms"/>
      </w:pPr>
      <w:r>
        <w:t>emergency</w:t>
      </w:r>
      <w:r>
        <w:tab/>
        <w:t>1.5</w:t>
      </w:r>
    </w:p>
    <w:p>
      <w:pPr>
        <w:pStyle w:val="DefinedTerms"/>
      </w:pPr>
      <w:r>
        <w:t>financial hardship</w:t>
      </w:r>
      <w:r>
        <w:tab/>
        <w:t>1.5</w:t>
      </w:r>
    </w:p>
    <w:p>
      <w:pPr>
        <w:pStyle w:val="DefinedTerms"/>
      </w:pPr>
      <w:r>
        <w:t>gas marketing agent</w:t>
      </w:r>
      <w:r>
        <w:tab/>
        <w:t>1.5</w:t>
      </w:r>
    </w:p>
    <w:p>
      <w:pPr>
        <w:pStyle w:val="DefinedTerms"/>
      </w:pPr>
      <w:r>
        <w:t>gas ombudsman</w:t>
      </w:r>
      <w:r>
        <w:tab/>
        <w:t>1.5</w:t>
      </w:r>
    </w:p>
    <w:p>
      <w:pPr>
        <w:pStyle w:val="DefinedTerms"/>
      </w:pPr>
      <w:r>
        <w:t>marketing</w:t>
      </w:r>
      <w:r>
        <w:tab/>
        <w:t>1.5</w:t>
      </w:r>
    </w:p>
    <w:p>
      <w:pPr>
        <w:pStyle w:val="DefinedTerms"/>
      </w:pPr>
      <w:r>
        <w:t>marketing identification number</w:t>
      </w:r>
      <w:r>
        <w:tab/>
        <w:t>1.5</w:t>
      </w:r>
    </w:p>
    <w:p>
      <w:pPr>
        <w:pStyle w:val="DefinedTerms"/>
      </w:pPr>
      <w:r>
        <w:t>needs</w:t>
      </w:r>
      <w:r>
        <w:tab/>
        <w:t>1.5</w:t>
      </w:r>
    </w:p>
    <w:p>
      <w:pPr>
        <w:pStyle w:val="DefinedTerms"/>
      </w:pPr>
      <w:r>
        <w:t>non-standard contract</w:t>
      </w:r>
      <w:r>
        <w:tab/>
        <w:t>1.5</w:t>
      </w:r>
    </w:p>
    <w:p>
      <w:pPr>
        <w:pStyle w:val="DefinedTerms"/>
      </w:pPr>
      <w:r>
        <w:t>payment difficulties</w:t>
      </w:r>
      <w:r>
        <w:tab/>
        <w:t>1.5</w:t>
      </w:r>
    </w:p>
    <w:p>
      <w:pPr>
        <w:pStyle w:val="DefinedTerms"/>
      </w:pPr>
      <w:r>
        <w:t xml:space="preserve">premises </w:t>
      </w:r>
      <w:r>
        <w:tab/>
        <w:t>1.5</w:t>
      </w:r>
    </w:p>
    <w:p>
      <w:pPr>
        <w:pStyle w:val="DefinedTerms"/>
      </w:pPr>
      <w:r>
        <w:t>public holiday</w:t>
      </w:r>
      <w:r>
        <w:tab/>
        <w:t>1.5</w:t>
      </w:r>
    </w:p>
    <w:p>
      <w:pPr>
        <w:pStyle w:val="DefinedTerms"/>
      </w:pPr>
      <w:r>
        <w:t>residential customer</w:t>
      </w:r>
      <w:r>
        <w:tab/>
        <w:t>1.5</w:t>
      </w:r>
    </w:p>
    <w:p>
      <w:pPr>
        <w:pStyle w:val="DefinedTerms"/>
      </w:pPr>
      <w:r>
        <w:t xml:space="preserve">retailer </w:t>
      </w:r>
      <w:r>
        <w:tab/>
        <w:t>1.5</w:t>
      </w:r>
    </w:p>
    <w:p>
      <w:pPr>
        <w:pStyle w:val="DefinedTerms"/>
      </w:pPr>
      <w:r>
        <w:t>standard form contract</w:t>
      </w:r>
      <w:r>
        <w:tab/>
        <w:t>1.5</w:t>
      </w:r>
    </w:p>
    <w:p>
      <w:pPr>
        <w:pStyle w:val="DefinedTerms"/>
      </w:pPr>
      <w:r>
        <w:t xml:space="preserve">telephone </w:t>
      </w:r>
      <w:r>
        <w:tab/>
        <w:t>1.5</w:t>
      </w:r>
    </w:p>
    <w:p>
      <w:pPr>
        <w:pStyle w:val="DefinedTerms"/>
      </w:pPr>
      <w:r>
        <w:t xml:space="preserve">TTY </w:t>
      </w:r>
      <w:r>
        <w:tab/>
        <w:t>1.5</w:t>
      </w:r>
    </w:p>
    <w:p>
      <w:pPr>
        <w:pStyle w:val="DefinedTerms"/>
      </w:pPr>
      <w:r>
        <w:t>unsolicited consumer agreement</w:t>
      </w:r>
      <w:r>
        <w:tab/>
        <w:t>1.5</w:t>
      </w:r>
    </w:p>
    <w:p>
      <w:pPr>
        <w:pStyle w:val="DefinedTerms"/>
      </w:pPr>
      <w:r>
        <w:t>verifiable consent</w:t>
      </w:r>
      <w:r>
        <w:tab/>
        <w:t>1.5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0122"/>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3594</Words>
  <Characters>18402</Characters>
  <Application>Microsoft Office Word</Application>
  <DocSecurity>0</DocSecurity>
  <Lines>557</Lines>
  <Paragraphs>360</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2015 - 00-a0-02</dc:title>
  <dc:subject/>
  <dc:creator/>
  <cp:keywords/>
  <dc:description/>
  <cp:lastModifiedBy>svcMRProcess</cp:lastModifiedBy>
  <cp:revision>4</cp:revision>
  <cp:lastPrinted>2013-12-04T04:51:00Z</cp:lastPrinted>
  <dcterms:created xsi:type="dcterms:W3CDTF">2018-09-19T17:24:00Z</dcterms:created>
  <dcterms:modified xsi:type="dcterms:W3CDTF">2018-09-19T17:24:00Z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AsAtDate">
    <vt:lpwstr>01 Jul 2015</vt:lpwstr>
  </property>
  <property fmtid="{D5CDD505-2E9C-101B-9397-08002B2CF9AE}" pid="5" name="Suffix">
    <vt:lpwstr>00-a0-02</vt:lpwstr>
  </property>
  <property fmtid="{D5CDD505-2E9C-101B-9397-08002B2CF9AE}" pid="6" name="CommencementDate">
    <vt:lpwstr>20150701</vt:lpwstr>
  </property>
</Properties>
</file>