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and Crime Commission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Corruption and Crime Commission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_Toc422301993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_Toc422301994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_Toc422301995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_Toc422301996 \h </w:instrText>
      </w:r>
      <w:r>
        <w:fldChar w:fldCharType="separate"/>
      </w:r>
      <w:r>
        <w:t>9</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_Toc422301997 \h </w:instrText>
      </w:r>
      <w:r>
        <w:fldChar w:fldCharType="separate"/>
      </w:r>
      <w:r>
        <w:t>10</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_Toc422301998 \h </w:instrText>
      </w:r>
      <w:r>
        <w:fldChar w:fldCharType="separate"/>
      </w:r>
      <w:r>
        <w:t>10</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_Toc422301999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_Toc422302001 \h </w:instrText>
      </w:r>
      <w:r>
        <w:fldChar w:fldCharType="separate"/>
      </w:r>
      <w:r>
        <w:t>12</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_Toc422302002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_Toc422302005 \h </w:instrText>
      </w:r>
      <w:r>
        <w:fldChar w:fldCharType="separate"/>
      </w:r>
      <w:r>
        <w:t>13</w:t>
      </w:r>
      <w:r>
        <w:fldChar w:fldCharType="end"/>
      </w:r>
    </w:p>
    <w:p>
      <w:pPr>
        <w:pStyle w:val="TOC8"/>
        <w:rPr>
          <w:rFonts w:asciiTheme="minorHAnsi" w:eastAsiaTheme="minorEastAsia" w:hAnsiTheme="minorHAnsi" w:cstheme="minorBidi"/>
          <w:szCs w:val="22"/>
        </w:rPr>
      </w:pPr>
      <w:r>
        <w:t>9.</w:t>
      </w:r>
      <w:r>
        <w:tab/>
        <w:t>Corruption and Crime Commissioner</w:t>
      </w:r>
      <w:r>
        <w:tab/>
      </w:r>
      <w:r>
        <w:fldChar w:fldCharType="begin"/>
      </w:r>
      <w:r>
        <w:instrText xml:space="preserve"> PAGEREF _Toc422302006 \h </w:instrText>
      </w:r>
      <w:r>
        <w:fldChar w:fldCharType="separate"/>
      </w:r>
      <w:r>
        <w:t>13</w:t>
      </w:r>
      <w:r>
        <w:fldChar w:fldCharType="end"/>
      </w:r>
    </w:p>
    <w:p>
      <w:pPr>
        <w:pStyle w:val="TOC8"/>
        <w:rPr>
          <w:rFonts w:asciiTheme="minorHAnsi" w:eastAsiaTheme="minorEastAsia" w:hAnsiTheme="minorHAnsi" w:cstheme="minorBidi"/>
          <w:szCs w:val="22"/>
        </w:rPr>
      </w:pPr>
      <w:r>
        <w:t>10.</w:t>
      </w:r>
      <w:r>
        <w:tab/>
        <w:t>Qualifications for appointment as Commissioner</w:t>
      </w:r>
      <w:r>
        <w:tab/>
      </w:r>
      <w:r>
        <w:fldChar w:fldCharType="begin"/>
      </w:r>
      <w:r>
        <w:instrText xml:space="preserve"> PAGEREF _Toc422302007 \h </w:instrText>
      </w:r>
      <w:r>
        <w:fldChar w:fldCharType="separate"/>
      </w:r>
      <w:r>
        <w:t>14</w:t>
      </w:r>
      <w:r>
        <w:fldChar w:fldCharType="end"/>
      </w:r>
    </w:p>
    <w:p>
      <w:pPr>
        <w:pStyle w:val="TOC8"/>
        <w:rPr>
          <w:rFonts w:asciiTheme="minorHAnsi" w:eastAsiaTheme="minorEastAsia" w:hAnsiTheme="minorHAnsi" w:cstheme="minorBidi"/>
          <w:szCs w:val="22"/>
        </w:rPr>
      </w:pPr>
      <w:r>
        <w:t>11.</w:t>
      </w:r>
      <w:r>
        <w:tab/>
        <w:t>Terms and conditions of service of Commissioner</w:t>
      </w:r>
      <w:r>
        <w:tab/>
      </w:r>
      <w:r>
        <w:fldChar w:fldCharType="begin"/>
      </w:r>
      <w:r>
        <w:instrText xml:space="preserve"> PAGEREF _Toc422302008 \h </w:instrText>
      </w:r>
      <w:r>
        <w:fldChar w:fldCharType="separate"/>
      </w:r>
      <w:r>
        <w:t>15</w:t>
      </w:r>
      <w:r>
        <w:fldChar w:fldCharType="end"/>
      </w:r>
    </w:p>
    <w:p>
      <w:pPr>
        <w:pStyle w:val="TOC8"/>
        <w:rPr>
          <w:rFonts w:asciiTheme="minorHAnsi" w:eastAsiaTheme="minorEastAsia" w:hAnsiTheme="minorHAnsi" w:cstheme="minorBidi"/>
          <w:szCs w:val="22"/>
        </w:rPr>
      </w:pPr>
      <w:r>
        <w:t>12.</w:t>
      </w:r>
      <w:r>
        <w:tab/>
        <w:t>Removal or suspension of Commissioner</w:t>
      </w:r>
      <w:r>
        <w:tab/>
      </w:r>
      <w:r>
        <w:fldChar w:fldCharType="begin"/>
      </w:r>
      <w:r>
        <w:instrText xml:space="preserve"> PAGEREF _Toc422302009 \h </w:instrText>
      </w:r>
      <w:r>
        <w:fldChar w:fldCharType="separate"/>
      </w:r>
      <w:r>
        <w:t>15</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_Toc422302010 \h </w:instrText>
      </w:r>
      <w:r>
        <w:fldChar w:fldCharType="separate"/>
      </w:r>
      <w:r>
        <w:t>16</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_Toc422302011 \h </w:instrText>
      </w:r>
      <w:r>
        <w:fldChar w:fldCharType="separate"/>
      </w:r>
      <w:r>
        <w:t>16</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_Toc422302012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_Toc422302014 \h </w:instrText>
      </w:r>
      <w:r>
        <w:fldChar w:fldCharType="separate"/>
      </w:r>
      <w:r>
        <w:t>18</w:t>
      </w:r>
      <w:r>
        <w:fldChar w:fldCharType="end"/>
      </w:r>
    </w:p>
    <w:p>
      <w:pPr>
        <w:pStyle w:val="TOC8"/>
        <w:rPr>
          <w:rFonts w:asciiTheme="minorHAnsi" w:eastAsiaTheme="minorEastAsia" w:hAnsiTheme="minorHAnsi" w:cstheme="minorBidi"/>
          <w:szCs w:val="22"/>
        </w:rPr>
      </w:pPr>
      <w:r>
        <w:t>17.</w:t>
      </w:r>
      <w:r>
        <w:tab/>
        <w:t>Prevention and education function</w:t>
      </w:r>
      <w:r>
        <w:tab/>
      </w:r>
      <w:r>
        <w:fldChar w:fldCharType="begin"/>
      </w:r>
      <w:r>
        <w:instrText xml:space="preserve"> PAGEREF _Toc422302015 \h </w:instrText>
      </w:r>
      <w:r>
        <w:fldChar w:fldCharType="separate"/>
      </w:r>
      <w:r>
        <w:t>18</w:t>
      </w:r>
      <w:r>
        <w:fldChar w:fldCharType="end"/>
      </w:r>
    </w:p>
    <w:p>
      <w:pPr>
        <w:pStyle w:val="TOC8"/>
        <w:rPr>
          <w:rFonts w:asciiTheme="minorHAnsi" w:eastAsiaTheme="minorEastAsia" w:hAnsiTheme="minorHAnsi" w:cstheme="minorBidi"/>
          <w:szCs w:val="22"/>
        </w:rPr>
      </w:pPr>
      <w:r>
        <w:t>18.</w:t>
      </w:r>
      <w:r>
        <w:tab/>
        <w:t>Misconduct function</w:t>
      </w:r>
      <w:r>
        <w:tab/>
      </w:r>
      <w:r>
        <w:fldChar w:fldCharType="begin"/>
      </w:r>
      <w:r>
        <w:instrText xml:space="preserve"> PAGEREF _Toc422302016 \h </w:instrText>
      </w:r>
      <w:r>
        <w:fldChar w:fldCharType="separate"/>
      </w:r>
      <w:r>
        <w:t>19</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_Toc422302017 \h </w:instrText>
      </w:r>
      <w:r>
        <w:fldChar w:fldCharType="separate"/>
      </w:r>
      <w:r>
        <w:t>22</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_Toc422302018 \h </w:instrText>
      </w:r>
      <w:r>
        <w:fldChar w:fldCharType="separate"/>
      </w:r>
      <w:r>
        <w:t>23</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_Toc422302019 \h </w:instrText>
      </w:r>
      <w:r>
        <w:fldChar w:fldCharType="separate"/>
      </w:r>
      <w:r>
        <w:t>24</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_Toc422302020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Misconduct</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misconduct</w:t>
      </w:r>
      <w:r>
        <w:tab/>
      </w:r>
      <w:r>
        <w:fldChar w:fldCharType="begin"/>
      </w:r>
      <w:r>
        <w:instrText xml:space="preserve"> PAGEREF _Toc422302023 \h </w:instrText>
      </w:r>
      <w:r>
        <w:fldChar w:fldCharType="separate"/>
      </w:r>
      <w:r>
        <w:t>25</w:t>
      </w:r>
      <w:r>
        <w:fldChar w:fldCharType="end"/>
      </w:r>
    </w:p>
    <w:p>
      <w:pPr>
        <w:pStyle w:val="TOC8"/>
        <w:rPr>
          <w:rFonts w:asciiTheme="minorHAnsi" w:eastAsiaTheme="minorEastAsia" w:hAnsiTheme="minorHAnsi" w:cstheme="minorBidi"/>
          <w:szCs w:val="22"/>
        </w:rPr>
      </w:pPr>
      <w:r>
        <w:t>23.</w:t>
      </w:r>
      <w:r>
        <w:tab/>
        <w:t>Commission must not publish opinion as to commission of offence</w:t>
      </w:r>
      <w:r>
        <w:tab/>
      </w:r>
      <w:r>
        <w:fldChar w:fldCharType="begin"/>
      </w:r>
      <w:r>
        <w:instrText xml:space="preserve"> PAGEREF _Toc422302024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misconduct</w:t>
      </w:r>
      <w:r>
        <w:tab/>
      </w:r>
      <w:r>
        <w:fldChar w:fldCharType="begin"/>
      </w:r>
      <w:r>
        <w:instrText xml:space="preserve"> PAGEREF _Toc422302026 \h </w:instrText>
      </w:r>
      <w:r>
        <w:fldChar w:fldCharType="separate"/>
      </w:r>
      <w:r>
        <w:t>26</w:t>
      </w:r>
      <w:r>
        <w:fldChar w:fldCharType="end"/>
      </w:r>
    </w:p>
    <w:p>
      <w:pPr>
        <w:pStyle w:val="TOC8"/>
        <w:rPr>
          <w:rFonts w:asciiTheme="minorHAnsi" w:eastAsiaTheme="minorEastAsia" w:hAnsiTheme="minorHAnsi" w:cstheme="minorBidi"/>
          <w:szCs w:val="22"/>
        </w:rPr>
      </w:pPr>
      <w:r>
        <w:t>25.</w:t>
      </w:r>
      <w:r>
        <w:tab/>
        <w:t>Any person may report misconduct</w:t>
      </w:r>
      <w:r>
        <w:tab/>
      </w:r>
      <w:r>
        <w:fldChar w:fldCharType="begin"/>
      </w:r>
      <w:r>
        <w:instrText xml:space="preserve"> PAGEREF _Toc422302027 \h </w:instrText>
      </w:r>
      <w:r>
        <w:fldChar w:fldCharType="separate"/>
      </w:r>
      <w:r>
        <w:t>27</w:t>
      </w:r>
      <w:r>
        <w:fldChar w:fldCharType="end"/>
      </w:r>
    </w:p>
    <w:p>
      <w:pPr>
        <w:pStyle w:val="TOC8"/>
        <w:rPr>
          <w:rFonts w:asciiTheme="minorHAnsi" w:eastAsiaTheme="minorEastAsia" w:hAnsiTheme="minorHAnsi" w:cstheme="minorBidi"/>
          <w:szCs w:val="22"/>
        </w:rPr>
      </w:pPr>
      <w:r>
        <w:t>26.</w:t>
      </w:r>
      <w:r>
        <w:tab/>
        <w:t>Commission may make proposition about misconduct</w:t>
      </w:r>
      <w:r>
        <w:tab/>
      </w:r>
      <w:r>
        <w:fldChar w:fldCharType="begin"/>
      </w:r>
      <w:r>
        <w:instrText xml:space="preserve"> PAGEREF _Toc422302028 \h </w:instrText>
      </w:r>
      <w:r>
        <w:fldChar w:fldCharType="separate"/>
      </w:r>
      <w:r>
        <w:t>28</w:t>
      </w:r>
      <w:r>
        <w:fldChar w:fldCharType="end"/>
      </w:r>
    </w:p>
    <w:p>
      <w:pPr>
        <w:pStyle w:val="TOC8"/>
        <w:rPr>
          <w:rFonts w:asciiTheme="minorHAnsi" w:eastAsiaTheme="minorEastAsia" w:hAnsiTheme="minorHAnsi" w:cstheme="minorBidi"/>
          <w:szCs w:val="22"/>
        </w:rPr>
      </w:pPr>
      <w:r>
        <w:t>27.</w:t>
      </w:r>
      <w:r>
        <w:tab/>
        <w:t>Allegation about Commissioner, Parliamentary Inspector or judicial officer not to be received or initiated</w:t>
      </w:r>
      <w:r>
        <w:tab/>
      </w:r>
      <w:r>
        <w:fldChar w:fldCharType="begin"/>
      </w:r>
      <w:r>
        <w:instrText xml:space="preserve"> PAGEREF _Toc422302029 \h </w:instrText>
      </w:r>
      <w:r>
        <w:fldChar w:fldCharType="separate"/>
      </w:r>
      <w:r>
        <w:t>28</w:t>
      </w:r>
      <w:r>
        <w:fldChar w:fldCharType="end"/>
      </w:r>
    </w:p>
    <w:p>
      <w:pPr>
        <w:pStyle w:val="TOC8"/>
        <w:rPr>
          <w:rFonts w:asciiTheme="minorHAnsi" w:eastAsiaTheme="minorEastAsia" w:hAnsiTheme="minorHAnsi" w:cstheme="minorBidi"/>
          <w:szCs w:val="22"/>
        </w:rPr>
      </w:pPr>
      <w:r>
        <w:t>27A.</w:t>
      </w:r>
      <w:r>
        <w:tab/>
        <w:t>Allegations involving parliamentary privilege</w:t>
      </w:r>
      <w:r>
        <w:tab/>
      </w:r>
      <w:r>
        <w:fldChar w:fldCharType="begin"/>
      </w:r>
      <w:r>
        <w:instrText xml:space="preserve"> PAGEREF _Toc422302030 \h </w:instrText>
      </w:r>
      <w:r>
        <w:fldChar w:fldCharType="separate"/>
      </w:r>
      <w:r>
        <w:t>29</w:t>
      </w:r>
      <w:r>
        <w:fldChar w:fldCharType="end"/>
      </w:r>
    </w:p>
    <w:p>
      <w:pPr>
        <w:pStyle w:val="TOC8"/>
        <w:rPr>
          <w:rFonts w:asciiTheme="minorHAnsi" w:eastAsiaTheme="minorEastAsia" w:hAnsiTheme="minorHAnsi" w:cstheme="minorBidi"/>
          <w:szCs w:val="22"/>
        </w:rPr>
      </w:pPr>
      <w:r>
        <w:t>27B.</w:t>
      </w:r>
      <w:r>
        <w:tab/>
        <w:t>Dealing with referrals under s. 27A(1)</w:t>
      </w:r>
      <w:r>
        <w:tab/>
      </w:r>
      <w:r>
        <w:fldChar w:fldCharType="begin"/>
      </w:r>
      <w:r>
        <w:instrText xml:space="preserve"> PAGEREF _Toc422302031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Duty to notify</w:t>
      </w:r>
    </w:p>
    <w:p>
      <w:pPr>
        <w:pStyle w:val="TOC8"/>
        <w:rPr>
          <w:rFonts w:asciiTheme="minorHAnsi" w:eastAsiaTheme="minorEastAsia" w:hAnsiTheme="minorHAnsi" w:cstheme="minorBidi"/>
          <w:szCs w:val="22"/>
        </w:rPr>
      </w:pPr>
      <w:r>
        <w:t>28.</w:t>
      </w:r>
      <w:r>
        <w:tab/>
        <w:t>Certain officers obliged to notify misconduct</w:t>
      </w:r>
      <w:r>
        <w:tab/>
      </w:r>
      <w:r>
        <w:fldChar w:fldCharType="begin"/>
      </w:r>
      <w:r>
        <w:instrText xml:space="preserve"> PAGEREF _Toc422302033 \h </w:instrText>
      </w:r>
      <w:r>
        <w:fldChar w:fldCharType="separate"/>
      </w:r>
      <w:r>
        <w:t>32</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_Toc422302034 \h </w:instrText>
      </w:r>
      <w:r>
        <w:fldChar w:fldCharType="separate"/>
      </w:r>
      <w:r>
        <w:t>34</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_Toc422302035 \h </w:instrText>
      </w:r>
      <w:r>
        <w:fldChar w:fldCharType="separate"/>
      </w:r>
      <w:r>
        <w:t>34</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_Toc422302036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_Toc422302038 \h </w:instrText>
      </w:r>
      <w:r>
        <w:fldChar w:fldCharType="separate"/>
      </w:r>
      <w:r>
        <w:t>35</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_Toc422302039 \h </w:instrText>
      </w:r>
      <w:r>
        <w:fldChar w:fldCharType="separate"/>
      </w:r>
      <w:r>
        <w:t>36</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_Toc422302040 \h </w:instrText>
      </w:r>
      <w:r>
        <w:fldChar w:fldCharType="separate"/>
      </w:r>
      <w:r>
        <w:t>36</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_Toc422302041 \h </w:instrText>
      </w:r>
      <w:r>
        <w:fldChar w:fldCharType="separate"/>
      </w:r>
      <w:r>
        <w:t>37</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_Toc422302042 \h </w:instrText>
      </w:r>
      <w:r>
        <w:fldChar w:fldCharType="separate"/>
      </w:r>
      <w:r>
        <w:t>37</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_Toc422302043 \h </w:instrText>
      </w:r>
      <w:r>
        <w:fldChar w:fldCharType="separate"/>
      </w:r>
      <w:r>
        <w:t>38</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_Toc422302044 \h </w:instrText>
      </w:r>
      <w:r>
        <w:fldChar w:fldCharType="separate"/>
      </w:r>
      <w:r>
        <w:t>38</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_Toc422302045 \h </w:instrText>
      </w:r>
      <w:r>
        <w:fldChar w:fldCharType="separate"/>
      </w:r>
      <w:r>
        <w:t>39</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_Toc422302046 \h </w:instrText>
      </w:r>
      <w:r>
        <w:fldChar w:fldCharType="separate"/>
      </w:r>
      <w:r>
        <w:t>39</w:t>
      </w:r>
      <w:r>
        <w:fldChar w:fldCharType="end"/>
      </w:r>
    </w:p>
    <w:p>
      <w:pPr>
        <w:pStyle w:val="TOC8"/>
        <w:rPr>
          <w:rFonts w:asciiTheme="minorHAnsi" w:eastAsiaTheme="minorEastAsia" w:hAnsiTheme="minorHAnsi" w:cstheme="minorBidi"/>
          <w:szCs w:val="22"/>
        </w:rPr>
      </w:pPr>
      <w:r>
        <w:t>41.</w:t>
      </w:r>
      <w:r>
        <w:tab/>
        <w:t>Commission may review how appropriate authority has dealt with misconduct</w:t>
      </w:r>
      <w:r>
        <w:tab/>
      </w:r>
      <w:r>
        <w:fldChar w:fldCharType="begin"/>
      </w:r>
      <w:r>
        <w:instrText xml:space="preserve"> PAGEREF _Toc422302047 \h </w:instrText>
      </w:r>
      <w:r>
        <w:fldChar w:fldCharType="separate"/>
      </w:r>
      <w:r>
        <w:t>40</w:t>
      </w:r>
      <w:r>
        <w:fldChar w:fldCharType="end"/>
      </w:r>
    </w:p>
    <w:p>
      <w:pPr>
        <w:pStyle w:val="TOC8"/>
        <w:rPr>
          <w:rFonts w:asciiTheme="minorHAnsi" w:eastAsiaTheme="minorEastAsia" w:hAnsiTheme="minorHAnsi" w:cstheme="minorBidi"/>
          <w:szCs w:val="22"/>
        </w:rPr>
      </w:pPr>
      <w:r>
        <w:t>42.</w:t>
      </w:r>
      <w:r>
        <w:tab/>
        <w:t>Commission may direct appropriate authority not to take action</w:t>
      </w:r>
      <w:r>
        <w:tab/>
      </w:r>
      <w:r>
        <w:fldChar w:fldCharType="begin"/>
      </w:r>
      <w:r>
        <w:instrText xml:space="preserve"> PAGEREF _Toc422302048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_Toc422302050 \h </w:instrText>
      </w:r>
      <w:r>
        <w:fldChar w:fldCharType="separate"/>
      </w:r>
      <w:r>
        <w:t>42</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_Toc422302051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_Toc422302054 \h </w:instrText>
      </w:r>
      <w:r>
        <w:fldChar w:fldCharType="separate"/>
      </w:r>
      <w:r>
        <w:t>44</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_Toc422302055 \h </w:instrText>
      </w:r>
      <w:r>
        <w:fldChar w:fldCharType="separate"/>
      </w:r>
      <w:r>
        <w:t>44</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_Toc422302056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_Toc422302058 \h </w:instrText>
      </w:r>
      <w:r>
        <w:fldChar w:fldCharType="separate"/>
      </w:r>
      <w:r>
        <w:t>45</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_Toc422302059 \h </w:instrText>
      </w:r>
      <w:r>
        <w:fldChar w:fldCharType="separate"/>
      </w:r>
      <w:r>
        <w:t>46</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_Toc422302060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_Toc422302062 \h </w:instrText>
      </w:r>
      <w:r>
        <w:fldChar w:fldCharType="separate"/>
      </w:r>
      <w:r>
        <w:t>47</w:t>
      </w:r>
      <w:r>
        <w:fldChar w:fldCharType="end"/>
      </w:r>
    </w:p>
    <w:p>
      <w:pPr>
        <w:pStyle w:val="TOC8"/>
        <w:rPr>
          <w:rFonts w:asciiTheme="minorHAnsi" w:eastAsiaTheme="minorEastAsia" w:hAnsiTheme="minorHAnsi" w:cstheme="minorBidi"/>
          <w:szCs w:val="22"/>
        </w:rPr>
      </w:pPr>
      <w:r>
        <w:t>52.</w:t>
      </w:r>
      <w:r>
        <w:tab/>
        <w:t>Section 5 offences, enhanced police powers to enter etc. places</w:t>
      </w:r>
      <w:r>
        <w:tab/>
      </w:r>
      <w:r>
        <w:fldChar w:fldCharType="begin"/>
      </w:r>
      <w:r>
        <w:instrText xml:space="preserve"> PAGEREF _Toc422302063 \h </w:instrText>
      </w:r>
      <w:r>
        <w:fldChar w:fldCharType="separate"/>
      </w:r>
      <w:r>
        <w:t>48</w:t>
      </w:r>
      <w:r>
        <w:fldChar w:fldCharType="end"/>
      </w:r>
    </w:p>
    <w:p>
      <w:pPr>
        <w:pStyle w:val="TOC8"/>
        <w:rPr>
          <w:rFonts w:asciiTheme="minorHAnsi" w:eastAsiaTheme="minorEastAsia" w:hAnsiTheme="minorHAnsi" w:cstheme="minorBidi"/>
          <w:szCs w:val="22"/>
        </w:rPr>
      </w:pPr>
      <w:r>
        <w:t>53.</w:t>
      </w:r>
      <w:r>
        <w:tab/>
        <w:t>Section 5 offences, enhanced police powers to stop etc. people and conveyances</w:t>
      </w:r>
      <w:r>
        <w:tab/>
      </w:r>
      <w:r>
        <w:fldChar w:fldCharType="begin"/>
      </w:r>
      <w:r>
        <w:instrText xml:space="preserve"> PAGEREF _Toc422302064 \h </w:instrText>
      </w:r>
      <w:r>
        <w:fldChar w:fldCharType="separate"/>
      </w:r>
      <w:r>
        <w:t>49</w:t>
      </w:r>
      <w:r>
        <w:fldChar w:fldCharType="end"/>
      </w:r>
    </w:p>
    <w:p>
      <w:pPr>
        <w:pStyle w:val="TOC8"/>
        <w:rPr>
          <w:rFonts w:asciiTheme="minorHAnsi" w:eastAsiaTheme="minorEastAsia" w:hAnsiTheme="minorHAnsi" w:cstheme="minorBidi"/>
          <w:szCs w:val="22"/>
        </w:rPr>
      </w:pPr>
      <w:r>
        <w:t>54.</w:t>
      </w:r>
      <w:r>
        <w:tab/>
        <w:t>Searches of people, conduct of</w:t>
      </w:r>
      <w:r>
        <w:tab/>
      </w:r>
      <w:r>
        <w:fldChar w:fldCharType="begin"/>
      </w:r>
      <w:r>
        <w:instrText xml:space="preserve"> PAGEREF _Toc422302065 \h </w:instrText>
      </w:r>
      <w:r>
        <w:fldChar w:fldCharType="separate"/>
      </w:r>
      <w:r>
        <w:t>49</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_Toc422302066 \h </w:instrText>
      </w:r>
      <w:r>
        <w:fldChar w:fldCharType="separate"/>
      </w:r>
      <w:r>
        <w:t>51</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_Toc422302067 \h </w:instrText>
      </w:r>
      <w:r>
        <w:fldChar w:fldCharType="separate"/>
      </w:r>
      <w:r>
        <w:t>52</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_Toc422302068 \h </w:instrText>
      </w:r>
      <w:r>
        <w:fldChar w:fldCharType="separate"/>
      </w:r>
      <w:r>
        <w:t>52</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_Toc422302069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_Toc422302071 \h </w:instrText>
      </w:r>
      <w:r>
        <w:fldChar w:fldCharType="separate"/>
      </w:r>
      <w:r>
        <w:t>53</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_Toc422302072 \h </w:instrText>
      </w:r>
      <w:r>
        <w:fldChar w:fldCharType="separate"/>
      </w:r>
      <w:r>
        <w:t>54</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_Toc422302073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_Toc422302075 \h </w:instrText>
      </w:r>
      <w:r>
        <w:fldChar w:fldCharType="separate"/>
      </w:r>
      <w:r>
        <w:t>55</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_Toc422302076 \h </w:instrText>
      </w:r>
      <w:r>
        <w:fldChar w:fldCharType="separate"/>
      </w:r>
      <w:r>
        <w:t>55</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_Toc422302077 \h </w:instrText>
      </w:r>
      <w:r>
        <w:fldChar w:fldCharType="separate"/>
      </w:r>
      <w:r>
        <w:t>56</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_Toc422302078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_Toc422302080 \h </w:instrText>
      </w:r>
      <w:r>
        <w:fldChar w:fldCharType="separate"/>
      </w:r>
      <w:r>
        <w:t>57</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_Toc422302081 \h </w:instrText>
      </w:r>
      <w:r>
        <w:fldChar w:fldCharType="separate"/>
      </w:r>
      <w:r>
        <w:t>58</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_Toc422302082 \h </w:instrText>
      </w:r>
      <w:r>
        <w:fldChar w:fldCharType="separate"/>
      </w:r>
      <w:r>
        <w:t>59</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_Toc422302083 \h </w:instrText>
      </w:r>
      <w:r>
        <w:fldChar w:fldCharType="separate"/>
      </w:r>
      <w:r>
        <w:t>60</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_Toc422302084 \h </w:instrText>
      </w:r>
      <w:r>
        <w:fldChar w:fldCharType="separate"/>
      </w:r>
      <w:r>
        <w:t>61</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_Toc422302085 \h </w:instrText>
      </w:r>
      <w:r>
        <w:fldChar w:fldCharType="separate"/>
      </w:r>
      <w:r>
        <w:t>61</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_Toc422302086 \h </w:instrText>
      </w:r>
      <w:r>
        <w:fldChar w:fldCharType="separate"/>
      </w:r>
      <w:r>
        <w:t>62</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_Toc422302087 \h </w:instrText>
      </w:r>
      <w:r>
        <w:fldChar w:fldCharType="separate"/>
      </w:r>
      <w:r>
        <w:t>62</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_Toc422302088 \h </w:instrText>
      </w:r>
      <w:r>
        <w:fldChar w:fldCharType="separate"/>
      </w:r>
      <w:r>
        <w:t>63</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_Toc422302089 \h </w:instrText>
      </w:r>
      <w:r>
        <w:fldChar w:fldCharType="separate"/>
      </w:r>
      <w:r>
        <w:t>64</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_Toc422302090 \h </w:instrText>
      </w:r>
      <w:r>
        <w:fldChar w:fldCharType="separate"/>
      </w:r>
      <w:r>
        <w:t>65</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_Toc422302091 \h </w:instrText>
      </w:r>
      <w:r>
        <w:fldChar w:fldCharType="separate"/>
      </w:r>
      <w:r>
        <w:t>65</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_Toc422302092 \h </w:instrText>
      </w:r>
      <w:r>
        <w:fldChar w:fldCharType="separate"/>
      </w:r>
      <w:r>
        <w:t>66</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_Toc422302093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_Toc422302095 \h </w:instrText>
      </w:r>
      <w:r>
        <w:fldChar w:fldCharType="separate"/>
      </w:r>
      <w:r>
        <w:t>66</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_Toc422302096 \h </w:instrText>
      </w:r>
      <w:r>
        <w:fldChar w:fldCharType="separate"/>
      </w:r>
      <w:r>
        <w:t>67</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_Toc422302097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_Toc422302100 \h </w:instrText>
      </w:r>
      <w:r>
        <w:fldChar w:fldCharType="separate"/>
      </w:r>
      <w:r>
        <w:t>68</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_Toc422302101 \h </w:instrText>
      </w:r>
      <w:r>
        <w:fldChar w:fldCharType="separate"/>
      </w:r>
      <w:r>
        <w:t>69</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_Toc422302102 \h </w:instrText>
      </w:r>
      <w:r>
        <w:fldChar w:fldCharType="separate"/>
      </w:r>
      <w:r>
        <w:t>69</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_Toc422302103 \h </w:instrText>
      </w:r>
      <w:r>
        <w:fldChar w:fldCharType="separate"/>
      </w:r>
      <w:r>
        <w:t>69</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_Toc422302104 \h </w:instrText>
      </w:r>
      <w:r>
        <w:fldChar w:fldCharType="separate"/>
      </w:r>
      <w:r>
        <w:t>70</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_Toc422302105 \h </w:instrText>
      </w:r>
      <w:r>
        <w:fldChar w:fldCharType="separate"/>
      </w:r>
      <w:r>
        <w:t>70</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_Toc422302106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_Toc422302108 \h </w:instrText>
      </w:r>
      <w:r>
        <w:fldChar w:fldCharType="separate"/>
      </w:r>
      <w:r>
        <w:t>72</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_Toc422302109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_Toc422302111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_Toc422302114 \h </w:instrText>
      </w:r>
      <w:r>
        <w:fldChar w:fldCharType="separate"/>
      </w:r>
      <w:r>
        <w:t>76</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_Toc422302115 \h </w:instrText>
      </w:r>
      <w:r>
        <w:fldChar w:fldCharType="separate"/>
      </w:r>
      <w:r>
        <w:t>77</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_Toc422302116 \h </w:instrText>
      </w:r>
      <w:r>
        <w:fldChar w:fldCharType="separate"/>
      </w:r>
      <w:r>
        <w:t>78</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_Toc422302117 \h </w:instrText>
      </w:r>
      <w:r>
        <w:fldChar w:fldCharType="separate"/>
      </w:r>
      <w:r>
        <w:t>78</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_Toc422302118 \h </w:instrText>
      </w:r>
      <w:r>
        <w:fldChar w:fldCharType="separate"/>
      </w:r>
      <w:r>
        <w:t>78</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_Toc422302119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_Toc422302121 \h </w:instrText>
      </w:r>
      <w:r>
        <w:fldChar w:fldCharType="separate"/>
      </w:r>
      <w:r>
        <w:t>81</w:t>
      </w:r>
      <w:r>
        <w:fldChar w:fldCharType="end"/>
      </w:r>
    </w:p>
    <w:p>
      <w:pPr>
        <w:pStyle w:val="TOC8"/>
        <w:rPr>
          <w:rFonts w:asciiTheme="minorHAnsi" w:eastAsiaTheme="minorEastAsia" w:hAnsiTheme="minorHAnsi" w:cstheme="minorBidi"/>
          <w:szCs w:val="22"/>
        </w:rPr>
      </w:pPr>
      <w:r>
        <w:t>101.</w:t>
      </w:r>
      <w:r>
        <w:tab/>
        <w:t>Search warrants, issue and effect of</w:t>
      </w:r>
      <w:r>
        <w:tab/>
      </w:r>
      <w:r>
        <w:fldChar w:fldCharType="begin"/>
      </w:r>
      <w:r>
        <w:instrText xml:space="preserve"> PAGEREF _Toc422302122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_Toc422302124 \h </w:instrText>
      </w:r>
      <w:r>
        <w:fldChar w:fldCharType="separate"/>
      </w:r>
      <w:r>
        <w:t>84</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_Toc422302125 \h </w:instrText>
      </w:r>
      <w:r>
        <w:fldChar w:fldCharType="separate"/>
      </w:r>
      <w:r>
        <w:t>85</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_Toc422302126 \h </w:instrText>
      </w:r>
      <w:r>
        <w:fldChar w:fldCharType="separate"/>
      </w:r>
      <w:r>
        <w:t>86</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_Toc422302127 \h </w:instrText>
      </w:r>
      <w:r>
        <w:fldChar w:fldCharType="separate"/>
      </w:r>
      <w:r>
        <w:t>87</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_Toc422302128 \h </w:instrText>
      </w:r>
      <w:r>
        <w:fldChar w:fldCharType="separate"/>
      </w:r>
      <w:r>
        <w:t>87</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_Toc422302129 \h </w:instrText>
      </w:r>
      <w:r>
        <w:fldChar w:fldCharType="separate"/>
      </w:r>
      <w:r>
        <w:t>88</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_Toc422302130 \h </w:instrText>
      </w:r>
      <w:r>
        <w:fldChar w:fldCharType="separate"/>
      </w:r>
      <w:r>
        <w:t>88</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_Toc422302131 \h </w:instrText>
      </w:r>
      <w:r>
        <w:fldChar w:fldCharType="separate"/>
      </w:r>
      <w:r>
        <w:t>89</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_Toc422302132 \h </w:instrText>
      </w:r>
      <w:r>
        <w:fldChar w:fldCharType="separate"/>
      </w:r>
      <w:r>
        <w:t>89</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_Toc422302133 \h </w:instrText>
      </w:r>
      <w:r>
        <w:fldChar w:fldCharType="separate"/>
      </w:r>
      <w:r>
        <w:t>89</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_Toc422302134 \h </w:instrText>
      </w:r>
      <w:r>
        <w:fldChar w:fldCharType="separate"/>
      </w:r>
      <w:r>
        <w:t>90</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_Toc422302135 \h </w:instrText>
      </w:r>
      <w:r>
        <w:fldChar w:fldCharType="separate"/>
      </w:r>
      <w:r>
        <w:t>91</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_Toc422302136 \h </w:instrText>
      </w:r>
      <w:r>
        <w:fldChar w:fldCharType="separate"/>
      </w:r>
      <w:r>
        <w:t>91</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_Toc422302137 \h </w:instrText>
      </w:r>
      <w:r>
        <w:fldChar w:fldCharType="separate"/>
      </w:r>
      <w:r>
        <w:t>92</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_Toc422302138 \h </w:instrText>
      </w:r>
      <w:r>
        <w:fldChar w:fldCharType="separate"/>
      </w:r>
      <w:r>
        <w:t>92</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_Toc422302139 \h </w:instrText>
      </w:r>
      <w:r>
        <w:fldChar w:fldCharType="separate"/>
      </w:r>
      <w:r>
        <w:t>93</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_Toc422302140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_Toc422302142 \h </w:instrText>
      </w:r>
      <w:r>
        <w:fldChar w:fldCharType="separate"/>
      </w:r>
      <w:r>
        <w:t>93</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_Toc422302143 \h </w:instrText>
      </w:r>
      <w:r>
        <w:fldChar w:fldCharType="separate"/>
      </w:r>
      <w:r>
        <w:t>94</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_Toc422302144 \h </w:instrText>
      </w:r>
      <w:r>
        <w:fldChar w:fldCharType="separate"/>
      </w:r>
      <w:r>
        <w:t>94</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_Toc422302145 \h </w:instrText>
      </w:r>
      <w:r>
        <w:fldChar w:fldCharType="separate"/>
      </w:r>
      <w:r>
        <w:t>96</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_Toc422302146 \h </w:instrText>
      </w:r>
      <w:r>
        <w:fldChar w:fldCharType="separate"/>
      </w:r>
      <w:r>
        <w:t>97</w:t>
      </w:r>
      <w:r>
        <w:fldChar w:fldCharType="end"/>
      </w:r>
    </w:p>
    <w:p>
      <w:pPr>
        <w:pStyle w:val="TOC8"/>
        <w:rPr>
          <w:rFonts w:asciiTheme="minorHAnsi" w:eastAsiaTheme="minorEastAsia" w:hAnsiTheme="minorHAnsi" w:cstheme="minorBidi"/>
          <w:szCs w:val="22"/>
        </w:rPr>
      </w:pPr>
      <w:r>
        <w:t>124.</w:t>
      </w:r>
      <w:r>
        <w:tab/>
        <w:t>Varying an authority</w:t>
      </w:r>
      <w:r>
        <w:tab/>
      </w:r>
      <w:r>
        <w:fldChar w:fldCharType="begin"/>
      </w:r>
      <w:r>
        <w:instrText xml:space="preserve"> PAGEREF _Toc422302147 \h </w:instrText>
      </w:r>
      <w:r>
        <w:fldChar w:fldCharType="separate"/>
      </w:r>
      <w:r>
        <w:t>99</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_Toc422302148 \h </w:instrText>
      </w:r>
      <w:r>
        <w:fldChar w:fldCharType="separate"/>
      </w:r>
      <w:r>
        <w:t>100</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_Toc422302149 \h </w:instrText>
      </w:r>
      <w:r>
        <w:fldChar w:fldCharType="separate"/>
      </w:r>
      <w:r>
        <w:t>100</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_Toc422302150 \h </w:instrText>
      </w:r>
      <w:r>
        <w:fldChar w:fldCharType="separate"/>
      </w:r>
      <w:r>
        <w:t>100</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_Toc422302151 \h </w:instrText>
      </w:r>
      <w:r>
        <w:fldChar w:fldCharType="separate"/>
      </w:r>
      <w:r>
        <w:t>100</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_Toc422302152 \h </w:instrText>
      </w:r>
      <w:r>
        <w:fldChar w:fldCharType="separate"/>
      </w:r>
      <w:r>
        <w:t>101</w:t>
      </w:r>
      <w:r>
        <w:fldChar w:fldCharType="end"/>
      </w:r>
    </w:p>
    <w:p>
      <w:pPr>
        <w:pStyle w:val="TOC8"/>
        <w:rPr>
          <w:rFonts w:asciiTheme="minorHAnsi" w:eastAsiaTheme="minorEastAsia" w:hAnsiTheme="minorHAnsi" w:cstheme="minorBidi"/>
          <w:szCs w:val="22"/>
        </w:rPr>
      </w:pPr>
      <w:r>
        <w:t>130.</w:t>
      </w:r>
      <w:r>
        <w:tab/>
        <w:t>Requirements to be met to obtain protection from criminal responsibility or indemnity</w:t>
      </w:r>
      <w:r>
        <w:tab/>
      </w:r>
      <w:r>
        <w:fldChar w:fldCharType="begin"/>
      </w:r>
      <w:r>
        <w:instrText xml:space="preserve"> PAGEREF _Toc422302153 \h </w:instrText>
      </w:r>
      <w:r>
        <w:fldChar w:fldCharType="separate"/>
      </w:r>
      <w:r>
        <w:t>102</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_Toc422302154 \h </w:instrText>
      </w:r>
      <w:r>
        <w:fldChar w:fldCharType="separate"/>
      </w:r>
      <w:r>
        <w:t>102</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_Toc422302155 \h </w:instrText>
      </w:r>
      <w:r>
        <w:fldChar w:fldCharType="separate"/>
      </w:r>
      <w:r>
        <w:t>103</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_Toc422302156 \h </w:instrText>
      </w:r>
      <w:r>
        <w:fldChar w:fldCharType="separate"/>
      </w:r>
      <w:r>
        <w:t>103</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_Toc422302157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_Toc422302159 \h </w:instrText>
      </w:r>
      <w:r>
        <w:fldChar w:fldCharType="separate"/>
      </w:r>
      <w:r>
        <w:t>105</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_Toc422302160 \h </w:instrText>
      </w:r>
      <w:r>
        <w:fldChar w:fldCharType="separate"/>
      </w:r>
      <w:r>
        <w:t>105</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_Toc422302163 \h </w:instrText>
      </w:r>
      <w:r>
        <w:fldChar w:fldCharType="separate"/>
      </w:r>
      <w:r>
        <w:t>106</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_Toc422302164 \h </w:instrText>
      </w:r>
      <w:r>
        <w:fldChar w:fldCharType="separate"/>
      </w:r>
      <w:r>
        <w:t>106</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_Toc422302165 \h </w:instrText>
      </w:r>
      <w:r>
        <w:fldChar w:fldCharType="separate"/>
      </w:r>
      <w:r>
        <w:t>106</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_Toc422302166 \h </w:instrText>
      </w:r>
      <w:r>
        <w:fldChar w:fldCharType="separate"/>
      </w:r>
      <w:r>
        <w:t>107</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_Toc422302167 \h </w:instrText>
      </w:r>
      <w:r>
        <w:fldChar w:fldCharType="separate"/>
      </w:r>
      <w:r>
        <w:t>107</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_Toc422302168 \h </w:instrText>
      </w:r>
      <w:r>
        <w:fldChar w:fldCharType="separate"/>
      </w:r>
      <w:r>
        <w:t>108</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_Toc422302169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_Toc422302171 \h </w:instrText>
      </w:r>
      <w:r>
        <w:fldChar w:fldCharType="separate"/>
      </w:r>
      <w:r>
        <w:t>109</w:t>
      </w:r>
      <w:r>
        <w:fldChar w:fldCharType="end"/>
      </w:r>
    </w:p>
    <w:p>
      <w:pPr>
        <w:pStyle w:val="TOC8"/>
        <w:rPr>
          <w:rFonts w:asciiTheme="minorHAnsi" w:eastAsiaTheme="minorEastAsia" w:hAnsiTheme="minorHAnsi" w:cstheme="minorBidi"/>
          <w:szCs w:val="22"/>
        </w:rPr>
      </w:pPr>
      <w:r>
        <w:t>145.</w:t>
      </w:r>
      <w:r>
        <w:tab/>
        <w:t>Use of statements of witness against the witness</w:t>
      </w:r>
      <w:r>
        <w:tab/>
      </w:r>
      <w:r>
        <w:fldChar w:fldCharType="begin"/>
      </w:r>
      <w:r>
        <w:instrText xml:space="preserve"> PAGEREF _Toc422302172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_Toc422302174 \h </w:instrText>
      </w:r>
      <w:r>
        <w:fldChar w:fldCharType="separate"/>
      </w:r>
      <w:r>
        <w:t>110</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_Toc422302175 \h </w:instrText>
      </w:r>
      <w:r>
        <w:fldChar w:fldCharType="separate"/>
      </w:r>
      <w:r>
        <w:t>110</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_Toc422302177 \h </w:instrText>
      </w:r>
      <w:r>
        <w:fldChar w:fldCharType="separate"/>
      </w:r>
      <w:r>
        <w:t>112</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_Toc422302178 \h </w:instrText>
      </w:r>
      <w:r>
        <w:fldChar w:fldCharType="separate"/>
      </w:r>
      <w:r>
        <w:t>114</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_Toc422302179 \h </w:instrText>
      </w:r>
      <w:r>
        <w:fldChar w:fldCharType="separate"/>
      </w:r>
      <w:r>
        <w:t>114</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_Toc422302180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_Toc422302182 \h </w:instrText>
      </w:r>
      <w:r>
        <w:fldChar w:fldCharType="separate"/>
      </w:r>
      <w:r>
        <w:t>116</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_Toc422302183 \h </w:instrText>
      </w:r>
      <w:r>
        <w:fldChar w:fldCharType="separate"/>
      </w:r>
      <w:r>
        <w:t>118</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_Toc422302184 \h </w:instrText>
      </w:r>
      <w:r>
        <w:fldChar w:fldCharType="separate"/>
      </w:r>
      <w:r>
        <w:t>120</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_Toc422302185 \h </w:instrText>
      </w:r>
      <w:r>
        <w:fldChar w:fldCharType="separate"/>
      </w:r>
      <w:r>
        <w:t>121</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_Toc422302186 \h </w:instrText>
      </w:r>
      <w:r>
        <w:fldChar w:fldCharType="separate"/>
      </w:r>
      <w:r>
        <w:t>121</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_Toc422302187 \h </w:instrText>
      </w:r>
      <w:r>
        <w:fldChar w:fldCharType="separate"/>
      </w:r>
      <w:r>
        <w:t>121</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_Toc422302189 \h </w:instrText>
      </w:r>
      <w:r>
        <w:fldChar w:fldCharType="separate"/>
      </w:r>
      <w:r>
        <w:t>123</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_Toc422302190 \h </w:instrText>
      </w:r>
      <w:r>
        <w:fldChar w:fldCharType="separate"/>
      </w:r>
      <w:r>
        <w:t>123</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_Toc422302191 \h </w:instrText>
      </w:r>
      <w:r>
        <w:fldChar w:fldCharType="separate"/>
      </w:r>
      <w:r>
        <w:t>124</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_Toc422302192 \h </w:instrText>
      </w:r>
      <w:r>
        <w:fldChar w:fldCharType="separate"/>
      </w:r>
      <w:r>
        <w:t>124</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_Toc422302193 \h </w:instrText>
      </w:r>
      <w:r>
        <w:fldChar w:fldCharType="separate"/>
      </w:r>
      <w:r>
        <w:t>124</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_Toc422302194 \h </w:instrText>
      </w:r>
      <w:r>
        <w:fldChar w:fldCharType="separate"/>
      </w:r>
      <w:r>
        <w:t>125</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_Toc422302195 \h </w:instrText>
      </w:r>
      <w:r>
        <w:fldChar w:fldCharType="separate"/>
      </w:r>
      <w:r>
        <w:t>126</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_Toc422302196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_Toc422302198 \h </w:instrText>
      </w:r>
      <w:r>
        <w:fldChar w:fldCharType="separate"/>
      </w:r>
      <w:r>
        <w:t>128</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_Toc422302199 \h </w:instrText>
      </w:r>
      <w:r>
        <w:fldChar w:fldCharType="separate"/>
      </w:r>
      <w:r>
        <w:t>128</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_Toc422302200 \h </w:instrText>
      </w:r>
      <w:r>
        <w:fldChar w:fldCharType="separate"/>
      </w:r>
      <w:r>
        <w:t>128</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_Toc422302201 \h </w:instrText>
      </w:r>
      <w:r>
        <w:fldChar w:fldCharType="separate"/>
      </w:r>
      <w:r>
        <w:t>130</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_Toc422302202 \h </w:instrText>
      </w:r>
      <w:r>
        <w:fldChar w:fldCharType="separate"/>
      </w:r>
      <w:r>
        <w:t>130</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_Toc422302203 \h </w:instrText>
      </w:r>
      <w:r>
        <w:fldChar w:fldCharType="separate"/>
      </w:r>
      <w:r>
        <w:t>131</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_Toc422302204 \h </w:instrText>
      </w:r>
      <w:r>
        <w:fldChar w:fldCharType="separate"/>
      </w:r>
      <w:r>
        <w:t>131</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_Toc422302205 \h </w:instrText>
      </w:r>
      <w:r>
        <w:fldChar w:fldCharType="separate"/>
      </w:r>
      <w:r>
        <w:t>132</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_Toc422302206 \h </w:instrText>
      </w:r>
      <w:r>
        <w:fldChar w:fldCharType="separate"/>
      </w:r>
      <w:r>
        <w:t>132</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_Toc422302207 \h </w:instrText>
      </w:r>
      <w:r>
        <w:fldChar w:fldCharType="separate"/>
      </w:r>
      <w:r>
        <w:t>132</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_Toc422302208 \h </w:instrText>
      </w:r>
      <w:r>
        <w:fldChar w:fldCharType="separate"/>
      </w:r>
      <w:r>
        <w:t>133</w:t>
      </w:r>
      <w:r>
        <w:fldChar w:fldCharType="end"/>
      </w:r>
    </w:p>
    <w:p>
      <w:pPr>
        <w:pStyle w:val="TOC8"/>
        <w:rPr>
          <w:rFonts w:asciiTheme="minorHAnsi" w:eastAsiaTheme="minorEastAsia" w:hAnsiTheme="minorHAnsi" w:cstheme="minorBidi"/>
          <w:szCs w:val="22"/>
        </w:rPr>
      </w:pPr>
      <w:r>
        <w:t>176.</w:t>
      </w:r>
      <w:r>
        <w:tab/>
        <w:t>Pretending to be officer</w:t>
      </w:r>
      <w:r>
        <w:tab/>
      </w:r>
      <w:r>
        <w:fldChar w:fldCharType="begin"/>
      </w:r>
      <w:r>
        <w:instrText xml:space="preserve"> PAGEREF _Toc422302209 \h </w:instrText>
      </w:r>
      <w:r>
        <w:fldChar w:fldCharType="separate"/>
      </w:r>
      <w:r>
        <w:t>133</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_Toc422302210 \h </w:instrText>
      </w:r>
      <w:r>
        <w:fldChar w:fldCharType="separate"/>
      </w:r>
      <w:r>
        <w:t>133</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_Toc422302211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_Toc422302214 \h </w:instrText>
      </w:r>
      <w:r>
        <w:fldChar w:fldCharType="separate"/>
      </w:r>
      <w:r>
        <w:t>135</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_Toc422302215 \h </w:instrText>
      </w:r>
      <w:r>
        <w:fldChar w:fldCharType="separate"/>
      </w:r>
      <w:r>
        <w:t>135</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_Toc422302216 \h </w:instrText>
      </w:r>
      <w:r>
        <w:fldChar w:fldCharType="separate"/>
      </w:r>
      <w:r>
        <w:t>136</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_Toc422302217 \h </w:instrText>
      </w:r>
      <w:r>
        <w:fldChar w:fldCharType="separate"/>
      </w:r>
      <w:r>
        <w:t>136</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_Toc422302218 \h </w:instrText>
      </w:r>
      <w:r>
        <w:fldChar w:fldCharType="separate"/>
      </w:r>
      <w:r>
        <w:t>138</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_Toc422302219 \h </w:instrText>
      </w:r>
      <w:r>
        <w:fldChar w:fldCharType="separate"/>
      </w:r>
      <w:r>
        <w:t>138</w:t>
      </w:r>
      <w:r>
        <w:fldChar w:fldCharType="end"/>
      </w:r>
    </w:p>
    <w:p>
      <w:pPr>
        <w:pStyle w:val="TOC8"/>
        <w:rPr>
          <w:rFonts w:asciiTheme="minorHAnsi" w:eastAsiaTheme="minorEastAsia" w:hAnsiTheme="minorHAnsi" w:cstheme="minorBidi"/>
          <w:szCs w:val="22"/>
        </w:rPr>
      </w:pPr>
      <w:r>
        <w:t>184.</w:t>
      </w:r>
      <w:r>
        <w:tab/>
        <w:t>Authorised officers, appointment and functions of</w:t>
      </w:r>
      <w:r>
        <w:tab/>
      </w:r>
      <w:r>
        <w:fldChar w:fldCharType="begin"/>
      </w:r>
      <w:r>
        <w:instrText xml:space="preserve"> PAGEREF _Toc422302220 \h </w:instrText>
      </w:r>
      <w:r>
        <w:fldChar w:fldCharType="separate"/>
      </w:r>
      <w:r>
        <w:t>138</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_Toc422302221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_Toc422302223 \h </w:instrText>
      </w:r>
      <w:r>
        <w:fldChar w:fldCharType="separate"/>
      </w:r>
      <w:r>
        <w:t>141</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_Toc422302224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_Toc422302227 \h </w:instrText>
      </w:r>
      <w:r>
        <w:fldChar w:fldCharType="separate"/>
      </w:r>
      <w:r>
        <w:t>143</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_Toc422302228 \h </w:instrText>
      </w:r>
      <w:r>
        <w:fldChar w:fldCharType="separate"/>
      </w:r>
      <w:r>
        <w:t>143</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_Toc422302229 \h </w:instrText>
      </w:r>
      <w:r>
        <w:fldChar w:fldCharType="separate"/>
      </w:r>
      <w:r>
        <w:t>144</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_Toc422302230 \h </w:instrText>
      </w:r>
      <w:r>
        <w:fldChar w:fldCharType="separate"/>
      </w:r>
      <w:r>
        <w:t>144</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_Toc422302231 \h </w:instrText>
      </w:r>
      <w:r>
        <w:fldChar w:fldCharType="separate"/>
      </w:r>
      <w:r>
        <w:t>145</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_Toc422302232 \h </w:instrText>
      </w:r>
      <w:r>
        <w:fldChar w:fldCharType="separate"/>
      </w:r>
      <w:r>
        <w:t>145</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_Toc422302233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_Toc422302235 \h </w:instrText>
      </w:r>
      <w:r>
        <w:fldChar w:fldCharType="separate"/>
      </w:r>
      <w:r>
        <w:t>148</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_Toc422302236 \h </w:instrText>
      </w:r>
      <w:r>
        <w:fldChar w:fldCharType="separate"/>
      </w:r>
      <w:r>
        <w:t>149</w:t>
      </w:r>
      <w:r>
        <w:fldChar w:fldCharType="end"/>
      </w:r>
    </w:p>
    <w:p>
      <w:pPr>
        <w:pStyle w:val="TOC8"/>
        <w:rPr>
          <w:rFonts w:asciiTheme="minorHAnsi" w:eastAsiaTheme="minorEastAsia" w:hAnsiTheme="minorHAnsi" w:cstheme="minorBidi"/>
          <w:szCs w:val="22"/>
        </w:rPr>
      </w:pPr>
      <w:r>
        <w:t>197.</w:t>
      </w:r>
      <w:r>
        <w:tab/>
        <w:t>Inquiries</w:t>
      </w:r>
      <w:r>
        <w:tab/>
      </w:r>
      <w:r>
        <w:fldChar w:fldCharType="begin"/>
      </w:r>
      <w:r>
        <w:instrText xml:space="preserve"> PAGEREF _Toc422302237 \h </w:instrText>
      </w:r>
      <w:r>
        <w:fldChar w:fldCharType="separate"/>
      </w:r>
      <w:r>
        <w:t>151</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_Toc422302238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_Toc422302240 \h </w:instrText>
      </w:r>
      <w:r>
        <w:fldChar w:fldCharType="separate"/>
      </w:r>
      <w:r>
        <w:t>153</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_Toc422302241 \h </w:instrText>
      </w:r>
      <w:r>
        <w:fldChar w:fldCharType="separate"/>
      </w:r>
      <w:r>
        <w:t>153</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_Toc422302242 \h </w:instrText>
      </w:r>
      <w:r>
        <w:fldChar w:fldCharType="separate"/>
      </w:r>
      <w:r>
        <w:t>153</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_Toc422302243 \h </w:instrText>
      </w:r>
      <w:r>
        <w:fldChar w:fldCharType="separate"/>
      </w:r>
      <w:r>
        <w:t>154</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_Toc422302244 \h </w:instrText>
      </w:r>
      <w:r>
        <w:fldChar w:fldCharType="separate"/>
      </w:r>
      <w:r>
        <w:t>154</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_Toc422302245 \h </w:instrText>
      </w:r>
      <w:r>
        <w:fldChar w:fldCharType="separate"/>
      </w:r>
      <w:r>
        <w:t>154</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_Toc422302246 \h </w:instrText>
      </w:r>
      <w:r>
        <w:fldChar w:fldCharType="separate"/>
      </w:r>
      <w:r>
        <w:t>155</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_Toc422302247 \h </w:instrText>
      </w:r>
      <w:r>
        <w:fldChar w:fldCharType="separate"/>
      </w:r>
      <w:r>
        <w:t>156</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_Toc422302249 \h </w:instrText>
      </w:r>
      <w:r>
        <w:fldChar w:fldCharType="separate"/>
      </w:r>
      <w:r>
        <w:t>156</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_Toc422302250 \h </w:instrText>
      </w:r>
      <w:r>
        <w:fldChar w:fldCharType="separate"/>
      </w:r>
      <w:r>
        <w:t>157</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_Toc422302251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_Toc422302253 \h </w:instrText>
      </w:r>
      <w:r>
        <w:fldChar w:fldCharType="separate"/>
      </w:r>
      <w:r>
        <w:t>160</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_Toc422302254 \h </w:instrText>
      </w:r>
      <w:r>
        <w:fldChar w:fldCharType="separate"/>
      </w:r>
      <w:r>
        <w:t>160</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_Toc422302255 \h </w:instrText>
      </w:r>
      <w:r>
        <w:fldChar w:fldCharType="separate"/>
      </w:r>
      <w:r>
        <w:t>161</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_Toc422302256 \h </w:instrText>
      </w:r>
      <w:r>
        <w:fldChar w:fldCharType="separate"/>
      </w:r>
      <w:r>
        <w:t>163</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_Toc422302257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_Toc422302259 \h </w:instrText>
      </w:r>
      <w:r>
        <w:fldChar w:fldCharType="separate"/>
      </w:r>
      <w:r>
        <w:t>163</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_Toc422302260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_Toc422302262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_Toc422302264 \h </w:instrText>
      </w:r>
      <w:r>
        <w:fldChar w:fldCharType="separate"/>
      </w:r>
      <w:r>
        <w:t>166</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_Toc422302265 \h </w:instrText>
      </w:r>
      <w:r>
        <w:fldChar w:fldCharType="separate"/>
      </w:r>
      <w:r>
        <w:t>166</w:t>
      </w:r>
      <w:r>
        <w:fldChar w:fldCharType="end"/>
      </w:r>
    </w:p>
    <w:p>
      <w:pPr>
        <w:pStyle w:val="TOC8"/>
        <w:rPr>
          <w:rFonts w:asciiTheme="minorHAnsi" w:eastAsiaTheme="minorEastAsia" w:hAnsiTheme="minorHAnsi" w:cstheme="minorBidi"/>
          <w:szCs w:val="22"/>
        </w:rPr>
      </w:pPr>
      <w:r>
        <w:t>219.</w:t>
      </w:r>
      <w:r>
        <w:tab/>
        <w:t>Protection of officers against personal liability</w:t>
      </w:r>
      <w:r>
        <w:tab/>
      </w:r>
      <w:r>
        <w:fldChar w:fldCharType="begin"/>
      </w:r>
      <w:r>
        <w:instrText xml:space="preserve"> PAGEREF _Toc422302266 \h </w:instrText>
      </w:r>
      <w:r>
        <w:fldChar w:fldCharType="separate"/>
      </w:r>
      <w:r>
        <w:t>167</w:t>
      </w:r>
      <w:r>
        <w:fldChar w:fldCharType="end"/>
      </w:r>
    </w:p>
    <w:p>
      <w:pPr>
        <w:pStyle w:val="TOC8"/>
        <w:rPr>
          <w:rFonts w:asciiTheme="minorHAnsi" w:eastAsiaTheme="minorEastAsia" w:hAnsiTheme="minorHAnsi" w:cstheme="minorBidi"/>
          <w:szCs w:val="22"/>
        </w:rPr>
      </w:pPr>
      <w:r>
        <w:t>220.</w:t>
      </w:r>
      <w:r>
        <w:tab/>
        <w:t>Protection of persons making allegations and certain disclosures and giving information</w:t>
      </w:r>
      <w:r>
        <w:tab/>
      </w:r>
      <w:r>
        <w:fldChar w:fldCharType="begin"/>
      </w:r>
      <w:r>
        <w:instrText xml:space="preserve"> PAGEREF _Toc422302267 \h </w:instrText>
      </w:r>
      <w:r>
        <w:fldChar w:fldCharType="separate"/>
      </w:r>
      <w:r>
        <w:t>168</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_Toc422302268 \h </w:instrText>
      </w:r>
      <w:r>
        <w:fldChar w:fldCharType="separate"/>
      </w:r>
      <w:r>
        <w:t>169</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_Toc422302269 \h </w:instrText>
      </w:r>
      <w:r>
        <w:fldChar w:fldCharType="separate"/>
      </w:r>
      <w:r>
        <w:t>169</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_Toc422302270 \h </w:instrText>
      </w:r>
      <w:r>
        <w:fldChar w:fldCharType="separate"/>
      </w:r>
      <w:r>
        <w:t>170</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_Toc422302271 \h </w:instrText>
      </w:r>
      <w:r>
        <w:fldChar w:fldCharType="separate"/>
      </w:r>
      <w:r>
        <w:t>170</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_Toc422302272 \h </w:instrText>
      </w:r>
      <w:r>
        <w:fldChar w:fldCharType="separate"/>
      </w:r>
      <w:r>
        <w:t>170</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_Toc422302273 \h </w:instrText>
      </w:r>
      <w:r>
        <w:fldChar w:fldCharType="separate"/>
      </w:r>
      <w:r>
        <w:t>171</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_Toc422302274 \h </w:instrText>
      </w:r>
      <w:r>
        <w:fldChar w:fldCharType="separate"/>
      </w:r>
      <w:r>
        <w:t>172</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_Toc422302275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_Toc422302278 \h </w:instrText>
      </w:r>
      <w:r>
        <w:fldChar w:fldCharType="separate"/>
      </w:r>
      <w:r>
        <w:t>176</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_Toc422302279 \h </w:instrText>
      </w:r>
      <w:r>
        <w:fldChar w:fldCharType="separate"/>
      </w:r>
      <w:r>
        <w:t>176</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_Toc422302280 \h </w:instrText>
      </w:r>
      <w:r>
        <w:fldChar w:fldCharType="separate"/>
      </w:r>
      <w:r>
        <w:t>176</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_Toc422302281 \h </w:instrText>
      </w:r>
      <w:r>
        <w:fldChar w:fldCharType="separate"/>
      </w:r>
      <w:r>
        <w:t>177</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_Toc422302282 \h </w:instrText>
      </w:r>
      <w:r>
        <w:fldChar w:fldCharType="separate"/>
      </w:r>
      <w:r>
        <w:t>177</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_Toc422302283 \h </w:instrText>
      </w:r>
      <w:r>
        <w:fldChar w:fldCharType="separate"/>
      </w:r>
      <w:r>
        <w:t>178</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_Toc422302284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_Toc422302286 \h </w:instrText>
      </w:r>
      <w:r>
        <w:fldChar w:fldCharType="separate"/>
      </w:r>
      <w:r>
        <w:t>180</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_Toc422302287 \h </w:instrText>
      </w:r>
      <w:r>
        <w:fldChar w:fldCharType="separate"/>
      </w:r>
      <w:r>
        <w:t>180</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_Toc422302288 \h </w:instrText>
      </w:r>
      <w:r>
        <w:fldChar w:fldCharType="separate"/>
      </w:r>
      <w:r>
        <w:t>180</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_Toc422302289 \h </w:instrText>
      </w:r>
      <w:r>
        <w:fldChar w:fldCharType="separate"/>
      </w:r>
      <w:r>
        <w:t>181</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_Toc422302290 \h </w:instrText>
      </w:r>
      <w:r>
        <w:fldChar w:fldCharType="separate"/>
      </w:r>
      <w:r>
        <w:t>182</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_Toc422302291 \h </w:instrText>
      </w:r>
      <w:r>
        <w:fldChar w:fldCharType="separate"/>
      </w:r>
      <w:r>
        <w:t>182</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_Toc422302292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_Toc422302294 \h </w:instrText>
      </w:r>
      <w:r>
        <w:fldChar w:fldCharType="separate"/>
      </w:r>
      <w:r>
        <w:t>184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_Toc422302295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600" w:after="800"/>
      </w:pPr>
      <w:r>
        <w:t>Corruption and Crime Commission Act 2003</w:t>
      </w:r>
    </w:p>
    <w:p>
      <w:pPr>
        <w:pStyle w:val="LongTitle"/>
        <w:outlineLvl w:val="0"/>
      </w:pPr>
      <w:r>
        <w:t>An Act to —</w:t>
      </w:r>
    </w:p>
    <w:p>
      <w:pPr>
        <w:pStyle w:val="LongTitle2"/>
        <w:spacing w:before="60"/>
      </w:pPr>
      <w:r>
        <w:tab/>
        <w:t>•</w:t>
      </w:r>
      <w:r>
        <w:tab/>
        <w:t xml:space="preserve">provide for </w:t>
      </w:r>
      <w:r>
        <w:rPr>
          <w:snapToGrid w:val="0"/>
        </w:rPr>
        <w:t>the establishment and operation of a Corruption and Crime Commission;</w:t>
      </w:r>
      <w:r>
        <w:t xml:space="preserve"> and</w:t>
      </w:r>
    </w:p>
    <w:p>
      <w:pPr>
        <w:pStyle w:val="LongTitle2"/>
      </w:pPr>
      <w:r>
        <w:rPr>
          <w:snapToGrid w:val="0"/>
        </w:rPr>
        <w:tab/>
      </w:r>
      <w:r>
        <w:t>•</w:t>
      </w:r>
      <w:r>
        <w:tab/>
      </w:r>
      <w:r>
        <w:rPr>
          <w:snapToGrid w:val="0"/>
        </w:rPr>
        <w:t>provide for the establishment and operation of a Parliamentary Inspector of the Corruption and Crime Commission; and</w:t>
      </w:r>
    </w:p>
    <w:p>
      <w:pPr>
        <w:pStyle w:val="LongTitle2"/>
      </w:pPr>
      <w:r>
        <w:rPr>
          <w:snapToGrid w:val="0"/>
        </w:rPr>
        <w:tab/>
      </w:r>
      <w:r>
        <w:t>•</w:t>
      </w:r>
      <w:r>
        <w:tab/>
      </w:r>
      <w:r>
        <w:rPr>
          <w:snapToGrid w:val="0"/>
        </w:rPr>
        <w:t>make amendments as a consequence of the enactment of this Act</w:t>
      </w:r>
      <w:r>
        <w:rPr>
          <w:snapToGrid w:val="0"/>
          <w:vertAlign w:val="superscript"/>
        </w:rPr>
        <w:t> 2</w:t>
      </w:r>
      <w:r>
        <w:rPr>
          <w:snapToGrid w:val="0"/>
        </w:rPr>
        <w:t>.</w:t>
      </w:r>
    </w:p>
    <w:p>
      <w:pPr>
        <w:pStyle w:val="Footnotelongtitle"/>
      </w:pPr>
      <w:r>
        <w:tab/>
        <w:t>[Long title amended by No. 78 of 2003 s. 4.]</w:t>
      </w:r>
    </w:p>
    <w:p>
      <w:pPr>
        <w:pStyle w:val="Heading2"/>
      </w:pPr>
      <w:bookmarkStart w:id="3" w:name="_Toc381872829"/>
      <w:bookmarkStart w:id="4" w:name="_Toc381873644"/>
      <w:bookmarkStart w:id="5" w:name="_Toc405978051"/>
      <w:bookmarkStart w:id="6" w:name="_Toc406053977"/>
      <w:bookmarkStart w:id="7" w:name="_Toc406078515"/>
      <w:bookmarkStart w:id="8" w:name="_Toc407628280"/>
      <w:bookmarkStart w:id="9" w:name="_Toc413243818"/>
      <w:bookmarkStart w:id="10" w:name="_Toc413321159"/>
      <w:bookmarkStart w:id="11" w:name="_Toc422301991"/>
      <w:r>
        <w:rPr>
          <w:rStyle w:val="CharPartNo"/>
        </w:rPr>
        <w:t>Part 1</w:t>
      </w:r>
      <w:r>
        <w:t> — </w:t>
      </w:r>
      <w:r>
        <w:rPr>
          <w:rStyle w:val="CharPartText"/>
        </w:rPr>
        <w:t>Preliminary</w:t>
      </w:r>
      <w:bookmarkEnd w:id="3"/>
      <w:bookmarkEnd w:id="4"/>
      <w:bookmarkEnd w:id="5"/>
      <w:bookmarkEnd w:id="6"/>
      <w:bookmarkEnd w:id="7"/>
      <w:bookmarkEnd w:id="8"/>
      <w:bookmarkEnd w:id="9"/>
      <w:bookmarkEnd w:id="10"/>
      <w:bookmarkEnd w:id="11"/>
    </w:p>
    <w:p>
      <w:pPr>
        <w:pStyle w:val="Heading3"/>
      </w:pPr>
      <w:bookmarkStart w:id="12" w:name="_Toc381872830"/>
      <w:bookmarkStart w:id="13" w:name="_Toc381873645"/>
      <w:bookmarkStart w:id="14" w:name="_Toc405978052"/>
      <w:bookmarkStart w:id="15" w:name="_Toc406053978"/>
      <w:bookmarkStart w:id="16" w:name="_Toc406078516"/>
      <w:bookmarkStart w:id="17" w:name="_Toc407628281"/>
      <w:bookmarkStart w:id="18" w:name="_Toc413243819"/>
      <w:bookmarkStart w:id="19" w:name="_Toc413321160"/>
      <w:bookmarkStart w:id="20" w:name="_Toc422301992"/>
      <w:r>
        <w:rPr>
          <w:rStyle w:val="CharDivNo"/>
        </w:rPr>
        <w:t>Division 1</w:t>
      </w:r>
      <w:r>
        <w:t> — </w:t>
      </w:r>
      <w:r>
        <w:rPr>
          <w:rStyle w:val="CharDivText"/>
        </w:rPr>
        <w:t>Introduction</w:t>
      </w:r>
      <w:bookmarkEnd w:id="12"/>
      <w:bookmarkEnd w:id="13"/>
      <w:bookmarkEnd w:id="14"/>
      <w:bookmarkEnd w:id="15"/>
      <w:bookmarkEnd w:id="16"/>
      <w:bookmarkEnd w:id="17"/>
      <w:bookmarkEnd w:id="18"/>
      <w:bookmarkEnd w:id="19"/>
      <w:bookmarkEnd w:id="20"/>
    </w:p>
    <w:p>
      <w:pPr>
        <w:pStyle w:val="Footnoteheading"/>
        <w:tabs>
          <w:tab w:val="left" w:pos="924"/>
        </w:tabs>
        <w:spacing w:after="80"/>
      </w:pPr>
      <w:r>
        <w:tab/>
        <w:t>[Heading inserted by No. 78 of 2003 s. 7(1).]</w:t>
      </w:r>
    </w:p>
    <w:p>
      <w:pPr>
        <w:pStyle w:val="Heading5"/>
        <w:keepNext w:val="0"/>
        <w:keepLines w:val="0"/>
        <w:spacing w:before="180"/>
        <w:rPr>
          <w:snapToGrid w:val="0"/>
        </w:rPr>
      </w:pPr>
      <w:bookmarkStart w:id="21" w:name="_Toc407628282"/>
      <w:bookmarkStart w:id="22" w:name="_Toc422301993"/>
      <w:r>
        <w:rPr>
          <w:rStyle w:val="CharSectno"/>
        </w:rPr>
        <w:t>1</w:t>
      </w:r>
      <w:r>
        <w:rPr>
          <w:snapToGrid w:val="0"/>
        </w:rPr>
        <w:t>.</w:t>
      </w:r>
      <w:r>
        <w:rPr>
          <w:snapToGrid w:val="0"/>
        </w:rPr>
        <w:tab/>
        <w:t>Short title</w:t>
      </w:r>
      <w:bookmarkEnd w:id="21"/>
      <w:bookmarkEnd w:id="22"/>
    </w:p>
    <w:p>
      <w:pPr>
        <w:pStyle w:val="Subsection"/>
      </w:pPr>
      <w:r>
        <w:rPr>
          <w:snapToGrid w:val="0"/>
        </w:rPr>
        <w:tab/>
      </w:r>
      <w:r>
        <w:rPr>
          <w:snapToGrid w:val="0"/>
        </w:rPr>
        <w:tab/>
      </w:r>
      <w:r>
        <w:t>This</w:t>
      </w:r>
      <w:r>
        <w:rPr>
          <w:snapToGrid w:val="0"/>
        </w:rPr>
        <w:t xml:space="preserve"> Act may be cited as the</w:t>
      </w:r>
      <w:r>
        <w:rPr>
          <w:i/>
          <w:snapToGrid w:val="0"/>
        </w:rPr>
        <w:t xml:space="preserve"> Corruption and Crime Commission Act 2003</w:t>
      </w:r>
      <w:r>
        <w:rPr>
          <w:snapToGrid w:val="0"/>
          <w:vertAlign w:val="superscript"/>
        </w:rPr>
        <w:t> 1</w:t>
      </w:r>
      <w:r>
        <w:rPr>
          <w:snapToGrid w:val="0"/>
        </w:rPr>
        <w:t xml:space="preserve">. </w:t>
      </w:r>
    </w:p>
    <w:p>
      <w:pPr>
        <w:pStyle w:val="Heading5"/>
        <w:spacing w:before="180"/>
        <w:rPr>
          <w:snapToGrid w:val="0"/>
        </w:rPr>
      </w:pPr>
      <w:bookmarkStart w:id="23" w:name="_Toc407628283"/>
      <w:bookmarkStart w:id="24" w:name="_Toc422301994"/>
      <w:r>
        <w:rPr>
          <w:rStyle w:val="CharSectno"/>
        </w:rPr>
        <w:t>2</w:t>
      </w:r>
      <w:r>
        <w:rPr>
          <w:snapToGrid w:val="0"/>
        </w:rPr>
        <w:t>.</w:t>
      </w:r>
      <w:r>
        <w:rPr>
          <w:snapToGrid w:val="0"/>
        </w:rPr>
        <w:tab/>
        <w:t>Commencement</w:t>
      </w:r>
      <w:bookmarkEnd w:id="23"/>
      <w:bookmarkEnd w:id="24"/>
    </w:p>
    <w:p>
      <w:pPr>
        <w:pStyle w:val="Subsection"/>
      </w:pPr>
      <w:r>
        <w:tab/>
        <w:t>(1)</w:t>
      </w:r>
      <w:r>
        <w:tab/>
        <w:t>This Act comes into operation on a day to be fixed by proclamation</w:t>
      </w:r>
      <w:r>
        <w:rPr>
          <w:vertAlign w:val="superscript"/>
        </w:rPr>
        <w:t> 1</w:t>
      </w:r>
      <w:r>
        <w:t>.</w:t>
      </w:r>
    </w:p>
    <w:p>
      <w:pPr>
        <w:pStyle w:val="Subsection"/>
      </w:pPr>
      <w:r>
        <w:tab/>
        <w:t>(2)</w:t>
      </w:r>
      <w:r>
        <w:tab/>
        <w:t>Different days may be fixed under subsection (1) for different provisions.</w:t>
      </w:r>
    </w:p>
    <w:p>
      <w:pPr>
        <w:pStyle w:val="Heading5"/>
        <w:spacing w:before="180"/>
      </w:pPr>
      <w:bookmarkStart w:id="25" w:name="_Toc407628284"/>
      <w:bookmarkStart w:id="26" w:name="_Toc422301995"/>
      <w:r>
        <w:rPr>
          <w:rStyle w:val="CharSectno"/>
        </w:rPr>
        <w:t>3</w:t>
      </w:r>
      <w:r>
        <w:t>.</w:t>
      </w:r>
      <w:r>
        <w:tab/>
        <w:t>Terms used; relationship with other Acts</w:t>
      </w:r>
      <w:bookmarkEnd w:id="25"/>
      <w:bookmarkEnd w:id="26"/>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3</w:t>
      </w:r>
      <w:r>
        <w:t>;</w:t>
      </w:r>
    </w:p>
    <w:p>
      <w:pPr>
        <w:pStyle w:val="Defstart"/>
      </w:pPr>
      <w:r>
        <w:rPr>
          <w:b/>
        </w:rP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 or</w:t>
      </w:r>
    </w:p>
    <w:p>
      <w:pPr>
        <w:pStyle w:val="Defpara"/>
      </w:pPr>
      <w:r>
        <w:tab/>
        <w:t>(c)</w:t>
      </w:r>
      <w:r>
        <w:tab/>
        <w:t>a matter notified under section 28(2); or</w:t>
      </w:r>
    </w:p>
    <w:p>
      <w:pPr>
        <w:pStyle w:val="Defpara"/>
      </w:pPr>
      <w:r>
        <w:tab/>
        <w:t>(d)</w:t>
      </w:r>
      <w:r>
        <w:tab/>
        <w:t>a received matter;</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an independent agency or either House of Parliament;</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14(1)(a) or (b);</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(Mentally Impaired Accused) Act 2015</w:t>
      </w:r>
      <w:r>
        <w:t xml:space="preserve"> or the </w:t>
      </w:r>
      <w:r>
        <w:rPr>
          <w:i/>
        </w:rPr>
        <w:t>Prisons Act 1981</w:t>
      </w:r>
      <w:r>
        <w:t>, as is relevant to the case;</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pPr>
      <w:r>
        <w:rPr>
          <w:b/>
        </w:rPr>
        <w:tab/>
      </w:r>
      <w:r>
        <w:rPr>
          <w:rStyle w:val="CharDefText"/>
        </w:rPr>
        <w:t>disciplinary action</w:t>
      </w:r>
      <w:r>
        <w:t xml:space="preserve"> means any disciplinary action under any law or contract and includes — </w:t>
      </w:r>
    </w:p>
    <w:p>
      <w:pPr>
        <w:pStyle w:val="Defpara"/>
      </w:pPr>
      <w:r>
        <w:tab/>
        <w:t>(a)</w:t>
      </w:r>
      <w:r>
        <w:tab/>
        <w:t xml:space="preserve">action under section 8 of the </w:t>
      </w:r>
      <w:r>
        <w:rPr>
          <w:i/>
        </w:rPr>
        <w:t>Police Act 1892</w:t>
      </w:r>
      <w:r>
        <w:t>; and</w:t>
      </w:r>
    </w:p>
    <w:p>
      <w:pPr>
        <w:pStyle w:val="Defpara"/>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rPr>
          <w:b/>
        </w:rPr>
        <w:tab/>
      </w:r>
      <w:r>
        <w:rPr>
          <w:rStyle w:val="CharDefText"/>
        </w:rPr>
        <w:t>investigation</w:t>
      </w:r>
      <w:r>
        <w:t xml:space="preserve"> means an investigation under this Act and includes a preliminary investigation referred to in section 32;</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tab/>
      </w:r>
      <w:r>
        <w:rPr>
          <w:rStyle w:val="CharDefText"/>
        </w:rPr>
        <w:t>officer of the Commission</w:t>
      </w:r>
      <w:r>
        <w:t xml:space="preserve"> means — </w:t>
      </w:r>
    </w:p>
    <w:p>
      <w:pPr>
        <w:pStyle w:val="Defpara"/>
        <w:widowControl w:val="0"/>
      </w:pPr>
      <w:r>
        <w:tab/>
        <w:t>(a)</w:t>
      </w:r>
      <w:r>
        <w:tab/>
        <w:t>the Commissioner; or</w:t>
      </w:r>
    </w:p>
    <w:p>
      <w:pPr>
        <w:pStyle w:val="Defpara"/>
        <w:widowControl w:val="0"/>
      </w:pPr>
      <w:r>
        <w:tab/>
        <w:t>(b)</w:t>
      </w:r>
      <w:r>
        <w:tab/>
        <w:t>a person appointed under section 179; or</w:t>
      </w:r>
    </w:p>
    <w:p>
      <w:pPr>
        <w:pStyle w:val="Defpara"/>
        <w:widowControl w:val="0"/>
      </w:pPr>
      <w:r>
        <w:tab/>
        <w:t>(c)</w:t>
      </w:r>
      <w:r>
        <w:tab/>
        <w:t>a person seconded or otherwise engaged under section 181; or</w:t>
      </w:r>
    </w:p>
    <w:p>
      <w:pPr>
        <w:pStyle w:val="Defpara"/>
      </w:pPr>
      <w:r>
        <w:tab/>
        <w:t>(d)</w:t>
      </w:r>
      <w:r>
        <w:tab/>
        <w:t>a person engaged under section 182;</w:t>
      </w:r>
    </w:p>
    <w:p>
      <w:pPr>
        <w:pStyle w:val="Defstar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tab/>
      </w:r>
      <w:r>
        <w:rPr>
          <w:rStyle w:val="CharDefText"/>
        </w:rPr>
        <w:t>perform</w:t>
      </w:r>
      <w:r>
        <w:t xml:space="preserve"> includes to exercise;</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tab/>
        <w:t>(c)</w:t>
      </w:r>
      <w:r>
        <w:tab/>
        <w:t>in the case of a contractor and any subcontractor under the relevant contract, the holder of the office specified in the relevant contract to be the principal officer for the purposes of this Act; and</w:t>
      </w:r>
    </w:p>
    <w:p>
      <w:pPr>
        <w:pStyle w:val="Defpara"/>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police officer or an employee of the Police Service of the Public Service,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misconduct of a kind described in section 4(a), (b) or (c);</w:t>
      </w:r>
    </w:p>
    <w:p>
      <w:pPr>
        <w:pStyle w:val="Defstart"/>
      </w:pPr>
      <w:r>
        <w:rPr>
          <w:b/>
        </w:rPr>
        <w:tab/>
      </w:r>
      <w:r>
        <w:rPr>
          <w:rStyle w:val="CharDefText"/>
        </w:rPr>
        <w:t>Standing Committee</w:t>
      </w:r>
      <w:r>
        <w:t xml:space="preserve"> means the committee referred to in section 216A;</w:t>
      </w:r>
    </w:p>
    <w:p>
      <w:pPr>
        <w:pStyle w:val="Defstart"/>
      </w:pPr>
      <w:r>
        <w:rPr>
          <w:b/>
        </w:rPr>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(Mentally Impaired Accused) Act 2015</w:t>
      </w:r>
      <w:r>
        <w:t xml:space="preserve"> or</w:t>
      </w:r>
      <w:r>
        <w:rPr>
          <w:i/>
        </w:rPr>
        <w:t xml:space="preserve"> </w:t>
      </w:r>
      <w:r>
        <w:t xml:space="preserve">the </w:t>
      </w:r>
      <w:r>
        <w:rPr>
          <w:i/>
        </w:rPr>
        <w:t>Prisons Act 1981</w:t>
      </w:r>
      <w:r>
        <w:t>, as is relevant to the case;</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exclusively by a House of Parliament, unless that House so resolves.</w:t>
      </w:r>
    </w:p>
    <w:p>
      <w:pPr>
        <w:pStyle w:val="Footnotesection"/>
        <w:ind w:left="890" w:hanging="890"/>
      </w:pPr>
      <w:r>
        <w:tab/>
        <w:t>[Section 3 amended by No. 78 of 2003 s. 5 and 35(13); No. 77 of 2006 Sch. 1 cl. 35(1) and (2); No. 8 of 2008 s. 11(2) and 23(1); No. 21 of 2008 s. 654(2); No. 39 of 2010 s. 74(2); No. 4 of 2015 s. 84(2).]</w:t>
      </w:r>
    </w:p>
    <w:p>
      <w:pPr>
        <w:pStyle w:val="Heading5"/>
        <w:spacing w:before="180"/>
      </w:pPr>
      <w:bookmarkStart w:id="27" w:name="_Toc407628285"/>
      <w:bookmarkStart w:id="28" w:name="_Toc422301996"/>
      <w:r>
        <w:rPr>
          <w:rStyle w:val="CharSectno"/>
        </w:rPr>
        <w:t>4</w:t>
      </w:r>
      <w:r>
        <w:t>.</w:t>
      </w:r>
      <w:r>
        <w:tab/>
        <w:t>Term used: misconduct</w:t>
      </w:r>
      <w:bookmarkEnd w:id="27"/>
      <w:bookmarkEnd w:id="28"/>
    </w:p>
    <w:p>
      <w:pPr>
        <w:pStyle w:val="Subsection"/>
        <w:spacing w:before="120"/>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Indenti"/>
      </w:pPr>
      <w:r>
        <w:tab/>
        <w:t>(v)</w:t>
      </w:r>
      <w:r>
        <w:tab/>
        <w:t xml:space="preserve">an offence against the </w:t>
      </w:r>
      <w:r>
        <w:rPr>
          <w:i/>
        </w:rPr>
        <w:t>Statutory Corporations (Liability of Directors) Act 1996</w:t>
      </w:r>
      <w:r>
        <w:t xml:space="preserve"> or any other written law; or</w:t>
      </w:r>
    </w:p>
    <w:p>
      <w:pPr>
        <w:pStyle w:val="Indenti"/>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(whether or not the public officer to whom the allegation relates is a public service officer or is a person whose office or employment could be terminated on the grounds of such conduct).</w:t>
      </w:r>
    </w:p>
    <w:p>
      <w:pPr>
        <w:pStyle w:val="Footnotesection"/>
        <w:spacing w:before="140"/>
        <w:ind w:left="890" w:hanging="890"/>
      </w:pPr>
      <w:r>
        <w:tab/>
        <w:t>[Section 4 inserted by No. 78 of 2003 s. 6.]</w:t>
      </w:r>
    </w:p>
    <w:p>
      <w:pPr>
        <w:pStyle w:val="Heading5"/>
        <w:spacing w:before="260"/>
        <w:rPr>
          <w:b w:val="0"/>
          <w:bCs/>
        </w:rPr>
      </w:pPr>
      <w:bookmarkStart w:id="29" w:name="_Toc407628286"/>
      <w:bookmarkStart w:id="30" w:name="_Toc422301997"/>
      <w:r>
        <w:rPr>
          <w:rStyle w:val="CharSectno"/>
        </w:rPr>
        <w:t>5</w:t>
      </w:r>
      <w:r>
        <w:t>.</w:t>
      </w:r>
      <w:r>
        <w:rPr>
          <w:b w:val="0"/>
          <w:bCs/>
        </w:rPr>
        <w:tab/>
      </w:r>
      <w:r>
        <w:t>Term used: section 5 offence</w:t>
      </w:r>
      <w:bookmarkEnd w:id="29"/>
      <w:bookmarkEnd w:id="30"/>
    </w:p>
    <w:p>
      <w:pPr>
        <w:pStyle w:val="Subsection"/>
        <w:spacing w:before="180"/>
      </w:pPr>
      <w:r>
        <w:tab/>
      </w:r>
      <w:r>
        <w:tab/>
        <w:t>A section 5 offence is a Schedule 1 offence committed in the course of organised crime.</w:t>
      </w:r>
    </w:p>
    <w:p>
      <w:pPr>
        <w:pStyle w:val="Footnotesection"/>
        <w:spacing w:before="140"/>
        <w:ind w:left="890" w:hanging="890"/>
      </w:pPr>
      <w:r>
        <w:tab/>
        <w:t>[Section 5 inserted by No. 78 of 2003 s. 6.]</w:t>
      </w:r>
    </w:p>
    <w:p>
      <w:pPr>
        <w:pStyle w:val="Heading5"/>
        <w:spacing w:before="260"/>
      </w:pPr>
      <w:bookmarkStart w:id="31" w:name="_Toc407628287"/>
      <w:bookmarkStart w:id="32" w:name="_Toc422301998"/>
      <w:r>
        <w:rPr>
          <w:rStyle w:val="CharSectno"/>
        </w:rPr>
        <w:t>6</w:t>
      </w:r>
      <w:r>
        <w:t>.</w:t>
      </w:r>
      <w:r>
        <w:tab/>
        <w:t>Application</w:t>
      </w:r>
      <w:bookmarkEnd w:id="31"/>
      <w:bookmarkEnd w:id="32"/>
    </w:p>
    <w:p>
      <w:pPr>
        <w:pStyle w:val="Subsection"/>
        <w:spacing w:before="180"/>
      </w:pPr>
      <w:r>
        <w:tab/>
        <w:t>(1)</w:t>
      </w:r>
      <w:r>
        <w:tab/>
        <w:t>The Commission may receive information and otherwise perform its functions in relation to acts, omissions or conduct occurring before or after the coming into operation of this Act.</w:t>
      </w:r>
    </w:p>
    <w:p>
      <w:pPr>
        <w:pStyle w:val="Subsection"/>
        <w:spacing w:before="180"/>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spacing w:before="140"/>
        <w:ind w:left="890" w:hanging="890"/>
      </w:pPr>
      <w:r>
        <w:tab/>
        <w:t>[Section 6, formerly section 4, renumbered as section 6 by No. 78 of 2003 s. 35(1).]</w:t>
      </w:r>
    </w:p>
    <w:p>
      <w:pPr>
        <w:pStyle w:val="Heading5"/>
        <w:spacing w:before="260"/>
      </w:pPr>
      <w:bookmarkStart w:id="33" w:name="_Toc407628288"/>
      <w:bookmarkStart w:id="34" w:name="_Toc422301999"/>
      <w:r>
        <w:rPr>
          <w:rStyle w:val="CharSectno"/>
        </w:rPr>
        <w:t>7</w:t>
      </w:r>
      <w:r>
        <w:t>.</w:t>
      </w:r>
      <w:r>
        <w:tab/>
        <w:t>Act to bind Crown</w:t>
      </w:r>
      <w:bookmarkEnd w:id="33"/>
      <w:bookmarkEnd w:id="34"/>
    </w:p>
    <w:p>
      <w:pPr>
        <w:pStyle w:val="Subsection"/>
        <w:spacing w:before="180"/>
      </w:pPr>
      <w:r>
        <w:tab/>
      </w:r>
      <w:r>
        <w:tab/>
        <w:t>This Act binds the Crown in right of the State and, so far as the legislative power of the State permits, the Crown in its other capacities.</w:t>
      </w:r>
    </w:p>
    <w:p>
      <w:pPr>
        <w:pStyle w:val="Footnotesection"/>
        <w:spacing w:before="140"/>
        <w:ind w:left="890" w:hanging="890"/>
      </w:pPr>
      <w:r>
        <w:tab/>
        <w:t>[Section 7, formerly section 5, renumbered as section 7 by No. 78 of 2003 s. 35(1).]</w:t>
      </w:r>
    </w:p>
    <w:p>
      <w:pPr>
        <w:pStyle w:val="Heading3"/>
        <w:pageBreakBefore/>
        <w:spacing w:before="0"/>
      </w:pPr>
      <w:bookmarkStart w:id="35" w:name="_Toc381872838"/>
      <w:bookmarkStart w:id="36" w:name="_Toc381873653"/>
      <w:bookmarkStart w:id="37" w:name="_Toc405978060"/>
      <w:bookmarkStart w:id="38" w:name="_Toc406053986"/>
      <w:bookmarkStart w:id="39" w:name="_Toc406078524"/>
      <w:bookmarkStart w:id="40" w:name="_Toc407628289"/>
      <w:bookmarkStart w:id="41" w:name="_Toc413243827"/>
      <w:bookmarkStart w:id="42" w:name="_Toc413321168"/>
      <w:bookmarkStart w:id="43" w:name="_Toc422302000"/>
      <w:r>
        <w:rPr>
          <w:rStyle w:val="CharDivNo"/>
        </w:rPr>
        <w:t>Division 2</w:t>
      </w:r>
      <w:r>
        <w:t> — </w:t>
      </w:r>
      <w:r>
        <w:rPr>
          <w:rStyle w:val="CharDivText"/>
        </w:rPr>
        <w:t>Purpose</w:t>
      </w:r>
      <w:bookmarkEnd w:id="35"/>
      <w:bookmarkEnd w:id="36"/>
      <w:bookmarkEnd w:id="37"/>
      <w:bookmarkEnd w:id="38"/>
      <w:bookmarkEnd w:id="39"/>
      <w:bookmarkEnd w:id="40"/>
      <w:bookmarkEnd w:id="41"/>
      <w:bookmarkEnd w:id="42"/>
      <w:bookmarkEnd w:id="43"/>
    </w:p>
    <w:p>
      <w:pPr>
        <w:pStyle w:val="Footnoteheading"/>
        <w:tabs>
          <w:tab w:val="clear" w:pos="879"/>
          <w:tab w:val="left" w:pos="896"/>
        </w:tabs>
      </w:pPr>
      <w:r>
        <w:tab/>
        <w:t>[Heading inserted by No. 78 of 2003 s. 7(2).]</w:t>
      </w:r>
    </w:p>
    <w:p>
      <w:pPr>
        <w:pStyle w:val="Heading5"/>
      </w:pPr>
      <w:bookmarkStart w:id="44" w:name="_Toc407628290"/>
      <w:bookmarkStart w:id="45" w:name="_Toc422302001"/>
      <w:r>
        <w:rPr>
          <w:rStyle w:val="CharSectno"/>
        </w:rPr>
        <w:t>7A</w:t>
      </w:r>
      <w:r>
        <w:t>.</w:t>
      </w:r>
      <w:r>
        <w:tab/>
        <w:t>Act’s purposes</w:t>
      </w:r>
      <w:bookmarkEnd w:id="44"/>
      <w:bookmarkEnd w:id="45"/>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w:t>
      </w:r>
    </w:p>
    <w:p>
      <w:pPr>
        <w:pStyle w:val="Footnotesection"/>
      </w:pPr>
      <w:r>
        <w:tab/>
        <w:t>[Section 7A inserted by No. 78 of 2003 s. 7(2).]</w:t>
      </w:r>
    </w:p>
    <w:p>
      <w:pPr>
        <w:pStyle w:val="Heading5"/>
      </w:pPr>
      <w:bookmarkStart w:id="46" w:name="_Toc407628291"/>
      <w:bookmarkStart w:id="47" w:name="_Toc422302002"/>
      <w:r>
        <w:rPr>
          <w:rStyle w:val="CharSectno"/>
        </w:rPr>
        <w:t>7B</w:t>
      </w:r>
      <w:r>
        <w:t>.</w:t>
      </w:r>
      <w:r>
        <w:tab/>
        <w:t>How Act’s purposes to be achieved</w:t>
      </w:r>
      <w:bookmarkEnd w:id="46"/>
      <w:bookmarkEnd w:id="47"/>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Commission is to help public authorities to deal effectively and appropriately with misconduct by increasing their capacity to do so while retaining power to itself investigate cases of misconduct, particularly serious misconduct.</w:t>
      </w:r>
    </w:p>
    <w:p>
      <w:pPr>
        <w:pStyle w:val="Footnotesection"/>
      </w:pPr>
      <w:r>
        <w:tab/>
        <w:t>[Section 7B inserted by No. 78 of 2003 s. 7(2).]</w:t>
      </w:r>
    </w:p>
    <w:p>
      <w:pPr>
        <w:pStyle w:val="Heading2"/>
      </w:pPr>
      <w:bookmarkStart w:id="48" w:name="_Toc381872841"/>
      <w:bookmarkStart w:id="49" w:name="_Toc381873656"/>
      <w:bookmarkStart w:id="50" w:name="_Toc405978063"/>
      <w:bookmarkStart w:id="51" w:name="_Toc406053989"/>
      <w:bookmarkStart w:id="52" w:name="_Toc406078527"/>
      <w:bookmarkStart w:id="53" w:name="_Toc407628292"/>
      <w:bookmarkStart w:id="54" w:name="_Toc413243830"/>
      <w:bookmarkStart w:id="55" w:name="_Toc413321171"/>
      <w:bookmarkStart w:id="56" w:name="_Toc422302003"/>
      <w:r>
        <w:rPr>
          <w:rStyle w:val="CharPartNo"/>
        </w:rPr>
        <w:t>Part 2</w:t>
      </w:r>
      <w:r>
        <w:t> — </w:t>
      </w:r>
      <w:r>
        <w:rPr>
          <w:rStyle w:val="CharPartText"/>
        </w:rPr>
        <w:t>The Corruption and Crime Commission</w:t>
      </w:r>
      <w:bookmarkEnd w:id="48"/>
      <w:bookmarkEnd w:id="49"/>
      <w:bookmarkEnd w:id="50"/>
      <w:bookmarkEnd w:id="51"/>
      <w:bookmarkEnd w:id="52"/>
      <w:bookmarkEnd w:id="53"/>
      <w:bookmarkEnd w:id="54"/>
      <w:bookmarkEnd w:id="55"/>
      <w:bookmarkEnd w:id="56"/>
    </w:p>
    <w:p>
      <w:pPr>
        <w:pStyle w:val="Heading3"/>
      </w:pPr>
      <w:bookmarkStart w:id="57" w:name="_Toc381872842"/>
      <w:bookmarkStart w:id="58" w:name="_Toc381873657"/>
      <w:bookmarkStart w:id="59" w:name="_Toc405978064"/>
      <w:bookmarkStart w:id="60" w:name="_Toc406053990"/>
      <w:bookmarkStart w:id="61" w:name="_Toc406078528"/>
      <w:bookmarkStart w:id="62" w:name="_Toc407628293"/>
      <w:bookmarkStart w:id="63" w:name="_Toc413243831"/>
      <w:bookmarkStart w:id="64" w:name="_Toc413321172"/>
      <w:bookmarkStart w:id="65" w:name="_Toc422302004"/>
      <w:r>
        <w:rPr>
          <w:rStyle w:val="CharDivNo"/>
        </w:rPr>
        <w:t>Division 1</w:t>
      </w:r>
      <w:r>
        <w:t> — </w:t>
      </w:r>
      <w:r>
        <w:rPr>
          <w:rStyle w:val="CharDivText"/>
        </w:rPr>
        <w:t>Office of Corruption and Crime Commission</w:t>
      </w:r>
      <w:bookmarkEnd w:id="57"/>
      <w:bookmarkEnd w:id="58"/>
      <w:bookmarkEnd w:id="59"/>
      <w:bookmarkEnd w:id="60"/>
      <w:bookmarkEnd w:id="61"/>
      <w:bookmarkEnd w:id="62"/>
      <w:bookmarkEnd w:id="63"/>
      <w:bookmarkEnd w:id="64"/>
      <w:bookmarkEnd w:id="65"/>
    </w:p>
    <w:p>
      <w:pPr>
        <w:pStyle w:val="Heading5"/>
      </w:pPr>
      <w:bookmarkStart w:id="66" w:name="_Toc407628294"/>
      <w:bookmarkStart w:id="67" w:name="_Toc422302005"/>
      <w:r>
        <w:rPr>
          <w:rStyle w:val="CharSectno"/>
        </w:rPr>
        <w:t>8</w:t>
      </w:r>
      <w:r>
        <w:t>.</w:t>
      </w:r>
      <w:r>
        <w:tab/>
        <w:t>Corruption and Crime Commission established</w:t>
      </w:r>
      <w:bookmarkEnd w:id="66"/>
      <w:bookmarkEnd w:id="67"/>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by No. 78 of 2003 s. 35(1).]</w:t>
      </w:r>
    </w:p>
    <w:p>
      <w:pPr>
        <w:pStyle w:val="Heading5"/>
      </w:pPr>
      <w:bookmarkStart w:id="68" w:name="_Toc407628295"/>
      <w:bookmarkStart w:id="69" w:name="_Toc422302006"/>
      <w:r>
        <w:rPr>
          <w:rStyle w:val="CharSectno"/>
        </w:rPr>
        <w:t>9</w:t>
      </w:r>
      <w:r>
        <w:t>.</w:t>
      </w:r>
      <w:r>
        <w:tab/>
        <w:t>Corruption and Crime Commissioner</w:t>
      </w:r>
      <w:bookmarkEnd w:id="68"/>
      <w:bookmarkEnd w:id="69"/>
    </w:p>
    <w:p>
      <w:pPr>
        <w:pStyle w:val="Subsection"/>
      </w:pPr>
      <w:r>
        <w:tab/>
        <w:t>(1)</w:t>
      </w:r>
      <w:r>
        <w:tab/>
        <w:t>There is to be a Commissioner who, in the name of the Commission, is to perform the functions of the Commission under this Act and any other written law.</w:t>
      </w:r>
    </w:p>
    <w:p>
      <w:pPr>
        <w:pStyle w:val="Subsection"/>
      </w:pPr>
      <w:r>
        <w:tab/>
        <w:t>(2)</w:t>
      </w:r>
      <w:r>
        <w:tab/>
        <w:t>Without limiting subsection (1), if under this Act or any other written law an act or thing may or must be done by, to, by reference to or in relation to the Commission, the act or thing is to be regarded as effectually done if done to, by reference to or in relation to the Commissioner.</w:t>
      </w:r>
    </w:p>
    <w:p>
      <w:pPr>
        <w:pStyle w:val="Subsection"/>
      </w:pPr>
      <w:r>
        <w:tab/>
        <w:t>(3)</w:t>
      </w:r>
      <w:r>
        <w:tab/>
        <w:t>The Commissioner is to be appointed on the recommendation of the Premier by the Governor by commission under the Public Seal of the State.</w:t>
      </w:r>
    </w:p>
    <w:p>
      <w:pPr>
        <w:pStyle w:val="Subsection"/>
      </w:pPr>
      <w:r>
        <w:tab/>
        <w:t>(3a)</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(3b)</w:t>
      </w:r>
      <w:r>
        <w:tab/>
        <w:t xml:space="preserve">Before making nominations under subsection (3a) the nominating committee shall advertise throughout </w:t>
      </w:r>
      <w:smartTag w:uri="urn:schemas-microsoft-com:office:smarttags" w:element="place">
        <w:smartTag w:uri="urn:schemas-microsoft-com:office:smarttags" w:element="country-region">
          <w:r>
            <w:t>Australia</w:t>
          </w:r>
        </w:smartTag>
      </w:smartTag>
      <w:r>
        <w:t xml:space="preserve"> for expressions of interest.</w:t>
      </w:r>
    </w:p>
    <w:p>
      <w:pPr>
        <w:pStyle w:val="Subsection"/>
      </w:pPr>
      <w:r>
        <w:tab/>
        <w:t>(4)</w:t>
      </w:r>
      <w:r>
        <w:tab/>
        <w:t>Except in the case of the first appointment, before an appointment is made under subsection (3), the Premier must consult with —</w:t>
      </w:r>
    </w:p>
    <w:p>
      <w:pPr>
        <w:pStyle w:val="Indenta"/>
      </w:pPr>
      <w:r>
        <w:tab/>
        <w:t>(a)</w:t>
      </w:r>
      <w:r>
        <w:tab/>
        <w:t>the Standing Committee; or</w:t>
      </w:r>
    </w:p>
    <w:p>
      <w:pPr>
        <w:pStyle w:val="Indenta"/>
      </w:pPr>
      <w:r>
        <w:tab/>
        <w:t>(b)</w:t>
      </w:r>
      <w:r>
        <w:tab/>
        <w:t>if there is no Standing Committee, the Leader of the Opposition, and the leader of any other political party with at least 5 members in either House.</w:t>
      </w:r>
    </w:p>
    <w:p>
      <w:pPr>
        <w:pStyle w:val="Subsection"/>
      </w:pPr>
      <w:r>
        <w:tab/>
        <w:t>(4a)</w:t>
      </w:r>
      <w:r>
        <w:tab/>
        <w:t>In the case of the first appointment, before the appointment is made the Premier is to consult with the Leader of the Opposition.</w:t>
      </w:r>
    </w:p>
    <w:p>
      <w:pPr>
        <w:pStyle w:val="Subsection"/>
      </w:pPr>
      <w:r>
        <w:tab/>
        <w:t>(5)</w:t>
      </w:r>
      <w:r>
        <w:tab/>
        <w:t>The Commissioner is to hold office in accordance with this Act.</w:t>
      </w:r>
    </w:p>
    <w:p>
      <w:pPr>
        <w:pStyle w:val="Subsection"/>
      </w:pPr>
      <w:r>
        <w:tab/>
        <w:t>(6)</w:t>
      </w:r>
      <w:r>
        <w:tab/>
        <w:t>The office of Commissioner is not an office in the Public Service.</w:t>
      </w:r>
    </w:p>
    <w:p>
      <w:pPr>
        <w:pStyle w:val="Footnotesection"/>
        <w:ind w:left="890" w:hanging="890"/>
      </w:pPr>
      <w:r>
        <w:tab/>
        <w:t>[Section 9, formerly section 7, amended by No. 78 of 2003 s. 8; renumbered as section 9 by No. 78 of 2003 s. 35(1).]</w:t>
      </w:r>
    </w:p>
    <w:p>
      <w:pPr>
        <w:pStyle w:val="Heading5"/>
      </w:pPr>
      <w:bookmarkStart w:id="70" w:name="_Toc407628296"/>
      <w:bookmarkStart w:id="71" w:name="_Toc422302007"/>
      <w:r>
        <w:rPr>
          <w:rStyle w:val="CharSectno"/>
        </w:rPr>
        <w:t>10</w:t>
      </w:r>
      <w:r>
        <w:t>.</w:t>
      </w:r>
      <w:r>
        <w:tab/>
        <w:t>Qualifications for appointment as Commissioner</w:t>
      </w:r>
      <w:bookmarkEnd w:id="70"/>
      <w:bookmarkEnd w:id="71"/>
    </w:p>
    <w:p>
      <w:pPr>
        <w:pStyle w:val="Subsection"/>
      </w:pPr>
      <w:r>
        <w:tab/>
        <w:t>(1)</w:t>
      </w:r>
      <w:r>
        <w:tab/>
        <w:t>A person is qualified for appointment as the Commissioner if the person has served as, or is qualified for appointment as, a judge of the Supreme Court of Western Australia or another State or Territory, the High Court of Australia or the Federal Court of Australia.</w:t>
      </w:r>
    </w:p>
    <w:p>
      <w:pPr>
        <w:pStyle w:val="Ednotesubsection"/>
      </w:pPr>
      <w:r>
        <w:tab/>
        <w:t>[(2)</w:t>
      </w:r>
      <w:r>
        <w:tab/>
        <w:t>deleted]</w:t>
      </w:r>
    </w:p>
    <w:p>
      <w:pPr>
        <w:pStyle w:val="Subsection"/>
      </w:pPr>
      <w:r>
        <w:tab/>
        <w:t>(3)</w:t>
      </w:r>
      <w:r>
        <w:tab/>
        <w:t>A person who is or has been a police officer is not eligible to be appointed as Commissioner.</w:t>
      </w:r>
    </w:p>
    <w:p>
      <w:pPr>
        <w:pStyle w:val="Subsection"/>
      </w:pPr>
      <w:r>
        <w:tab/>
        <w:t>(4)</w:t>
      </w:r>
      <w:r>
        <w:tab/>
        <w:t>A person holding a judicial office shall retire upon appointment as Commissioner.</w:t>
      </w:r>
    </w:p>
    <w:p>
      <w:pPr>
        <w:pStyle w:val="Footnotesection"/>
        <w:ind w:left="890" w:hanging="890"/>
      </w:pPr>
      <w:r>
        <w:tab/>
        <w:t>[Section 10, formerly section 8, amended by No. 78 of 2003 s. 9 and renumbered as section 10 by No. 78 of 2003 s. 35(1).]</w:t>
      </w:r>
    </w:p>
    <w:p>
      <w:pPr>
        <w:pStyle w:val="Heading5"/>
      </w:pPr>
      <w:bookmarkStart w:id="72" w:name="_Toc407628297"/>
      <w:bookmarkStart w:id="73" w:name="_Toc422302008"/>
      <w:r>
        <w:rPr>
          <w:rStyle w:val="CharSectno"/>
        </w:rPr>
        <w:t>11</w:t>
      </w:r>
      <w:r>
        <w:t>.</w:t>
      </w:r>
      <w:r>
        <w:tab/>
        <w:t>Terms and conditions of service of Commissioner</w:t>
      </w:r>
      <w:bookmarkEnd w:id="72"/>
      <w:bookmarkEnd w:id="73"/>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by No. 78 of 2003 s. 35(13) and renumbered as section 11 by No. 78 of 2003 s. 35(1).]</w:t>
      </w:r>
    </w:p>
    <w:p>
      <w:pPr>
        <w:pStyle w:val="Heading5"/>
      </w:pPr>
      <w:bookmarkStart w:id="74" w:name="_Toc407628298"/>
      <w:bookmarkStart w:id="75" w:name="_Toc422302009"/>
      <w:r>
        <w:rPr>
          <w:rStyle w:val="CharSectno"/>
        </w:rPr>
        <w:t>12</w:t>
      </w:r>
      <w:r>
        <w:t>.</w:t>
      </w:r>
      <w:r>
        <w:tab/>
        <w:t>Removal or suspension of Commissioner</w:t>
      </w:r>
      <w:bookmarkEnd w:id="74"/>
      <w:bookmarkEnd w:id="75"/>
    </w:p>
    <w:p>
      <w:pPr>
        <w:pStyle w:val="Subsection"/>
      </w:pPr>
      <w:r>
        <w:tab/>
        <w:t>(1)</w:t>
      </w:r>
      <w:r>
        <w:tab/>
        <w:t>The Commissioner may, at any time, be suspended or removed from office by the Governor on addresses from both Houses of Parliament.</w:t>
      </w:r>
    </w:p>
    <w:p>
      <w:pPr>
        <w:pStyle w:val="Subsection"/>
        <w:keepNext/>
      </w:pPr>
      <w:r>
        <w:tab/>
        <w:t>(2)</w:t>
      </w:r>
      <w:r>
        <w:tab/>
        <w:t xml:space="preserve">If the Governor is satisfied that the Commissioner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Commissioner from office.</w:t>
      </w:r>
    </w:p>
    <w:p>
      <w:pPr>
        <w:pStyle w:val="Subsection"/>
      </w:pPr>
      <w:r>
        <w:tab/>
        <w:t>(3)</w:t>
      </w:r>
      <w:r>
        <w:tab/>
        <w:t xml:space="preserve">If the Commissioner has been suspended from office under subsection (2) the Commissioner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from office.</w:t>
      </w:r>
    </w:p>
    <w:p>
      <w:pPr>
        <w:pStyle w:val="Footnotesection"/>
      </w:pPr>
      <w:r>
        <w:tab/>
        <w:t>[Section 12, formerly section 10, renumbered as section 12 by No. 78 of 2003 s. 35(1).]</w:t>
      </w:r>
    </w:p>
    <w:p>
      <w:pPr>
        <w:pStyle w:val="Heading5"/>
      </w:pPr>
      <w:bookmarkStart w:id="76" w:name="_Toc407628299"/>
      <w:bookmarkStart w:id="77" w:name="_Toc422302010"/>
      <w:r>
        <w:rPr>
          <w:rStyle w:val="CharSectno"/>
        </w:rPr>
        <w:t>13</w:t>
      </w:r>
      <w:r>
        <w:t>.</w:t>
      </w:r>
      <w:r>
        <w:tab/>
        <w:t>Declaration of inability to act</w:t>
      </w:r>
      <w:bookmarkEnd w:id="76"/>
      <w:bookmarkEnd w:id="77"/>
    </w:p>
    <w:p>
      <w:pPr>
        <w:pStyle w:val="Subsection"/>
      </w:pPr>
      <w:r>
        <w:tab/>
      </w:r>
      <w:r>
        <w:tab/>
        <w:t xml:space="preserve">The Commissioner may declare himself or herself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pPr>
      <w:r>
        <w:tab/>
        <w:t>[Section 13, formerly section 11, renumbered as section 13 by No. 78 of 2003 s. 35(1).]</w:t>
      </w:r>
    </w:p>
    <w:p>
      <w:pPr>
        <w:pStyle w:val="Heading5"/>
      </w:pPr>
      <w:bookmarkStart w:id="78" w:name="_Toc407628300"/>
      <w:bookmarkStart w:id="79" w:name="_Toc422302011"/>
      <w:r>
        <w:rPr>
          <w:rStyle w:val="CharSectno"/>
        </w:rPr>
        <w:t>14</w:t>
      </w:r>
      <w:r>
        <w:t>.</w:t>
      </w:r>
      <w:r>
        <w:tab/>
        <w:t>Acting Commissioner</w:t>
      </w:r>
      <w:bookmarkEnd w:id="78"/>
      <w:bookmarkEnd w:id="79"/>
    </w:p>
    <w:p>
      <w:pPr>
        <w:pStyle w:val="Subsection"/>
      </w:pPr>
      <w:r>
        <w:tab/>
        <w:t>(1)</w:t>
      </w:r>
      <w:r>
        <w:tab/>
        <w:t xml:space="preserve">The Governor may appoint a person who is eligible for appointment as Commissioner to act in the office of Commissioner — </w:t>
      </w:r>
    </w:p>
    <w:p>
      <w:pPr>
        <w:pStyle w:val="Indenta"/>
      </w:pPr>
      <w:r>
        <w:tab/>
        <w:t>(a)</w:t>
      </w:r>
      <w:r>
        <w:tab/>
        <w:t>during a vacancy in that office; or</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13 declared himself or herself unable to act.</w:t>
      </w:r>
    </w:p>
    <w:p>
      <w:pPr>
        <w:pStyle w:val="Subsection"/>
      </w:pPr>
      <w:r>
        <w:tab/>
        <w:t>(2)</w:t>
      </w:r>
      <w:r>
        <w:tab/>
        <w:t xml:space="preserve">An appointment under this section — </w:t>
      </w:r>
    </w:p>
    <w:p>
      <w:pPr>
        <w:pStyle w:val="Indenta"/>
        <w:spacing w:before="70"/>
      </w:pPr>
      <w:r>
        <w:tab/>
        <w:t>(a)</w:t>
      </w:r>
      <w:r>
        <w:tab/>
        <w:t>may be made at any time and may be terminated at any time by the Governor; and</w:t>
      </w:r>
    </w:p>
    <w:p>
      <w:pPr>
        <w:pStyle w:val="Indenta"/>
        <w:spacing w:before="70"/>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Commissioner shall be the same as that for the appointment of the Commissioner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Commissioner in relation to the matter for which he or she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by No. 78 of 2003 s. 10 and 35(13); renumbered as section 14 by No. 78 of 2003 s. 35(1).]</w:t>
      </w:r>
    </w:p>
    <w:p>
      <w:pPr>
        <w:pStyle w:val="Heading5"/>
      </w:pPr>
      <w:bookmarkStart w:id="80" w:name="_Toc407628301"/>
      <w:bookmarkStart w:id="81" w:name="_Toc422302012"/>
      <w:r>
        <w:rPr>
          <w:rStyle w:val="CharSectno"/>
        </w:rPr>
        <w:t>15</w:t>
      </w:r>
      <w:r>
        <w:t>.</w:t>
      </w:r>
      <w:r>
        <w:tab/>
        <w:t>Oath or affirmation of office</w:t>
      </w:r>
      <w:bookmarkEnd w:id="80"/>
      <w:bookmarkEnd w:id="81"/>
    </w:p>
    <w:p>
      <w:pPr>
        <w:pStyle w:val="Subsection"/>
      </w:pPr>
      <w:r>
        <w:tab/>
        <w:t>(1)</w:t>
      </w:r>
      <w:r>
        <w:tab/>
        <w:t xml:space="preserve">Before beginning to perform the functions of the office of Commissioner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by No. 78 of 2003 s. 35(1).]</w:t>
      </w:r>
    </w:p>
    <w:p>
      <w:pPr>
        <w:pStyle w:val="Heading3"/>
      </w:pPr>
      <w:bookmarkStart w:id="82" w:name="_Toc381872851"/>
      <w:bookmarkStart w:id="83" w:name="_Toc381873666"/>
      <w:bookmarkStart w:id="84" w:name="_Toc405978073"/>
      <w:bookmarkStart w:id="85" w:name="_Toc406053999"/>
      <w:bookmarkStart w:id="86" w:name="_Toc406078537"/>
      <w:bookmarkStart w:id="87" w:name="_Toc407628302"/>
      <w:bookmarkStart w:id="88" w:name="_Toc413243840"/>
      <w:bookmarkStart w:id="89" w:name="_Toc413321181"/>
      <w:bookmarkStart w:id="90" w:name="_Toc422302013"/>
      <w:r>
        <w:rPr>
          <w:rStyle w:val="CharDivNo"/>
        </w:rPr>
        <w:t>Division 2</w:t>
      </w:r>
      <w:r>
        <w:t> — </w:t>
      </w:r>
      <w:r>
        <w:rPr>
          <w:rStyle w:val="CharDivText"/>
        </w:rPr>
        <w:t>Functions of Corruption and Crime Commission</w:t>
      </w:r>
      <w:bookmarkEnd w:id="82"/>
      <w:bookmarkEnd w:id="83"/>
      <w:bookmarkEnd w:id="84"/>
      <w:bookmarkEnd w:id="85"/>
      <w:bookmarkEnd w:id="86"/>
      <w:bookmarkEnd w:id="87"/>
      <w:bookmarkEnd w:id="88"/>
      <w:bookmarkEnd w:id="89"/>
      <w:bookmarkEnd w:id="90"/>
    </w:p>
    <w:p>
      <w:pPr>
        <w:pStyle w:val="Heading5"/>
      </w:pPr>
      <w:bookmarkStart w:id="91" w:name="_Toc407628303"/>
      <w:bookmarkStart w:id="92" w:name="_Toc422302014"/>
      <w:r>
        <w:rPr>
          <w:rStyle w:val="CharSectno"/>
        </w:rPr>
        <w:t>16</w:t>
      </w:r>
      <w:r>
        <w:t>.</w:t>
      </w:r>
      <w:r>
        <w:tab/>
        <w:t>General functions</w:t>
      </w:r>
      <w:bookmarkEnd w:id="91"/>
      <w:bookmarkEnd w:id="92"/>
    </w:p>
    <w:p>
      <w:pPr>
        <w:pStyle w:val="Subsection"/>
      </w:pPr>
      <w:r>
        <w:tab/>
      </w:r>
      <w:r>
        <w:tab/>
        <w:t>The Commission has the functions conferred or imposed by or under this Act or any other written law.</w:t>
      </w:r>
    </w:p>
    <w:p>
      <w:pPr>
        <w:pStyle w:val="Footnotesection"/>
      </w:pPr>
      <w:r>
        <w:tab/>
        <w:t>[Section 16, formerly section 14, renumbered as section 16 by No. 78 of 2003 s. 35(1).]</w:t>
      </w:r>
    </w:p>
    <w:p>
      <w:pPr>
        <w:pStyle w:val="Heading5"/>
      </w:pPr>
      <w:bookmarkStart w:id="93" w:name="_Toc407628304"/>
      <w:bookmarkStart w:id="94" w:name="_Toc422302015"/>
      <w:r>
        <w:rPr>
          <w:rStyle w:val="CharSectno"/>
        </w:rPr>
        <w:t>17</w:t>
      </w:r>
      <w:r>
        <w:t>.</w:t>
      </w:r>
      <w:r>
        <w:tab/>
        <w:t>Prevention and education function</w:t>
      </w:r>
      <w:bookmarkEnd w:id="93"/>
      <w:bookmarkEnd w:id="94"/>
    </w:p>
    <w:p>
      <w:pPr>
        <w:pStyle w:val="Subsection"/>
      </w:pPr>
      <w:r>
        <w:tab/>
        <w:t>(1)</w:t>
      </w:r>
      <w:r>
        <w:tab/>
        <w:t xml:space="preserve">The Commission has a function (the </w:t>
      </w:r>
      <w:r>
        <w:rPr>
          <w:rStyle w:val="CharDefText"/>
        </w:rPr>
        <w:t>prevention and education function</w:t>
      </w:r>
      <w:r>
        <w:t>) of helping to prevent misconduct.</w:t>
      </w:r>
    </w:p>
    <w:p>
      <w:pPr>
        <w:pStyle w:val="Subsection"/>
        <w:keepNext/>
      </w:pPr>
      <w:r>
        <w:tab/>
        <w:t>(2)</w:t>
      </w:r>
      <w:r>
        <w:tab/>
        <w:t xml:space="preserve">Without limiting the ways the Commission may perform the prevention and education function, the Commission performs that function by — </w:t>
      </w:r>
    </w:p>
    <w:p>
      <w:pPr>
        <w:pStyle w:val="Indenta"/>
      </w:pPr>
      <w:r>
        <w:tab/>
        <w:t>(a)</w:t>
      </w:r>
      <w:r>
        <w:tab/>
        <w:t>analysing the intelligence it gathers in support of its investigations into organised crime and misconduct; and</w:t>
      </w:r>
    </w:p>
    <w:p>
      <w:pPr>
        <w:pStyle w:val="Indenta"/>
      </w:pPr>
      <w:r>
        <w:tab/>
        <w:t>(ab)</w:t>
      </w:r>
      <w:r>
        <w:tab/>
        <w:t>analysing the results of its investigations and the information it gathers in performing its functions; and</w:t>
      </w:r>
    </w:p>
    <w:p>
      <w:pPr>
        <w:pStyle w:val="Indenta"/>
      </w:pPr>
      <w:r>
        <w:tab/>
        <w:t>(ac)</w:t>
      </w:r>
      <w:r>
        <w:tab/>
        <w:t>analysing systems used within public authorities to prevent misconduct; and</w:t>
      </w:r>
    </w:p>
    <w:p>
      <w:pPr>
        <w:pStyle w:val="Indenta"/>
      </w:pPr>
      <w:r>
        <w:tab/>
        <w:t>(ad)</w:t>
      </w:r>
      <w:r>
        <w:tab/>
        <w:t>using information it gathers from any source in support of its prevention and education function; and</w:t>
      </w:r>
    </w:p>
    <w:p>
      <w:pPr>
        <w:pStyle w:val="Indenta"/>
      </w:pPr>
      <w:r>
        <w:tab/>
        <w:t>(b)</w:t>
      </w:r>
      <w:r>
        <w:tab/>
        <w:t>providing information to, consulting with, and making recommendations to public authorities; and</w:t>
      </w:r>
    </w:p>
    <w:p>
      <w:pPr>
        <w:pStyle w:val="Indenta"/>
      </w:pPr>
      <w:r>
        <w:tab/>
        <w:t>(c)</w:t>
      </w:r>
      <w:r>
        <w:tab/>
        <w:t>providing information relevant to its prevention and education function to the general community; and</w:t>
      </w:r>
    </w:p>
    <w:p>
      <w:pPr>
        <w:pStyle w:val="Indenta"/>
      </w:pPr>
      <w:r>
        <w:tab/>
        <w:t>(ca)</w:t>
      </w:r>
      <w:r>
        <w:tab/>
        <w:t>ensuring that in performing all of its functions it has regard to its prevention and education function; and</w:t>
      </w:r>
    </w:p>
    <w:p>
      <w:pPr>
        <w:pStyle w:val="Indenta"/>
      </w:pPr>
      <w:r>
        <w:tab/>
        <w:t>(cb)</w:t>
      </w:r>
      <w:r>
        <w:tab/>
        <w:t>generally increasing the capacity of public authorities to prevent misconduct by providing advice and training to those authorities, if asked, to other entities; and</w:t>
      </w:r>
    </w:p>
    <w:p>
      <w:pPr>
        <w:pStyle w:val="Indenta"/>
      </w:pPr>
      <w:r>
        <w:tab/>
        <w:t>(d)</w:t>
      </w:r>
      <w:r>
        <w:tab/>
        <w:t>reporting on ways to prevent misconduct.</w:t>
      </w:r>
    </w:p>
    <w:p>
      <w:pPr>
        <w:pStyle w:val="Footnotesection"/>
      </w:pPr>
      <w:r>
        <w:tab/>
        <w:t>[Section 17, formerly section 15, amended by No. 78 of 2003 s. 12; renumbered as section 17 by No. 78 of 2003 s. 35(1).]</w:t>
      </w:r>
    </w:p>
    <w:p>
      <w:pPr>
        <w:pStyle w:val="Heading5"/>
      </w:pPr>
      <w:bookmarkStart w:id="95" w:name="_Toc407628305"/>
      <w:bookmarkStart w:id="96" w:name="_Toc422302016"/>
      <w:r>
        <w:rPr>
          <w:rStyle w:val="CharSectno"/>
        </w:rPr>
        <w:t>18</w:t>
      </w:r>
      <w:r>
        <w:t>.</w:t>
      </w:r>
      <w:r>
        <w:tab/>
        <w:t>Misconduct function</w:t>
      </w:r>
      <w:bookmarkEnd w:id="95"/>
      <w:bookmarkEnd w:id="96"/>
    </w:p>
    <w:p>
      <w:pPr>
        <w:pStyle w:val="Subsection"/>
      </w:pPr>
      <w:r>
        <w:tab/>
        <w:t>(1)</w:t>
      </w:r>
      <w:r>
        <w:tab/>
        <w:t xml:space="preserve">It is a function of the Commission (the </w:t>
      </w:r>
      <w:r>
        <w:rPr>
          <w:rStyle w:val="CharDefText"/>
        </w:rPr>
        <w:t>misconduct function</w:t>
      </w:r>
      <w:r>
        <w:t>) to ensure that an allegation about, or information or matter involving, misconduct is dealt with in an appropriate way.</w:t>
      </w:r>
    </w:p>
    <w:p>
      <w:pPr>
        <w:pStyle w:val="Subsection"/>
      </w:pPr>
      <w:r>
        <w:tab/>
        <w:t>(2)</w:t>
      </w:r>
      <w:r>
        <w:tab/>
        <w:t xml:space="preserve">Without limiting how the Commission may perform the misconduct function, the Commission performs the function by — </w:t>
      </w:r>
    </w:p>
    <w:p>
      <w:pPr>
        <w:pStyle w:val="Indenta"/>
      </w:pPr>
      <w:r>
        <w:tab/>
        <w:t>(a)</w:t>
      </w:r>
      <w:r>
        <w:tab/>
        <w:t>receiving and initiating allegations of misconduct;</w:t>
      </w:r>
    </w:p>
    <w:p>
      <w:pPr>
        <w:pStyle w:val="Indenta"/>
      </w:pPr>
      <w:r>
        <w:tab/>
        <w:t>(b)</w:t>
      </w:r>
      <w:r>
        <w:rPr>
          <w:spacing w:val="-4"/>
        </w:rPr>
        <w:tab/>
        <w:t>considering whether action is needed in relation to allegations and matters related to misconduct;</w:t>
      </w:r>
    </w:p>
    <w:p>
      <w:pPr>
        <w:pStyle w:val="Indenta"/>
      </w:pPr>
      <w:r>
        <w:tab/>
        <w:t>(c)</w:t>
      </w:r>
      <w:r>
        <w:tab/>
      </w:r>
      <w:r>
        <w:rPr>
          <w:spacing w:val="-4"/>
        </w:rPr>
        <w:t>investigating or taking other action in relation to allegations and matters related to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misconduct, investigating whether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Footnotesection"/>
      </w:pPr>
      <w:r>
        <w:tab/>
        <w:t>[Section 18 inserted by No. 78 of 2003 s. 11.]</w:t>
      </w:r>
    </w:p>
    <w:p>
      <w:pPr>
        <w:pStyle w:val="Heading5"/>
      </w:pPr>
      <w:bookmarkStart w:id="97" w:name="_Toc407628306"/>
      <w:bookmarkStart w:id="98" w:name="_Toc422302017"/>
      <w:r>
        <w:rPr>
          <w:rStyle w:val="CharSectno"/>
        </w:rPr>
        <w:t>19</w:t>
      </w:r>
      <w:r>
        <w:t>.</w:t>
      </w:r>
      <w:r>
        <w:tab/>
        <w:t>Functions in relation to Police Royal Commission</w:t>
      </w:r>
      <w:bookmarkEnd w:id="97"/>
      <w:bookmarkEnd w:id="98"/>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by No. 78 of 2003 s. 13; renumbered as section 19 by No. 78 of 2003 s. 35(1).]</w:t>
      </w:r>
    </w:p>
    <w:p>
      <w:pPr>
        <w:pStyle w:val="Heading5"/>
      </w:pPr>
      <w:bookmarkStart w:id="99" w:name="_Toc407628307"/>
      <w:bookmarkStart w:id="100" w:name="_Toc422302018"/>
      <w:r>
        <w:rPr>
          <w:rStyle w:val="CharSectno"/>
        </w:rPr>
        <w:t>20</w:t>
      </w:r>
      <w:r>
        <w:t>.</w:t>
      </w:r>
      <w:r>
        <w:tab/>
        <w:t>Functions in relation to A</w:t>
      </w:r>
      <w:r>
        <w:noBreakHyphen/>
        <w:t>CC</w:t>
      </w:r>
      <w:bookmarkEnd w:id="99"/>
      <w:bookmarkEnd w:id="100"/>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tab/>
        <w:t>(c)</w:t>
      </w:r>
      <w:r>
        <w:tab/>
        <w:t>the transfer of records and other things from the A</w:t>
      </w:r>
      <w:r>
        <w:noBreakHyphen/>
        <w:t>CC to the Commission.</w:t>
      </w:r>
    </w:p>
    <w:p>
      <w:pPr>
        <w:pStyle w:val="Footnotesection"/>
      </w:pPr>
      <w:r>
        <w:tab/>
        <w:t>[Section 20, formerly section 17, renumbered as section 20 by No. 78 of 2003 s. 35(1).]</w:t>
      </w:r>
    </w:p>
    <w:p>
      <w:pPr>
        <w:pStyle w:val="Heading5"/>
      </w:pPr>
      <w:bookmarkStart w:id="101" w:name="_Toc407628308"/>
      <w:bookmarkStart w:id="102" w:name="_Toc422302019"/>
      <w:r>
        <w:rPr>
          <w:rStyle w:val="CharSectno"/>
        </w:rPr>
        <w:t>21</w:t>
      </w:r>
      <w:r>
        <w:t>.</w:t>
      </w:r>
      <w:r>
        <w:tab/>
        <w:t>Organised crime functions</w:t>
      </w:r>
      <w:bookmarkEnd w:id="101"/>
      <w:bookmarkEnd w:id="102"/>
    </w:p>
    <w:p>
      <w:pPr>
        <w:pStyle w:val="Subsection"/>
      </w:pPr>
      <w:r>
        <w:tab/>
      </w:r>
      <w:r>
        <w:tab/>
        <w:t>The Commission has the functions set out in Part 4.</w:t>
      </w:r>
    </w:p>
    <w:p>
      <w:pPr>
        <w:pStyle w:val="Footnotesection"/>
      </w:pPr>
      <w:r>
        <w:tab/>
        <w:t>[Section 21 inserted by No. 78 of 2003 s. 15.]</w:t>
      </w:r>
    </w:p>
    <w:p>
      <w:pPr>
        <w:pStyle w:val="Heading5"/>
      </w:pPr>
      <w:bookmarkStart w:id="103" w:name="_Toc407628309"/>
      <w:bookmarkStart w:id="104" w:name="_Toc422302020"/>
      <w:r>
        <w:rPr>
          <w:rStyle w:val="CharSectno"/>
        </w:rPr>
        <w:t>21A</w:t>
      </w:r>
      <w:r>
        <w:t>.</w:t>
      </w:r>
      <w:r>
        <w:tab/>
        <w:t>Reviewable police action</w:t>
      </w:r>
      <w:bookmarkEnd w:id="103"/>
      <w:bookmarkEnd w:id="104"/>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Footnotesection"/>
      </w:pPr>
      <w:r>
        <w:tab/>
        <w:t>[Section 21A inserted by No. 78 of 2003 s. 16.]</w:t>
      </w:r>
    </w:p>
    <w:p>
      <w:pPr>
        <w:pStyle w:val="Heading2"/>
      </w:pPr>
      <w:bookmarkStart w:id="105" w:name="_Toc381872859"/>
      <w:bookmarkStart w:id="106" w:name="_Toc381873674"/>
      <w:bookmarkStart w:id="107" w:name="_Toc405978081"/>
      <w:bookmarkStart w:id="108" w:name="_Toc406054007"/>
      <w:bookmarkStart w:id="109" w:name="_Toc406078545"/>
      <w:bookmarkStart w:id="110" w:name="_Toc407628310"/>
      <w:bookmarkStart w:id="111" w:name="_Toc413243848"/>
      <w:bookmarkStart w:id="112" w:name="_Toc413321189"/>
      <w:bookmarkStart w:id="113" w:name="_Toc422302021"/>
      <w:r>
        <w:rPr>
          <w:rStyle w:val="CharPartNo"/>
        </w:rPr>
        <w:t>Part 3</w:t>
      </w:r>
      <w:r>
        <w:rPr>
          <w:b w:val="0"/>
        </w:rPr>
        <w:t> </w:t>
      </w:r>
      <w:r>
        <w:t>—</w:t>
      </w:r>
      <w:r>
        <w:rPr>
          <w:b w:val="0"/>
        </w:rPr>
        <w:t> </w:t>
      </w:r>
      <w:r>
        <w:rPr>
          <w:rStyle w:val="CharPartText"/>
        </w:rPr>
        <w:t>Misconduct</w:t>
      </w:r>
      <w:bookmarkEnd w:id="105"/>
      <w:bookmarkEnd w:id="106"/>
      <w:bookmarkEnd w:id="107"/>
      <w:bookmarkEnd w:id="108"/>
      <w:bookmarkEnd w:id="109"/>
      <w:bookmarkEnd w:id="110"/>
      <w:bookmarkEnd w:id="111"/>
      <w:bookmarkEnd w:id="112"/>
      <w:bookmarkEnd w:id="113"/>
    </w:p>
    <w:p>
      <w:pPr>
        <w:pStyle w:val="Footnoteheading"/>
        <w:tabs>
          <w:tab w:val="clear" w:pos="879"/>
          <w:tab w:val="left" w:pos="896"/>
        </w:tabs>
      </w:pPr>
      <w:r>
        <w:tab/>
        <w:t>[Heading inserted by No. 78 of 2003 s. 17.]</w:t>
      </w:r>
    </w:p>
    <w:p>
      <w:pPr>
        <w:pStyle w:val="Heading3"/>
      </w:pPr>
      <w:bookmarkStart w:id="114" w:name="_Toc381872860"/>
      <w:bookmarkStart w:id="115" w:name="_Toc381873675"/>
      <w:bookmarkStart w:id="116" w:name="_Toc405978082"/>
      <w:bookmarkStart w:id="117" w:name="_Toc406054008"/>
      <w:bookmarkStart w:id="118" w:name="_Toc406078546"/>
      <w:bookmarkStart w:id="119" w:name="_Toc407628311"/>
      <w:bookmarkStart w:id="120" w:name="_Toc413243849"/>
      <w:bookmarkStart w:id="121" w:name="_Toc413321190"/>
      <w:bookmarkStart w:id="122" w:name="_Toc422302022"/>
      <w:r>
        <w:rPr>
          <w:rStyle w:val="CharDivNo"/>
        </w:rPr>
        <w:t>Division 1</w:t>
      </w:r>
      <w:r>
        <w:t> — </w:t>
      </w:r>
      <w:r>
        <w:rPr>
          <w:rStyle w:val="CharDivText"/>
        </w:rPr>
        <w:t>Assessments and opinions</w:t>
      </w:r>
      <w:bookmarkEnd w:id="114"/>
      <w:bookmarkEnd w:id="115"/>
      <w:bookmarkEnd w:id="116"/>
      <w:bookmarkEnd w:id="117"/>
      <w:bookmarkEnd w:id="118"/>
      <w:bookmarkEnd w:id="119"/>
      <w:bookmarkEnd w:id="120"/>
      <w:bookmarkEnd w:id="121"/>
      <w:bookmarkEnd w:id="122"/>
    </w:p>
    <w:p>
      <w:pPr>
        <w:pStyle w:val="Footnoteheading"/>
        <w:tabs>
          <w:tab w:val="clear" w:pos="879"/>
          <w:tab w:val="left" w:pos="896"/>
        </w:tabs>
      </w:pPr>
      <w:r>
        <w:tab/>
        <w:t>[Heading inserted by No. 78 of 2003 s. 17.]</w:t>
      </w:r>
    </w:p>
    <w:p>
      <w:pPr>
        <w:pStyle w:val="Heading5"/>
      </w:pPr>
      <w:bookmarkStart w:id="123" w:name="_Toc407628312"/>
      <w:bookmarkStart w:id="124" w:name="_Toc422302023"/>
      <w:r>
        <w:rPr>
          <w:rStyle w:val="CharSectno"/>
        </w:rPr>
        <w:t>22</w:t>
      </w:r>
      <w:r>
        <w:t>.</w:t>
      </w:r>
      <w:r>
        <w:tab/>
        <w:t>Assessments and opinions as to occurrence of misconduct</w:t>
      </w:r>
      <w:bookmarkEnd w:id="123"/>
      <w:bookmarkEnd w:id="124"/>
    </w:p>
    <w:p>
      <w:pPr>
        <w:pStyle w:val="Subsection"/>
      </w:pPr>
      <w:r>
        <w:tab/>
        <w:t>(1)</w:t>
      </w:r>
      <w:r>
        <w:tab/>
        <w:t xml:space="preserve">Regardless of whether or not there has been an allegation of misconduct, the Commission may make assessments and form opinions as to whether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The Commission may advise an independent agency or appropriate authority of an assessment or opinion.</w:t>
      </w:r>
    </w:p>
    <w:p>
      <w:pPr>
        <w:pStyle w:val="Footnotesection"/>
      </w:pPr>
      <w:r>
        <w:tab/>
        <w:t>[Section 22 inserted by No. 78 of 2003 s. 17.]</w:t>
      </w:r>
    </w:p>
    <w:p>
      <w:pPr>
        <w:pStyle w:val="Heading5"/>
      </w:pPr>
      <w:bookmarkStart w:id="125" w:name="_Toc407628313"/>
      <w:bookmarkStart w:id="126" w:name="_Toc422302024"/>
      <w:r>
        <w:rPr>
          <w:rStyle w:val="CharSectno"/>
        </w:rPr>
        <w:t>23</w:t>
      </w:r>
      <w:r>
        <w:t>.</w:t>
      </w:r>
      <w:r>
        <w:tab/>
        <w:t>Commission must not publish opinion as to commission of offence</w:t>
      </w:r>
      <w:bookmarkEnd w:id="125"/>
      <w:bookmarkEnd w:id="126"/>
    </w:p>
    <w:p>
      <w:pPr>
        <w:pStyle w:val="Subsection"/>
      </w:pPr>
      <w:r>
        <w:tab/>
        <w:t>(1)</w:t>
      </w:r>
      <w:r>
        <w:tab/>
        <w:t>The Commission must not publish or report a finding or opinion that a particular person has committed, is committing or is about to commit a criminal offence or a disciplinary offence.</w:t>
      </w:r>
    </w:p>
    <w:p>
      <w:pPr>
        <w:pStyle w:val="Subsection"/>
      </w:pPr>
      <w:r>
        <w:tab/>
        <w:t>(2)</w:t>
      </w:r>
      <w:r>
        <w:tab/>
        <w:t>An opinion that misconduct has occurred, is occurring or is about to occur is not, and is not to be taken as, a finding or opinion that a particular person has committed, or is committing or is about to commit a criminal offence or disciplinary offence.</w:t>
      </w:r>
    </w:p>
    <w:p>
      <w:pPr>
        <w:pStyle w:val="Footnotesection"/>
      </w:pPr>
      <w:r>
        <w:tab/>
        <w:t>[Section 23 inserted by No. 78 of 2003 s. 17.]</w:t>
      </w:r>
    </w:p>
    <w:p>
      <w:pPr>
        <w:pStyle w:val="Heading3"/>
      </w:pPr>
      <w:bookmarkStart w:id="127" w:name="_Toc381872863"/>
      <w:bookmarkStart w:id="128" w:name="_Toc381873678"/>
      <w:bookmarkStart w:id="129" w:name="_Toc405978085"/>
      <w:bookmarkStart w:id="130" w:name="_Toc406054011"/>
      <w:bookmarkStart w:id="131" w:name="_Toc406078549"/>
      <w:bookmarkStart w:id="132" w:name="_Toc407628314"/>
      <w:bookmarkStart w:id="133" w:name="_Toc413243852"/>
      <w:bookmarkStart w:id="134" w:name="_Toc413321193"/>
      <w:bookmarkStart w:id="135" w:name="_Toc422302025"/>
      <w:r>
        <w:rPr>
          <w:rStyle w:val="CharDivNo"/>
        </w:rPr>
        <w:t>Division 2</w:t>
      </w:r>
      <w:r>
        <w:t> — </w:t>
      </w:r>
      <w:r>
        <w:rPr>
          <w:rStyle w:val="CharDivText"/>
        </w:rPr>
        <w:t>Allegations</w:t>
      </w:r>
      <w:bookmarkEnd w:id="127"/>
      <w:bookmarkEnd w:id="128"/>
      <w:bookmarkEnd w:id="129"/>
      <w:bookmarkEnd w:id="130"/>
      <w:bookmarkEnd w:id="131"/>
      <w:bookmarkEnd w:id="132"/>
      <w:bookmarkEnd w:id="133"/>
      <w:bookmarkEnd w:id="134"/>
      <w:bookmarkEnd w:id="135"/>
    </w:p>
    <w:p>
      <w:pPr>
        <w:pStyle w:val="Footnoteheading"/>
        <w:tabs>
          <w:tab w:val="clear" w:pos="879"/>
          <w:tab w:val="left" w:pos="896"/>
        </w:tabs>
      </w:pPr>
      <w:r>
        <w:tab/>
        <w:t>[Heading inserted by No. 78 of 2003 s. 17.]</w:t>
      </w:r>
    </w:p>
    <w:p>
      <w:pPr>
        <w:pStyle w:val="Heading5"/>
      </w:pPr>
      <w:bookmarkStart w:id="136" w:name="_Toc407628315"/>
      <w:bookmarkStart w:id="137" w:name="_Toc422302026"/>
      <w:r>
        <w:rPr>
          <w:rStyle w:val="CharSectno"/>
        </w:rPr>
        <w:t>24</w:t>
      </w:r>
      <w:r>
        <w:t>.</w:t>
      </w:r>
      <w:r>
        <w:tab/>
        <w:t>Allegations of misconduct</w:t>
      </w:r>
      <w:bookmarkEnd w:id="136"/>
      <w:bookmarkEnd w:id="137"/>
    </w:p>
    <w:p>
      <w:pPr>
        <w:pStyle w:val="Subsection"/>
      </w:pPr>
      <w:r>
        <w:tab/>
        <w:t>(1)</w:t>
      </w:r>
      <w:r>
        <w:tab/>
        <w:t xml:space="preserve">Subject to section 27 the Commission — </w:t>
      </w:r>
    </w:p>
    <w:p>
      <w:pPr>
        <w:pStyle w:val="Indenta"/>
      </w:pPr>
      <w:r>
        <w:tab/>
        <w:t>(a)</w:t>
      </w:r>
      <w:r>
        <w:tab/>
        <w:t xml:space="preserve">is to receive allegations of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by No. 78 of 2003 s. 17.]</w:t>
      </w:r>
    </w:p>
    <w:p>
      <w:pPr>
        <w:pStyle w:val="Heading5"/>
      </w:pPr>
      <w:bookmarkStart w:id="138" w:name="_Toc407628316"/>
      <w:bookmarkStart w:id="139" w:name="_Toc422302027"/>
      <w:r>
        <w:rPr>
          <w:rStyle w:val="CharSectno"/>
        </w:rPr>
        <w:t>25</w:t>
      </w:r>
      <w:r>
        <w:t>.</w:t>
      </w:r>
      <w:r>
        <w:tab/>
        <w:t>Any person may report misconduct</w:t>
      </w:r>
      <w:bookmarkEnd w:id="138"/>
      <w:bookmarkEnd w:id="139"/>
    </w:p>
    <w:p>
      <w:pPr>
        <w:pStyle w:val="Subsection"/>
      </w:pPr>
      <w:r>
        <w:tab/>
        <w:t>(1)</w:t>
      </w:r>
      <w:r>
        <w:tab/>
        <w:t xml:space="preserve">A public officer or any other person may report to the Commission any matter which that person suspects on reasonable grounds concerns or may concern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report may be made to the Commission orally or in writing.</w:t>
      </w:r>
    </w:p>
    <w:p>
      <w:pPr>
        <w:pStyle w:val="Subsection"/>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by No. 78 of 2003 s. 17.]</w:t>
      </w:r>
    </w:p>
    <w:p>
      <w:pPr>
        <w:pStyle w:val="Heading5"/>
      </w:pPr>
      <w:bookmarkStart w:id="140" w:name="_Toc407628317"/>
      <w:bookmarkStart w:id="141" w:name="_Toc422302028"/>
      <w:r>
        <w:rPr>
          <w:rStyle w:val="CharSectno"/>
        </w:rPr>
        <w:t>26</w:t>
      </w:r>
      <w:r>
        <w:t>.</w:t>
      </w:r>
      <w:r>
        <w:tab/>
        <w:t>Commission may make proposition about misconduct</w:t>
      </w:r>
      <w:bookmarkEnd w:id="140"/>
      <w:bookmarkEnd w:id="141"/>
    </w:p>
    <w:p>
      <w:pPr>
        <w:pStyle w:val="Subsection"/>
      </w:pPr>
      <w:r>
        <w:tab/>
        <w:t>(1)</w:t>
      </w:r>
      <w:r>
        <w:tab/>
        <w:t xml:space="preserve">The Commission may make a proposition that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by No. 78 of 2003 s. 17.]</w:t>
      </w:r>
    </w:p>
    <w:p>
      <w:pPr>
        <w:pStyle w:val="Heading5"/>
      </w:pPr>
      <w:bookmarkStart w:id="142" w:name="_Toc407628318"/>
      <w:bookmarkStart w:id="143" w:name="_Toc422302029"/>
      <w:r>
        <w:rPr>
          <w:rStyle w:val="CharSectno"/>
        </w:rPr>
        <w:t>27</w:t>
      </w:r>
      <w:r>
        <w:t>.</w:t>
      </w:r>
      <w:r>
        <w:tab/>
        <w:t>Allegation about Commissioner, Parliamentary Inspector or judicial officer not to be received or initiated</w:t>
      </w:r>
      <w:bookmarkEnd w:id="142"/>
      <w:bookmarkEnd w:id="143"/>
    </w:p>
    <w:p>
      <w:pPr>
        <w:pStyle w:val="Subsection"/>
      </w:pPr>
      <w:r>
        <w:tab/>
        <w:t>(1)</w:t>
      </w:r>
      <w:r>
        <w:tab/>
        <w:t>An allegation about the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by No. 78 of 2003 s. 17.]</w:t>
      </w:r>
    </w:p>
    <w:p>
      <w:pPr>
        <w:pStyle w:val="Heading5"/>
      </w:pPr>
      <w:bookmarkStart w:id="144" w:name="_Toc407628319"/>
      <w:bookmarkStart w:id="145" w:name="_Toc422302030"/>
      <w:r>
        <w:rPr>
          <w:rStyle w:val="CharSectno"/>
        </w:rPr>
        <w:t>27A</w:t>
      </w:r>
      <w:r>
        <w:t>.</w:t>
      </w:r>
      <w:r>
        <w:tab/>
        <w:t>Allegations involving parliamentary privilege</w:t>
      </w:r>
      <w:bookmarkEnd w:id="144"/>
      <w:bookmarkEnd w:id="145"/>
    </w:p>
    <w:p>
      <w:pPr>
        <w:pStyle w:val="Subsection"/>
      </w:pPr>
      <w:r>
        <w:tab/>
        <w:t>(1)</w:t>
      </w:r>
      <w:r>
        <w:tab/>
        <w:t>Despite any contrary provision in this Act, an allegation of misconduct, not being serious misconduct —</w:t>
      </w:r>
    </w:p>
    <w:p>
      <w:pPr>
        <w:pStyle w:val="Indenta"/>
      </w:pPr>
      <w:r>
        <w:tab/>
        <w:t>(a)</w:t>
      </w:r>
      <w:r>
        <w:tab/>
        <w:t>made against a member of the Legislative Council or the Legislative Assembly in the performance by him or her of the functions of that office; or</w:t>
      </w:r>
    </w:p>
    <w:p>
      <w:pPr>
        <w:pStyle w:val="Indenta"/>
        <w:rPr>
          <w:i/>
          <w:highlight w:val="yellow"/>
        </w:rPr>
      </w:pPr>
      <w:r>
        <w:tab/>
        <w:t>(b)</w:t>
      </w:r>
      <w:r>
        <w:tab/>
        <w:t xml:space="preserve">made against an officer liable to be removed from office under section 35 of the </w:t>
      </w:r>
      <w:r>
        <w:rPr>
          <w:i/>
        </w:rPr>
        <w:t>Constitution Act 1889</w:t>
      </w:r>
      <w:r>
        <w:t>,</w:t>
      </w:r>
    </w:p>
    <w:p>
      <w:pPr>
        <w:pStyle w:val="Subsection"/>
      </w:pPr>
      <w:r>
        <w:tab/>
      </w:r>
      <w:r>
        <w:tab/>
        <w:t>is to be referred by the Commission to the presiding officer.</w:t>
      </w:r>
    </w:p>
    <w:p>
      <w:pPr>
        <w:pStyle w:val="Subsection"/>
      </w:pPr>
      <w:r>
        <w:tab/>
        <w:t>(2)</w:t>
      </w:r>
      <w:r>
        <w:tab/>
        <w:t>A referral under subsection (1) is to name the member or officer and state the grounds on which the allegation is made and the nature of the misconduct by reference to a provision of section 4. The Commission is not required to disclose how it came to make the allegation.</w:t>
      </w:r>
    </w:p>
    <w:p>
      <w:pPr>
        <w:pStyle w:val="Subsection"/>
      </w:pPr>
      <w:r>
        <w:tab/>
        <w:t>(3)</w:t>
      </w:r>
      <w:r>
        <w:tab/>
        <w:t>Section 22(3) and Division 4 are excluded in their operation with respect to an allegation made under subsection (1).</w:t>
      </w:r>
    </w:p>
    <w:p>
      <w:pPr>
        <w:pStyle w:val="Subsection"/>
      </w:pPr>
      <w:r>
        <w:tab/>
        <w:t>(4)</w:t>
      </w:r>
      <w:r>
        <w:tab/>
        <w:t>In this section and section 27B —</w:t>
      </w:r>
    </w:p>
    <w:p>
      <w:pPr>
        <w:pStyle w:val="Defstart"/>
      </w:pPr>
      <w:r>
        <w:rPr>
          <w:b/>
        </w:rPr>
        <w:tab/>
      </w:r>
      <w:r>
        <w:rPr>
          <w:rStyle w:val="CharDefText"/>
        </w:rPr>
        <w:t>presiding officer</w:t>
      </w:r>
      <w:r>
        <w:t xml:space="preserve"> —</w:t>
      </w:r>
    </w:p>
    <w:p>
      <w:pPr>
        <w:pStyle w:val="Defpara"/>
      </w:pPr>
      <w:r>
        <w:tab/>
        <w:t>(a)</w:t>
      </w:r>
      <w:r>
        <w:tab/>
        <w:t>is the President where the allegation relates to a member or officer of the Legislative Council, or the Speaker in relation to a member or officer of the Legislative Assembly;</w:t>
      </w:r>
    </w:p>
    <w:p>
      <w:pPr>
        <w:pStyle w:val="Defpara"/>
      </w:pPr>
      <w:r>
        <w:tab/>
        <w:t>(b)</w:t>
      </w:r>
      <w:r>
        <w:tab/>
        <w:t>if —</w:t>
      </w:r>
    </w:p>
    <w:p>
      <w:pPr>
        <w:pStyle w:val="Defsubpara"/>
      </w:pPr>
      <w:r>
        <w:tab/>
        <w:t>(i)</w:t>
      </w:r>
      <w:r>
        <w:tab/>
        <w:t>the office of President or Speaker is vacant, or becomes vacant in the course of an inquiry under section 27B; or</w:t>
      </w:r>
    </w:p>
    <w:p>
      <w:pPr>
        <w:pStyle w:val="Defsubpara"/>
      </w:pPr>
      <w:r>
        <w:tab/>
        <w:t>(ii)</w:t>
      </w:r>
      <w:r>
        <w:tab/>
        <w:t>the member subject to an allegation under subsection (1)(a) is the President or the Speaker,</w:t>
      </w:r>
    </w:p>
    <w:p>
      <w:pPr>
        <w:pStyle w:val="Defpara"/>
      </w:pPr>
      <w:r>
        <w:tab/>
      </w:r>
      <w:r>
        <w:tab/>
        <w:t>is the member appointed by each House to perform the functions and exercise the powers of the President or the Speaker during his or her temporary absence or when either office is vacant.</w:t>
      </w:r>
    </w:p>
    <w:p>
      <w:pPr>
        <w:pStyle w:val="Subsection"/>
      </w:pPr>
      <w:r>
        <w:tab/>
        <w:t>(5)</w:t>
      </w:r>
      <w:r>
        <w:tab/>
        <w:t>Nothing in this section prevents a member or officer who is subject to a referral under subsection (1) from being charged with an offence whether or not the charge relates to the matters that form the basis of the allegation so referred.</w:t>
      </w:r>
    </w:p>
    <w:p>
      <w:pPr>
        <w:pStyle w:val="Footnotesection"/>
      </w:pPr>
      <w:r>
        <w:tab/>
        <w:t>[Section 27A inserted by No. 78 of 2003 s. 17; amended by No. 8 of 2009 s. 41(2).]</w:t>
      </w:r>
    </w:p>
    <w:p>
      <w:pPr>
        <w:pStyle w:val="Heading5"/>
      </w:pPr>
      <w:bookmarkStart w:id="146" w:name="_Toc407628320"/>
      <w:bookmarkStart w:id="147" w:name="_Toc422302031"/>
      <w:r>
        <w:rPr>
          <w:rStyle w:val="CharSectno"/>
        </w:rPr>
        <w:t>27B</w:t>
      </w:r>
      <w:r>
        <w:t>.</w:t>
      </w:r>
      <w:r>
        <w:tab/>
        <w:t>Dealing with referrals under s. 27A(1)</w:t>
      </w:r>
      <w:bookmarkEnd w:id="146"/>
      <w:bookmarkEnd w:id="147"/>
    </w:p>
    <w:p>
      <w:pPr>
        <w:pStyle w:val="Subsection"/>
        <w:keepNext/>
      </w:pPr>
      <w:r>
        <w:tab/>
        <w:t>(1)</w:t>
      </w:r>
      <w:r>
        <w:tab/>
        <w:t>The presiding officer, on receipt of a referral made under section 27A(1), must —</w:t>
      </w:r>
    </w:p>
    <w:p>
      <w:pPr>
        <w:pStyle w:val="Indenta"/>
      </w:pPr>
      <w:r>
        <w:tab/>
        <w:t>(a)</w:t>
      </w:r>
      <w:r>
        <w:tab/>
        <w:t xml:space="preserve">where the allegation is made under section 27A(1)(a), require a committee of the House whose functions include considering matters relating to the practice, procedure and privileges of the House (the </w:t>
      </w:r>
      <w:r>
        <w:rPr>
          <w:rStyle w:val="CharDefText"/>
        </w:rPr>
        <w:t>Privileges Committee</w:t>
      </w:r>
      <w:r>
        <w:t>), to inquire into the matter;</w:t>
      </w:r>
    </w:p>
    <w:p>
      <w:pPr>
        <w:pStyle w:val="Indenta"/>
      </w:pPr>
      <w:r>
        <w:tab/>
        <w:t>(b)</w:t>
      </w:r>
      <w:r>
        <w:tab/>
        <w:t>where the allegation is made under section 27A(1)(b), require the Commission to conduct an inquiry.</w:t>
      </w:r>
    </w:p>
    <w:p>
      <w:pPr>
        <w:pStyle w:val="Subsection"/>
      </w:pPr>
      <w:r>
        <w:tab/>
        <w:t>(2)</w:t>
      </w:r>
      <w:r>
        <w:tab/>
        <w:t>If the Privileges Committee resolves to carry out its own inquiry, it must do so by directing the Commission to act on its behalf.</w:t>
      </w:r>
    </w:p>
    <w:p>
      <w:pPr>
        <w:pStyle w:val="Subsection"/>
      </w:pPr>
      <w:r>
        <w:tab/>
        <w:t>(3)</w:t>
      </w:r>
      <w:r>
        <w:tab/>
        <w:t>For the purposes of an inquiry under this section, the Commission —</w:t>
      </w:r>
    </w:p>
    <w:p>
      <w:pPr>
        <w:pStyle w:val="Indenta"/>
      </w:pPr>
      <w:r>
        <w:tab/>
        <w:t>(a)</w:t>
      </w:r>
      <w:r>
        <w:tab/>
        <w:t xml:space="preserve">has the powers, privileges, rights and immunities of a committee under the </w:t>
      </w:r>
      <w:r>
        <w:rPr>
          <w:i/>
        </w:rPr>
        <w:t>Parliamentary Privileges Act 1891</w:t>
      </w:r>
      <w:r>
        <w:t>;</w:t>
      </w:r>
    </w:p>
    <w:p>
      <w:pPr>
        <w:pStyle w:val="Indenta"/>
      </w:pPr>
      <w:r>
        <w:tab/>
        <w:t>(b)</w:t>
      </w:r>
      <w:r>
        <w:tab/>
        <w:t xml:space="preserve">is to refer a matter, including an objection made under section 7 of the </w:t>
      </w:r>
      <w:r>
        <w:rPr>
          <w:i/>
        </w:rPr>
        <w:t>Parliamentary Privileges Act 1891</w:t>
      </w:r>
      <w:r>
        <w:t>, to the presiding officer for decision in a case where a committee is required to obtain a decision of the House;</w:t>
      </w:r>
    </w:p>
    <w:p>
      <w:pPr>
        <w:pStyle w:val="Indenta"/>
      </w:pPr>
      <w:r>
        <w:tab/>
        <w:t>(c)</w:t>
      </w:r>
      <w:r>
        <w:tab/>
        <w:t>may order without summons a member or officer of either House to appear and give evidence or produce documents;</w:t>
      </w:r>
    </w:p>
    <w:p>
      <w:pPr>
        <w:pStyle w:val="Indenta"/>
      </w:pPr>
      <w:r>
        <w:tab/>
        <w:t>(d)</w:t>
      </w:r>
      <w:r>
        <w:tab/>
        <w:t>may be assisted by parliamentary and Commission officers;</w:t>
      </w:r>
    </w:p>
    <w:p>
      <w:pPr>
        <w:pStyle w:val="Indenta"/>
      </w:pPr>
      <w:r>
        <w:tab/>
        <w:t>(e)</w:t>
      </w:r>
      <w:r>
        <w:tab/>
        <w:t>cannot delegate the performance of a function that cannot be delegated by a committee of a House;</w:t>
      </w:r>
    </w:p>
    <w:p>
      <w:pPr>
        <w:pStyle w:val="Indenta"/>
      </w:pPr>
      <w:r>
        <w:tab/>
        <w:t>(f)</w:t>
      </w:r>
      <w:r>
        <w:tab/>
        <w:t>is to report to the presiding officer and the Privileges Committee when so requested or at predetermined intervals or both.</w:t>
      </w:r>
    </w:p>
    <w:p>
      <w:pPr>
        <w:pStyle w:val="Subsection"/>
      </w:pPr>
      <w:r>
        <w:tab/>
        <w:t>(4)</w:t>
      </w:r>
      <w:r>
        <w:tab/>
        <w:t xml:space="preserve">The Commission is to act in conformity with the </w:t>
      </w:r>
      <w:r>
        <w:rPr>
          <w:i/>
        </w:rPr>
        <w:t>Parliamentary Privileges Act 1891</w:t>
      </w:r>
      <w:r>
        <w:t>.</w:t>
      </w:r>
    </w:p>
    <w:p>
      <w:pPr>
        <w:pStyle w:val="Subsection"/>
      </w:pPr>
      <w:r>
        <w:tab/>
        <w:t>(5)</w:t>
      </w:r>
      <w:r>
        <w:tab/>
        <w:t>An inquiry cannot be discontinued by direction of the presiding officer or the Privileges Committee unless the Commission consents.</w:t>
      </w:r>
    </w:p>
    <w:p>
      <w:pPr>
        <w:pStyle w:val="Subsection"/>
      </w:pPr>
      <w:r>
        <w:tab/>
        <w:t>(6)</w:t>
      </w:r>
      <w:r>
        <w:tab/>
        <w:t xml:space="preserve">A recommendation under section 43(1) is to be contained in a report (whether interim or final) to the presiding officer and the Privileges Committee and, either in substitution for, or in addition to the recommendations that may be made under that subsection, may recommend that a member be expelled or an officer be removed under section 35 of the </w:t>
      </w:r>
      <w:r>
        <w:rPr>
          <w:i/>
        </w:rPr>
        <w:t>Constitution Act 1889</w:t>
      </w:r>
      <w:r>
        <w:t>.</w:t>
      </w:r>
    </w:p>
    <w:p>
      <w:pPr>
        <w:pStyle w:val="Subsection"/>
      </w:pPr>
      <w:r>
        <w:tab/>
        <w:t>(7)</w:t>
      </w:r>
      <w:r>
        <w:tab/>
        <w:t>The presiding officer must present to the House a report provided under subsection (6), in the form in which it was received, on the sitting day next following its receipt.</w:t>
      </w:r>
    </w:p>
    <w:p>
      <w:pPr>
        <w:pStyle w:val="Subsection"/>
      </w:pPr>
      <w:r>
        <w:tab/>
        <w:t>(8)</w:t>
      </w:r>
      <w:r>
        <w:tab/>
        <w:t>The Commission must not make a recommendation to an independent agency under section 43(4) unless expressly authorised by resolution of the House.</w:t>
      </w:r>
    </w:p>
    <w:p>
      <w:pPr>
        <w:pStyle w:val="Footnotesection"/>
      </w:pPr>
      <w:r>
        <w:tab/>
        <w:t>[Section 27B inserted by No. 78 of 2003 s. 17; amended by No. 8 of 2009 s. 41(3).]</w:t>
      </w:r>
    </w:p>
    <w:p>
      <w:pPr>
        <w:pStyle w:val="Heading3"/>
      </w:pPr>
      <w:bookmarkStart w:id="148" w:name="_Toc381872870"/>
      <w:bookmarkStart w:id="149" w:name="_Toc381873685"/>
      <w:bookmarkStart w:id="150" w:name="_Toc405978092"/>
      <w:bookmarkStart w:id="151" w:name="_Toc406054018"/>
      <w:bookmarkStart w:id="152" w:name="_Toc406078556"/>
      <w:bookmarkStart w:id="153" w:name="_Toc407628321"/>
      <w:bookmarkStart w:id="154" w:name="_Toc413243859"/>
      <w:bookmarkStart w:id="155" w:name="_Toc413321200"/>
      <w:bookmarkStart w:id="156" w:name="_Toc422302032"/>
      <w:r>
        <w:rPr>
          <w:rStyle w:val="CharDivNo"/>
        </w:rPr>
        <w:t>Division 3</w:t>
      </w:r>
      <w:r>
        <w:t> — </w:t>
      </w:r>
      <w:r>
        <w:rPr>
          <w:rStyle w:val="CharDivText"/>
        </w:rPr>
        <w:t>Duty to notify</w:t>
      </w:r>
      <w:bookmarkEnd w:id="148"/>
      <w:bookmarkEnd w:id="149"/>
      <w:bookmarkEnd w:id="150"/>
      <w:bookmarkEnd w:id="151"/>
      <w:bookmarkEnd w:id="152"/>
      <w:bookmarkEnd w:id="153"/>
      <w:bookmarkEnd w:id="154"/>
      <w:bookmarkEnd w:id="155"/>
      <w:bookmarkEnd w:id="156"/>
    </w:p>
    <w:p>
      <w:pPr>
        <w:pStyle w:val="Footnoteheading"/>
        <w:tabs>
          <w:tab w:val="clear" w:pos="879"/>
          <w:tab w:val="left" w:pos="896"/>
        </w:tabs>
      </w:pPr>
      <w:r>
        <w:tab/>
        <w:t>[Heading inserted by No. 78 of 2003 s. 17.]</w:t>
      </w:r>
    </w:p>
    <w:p>
      <w:pPr>
        <w:pStyle w:val="Heading5"/>
      </w:pPr>
      <w:bookmarkStart w:id="157" w:name="_Toc407628322"/>
      <w:bookmarkStart w:id="158" w:name="_Toc422302033"/>
      <w:r>
        <w:rPr>
          <w:rStyle w:val="CharSectno"/>
        </w:rPr>
        <w:t>28</w:t>
      </w:r>
      <w:r>
        <w:t>.</w:t>
      </w:r>
      <w:r>
        <w:tab/>
        <w:t>Certain officers obliged to notify misconduct</w:t>
      </w:r>
      <w:bookmarkEnd w:id="157"/>
      <w:bookmarkEnd w:id="158"/>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(5) and (6), a person to whom this section applies must notify the Commission in writing of any matter — </w:t>
      </w:r>
    </w:p>
    <w:p>
      <w:pPr>
        <w:pStyle w:val="Indenta"/>
      </w:pPr>
      <w:r>
        <w:tab/>
        <w:t>(a)</w:t>
      </w:r>
      <w:r>
        <w:rPr>
          <w:spacing w:val="-4"/>
        </w:rPr>
        <w:tab/>
        <w:t>which that person suspects on reasonable grounds concerns or may concern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by No. 78 of 2003 s. 17.]</w:t>
      </w:r>
    </w:p>
    <w:p>
      <w:pPr>
        <w:pStyle w:val="Heading5"/>
      </w:pPr>
      <w:bookmarkStart w:id="159" w:name="_Toc407628323"/>
      <w:bookmarkStart w:id="160" w:name="_Toc422302034"/>
      <w:r>
        <w:rPr>
          <w:rStyle w:val="CharSectno"/>
        </w:rPr>
        <w:t>29</w:t>
      </w:r>
      <w:r>
        <w:t>.</w:t>
      </w:r>
      <w:r>
        <w:tab/>
        <w:t>Duty to notify under s. 28 is paramount</w:t>
      </w:r>
      <w:bookmarkEnd w:id="159"/>
      <w:bookmarkEnd w:id="160"/>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by No. 78 of 2003 s. 17.]</w:t>
      </w:r>
    </w:p>
    <w:p>
      <w:pPr>
        <w:pStyle w:val="Heading5"/>
      </w:pPr>
      <w:bookmarkStart w:id="161" w:name="_Toc407628324"/>
      <w:bookmarkStart w:id="162" w:name="_Toc422302035"/>
      <w:r>
        <w:rPr>
          <w:rStyle w:val="CharSectno"/>
        </w:rPr>
        <w:t>30</w:t>
      </w:r>
      <w:r>
        <w:t>.</w:t>
      </w:r>
      <w:r>
        <w:tab/>
        <w:t>Commission may issue guidelines about notifications</w:t>
      </w:r>
      <w:bookmarkEnd w:id="161"/>
      <w:bookmarkEnd w:id="162"/>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by No. 78 of 2003 s. 17.]</w:t>
      </w:r>
    </w:p>
    <w:p>
      <w:pPr>
        <w:pStyle w:val="Heading5"/>
      </w:pPr>
      <w:bookmarkStart w:id="163" w:name="_Toc407628325"/>
      <w:bookmarkStart w:id="164" w:name="_Toc422302036"/>
      <w:r>
        <w:rPr>
          <w:rStyle w:val="CharSectno"/>
        </w:rPr>
        <w:t>31</w:t>
      </w:r>
      <w:r>
        <w:t>.</w:t>
      </w:r>
      <w:r>
        <w:tab/>
        <w:t>Commission may report breach of duty to report or notify</w:t>
      </w:r>
      <w:bookmarkEnd w:id="163"/>
      <w:bookmarkEnd w:id="164"/>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(Mentally Impaired Accused)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by No. 78 of 2003 s. 17; amended by No. 4 of 2015 s. 84(3).]</w:t>
      </w:r>
    </w:p>
    <w:p>
      <w:pPr>
        <w:pStyle w:val="Heading3"/>
      </w:pPr>
      <w:bookmarkStart w:id="165" w:name="_Toc381872875"/>
      <w:bookmarkStart w:id="166" w:name="_Toc381873690"/>
      <w:bookmarkStart w:id="167" w:name="_Toc405978097"/>
      <w:bookmarkStart w:id="168" w:name="_Toc406054023"/>
      <w:bookmarkStart w:id="169" w:name="_Toc406078561"/>
      <w:bookmarkStart w:id="170" w:name="_Toc407628326"/>
      <w:bookmarkStart w:id="171" w:name="_Toc413243864"/>
      <w:bookmarkStart w:id="172" w:name="_Toc413321205"/>
      <w:bookmarkStart w:id="173" w:name="_Toc422302037"/>
      <w:r>
        <w:rPr>
          <w:rStyle w:val="CharDivNo"/>
        </w:rPr>
        <w:t>Division 4</w:t>
      </w:r>
      <w:r>
        <w:t> — </w:t>
      </w:r>
      <w:r>
        <w:rPr>
          <w:rStyle w:val="CharDivText"/>
        </w:rPr>
        <w:t>Assessments, opinions and investigation</w:t>
      </w:r>
      <w:bookmarkEnd w:id="165"/>
      <w:bookmarkEnd w:id="166"/>
      <w:bookmarkEnd w:id="167"/>
      <w:bookmarkEnd w:id="168"/>
      <w:bookmarkEnd w:id="169"/>
      <w:bookmarkEnd w:id="170"/>
      <w:bookmarkEnd w:id="171"/>
      <w:bookmarkEnd w:id="172"/>
      <w:bookmarkEnd w:id="173"/>
    </w:p>
    <w:p>
      <w:pPr>
        <w:pStyle w:val="Footnoteheading"/>
        <w:tabs>
          <w:tab w:val="clear" w:pos="879"/>
          <w:tab w:val="left" w:pos="896"/>
        </w:tabs>
      </w:pPr>
      <w:r>
        <w:tab/>
        <w:t>[Heading inserted by No. 78 of 2003 s. 17.]</w:t>
      </w:r>
    </w:p>
    <w:p>
      <w:pPr>
        <w:pStyle w:val="Heading5"/>
      </w:pPr>
      <w:bookmarkStart w:id="174" w:name="_Toc407628327"/>
      <w:bookmarkStart w:id="175" w:name="_Toc422302038"/>
      <w:r>
        <w:rPr>
          <w:rStyle w:val="CharSectno"/>
        </w:rPr>
        <w:t>32</w:t>
      </w:r>
      <w:r>
        <w:t>.</w:t>
      </w:r>
      <w:r>
        <w:tab/>
        <w:t>Dealing with allegations</w:t>
      </w:r>
      <w:bookmarkEnd w:id="174"/>
      <w:bookmarkEnd w:id="175"/>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keepNext/>
      </w:pPr>
      <w:r>
        <w:tab/>
        <w:t>(2)</w:t>
      </w:r>
      <w:r>
        <w:tab/>
        <w:t>For the purposes of subsection (1) the Commission may conduct a preliminary investigation into the allegation.</w:t>
      </w:r>
    </w:p>
    <w:p>
      <w:pPr>
        <w:pStyle w:val="Subsection"/>
      </w:pPr>
      <w:r>
        <w:tab/>
        <w:t>(3)</w:t>
      </w:r>
      <w:r>
        <w:tab/>
        <w:t>The Commission may consult any person or body about an allegation or other matter.</w:t>
      </w:r>
    </w:p>
    <w:p>
      <w:pPr>
        <w:pStyle w:val="Footnotesection"/>
      </w:pPr>
      <w:r>
        <w:tab/>
        <w:t>[Section 32 inserted by No. 78 of 2003 s. 17.]</w:t>
      </w:r>
    </w:p>
    <w:p>
      <w:pPr>
        <w:pStyle w:val="Heading5"/>
      </w:pPr>
      <w:bookmarkStart w:id="176" w:name="_Toc407628328"/>
      <w:bookmarkStart w:id="177" w:name="_Toc422302039"/>
      <w:r>
        <w:rPr>
          <w:rStyle w:val="CharSectno"/>
        </w:rPr>
        <w:t>33</w:t>
      </w:r>
      <w:r>
        <w:t>.</w:t>
      </w:r>
      <w:r>
        <w:tab/>
        <w:t>Decision on further action on allegation</w:t>
      </w:r>
      <w:bookmarkEnd w:id="176"/>
      <w:bookmarkEnd w:id="177"/>
    </w:p>
    <w:p>
      <w:pPr>
        <w:pStyle w:val="Subsection"/>
        <w:keepNext/>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pPr>
      <w:r>
        <w:tab/>
        <w:t>(2)</w:t>
      </w:r>
      <w:r>
        <w:tab/>
        <w:t>The Commission may deal with a matter reported to it under section 30 as if it were a matter notified under section 28(2).</w:t>
      </w:r>
    </w:p>
    <w:p>
      <w:pPr>
        <w:pStyle w:val="Footnotesection"/>
      </w:pPr>
      <w:r>
        <w:tab/>
        <w:t>[Section 33 inserted by No. 78 of 2003 s. 17.]</w:t>
      </w:r>
    </w:p>
    <w:p>
      <w:pPr>
        <w:pStyle w:val="Heading5"/>
      </w:pPr>
      <w:bookmarkStart w:id="178" w:name="_Toc407628329"/>
      <w:bookmarkStart w:id="179" w:name="_Toc422302040"/>
      <w:r>
        <w:rPr>
          <w:rStyle w:val="CharSectno"/>
        </w:rPr>
        <w:t>34</w:t>
      </w:r>
      <w:r>
        <w:t>.</w:t>
      </w:r>
      <w:r>
        <w:tab/>
        <w:t>Matters to be considered in deciding who should take action</w:t>
      </w:r>
      <w:bookmarkEnd w:id="178"/>
      <w:bookmarkEnd w:id="179"/>
    </w:p>
    <w:p>
      <w:pPr>
        <w:pStyle w:val="Subsection"/>
      </w:pPr>
      <w:r>
        <w:tab/>
        <w:t>(1)</w:t>
      </w:r>
      <w:r>
        <w:tab/>
        <w:t>Without limiting the matters to which the Commission may have regard, when the Commission decides whether or not to make a decision under section 33(1)(a) or (b) the Commission is to have regard to whether, in the opinion of the Commission, serious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When the Commission is deciding whether or not to refer an allegation to an independent agency or appropriate authority, the matters to which the Commission is to have regard include the following — </w:t>
      </w:r>
    </w:p>
    <w:p>
      <w:pPr>
        <w:pStyle w:val="Indenta"/>
      </w:pPr>
      <w:r>
        <w:tab/>
        <w:t>(a)</w:t>
      </w:r>
      <w:r>
        <w:tab/>
        <w:t>the seniority of any public officer to whom the allegation relates;</w:t>
      </w:r>
    </w:p>
    <w:p>
      <w:pPr>
        <w:pStyle w:val="Indenta"/>
        <w:keepNext/>
      </w:pPr>
      <w:r>
        <w:tab/>
        <w:t>(b)</w:t>
      </w:r>
      <w:r>
        <w:tab/>
        <w:t>whether, in the opinion of the Commission, serious misconduct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pPr>
      <w:r>
        <w:tab/>
        <w:t>[Section 34 inserted by No. 78 of 2003 s. 17.]</w:t>
      </w:r>
    </w:p>
    <w:p>
      <w:pPr>
        <w:pStyle w:val="Heading5"/>
      </w:pPr>
      <w:bookmarkStart w:id="180" w:name="_Toc407628330"/>
      <w:bookmarkStart w:id="181" w:name="_Toc422302041"/>
      <w:r>
        <w:rPr>
          <w:rStyle w:val="CharSectno"/>
        </w:rPr>
        <w:t>35</w:t>
      </w:r>
      <w:r>
        <w:t>.</w:t>
      </w:r>
      <w:r>
        <w:tab/>
        <w:t>Informant to be notified of decision not to take action</w:t>
      </w:r>
      <w:bookmarkEnd w:id="180"/>
      <w:bookmarkEnd w:id="181"/>
    </w:p>
    <w:p>
      <w:pPr>
        <w:pStyle w:val="Subsection"/>
        <w:spacing w:before="140"/>
      </w:pPr>
      <w:r>
        <w:tab/>
      </w:r>
      <w:r>
        <w:tab/>
        <w:t>If —</w:t>
      </w:r>
    </w:p>
    <w:p>
      <w:pPr>
        <w:pStyle w:val="Indenta"/>
        <w:spacing w:before="60"/>
      </w:pPr>
      <w:r>
        <w:tab/>
        <w:t>(a)</w:t>
      </w:r>
      <w:r>
        <w:tab/>
        <w:t>a person makes an allegation under section 25 or 28(2); or</w:t>
      </w:r>
    </w:p>
    <w:p>
      <w:pPr>
        <w:pStyle w:val="Indenta"/>
        <w:spacing w:before="60"/>
      </w:pPr>
      <w:r>
        <w:tab/>
        <w:t>(b)</w:t>
      </w:r>
      <w:r>
        <w:tab/>
        <w:t>an allegation under the A</w:t>
      </w:r>
      <w:r>
        <w:noBreakHyphen/>
        <w:t>CC Act is referred to the Commission; or</w:t>
      </w:r>
    </w:p>
    <w:p>
      <w:pPr>
        <w:pStyle w:val="Indenta"/>
        <w:spacing w:before="60"/>
      </w:pPr>
      <w:r>
        <w:tab/>
        <w:t>(c)</w:t>
      </w:r>
      <w:r>
        <w:tab/>
        <w:t xml:space="preserve">a complaint under the </w:t>
      </w:r>
      <w:r>
        <w:rPr>
          <w:i/>
        </w:rPr>
        <w:t xml:space="preserve">Parliamentary Commissioner Act 1971 </w:t>
      </w:r>
      <w:r>
        <w:t>is referred to the Commission,</w:t>
      </w:r>
    </w:p>
    <w:p>
      <w:pPr>
        <w:pStyle w:val="Subsection"/>
        <w:spacing w:before="120"/>
      </w:pPr>
      <w:r>
        <w:tab/>
      </w:r>
      <w:r>
        <w:tab/>
        <w:t>and the Commission decides to take no action, the Commission must notify the person who made the allegation or complaint that the Commission has decided that no action will be taken.</w:t>
      </w:r>
    </w:p>
    <w:p>
      <w:pPr>
        <w:pStyle w:val="Footnotesection"/>
        <w:spacing w:before="100"/>
        <w:ind w:left="890" w:hanging="890"/>
      </w:pPr>
      <w:r>
        <w:tab/>
        <w:t>[Section 35 inserted by No. 78 of 2003 s. 17.]</w:t>
      </w:r>
    </w:p>
    <w:p>
      <w:pPr>
        <w:pStyle w:val="Heading5"/>
      </w:pPr>
      <w:bookmarkStart w:id="182" w:name="_Toc407628331"/>
      <w:bookmarkStart w:id="183" w:name="_Toc422302042"/>
      <w:r>
        <w:rPr>
          <w:rStyle w:val="CharSectno"/>
        </w:rPr>
        <w:t>36</w:t>
      </w:r>
      <w:r>
        <w:t>.</w:t>
      </w:r>
      <w:r>
        <w:tab/>
        <w:t>Person investigated can be advised of outcome of investigation</w:t>
      </w:r>
      <w:bookmarkEnd w:id="182"/>
      <w:bookmarkEnd w:id="183"/>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the person requests the information;</w:t>
      </w:r>
      <w:r>
        <w:rPr>
          <w:i/>
        </w:rPr>
        <w:t xml:space="preserve"> </w:t>
      </w:r>
      <w:r>
        <w:t xml:space="preserve">or </w:t>
      </w:r>
    </w:p>
    <w:p>
      <w:pPr>
        <w:pStyle w:val="Indenta"/>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spacing w:before="100"/>
        <w:ind w:left="890" w:hanging="890"/>
      </w:pPr>
      <w:r>
        <w:tab/>
        <w:t>[Section 36 inserted by No. 78 of 2003 s. 17.]</w:t>
      </w:r>
    </w:p>
    <w:p>
      <w:pPr>
        <w:pStyle w:val="Heading5"/>
      </w:pPr>
      <w:bookmarkStart w:id="184" w:name="_Toc407628332"/>
      <w:bookmarkStart w:id="185" w:name="_Toc422302043"/>
      <w:r>
        <w:rPr>
          <w:rStyle w:val="CharSectno"/>
        </w:rPr>
        <w:t>37</w:t>
      </w:r>
      <w:r>
        <w:t>.</w:t>
      </w:r>
      <w:r>
        <w:tab/>
        <w:t>Referring allegation to another agency or authority</w:t>
      </w:r>
      <w:bookmarkEnd w:id="184"/>
      <w:bookmarkEnd w:id="185"/>
    </w:p>
    <w:p>
      <w:pPr>
        <w:pStyle w:val="Subsection"/>
      </w:pPr>
      <w:r>
        <w:tab/>
        <w:t>(1)</w:t>
      </w:r>
      <w:r>
        <w:tab/>
        <w:t>If the Commission decides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37 inserted by No. 78 of 2003 s. 17.]</w:t>
      </w:r>
    </w:p>
    <w:p>
      <w:pPr>
        <w:pStyle w:val="Heading5"/>
        <w:spacing w:before="180"/>
      </w:pPr>
      <w:bookmarkStart w:id="186" w:name="_Toc407628333"/>
      <w:bookmarkStart w:id="187" w:name="_Toc422302044"/>
      <w:r>
        <w:rPr>
          <w:rStyle w:val="CharSectno"/>
        </w:rPr>
        <w:t>38</w:t>
      </w:r>
      <w:r>
        <w:t>.</w:t>
      </w:r>
      <w:r>
        <w:tab/>
        <w:t>Referring allegations to Parliamentary Commissioner or Auditor General</w:t>
      </w:r>
      <w:bookmarkEnd w:id="186"/>
      <w:bookmarkEnd w:id="187"/>
    </w:p>
    <w:p>
      <w:pPr>
        <w:pStyle w:val="Subsection"/>
      </w:pPr>
      <w:r>
        <w:tab/>
        <w:t>(1)</w:t>
      </w:r>
      <w:r>
        <w:tab/>
        <w:t>The Commission is not to refer an allegation to the Parliamentary Commissioner or the Auditor General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by No. 78 of 2003 s. 17; amended by No. 77 of 2006 Sch. 1 cl. 35(3) and (4).]</w:t>
      </w:r>
    </w:p>
    <w:p>
      <w:pPr>
        <w:pStyle w:val="Heading5"/>
      </w:pPr>
      <w:bookmarkStart w:id="188" w:name="_Toc407628334"/>
      <w:bookmarkStart w:id="189" w:name="_Toc422302045"/>
      <w:r>
        <w:rPr>
          <w:rStyle w:val="CharSectno"/>
        </w:rPr>
        <w:t>39</w:t>
      </w:r>
      <w:r>
        <w:t>.</w:t>
      </w:r>
      <w:r>
        <w:tab/>
        <w:t>Commission may decide to take other action</w:t>
      </w:r>
      <w:bookmarkEnd w:id="188"/>
      <w:bookmarkEnd w:id="189"/>
    </w:p>
    <w:p>
      <w:pPr>
        <w:pStyle w:val="Subsection"/>
      </w:pPr>
      <w:r>
        <w:tab/>
        <w:t>(1)</w:t>
      </w:r>
      <w:r>
        <w:tab/>
        <w:t>Despite having made a decision to act under section 33(1)(a), (b) or (c), the Commission may at any time decide to act under another of those paragraphs.</w:t>
      </w:r>
    </w:p>
    <w:p>
      <w:pPr>
        <w:pStyle w:val="Subsection"/>
      </w:pPr>
      <w:r>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pPr>
      <w:r>
        <w:tab/>
        <w:t>[Section 39 inserted by No. 78 of 2003 s. 17.]</w:t>
      </w:r>
    </w:p>
    <w:p>
      <w:pPr>
        <w:pStyle w:val="Heading5"/>
      </w:pPr>
      <w:bookmarkStart w:id="190" w:name="_Toc407628335"/>
      <w:bookmarkStart w:id="191" w:name="_Toc422302046"/>
      <w:r>
        <w:rPr>
          <w:rStyle w:val="CharSectno"/>
        </w:rPr>
        <w:t>40</w:t>
      </w:r>
      <w:r>
        <w:t>.</w:t>
      </w:r>
      <w:r>
        <w:tab/>
        <w:t>Commission’s monitoring role of appropriate authorities</w:t>
      </w:r>
      <w:bookmarkEnd w:id="190"/>
      <w:bookmarkEnd w:id="191"/>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by No. 78 of 2003 s. 17.]</w:t>
      </w:r>
    </w:p>
    <w:p>
      <w:pPr>
        <w:pStyle w:val="Heading5"/>
        <w:spacing w:before="180"/>
      </w:pPr>
      <w:bookmarkStart w:id="192" w:name="_Toc407628336"/>
      <w:bookmarkStart w:id="193" w:name="_Toc422302047"/>
      <w:r>
        <w:rPr>
          <w:rStyle w:val="CharSectno"/>
        </w:rPr>
        <w:t>41</w:t>
      </w:r>
      <w:r>
        <w:t>.</w:t>
      </w:r>
      <w:r>
        <w:tab/>
        <w:t>Commission may review how appropriate authority has dealt with misconduct</w:t>
      </w:r>
      <w:bookmarkEnd w:id="192"/>
      <w:bookmarkEnd w:id="193"/>
    </w:p>
    <w:p>
      <w:pPr>
        <w:pStyle w:val="Subsection"/>
      </w:pPr>
      <w:r>
        <w:tab/>
        <w:t>(1)</w:t>
      </w:r>
      <w:r>
        <w:tab/>
        <w:t>The Commission may review the way an appropriate authority has dealt with misconduct, in relation to either a particular allegation, complaint, information or matter involving misconduct or in relation to a class of allegation, complaint, information or matter involving misconduct.</w:t>
      </w:r>
    </w:p>
    <w:p>
      <w:pPr>
        <w:pStyle w:val="Subsection"/>
      </w:pPr>
      <w:r>
        <w:tab/>
        <w:t>(2)</w:t>
      </w:r>
      <w:r>
        <w:tab/>
        <w:t>The appropriate authority must give the Commission all necessary help to undertake a review under subsection (1).</w:t>
      </w:r>
    </w:p>
    <w:p>
      <w:pPr>
        <w:pStyle w:val="Footnotesection"/>
        <w:spacing w:before="80"/>
        <w:ind w:left="890" w:hanging="890"/>
      </w:pPr>
      <w:r>
        <w:tab/>
        <w:t>[Section 41 inserted by No. 78 of 2003 s. 17.]</w:t>
      </w:r>
    </w:p>
    <w:p>
      <w:pPr>
        <w:pStyle w:val="Heading5"/>
        <w:spacing w:before="180"/>
      </w:pPr>
      <w:bookmarkStart w:id="194" w:name="_Toc407628337"/>
      <w:bookmarkStart w:id="195" w:name="_Toc422302048"/>
      <w:r>
        <w:rPr>
          <w:rStyle w:val="CharSectno"/>
        </w:rPr>
        <w:t>42</w:t>
      </w:r>
      <w:r>
        <w:t>.</w:t>
      </w:r>
      <w:r>
        <w:tab/>
        <w:t>Commission may direct appropriate authority not to take action</w:t>
      </w:r>
      <w:bookmarkEnd w:id="194"/>
      <w:bookmarkEnd w:id="195"/>
    </w:p>
    <w:p>
      <w:pPr>
        <w:pStyle w:val="Subsection"/>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appropriate authority.</w:t>
      </w:r>
    </w:p>
    <w:p>
      <w:pPr>
        <w:pStyle w:val="Subsection"/>
        <w:spacing w:before="120"/>
      </w:pPr>
      <w:r>
        <w:tab/>
        <w:t>(3)</w:t>
      </w:r>
      <w:r>
        <w:tab/>
        <w:t>The appropriate authority must comply with a direction given to it under subsection (2).</w:t>
      </w:r>
    </w:p>
    <w:p>
      <w:pPr>
        <w:pStyle w:val="Subsection"/>
      </w:pPr>
      <w:r>
        <w:tab/>
        <w:t>(4)</w:t>
      </w:r>
      <w:r>
        <w:tab/>
        <w:t>The notice absolves the appropriate authority and its officers from any duty with respect to the misconduct matter so far as it relates to investigation of the matter or to the bringing of an offender concerned before the courts to be dealt with according to law.</w:t>
      </w:r>
    </w:p>
    <w:p>
      <w:pPr>
        <w:pStyle w:val="Subsection"/>
      </w:pPr>
      <w:r>
        <w:tab/>
        <w:t>(5)</w:t>
      </w:r>
      <w:r>
        <w:tab/>
        <w:t>Subsection (2)(b) does not apply to a person who is an officer of the Commission.</w:t>
      </w:r>
    </w:p>
    <w:p>
      <w:pPr>
        <w:pStyle w:val="Subsection"/>
      </w:pPr>
      <w:r>
        <w:tab/>
        <w:t>(6)</w:t>
      </w:r>
      <w:r>
        <w:tab/>
        <w:t>Subsection (2) does not prevent an investigation of the misconduct matter that is conducted in accordance with arrangements made between the Commission and the appropriate authority.</w:t>
      </w:r>
    </w:p>
    <w:p>
      <w:pPr>
        <w:pStyle w:val="Subsection"/>
      </w:pPr>
      <w:r>
        <w:tab/>
        <w:t>(7)</w:t>
      </w:r>
      <w:r>
        <w:tab/>
        <w:t>Despite subsection (2), an investigation of the misconduct matter by the appropriate authority may be commenced or resumed if the Commission notifies the appropriate authority that the Commission has revoked the direction given to it under subsection (2).</w:t>
      </w:r>
    </w:p>
    <w:p>
      <w:pPr>
        <w:pStyle w:val="Footnotesection"/>
      </w:pPr>
      <w:r>
        <w:tab/>
        <w:t>[Section 42 inserted by No. 78 of 2003 s. 17.]</w:t>
      </w:r>
    </w:p>
    <w:p>
      <w:pPr>
        <w:pStyle w:val="Heading3"/>
      </w:pPr>
      <w:bookmarkStart w:id="196" w:name="_Toc381872887"/>
      <w:bookmarkStart w:id="197" w:name="_Toc381873702"/>
      <w:bookmarkStart w:id="198" w:name="_Toc405978109"/>
      <w:bookmarkStart w:id="199" w:name="_Toc406054035"/>
      <w:bookmarkStart w:id="200" w:name="_Toc406078573"/>
      <w:bookmarkStart w:id="201" w:name="_Toc407628338"/>
      <w:bookmarkStart w:id="202" w:name="_Toc413243876"/>
      <w:bookmarkStart w:id="203" w:name="_Toc413321217"/>
      <w:bookmarkStart w:id="204" w:name="_Toc422302049"/>
      <w:r>
        <w:rPr>
          <w:rStyle w:val="CharDivNo"/>
        </w:rPr>
        <w:t>Division 5</w:t>
      </w:r>
      <w:r>
        <w:t> — </w:t>
      </w:r>
      <w:r>
        <w:rPr>
          <w:rStyle w:val="CharDivText"/>
        </w:rPr>
        <w:t>Recommendations</w:t>
      </w:r>
      <w:bookmarkEnd w:id="196"/>
      <w:bookmarkEnd w:id="197"/>
      <w:bookmarkEnd w:id="198"/>
      <w:bookmarkEnd w:id="199"/>
      <w:bookmarkEnd w:id="200"/>
      <w:bookmarkEnd w:id="201"/>
      <w:bookmarkEnd w:id="202"/>
      <w:bookmarkEnd w:id="203"/>
      <w:bookmarkEnd w:id="204"/>
    </w:p>
    <w:p>
      <w:pPr>
        <w:pStyle w:val="Footnoteheading"/>
        <w:tabs>
          <w:tab w:val="clear" w:pos="879"/>
          <w:tab w:val="left" w:pos="896"/>
        </w:tabs>
      </w:pPr>
      <w:r>
        <w:tab/>
        <w:t>[Heading inserted by No. 78 of 2003 s. 17.]</w:t>
      </w:r>
    </w:p>
    <w:p>
      <w:pPr>
        <w:pStyle w:val="Heading5"/>
      </w:pPr>
      <w:bookmarkStart w:id="205" w:name="_Toc407628339"/>
      <w:bookmarkStart w:id="206" w:name="_Toc422302050"/>
      <w:r>
        <w:rPr>
          <w:rStyle w:val="CharSectno"/>
        </w:rPr>
        <w:t>43</w:t>
      </w:r>
      <w:r>
        <w:t>.</w:t>
      </w:r>
      <w:r>
        <w:tab/>
        <w:t>Recommendations by Commission</w:t>
      </w:r>
      <w:bookmarkEnd w:id="205"/>
      <w:bookmarkEnd w:id="206"/>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by No. 78 of 2003 s. 17; amended by No. 59 of 2004 s. 141; No. 84 of 2004 s. 78.]</w:t>
      </w:r>
    </w:p>
    <w:p>
      <w:pPr>
        <w:pStyle w:val="Heading5"/>
      </w:pPr>
      <w:bookmarkStart w:id="207" w:name="_Toc407628340"/>
      <w:bookmarkStart w:id="208" w:name="_Toc422302051"/>
      <w:r>
        <w:rPr>
          <w:rStyle w:val="CharSectno"/>
        </w:rPr>
        <w:t>44</w:t>
      </w:r>
      <w:r>
        <w:t>.</w:t>
      </w:r>
      <w:r>
        <w:tab/>
        <w:t>Other action for misconduct</w:t>
      </w:r>
      <w:bookmarkEnd w:id="207"/>
      <w:bookmarkEnd w:id="208"/>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by No. 78 of 2003 s. 17.]</w:t>
      </w:r>
    </w:p>
    <w:p>
      <w:pPr>
        <w:pStyle w:val="Heading2"/>
      </w:pPr>
      <w:bookmarkStart w:id="209" w:name="_Toc381872890"/>
      <w:bookmarkStart w:id="210" w:name="_Toc381873705"/>
      <w:bookmarkStart w:id="211" w:name="_Toc405978112"/>
      <w:bookmarkStart w:id="212" w:name="_Toc406054038"/>
      <w:bookmarkStart w:id="213" w:name="_Toc406078576"/>
      <w:bookmarkStart w:id="214" w:name="_Toc407628341"/>
      <w:bookmarkStart w:id="215" w:name="_Toc413243879"/>
      <w:bookmarkStart w:id="216" w:name="_Toc413321220"/>
      <w:bookmarkStart w:id="217" w:name="_Toc422302052"/>
      <w:r>
        <w:rPr>
          <w:rStyle w:val="CharPartNo"/>
        </w:rPr>
        <w:t>Part 4</w:t>
      </w:r>
      <w:r>
        <w:rPr>
          <w:b w:val="0"/>
        </w:rPr>
        <w:t> </w:t>
      </w:r>
      <w:r>
        <w:t>—</w:t>
      </w:r>
      <w:r>
        <w:rPr>
          <w:b w:val="0"/>
        </w:rPr>
        <w:t> </w:t>
      </w:r>
      <w:r>
        <w:rPr>
          <w:rStyle w:val="CharPartText"/>
        </w:rPr>
        <w:t>Organised crime: exceptional powers and fortification removal</w:t>
      </w:r>
      <w:bookmarkEnd w:id="209"/>
      <w:bookmarkEnd w:id="210"/>
      <w:bookmarkEnd w:id="211"/>
      <w:bookmarkEnd w:id="212"/>
      <w:bookmarkEnd w:id="213"/>
      <w:bookmarkEnd w:id="214"/>
      <w:bookmarkEnd w:id="215"/>
      <w:bookmarkEnd w:id="216"/>
      <w:bookmarkEnd w:id="217"/>
    </w:p>
    <w:p>
      <w:pPr>
        <w:pStyle w:val="Footnoteheading"/>
        <w:tabs>
          <w:tab w:val="clear" w:pos="879"/>
          <w:tab w:val="left" w:pos="896"/>
        </w:tabs>
        <w:spacing w:before="100"/>
      </w:pPr>
      <w:r>
        <w:tab/>
        <w:t>[Heading inserted by No. 78 of 2003 s. 17.]</w:t>
      </w:r>
    </w:p>
    <w:p>
      <w:pPr>
        <w:pStyle w:val="Heading3"/>
      </w:pPr>
      <w:bookmarkStart w:id="218" w:name="_Toc381872891"/>
      <w:bookmarkStart w:id="219" w:name="_Toc381873706"/>
      <w:bookmarkStart w:id="220" w:name="_Toc405978113"/>
      <w:bookmarkStart w:id="221" w:name="_Toc406054039"/>
      <w:bookmarkStart w:id="222" w:name="_Toc406078577"/>
      <w:bookmarkStart w:id="223" w:name="_Toc407628342"/>
      <w:bookmarkStart w:id="224" w:name="_Toc413243880"/>
      <w:bookmarkStart w:id="225" w:name="_Toc413321221"/>
      <w:bookmarkStart w:id="226" w:name="_Toc422302053"/>
      <w:r>
        <w:rPr>
          <w:rStyle w:val="CharDivNo"/>
        </w:rPr>
        <w:t>Division 1</w:t>
      </w:r>
      <w:r>
        <w:t> — </w:t>
      </w:r>
      <w:r>
        <w:rPr>
          <w:rStyle w:val="CharDivText"/>
        </w:rPr>
        <w:t>Basis for, and control of, use of exceptional powers</w:t>
      </w:r>
      <w:bookmarkEnd w:id="218"/>
      <w:bookmarkEnd w:id="219"/>
      <w:bookmarkEnd w:id="220"/>
      <w:bookmarkEnd w:id="221"/>
      <w:bookmarkEnd w:id="222"/>
      <w:bookmarkEnd w:id="223"/>
      <w:bookmarkEnd w:id="224"/>
      <w:bookmarkEnd w:id="225"/>
      <w:bookmarkEnd w:id="226"/>
    </w:p>
    <w:p>
      <w:pPr>
        <w:pStyle w:val="Footnoteheading"/>
        <w:tabs>
          <w:tab w:val="clear" w:pos="879"/>
          <w:tab w:val="left" w:pos="896"/>
        </w:tabs>
        <w:spacing w:before="100"/>
      </w:pPr>
      <w:r>
        <w:tab/>
        <w:t>[Heading inserted by No. 78 of 2003 s. 17.]</w:t>
      </w:r>
    </w:p>
    <w:p>
      <w:pPr>
        <w:pStyle w:val="Heading5"/>
      </w:pPr>
      <w:bookmarkStart w:id="227" w:name="_Toc407628343"/>
      <w:bookmarkStart w:id="228" w:name="_Toc422302054"/>
      <w:r>
        <w:rPr>
          <w:rStyle w:val="CharSectno"/>
        </w:rPr>
        <w:t>45</w:t>
      </w:r>
      <w:r>
        <w:t>.</w:t>
      </w:r>
      <w:r>
        <w:tab/>
        <w:t>Terms used</w:t>
      </w:r>
      <w:bookmarkEnd w:id="227"/>
      <w:bookmarkEnd w:id="228"/>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by No. 78 of 2003 s. 17.]</w:t>
      </w:r>
    </w:p>
    <w:p>
      <w:pPr>
        <w:pStyle w:val="Heading5"/>
      </w:pPr>
      <w:bookmarkStart w:id="229" w:name="_Toc407628344"/>
      <w:bookmarkStart w:id="230" w:name="_Toc422302055"/>
      <w:r>
        <w:rPr>
          <w:rStyle w:val="CharSectno"/>
        </w:rPr>
        <w:t>46</w:t>
      </w:r>
      <w:r>
        <w:t>.</w:t>
      </w:r>
      <w:r>
        <w:tab/>
        <w:t>Exceptional powers finding, making of</w:t>
      </w:r>
      <w:bookmarkEnd w:id="229"/>
      <w:bookmarkEnd w:id="230"/>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pPr>
      <w:r>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by No. 78 of 2003 s. 17.]</w:t>
      </w:r>
    </w:p>
    <w:p>
      <w:pPr>
        <w:pStyle w:val="Heading5"/>
        <w:spacing w:before="180"/>
      </w:pPr>
      <w:bookmarkStart w:id="231" w:name="_Toc407628345"/>
      <w:bookmarkStart w:id="232" w:name="_Toc422302056"/>
      <w:r>
        <w:rPr>
          <w:rStyle w:val="CharSectno"/>
        </w:rPr>
        <w:t>47</w:t>
      </w:r>
      <w:r>
        <w:t>.</w:t>
      </w:r>
      <w:r>
        <w:tab/>
        <w:t>Purpose of Divisions 2 to 5</w:t>
      </w:r>
      <w:bookmarkEnd w:id="231"/>
      <w:bookmarkEnd w:id="232"/>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by No. 78 of 2003 s. 17.]</w:t>
      </w:r>
    </w:p>
    <w:p>
      <w:pPr>
        <w:pStyle w:val="Heading3"/>
        <w:spacing w:before="180"/>
      </w:pPr>
      <w:bookmarkStart w:id="233" w:name="_Toc381872895"/>
      <w:bookmarkStart w:id="234" w:name="_Toc381873710"/>
      <w:bookmarkStart w:id="235" w:name="_Toc405978117"/>
      <w:bookmarkStart w:id="236" w:name="_Toc406054043"/>
      <w:bookmarkStart w:id="237" w:name="_Toc406078581"/>
      <w:bookmarkStart w:id="238" w:name="_Toc407628346"/>
      <w:bookmarkStart w:id="239" w:name="_Toc413243884"/>
      <w:bookmarkStart w:id="240" w:name="_Toc413321225"/>
      <w:bookmarkStart w:id="241" w:name="_Toc422302057"/>
      <w:r>
        <w:rPr>
          <w:rStyle w:val="CharDivNo"/>
        </w:rPr>
        <w:t>Division 2</w:t>
      </w:r>
      <w:r>
        <w:t> — </w:t>
      </w:r>
      <w:r>
        <w:rPr>
          <w:rStyle w:val="CharDivText"/>
        </w:rPr>
        <w:t>Examination before Commission</w:t>
      </w:r>
      <w:bookmarkEnd w:id="233"/>
      <w:bookmarkEnd w:id="234"/>
      <w:bookmarkEnd w:id="235"/>
      <w:bookmarkEnd w:id="236"/>
      <w:bookmarkEnd w:id="237"/>
      <w:bookmarkEnd w:id="238"/>
      <w:bookmarkEnd w:id="239"/>
      <w:bookmarkEnd w:id="240"/>
      <w:bookmarkEnd w:id="241"/>
    </w:p>
    <w:p>
      <w:pPr>
        <w:pStyle w:val="Footnoteheading"/>
        <w:tabs>
          <w:tab w:val="clear" w:pos="879"/>
          <w:tab w:val="left" w:pos="896"/>
        </w:tabs>
        <w:spacing w:before="100"/>
      </w:pPr>
      <w:r>
        <w:tab/>
        <w:t>[Heading inserted by No. 78 of 2003 s. 17.]</w:t>
      </w:r>
    </w:p>
    <w:p>
      <w:pPr>
        <w:pStyle w:val="Heading5"/>
        <w:spacing w:before="180"/>
      </w:pPr>
      <w:bookmarkStart w:id="242" w:name="_Toc407628347"/>
      <w:bookmarkStart w:id="243" w:name="_Toc422302058"/>
      <w:r>
        <w:rPr>
          <w:rStyle w:val="CharSectno"/>
        </w:rPr>
        <w:t>48</w:t>
      </w:r>
      <w:r>
        <w:t>.</w:t>
      </w:r>
      <w:r>
        <w:tab/>
        <w:t>Commission, on application of police, may summons witnesses</w:t>
      </w:r>
      <w:bookmarkEnd w:id="242"/>
      <w:bookmarkEnd w:id="243"/>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by No. 78 of 2003 s. 17.]</w:t>
      </w:r>
    </w:p>
    <w:p>
      <w:pPr>
        <w:pStyle w:val="Heading5"/>
      </w:pPr>
      <w:bookmarkStart w:id="244" w:name="_Toc407628348"/>
      <w:bookmarkStart w:id="245" w:name="_Toc422302059"/>
      <w:r>
        <w:rPr>
          <w:rStyle w:val="CharSectno"/>
        </w:rPr>
        <w:t>49</w:t>
      </w:r>
      <w:r>
        <w:t>.</w:t>
      </w:r>
      <w:r>
        <w:tab/>
        <w:t>Examination of witnesses by Commissioner of Police</w:t>
      </w:r>
      <w:bookmarkEnd w:id="244"/>
      <w:bookmarkEnd w:id="245"/>
    </w:p>
    <w:p>
      <w:pPr>
        <w:pStyle w:val="Subsection"/>
        <w:spacing w:before="12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2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20"/>
      </w:pPr>
      <w:r>
        <w:tab/>
        <w:t>(3)</w:t>
      </w:r>
      <w:r>
        <w:tab/>
        <w:t>This section does not limit the operation of section 143.</w:t>
      </w:r>
    </w:p>
    <w:p>
      <w:pPr>
        <w:pStyle w:val="Footnotesection"/>
        <w:spacing w:before="80"/>
        <w:ind w:left="890" w:hanging="890"/>
      </w:pPr>
      <w:r>
        <w:tab/>
        <w:t>[Section 49 inserted by No. 78 of 2003 s. 17.]</w:t>
      </w:r>
    </w:p>
    <w:p>
      <w:pPr>
        <w:pStyle w:val="Heading5"/>
        <w:spacing w:before="180"/>
      </w:pPr>
      <w:bookmarkStart w:id="246" w:name="_Toc407628349"/>
      <w:bookmarkStart w:id="247" w:name="_Toc422302060"/>
      <w:r>
        <w:rPr>
          <w:rStyle w:val="CharSectno"/>
        </w:rPr>
        <w:t>50</w:t>
      </w:r>
      <w:r>
        <w:t>.</w:t>
      </w:r>
      <w:r>
        <w:tab/>
        <w:t>Examination of witness about offence with which witness charged</w:t>
      </w:r>
      <w:bookmarkEnd w:id="246"/>
      <w:bookmarkEnd w:id="247"/>
    </w:p>
    <w:p>
      <w:pPr>
        <w:pStyle w:val="Subsection"/>
        <w:spacing w:before="12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20"/>
      </w:pPr>
      <w:r>
        <w:tab/>
        <w:t>(2)</w:t>
      </w:r>
      <w:r>
        <w:tab/>
        <w:t xml:space="preserve">For the purposes of this section a person stands charged with an offence when — </w:t>
      </w:r>
    </w:p>
    <w:p>
      <w:pPr>
        <w:pStyle w:val="Indenta"/>
        <w:spacing w:before="60"/>
      </w:pPr>
      <w:r>
        <w:tab/>
        <w:t>(a)</w:t>
      </w:r>
      <w:r>
        <w:tab/>
      </w:r>
      <w:r>
        <w:rPr>
          <w:spacing w:val="-4"/>
        </w:rPr>
        <w:t>the person is informed by the person investigating the offence that he or she will be charged with the offence;</w:t>
      </w:r>
    </w:p>
    <w:p>
      <w:pPr>
        <w:pStyle w:val="Indenta"/>
        <w:spacing w:before="60"/>
      </w:pPr>
      <w:r>
        <w:tab/>
        <w:t>(b)</w:t>
      </w:r>
      <w:r>
        <w:tab/>
        <w:t>the persons investigating the offence ought to have formed the view that the person should be charged with the offence,</w:t>
      </w:r>
    </w:p>
    <w:p>
      <w:pPr>
        <w:pStyle w:val="Subsection"/>
        <w:spacing w:before="80"/>
      </w:pPr>
      <w:r>
        <w:tab/>
      </w:r>
      <w:r>
        <w:tab/>
        <w:t>whether or not at that time a prosecution notice in respect of the offence has been made or sworn; or</w:t>
      </w:r>
    </w:p>
    <w:p>
      <w:pPr>
        <w:pStyle w:val="Indenta"/>
        <w:keepLines/>
        <w:spacing w:before="60"/>
      </w:pPr>
      <w:r>
        <w:tab/>
        <w:t>(c)</w:t>
      </w:r>
      <w:r>
        <w:tab/>
        <w:t>a prosecution notice in respect of the offence is made or sworn,</w:t>
      </w:r>
    </w:p>
    <w:p>
      <w:pPr>
        <w:pStyle w:val="Subsection"/>
        <w:keepLines/>
        <w:spacing w:before="80"/>
      </w:pPr>
      <w:r>
        <w:tab/>
      </w:r>
      <w:r>
        <w:tab/>
        <w:t>whichever happens first.</w:t>
      </w:r>
    </w:p>
    <w:p>
      <w:pPr>
        <w:pStyle w:val="Footnotesection"/>
        <w:spacing w:before="60"/>
        <w:ind w:left="890" w:hanging="890"/>
      </w:pPr>
      <w:r>
        <w:tab/>
        <w:t>[Section 50 inserted by No. 78 of 2003 s. 17; amended by No. 84 of 2004 s. 79.]</w:t>
      </w:r>
    </w:p>
    <w:p>
      <w:pPr>
        <w:pStyle w:val="Heading3"/>
      </w:pPr>
      <w:bookmarkStart w:id="248" w:name="_Toc381872899"/>
      <w:bookmarkStart w:id="249" w:name="_Toc381873714"/>
      <w:bookmarkStart w:id="250" w:name="_Toc405978121"/>
      <w:bookmarkStart w:id="251" w:name="_Toc406054047"/>
      <w:bookmarkStart w:id="252" w:name="_Toc406078585"/>
      <w:bookmarkStart w:id="253" w:name="_Toc407628350"/>
      <w:bookmarkStart w:id="254" w:name="_Toc413243888"/>
      <w:bookmarkStart w:id="255" w:name="_Toc413321229"/>
      <w:bookmarkStart w:id="256" w:name="_Toc422302061"/>
      <w:r>
        <w:rPr>
          <w:rStyle w:val="CharDivNo"/>
        </w:rPr>
        <w:t>Division 3</w:t>
      </w:r>
      <w:r>
        <w:t> — </w:t>
      </w:r>
      <w:r>
        <w:rPr>
          <w:rStyle w:val="CharDivText"/>
        </w:rPr>
        <w:t>Entry, search and related matters</w:t>
      </w:r>
      <w:bookmarkEnd w:id="248"/>
      <w:bookmarkEnd w:id="249"/>
      <w:bookmarkEnd w:id="250"/>
      <w:bookmarkEnd w:id="251"/>
      <w:bookmarkEnd w:id="252"/>
      <w:bookmarkEnd w:id="253"/>
      <w:bookmarkEnd w:id="254"/>
      <w:bookmarkEnd w:id="255"/>
      <w:bookmarkEnd w:id="256"/>
    </w:p>
    <w:p>
      <w:pPr>
        <w:pStyle w:val="Footnoteheading"/>
        <w:tabs>
          <w:tab w:val="clear" w:pos="879"/>
          <w:tab w:val="left" w:pos="896"/>
        </w:tabs>
      </w:pPr>
      <w:r>
        <w:tab/>
        <w:t>[Heading inserted by No. 78 of 2003 s. 17.]</w:t>
      </w:r>
    </w:p>
    <w:p>
      <w:pPr>
        <w:pStyle w:val="Heading5"/>
      </w:pPr>
      <w:bookmarkStart w:id="257" w:name="_Toc407628351"/>
      <w:bookmarkStart w:id="258" w:name="_Toc422302062"/>
      <w:r>
        <w:rPr>
          <w:rStyle w:val="CharSectno"/>
        </w:rPr>
        <w:t>51</w:t>
      </w:r>
      <w:r>
        <w:t>.</w:t>
      </w:r>
      <w:r>
        <w:tab/>
        <w:t>Commission may limit exercise of certain exceptional powers</w:t>
      </w:r>
      <w:bookmarkEnd w:id="257"/>
      <w:bookmarkEnd w:id="258"/>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pPr>
      <w:r>
        <w:tab/>
        <w:t>[Section 51 inserted by No. 78 of 2003 s. 17.]</w:t>
      </w:r>
    </w:p>
    <w:p>
      <w:pPr>
        <w:pStyle w:val="Heading5"/>
        <w:spacing w:before="120"/>
      </w:pPr>
      <w:bookmarkStart w:id="259" w:name="_Toc407628352"/>
      <w:bookmarkStart w:id="260" w:name="_Toc422302063"/>
      <w:r>
        <w:rPr>
          <w:rStyle w:val="CharSectno"/>
        </w:rPr>
        <w:t>52</w:t>
      </w:r>
      <w:r>
        <w:t>.</w:t>
      </w:r>
      <w:r>
        <w:tab/>
        <w:t>Section 5 offences, enhanced police powers to enter etc. places</w:t>
      </w:r>
      <w:bookmarkEnd w:id="259"/>
      <w:bookmarkEnd w:id="260"/>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by No. 78 of 2003 s. 17.]</w:t>
      </w:r>
    </w:p>
    <w:p>
      <w:pPr>
        <w:pStyle w:val="Heading5"/>
      </w:pPr>
      <w:bookmarkStart w:id="261" w:name="_Toc407628353"/>
      <w:bookmarkStart w:id="262" w:name="_Toc422302064"/>
      <w:r>
        <w:rPr>
          <w:rStyle w:val="CharSectno"/>
        </w:rPr>
        <w:t>53</w:t>
      </w:r>
      <w:r>
        <w:t>.</w:t>
      </w:r>
      <w:r>
        <w:tab/>
        <w:t>Section 5 offences, enhanced police powers to stop etc. people and conveyances</w:t>
      </w:r>
      <w:bookmarkEnd w:id="261"/>
      <w:bookmarkEnd w:id="262"/>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pPr>
      <w:r>
        <w:tab/>
        <w:t>(4)</w:t>
      </w:r>
      <w:r>
        <w:tab/>
        <w:t>A police officer may without a warrant seize anything described in subsection (1).</w:t>
      </w:r>
    </w:p>
    <w:p>
      <w:pPr>
        <w:pStyle w:val="Subsection"/>
      </w:pPr>
      <w:r>
        <w:tab/>
        <w:t>(5)</w:t>
      </w:r>
      <w:r>
        <w:tab/>
        <w:t>A police officer may use any force that is reasonably necessary, and may call on any assistance necessary, in order to perform a function under this section.</w:t>
      </w:r>
    </w:p>
    <w:p>
      <w:pPr>
        <w:pStyle w:val="Subsection"/>
      </w:pPr>
      <w:r>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by No. 78 of 2003 s. 17.]</w:t>
      </w:r>
    </w:p>
    <w:p>
      <w:pPr>
        <w:pStyle w:val="Heading5"/>
      </w:pPr>
      <w:bookmarkStart w:id="263" w:name="_Toc407628354"/>
      <w:bookmarkStart w:id="264" w:name="_Toc422302065"/>
      <w:r>
        <w:rPr>
          <w:rStyle w:val="CharSectno"/>
        </w:rPr>
        <w:t>54</w:t>
      </w:r>
      <w:r>
        <w:t>.</w:t>
      </w:r>
      <w:r>
        <w:tab/>
        <w:t>Searches of people, conduct of</w:t>
      </w:r>
      <w:bookmarkEnd w:id="263"/>
      <w:bookmarkEnd w:id="264"/>
    </w:p>
    <w:p>
      <w:pPr>
        <w:pStyle w:val="Subsection"/>
      </w:pPr>
      <w:r>
        <w:tab/>
        <w:t>(1)</w:t>
      </w:r>
      <w:r>
        <w:tab/>
        <w:t xml:space="preserve">In this section — </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registered 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keepNext/>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tab/>
        <w:t>(b)</w:t>
      </w:r>
      <w:r>
        <w:tab/>
        <w:t>call on any assistance necessary in order to perform the function.</w:t>
      </w:r>
    </w:p>
    <w:p>
      <w:pPr>
        <w:pStyle w:val="Footnotesection"/>
      </w:pPr>
      <w:r>
        <w:tab/>
        <w:t>[Section 54 inserted by No. 78 of 2003 s. 17; amended by No. 50 of 2006 Sch. 3 cl. 4; No. 22 of 2008 Sch. 3 cl. 11; No. 35 of 2010 s. 48.]</w:t>
      </w:r>
    </w:p>
    <w:p>
      <w:pPr>
        <w:pStyle w:val="Heading5"/>
      </w:pPr>
      <w:bookmarkStart w:id="265" w:name="_Toc407628355"/>
      <w:bookmarkStart w:id="266" w:name="_Toc422302066"/>
      <w:r>
        <w:rPr>
          <w:rStyle w:val="CharSectno"/>
        </w:rPr>
        <w:t>55</w:t>
      </w:r>
      <w:r>
        <w:t>.</w:t>
      </w:r>
      <w:r>
        <w:tab/>
        <w:t>Power to search includes power to break open</w:t>
      </w:r>
      <w:bookmarkEnd w:id="265"/>
      <w:bookmarkEnd w:id="266"/>
    </w:p>
    <w:p>
      <w:pPr>
        <w:pStyle w:val="Subsection"/>
      </w:pPr>
      <w:r>
        <w:tab/>
      </w:r>
      <w:r>
        <w:tab/>
        <w:t>The power given by this Division to search for any thing includes the power to break open anything it is suspected might contain it.</w:t>
      </w:r>
    </w:p>
    <w:p>
      <w:pPr>
        <w:pStyle w:val="Footnotesection"/>
      </w:pPr>
      <w:r>
        <w:tab/>
        <w:t>[Section 55 inserted by No. 78 of 2003 s. 17.]</w:t>
      </w:r>
    </w:p>
    <w:p>
      <w:pPr>
        <w:pStyle w:val="Ednotesection"/>
      </w:pPr>
      <w:r>
        <w:t>[</w:t>
      </w:r>
      <w:r>
        <w:rPr>
          <w:b/>
          <w:bCs/>
        </w:rPr>
        <w:t>56.</w:t>
      </w:r>
      <w:r>
        <w:tab/>
        <w:t xml:space="preserve">Deleted by No. 59 of 2006 s. 9.] </w:t>
      </w:r>
    </w:p>
    <w:p>
      <w:pPr>
        <w:pStyle w:val="Heading5"/>
        <w:spacing w:before="120"/>
      </w:pPr>
      <w:bookmarkStart w:id="267" w:name="_Toc407628356"/>
      <w:bookmarkStart w:id="268" w:name="_Toc422302067"/>
      <w:r>
        <w:rPr>
          <w:rStyle w:val="CharSectno"/>
        </w:rPr>
        <w:t>57</w:t>
      </w:r>
      <w:r>
        <w:t>.</w:t>
      </w:r>
      <w:r>
        <w:tab/>
        <w:t>Offences</w:t>
      </w:r>
      <w:bookmarkEnd w:id="267"/>
      <w:bookmarkEnd w:id="268"/>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by No. 78 of 2003 s. 17.]</w:t>
      </w:r>
    </w:p>
    <w:p>
      <w:pPr>
        <w:pStyle w:val="Heading5"/>
      </w:pPr>
      <w:bookmarkStart w:id="269" w:name="_Toc407628357"/>
      <w:bookmarkStart w:id="270" w:name="_Toc422302068"/>
      <w:r>
        <w:rPr>
          <w:rStyle w:val="CharSectno"/>
        </w:rPr>
        <w:t>58</w:t>
      </w:r>
      <w:r>
        <w:t>.</w:t>
      </w:r>
      <w:r>
        <w:tab/>
        <w:t>Police to report on use of powers under this Division</w:t>
      </w:r>
      <w:bookmarkEnd w:id="269"/>
      <w:bookmarkEnd w:id="270"/>
    </w:p>
    <w:p>
      <w:pPr>
        <w:pStyle w:val="Subsection"/>
      </w:pPr>
      <w:r>
        <w:tab/>
        <w:t>(1)</w:t>
      </w:r>
      <w:r>
        <w:tab/>
        <w:t xml:space="preserve">A police officer who exercises an exceptional power under this Division is to submit to the Commissioner of Police a report in 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by No. 78 of 2003 s. 17.]</w:t>
      </w:r>
    </w:p>
    <w:p>
      <w:pPr>
        <w:pStyle w:val="Heading5"/>
      </w:pPr>
      <w:bookmarkStart w:id="271" w:name="_Toc407628358"/>
      <w:bookmarkStart w:id="272" w:name="_Toc422302069"/>
      <w:r>
        <w:rPr>
          <w:rStyle w:val="CharSectno"/>
        </w:rPr>
        <w:t>59</w:t>
      </w:r>
      <w:r>
        <w:t>.</w:t>
      </w:r>
      <w:r>
        <w:tab/>
        <w:t>Overseeing exercise of powers under this Division</w:t>
      </w:r>
      <w:bookmarkEnd w:id="271"/>
      <w:bookmarkEnd w:id="272"/>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by No. 78 of 2003 s. 17.]</w:t>
      </w:r>
    </w:p>
    <w:p>
      <w:pPr>
        <w:pStyle w:val="Heading3"/>
      </w:pPr>
      <w:bookmarkStart w:id="273" w:name="_Toc381872908"/>
      <w:bookmarkStart w:id="274" w:name="_Toc381873723"/>
      <w:bookmarkStart w:id="275" w:name="_Toc405978130"/>
      <w:bookmarkStart w:id="276" w:name="_Toc406054056"/>
      <w:bookmarkStart w:id="277" w:name="_Toc406078594"/>
      <w:bookmarkStart w:id="278" w:name="_Toc407628359"/>
      <w:bookmarkStart w:id="279" w:name="_Toc413243897"/>
      <w:bookmarkStart w:id="280" w:name="_Toc413321238"/>
      <w:bookmarkStart w:id="281" w:name="_Toc422302070"/>
      <w:r>
        <w:rPr>
          <w:rStyle w:val="CharDivNo"/>
        </w:rPr>
        <w:t>Division 4</w:t>
      </w:r>
      <w:r>
        <w:t> — </w:t>
      </w:r>
      <w:r>
        <w:rPr>
          <w:rStyle w:val="CharDivText"/>
        </w:rPr>
        <w:t>Assumed identities</w:t>
      </w:r>
      <w:bookmarkEnd w:id="273"/>
      <w:bookmarkEnd w:id="274"/>
      <w:bookmarkEnd w:id="275"/>
      <w:bookmarkEnd w:id="276"/>
      <w:bookmarkEnd w:id="277"/>
      <w:bookmarkEnd w:id="278"/>
      <w:bookmarkEnd w:id="279"/>
      <w:bookmarkEnd w:id="280"/>
      <w:bookmarkEnd w:id="281"/>
    </w:p>
    <w:p>
      <w:pPr>
        <w:pStyle w:val="Footnoteheading"/>
        <w:tabs>
          <w:tab w:val="clear" w:pos="879"/>
          <w:tab w:val="left" w:pos="896"/>
        </w:tabs>
        <w:spacing w:before="100"/>
      </w:pPr>
      <w:r>
        <w:tab/>
        <w:t>[Heading inserted by No. 78 of 2003 s. 17.]</w:t>
      </w:r>
    </w:p>
    <w:p>
      <w:pPr>
        <w:pStyle w:val="Heading5"/>
        <w:spacing w:before="200"/>
      </w:pPr>
      <w:bookmarkStart w:id="282" w:name="_Toc407628360"/>
      <w:bookmarkStart w:id="283" w:name="_Toc422302071"/>
      <w:r>
        <w:rPr>
          <w:rStyle w:val="CharSectno"/>
        </w:rPr>
        <w:t>60</w:t>
      </w:r>
      <w:r>
        <w:t>.</w:t>
      </w:r>
      <w:r>
        <w:tab/>
        <w:t>Approval for assumed identity</w:t>
      </w:r>
      <w:bookmarkEnd w:id="282"/>
      <w:bookmarkEnd w:id="283"/>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by No. 78 of 2003 s. 17.]</w:t>
      </w:r>
    </w:p>
    <w:p>
      <w:pPr>
        <w:pStyle w:val="Heading5"/>
      </w:pPr>
      <w:bookmarkStart w:id="284" w:name="_Toc407628361"/>
      <w:bookmarkStart w:id="285" w:name="_Toc422302072"/>
      <w:r>
        <w:rPr>
          <w:rStyle w:val="CharSectno"/>
        </w:rPr>
        <w:t>61</w:t>
      </w:r>
      <w:r>
        <w:t>.</w:t>
      </w:r>
      <w:r>
        <w:tab/>
        <w:t>Police to report on activities undertaken under assumed identity approval</w:t>
      </w:r>
      <w:bookmarkEnd w:id="284"/>
      <w:bookmarkEnd w:id="285"/>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tab/>
        <w:t>(2)</w:t>
      </w:r>
      <w:r>
        <w:tab/>
        <w:t>The Commissioner of Police is to give a copy of the report to the Commission as soon as is reasonably practicable after the Commissioner of Police is given the report.</w:t>
      </w:r>
    </w:p>
    <w:p>
      <w:pPr>
        <w:pStyle w:val="Footnotesection"/>
      </w:pPr>
      <w:r>
        <w:tab/>
        <w:t>[Section 61 inserted by No. 78 of 2003 s. 17.]</w:t>
      </w:r>
    </w:p>
    <w:p>
      <w:pPr>
        <w:pStyle w:val="Heading5"/>
      </w:pPr>
      <w:bookmarkStart w:id="286" w:name="_Toc407628362"/>
      <w:bookmarkStart w:id="287" w:name="_Toc422302073"/>
      <w:r>
        <w:rPr>
          <w:rStyle w:val="CharSectno"/>
        </w:rPr>
        <w:t>62</w:t>
      </w:r>
      <w:r>
        <w:t>.</w:t>
      </w:r>
      <w:r>
        <w:tab/>
        <w:t>Overseeing exercise of powers under this Division</w:t>
      </w:r>
      <w:bookmarkEnd w:id="286"/>
      <w:bookmarkEnd w:id="287"/>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by No. 78 of 2003 s. 17.]</w:t>
      </w:r>
    </w:p>
    <w:p>
      <w:pPr>
        <w:pStyle w:val="Heading3"/>
      </w:pPr>
      <w:bookmarkStart w:id="288" w:name="_Toc381872912"/>
      <w:bookmarkStart w:id="289" w:name="_Toc381873727"/>
      <w:bookmarkStart w:id="290" w:name="_Toc405978134"/>
      <w:bookmarkStart w:id="291" w:name="_Toc406054060"/>
      <w:bookmarkStart w:id="292" w:name="_Toc406078598"/>
      <w:bookmarkStart w:id="293" w:name="_Toc407628363"/>
      <w:bookmarkStart w:id="294" w:name="_Toc413243901"/>
      <w:bookmarkStart w:id="295" w:name="_Toc413321242"/>
      <w:bookmarkStart w:id="296" w:name="_Toc422302074"/>
      <w:r>
        <w:rPr>
          <w:rStyle w:val="CharDivNo"/>
        </w:rPr>
        <w:t>Division 5</w:t>
      </w:r>
      <w:r>
        <w:t> — </w:t>
      </w:r>
      <w:r>
        <w:rPr>
          <w:rStyle w:val="CharDivText"/>
        </w:rPr>
        <w:t>Controlled operations</w:t>
      </w:r>
      <w:bookmarkEnd w:id="288"/>
      <w:bookmarkEnd w:id="289"/>
      <w:bookmarkEnd w:id="290"/>
      <w:bookmarkEnd w:id="291"/>
      <w:bookmarkEnd w:id="292"/>
      <w:bookmarkEnd w:id="293"/>
      <w:bookmarkEnd w:id="294"/>
      <w:bookmarkEnd w:id="295"/>
      <w:bookmarkEnd w:id="296"/>
    </w:p>
    <w:p>
      <w:pPr>
        <w:pStyle w:val="Footnoteheading"/>
        <w:tabs>
          <w:tab w:val="clear" w:pos="879"/>
          <w:tab w:val="left" w:pos="896"/>
        </w:tabs>
      </w:pPr>
      <w:r>
        <w:tab/>
        <w:t>[Heading inserted by No. 78 of 2003 s. 17.]</w:t>
      </w:r>
    </w:p>
    <w:p>
      <w:pPr>
        <w:pStyle w:val="Heading5"/>
      </w:pPr>
      <w:bookmarkStart w:id="297" w:name="_Toc407628364"/>
      <w:bookmarkStart w:id="298" w:name="_Toc422302075"/>
      <w:r>
        <w:rPr>
          <w:rStyle w:val="CharSectno"/>
        </w:rPr>
        <w:t>63</w:t>
      </w:r>
      <w:r>
        <w:t>.</w:t>
      </w:r>
      <w:r>
        <w:tab/>
        <w:t>Terms used</w:t>
      </w:r>
      <w:bookmarkEnd w:id="297"/>
      <w:bookmarkEnd w:id="298"/>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by No. 78 of 2003 s. 17.]</w:t>
      </w:r>
    </w:p>
    <w:p>
      <w:pPr>
        <w:pStyle w:val="Heading5"/>
      </w:pPr>
      <w:bookmarkStart w:id="299" w:name="_Toc407628365"/>
      <w:bookmarkStart w:id="300" w:name="_Toc422302076"/>
      <w:r>
        <w:rPr>
          <w:rStyle w:val="CharSectno"/>
        </w:rPr>
        <w:t>64</w:t>
      </w:r>
      <w:r>
        <w:t>.</w:t>
      </w:r>
      <w:r>
        <w:tab/>
        <w:t>Authority to conduct controlled operation and integrity testing</w:t>
      </w:r>
      <w:bookmarkEnd w:id="299"/>
      <w:bookmarkEnd w:id="300"/>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pPr>
      <w:r>
        <w:tab/>
        <w:t>(2)</w:t>
      </w:r>
      <w:r>
        <w:tab/>
        <w:t>The Commission may under section 123 grant an authority for a police officer to conduct an integrity testing programme as if the police officer were an officer of the Commission.</w:t>
      </w:r>
    </w:p>
    <w:p>
      <w:pPr>
        <w:pStyle w:val="Subsection"/>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spacing w:before="100"/>
        <w:ind w:left="890" w:hanging="890"/>
      </w:pPr>
      <w:r>
        <w:tab/>
        <w:t>[Section 64 inserted by No. 78 of 2003 s. 17.]</w:t>
      </w:r>
    </w:p>
    <w:p>
      <w:pPr>
        <w:pStyle w:val="Heading5"/>
        <w:spacing w:before="200"/>
      </w:pPr>
      <w:bookmarkStart w:id="301" w:name="_Toc407628366"/>
      <w:bookmarkStart w:id="302" w:name="_Toc422302077"/>
      <w:r>
        <w:rPr>
          <w:rStyle w:val="CharSectno"/>
        </w:rPr>
        <w:t>65</w:t>
      </w:r>
      <w:r>
        <w:t>.</w:t>
      </w:r>
      <w:r>
        <w:tab/>
        <w:t>Police to report on controlled operation or integrity testing programme</w:t>
      </w:r>
      <w:bookmarkEnd w:id="301"/>
      <w:bookmarkEnd w:id="302"/>
    </w:p>
    <w:p>
      <w:pPr>
        <w:pStyle w:val="Subsection"/>
        <w:spacing w:before="140"/>
      </w:pPr>
      <w:r>
        <w:tab/>
        <w:t>(1)</w:t>
      </w:r>
      <w:r>
        <w:tab/>
        <w:t xml:space="preserve">A police officer responsible for a controlled operation for which an authority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the particulars required by subsection (2).</w:t>
      </w:r>
    </w:p>
    <w:p>
      <w:pPr>
        <w:pStyle w:val="Subsection"/>
        <w:spacing w:before="140"/>
      </w:pPr>
      <w:r>
        <w:tab/>
        <w:t>(2)</w:t>
      </w:r>
      <w:r>
        <w:tab/>
        <w:t xml:space="preserve">The report must include the following particulars — </w:t>
      </w:r>
    </w:p>
    <w:p>
      <w:pPr>
        <w:pStyle w:val="Indenta"/>
        <w:spacing w:before="60"/>
      </w:pPr>
      <w:r>
        <w:tab/>
        <w:t>(a)</w:t>
      </w:r>
      <w:r>
        <w:tab/>
        <w:t>the nature of the criminal activities against which the controlled operation was directed;</w:t>
      </w:r>
    </w:p>
    <w:p>
      <w:pPr>
        <w:pStyle w:val="Indenta"/>
        <w:spacing w:before="60"/>
      </w:pPr>
      <w:r>
        <w:tab/>
        <w:t>(b)</w:t>
      </w:r>
      <w:r>
        <w:tab/>
        <w:t>the nature of the controlled activities engaged in for the purposes of the controlled operation.</w:t>
      </w:r>
    </w:p>
    <w:p>
      <w:pPr>
        <w:pStyle w:val="Subsection"/>
        <w:keepNext/>
        <w:spacing w:before="140"/>
      </w:pPr>
      <w:r>
        <w:tab/>
        <w:t>(3)</w:t>
      </w:r>
      <w:r>
        <w:tab/>
        <w:t xml:space="preserve">A police officer to whom an authority to conduct an integrity testing programme has been given must — </w:t>
      </w:r>
    </w:p>
    <w:p>
      <w:pPr>
        <w:pStyle w:val="Indenta"/>
        <w:spacing w:before="60"/>
      </w:pPr>
      <w:r>
        <w:tab/>
        <w:t>(a)</w:t>
      </w:r>
      <w:r>
        <w:tab/>
        <w:t>at least once every 6 months while the authority is in force; and</w:t>
      </w:r>
    </w:p>
    <w:p>
      <w:pPr>
        <w:pStyle w:val="Indenta"/>
        <w:spacing w:before="60"/>
      </w:pPr>
      <w:r>
        <w:tab/>
        <w:t>(b)</w:t>
      </w:r>
      <w:r>
        <w:tab/>
        <w:t>as soon as is reasonably practicable after the authority is cancelled,</w:t>
      </w:r>
    </w:p>
    <w:p>
      <w:pPr>
        <w:pStyle w:val="Subsection"/>
        <w:spacing w:before="100"/>
      </w:pPr>
      <w:r>
        <w:tab/>
      </w:r>
      <w:r>
        <w:tab/>
        <w:t>give a report to the Commissioner of Police setting out a general description of the activities undertaken by the police officer under the authority.</w:t>
      </w:r>
    </w:p>
    <w:p>
      <w:pPr>
        <w:pStyle w:val="Subsection"/>
        <w:spacing w:before="140"/>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by No. 78 of 2003 s. 17.]</w:t>
      </w:r>
    </w:p>
    <w:p>
      <w:pPr>
        <w:pStyle w:val="Heading5"/>
      </w:pPr>
      <w:bookmarkStart w:id="303" w:name="_Toc407628367"/>
      <w:bookmarkStart w:id="304" w:name="_Toc422302078"/>
      <w:r>
        <w:rPr>
          <w:rStyle w:val="CharSectno"/>
        </w:rPr>
        <w:t>66</w:t>
      </w:r>
      <w:r>
        <w:t>.</w:t>
      </w:r>
      <w:r>
        <w:tab/>
        <w:t>Overseeing exercise of powers under this Division</w:t>
      </w:r>
      <w:bookmarkEnd w:id="303"/>
      <w:bookmarkEnd w:id="304"/>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by No. 78 of 2003 s. 17.]</w:t>
      </w:r>
    </w:p>
    <w:p>
      <w:pPr>
        <w:pStyle w:val="Heading3"/>
      </w:pPr>
      <w:bookmarkStart w:id="305" w:name="_Toc381872917"/>
      <w:bookmarkStart w:id="306" w:name="_Toc381873732"/>
      <w:bookmarkStart w:id="307" w:name="_Toc405978139"/>
      <w:bookmarkStart w:id="308" w:name="_Toc406054065"/>
      <w:bookmarkStart w:id="309" w:name="_Toc406078603"/>
      <w:bookmarkStart w:id="310" w:name="_Toc407628368"/>
      <w:bookmarkStart w:id="311" w:name="_Toc413243906"/>
      <w:bookmarkStart w:id="312" w:name="_Toc413321247"/>
      <w:bookmarkStart w:id="313" w:name="_Toc422302079"/>
      <w:r>
        <w:rPr>
          <w:rStyle w:val="CharDivNo"/>
        </w:rPr>
        <w:t>Division 6</w:t>
      </w:r>
      <w:r>
        <w:t> — </w:t>
      </w:r>
      <w:r>
        <w:rPr>
          <w:rStyle w:val="CharDivText"/>
        </w:rPr>
        <w:t>Fortifications</w:t>
      </w:r>
      <w:bookmarkEnd w:id="305"/>
      <w:bookmarkEnd w:id="306"/>
      <w:bookmarkEnd w:id="307"/>
      <w:bookmarkEnd w:id="308"/>
      <w:bookmarkEnd w:id="309"/>
      <w:bookmarkEnd w:id="310"/>
      <w:bookmarkEnd w:id="311"/>
      <w:bookmarkEnd w:id="312"/>
      <w:bookmarkEnd w:id="313"/>
    </w:p>
    <w:p>
      <w:pPr>
        <w:pStyle w:val="Footnoteheading"/>
        <w:tabs>
          <w:tab w:val="clear" w:pos="879"/>
          <w:tab w:val="left" w:pos="896"/>
        </w:tabs>
      </w:pPr>
      <w:r>
        <w:tab/>
        <w:t>[Heading inserted by No. 78 of 2003 s. 17.]</w:t>
      </w:r>
    </w:p>
    <w:p>
      <w:pPr>
        <w:pStyle w:val="Heading5"/>
      </w:pPr>
      <w:bookmarkStart w:id="314" w:name="_Toc407628369"/>
      <w:bookmarkStart w:id="315" w:name="_Toc422302080"/>
      <w:r>
        <w:rPr>
          <w:rStyle w:val="CharSectno"/>
        </w:rPr>
        <w:t>67</w:t>
      </w:r>
      <w:r>
        <w:t>.</w:t>
      </w:r>
      <w:r>
        <w:tab/>
        <w:t>Terms used</w:t>
      </w:r>
      <w:bookmarkEnd w:id="314"/>
      <w:bookmarkEnd w:id="315"/>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by No. 78 of 2003 s. 17; amended by No. 8 of 2009 s. 41(4).]</w:t>
      </w:r>
    </w:p>
    <w:p>
      <w:pPr>
        <w:pStyle w:val="Heading5"/>
      </w:pPr>
      <w:bookmarkStart w:id="316" w:name="_Toc407628370"/>
      <w:bookmarkStart w:id="317" w:name="_Toc422302081"/>
      <w:r>
        <w:rPr>
          <w:rStyle w:val="CharSectno"/>
        </w:rPr>
        <w:t>68</w:t>
      </w:r>
      <w:r>
        <w:t>.</w:t>
      </w:r>
      <w:r>
        <w:tab/>
        <w:t>Fortification warning notice, issue of</w:t>
      </w:r>
      <w:bookmarkEnd w:id="316"/>
      <w:bookmarkEnd w:id="317"/>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by No. 78 of 2003 s. 17.]</w:t>
      </w:r>
    </w:p>
    <w:p>
      <w:pPr>
        <w:pStyle w:val="Heading5"/>
      </w:pPr>
      <w:bookmarkStart w:id="318" w:name="_Toc407628371"/>
      <w:bookmarkStart w:id="319" w:name="_Toc422302082"/>
      <w:r>
        <w:rPr>
          <w:rStyle w:val="CharSectno"/>
        </w:rPr>
        <w:t>69</w:t>
      </w:r>
      <w:r>
        <w:t>.</w:t>
      </w:r>
      <w:r>
        <w:tab/>
        <w:t>Fortification warning notice, contents of</w:t>
      </w:r>
      <w:bookmarkEnd w:id="318"/>
      <w:bookmarkEnd w:id="319"/>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by No. 78 of 2003 s. 17.]</w:t>
      </w:r>
    </w:p>
    <w:p>
      <w:pPr>
        <w:pStyle w:val="Heading5"/>
      </w:pPr>
      <w:bookmarkStart w:id="320" w:name="_Toc407628372"/>
      <w:bookmarkStart w:id="321" w:name="_Toc422302083"/>
      <w:r>
        <w:rPr>
          <w:rStyle w:val="CharSectno"/>
        </w:rPr>
        <w:t>70</w:t>
      </w:r>
      <w:r>
        <w:t>.</w:t>
      </w:r>
      <w:r>
        <w:tab/>
        <w:t>Giving fortification warning notice</w:t>
      </w:r>
      <w:bookmarkEnd w:id="320"/>
      <w:bookmarkEnd w:id="321"/>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by No. 78 of 2003 s. 17.]</w:t>
      </w:r>
    </w:p>
    <w:p>
      <w:pPr>
        <w:pStyle w:val="Heading5"/>
      </w:pPr>
      <w:bookmarkStart w:id="322" w:name="_Toc407628373"/>
      <w:bookmarkStart w:id="323" w:name="_Toc422302084"/>
      <w:r>
        <w:rPr>
          <w:rStyle w:val="CharSectno"/>
        </w:rPr>
        <w:t>71</w:t>
      </w:r>
      <w:r>
        <w:t>.</w:t>
      </w:r>
      <w:r>
        <w:tab/>
        <w:t>Withdrawal notice</w:t>
      </w:r>
      <w:bookmarkEnd w:id="322"/>
      <w:bookmarkEnd w:id="323"/>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tab/>
        <w:t>(3)</w:t>
      </w:r>
      <w:r>
        <w:tab/>
        <w:t>The withdrawal notice may be given in any way in which section 70 would enable a fortification warning notice to be given.</w:t>
      </w:r>
    </w:p>
    <w:p>
      <w:pPr>
        <w:pStyle w:val="Footnotesection"/>
        <w:ind w:left="890" w:hanging="890"/>
      </w:pPr>
      <w:r>
        <w:tab/>
        <w:t>[Section 71 inserted by No. 78 of 2003 s. 17.]</w:t>
      </w:r>
    </w:p>
    <w:p>
      <w:pPr>
        <w:pStyle w:val="Heading5"/>
      </w:pPr>
      <w:bookmarkStart w:id="324" w:name="_Toc407628374"/>
      <w:bookmarkStart w:id="325" w:name="_Toc422302085"/>
      <w:r>
        <w:rPr>
          <w:rStyle w:val="CharSectno"/>
        </w:rPr>
        <w:t>72</w:t>
      </w:r>
      <w:r>
        <w:t>.</w:t>
      </w:r>
      <w:r>
        <w:tab/>
        <w:t>Fortification removal notice, issue of</w:t>
      </w:r>
      <w:bookmarkEnd w:id="324"/>
      <w:bookmarkEnd w:id="325"/>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by No. 78 of 2003 s. 17.]</w:t>
      </w:r>
    </w:p>
    <w:p>
      <w:pPr>
        <w:pStyle w:val="Heading5"/>
      </w:pPr>
      <w:bookmarkStart w:id="326" w:name="_Toc407628375"/>
      <w:bookmarkStart w:id="327" w:name="_Toc422302086"/>
      <w:r>
        <w:rPr>
          <w:rStyle w:val="CharSectno"/>
        </w:rPr>
        <w:t>73</w:t>
      </w:r>
      <w:r>
        <w:t>.</w:t>
      </w:r>
      <w:r>
        <w:tab/>
        <w:t>Fortification removal notice, contents of</w:t>
      </w:r>
      <w:bookmarkEnd w:id="326"/>
      <w:bookmarkEnd w:id="327"/>
    </w:p>
    <w:p>
      <w:pPr>
        <w:pStyle w:val="Subsection"/>
      </w:pPr>
      <w:r>
        <w:tab/>
        <w:t>(1)</w:t>
      </w:r>
      <w:r>
        <w:tab/>
        <w:t>A fortification removal notice is addressed to each person to whom the fortification warning notice was addressed, and in the same way.</w:t>
      </w:r>
    </w:p>
    <w:p>
      <w:pPr>
        <w:pStyle w:val="Subsection"/>
        <w:keepNext/>
      </w:pPr>
      <w:r>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by No. 78 of 2003 s. 17.]</w:t>
      </w:r>
    </w:p>
    <w:p>
      <w:pPr>
        <w:pStyle w:val="Heading5"/>
      </w:pPr>
      <w:bookmarkStart w:id="328" w:name="_Toc407628376"/>
      <w:bookmarkStart w:id="329" w:name="_Toc422302087"/>
      <w:r>
        <w:rPr>
          <w:rStyle w:val="CharSectno"/>
        </w:rPr>
        <w:t>74</w:t>
      </w:r>
      <w:r>
        <w:t>.</w:t>
      </w:r>
      <w:r>
        <w:tab/>
        <w:t>Giving fortification removal notice</w:t>
      </w:r>
      <w:bookmarkEnd w:id="328"/>
      <w:bookmarkEnd w:id="329"/>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by No. 78 of 2003 s. 17.]</w:t>
      </w:r>
    </w:p>
    <w:p>
      <w:pPr>
        <w:pStyle w:val="Heading5"/>
      </w:pPr>
      <w:bookmarkStart w:id="330" w:name="_Toc407628377"/>
      <w:bookmarkStart w:id="331" w:name="_Toc422302088"/>
      <w:r>
        <w:rPr>
          <w:rStyle w:val="CharSectno"/>
        </w:rPr>
        <w:t>75</w:t>
      </w:r>
      <w:r>
        <w:t>.</w:t>
      </w:r>
      <w:r>
        <w:tab/>
        <w:t>Fortification removal notice, enforcing</w:t>
      </w:r>
      <w:bookmarkEnd w:id="330"/>
      <w:bookmarkEnd w:id="331"/>
    </w:p>
    <w:p>
      <w:pPr>
        <w:pStyle w:val="Subsection"/>
      </w:pPr>
      <w:r>
        <w:tab/>
        <w:t>(1)</w:t>
      </w:r>
      <w:r>
        <w:tab/>
        <w:t>If the fortifications at the premises are not, within the time specified in the fortification removal notice or any further time 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by No. 78 of 2003 s. 17.]</w:t>
      </w:r>
    </w:p>
    <w:p>
      <w:pPr>
        <w:pStyle w:val="Heading5"/>
      </w:pPr>
      <w:bookmarkStart w:id="332" w:name="_Toc407628378"/>
      <w:bookmarkStart w:id="333" w:name="_Toc422302089"/>
      <w:r>
        <w:rPr>
          <w:rStyle w:val="CharSectno"/>
        </w:rPr>
        <w:t>76</w:t>
      </w:r>
      <w:r>
        <w:t>.</w:t>
      </w:r>
      <w:r>
        <w:tab/>
        <w:t>Review of fortification removal notice</w:t>
      </w:r>
      <w:bookmarkEnd w:id="332"/>
      <w:bookmarkEnd w:id="333"/>
    </w:p>
    <w:p>
      <w:pPr>
        <w:pStyle w:val="Subsection"/>
      </w:pPr>
      <w:r>
        <w:tab/>
        <w:t>(1)</w:t>
      </w:r>
      <w:r>
        <w:tab/>
        <w:t>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by No. 78 of 2003 s. 17.]</w:t>
      </w:r>
    </w:p>
    <w:p>
      <w:pPr>
        <w:pStyle w:val="Heading5"/>
      </w:pPr>
      <w:bookmarkStart w:id="334" w:name="_Toc407628379"/>
      <w:bookmarkStart w:id="335" w:name="_Toc422302090"/>
      <w:r>
        <w:rPr>
          <w:rStyle w:val="CharSectno"/>
        </w:rPr>
        <w:t>77</w:t>
      </w:r>
      <w:r>
        <w:t>.</w:t>
      </w:r>
      <w:r>
        <w:tab/>
        <w:t>Hindering removal or modification of fortifications</w:t>
      </w:r>
      <w:bookmarkEnd w:id="334"/>
      <w:bookmarkEnd w:id="335"/>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by No. 78 of 2003 s. 17.]</w:t>
      </w:r>
    </w:p>
    <w:p>
      <w:pPr>
        <w:pStyle w:val="Heading5"/>
      </w:pPr>
      <w:bookmarkStart w:id="336" w:name="_Toc407628380"/>
      <w:bookmarkStart w:id="337" w:name="_Toc422302091"/>
      <w:r>
        <w:rPr>
          <w:rStyle w:val="CharSectno"/>
        </w:rPr>
        <w:t>78</w:t>
      </w:r>
      <w:r>
        <w:t>.</w:t>
      </w:r>
      <w:r>
        <w:tab/>
        <w:t>Planning and other approval issues</w:t>
      </w:r>
      <w:bookmarkEnd w:id="336"/>
      <w:bookmarkEnd w:id="337"/>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by No. 78 of 2003 s. 17.]</w:t>
      </w:r>
    </w:p>
    <w:p>
      <w:pPr>
        <w:pStyle w:val="Heading5"/>
      </w:pPr>
      <w:bookmarkStart w:id="338" w:name="_Toc407628381"/>
      <w:bookmarkStart w:id="339" w:name="_Toc422302092"/>
      <w:r>
        <w:rPr>
          <w:rStyle w:val="CharSectno"/>
        </w:rPr>
        <w:t>79</w:t>
      </w:r>
      <w:r>
        <w:t>.</w:t>
      </w:r>
      <w:r>
        <w:tab/>
        <w:t>No compensation for removal or modification of fortifications</w:t>
      </w:r>
      <w:bookmarkEnd w:id="338"/>
      <w:bookmarkEnd w:id="339"/>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by No. 78 of 2003 s. 17.]</w:t>
      </w:r>
    </w:p>
    <w:p>
      <w:pPr>
        <w:pStyle w:val="Heading5"/>
      </w:pPr>
      <w:bookmarkStart w:id="340" w:name="_Toc407628382"/>
      <w:bookmarkStart w:id="341" w:name="_Toc422302093"/>
      <w:r>
        <w:rPr>
          <w:rStyle w:val="CharSectno"/>
        </w:rPr>
        <w:t>80</w:t>
      </w:r>
      <w:r>
        <w:t>.</w:t>
      </w:r>
      <w:r>
        <w:tab/>
        <w:t>Protection from liability for wrongdoing</w:t>
      </w:r>
      <w:bookmarkEnd w:id="340"/>
      <w:bookmarkEnd w:id="341"/>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by No. 78 of 2003 s. 17.]</w:t>
      </w:r>
    </w:p>
    <w:p>
      <w:pPr>
        <w:pStyle w:val="Heading3"/>
      </w:pPr>
      <w:bookmarkStart w:id="342" w:name="_Toc381872932"/>
      <w:bookmarkStart w:id="343" w:name="_Toc381873747"/>
      <w:bookmarkStart w:id="344" w:name="_Toc405978154"/>
      <w:bookmarkStart w:id="345" w:name="_Toc406054080"/>
      <w:bookmarkStart w:id="346" w:name="_Toc406078618"/>
      <w:bookmarkStart w:id="347" w:name="_Toc407628383"/>
      <w:bookmarkStart w:id="348" w:name="_Toc413243921"/>
      <w:bookmarkStart w:id="349" w:name="_Toc413321262"/>
      <w:bookmarkStart w:id="350" w:name="_Toc422302094"/>
      <w:r>
        <w:rPr>
          <w:rStyle w:val="CharDivNo"/>
        </w:rPr>
        <w:t>Division 7</w:t>
      </w:r>
      <w:r>
        <w:t> — </w:t>
      </w:r>
      <w:r>
        <w:rPr>
          <w:rStyle w:val="CharDivText"/>
        </w:rPr>
        <w:t>General matters</w:t>
      </w:r>
      <w:bookmarkEnd w:id="342"/>
      <w:bookmarkEnd w:id="343"/>
      <w:bookmarkEnd w:id="344"/>
      <w:bookmarkEnd w:id="345"/>
      <w:bookmarkEnd w:id="346"/>
      <w:bookmarkEnd w:id="347"/>
      <w:bookmarkEnd w:id="348"/>
      <w:bookmarkEnd w:id="349"/>
      <w:bookmarkEnd w:id="350"/>
    </w:p>
    <w:p>
      <w:pPr>
        <w:pStyle w:val="Footnoteheading"/>
        <w:tabs>
          <w:tab w:val="clear" w:pos="879"/>
          <w:tab w:val="left" w:pos="896"/>
        </w:tabs>
      </w:pPr>
      <w:r>
        <w:tab/>
        <w:t>[Heading inserted by No. 78 of 2003 s. 17.]</w:t>
      </w:r>
    </w:p>
    <w:p>
      <w:pPr>
        <w:pStyle w:val="Heading5"/>
      </w:pPr>
      <w:bookmarkStart w:id="351" w:name="_Toc407628384"/>
      <w:bookmarkStart w:id="352" w:name="_Toc422302095"/>
      <w:r>
        <w:rPr>
          <w:rStyle w:val="CharSectno"/>
        </w:rPr>
        <w:t>81</w:t>
      </w:r>
      <w:r>
        <w:t>.</w:t>
      </w:r>
      <w:r>
        <w:tab/>
        <w:t>Part not applicable to juveniles</w:t>
      </w:r>
      <w:bookmarkEnd w:id="351"/>
      <w:bookmarkEnd w:id="352"/>
    </w:p>
    <w:p>
      <w:pPr>
        <w:pStyle w:val="Subsection"/>
      </w:pPr>
      <w:r>
        <w:tab/>
        <w:t>(1)</w:t>
      </w:r>
      <w:r>
        <w:tab/>
        <w:t>None of the powers given under this Part can be exercised in respect of a juvenile.</w:t>
      </w:r>
    </w:p>
    <w:p>
      <w:pPr>
        <w:pStyle w:val="Subsection"/>
        <w:keepNext/>
      </w:pPr>
      <w:r>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by No. 78 of 2003 s. 17.]</w:t>
      </w:r>
    </w:p>
    <w:p>
      <w:pPr>
        <w:pStyle w:val="Heading5"/>
      </w:pPr>
      <w:bookmarkStart w:id="353" w:name="_Toc407628385"/>
      <w:bookmarkStart w:id="354" w:name="_Toc422302096"/>
      <w:r>
        <w:rPr>
          <w:rStyle w:val="CharSectno"/>
        </w:rPr>
        <w:t>82</w:t>
      </w:r>
      <w:r>
        <w:t>.</w:t>
      </w:r>
      <w:r>
        <w:tab/>
        <w:t>Delegation by Commissioner of Police</w:t>
      </w:r>
      <w:bookmarkEnd w:id="353"/>
      <w:bookmarkEnd w:id="354"/>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by No. 78 of 2003 s. 17.]</w:t>
      </w:r>
    </w:p>
    <w:p>
      <w:pPr>
        <w:pStyle w:val="Heading5"/>
      </w:pPr>
      <w:bookmarkStart w:id="355" w:name="_Toc407628386"/>
      <w:bookmarkStart w:id="356" w:name="_Toc422302097"/>
      <w:r>
        <w:rPr>
          <w:rStyle w:val="CharSectno"/>
        </w:rPr>
        <w:t>83</w:t>
      </w:r>
      <w:r>
        <w:t>.</w:t>
      </w:r>
      <w:r>
        <w:tab/>
        <w:t>Judicial review excluded</w:t>
      </w:r>
      <w:bookmarkEnd w:id="355"/>
      <w:bookmarkEnd w:id="356"/>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by No. 78 of 2003 s. 17.]</w:t>
      </w:r>
    </w:p>
    <w:p>
      <w:pPr>
        <w:pStyle w:val="Heading2"/>
      </w:pPr>
      <w:bookmarkStart w:id="357" w:name="_Toc381872936"/>
      <w:bookmarkStart w:id="358" w:name="_Toc381873751"/>
      <w:bookmarkStart w:id="359" w:name="_Toc405978158"/>
      <w:bookmarkStart w:id="360" w:name="_Toc406054084"/>
      <w:bookmarkStart w:id="361" w:name="_Toc406078622"/>
      <w:bookmarkStart w:id="362" w:name="_Toc407628387"/>
      <w:bookmarkStart w:id="363" w:name="_Toc413243925"/>
      <w:bookmarkStart w:id="364" w:name="_Toc413321266"/>
      <w:bookmarkStart w:id="365" w:name="_Toc422302098"/>
      <w:r>
        <w:rPr>
          <w:rStyle w:val="CharPartNo"/>
        </w:rPr>
        <w:t>Part 5</w:t>
      </w:r>
      <w:r>
        <w:rPr>
          <w:b w:val="0"/>
        </w:rPr>
        <w:t> </w:t>
      </w:r>
      <w:r>
        <w:t>—</w:t>
      </w:r>
      <w:r>
        <w:rPr>
          <w:b w:val="0"/>
        </w:rPr>
        <w:t> </w:t>
      </w:r>
      <w:r>
        <w:rPr>
          <w:rStyle w:val="CharPartText"/>
        </w:rPr>
        <w:t>Reporting</w:t>
      </w:r>
      <w:bookmarkEnd w:id="357"/>
      <w:bookmarkEnd w:id="358"/>
      <w:bookmarkEnd w:id="359"/>
      <w:bookmarkEnd w:id="360"/>
      <w:bookmarkEnd w:id="361"/>
      <w:bookmarkEnd w:id="362"/>
      <w:bookmarkEnd w:id="363"/>
      <w:bookmarkEnd w:id="364"/>
      <w:bookmarkEnd w:id="365"/>
    </w:p>
    <w:p>
      <w:pPr>
        <w:pStyle w:val="Footnoteheading"/>
        <w:tabs>
          <w:tab w:val="clear" w:pos="879"/>
          <w:tab w:val="left" w:pos="896"/>
        </w:tabs>
      </w:pPr>
      <w:r>
        <w:tab/>
        <w:t>[Heading inserted by No. 78 of 2003 s. 17.]</w:t>
      </w:r>
    </w:p>
    <w:p>
      <w:pPr>
        <w:pStyle w:val="Heading3"/>
      </w:pPr>
      <w:bookmarkStart w:id="366" w:name="_Toc381872937"/>
      <w:bookmarkStart w:id="367" w:name="_Toc381873752"/>
      <w:bookmarkStart w:id="368" w:name="_Toc405978159"/>
      <w:bookmarkStart w:id="369" w:name="_Toc406054085"/>
      <w:bookmarkStart w:id="370" w:name="_Toc406078623"/>
      <w:bookmarkStart w:id="371" w:name="_Toc407628388"/>
      <w:bookmarkStart w:id="372" w:name="_Toc413243926"/>
      <w:bookmarkStart w:id="373" w:name="_Toc413321267"/>
      <w:bookmarkStart w:id="374" w:name="_Toc422302099"/>
      <w:r>
        <w:rPr>
          <w:rStyle w:val="CharDivNo"/>
        </w:rPr>
        <w:t>Division 1</w:t>
      </w:r>
      <w:r>
        <w:t> — </w:t>
      </w:r>
      <w:r>
        <w:rPr>
          <w:rStyle w:val="CharDivText"/>
        </w:rPr>
        <w:t>Reports by Commission on specific matters</w:t>
      </w:r>
      <w:bookmarkEnd w:id="366"/>
      <w:bookmarkEnd w:id="367"/>
      <w:bookmarkEnd w:id="368"/>
      <w:bookmarkEnd w:id="369"/>
      <w:bookmarkEnd w:id="370"/>
      <w:bookmarkEnd w:id="371"/>
      <w:bookmarkEnd w:id="372"/>
      <w:bookmarkEnd w:id="373"/>
      <w:bookmarkEnd w:id="374"/>
    </w:p>
    <w:p>
      <w:pPr>
        <w:pStyle w:val="Footnoteheading"/>
        <w:tabs>
          <w:tab w:val="clear" w:pos="879"/>
          <w:tab w:val="left" w:pos="896"/>
        </w:tabs>
      </w:pPr>
      <w:r>
        <w:tab/>
        <w:t>[Heading inserted by No. 78 of 2003 s. 17.]</w:t>
      </w:r>
    </w:p>
    <w:p>
      <w:pPr>
        <w:pStyle w:val="Heading5"/>
      </w:pPr>
      <w:bookmarkStart w:id="375" w:name="_Toc407628389"/>
      <w:bookmarkStart w:id="376" w:name="_Toc422302100"/>
      <w:r>
        <w:rPr>
          <w:rStyle w:val="CharSectno"/>
        </w:rPr>
        <w:t>84</w:t>
      </w:r>
      <w:r>
        <w:t>.</w:t>
      </w:r>
      <w:r>
        <w:tab/>
        <w:t>Report to Parliament on investigation or received matter</w:t>
      </w:r>
      <w:bookmarkEnd w:id="375"/>
      <w:bookmarkEnd w:id="376"/>
    </w:p>
    <w:p>
      <w:pPr>
        <w:pStyle w:val="Subsection"/>
      </w:pPr>
      <w:r>
        <w:tab/>
        <w:t>(1)</w:t>
      </w:r>
      <w:r>
        <w:tab/>
      </w:r>
      <w:r>
        <w:rPr>
          <w:spacing w:val="-4"/>
        </w:rPr>
        <w:t>The Commission may at any time prepare a report on any matter that has been the subject of an investigation or other action in respect of misconduct,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by No. 78 of 2003 s. 17.]</w:t>
      </w:r>
    </w:p>
    <w:p>
      <w:pPr>
        <w:pStyle w:val="Heading5"/>
      </w:pPr>
      <w:bookmarkStart w:id="377" w:name="_Toc407628390"/>
      <w:bookmarkStart w:id="378" w:name="_Toc422302101"/>
      <w:r>
        <w:rPr>
          <w:rStyle w:val="CharSectno"/>
        </w:rPr>
        <w:t>85</w:t>
      </w:r>
      <w:r>
        <w:t>.</w:t>
      </w:r>
      <w:r>
        <w:tab/>
        <w:t>Report to Parliament on further action by appropriate authority</w:t>
      </w:r>
      <w:bookmarkEnd w:id="377"/>
      <w:bookmarkEnd w:id="378"/>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by No. 78 of 2003 s. 17.]</w:t>
      </w:r>
    </w:p>
    <w:p>
      <w:pPr>
        <w:pStyle w:val="Heading5"/>
      </w:pPr>
      <w:bookmarkStart w:id="379" w:name="_Toc407628391"/>
      <w:bookmarkStart w:id="380" w:name="_Toc422302102"/>
      <w:r>
        <w:rPr>
          <w:rStyle w:val="CharSectno"/>
        </w:rPr>
        <w:t>86</w:t>
      </w:r>
      <w:r>
        <w:t>.</w:t>
      </w:r>
      <w:r>
        <w:tab/>
        <w:t>Person subject to adverse report, entitlement of</w:t>
      </w:r>
      <w:bookmarkEnd w:id="379"/>
      <w:bookmarkEnd w:id="380"/>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by No. 78 of 2003 s. 17.]</w:t>
      </w:r>
    </w:p>
    <w:p>
      <w:pPr>
        <w:pStyle w:val="Heading5"/>
      </w:pPr>
      <w:bookmarkStart w:id="381" w:name="_Toc407628392"/>
      <w:bookmarkStart w:id="382" w:name="_Toc422302103"/>
      <w:r>
        <w:rPr>
          <w:rStyle w:val="CharSectno"/>
        </w:rPr>
        <w:t>87</w:t>
      </w:r>
      <w:r>
        <w:t>.</w:t>
      </w:r>
      <w:r>
        <w:tab/>
        <w:t>Disclosure of matters in report made under s. 84 or 85</w:t>
      </w:r>
      <w:bookmarkEnd w:id="381"/>
      <w:bookmarkEnd w:id="382"/>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by No. 78 of 2003 s. 17.]</w:t>
      </w:r>
    </w:p>
    <w:p>
      <w:pPr>
        <w:pStyle w:val="Heading5"/>
      </w:pPr>
      <w:bookmarkStart w:id="383" w:name="_Toc407628393"/>
      <w:bookmarkStart w:id="384" w:name="_Toc422302104"/>
      <w:r>
        <w:rPr>
          <w:rStyle w:val="CharSectno"/>
        </w:rPr>
        <w:t>88</w:t>
      </w:r>
      <w:r>
        <w:t>.</w:t>
      </w:r>
      <w:r>
        <w:tab/>
        <w:t>Special reports to Parliament on policy matters</w:t>
      </w:r>
      <w:bookmarkEnd w:id="383"/>
      <w:bookmarkEnd w:id="384"/>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by No. 78 of 2003 s. 17.]</w:t>
      </w:r>
    </w:p>
    <w:p>
      <w:pPr>
        <w:pStyle w:val="Heading5"/>
      </w:pPr>
      <w:bookmarkStart w:id="385" w:name="_Toc407628394"/>
      <w:bookmarkStart w:id="386" w:name="_Toc422302105"/>
      <w:r>
        <w:rPr>
          <w:rStyle w:val="CharSectno"/>
        </w:rPr>
        <w:t>89</w:t>
      </w:r>
      <w:r>
        <w:t>.</w:t>
      </w:r>
      <w:r>
        <w:tab/>
        <w:t>Report under s. 84, 85 or 88 may be made to Minister or Standing Committee instead of to Parliament</w:t>
      </w:r>
      <w:bookmarkEnd w:id="385"/>
      <w:bookmarkEnd w:id="386"/>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by No. 78 of 2003 s. 17.]</w:t>
      </w:r>
    </w:p>
    <w:p>
      <w:pPr>
        <w:pStyle w:val="Heading5"/>
      </w:pPr>
      <w:bookmarkStart w:id="387" w:name="_Toc407628395"/>
      <w:bookmarkStart w:id="388" w:name="_Toc422302106"/>
      <w:r>
        <w:rPr>
          <w:rStyle w:val="CharSectno"/>
        </w:rPr>
        <w:t>90</w:t>
      </w:r>
      <w:r>
        <w:t>.</w:t>
      </w:r>
      <w:r>
        <w:tab/>
        <w:t>Reports about people proposed as police officers or CEOs</w:t>
      </w:r>
      <w:bookmarkEnd w:id="387"/>
      <w:bookmarkEnd w:id="388"/>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spacing w:before="60"/>
      </w:pPr>
      <w:r>
        <w:tab/>
        <w:t>(a)</w:t>
      </w:r>
      <w:r>
        <w:tab/>
        <w:t>Commissioner of Police; or</w:t>
      </w:r>
    </w:p>
    <w:p>
      <w:pPr>
        <w:pStyle w:val="Indenta"/>
        <w:spacing w:before="60"/>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spacing w:before="60"/>
      </w:pPr>
      <w:r>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pPr>
      <w:r>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by No. 78 of 2003 s. 17; amended by No. 8 of 2008 s. 11(3) and (4); No. 39 of 2010 s. 74(3).]</w:t>
      </w:r>
    </w:p>
    <w:p>
      <w:pPr>
        <w:pStyle w:val="Heading3"/>
      </w:pPr>
      <w:bookmarkStart w:id="389" w:name="_Toc381872945"/>
      <w:bookmarkStart w:id="390" w:name="_Toc381873760"/>
      <w:bookmarkStart w:id="391" w:name="_Toc405978167"/>
      <w:bookmarkStart w:id="392" w:name="_Toc406054093"/>
      <w:bookmarkStart w:id="393" w:name="_Toc406078631"/>
      <w:bookmarkStart w:id="394" w:name="_Toc407628396"/>
      <w:bookmarkStart w:id="395" w:name="_Toc413243934"/>
      <w:bookmarkStart w:id="396" w:name="_Toc413321275"/>
      <w:bookmarkStart w:id="397" w:name="_Toc422302107"/>
      <w:r>
        <w:rPr>
          <w:rStyle w:val="CharDivNo"/>
        </w:rPr>
        <w:t>Division 2</w:t>
      </w:r>
      <w:r>
        <w:t> — </w:t>
      </w:r>
      <w:r>
        <w:rPr>
          <w:rStyle w:val="CharDivText"/>
        </w:rPr>
        <w:t>General reports</w:t>
      </w:r>
      <w:bookmarkEnd w:id="389"/>
      <w:bookmarkEnd w:id="390"/>
      <w:bookmarkEnd w:id="391"/>
      <w:bookmarkEnd w:id="392"/>
      <w:bookmarkEnd w:id="393"/>
      <w:bookmarkEnd w:id="394"/>
      <w:bookmarkEnd w:id="395"/>
      <w:bookmarkEnd w:id="396"/>
      <w:bookmarkEnd w:id="397"/>
    </w:p>
    <w:p>
      <w:pPr>
        <w:pStyle w:val="Footnoteheading"/>
        <w:tabs>
          <w:tab w:val="clear" w:pos="879"/>
          <w:tab w:val="left" w:pos="896"/>
        </w:tabs>
      </w:pPr>
      <w:r>
        <w:tab/>
        <w:t>[Heading inserted by No. 78 of 2003 s. 17.]</w:t>
      </w:r>
    </w:p>
    <w:p>
      <w:pPr>
        <w:pStyle w:val="Heading5"/>
      </w:pPr>
      <w:bookmarkStart w:id="398" w:name="_Toc407628397"/>
      <w:bookmarkStart w:id="399" w:name="_Toc422302108"/>
      <w:r>
        <w:rPr>
          <w:rStyle w:val="CharSectno"/>
        </w:rPr>
        <w:t>91</w:t>
      </w:r>
      <w:r>
        <w:t>.</w:t>
      </w:r>
      <w:r>
        <w:tab/>
        <w:t>Annual report to Parliament</w:t>
      </w:r>
      <w:bookmarkEnd w:id="398"/>
      <w:bookmarkEnd w:id="399"/>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the general nature and extent of any information furnished under the Act by the Commission to independent authorities; and</w:t>
      </w:r>
    </w:p>
    <w:p>
      <w:pPr>
        <w:pStyle w:val="Indenta"/>
      </w:pPr>
      <w:r>
        <w:tab/>
        <w:t>(e)</w:t>
      </w:r>
      <w:r>
        <w:tab/>
        <w:t>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by No. 78 of 2003 s. 17; amended by No. 77 of 2006 Sch. 1 cl. 35(5); No. 46 of 2009 s. 17; No. 2 of 2011 s. 12; No. 23 of 2011 s. 95; No. 55 of 2012 s. 112.]</w:t>
      </w:r>
    </w:p>
    <w:p>
      <w:pPr>
        <w:pStyle w:val="Heading5"/>
      </w:pPr>
      <w:bookmarkStart w:id="400" w:name="_Toc407628398"/>
      <w:bookmarkStart w:id="401" w:name="_Toc422302109"/>
      <w:r>
        <w:rPr>
          <w:rStyle w:val="CharSectno"/>
        </w:rPr>
        <w:t>92</w:t>
      </w:r>
      <w:r>
        <w:t>.</w:t>
      </w:r>
      <w:r>
        <w:tab/>
        <w:t>Periodical report to Parliament</w:t>
      </w:r>
      <w:bookmarkEnd w:id="400"/>
      <w:bookmarkEnd w:id="401"/>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by No. 78 of 2003 s. 17.]</w:t>
      </w:r>
    </w:p>
    <w:p>
      <w:pPr>
        <w:pStyle w:val="Heading3"/>
      </w:pPr>
      <w:bookmarkStart w:id="402" w:name="_Toc381872948"/>
      <w:bookmarkStart w:id="403" w:name="_Toc381873763"/>
      <w:bookmarkStart w:id="404" w:name="_Toc405978170"/>
      <w:bookmarkStart w:id="405" w:name="_Toc406054096"/>
      <w:bookmarkStart w:id="406" w:name="_Toc406078634"/>
      <w:bookmarkStart w:id="407" w:name="_Toc407628399"/>
      <w:bookmarkStart w:id="408" w:name="_Toc413243937"/>
      <w:bookmarkStart w:id="409" w:name="_Toc413321278"/>
      <w:bookmarkStart w:id="410" w:name="_Toc422302110"/>
      <w:r>
        <w:rPr>
          <w:rStyle w:val="CharDivNo"/>
        </w:rPr>
        <w:t>Division 3</w:t>
      </w:r>
      <w:r>
        <w:t> — </w:t>
      </w:r>
      <w:r>
        <w:rPr>
          <w:rStyle w:val="CharDivText"/>
        </w:rPr>
        <w:t>General matters</w:t>
      </w:r>
      <w:bookmarkEnd w:id="402"/>
      <w:bookmarkEnd w:id="403"/>
      <w:bookmarkEnd w:id="404"/>
      <w:bookmarkEnd w:id="405"/>
      <w:bookmarkEnd w:id="406"/>
      <w:bookmarkEnd w:id="407"/>
      <w:bookmarkEnd w:id="408"/>
      <w:bookmarkEnd w:id="409"/>
      <w:bookmarkEnd w:id="410"/>
    </w:p>
    <w:p>
      <w:pPr>
        <w:pStyle w:val="Footnoteheading"/>
        <w:tabs>
          <w:tab w:val="clear" w:pos="879"/>
          <w:tab w:val="left" w:pos="896"/>
        </w:tabs>
      </w:pPr>
      <w:r>
        <w:tab/>
        <w:t>[Heading inserted by No. 78 of 2003 s. 17.]</w:t>
      </w:r>
    </w:p>
    <w:p>
      <w:pPr>
        <w:pStyle w:val="Heading5"/>
        <w:spacing w:before="180"/>
      </w:pPr>
      <w:bookmarkStart w:id="411" w:name="_Toc407628400"/>
      <w:bookmarkStart w:id="412" w:name="_Toc422302111"/>
      <w:r>
        <w:rPr>
          <w:rStyle w:val="CharSectno"/>
        </w:rPr>
        <w:t>93</w:t>
      </w:r>
      <w:r>
        <w:t>.</w:t>
      </w:r>
      <w:r>
        <w:tab/>
        <w:t>Laying documents before House of Parliament that is not sitting</w:t>
      </w:r>
      <w:bookmarkEnd w:id="411"/>
      <w:bookmarkEnd w:id="412"/>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by No. 78 of 2003 s. 17.]</w:t>
      </w:r>
    </w:p>
    <w:p>
      <w:pPr>
        <w:pStyle w:val="Heading2"/>
      </w:pPr>
      <w:bookmarkStart w:id="413" w:name="_Toc381872950"/>
      <w:bookmarkStart w:id="414" w:name="_Toc381873765"/>
      <w:bookmarkStart w:id="415" w:name="_Toc405978172"/>
      <w:bookmarkStart w:id="416" w:name="_Toc406054098"/>
      <w:bookmarkStart w:id="417" w:name="_Toc406078636"/>
      <w:bookmarkStart w:id="418" w:name="_Toc407628401"/>
      <w:bookmarkStart w:id="419" w:name="_Toc413243939"/>
      <w:bookmarkStart w:id="420" w:name="_Toc413321280"/>
      <w:bookmarkStart w:id="421" w:name="_Toc422302112"/>
      <w:r>
        <w:rPr>
          <w:rStyle w:val="CharPartNo"/>
        </w:rPr>
        <w:t>Part 6</w:t>
      </w:r>
      <w:r>
        <w:rPr>
          <w:b w:val="0"/>
        </w:rPr>
        <w:t> </w:t>
      </w:r>
      <w:r>
        <w:t>—</w:t>
      </w:r>
      <w:r>
        <w:rPr>
          <w:b w:val="0"/>
        </w:rPr>
        <w:t> </w:t>
      </w:r>
      <w:r>
        <w:rPr>
          <w:rStyle w:val="CharPartText"/>
        </w:rPr>
        <w:t>Powers</w:t>
      </w:r>
      <w:bookmarkEnd w:id="413"/>
      <w:bookmarkEnd w:id="414"/>
      <w:bookmarkEnd w:id="415"/>
      <w:bookmarkEnd w:id="416"/>
      <w:bookmarkEnd w:id="417"/>
      <w:bookmarkEnd w:id="418"/>
      <w:bookmarkEnd w:id="419"/>
      <w:bookmarkEnd w:id="420"/>
      <w:bookmarkEnd w:id="421"/>
    </w:p>
    <w:p>
      <w:pPr>
        <w:pStyle w:val="Footnoteheading"/>
        <w:tabs>
          <w:tab w:val="clear" w:pos="879"/>
          <w:tab w:val="left" w:pos="896"/>
        </w:tabs>
      </w:pPr>
      <w:r>
        <w:tab/>
        <w:t>[Heading inserted by No. 78 of 2003 s. 17.]</w:t>
      </w:r>
    </w:p>
    <w:p>
      <w:pPr>
        <w:pStyle w:val="Heading3"/>
      </w:pPr>
      <w:bookmarkStart w:id="422" w:name="_Toc381872951"/>
      <w:bookmarkStart w:id="423" w:name="_Toc381873766"/>
      <w:bookmarkStart w:id="424" w:name="_Toc405978173"/>
      <w:bookmarkStart w:id="425" w:name="_Toc406054099"/>
      <w:bookmarkStart w:id="426" w:name="_Toc406078637"/>
      <w:bookmarkStart w:id="427" w:name="_Toc407628402"/>
      <w:bookmarkStart w:id="428" w:name="_Toc413243940"/>
      <w:bookmarkStart w:id="429" w:name="_Toc413321281"/>
      <w:bookmarkStart w:id="430" w:name="_Toc422302113"/>
      <w:r>
        <w:rPr>
          <w:rStyle w:val="CharDivNo"/>
        </w:rPr>
        <w:t>Division 1</w:t>
      </w:r>
      <w:r>
        <w:t> — </w:t>
      </w:r>
      <w:r>
        <w:rPr>
          <w:rStyle w:val="CharDivText"/>
        </w:rPr>
        <w:t>Particular powers to require information or attendance</w:t>
      </w:r>
      <w:bookmarkEnd w:id="422"/>
      <w:bookmarkEnd w:id="423"/>
      <w:bookmarkEnd w:id="424"/>
      <w:bookmarkEnd w:id="425"/>
      <w:bookmarkEnd w:id="426"/>
      <w:bookmarkEnd w:id="427"/>
      <w:bookmarkEnd w:id="428"/>
      <w:bookmarkEnd w:id="429"/>
      <w:bookmarkEnd w:id="430"/>
    </w:p>
    <w:p>
      <w:pPr>
        <w:pStyle w:val="Footnoteheading"/>
        <w:tabs>
          <w:tab w:val="clear" w:pos="879"/>
          <w:tab w:val="left" w:pos="896"/>
        </w:tabs>
      </w:pPr>
      <w:r>
        <w:tab/>
        <w:t>[Heading inserted by No. 78 of 2003 s. 17.]</w:t>
      </w:r>
    </w:p>
    <w:p>
      <w:pPr>
        <w:pStyle w:val="Heading5"/>
      </w:pPr>
      <w:bookmarkStart w:id="431" w:name="_Toc407628403"/>
      <w:bookmarkStart w:id="432" w:name="_Toc422302114"/>
      <w:r>
        <w:rPr>
          <w:rStyle w:val="CharSectno"/>
        </w:rPr>
        <w:t>94</w:t>
      </w:r>
      <w:r>
        <w:t>.</w:t>
      </w:r>
      <w:r>
        <w:tab/>
        <w:t>Power to obtain information from public authority or officer</w:t>
      </w:r>
      <w:bookmarkEnd w:id="431"/>
      <w:bookmarkEnd w:id="432"/>
    </w:p>
    <w:p>
      <w:pPr>
        <w:pStyle w:val="Subsection"/>
      </w:pPr>
      <w:r>
        <w:tab/>
        <w:t>(1)</w:t>
      </w:r>
      <w:r>
        <w:tab/>
        <w:t>For the purposes of an investigation, the Commission may, by written notice served on a public authority or public officer, require the authority or officer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or public officer; and</w:t>
      </w:r>
    </w:p>
    <w:p>
      <w:pPr>
        <w:pStyle w:val="Indenta"/>
      </w:pPr>
      <w:r>
        <w:tab/>
        <w:t>(b)</w:t>
      </w:r>
      <w:r>
        <w:tab/>
        <w:t>may specify the person or class of persons who may so act.</w:t>
      </w:r>
    </w:p>
    <w:p>
      <w:pPr>
        <w:pStyle w:val="Subsection"/>
      </w:pPr>
      <w:r>
        <w:tab/>
        <w:t>(4)</w:t>
      </w:r>
      <w:r>
        <w:tab/>
        <w:t xml:space="preserve">The powers conferred by this section may be exercised despite —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by No. 78 of 2003 s. 17.]</w:t>
      </w:r>
    </w:p>
    <w:p>
      <w:pPr>
        <w:pStyle w:val="Heading5"/>
        <w:spacing w:before="180"/>
      </w:pPr>
      <w:bookmarkStart w:id="433" w:name="_Toc407628404"/>
      <w:bookmarkStart w:id="434" w:name="_Toc422302115"/>
      <w:r>
        <w:rPr>
          <w:rStyle w:val="CharSectno"/>
        </w:rPr>
        <w:t>95</w:t>
      </w:r>
      <w:r>
        <w:t>.</w:t>
      </w:r>
      <w:r>
        <w:tab/>
        <w:t>Power to obtain documents and other things</w:t>
      </w:r>
      <w:bookmarkEnd w:id="433"/>
      <w:bookmarkEnd w:id="434"/>
    </w:p>
    <w:p>
      <w:pPr>
        <w:pStyle w:val="Subsection"/>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by No. 78 of 2003 s. 17.]</w:t>
      </w:r>
    </w:p>
    <w:p>
      <w:pPr>
        <w:pStyle w:val="Heading5"/>
        <w:keepLines w:val="0"/>
        <w:spacing w:before="180"/>
      </w:pPr>
      <w:bookmarkStart w:id="435" w:name="_Toc407628405"/>
      <w:bookmarkStart w:id="436" w:name="_Toc422302116"/>
      <w:r>
        <w:rPr>
          <w:rStyle w:val="CharSectno"/>
        </w:rPr>
        <w:t>96</w:t>
      </w:r>
      <w:r>
        <w:t>.</w:t>
      </w:r>
      <w:r>
        <w:tab/>
        <w:t>Power to summon witnesses to attend and produce things</w:t>
      </w:r>
      <w:bookmarkEnd w:id="435"/>
      <w:bookmarkEnd w:id="436"/>
    </w:p>
    <w:p>
      <w:pPr>
        <w:pStyle w:val="Subsection"/>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by No. 78 of 2003 s. 17.]</w:t>
      </w:r>
    </w:p>
    <w:p>
      <w:pPr>
        <w:pStyle w:val="Heading5"/>
      </w:pPr>
      <w:bookmarkStart w:id="437" w:name="_Toc407628406"/>
      <w:bookmarkStart w:id="438" w:name="_Toc422302117"/>
      <w:r>
        <w:rPr>
          <w:rStyle w:val="CharSectno"/>
        </w:rPr>
        <w:t>97</w:t>
      </w:r>
      <w:r>
        <w:t>.</w:t>
      </w:r>
      <w:r>
        <w:tab/>
        <w:t>Witnesses to attend until released</w:t>
      </w:r>
      <w:bookmarkEnd w:id="437"/>
      <w:bookmarkEnd w:id="438"/>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by No. 78 of 2003 s. 17.]</w:t>
      </w:r>
    </w:p>
    <w:p>
      <w:pPr>
        <w:pStyle w:val="Heading5"/>
      </w:pPr>
      <w:bookmarkStart w:id="439" w:name="_Toc407628407"/>
      <w:bookmarkStart w:id="440" w:name="_Toc422302118"/>
      <w:r>
        <w:rPr>
          <w:rStyle w:val="CharSectno"/>
        </w:rPr>
        <w:t>98</w:t>
      </w:r>
      <w:r>
        <w:t>.</w:t>
      </w:r>
      <w:r>
        <w:tab/>
        <w:t>Powers in relation to things produced</w:t>
      </w:r>
      <w:bookmarkEnd w:id="439"/>
      <w:bookmarkEnd w:id="440"/>
    </w:p>
    <w:p>
      <w:pPr>
        <w:pStyle w:val="Subsection"/>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by No. 78 of 2003 s. 17.]</w:t>
      </w:r>
    </w:p>
    <w:p>
      <w:pPr>
        <w:pStyle w:val="Heading5"/>
      </w:pPr>
      <w:bookmarkStart w:id="441" w:name="_Toc407628408"/>
      <w:bookmarkStart w:id="442" w:name="_Toc422302119"/>
      <w:r>
        <w:rPr>
          <w:rStyle w:val="CharSectno"/>
        </w:rPr>
        <w:t>99</w:t>
      </w:r>
      <w:r>
        <w:t>.</w:t>
      </w:r>
      <w:r>
        <w:tab/>
        <w:t>Notation on notice or summons to restrict disclosure</w:t>
      </w:r>
      <w:bookmarkEnd w:id="441"/>
      <w:bookmarkEnd w:id="442"/>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pPr>
      <w:r>
        <w:tab/>
        <w:t>(6)</w:t>
      </w:r>
      <w:r>
        <w:tab/>
        <w:t>If the notation is included, it must be accompanied by a written statement describing the effect of section 167.</w:t>
      </w:r>
    </w:p>
    <w:p>
      <w:pPr>
        <w:pStyle w:val="Subsection"/>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by No. 78 of 2003 s. 17.]</w:t>
      </w:r>
    </w:p>
    <w:p>
      <w:pPr>
        <w:pStyle w:val="Heading3"/>
        <w:spacing w:before="200"/>
      </w:pPr>
      <w:bookmarkStart w:id="443" w:name="_Toc381872958"/>
      <w:bookmarkStart w:id="444" w:name="_Toc381873773"/>
      <w:bookmarkStart w:id="445" w:name="_Toc405978180"/>
      <w:bookmarkStart w:id="446" w:name="_Toc406054106"/>
      <w:bookmarkStart w:id="447" w:name="_Toc406078644"/>
      <w:bookmarkStart w:id="448" w:name="_Toc407628409"/>
      <w:bookmarkStart w:id="449" w:name="_Toc413243947"/>
      <w:bookmarkStart w:id="450" w:name="_Toc413321288"/>
      <w:bookmarkStart w:id="451" w:name="_Toc422302120"/>
      <w:r>
        <w:rPr>
          <w:rStyle w:val="CharDivNo"/>
        </w:rPr>
        <w:t>Division 2</w:t>
      </w:r>
      <w:r>
        <w:t> — </w:t>
      </w:r>
      <w:r>
        <w:rPr>
          <w:rStyle w:val="CharDivText"/>
        </w:rPr>
        <w:t>Entry, search and related matters</w:t>
      </w:r>
      <w:bookmarkEnd w:id="443"/>
      <w:bookmarkEnd w:id="444"/>
      <w:bookmarkEnd w:id="445"/>
      <w:bookmarkEnd w:id="446"/>
      <w:bookmarkEnd w:id="447"/>
      <w:bookmarkEnd w:id="448"/>
      <w:bookmarkEnd w:id="449"/>
      <w:bookmarkEnd w:id="450"/>
      <w:bookmarkEnd w:id="451"/>
    </w:p>
    <w:p>
      <w:pPr>
        <w:pStyle w:val="Footnoteheading"/>
        <w:tabs>
          <w:tab w:val="clear" w:pos="879"/>
          <w:tab w:val="left" w:pos="896"/>
        </w:tabs>
        <w:spacing w:before="100"/>
      </w:pPr>
      <w:r>
        <w:tab/>
        <w:t>[Heading inserted by No. 78 of 2003 s. 17.]</w:t>
      </w:r>
    </w:p>
    <w:p>
      <w:pPr>
        <w:pStyle w:val="Heading5"/>
        <w:spacing w:before="180"/>
      </w:pPr>
      <w:bookmarkStart w:id="452" w:name="_Toc407628410"/>
      <w:bookmarkStart w:id="453" w:name="_Toc422302121"/>
      <w:r>
        <w:rPr>
          <w:rStyle w:val="CharSectno"/>
        </w:rPr>
        <w:t>100</w:t>
      </w:r>
      <w:r>
        <w:t>.</w:t>
      </w:r>
      <w:r>
        <w:tab/>
        <w:t>Power to enter and search premises of public authority or officer</w:t>
      </w:r>
      <w:bookmarkEnd w:id="452"/>
      <w:bookmarkEnd w:id="453"/>
    </w:p>
    <w:p>
      <w:pPr>
        <w:pStyle w:val="Subsection"/>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or public officer.</w:t>
      </w:r>
    </w:p>
    <w:p>
      <w:pPr>
        <w:pStyle w:val="Footnotesection"/>
      </w:pPr>
      <w:r>
        <w:tab/>
        <w:t>[Section 100 inserted by No. 78 of 2003 s. 17.]</w:t>
      </w:r>
    </w:p>
    <w:p>
      <w:pPr>
        <w:pStyle w:val="Heading5"/>
      </w:pPr>
      <w:bookmarkStart w:id="454" w:name="_Toc407628411"/>
      <w:bookmarkStart w:id="455" w:name="_Toc422302122"/>
      <w:r>
        <w:rPr>
          <w:rStyle w:val="CharSectno"/>
        </w:rPr>
        <w:t>101</w:t>
      </w:r>
      <w:r>
        <w:t>.</w:t>
      </w:r>
      <w:r>
        <w:tab/>
        <w:t>Search warrants, issue and effect of</w:t>
      </w:r>
      <w:bookmarkEnd w:id="454"/>
      <w:bookmarkEnd w:id="455"/>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The person or persons on whom authority is conferred by a warrant may be accompanied by such other persons as are 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spacing w:before="180"/>
      </w:pPr>
      <w:r>
        <w:tab/>
        <w:t>(8)</w:t>
      </w:r>
      <w:r>
        <w:tab/>
        <w:t>Before an authorised person acting under a warrant uses force that may cause damage to any property in order to gain access 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by No. 78 of 2003 s. 17; amended by No. 59 of 2006 s. 10.]</w:t>
      </w:r>
    </w:p>
    <w:p>
      <w:pPr>
        <w:pStyle w:val="Heading3"/>
      </w:pPr>
      <w:bookmarkStart w:id="456" w:name="_Toc381872961"/>
      <w:bookmarkStart w:id="457" w:name="_Toc381873776"/>
      <w:bookmarkStart w:id="458" w:name="_Toc405978183"/>
      <w:bookmarkStart w:id="459" w:name="_Toc406054109"/>
      <w:bookmarkStart w:id="460" w:name="_Toc406078647"/>
      <w:bookmarkStart w:id="461" w:name="_Toc407628412"/>
      <w:bookmarkStart w:id="462" w:name="_Toc413243950"/>
      <w:bookmarkStart w:id="463" w:name="_Toc413321291"/>
      <w:bookmarkStart w:id="464" w:name="_Toc422302123"/>
      <w:r>
        <w:rPr>
          <w:rStyle w:val="CharDivNo"/>
        </w:rPr>
        <w:t>Division 3</w:t>
      </w:r>
      <w:r>
        <w:t> — </w:t>
      </w:r>
      <w:r>
        <w:rPr>
          <w:rStyle w:val="CharDivText"/>
        </w:rPr>
        <w:t>Assumed identities</w:t>
      </w:r>
      <w:bookmarkEnd w:id="456"/>
      <w:bookmarkEnd w:id="457"/>
      <w:bookmarkEnd w:id="458"/>
      <w:bookmarkEnd w:id="459"/>
      <w:bookmarkEnd w:id="460"/>
      <w:bookmarkEnd w:id="461"/>
      <w:bookmarkEnd w:id="462"/>
      <w:bookmarkEnd w:id="463"/>
      <w:bookmarkEnd w:id="464"/>
    </w:p>
    <w:p>
      <w:pPr>
        <w:pStyle w:val="Footnoteheading"/>
        <w:tabs>
          <w:tab w:val="clear" w:pos="879"/>
          <w:tab w:val="left" w:pos="896"/>
        </w:tabs>
      </w:pPr>
      <w:r>
        <w:tab/>
        <w:t>[Heading inserted by No. 78 of 2003 s. 17.]</w:t>
      </w:r>
    </w:p>
    <w:p>
      <w:pPr>
        <w:pStyle w:val="Heading5"/>
      </w:pPr>
      <w:bookmarkStart w:id="465" w:name="_Toc407628413"/>
      <w:bookmarkStart w:id="466" w:name="_Toc422302124"/>
      <w:r>
        <w:rPr>
          <w:rStyle w:val="CharSectno"/>
        </w:rPr>
        <w:t>102</w:t>
      </w:r>
      <w:r>
        <w:t>.</w:t>
      </w:r>
      <w:r>
        <w:tab/>
        <w:t>Terms used</w:t>
      </w:r>
      <w:bookmarkEnd w:id="465"/>
      <w:bookmarkEnd w:id="466"/>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pPr>
      <w:r>
        <w:rPr>
          <w:b/>
        </w:rPr>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by No. 78 of 2003 s. 17; amended by No. 8 of 2009 s. 41(5).]</w:t>
      </w:r>
    </w:p>
    <w:p>
      <w:pPr>
        <w:pStyle w:val="Heading5"/>
      </w:pPr>
      <w:bookmarkStart w:id="467" w:name="_Toc407628414"/>
      <w:bookmarkStart w:id="468" w:name="_Toc422302125"/>
      <w:r>
        <w:rPr>
          <w:rStyle w:val="CharSectno"/>
        </w:rPr>
        <w:t>103</w:t>
      </w:r>
      <w:r>
        <w:t>.</w:t>
      </w:r>
      <w:r>
        <w:tab/>
        <w:t>Assumed identity approval, grant of</w:t>
      </w:r>
      <w:bookmarkEnd w:id="467"/>
      <w:bookmarkEnd w:id="468"/>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pPr>
      <w:r>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by No. 78 of 2003 s. 17.]</w:t>
      </w:r>
    </w:p>
    <w:p>
      <w:pPr>
        <w:pStyle w:val="Heading5"/>
      </w:pPr>
      <w:bookmarkStart w:id="469" w:name="_Toc407628415"/>
      <w:bookmarkStart w:id="470" w:name="_Toc422302126"/>
      <w:r>
        <w:rPr>
          <w:rStyle w:val="CharSectno"/>
        </w:rPr>
        <w:t>104</w:t>
      </w:r>
      <w:r>
        <w:t>.</w:t>
      </w:r>
      <w:r>
        <w:tab/>
        <w:t>What assumed identity approval authorises</w:t>
      </w:r>
      <w:bookmarkEnd w:id="469"/>
      <w:bookmarkEnd w:id="470"/>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spacing w:before="100"/>
      </w:pPr>
      <w:r>
        <w:tab/>
        <w:t>(a)</w:t>
      </w:r>
      <w:r>
        <w:tab/>
        <w:t>an officer acquires an assumed identity by obtaining evidence of the identity under the assumed identity, including by obtaining the making of an entry in any register or other record of information; and</w:t>
      </w:r>
    </w:p>
    <w:p>
      <w:pPr>
        <w:pStyle w:val="Indenta"/>
        <w:spacing w:before="100"/>
      </w:pPr>
      <w:r>
        <w:tab/>
        <w:t>(b)</w:t>
      </w:r>
      <w:r>
        <w:tab/>
        <w:t xml:space="preserve">an officer uses an assumed identity by — </w:t>
      </w:r>
    </w:p>
    <w:p>
      <w:pPr>
        <w:pStyle w:val="Indenti"/>
        <w:spacing w:before="100"/>
      </w:pPr>
      <w:r>
        <w:tab/>
        <w:t>(i)</w:t>
      </w:r>
      <w:r>
        <w:tab/>
        <w:t>representing it to be the officer’s true identity; or</w:t>
      </w:r>
    </w:p>
    <w:p>
      <w:pPr>
        <w:pStyle w:val="Indenti"/>
        <w:spacing w:before="100"/>
      </w:pPr>
      <w:r>
        <w:tab/>
        <w:t>(ii)</w:t>
      </w:r>
      <w:r>
        <w:tab/>
        <w:t>acting in a way that is consistent with such an identity rather than the officer’s real identity.</w:t>
      </w:r>
    </w:p>
    <w:p>
      <w:pPr>
        <w:pStyle w:val="Subsection"/>
      </w:pPr>
      <w:r>
        <w:tab/>
        <w:t>(4)</w:t>
      </w:r>
      <w:r>
        <w:tab/>
        <w:t xml:space="preserve">An assumed identity approval also authorises — </w:t>
      </w:r>
    </w:p>
    <w:p>
      <w:pPr>
        <w:pStyle w:val="Indenta"/>
        <w:spacing w:before="100"/>
      </w:pPr>
      <w:r>
        <w:tab/>
        <w:t>(a)</w:t>
      </w:r>
      <w:r>
        <w:tab/>
        <w:t>the making (by the officer to whom the approval applies or by the Commission) of any false or misleading representation about the officer, for the purposes of or in connection with the acquisition or use of the assumed identity by the officer; and</w:t>
      </w:r>
    </w:p>
    <w:p>
      <w:pPr>
        <w:pStyle w:val="Indenta"/>
        <w:spacing w:before="100"/>
      </w:pPr>
      <w:r>
        <w:tab/>
        <w:t>(b)</w:t>
      </w:r>
      <w:r>
        <w:tab/>
        <w:t>the use by the officer of the assumed identity to obtain evidence of the identity.</w:t>
      </w:r>
    </w:p>
    <w:p>
      <w:pPr>
        <w:pStyle w:val="Footnotesection"/>
      </w:pPr>
      <w:r>
        <w:tab/>
        <w:t>[Section 104 inserted by No. 78 of 2003 s. 17.]</w:t>
      </w:r>
    </w:p>
    <w:p>
      <w:pPr>
        <w:pStyle w:val="Heading5"/>
      </w:pPr>
      <w:bookmarkStart w:id="471" w:name="_Toc407628416"/>
      <w:bookmarkStart w:id="472" w:name="_Toc422302127"/>
      <w:r>
        <w:rPr>
          <w:rStyle w:val="CharSectno"/>
        </w:rPr>
        <w:t>105</w:t>
      </w:r>
      <w:r>
        <w:t>.</w:t>
      </w:r>
      <w:r>
        <w:tab/>
        <w:t>Issuing evidence of assumed identity</w:t>
      </w:r>
      <w:bookmarkEnd w:id="471"/>
      <w:bookmarkEnd w:id="472"/>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pPr>
      <w:r>
        <w:rPr>
          <w:b/>
        </w:rPr>
        <w:tab/>
      </w:r>
      <w:r>
        <w:rPr>
          <w:rStyle w:val="CharDefText"/>
        </w:rPr>
        <w:t>appropriate entry</w:t>
      </w:r>
      <w:r>
        <w:t>, in respect of an assumed identity, means a written or electronic entry that, either alone or with other entries, is not inconsistent with the assumed identity being a real identity.</w:t>
      </w:r>
    </w:p>
    <w:p>
      <w:pPr>
        <w:pStyle w:val="Footnotesection"/>
      </w:pPr>
      <w:r>
        <w:tab/>
        <w:t>[Section 105 inserted by No. 78 of 2003 s. 17.]</w:t>
      </w:r>
    </w:p>
    <w:p>
      <w:pPr>
        <w:pStyle w:val="Heading5"/>
      </w:pPr>
      <w:bookmarkStart w:id="473" w:name="_Toc407628417"/>
      <w:bookmarkStart w:id="474" w:name="_Toc422302128"/>
      <w:r>
        <w:rPr>
          <w:rStyle w:val="CharSectno"/>
        </w:rPr>
        <w:t>106</w:t>
      </w:r>
      <w:r>
        <w:t>.</w:t>
      </w:r>
      <w:r>
        <w:tab/>
        <w:t>Court orders as to entries in register</w:t>
      </w:r>
      <w:bookmarkEnd w:id="473"/>
      <w:bookmarkEnd w:id="474"/>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by No. 78 of 2003 s. 17.]</w:t>
      </w:r>
    </w:p>
    <w:p>
      <w:pPr>
        <w:pStyle w:val="Heading5"/>
      </w:pPr>
      <w:bookmarkStart w:id="475" w:name="_Toc407628418"/>
      <w:bookmarkStart w:id="476" w:name="_Toc422302129"/>
      <w:r>
        <w:rPr>
          <w:rStyle w:val="CharSectno"/>
        </w:rPr>
        <w:t>107</w:t>
      </w:r>
      <w:r>
        <w:t>.</w:t>
      </w:r>
      <w:r>
        <w:tab/>
        <w:t>Hearing of application under s. 106 or 109</w:t>
      </w:r>
      <w:bookmarkEnd w:id="475"/>
      <w:bookmarkEnd w:id="476"/>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pPr>
      <w:r>
        <w:tab/>
        <w:t>(4)</w:t>
      </w:r>
      <w:r>
        <w:tab/>
        <w:t>Nothing in this section prevents a person who was present at an application from giving oral evidence to a court about things that happened at the application.</w:t>
      </w:r>
    </w:p>
    <w:p>
      <w:pPr>
        <w:pStyle w:val="Footnotesection"/>
      </w:pPr>
      <w:r>
        <w:tab/>
        <w:t>[Section 107 inserted by No. 78 of 2003 s. 17.]</w:t>
      </w:r>
    </w:p>
    <w:p>
      <w:pPr>
        <w:pStyle w:val="Heading5"/>
      </w:pPr>
      <w:bookmarkStart w:id="477" w:name="_Toc407628419"/>
      <w:bookmarkStart w:id="478" w:name="_Toc422302130"/>
      <w:r>
        <w:rPr>
          <w:rStyle w:val="CharSectno"/>
        </w:rPr>
        <w:t>108</w:t>
      </w:r>
      <w:r>
        <w:t>.</w:t>
      </w:r>
      <w:r>
        <w:tab/>
        <w:t>Cancellation of evidence of assumed identity</w:t>
      </w:r>
      <w:bookmarkEnd w:id="477"/>
      <w:bookmarkEnd w:id="478"/>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by No. 78 of 2003 s. 17.]</w:t>
      </w:r>
    </w:p>
    <w:p>
      <w:pPr>
        <w:pStyle w:val="Heading5"/>
      </w:pPr>
      <w:bookmarkStart w:id="479" w:name="_Toc407628420"/>
      <w:bookmarkStart w:id="480" w:name="_Toc422302131"/>
      <w:r>
        <w:rPr>
          <w:rStyle w:val="CharSectno"/>
        </w:rPr>
        <w:t>109</w:t>
      </w:r>
      <w:r>
        <w:t>.</w:t>
      </w:r>
      <w:r>
        <w:tab/>
        <w:t>Cancellation of approval affecting entry in register</w:t>
      </w:r>
      <w:bookmarkEnd w:id="479"/>
      <w:bookmarkEnd w:id="480"/>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by No. 78 of 2003 s. 17.]</w:t>
      </w:r>
    </w:p>
    <w:p>
      <w:pPr>
        <w:pStyle w:val="Heading5"/>
      </w:pPr>
      <w:bookmarkStart w:id="481" w:name="_Toc407628421"/>
      <w:bookmarkStart w:id="482" w:name="_Toc422302132"/>
      <w:r>
        <w:rPr>
          <w:rStyle w:val="CharSectno"/>
        </w:rPr>
        <w:t>110</w:t>
      </w:r>
      <w:r>
        <w:t>.</w:t>
      </w:r>
      <w:r>
        <w:tab/>
        <w:t>Court may order entries in register to be cancelled</w:t>
      </w:r>
      <w:bookmarkEnd w:id="481"/>
      <w:bookmarkEnd w:id="482"/>
    </w:p>
    <w:p>
      <w:pPr>
        <w:pStyle w:val="Subsection"/>
      </w:pPr>
      <w:r>
        <w:tab/>
        <w:t>(1)</w:t>
      </w:r>
      <w:r>
        <w:tab/>
        <w:t>On application of the Commission, a judge of the Supreme Court may order the Registrar to cancel an entry that has been made in a register under an order under section 106.</w:t>
      </w:r>
    </w:p>
    <w:p>
      <w:pPr>
        <w:pStyle w:val="Subsection"/>
      </w:pPr>
      <w:r>
        <w:tab/>
        <w:t>(2)</w:t>
      </w:r>
      <w:r>
        <w:tab/>
        <w:t>The Registrar must give effect to the order within 28 days after the day on which the order is made.</w:t>
      </w:r>
    </w:p>
    <w:p>
      <w:pPr>
        <w:pStyle w:val="Footnotesection"/>
      </w:pPr>
      <w:r>
        <w:tab/>
        <w:t>[Section 110 inserted by No. 78 of 2003 s. 17.]</w:t>
      </w:r>
    </w:p>
    <w:p>
      <w:pPr>
        <w:pStyle w:val="Heading5"/>
      </w:pPr>
      <w:bookmarkStart w:id="483" w:name="_Toc407628422"/>
      <w:bookmarkStart w:id="484" w:name="_Toc422302133"/>
      <w:r>
        <w:rPr>
          <w:rStyle w:val="CharSectno"/>
        </w:rPr>
        <w:t>111</w:t>
      </w:r>
      <w:r>
        <w:t>.</w:t>
      </w:r>
      <w:r>
        <w:tab/>
        <w:t>Protection from liability</w:t>
      </w:r>
      <w:bookmarkEnd w:id="483"/>
      <w:bookmarkEnd w:id="484"/>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by No. 78 of 2003 s. 17.]</w:t>
      </w:r>
    </w:p>
    <w:p>
      <w:pPr>
        <w:pStyle w:val="Heading5"/>
      </w:pPr>
      <w:bookmarkStart w:id="485" w:name="_Toc407628423"/>
      <w:bookmarkStart w:id="486" w:name="_Toc422302134"/>
      <w:r>
        <w:rPr>
          <w:rStyle w:val="CharSectno"/>
        </w:rPr>
        <w:t>112</w:t>
      </w:r>
      <w:r>
        <w:t>.</w:t>
      </w:r>
      <w:r>
        <w:tab/>
        <w:t>Commission to indemnify agencies and officers</w:t>
      </w:r>
      <w:bookmarkEnd w:id="485"/>
      <w:bookmarkEnd w:id="486"/>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by No. 78 of 2003 s. 17.]</w:t>
      </w:r>
    </w:p>
    <w:p>
      <w:pPr>
        <w:pStyle w:val="Heading5"/>
      </w:pPr>
      <w:bookmarkStart w:id="487" w:name="_Toc407628424"/>
      <w:bookmarkStart w:id="488" w:name="_Toc422302135"/>
      <w:r>
        <w:rPr>
          <w:rStyle w:val="CharSectno"/>
        </w:rPr>
        <w:t>113</w:t>
      </w:r>
      <w:r>
        <w:t>.</w:t>
      </w:r>
      <w:r>
        <w:tab/>
        <w:t>Operation of s. 111 and 112 limited in some cases</w:t>
      </w:r>
      <w:bookmarkEnd w:id="487"/>
      <w:bookmarkEnd w:id="488"/>
    </w:p>
    <w:p>
      <w:pPr>
        <w:pStyle w:val="Subsection"/>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by No. 78 of 2003 s. 17.]</w:t>
      </w:r>
    </w:p>
    <w:p>
      <w:pPr>
        <w:pStyle w:val="Heading5"/>
      </w:pPr>
      <w:bookmarkStart w:id="489" w:name="_Toc407628425"/>
      <w:bookmarkStart w:id="490" w:name="_Toc422302136"/>
      <w:r>
        <w:rPr>
          <w:rStyle w:val="CharSectno"/>
        </w:rPr>
        <w:t>114</w:t>
      </w:r>
      <w:r>
        <w:t>.</w:t>
      </w:r>
      <w:r>
        <w:tab/>
        <w:t>Identity of certain officers not to be disclosed in legal proceedings</w:t>
      </w:r>
      <w:bookmarkEnd w:id="489"/>
      <w:bookmarkEnd w:id="490"/>
    </w:p>
    <w:p>
      <w:pPr>
        <w:pStyle w:val="Subsection"/>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pPr>
      <w:r>
        <w:tab/>
        <w:t>(2)</w:t>
      </w:r>
      <w:r>
        <w:tab/>
        <w:t xml:space="preserve">If, in proceedings before a court, the identity of an officer of the Commission in respect of whom an assumed identity approval is 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4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by No. 78 of 2003 s. 17.]</w:t>
      </w:r>
    </w:p>
    <w:p>
      <w:pPr>
        <w:pStyle w:val="Heading5"/>
      </w:pPr>
      <w:bookmarkStart w:id="491" w:name="_Toc407628426"/>
      <w:bookmarkStart w:id="492" w:name="_Toc422302137"/>
      <w:r>
        <w:rPr>
          <w:rStyle w:val="CharSectno"/>
        </w:rPr>
        <w:t>115</w:t>
      </w:r>
      <w:r>
        <w:t>.</w:t>
      </w:r>
      <w:r>
        <w:tab/>
        <w:t>Information about identity not to be disclosed</w:t>
      </w:r>
      <w:bookmarkEnd w:id="491"/>
      <w:bookmarkEnd w:id="492"/>
    </w:p>
    <w:p>
      <w:pPr>
        <w:pStyle w:val="Subsection"/>
        <w:keepNext/>
        <w:keepLines/>
        <w:spacing w:before="14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pPr>
      <w:r>
        <w:tab/>
        <w:t>Penalty: Imprisonment for 5 years and a fine of $100 000.</w:t>
      </w:r>
    </w:p>
    <w:p>
      <w:pPr>
        <w:pStyle w:val="Footnotesection"/>
        <w:spacing w:before="100"/>
        <w:ind w:left="890" w:hanging="890"/>
      </w:pPr>
      <w:r>
        <w:tab/>
        <w:t>[Section 115 inserted by No. 78 of 2003 s. 17.]</w:t>
      </w:r>
    </w:p>
    <w:p>
      <w:pPr>
        <w:pStyle w:val="Heading5"/>
      </w:pPr>
      <w:bookmarkStart w:id="493" w:name="_Toc407628427"/>
      <w:bookmarkStart w:id="494" w:name="_Toc422302138"/>
      <w:r>
        <w:rPr>
          <w:rStyle w:val="CharSectno"/>
        </w:rPr>
        <w:t>116</w:t>
      </w:r>
      <w:r>
        <w:t>.</w:t>
      </w:r>
      <w:r>
        <w:tab/>
        <w:t>Misuse of assumed identity</w:t>
      </w:r>
      <w:bookmarkEnd w:id="493"/>
      <w:bookmarkEnd w:id="494"/>
    </w:p>
    <w:p>
      <w:pPr>
        <w:pStyle w:val="Subsection"/>
        <w:spacing w:before="14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40"/>
      </w:pPr>
      <w:r>
        <w:tab/>
        <w:t>(2)</w:t>
      </w:r>
      <w:r>
        <w:tab/>
        <w:t xml:space="preserve">For the purposes of subsection (1), an officer of the Commission misuses an assumed identity covered by an approval if — </w:t>
      </w:r>
    </w:p>
    <w:p>
      <w:pPr>
        <w:pStyle w:val="Indenta"/>
        <w:spacing w:before="60"/>
      </w:pPr>
      <w:r>
        <w:tab/>
        <w:t>(a)</w:t>
      </w:r>
      <w:r>
        <w:tab/>
        <w:t>the officer acquires evidence of, or uses, the assumed identity; and</w:t>
      </w:r>
    </w:p>
    <w:p>
      <w:pPr>
        <w:pStyle w:val="Indenta"/>
        <w:spacing w:before="60"/>
      </w:pPr>
      <w:r>
        <w:tab/>
        <w:t>(b)</w:t>
      </w:r>
      <w:r>
        <w:tab/>
        <w:t xml:space="preserve">the acquisition or use is not — </w:t>
      </w:r>
    </w:p>
    <w:p>
      <w:pPr>
        <w:pStyle w:val="Indenti"/>
        <w:spacing w:before="60"/>
      </w:pPr>
      <w:r>
        <w:tab/>
        <w:t>(i)</w:t>
      </w:r>
      <w:r>
        <w:tab/>
        <w:t>in accordance with the approval; and</w:t>
      </w:r>
    </w:p>
    <w:p>
      <w:pPr>
        <w:pStyle w:val="Indenti"/>
        <w:spacing w:before="60"/>
      </w:pPr>
      <w:r>
        <w:tab/>
        <w:t>(ii)</w:t>
      </w:r>
      <w:r>
        <w:tab/>
        <w:t>in the course of duty.</w:t>
      </w:r>
    </w:p>
    <w:p>
      <w:pPr>
        <w:pStyle w:val="Footnotesection"/>
        <w:spacing w:before="100"/>
        <w:ind w:left="890" w:hanging="890"/>
      </w:pPr>
      <w:r>
        <w:tab/>
        <w:t>[Section 116 inserted by No. 78 of 2003 s. 17.]</w:t>
      </w:r>
    </w:p>
    <w:p>
      <w:pPr>
        <w:pStyle w:val="Heading5"/>
      </w:pPr>
      <w:bookmarkStart w:id="495" w:name="_Toc407628428"/>
      <w:bookmarkStart w:id="496" w:name="_Toc422302139"/>
      <w:r>
        <w:rPr>
          <w:rStyle w:val="CharSectno"/>
        </w:rPr>
        <w:t>117</w:t>
      </w:r>
      <w:r>
        <w:t>.</w:t>
      </w:r>
      <w:r>
        <w:tab/>
        <w:t>Admissibility of certain Commission documents</w:t>
      </w:r>
      <w:bookmarkEnd w:id="495"/>
      <w:bookmarkEnd w:id="496"/>
    </w:p>
    <w:p>
      <w:pPr>
        <w:pStyle w:val="Subsection"/>
      </w:pPr>
      <w:r>
        <w:tab/>
        <w:t>(1)</w:t>
      </w:r>
      <w:r>
        <w:tab/>
        <w:t>A document purporting to be an approval granted by the Commission is admissible in any legal proceedings.</w:t>
      </w:r>
    </w:p>
    <w:p>
      <w:pPr>
        <w:pStyle w:val="Subsection"/>
      </w:pPr>
      <w:r>
        <w:tab/>
        <w:t>(2)</w:t>
      </w:r>
      <w:r>
        <w:tab/>
        <w:t xml:space="preserve">A certificate signed by the Commission stating that — </w:t>
      </w:r>
    </w:p>
    <w:p>
      <w:pPr>
        <w:pStyle w:val="Indenta"/>
      </w:pPr>
      <w:r>
        <w:tab/>
        <w:t>(a)</w:t>
      </w:r>
      <w:r>
        <w:tab/>
        <w:t>a person is authorised by this Division to prepare and provide a specified document or make a specified entry; or</w:t>
      </w:r>
    </w:p>
    <w:p>
      <w:pPr>
        <w:pStyle w:val="Indenta"/>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by No. 78 of 2003 s. 17.]</w:t>
      </w:r>
    </w:p>
    <w:p>
      <w:pPr>
        <w:pStyle w:val="Heading5"/>
      </w:pPr>
      <w:bookmarkStart w:id="497" w:name="_Toc407628429"/>
      <w:bookmarkStart w:id="498" w:name="_Toc422302140"/>
      <w:r>
        <w:rPr>
          <w:rStyle w:val="CharSectno"/>
        </w:rPr>
        <w:t>118</w:t>
      </w:r>
      <w:r>
        <w:t>.</w:t>
      </w:r>
      <w:r>
        <w:tab/>
        <w:t>Assumed identity approvals to be reviewed periodically</w:t>
      </w:r>
      <w:bookmarkEnd w:id="497"/>
      <w:bookmarkEnd w:id="498"/>
    </w:p>
    <w:p>
      <w:pPr>
        <w:pStyle w:val="Subsection"/>
      </w:pPr>
      <w:r>
        <w:tab/>
      </w:r>
      <w:r>
        <w:tab/>
        <w:t>The Commission must review each assumed identity approval at least once every 6 months while the approval is in force.</w:t>
      </w:r>
    </w:p>
    <w:p>
      <w:pPr>
        <w:pStyle w:val="Footnotesection"/>
      </w:pPr>
      <w:r>
        <w:tab/>
        <w:t>[Section 118 inserted by No. 78 of 2003 s. 17.]</w:t>
      </w:r>
    </w:p>
    <w:p>
      <w:pPr>
        <w:pStyle w:val="Heading3"/>
      </w:pPr>
      <w:bookmarkStart w:id="499" w:name="_Toc381872979"/>
      <w:bookmarkStart w:id="500" w:name="_Toc381873794"/>
      <w:bookmarkStart w:id="501" w:name="_Toc405978201"/>
      <w:bookmarkStart w:id="502" w:name="_Toc406054127"/>
      <w:bookmarkStart w:id="503" w:name="_Toc406078665"/>
      <w:bookmarkStart w:id="504" w:name="_Toc407628430"/>
      <w:bookmarkStart w:id="505" w:name="_Toc413243968"/>
      <w:bookmarkStart w:id="506" w:name="_Toc413321309"/>
      <w:bookmarkStart w:id="507" w:name="_Toc422302141"/>
      <w:r>
        <w:rPr>
          <w:rStyle w:val="CharDivNo"/>
        </w:rPr>
        <w:t>Division 4</w:t>
      </w:r>
      <w:r>
        <w:t> — </w:t>
      </w:r>
      <w:r>
        <w:rPr>
          <w:rStyle w:val="CharDivText"/>
        </w:rPr>
        <w:t>Controlled operations and integrity testing programmes</w:t>
      </w:r>
      <w:bookmarkEnd w:id="499"/>
      <w:bookmarkEnd w:id="500"/>
      <w:bookmarkEnd w:id="501"/>
      <w:bookmarkEnd w:id="502"/>
      <w:bookmarkEnd w:id="503"/>
      <w:bookmarkEnd w:id="504"/>
      <w:bookmarkEnd w:id="505"/>
      <w:bookmarkEnd w:id="506"/>
      <w:bookmarkEnd w:id="507"/>
    </w:p>
    <w:p>
      <w:pPr>
        <w:pStyle w:val="Footnoteheading"/>
        <w:tabs>
          <w:tab w:val="clear" w:pos="879"/>
          <w:tab w:val="left" w:pos="896"/>
        </w:tabs>
      </w:pPr>
      <w:r>
        <w:tab/>
        <w:t>[Heading inserted by No. 78 of 2003 s. 17.]</w:t>
      </w:r>
    </w:p>
    <w:p>
      <w:pPr>
        <w:pStyle w:val="Heading5"/>
      </w:pPr>
      <w:bookmarkStart w:id="508" w:name="_Toc407628431"/>
      <w:bookmarkStart w:id="509" w:name="_Toc422302142"/>
      <w:r>
        <w:rPr>
          <w:rStyle w:val="CharSectno"/>
        </w:rPr>
        <w:t>119</w:t>
      </w:r>
      <w:r>
        <w:t>.</w:t>
      </w:r>
      <w:r>
        <w:tab/>
        <w:t>Terms used</w:t>
      </w:r>
      <w:bookmarkEnd w:id="508"/>
      <w:bookmarkEnd w:id="509"/>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of misconduct; and</w:t>
      </w:r>
    </w:p>
    <w:p>
      <w:pPr>
        <w:pStyle w:val="Defpara"/>
      </w:pPr>
      <w:r>
        <w:tab/>
        <w:t>(b)</w:t>
      </w:r>
      <w:r>
        <w:tab/>
        <w:t>involves or may involve a controlled activity;</w:t>
      </w:r>
    </w:p>
    <w:p>
      <w:pPr>
        <w:pStyle w:val="Defstar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by No. 78 of 2003 s. 17.]</w:t>
      </w:r>
    </w:p>
    <w:p>
      <w:pPr>
        <w:pStyle w:val="Heading5"/>
      </w:pPr>
      <w:bookmarkStart w:id="510" w:name="_Toc407628432"/>
      <w:bookmarkStart w:id="511" w:name="_Toc422302143"/>
      <w:r>
        <w:rPr>
          <w:rStyle w:val="CharSectno"/>
        </w:rPr>
        <w:t>120</w:t>
      </w:r>
      <w:r>
        <w:t>.</w:t>
      </w:r>
      <w:r>
        <w:tab/>
        <w:t>Division does not limit certain court powers</w:t>
      </w:r>
      <w:bookmarkEnd w:id="510"/>
      <w:bookmarkEnd w:id="511"/>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by No. 78 of 2003 s. 17.]</w:t>
      </w:r>
    </w:p>
    <w:p>
      <w:pPr>
        <w:pStyle w:val="Heading5"/>
      </w:pPr>
      <w:bookmarkStart w:id="512" w:name="_Toc407628433"/>
      <w:bookmarkStart w:id="513" w:name="_Toc422302144"/>
      <w:r>
        <w:rPr>
          <w:rStyle w:val="CharSectno"/>
        </w:rPr>
        <w:t>121</w:t>
      </w:r>
      <w:r>
        <w:t>.</w:t>
      </w:r>
      <w:r>
        <w:tab/>
        <w:t>Controlled operation, grant of authority to conduct</w:t>
      </w:r>
      <w:bookmarkEnd w:id="512"/>
      <w:bookmarkEnd w:id="513"/>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pPr>
      <w:r>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20"/>
      </w:pPr>
      <w:r>
        <w:tab/>
      </w:r>
      <w:r>
        <w:tab/>
        <w:t>so long as the assumed identity, code name or code number can be matched to the person’s identity by reference to documentation kept by the Commission.</w:t>
      </w:r>
    </w:p>
    <w:p>
      <w:pPr>
        <w:pStyle w:val="Subsection"/>
        <w:spacing w:before="120"/>
      </w:pPr>
      <w:r>
        <w:tab/>
        <w:t>(5)</w:t>
      </w:r>
      <w:r>
        <w:tab/>
        <w:t>For the purposes of subsection (3)(c) a controlled operation may be identified by reference to a plan of the controlled operation held by the Commission.</w:t>
      </w:r>
    </w:p>
    <w:p>
      <w:pPr>
        <w:pStyle w:val="Subsection"/>
        <w:spacing w:before="120"/>
      </w:pPr>
      <w:r>
        <w:tab/>
        <w:t>(6)</w:t>
      </w:r>
      <w:r>
        <w:tab/>
        <w:t>The authority may be granted subject to conditions specified in the authority.</w:t>
      </w:r>
    </w:p>
    <w:p>
      <w:pPr>
        <w:pStyle w:val="Subsection"/>
        <w:keepLines/>
        <w:spacing w:before="12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spacing w:before="120"/>
      </w:pPr>
      <w:r>
        <w:tab/>
        <w:t>(8)</w:t>
      </w:r>
      <w:r>
        <w:tab/>
        <w:t>Unless it is sooner cancelled, an authority remains in force for the period specified in the authority.</w:t>
      </w:r>
    </w:p>
    <w:p>
      <w:pPr>
        <w:pStyle w:val="Footnotesection"/>
      </w:pPr>
      <w:r>
        <w:tab/>
        <w:t>[Section 121 inserted by No. 78 of 2003 s. 17.]</w:t>
      </w:r>
    </w:p>
    <w:p>
      <w:pPr>
        <w:pStyle w:val="Heading5"/>
        <w:spacing w:before="180"/>
      </w:pPr>
      <w:bookmarkStart w:id="514" w:name="_Toc407628434"/>
      <w:bookmarkStart w:id="515" w:name="_Toc422302145"/>
      <w:r>
        <w:rPr>
          <w:rStyle w:val="CharSectno"/>
        </w:rPr>
        <w:t>122</w:t>
      </w:r>
      <w:r>
        <w:t>.</w:t>
      </w:r>
      <w:r>
        <w:tab/>
        <w:t>Limits as to what may be done in, granting authority for, or who may take part in, controlled operation</w:t>
      </w:r>
      <w:bookmarkEnd w:id="514"/>
      <w:bookmarkEnd w:id="515"/>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by No. 78 of 2003 s. 17.]</w:t>
      </w:r>
    </w:p>
    <w:p>
      <w:pPr>
        <w:pStyle w:val="Heading5"/>
      </w:pPr>
      <w:bookmarkStart w:id="516" w:name="_Toc407628435"/>
      <w:bookmarkStart w:id="517" w:name="_Toc422302146"/>
      <w:r>
        <w:rPr>
          <w:rStyle w:val="CharSectno"/>
        </w:rPr>
        <w:t>123</w:t>
      </w:r>
      <w:r>
        <w:t>.</w:t>
      </w:r>
      <w:r>
        <w:tab/>
        <w:t>Integrity testing programme, grant of authority to conduct</w:t>
      </w:r>
      <w:bookmarkEnd w:id="516"/>
      <w:bookmarkEnd w:id="517"/>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by No. 78 of 2003 s. 17.]</w:t>
      </w:r>
    </w:p>
    <w:p>
      <w:pPr>
        <w:pStyle w:val="Heading5"/>
      </w:pPr>
      <w:bookmarkStart w:id="518" w:name="_Toc407628436"/>
      <w:bookmarkStart w:id="519" w:name="_Toc422302147"/>
      <w:r>
        <w:rPr>
          <w:rStyle w:val="CharSectno"/>
        </w:rPr>
        <w:t>124</w:t>
      </w:r>
      <w:r>
        <w:t>.</w:t>
      </w:r>
      <w:r>
        <w:tab/>
        <w:t>Varying an authority</w:t>
      </w:r>
      <w:bookmarkEnd w:id="518"/>
      <w:bookmarkEnd w:id="519"/>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by No. 78 of 2003 s. 17.]</w:t>
      </w:r>
    </w:p>
    <w:p>
      <w:pPr>
        <w:pStyle w:val="Heading5"/>
        <w:spacing w:before="180"/>
      </w:pPr>
      <w:bookmarkStart w:id="520" w:name="_Toc407628437"/>
      <w:bookmarkStart w:id="521" w:name="_Toc422302148"/>
      <w:r>
        <w:rPr>
          <w:rStyle w:val="CharSectno"/>
        </w:rPr>
        <w:t>125</w:t>
      </w:r>
      <w:r>
        <w:t>.</w:t>
      </w:r>
      <w:r>
        <w:tab/>
        <w:t>Cancelling authority</w:t>
      </w:r>
      <w:bookmarkEnd w:id="520"/>
      <w:bookmarkEnd w:id="521"/>
    </w:p>
    <w:p>
      <w:pPr>
        <w:pStyle w:val="Subsection"/>
      </w:pPr>
      <w:r>
        <w:tab/>
        <w:t>(1)</w:t>
      </w:r>
      <w:r>
        <w:tab/>
        <w:t>The Commission may, by order in writing, cancel an authority.</w:t>
      </w:r>
    </w:p>
    <w:p>
      <w:pPr>
        <w:pStyle w:val="Subsection"/>
      </w:pPr>
      <w:r>
        <w:tab/>
        <w:t>(2)</w:t>
      </w:r>
      <w:r>
        <w:tab/>
        <w:t>Cancellation of an authority takes effect at the time the order is made or at such later time as may be specified in the order.</w:t>
      </w:r>
    </w:p>
    <w:p>
      <w:pPr>
        <w:pStyle w:val="Footnotesection"/>
        <w:ind w:left="890" w:hanging="890"/>
      </w:pPr>
      <w:r>
        <w:tab/>
        <w:t>[Section 125 inserted by No. 78 of 2003 s. 17.]</w:t>
      </w:r>
    </w:p>
    <w:p>
      <w:pPr>
        <w:pStyle w:val="Heading5"/>
      </w:pPr>
      <w:bookmarkStart w:id="522" w:name="_Toc407628438"/>
      <w:bookmarkStart w:id="523" w:name="_Toc422302149"/>
      <w:r>
        <w:rPr>
          <w:rStyle w:val="CharSectno"/>
        </w:rPr>
        <w:t>126</w:t>
      </w:r>
      <w:r>
        <w:t>.</w:t>
      </w:r>
      <w:r>
        <w:tab/>
        <w:t>Effect of authority</w:t>
      </w:r>
      <w:bookmarkEnd w:id="522"/>
      <w:bookmarkEnd w:id="523"/>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by No. 78 of 2003 s. 17.]</w:t>
      </w:r>
    </w:p>
    <w:p>
      <w:pPr>
        <w:pStyle w:val="Heading5"/>
      </w:pPr>
      <w:bookmarkStart w:id="524" w:name="_Toc407628439"/>
      <w:bookmarkStart w:id="525" w:name="_Toc422302150"/>
      <w:r>
        <w:rPr>
          <w:rStyle w:val="CharSectno"/>
        </w:rPr>
        <w:t>127</w:t>
      </w:r>
      <w:r>
        <w:t>.</w:t>
      </w:r>
      <w:r>
        <w:tab/>
        <w:t>Defect in authority</w:t>
      </w:r>
      <w:bookmarkEnd w:id="524"/>
      <w:bookmarkEnd w:id="525"/>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by No. 78 of 2003 s. 17.]</w:t>
      </w:r>
    </w:p>
    <w:p>
      <w:pPr>
        <w:pStyle w:val="Heading5"/>
        <w:spacing w:before="200"/>
      </w:pPr>
      <w:bookmarkStart w:id="526" w:name="_Toc407628440"/>
      <w:bookmarkStart w:id="527" w:name="_Toc422302151"/>
      <w:r>
        <w:rPr>
          <w:rStyle w:val="CharSectno"/>
        </w:rPr>
        <w:t>128</w:t>
      </w:r>
      <w:r>
        <w:t>.</w:t>
      </w:r>
      <w:r>
        <w:tab/>
        <w:t>Protection from criminal responsibility for acts in authorised operation</w:t>
      </w:r>
      <w:bookmarkEnd w:id="526"/>
      <w:bookmarkEnd w:id="527"/>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by No. 78 of 2003 s. 17.]</w:t>
      </w:r>
    </w:p>
    <w:p>
      <w:pPr>
        <w:pStyle w:val="Heading5"/>
      </w:pPr>
      <w:bookmarkStart w:id="528" w:name="_Toc407628441"/>
      <w:bookmarkStart w:id="529" w:name="_Toc422302152"/>
      <w:r>
        <w:rPr>
          <w:rStyle w:val="CharSectno"/>
        </w:rPr>
        <w:t>129</w:t>
      </w:r>
      <w:r>
        <w:t>.</w:t>
      </w:r>
      <w:r>
        <w:tab/>
        <w:t>Indemnity against civil liability for officer participants</w:t>
      </w:r>
      <w:bookmarkEnd w:id="528"/>
      <w:bookmarkEnd w:id="529"/>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by No. 78 of 2003 s. 17.]</w:t>
      </w:r>
    </w:p>
    <w:p>
      <w:pPr>
        <w:pStyle w:val="Heading5"/>
      </w:pPr>
      <w:bookmarkStart w:id="530" w:name="_Toc407628442"/>
      <w:bookmarkStart w:id="531" w:name="_Toc422302153"/>
      <w:r>
        <w:rPr>
          <w:rStyle w:val="CharSectno"/>
        </w:rPr>
        <w:t>130</w:t>
      </w:r>
      <w:r>
        <w:t>.</w:t>
      </w:r>
      <w:r>
        <w:tab/>
        <w:t>Requirements to be met to obtain protection from criminal responsibility or indemnity</w:t>
      </w:r>
      <w:bookmarkEnd w:id="530"/>
      <w:bookmarkEnd w:id="531"/>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by No. 78 of 2003 s. 17.]</w:t>
      </w:r>
    </w:p>
    <w:p>
      <w:pPr>
        <w:pStyle w:val="Heading5"/>
      </w:pPr>
      <w:bookmarkStart w:id="532" w:name="_Toc407628443"/>
      <w:bookmarkStart w:id="533" w:name="_Toc422302154"/>
      <w:r>
        <w:rPr>
          <w:rStyle w:val="CharSectno"/>
        </w:rPr>
        <w:t>131</w:t>
      </w:r>
      <w:r>
        <w:t>.</w:t>
      </w:r>
      <w:r>
        <w:tab/>
        <w:t>Effect of being unaware of variation or cancellation of authority</w:t>
      </w:r>
      <w:bookmarkEnd w:id="532"/>
      <w:bookmarkEnd w:id="533"/>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by No. 78 of 2003 s. 17.]</w:t>
      </w:r>
    </w:p>
    <w:p>
      <w:pPr>
        <w:pStyle w:val="Heading5"/>
      </w:pPr>
      <w:bookmarkStart w:id="534" w:name="_Toc407628444"/>
      <w:bookmarkStart w:id="535" w:name="_Toc422302155"/>
      <w:r>
        <w:rPr>
          <w:rStyle w:val="CharSectno"/>
        </w:rPr>
        <w:t>132</w:t>
      </w:r>
      <w:r>
        <w:t>.</w:t>
      </w:r>
      <w:r>
        <w:tab/>
        <w:t>Protection from criminal responsibility for some ancillary activities</w:t>
      </w:r>
      <w:bookmarkEnd w:id="534"/>
      <w:bookmarkEnd w:id="535"/>
    </w:p>
    <w:p>
      <w:pPr>
        <w:pStyle w:val="Subsection"/>
      </w:pPr>
      <w:r>
        <w:tab/>
        <w:t>(1)</w:t>
      </w:r>
      <w:r>
        <w:tab/>
        <w:t xml:space="preserve">This section applies to an activity such as aiding and abetting the commission of an offence or of conspiring to commit an 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by No. 78 of 2003 s. 17.]</w:t>
      </w:r>
    </w:p>
    <w:p>
      <w:pPr>
        <w:pStyle w:val="Heading5"/>
      </w:pPr>
      <w:bookmarkStart w:id="536" w:name="_Toc407628445"/>
      <w:bookmarkStart w:id="537" w:name="_Toc422302156"/>
      <w:r>
        <w:rPr>
          <w:rStyle w:val="CharSectno"/>
        </w:rPr>
        <w:t>133</w:t>
      </w:r>
      <w:r>
        <w:t>.</w:t>
      </w:r>
      <w:r>
        <w:tab/>
        <w:t>Admissibility of certain Commission documents</w:t>
      </w:r>
      <w:bookmarkEnd w:id="536"/>
      <w:bookmarkEnd w:id="537"/>
    </w:p>
    <w:p>
      <w:pPr>
        <w:pStyle w:val="Subsection"/>
      </w:pPr>
      <w:r>
        <w:tab/>
        <w:t>(1)</w:t>
      </w:r>
      <w:r>
        <w:tab/>
        <w:t>A document purporting to be an authority granted by the Commissioner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by No. 78 of 2003 s. 17.]</w:t>
      </w:r>
    </w:p>
    <w:p>
      <w:pPr>
        <w:pStyle w:val="Heading5"/>
        <w:spacing w:before="180"/>
      </w:pPr>
      <w:bookmarkStart w:id="538" w:name="_Toc407628446"/>
      <w:bookmarkStart w:id="539" w:name="_Toc422302157"/>
      <w:r>
        <w:rPr>
          <w:rStyle w:val="CharSectno"/>
        </w:rPr>
        <w:t>134</w:t>
      </w:r>
      <w:r>
        <w:t>.</w:t>
      </w:r>
      <w:r>
        <w:tab/>
        <w:t>Identity of certain participants not to be disclosed in legal proceedings</w:t>
      </w:r>
      <w:bookmarkEnd w:id="538"/>
      <w:bookmarkEnd w:id="539"/>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by No. 78 of 2003 s. 17.]</w:t>
      </w:r>
    </w:p>
    <w:p>
      <w:pPr>
        <w:pStyle w:val="Heading3"/>
      </w:pPr>
      <w:bookmarkStart w:id="540" w:name="_Toc381872996"/>
      <w:bookmarkStart w:id="541" w:name="_Toc381873811"/>
      <w:bookmarkStart w:id="542" w:name="_Toc405978218"/>
      <w:bookmarkStart w:id="543" w:name="_Toc406054144"/>
      <w:bookmarkStart w:id="544" w:name="_Toc406078682"/>
      <w:bookmarkStart w:id="545" w:name="_Toc407628447"/>
      <w:bookmarkStart w:id="546" w:name="_Toc413243985"/>
      <w:bookmarkStart w:id="547" w:name="_Toc413321326"/>
      <w:bookmarkStart w:id="548" w:name="_Toc422302158"/>
      <w:r>
        <w:rPr>
          <w:rStyle w:val="CharDivNo"/>
        </w:rPr>
        <w:t>Division 5</w:t>
      </w:r>
      <w:r>
        <w:t> — </w:t>
      </w:r>
      <w:r>
        <w:rPr>
          <w:rStyle w:val="CharDivText"/>
        </w:rPr>
        <w:t>General</w:t>
      </w:r>
      <w:bookmarkEnd w:id="540"/>
      <w:bookmarkEnd w:id="541"/>
      <w:bookmarkEnd w:id="542"/>
      <w:bookmarkEnd w:id="543"/>
      <w:bookmarkEnd w:id="544"/>
      <w:bookmarkEnd w:id="545"/>
      <w:bookmarkEnd w:id="546"/>
      <w:bookmarkEnd w:id="547"/>
      <w:bookmarkEnd w:id="548"/>
    </w:p>
    <w:p>
      <w:pPr>
        <w:pStyle w:val="Footnoteheading"/>
        <w:keepNext/>
        <w:tabs>
          <w:tab w:val="clear" w:pos="879"/>
          <w:tab w:val="left" w:pos="896"/>
        </w:tabs>
      </w:pPr>
      <w:r>
        <w:tab/>
        <w:t>[Heading inserted by No. 78 of 2003 s. 17.]</w:t>
      </w:r>
    </w:p>
    <w:p>
      <w:pPr>
        <w:pStyle w:val="Heading5"/>
      </w:pPr>
      <w:bookmarkStart w:id="549" w:name="_Toc407628448"/>
      <w:bookmarkStart w:id="550" w:name="_Toc422302159"/>
      <w:r>
        <w:rPr>
          <w:rStyle w:val="CharSectno"/>
        </w:rPr>
        <w:t>135</w:t>
      </w:r>
      <w:r>
        <w:t>.</w:t>
      </w:r>
      <w:r>
        <w:tab/>
        <w:t>Law of evidence, application to Commission</w:t>
      </w:r>
      <w:bookmarkEnd w:id="549"/>
      <w:bookmarkEnd w:id="55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by No. 78 of 2003 s. 17.]</w:t>
      </w:r>
    </w:p>
    <w:p>
      <w:pPr>
        <w:pStyle w:val="Heading5"/>
      </w:pPr>
      <w:bookmarkStart w:id="551" w:name="_Toc407628449"/>
      <w:bookmarkStart w:id="552" w:name="_Toc422302160"/>
      <w:r>
        <w:rPr>
          <w:rStyle w:val="CharSectno"/>
        </w:rPr>
        <w:t>136</w:t>
      </w:r>
      <w:r>
        <w:t>.</w:t>
      </w:r>
      <w:r>
        <w:tab/>
        <w:t>Ancillary powers of Commission</w:t>
      </w:r>
      <w:bookmarkEnd w:id="551"/>
      <w:bookmarkEnd w:id="552"/>
    </w:p>
    <w:p>
      <w:pPr>
        <w:pStyle w:val="Subsection"/>
      </w:pPr>
      <w:r>
        <w:tab/>
      </w:r>
      <w:r>
        <w:tab/>
        <w:t>The powers of the Commission include the power to do anything that is necessary or incidental to the performance of the Commission’s functions under this Part.</w:t>
      </w:r>
    </w:p>
    <w:p>
      <w:pPr>
        <w:pStyle w:val="Footnotesection"/>
      </w:pPr>
      <w:r>
        <w:tab/>
        <w:t>[Section 136 inserted by No. 78 of 2003 s. 17.]</w:t>
      </w:r>
    </w:p>
    <w:p>
      <w:pPr>
        <w:pStyle w:val="Heading2"/>
      </w:pPr>
      <w:bookmarkStart w:id="553" w:name="_Toc381872999"/>
      <w:bookmarkStart w:id="554" w:name="_Toc381873814"/>
      <w:bookmarkStart w:id="555" w:name="_Toc405978221"/>
      <w:bookmarkStart w:id="556" w:name="_Toc406054147"/>
      <w:bookmarkStart w:id="557" w:name="_Toc406078685"/>
      <w:bookmarkStart w:id="558" w:name="_Toc407628450"/>
      <w:bookmarkStart w:id="559" w:name="_Toc413243988"/>
      <w:bookmarkStart w:id="560" w:name="_Toc413321329"/>
      <w:bookmarkStart w:id="561" w:name="_Toc422302161"/>
      <w:r>
        <w:rPr>
          <w:rStyle w:val="CharPartNo"/>
        </w:rPr>
        <w:t>Part 7</w:t>
      </w:r>
      <w:r>
        <w:rPr>
          <w:b w:val="0"/>
        </w:rPr>
        <w:t> </w:t>
      </w:r>
      <w:r>
        <w:t>—</w:t>
      </w:r>
      <w:r>
        <w:rPr>
          <w:b w:val="0"/>
        </w:rPr>
        <w:t> </w:t>
      </w:r>
      <w:r>
        <w:rPr>
          <w:rStyle w:val="CharPartText"/>
        </w:rPr>
        <w:t>Examinations and deciding claims of privilege and excuse</w:t>
      </w:r>
      <w:bookmarkEnd w:id="553"/>
      <w:bookmarkEnd w:id="554"/>
      <w:bookmarkEnd w:id="555"/>
      <w:bookmarkEnd w:id="556"/>
      <w:bookmarkEnd w:id="557"/>
      <w:bookmarkEnd w:id="558"/>
      <w:bookmarkEnd w:id="559"/>
      <w:bookmarkEnd w:id="560"/>
      <w:bookmarkEnd w:id="561"/>
    </w:p>
    <w:p>
      <w:pPr>
        <w:pStyle w:val="Footnoteheading"/>
        <w:keepNext/>
        <w:tabs>
          <w:tab w:val="clear" w:pos="879"/>
          <w:tab w:val="left" w:pos="896"/>
        </w:tabs>
      </w:pPr>
      <w:r>
        <w:tab/>
        <w:t>[Heading inserted by No. 78 of 2003 s. 17.]</w:t>
      </w:r>
    </w:p>
    <w:p>
      <w:pPr>
        <w:pStyle w:val="Heading3"/>
      </w:pPr>
      <w:bookmarkStart w:id="562" w:name="_Toc381873000"/>
      <w:bookmarkStart w:id="563" w:name="_Toc381873815"/>
      <w:bookmarkStart w:id="564" w:name="_Toc405978222"/>
      <w:bookmarkStart w:id="565" w:name="_Toc406054148"/>
      <w:bookmarkStart w:id="566" w:name="_Toc406078686"/>
      <w:bookmarkStart w:id="567" w:name="_Toc407628451"/>
      <w:bookmarkStart w:id="568" w:name="_Toc413243989"/>
      <w:bookmarkStart w:id="569" w:name="_Toc413321330"/>
      <w:bookmarkStart w:id="570" w:name="_Toc422302162"/>
      <w:r>
        <w:rPr>
          <w:rStyle w:val="CharDivNo"/>
        </w:rPr>
        <w:t>Division 1</w:t>
      </w:r>
      <w:r>
        <w:t> — </w:t>
      </w:r>
      <w:r>
        <w:rPr>
          <w:rStyle w:val="CharDivText"/>
        </w:rPr>
        <w:t>Examinations</w:t>
      </w:r>
      <w:bookmarkEnd w:id="562"/>
      <w:bookmarkEnd w:id="563"/>
      <w:bookmarkEnd w:id="564"/>
      <w:bookmarkEnd w:id="565"/>
      <w:bookmarkEnd w:id="566"/>
      <w:bookmarkEnd w:id="567"/>
      <w:bookmarkEnd w:id="568"/>
      <w:bookmarkEnd w:id="569"/>
      <w:bookmarkEnd w:id="570"/>
    </w:p>
    <w:p>
      <w:pPr>
        <w:pStyle w:val="Footnoteheading"/>
        <w:keepNext/>
        <w:tabs>
          <w:tab w:val="clear" w:pos="879"/>
          <w:tab w:val="left" w:pos="896"/>
        </w:tabs>
      </w:pPr>
      <w:r>
        <w:tab/>
        <w:t>[Heading inserted by No. 78 of 2003 s. 17.]</w:t>
      </w:r>
    </w:p>
    <w:p>
      <w:pPr>
        <w:pStyle w:val="Heading5"/>
      </w:pPr>
      <w:bookmarkStart w:id="571" w:name="_Toc407628452"/>
      <w:bookmarkStart w:id="572" w:name="_Toc422302163"/>
      <w:r>
        <w:rPr>
          <w:rStyle w:val="CharSectno"/>
        </w:rPr>
        <w:t>137</w:t>
      </w:r>
      <w:r>
        <w:t>.</w:t>
      </w:r>
      <w:r>
        <w:tab/>
        <w:t>Commission may conduct examinations</w:t>
      </w:r>
      <w:bookmarkEnd w:id="571"/>
      <w:bookmarkEnd w:id="572"/>
    </w:p>
    <w:p>
      <w:pPr>
        <w:pStyle w:val="Subsection"/>
      </w:pPr>
      <w:r>
        <w:tab/>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Footnotesection"/>
      </w:pPr>
      <w:r>
        <w:tab/>
        <w:t>[Section 137 inserted by No. 78 of 2003 s. 17.]</w:t>
      </w:r>
    </w:p>
    <w:p>
      <w:pPr>
        <w:pStyle w:val="Heading5"/>
      </w:pPr>
      <w:bookmarkStart w:id="573" w:name="_Toc407628453"/>
      <w:bookmarkStart w:id="574" w:name="_Toc422302164"/>
      <w:r>
        <w:rPr>
          <w:rStyle w:val="CharSectno"/>
        </w:rPr>
        <w:t>138</w:t>
      </w:r>
      <w:r>
        <w:t>.</w:t>
      </w:r>
      <w:r>
        <w:tab/>
        <w:t>Conduct of examinations</w:t>
      </w:r>
      <w:bookmarkEnd w:id="573"/>
      <w:bookmarkEnd w:id="574"/>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by No. 78 of 2003 s. 17.]</w:t>
      </w:r>
    </w:p>
    <w:p>
      <w:pPr>
        <w:pStyle w:val="Heading5"/>
      </w:pPr>
      <w:bookmarkStart w:id="575" w:name="_Toc407628454"/>
      <w:bookmarkStart w:id="576" w:name="_Toc422302165"/>
      <w:r>
        <w:rPr>
          <w:rStyle w:val="CharSectno"/>
        </w:rPr>
        <w:t>139</w:t>
      </w:r>
      <w:r>
        <w:t>.</w:t>
      </w:r>
      <w:r>
        <w:tab/>
        <w:t>Examination to be private unless otherwise ordered</w:t>
      </w:r>
      <w:bookmarkEnd w:id="575"/>
      <w:bookmarkEnd w:id="576"/>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by No. 78 of 2003 s. 17.]</w:t>
      </w:r>
    </w:p>
    <w:p>
      <w:pPr>
        <w:pStyle w:val="Heading5"/>
      </w:pPr>
      <w:bookmarkStart w:id="577" w:name="_Toc407628455"/>
      <w:bookmarkStart w:id="578" w:name="_Toc422302166"/>
      <w:r>
        <w:rPr>
          <w:rStyle w:val="CharSectno"/>
        </w:rPr>
        <w:t>140</w:t>
      </w:r>
      <w:r>
        <w:t>.</w:t>
      </w:r>
      <w:r>
        <w:tab/>
        <w:t>Public examination, when allowed</w:t>
      </w:r>
      <w:bookmarkEnd w:id="577"/>
      <w:bookmarkEnd w:id="578"/>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pPr>
      <w:r>
        <w:tab/>
        <w:t>(4)</w:t>
      </w:r>
      <w:r>
        <w:tab/>
        <w:t>If the Commission decides to open an examination to the public, the Commission may close the examination for a particular purpose.</w:t>
      </w:r>
    </w:p>
    <w:p>
      <w:pPr>
        <w:pStyle w:val="Footnotesection"/>
      </w:pPr>
      <w:r>
        <w:tab/>
        <w:t>[Section 140 inserted by No. 78 of 2003 s. 17.]</w:t>
      </w:r>
    </w:p>
    <w:p>
      <w:pPr>
        <w:pStyle w:val="Heading5"/>
      </w:pPr>
      <w:bookmarkStart w:id="579" w:name="_Toc407628456"/>
      <w:bookmarkStart w:id="580" w:name="_Toc422302167"/>
      <w:r>
        <w:rPr>
          <w:rStyle w:val="CharSectno"/>
        </w:rPr>
        <w:t>141</w:t>
      </w:r>
      <w:r>
        <w:t>.</w:t>
      </w:r>
      <w:r>
        <w:tab/>
        <w:t>Power to examine on oath or affirmation</w:t>
      </w:r>
      <w:bookmarkEnd w:id="579"/>
      <w:bookmarkEnd w:id="580"/>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may </w:t>
      </w:r>
      <w:r>
        <w:rPr>
          <w:snapToGrid w:val="0"/>
        </w:rPr>
        <w:t>administer an oath or affirmation to a witness.</w:t>
      </w:r>
    </w:p>
    <w:p>
      <w:pPr>
        <w:pStyle w:val="Footnotesection"/>
      </w:pPr>
      <w:r>
        <w:tab/>
        <w:t>[Section 141 inserted by No. 78 of 2003 s. 17.]</w:t>
      </w:r>
    </w:p>
    <w:p>
      <w:pPr>
        <w:pStyle w:val="Heading5"/>
      </w:pPr>
      <w:bookmarkStart w:id="581" w:name="_Toc407628457"/>
      <w:bookmarkStart w:id="582" w:name="_Toc422302168"/>
      <w:r>
        <w:rPr>
          <w:rStyle w:val="CharSectno"/>
        </w:rPr>
        <w:t>142</w:t>
      </w:r>
      <w:r>
        <w:t>.</w:t>
      </w:r>
      <w:r>
        <w:tab/>
        <w:t>Legal representation for witnesses and others</w:t>
      </w:r>
      <w:bookmarkEnd w:id="581"/>
      <w:bookmarkEnd w:id="582"/>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The Commission may allow another person to be legally represented at an examination while a witness is giving evidence 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by No. 78 of 2003 s. 17; amended by No. 21 of 2008 s. 654(3).]</w:t>
      </w:r>
    </w:p>
    <w:p>
      <w:pPr>
        <w:pStyle w:val="Heading5"/>
      </w:pPr>
      <w:bookmarkStart w:id="583" w:name="_Toc407628458"/>
      <w:bookmarkStart w:id="584" w:name="_Toc422302169"/>
      <w:r>
        <w:rPr>
          <w:rStyle w:val="CharSectno"/>
        </w:rPr>
        <w:t>143</w:t>
      </w:r>
      <w:r>
        <w:t>.</w:t>
      </w:r>
      <w:r>
        <w:tab/>
        <w:t>Examination of witnesses</w:t>
      </w:r>
      <w:bookmarkEnd w:id="583"/>
      <w:bookmarkEnd w:id="584"/>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by No. 78 of 2003 s. 17; amended by No. 21 of 2008 s. 654(4).]</w:t>
      </w:r>
    </w:p>
    <w:p>
      <w:pPr>
        <w:pStyle w:val="Heading3"/>
      </w:pPr>
      <w:bookmarkStart w:id="585" w:name="_Toc381873008"/>
      <w:bookmarkStart w:id="586" w:name="_Toc381873823"/>
      <w:bookmarkStart w:id="587" w:name="_Toc405978230"/>
      <w:bookmarkStart w:id="588" w:name="_Toc406054156"/>
      <w:bookmarkStart w:id="589" w:name="_Toc406078694"/>
      <w:bookmarkStart w:id="590" w:name="_Toc407628459"/>
      <w:bookmarkStart w:id="591" w:name="_Toc413243997"/>
      <w:bookmarkStart w:id="592" w:name="_Toc413321338"/>
      <w:bookmarkStart w:id="593" w:name="_Toc422302170"/>
      <w:r>
        <w:rPr>
          <w:rStyle w:val="CharDivNo"/>
        </w:rPr>
        <w:t>Division 2</w:t>
      </w:r>
      <w:r>
        <w:t> — </w:t>
      </w:r>
      <w:r>
        <w:rPr>
          <w:rStyle w:val="CharDivText"/>
        </w:rPr>
        <w:t>Claims of privilege and reasonable excuse</w:t>
      </w:r>
      <w:bookmarkEnd w:id="585"/>
      <w:bookmarkEnd w:id="586"/>
      <w:bookmarkEnd w:id="587"/>
      <w:bookmarkEnd w:id="588"/>
      <w:bookmarkEnd w:id="589"/>
      <w:bookmarkEnd w:id="590"/>
      <w:bookmarkEnd w:id="591"/>
      <w:bookmarkEnd w:id="592"/>
      <w:bookmarkEnd w:id="593"/>
    </w:p>
    <w:p>
      <w:pPr>
        <w:pStyle w:val="Footnoteheading"/>
        <w:keepNext/>
        <w:tabs>
          <w:tab w:val="clear" w:pos="879"/>
          <w:tab w:val="left" w:pos="896"/>
        </w:tabs>
      </w:pPr>
      <w:r>
        <w:tab/>
        <w:t>[Heading inserted by No. 78 of 2003 s. 17.]</w:t>
      </w:r>
    </w:p>
    <w:p>
      <w:pPr>
        <w:pStyle w:val="Heading5"/>
      </w:pPr>
      <w:bookmarkStart w:id="594" w:name="_Toc407628460"/>
      <w:bookmarkStart w:id="595" w:name="_Toc422302171"/>
      <w:r>
        <w:rPr>
          <w:rStyle w:val="CharSectno"/>
        </w:rPr>
        <w:t>144</w:t>
      </w:r>
      <w:r>
        <w:t>.</w:t>
      </w:r>
      <w:r>
        <w:tab/>
        <w:t>Legal professional privilege</w:t>
      </w:r>
      <w:bookmarkEnd w:id="594"/>
      <w:bookmarkEnd w:id="595"/>
    </w:p>
    <w:p>
      <w:pPr>
        <w:pStyle w:val="Subsection"/>
      </w:pPr>
      <w:r>
        <w:tab/>
        <w:t>(1)</w:t>
      </w:r>
      <w:r>
        <w:tab/>
        <w:t>Subject to subsection (2),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Footnotesection"/>
      </w:pPr>
      <w:r>
        <w:tab/>
        <w:t>[Section 144 inserted by No. 78 of 2003 s. 17.]</w:t>
      </w:r>
    </w:p>
    <w:p>
      <w:pPr>
        <w:pStyle w:val="Heading5"/>
      </w:pPr>
      <w:bookmarkStart w:id="596" w:name="_Toc407628461"/>
      <w:bookmarkStart w:id="597" w:name="_Toc422302172"/>
      <w:r>
        <w:rPr>
          <w:rStyle w:val="CharSectno"/>
        </w:rPr>
        <w:t>145</w:t>
      </w:r>
      <w:r>
        <w:t>.</w:t>
      </w:r>
      <w:r>
        <w:tab/>
        <w:t>Use of statements of witness against the witness</w:t>
      </w:r>
      <w:bookmarkEnd w:id="596"/>
      <w:bookmarkEnd w:id="597"/>
    </w:p>
    <w:p>
      <w:pPr>
        <w:pStyle w:val="Subsection"/>
        <w:rPr>
          <w:snapToGrid w:val="0"/>
        </w:rPr>
      </w:pPr>
      <w:r>
        <w:rPr>
          <w:snapToGrid w:val="0"/>
        </w:rPr>
        <w:tab/>
        <w:t>(1)</w:t>
      </w:r>
      <w:r>
        <w:rPr>
          <w:snapToGrid w:val="0"/>
        </w:rPr>
        <w:tab/>
        <w:t xml:space="preserve">A statement made by a witness in answer to a question that </w:t>
      </w:r>
      <w:r>
        <w:t>the Commission</w:t>
      </w:r>
      <w:r>
        <w:rPr>
          <w:snapToGrid w:val="0"/>
        </w:rPr>
        <w:t xml:space="preserve"> requires the witness to answer is not admissible in evidence against the person making the statement in — </w:t>
      </w:r>
    </w:p>
    <w:p>
      <w:pPr>
        <w:pStyle w:val="Indenta"/>
        <w:rPr>
          <w:snapToGrid w:val="0"/>
        </w:rPr>
      </w:pPr>
      <w:r>
        <w:rPr>
          <w:snapToGrid w:val="0"/>
        </w:rPr>
        <w:tab/>
        <w:t>(a)</w:t>
      </w:r>
      <w:r>
        <w:rPr>
          <w:snapToGrid w:val="0"/>
        </w:rPr>
        <w:tab/>
        <w:t>any criminal proceedings;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tab/>
        <w:t>(ii)</w:t>
      </w:r>
      <w:r>
        <w:rPr>
          <w:snapToGrid w:val="0"/>
        </w:rPr>
        <w:tab/>
        <w:t>proceedings for an offence against this Act; or</w:t>
      </w:r>
    </w:p>
    <w:p>
      <w:pPr>
        <w:pStyle w:val="Indenti"/>
      </w:pPr>
      <w:r>
        <w:tab/>
        <w:t>(iii)</w:t>
      </w:r>
      <w:r>
        <w:tab/>
        <w:t>disciplinary action.</w:t>
      </w:r>
    </w:p>
    <w:p>
      <w:pPr>
        <w:pStyle w:val="Subsection"/>
        <w:rPr>
          <w:snapToGrid w:val="0"/>
        </w:rPr>
      </w:pPr>
      <w:r>
        <w:rPr>
          <w:snapToGrid w:val="0"/>
        </w:rPr>
        <w:tab/>
        <w:t>(2)</w:t>
      </w:r>
      <w:r>
        <w:rPr>
          <w:snapToGrid w:val="0"/>
        </w:rPr>
        <w:tab/>
        <w:t xml:space="preserve">Despite subsection (1), the witness may, in any civil or criminal proceedings, be asked about the statement under section 21 of the </w:t>
      </w:r>
      <w:r>
        <w:rPr>
          <w:i/>
          <w:snapToGrid w:val="0"/>
        </w:rPr>
        <w:t>Evidence Act 1906</w:t>
      </w:r>
      <w:r>
        <w:rPr>
          <w:snapToGrid w:val="0"/>
        </w:rPr>
        <w:t>.</w:t>
      </w:r>
    </w:p>
    <w:p>
      <w:pPr>
        <w:pStyle w:val="Footnotesection"/>
      </w:pPr>
      <w:r>
        <w:tab/>
        <w:t>[Section 145 inserted by No. 78 of 2003 s. 17; amended by No. 8 of 2009 s. 41(6).]</w:t>
      </w:r>
    </w:p>
    <w:p>
      <w:pPr>
        <w:pStyle w:val="Heading3"/>
      </w:pPr>
      <w:bookmarkStart w:id="598" w:name="_Toc381873011"/>
      <w:bookmarkStart w:id="599" w:name="_Toc381873826"/>
      <w:bookmarkStart w:id="600" w:name="_Toc405978233"/>
      <w:bookmarkStart w:id="601" w:name="_Toc406054159"/>
      <w:bookmarkStart w:id="602" w:name="_Toc406078697"/>
      <w:bookmarkStart w:id="603" w:name="_Toc407628462"/>
      <w:bookmarkStart w:id="604" w:name="_Toc413244000"/>
      <w:bookmarkStart w:id="605" w:name="_Toc413321341"/>
      <w:bookmarkStart w:id="606" w:name="_Toc422302173"/>
      <w:r>
        <w:rPr>
          <w:rStyle w:val="CharDivNo"/>
        </w:rPr>
        <w:t>Division 3</w:t>
      </w:r>
      <w:r>
        <w:t> — </w:t>
      </w:r>
      <w:r>
        <w:rPr>
          <w:rStyle w:val="CharDivText"/>
        </w:rPr>
        <w:t>General</w:t>
      </w:r>
      <w:bookmarkEnd w:id="598"/>
      <w:bookmarkEnd w:id="599"/>
      <w:bookmarkEnd w:id="600"/>
      <w:bookmarkEnd w:id="601"/>
      <w:bookmarkEnd w:id="602"/>
      <w:bookmarkEnd w:id="603"/>
      <w:bookmarkEnd w:id="604"/>
      <w:bookmarkEnd w:id="605"/>
      <w:bookmarkEnd w:id="606"/>
    </w:p>
    <w:p>
      <w:pPr>
        <w:pStyle w:val="Footnoteheading"/>
        <w:keepNext/>
        <w:tabs>
          <w:tab w:val="clear" w:pos="879"/>
          <w:tab w:val="left" w:pos="896"/>
        </w:tabs>
      </w:pPr>
      <w:r>
        <w:tab/>
        <w:t>[Heading inserted by No. 78 of 2003 s. 17.]</w:t>
      </w:r>
    </w:p>
    <w:p>
      <w:pPr>
        <w:pStyle w:val="Heading5"/>
      </w:pPr>
      <w:bookmarkStart w:id="607" w:name="_Toc407628463"/>
      <w:bookmarkStart w:id="608" w:name="_Toc422302174"/>
      <w:r>
        <w:rPr>
          <w:rStyle w:val="CharSectno"/>
        </w:rPr>
        <w:t>146</w:t>
      </w:r>
      <w:r>
        <w:t>.</w:t>
      </w:r>
      <w:r>
        <w:tab/>
        <w:t>Witnesses’ expenses</w:t>
      </w:r>
      <w:bookmarkEnd w:id="607"/>
      <w:bookmarkEnd w:id="608"/>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by No. 78 of 2003 s. 17; amended by No. 77 of 2006 s. 4.]</w:t>
      </w:r>
    </w:p>
    <w:p>
      <w:pPr>
        <w:pStyle w:val="Heading5"/>
      </w:pPr>
      <w:bookmarkStart w:id="609" w:name="_Toc407628464"/>
      <w:bookmarkStart w:id="610" w:name="_Toc422302175"/>
      <w:r>
        <w:rPr>
          <w:rStyle w:val="CharSectno"/>
        </w:rPr>
        <w:t>147</w:t>
      </w:r>
      <w:r>
        <w:t>.</w:t>
      </w:r>
      <w:r>
        <w:tab/>
        <w:t>Protection of Commission, legal representatives and witnesses</w:t>
      </w:r>
      <w:bookmarkEnd w:id="609"/>
      <w:bookmarkEnd w:id="610"/>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by No. 78 of 2003 s. 17; amended by No. 21 of 2008 s. 654(5).]</w:t>
      </w:r>
    </w:p>
    <w:p>
      <w:pPr>
        <w:pStyle w:val="Heading2"/>
      </w:pPr>
      <w:bookmarkStart w:id="611" w:name="_Toc381873014"/>
      <w:bookmarkStart w:id="612" w:name="_Toc381873829"/>
      <w:bookmarkStart w:id="613" w:name="_Toc405978236"/>
      <w:bookmarkStart w:id="614" w:name="_Toc406054162"/>
      <w:bookmarkStart w:id="615" w:name="_Toc406078700"/>
      <w:bookmarkStart w:id="616" w:name="_Toc407628465"/>
      <w:bookmarkStart w:id="617" w:name="_Toc413244003"/>
      <w:bookmarkStart w:id="618" w:name="_Toc413321344"/>
      <w:bookmarkStart w:id="619" w:name="_Toc422302176"/>
      <w:r>
        <w:rPr>
          <w:rStyle w:val="CharPartNo"/>
        </w:rPr>
        <w:t>Part 8</w:t>
      </w:r>
      <w:r>
        <w:rPr>
          <w:rStyle w:val="CharDivNo"/>
        </w:rPr>
        <w:t> </w:t>
      </w:r>
      <w:r>
        <w:t>—</w:t>
      </w:r>
      <w:r>
        <w:rPr>
          <w:rStyle w:val="CharDivText"/>
        </w:rPr>
        <w:t> </w:t>
      </w:r>
      <w:r>
        <w:rPr>
          <w:rStyle w:val="CharPartText"/>
        </w:rPr>
        <w:t>Arrest warrants</w:t>
      </w:r>
      <w:bookmarkEnd w:id="611"/>
      <w:bookmarkEnd w:id="612"/>
      <w:bookmarkEnd w:id="613"/>
      <w:bookmarkEnd w:id="614"/>
      <w:bookmarkEnd w:id="615"/>
      <w:bookmarkEnd w:id="616"/>
      <w:bookmarkEnd w:id="617"/>
      <w:bookmarkEnd w:id="618"/>
      <w:bookmarkEnd w:id="619"/>
    </w:p>
    <w:p>
      <w:pPr>
        <w:pStyle w:val="Footnoteheading"/>
        <w:keepNext/>
        <w:tabs>
          <w:tab w:val="clear" w:pos="879"/>
          <w:tab w:val="left" w:pos="896"/>
        </w:tabs>
      </w:pPr>
      <w:r>
        <w:tab/>
        <w:t>[Heading inserted by No. 78 of 2003 s. 17.]</w:t>
      </w:r>
    </w:p>
    <w:p>
      <w:pPr>
        <w:pStyle w:val="Heading5"/>
      </w:pPr>
      <w:bookmarkStart w:id="620" w:name="_Toc407628466"/>
      <w:bookmarkStart w:id="621" w:name="_Toc422302177"/>
      <w:r>
        <w:rPr>
          <w:rStyle w:val="CharSectno"/>
        </w:rPr>
        <w:t>148</w:t>
      </w:r>
      <w:r>
        <w:t>.</w:t>
      </w:r>
      <w:r>
        <w:tab/>
        <w:t>Arrest warrants, issue and execution of</w:t>
      </w:r>
      <w:bookmarkEnd w:id="620"/>
      <w:bookmarkEnd w:id="621"/>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pPr>
      <w:r>
        <w:tab/>
        <w:t>(3)</w:t>
      </w:r>
      <w:r>
        <w:tab/>
        <w:t>The powers conferred by subsection (2) must not be exercised unless the Commission is satisfied that the evidence of the person concerned is required for the purpose of investigating any conduct that constitutes or involves or may constitute or involve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pPr>
      <w:r>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by No. 78 of 2003 s. 17.]</w:t>
      </w:r>
    </w:p>
    <w:p>
      <w:pPr>
        <w:pStyle w:val="Heading5"/>
      </w:pPr>
      <w:bookmarkStart w:id="622" w:name="_Toc407628467"/>
      <w:bookmarkStart w:id="623" w:name="_Toc422302178"/>
      <w:r>
        <w:rPr>
          <w:rStyle w:val="CharSectno"/>
        </w:rPr>
        <w:t>149</w:t>
      </w:r>
      <w:r>
        <w:t>.</w:t>
      </w:r>
      <w:r>
        <w:tab/>
        <w:t>Conditional release of arrested person</w:t>
      </w:r>
      <w:bookmarkEnd w:id="622"/>
      <w:bookmarkEnd w:id="623"/>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pPr>
      <w:r>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by No. 78 of 2003 s. 17.]</w:t>
      </w:r>
    </w:p>
    <w:p>
      <w:pPr>
        <w:pStyle w:val="Heading5"/>
      </w:pPr>
      <w:bookmarkStart w:id="624" w:name="_Toc407628468"/>
      <w:bookmarkStart w:id="625" w:name="_Toc422302179"/>
      <w:r>
        <w:rPr>
          <w:rStyle w:val="CharSectno"/>
        </w:rPr>
        <w:t>149A</w:t>
      </w:r>
      <w:r>
        <w:t>.</w:t>
      </w:r>
      <w:r>
        <w:tab/>
        <w:t>Provision for overnight detention</w:t>
      </w:r>
      <w:bookmarkEnd w:id="624"/>
      <w:bookmarkEnd w:id="625"/>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by No. 78 of 2003 s. 17.]</w:t>
      </w:r>
    </w:p>
    <w:p>
      <w:pPr>
        <w:pStyle w:val="Heading5"/>
      </w:pPr>
      <w:bookmarkStart w:id="626" w:name="_Toc407628469"/>
      <w:bookmarkStart w:id="627" w:name="_Toc422302180"/>
      <w:r>
        <w:rPr>
          <w:rStyle w:val="CharSectno"/>
        </w:rPr>
        <w:t>150</w:t>
      </w:r>
      <w:r>
        <w:t>.</w:t>
      </w:r>
      <w:r>
        <w:tab/>
        <w:t>Supreme Court may review detention of arrested person</w:t>
      </w:r>
      <w:bookmarkEnd w:id="626"/>
      <w:bookmarkEnd w:id="627"/>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tab/>
        <w:t>(5)</w:t>
      </w:r>
      <w:r>
        <w:tab/>
        <w:t>The Commission shall facilitate the person’s access to legal representation in order to make an application under subsection (1).</w:t>
      </w:r>
    </w:p>
    <w:p>
      <w:pPr>
        <w:pStyle w:val="Footnotesection"/>
      </w:pPr>
      <w:r>
        <w:tab/>
        <w:t>[Section 150 inserted by No. 78 of 2003 s. 17; amended by No. 8 of 2009 s. 41(7).]</w:t>
      </w:r>
    </w:p>
    <w:p>
      <w:pPr>
        <w:pStyle w:val="Heading2"/>
      </w:pPr>
      <w:bookmarkStart w:id="628" w:name="_Toc381873019"/>
      <w:bookmarkStart w:id="629" w:name="_Toc381873834"/>
      <w:bookmarkStart w:id="630" w:name="_Toc405978241"/>
      <w:bookmarkStart w:id="631" w:name="_Toc406054167"/>
      <w:bookmarkStart w:id="632" w:name="_Toc406078705"/>
      <w:bookmarkStart w:id="633" w:name="_Toc407628470"/>
      <w:bookmarkStart w:id="634" w:name="_Toc413244008"/>
      <w:bookmarkStart w:id="635" w:name="_Toc413321349"/>
      <w:bookmarkStart w:id="636" w:name="_Toc422302181"/>
      <w:r>
        <w:rPr>
          <w:rStyle w:val="CharPartNo"/>
        </w:rPr>
        <w:t>Part 9</w:t>
      </w:r>
      <w:r>
        <w:rPr>
          <w:rStyle w:val="CharDivNo"/>
        </w:rPr>
        <w:t> </w:t>
      </w:r>
      <w:r>
        <w:t>—</w:t>
      </w:r>
      <w:r>
        <w:rPr>
          <w:rStyle w:val="CharDivText"/>
        </w:rPr>
        <w:t> </w:t>
      </w:r>
      <w:r>
        <w:rPr>
          <w:rStyle w:val="CharPartText"/>
        </w:rPr>
        <w:t>Disclosure, secrecy and protection of witnesses</w:t>
      </w:r>
      <w:bookmarkEnd w:id="628"/>
      <w:bookmarkEnd w:id="629"/>
      <w:bookmarkEnd w:id="630"/>
      <w:bookmarkEnd w:id="631"/>
      <w:bookmarkEnd w:id="632"/>
      <w:bookmarkEnd w:id="633"/>
      <w:bookmarkEnd w:id="634"/>
      <w:bookmarkEnd w:id="635"/>
      <w:bookmarkEnd w:id="636"/>
    </w:p>
    <w:p>
      <w:pPr>
        <w:pStyle w:val="Footnoteheading"/>
        <w:keepNext/>
        <w:tabs>
          <w:tab w:val="clear" w:pos="879"/>
          <w:tab w:val="left" w:pos="896"/>
        </w:tabs>
        <w:ind w:left="938" w:hanging="938"/>
      </w:pPr>
      <w:r>
        <w:tab/>
        <w:t>[Part 9 heading, formerly Part 3 heading, renumbered by No. 78 of 2003 s. 35(2).]</w:t>
      </w:r>
    </w:p>
    <w:p>
      <w:pPr>
        <w:pStyle w:val="Heading5"/>
      </w:pPr>
      <w:bookmarkStart w:id="637" w:name="_Toc407628471"/>
      <w:bookmarkStart w:id="638" w:name="_Toc422302182"/>
      <w:r>
        <w:rPr>
          <w:rStyle w:val="CharSectno"/>
        </w:rPr>
        <w:t>151</w:t>
      </w:r>
      <w:r>
        <w:t>.</w:t>
      </w:r>
      <w:r>
        <w:tab/>
        <w:t>Disclosure of certain information restricted</w:t>
      </w:r>
      <w:bookmarkEnd w:id="637"/>
      <w:bookmarkEnd w:id="638"/>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the contents of any document, or a description of any thing, seized under this Act;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by No. 78 of 2003 s. 35(13); renumbered as section 151 by No. 78 of 2003 s. 35(1).]</w:t>
      </w:r>
    </w:p>
    <w:p>
      <w:pPr>
        <w:pStyle w:val="Heading5"/>
      </w:pPr>
      <w:bookmarkStart w:id="639" w:name="_Toc407628472"/>
      <w:bookmarkStart w:id="640" w:name="_Toc422302183"/>
      <w:r>
        <w:rPr>
          <w:rStyle w:val="CharSectno"/>
        </w:rPr>
        <w:t>152</w:t>
      </w:r>
      <w:r>
        <w:t>.</w:t>
      </w:r>
      <w:r>
        <w:tab/>
        <w:t>Disclosure by Commission or its officers</w:t>
      </w:r>
      <w:bookmarkEnd w:id="639"/>
      <w:bookmarkEnd w:id="640"/>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by No. 78 of 2003 s. 14; renumbered as section 152 by No. 78 of 2003 s. 35(1).]</w:t>
      </w:r>
    </w:p>
    <w:p>
      <w:pPr>
        <w:pStyle w:val="Heading5"/>
      </w:pPr>
      <w:bookmarkStart w:id="641" w:name="_Toc407628473"/>
      <w:bookmarkStart w:id="642" w:name="_Toc422302184"/>
      <w:r>
        <w:rPr>
          <w:rStyle w:val="CharSectno"/>
        </w:rPr>
        <w:t>153</w:t>
      </w:r>
      <w:r>
        <w:t>.</w:t>
      </w:r>
      <w:r>
        <w:tab/>
        <w:t>Disclosure by other officials</w:t>
      </w:r>
      <w:bookmarkEnd w:id="641"/>
      <w:bookmarkEnd w:id="642"/>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by No. 78 of 2003 s. 35(13); renumbered as section 153 by No. 78 of 2003 s. 35(1).]</w:t>
      </w:r>
    </w:p>
    <w:p>
      <w:pPr>
        <w:pStyle w:val="Heading5"/>
      </w:pPr>
      <w:bookmarkStart w:id="643" w:name="_Toc407628474"/>
      <w:bookmarkStart w:id="644" w:name="_Toc422302185"/>
      <w:r>
        <w:rPr>
          <w:rStyle w:val="CharSectno"/>
        </w:rPr>
        <w:t>154</w:t>
      </w:r>
      <w:r>
        <w:t>.</w:t>
      </w:r>
      <w:r>
        <w:tab/>
        <w:t>Exclusion of other laws</w:t>
      </w:r>
      <w:bookmarkEnd w:id="643"/>
      <w:bookmarkEnd w:id="644"/>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by No. 78 of 2003 s. 35(13); renumbered as section 154 by No. 78 of 2003 s. 35(1).]</w:t>
      </w:r>
    </w:p>
    <w:p>
      <w:pPr>
        <w:pStyle w:val="Heading5"/>
      </w:pPr>
      <w:bookmarkStart w:id="645" w:name="_Toc407628475"/>
      <w:bookmarkStart w:id="646" w:name="_Toc422302186"/>
      <w:r>
        <w:rPr>
          <w:rStyle w:val="CharSectno"/>
        </w:rPr>
        <w:t>155</w:t>
      </w:r>
      <w:r>
        <w:t>.</w:t>
      </w:r>
      <w:r>
        <w:tab/>
        <w:t xml:space="preserve">Application of </w:t>
      </w:r>
      <w:r>
        <w:rPr>
          <w:i/>
        </w:rPr>
        <w:t>Telecommunications (Interception</w:t>
      </w:r>
      <w:r>
        <w:rPr>
          <w:i/>
          <w:iCs/>
        </w:rPr>
        <w:t xml:space="preserve"> and Access</w:t>
      </w:r>
      <w:r>
        <w:rPr>
          <w:i/>
        </w:rPr>
        <w:t xml:space="preserve">) </w:t>
      </w:r>
      <w:smartTag w:uri="urn:schemas-microsoft-com:office:smarttags" w:element="place">
        <w:smartTag w:uri="urn:schemas-microsoft-com:office:smarttags" w:element="State">
          <w:r>
            <w:rPr>
              <w:i/>
            </w:rPr>
            <w:t>Western Australia</w:t>
          </w:r>
        </w:smartTag>
      </w:smartTag>
      <w:r>
        <w:rPr>
          <w:i/>
        </w:rPr>
        <w:t xml:space="preserve"> Act 1996</w:t>
      </w:r>
      <w:bookmarkEnd w:id="645"/>
      <w:bookmarkEnd w:id="646"/>
    </w:p>
    <w:p>
      <w:pPr>
        <w:pStyle w:val="Subsection"/>
      </w:pPr>
      <w:r>
        <w:tab/>
      </w:r>
      <w:r>
        <w:tab/>
        <w:t xml:space="preserve">Section 22 of the </w:t>
      </w:r>
      <w:r>
        <w:rPr>
          <w:i/>
        </w:rPr>
        <w:t xml:space="preserve">Telecommunications </w:t>
      </w:r>
      <w:r>
        <w:rPr>
          <w:i/>
          <w:iCs/>
        </w:rPr>
        <w:t xml:space="preserve">(Interception and Access) </w:t>
      </w:r>
      <w:smartTag w:uri="urn:schemas-microsoft-com:office:smarttags" w:element="place">
        <w:smartTag w:uri="urn:schemas-microsoft-com:office:smarttags" w:element="State">
          <w:r>
            <w:rPr>
              <w:i/>
            </w:rPr>
            <w:t>Western Australia</w:t>
          </w:r>
        </w:smartTag>
      </w:smartTag>
      <w:r>
        <w:rPr>
          <w:i/>
        </w:rPr>
        <w:t xml:space="preserve">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by No. 78 of 2003 s. 35(1); amended by No. 2 of 2011 s. 13.]</w:t>
      </w:r>
    </w:p>
    <w:p>
      <w:pPr>
        <w:pStyle w:val="Heading5"/>
      </w:pPr>
      <w:bookmarkStart w:id="647" w:name="_Toc407628476"/>
      <w:bookmarkStart w:id="648" w:name="_Toc422302187"/>
      <w:r>
        <w:rPr>
          <w:rStyle w:val="CharSectno"/>
        </w:rPr>
        <w:t>156</w:t>
      </w:r>
      <w:r>
        <w:t>.</w:t>
      </w:r>
      <w:r>
        <w:tab/>
        <w:t>Witness protection arrangements, Commission may make</w:t>
      </w:r>
      <w:bookmarkEnd w:id="647"/>
      <w:bookmarkEnd w:id="648"/>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t>
      </w:r>
      <w:smartTag w:uri="urn:schemas-microsoft-com:office:smarttags" w:element="place">
        <w:smartTag w:uri="urn:schemas-microsoft-com:office:smarttags" w:element="State">
          <w:r>
            <w:rPr>
              <w:i/>
            </w:rPr>
            <w:t>Western Australia</w:t>
          </w:r>
        </w:smartTag>
      </w:smartTag>
      <w:r>
        <w:rPr>
          <w:i/>
        </w:rPr>
        <w:t>) Act 1996</w:t>
      </w:r>
      <w:r>
        <w:t>.</w:t>
      </w:r>
    </w:p>
    <w:p>
      <w:pPr>
        <w:pStyle w:val="Footnotesection"/>
        <w:ind w:left="890" w:hanging="890"/>
      </w:pPr>
      <w:r>
        <w:tab/>
        <w:t>[Section 156, formerly section 23, renumbered as section 156 by No. 78 of 2003 s. 35(1).]</w:t>
      </w:r>
    </w:p>
    <w:p>
      <w:pPr>
        <w:pStyle w:val="Heading2"/>
      </w:pPr>
      <w:bookmarkStart w:id="649" w:name="_Toc381873026"/>
      <w:bookmarkStart w:id="650" w:name="_Toc381873841"/>
      <w:bookmarkStart w:id="651" w:name="_Toc405978248"/>
      <w:bookmarkStart w:id="652" w:name="_Toc406054174"/>
      <w:bookmarkStart w:id="653" w:name="_Toc406078712"/>
      <w:bookmarkStart w:id="654" w:name="_Toc407628477"/>
      <w:bookmarkStart w:id="655" w:name="_Toc413244015"/>
      <w:bookmarkStart w:id="656" w:name="_Toc413321356"/>
      <w:bookmarkStart w:id="657" w:name="_Toc422302188"/>
      <w:r>
        <w:rPr>
          <w:rStyle w:val="CharPartNo"/>
        </w:rPr>
        <w:t>Part 10</w:t>
      </w:r>
      <w:r>
        <w:rPr>
          <w:b w:val="0"/>
        </w:rPr>
        <w:t> </w:t>
      </w:r>
      <w:r>
        <w:t>—</w:t>
      </w:r>
      <w:r>
        <w:rPr>
          <w:b w:val="0"/>
        </w:rPr>
        <w:t> </w:t>
      </w:r>
      <w:r>
        <w:rPr>
          <w:rStyle w:val="CharPartText"/>
        </w:rPr>
        <w:t>Contempt</w:t>
      </w:r>
      <w:bookmarkEnd w:id="649"/>
      <w:bookmarkEnd w:id="650"/>
      <w:bookmarkEnd w:id="651"/>
      <w:bookmarkEnd w:id="652"/>
      <w:bookmarkEnd w:id="653"/>
      <w:bookmarkEnd w:id="654"/>
      <w:bookmarkEnd w:id="655"/>
      <w:bookmarkEnd w:id="656"/>
      <w:bookmarkEnd w:id="657"/>
    </w:p>
    <w:p>
      <w:pPr>
        <w:pStyle w:val="Footnoteheading"/>
        <w:keepNext/>
        <w:tabs>
          <w:tab w:val="clear" w:pos="879"/>
          <w:tab w:val="left" w:pos="896"/>
        </w:tabs>
      </w:pPr>
      <w:r>
        <w:tab/>
        <w:t>[Heading inserted by No. 78 of 2003 s. 22.]</w:t>
      </w:r>
    </w:p>
    <w:p>
      <w:pPr>
        <w:pStyle w:val="Heading5"/>
      </w:pPr>
      <w:bookmarkStart w:id="658" w:name="_Toc407628478"/>
      <w:bookmarkStart w:id="659" w:name="_Toc422302189"/>
      <w:r>
        <w:rPr>
          <w:rStyle w:val="CharSectno"/>
        </w:rPr>
        <w:t>157</w:t>
      </w:r>
      <w:r>
        <w:t>.</w:t>
      </w:r>
      <w:r>
        <w:tab/>
        <w:t>Term used: reasonable excuse</w:t>
      </w:r>
      <w:bookmarkEnd w:id="658"/>
      <w:bookmarkEnd w:id="659"/>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w:t>
      </w:r>
    </w:p>
    <w:p>
      <w:pPr>
        <w:pStyle w:val="Footnotesection"/>
      </w:pPr>
      <w:r>
        <w:tab/>
        <w:t>[Section 157 inserted by No. 78 of 2003 s. 22.]</w:t>
      </w:r>
    </w:p>
    <w:p>
      <w:pPr>
        <w:pStyle w:val="Heading5"/>
      </w:pPr>
      <w:bookmarkStart w:id="660" w:name="_Toc407628479"/>
      <w:bookmarkStart w:id="661" w:name="_Toc422302190"/>
      <w:r>
        <w:rPr>
          <w:rStyle w:val="CharSectno"/>
        </w:rPr>
        <w:t>158</w:t>
      </w:r>
      <w:r>
        <w:t>.</w:t>
      </w:r>
      <w:r>
        <w:tab/>
        <w:t>Failing to comply with notice given under s. 94 or 95</w:t>
      </w:r>
      <w:bookmarkEnd w:id="660"/>
      <w:bookmarkEnd w:id="661"/>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pPr>
      <w:r>
        <w:tab/>
        <w:t>(b)</w:t>
      </w:r>
      <w:r>
        <w:tab/>
        <w:t>in purported compliance with a notice served on the person or some other person under section 94 or 95, furnishes information knowing it to be false or misleading in a material particular,</w:t>
      </w:r>
    </w:p>
    <w:p>
      <w:pPr>
        <w:pStyle w:val="Subsection"/>
      </w:pPr>
      <w:r>
        <w:tab/>
      </w:r>
      <w:r>
        <w:tab/>
        <w:t>is in contempt of the Commission.</w:t>
      </w:r>
    </w:p>
    <w:p>
      <w:pPr>
        <w:pStyle w:val="Footnotesection"/>
      </w:pPr>
      <w:r>
        <w:tab/>
        <w:t>[Section 158 inserted by No. 78 of 2003 s. 22; amended by No. 8 of 2009 s. 41(8).]</w:t>
      </w:r>
    </w:p>
    <w:p>
      <w:pPr>
        <w:pStyle w:val="Heading5"/>
      </w:pPr>
      <w:bookmarkStart w:id="662" w:name="_Toc407628480"/>
      <w:bookmarkStart w:id="663" w:name="_Toc422302191"/>
      <w:r>
        <w:rPr>
          <w:rStyle w:val="CharSectno"/>
        </w:rPr>
        <w:t>159</w:t>
      </w:r>
      <w:r>
        <w:t>.</w:t>
      </w:r>
      <w:r>
        <w:tab/>
        <w:t>Failing to obey summons issued under s. 96</w:t>
      </w:r>
      <w:bookmarkEnd w:id="662"/>
      <w:bookmarkEnd w:id="66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by No. 78 of 2003 s. 22.]</w:t>
      </w:r>
    </w:p>
    <w:p>
      <w:pPr>
        <w:pStyle w:val="Heading5"/>
      </w:pPr>
      <w:bookmarkStart w:id="664" w:name="_Toc407628481"/>
      <w:bookmarkStart w:id="665" w:name="_Toc422302192"/>
      <w:r>
        <w:rPr>
          <w:rStyle w:val="CharSectno"/>
        </w:rPr>
        <w:t>160</w:t>
      </w:r>
      <w:r>
        <w:t>.</w:t>
      </w:r>
      <w:r>
        <w:tab/>
        <w:t>Failing to be sworn or to give evidence when summonsed</w:t>
      </w:r>
      <w:bookmarkEnd w:id="664"/>
      <w:bookmarkEnd w:id="665"/>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by No. 78 of 2003 s. 22.]</w:t>
      </w:r>
    </w:p>
    <w:p>
      <w:pPr>
        <w:pStyle w:val="Heading5"/>
      </w:pPr>
      <w:bookmarkStart w:id="666" w:name="_Toc407628482"/>
      <w:bookmarkStart w:id="667" w:name="_Toc422302193"/>
      <w:r>
        <w:rPr>
          <w:rStyle w:val="CharSectno"/>
        </w:rPr>
        <w:t>161</w:t>
      </w:r>
      <w:r>
        <w:t>.</w:t>
      </w:r>
      <w:r>
        <w:tab/>
        <w:t>Hindering execution of search warrants</w:t>
      </w:r>
      <w:bookmarkEnd w:id="666"/>
      <w:bookmarkEnd w:id="667"/>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by No. 78 of 2003 s. 22.]</w:t>
      </w:r>
    </w:p>
    <w:p>
      <w:pPr>
        <w:pStyle w:val="Heading5"/>
      </w:pPr>
      <w:bookmarkStart w:id="668" w:name="_Toc407628483"/>
      <w:bookmarkStart w:id="669" w:name="_Toc422302194"/>
      <w:r>
        <w:rPr>
          <w:rStyle w:val="CharSectno"/>
        </w:rPr>
        <w:t>162</w:t>
      </w:r>
      <w:r>
        <w:t>.</w:t>
      </w:r>
      <w:r>
        <w:tab/>
        <w:t>Other contempts of Commission</w:t>
      </w:r>
      <w:bookmarkEnd w:id="668"/>
      <w:bookmarkEnd w:id="669"/>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tab/>
        <w:t>(2)</w:t>
      </w:r>
      <w:r>
        <w:tab/>
        <w:t>The Commission may order that a person who under subsection (1) is in contempt of the Commission at an examination be excluded from the place where the examination is being conducted.</w:t>
      </w:r>
    </w:p>
    <w:p>
      <w:pPr>
        <w:pStyle w:val="Subsection"/>
      </w:pPr>
      <w:r>
        <w:tab/>
        <w:t>(3)</w:t>
      </w:r>
      <w:r>
        <w:tab/>
        <w:t>An officer of the Commission, acting under the Commission’s order, may, using necessary and reasonable help and force, exclude the person from the place.</w:t>
      </w:r>
    </w:p>
    <w:p>
      <w:pPr>
        <w:pStyle w:val="Footnotesection"/>
      </w:pPr>
      <w:r>
        <w:tab/>
        <w:t>[Section 162 inserted by No. 78 of 2003 s. 22.]</w:t>
      </w:r>
    </w:p>
    <w:p>
      <w:pPr>
        <w:pStyle w:val="Heading5"/>
      </w:pPr>
      <w:bookmarkStart w:id="670" w:name="_Toc407628484"/>
      <w:bookmarkStart w:id="671" w:name="_Toc422302195"/>
      <w:r>
        <w:rPr>
          <w:rStyle w:val="CharSectno"/>
        </w:rPr>
        <w:t>163</w:t>
      </w:r>
      <w:r>
        <w:t>.</w:t>
      </w:r>
      <w:r>
        <w:tab/>
        <w:t>Punishment of contempt of Commission</w:t>
      </w:r>
      <w:bookmarkEnd w:id="670"/>
      <w:bookmarkEnd w:id="671"/>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w:t>
      </w:r>
    </w:p>
    <w:p>
      <w:pPr>
        <w:pStyle w:val="Subsection"/>
      </w:pPr>
      <w:r>
        <w:tab/>
        <w:t>(6)</w:t>
      </w:r>
      <w:r>
        <w:tab/>
        <w:t>Except as otherwise provided in this Act, a person required to comply with a notice served under section 94 or 95 or a summons served under section 96 has the same protection, and is subject to the same liabilities in any civil or criminal proceedings, as a witness in any case tried in the Supreme Court.</w:t>
      </w:r>
    </w:p>
    <w:p>
      <w:pPr>
        <w:pStyle w:val="Footnotesection"/>
      </w:pPr>
      <w:r>
        <w:tab/>
        <w:t>[Section 163 inserted by No. 78 of 2003 s. 22.]</w:t>
      </w:r>
    </w:p>
    <w:p>
      <w:pPr>
        <w:pStyle w:val="Heading5"/>
      </w:pPr>
      <w:bookmarkStart w:id="672" w:name="_Toc407628485"/>
      <w:bookmarkStart w:id="673" w:name="_Toc422302196"/>
      <w:r>
        <w:rPr>
          <w:rStyle w:val="CharSectno"/>
        </w:rPr>
        <w:t>164</w:t>
      </w:r>
      <w:r>
        <w:t>.</w:t>
      </w:r>
      <w:r>
        <w:tab/>
        <w:t>Conduct that is both a contempt and an offence</w:t>
      </w:r>
      <w:bookmarkEnd w:id="672"/>
      <w:bookmarkEnd w:id="673"/>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by No. 78 of 2003 s. 22.]</w:t>
      </w:r>
    </w:p>
    <w:p>
      <w:pPr>
        <w:pStyle w:val="Heading2"/>
      </w:pPr>
      <w:bookmarkStart w:id="674" w:name="_Toc381873035"/>
      <w:bookmarkStart w:id="675" w:name="_Toc381873850"/>
      <w:bookmarkStart w:id="676" w:name="_Toc405978257"/>
      <w:bookmarkStart w:id="677" w:name="_Toc406054183"/>
      <w:bookmarkStart w:id="678" w:name="_Toc406078721"/>
      <w:bookmarkStart w:id="679" w:name="_Toc407628486"/>
      <w:bookmarkStart w:id="680" w:name="_Toc413244024"/>
      <w:bookmarkStart w:id="681" w:name="_Toc413321365"/>
      <w:bookmarkStart w:id="682" w:name="_Toc422302197"/>
      <w:r>
        <w:rPr>
          <w:rStyle w:val="CharPartNo"/>
        </w:rPr>
        <w:t>Part 11</w:t>
      </w:r>
      <w:r>
        <w:rPr>
          <w:b w:val="0"/>
        </w:rPr>
        <w:t> </w:t>
      </w:r>
      <w:r>
        <w:t>—</w:t>
      </w:r>
      <w:r>
        <w:rPr>
          <w:b w:val="0"/>
        </w:rPr>
        <w:t> </w:t>
      </w:r>
      <w:r>
        <w:rPr>
          <w:rStyle w:val="CharPartText"/>
        </w:rPr>
        <w:t>Offences</w:t>
      </w:r>
      <w:bookmarkEnd w:id="674"/>
      <w:bookmarkEnd w:id="675"/>
      <w:bookmarkEnd w:id="676"/>
      <w:bookmarkEnd w:id="677"/>
      <w:bookmarkEnd w:id="678"/>
      <w:bookmarkEnd w:id="679"/>
      <w:bookmarkEnd w:id="680"/>
      <w:bookmarkEnd w:id="681"/>
      <w:bookmarkEnd w:id="682"/>
    </w:p>
    <w:p>
      <w:pPr>
        <w:pStyle w:val="Footnoteheading"/>
        <w:keepNext/>
        <w:tabs>
          <w:tab w:val="clear" w:pos="879"/>
          <w:tab w:val="left" w:pos="896"/>
        </w:tabs>
      </w:pPr>
      <w:r>
        <w:tab/>
        <w:t>[Heading inserted by No. 78 of 2003 s. 22.]</w:t>
      </w:r>
    </w:p>
    <w:p>
      <w:pPr>
        <w:pStyle w:val="Heading5"/>
      </w:pPr>
      <w:bookmarkStart w:id="683" w:name="_Toc407628487"/>
      <w:bookmarkStart w:id="684" w:name="_Toc422302198"/>
      <w:r>
        <w:rPr>
          <w:rStyle w:val="CharSectno"/>
        </w:rPr>
        <w:t>165</w:t>
      </w:r>
      <w:r>
        <w:t>.</w:t>
      </w:r>
      <w:r>
        <w:tab/>
        <w:t>Obstructing Commission, Parliamentary Inspector or their officers</w:t>
      </w:r>
      <w:bookmarkEnd w:id="683"/>
      <w:bookmarkEnd w:id="684"/>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by No. 78 of 2003 s. 22.]</w:t>
      </w:r>
    </w:p>
    <w:p>
      <w:pPr>
        <w:pStyle w:val="Heading5"/>
      </w:pPr>
      <w:bookmarkStart w:id="685" w:name="_Toc407628488"/>
      <w:bookmarkStart w:id="686" w:name="_Toc422302199"/>
      <w:r>
        <w:rPr>
          <w:rStyle w:val="CharSectno"/>
        </w:rPr>
        <w:t>166</w:t>
      </w:r>
      <w:r>
        <w:t>.</w:t>
      </w:r>
      <w:r>
        <w:tab/>
        <w:t>Malicious disclosure of false allegation of misconduct</w:t>
      </w:r>
      <w:bookmarkEnd w:id="685"/>
      <w:bookmarkEnd w:id="686"/>
    </w:p>
    <w:p>
      <w:pPr>
        <w:pStyle w:val="Subsection"/>
      </w:pPr>
      <w:r>
        <w:tab/>
      </w:r>
      <w:r>
        <w:tab/>
        <w:t>A person who maliciously discloses that an allegation of misconduct has been or is or may be about to be made to the Commission, knowing the allegation to be false in a material particular, commits an offence.</w:t>
      </w:r>
    </w:p>
    <w:p>
      <w:pPr>
        <w:pStyle w:val="Penstart"/>
      </w:pPr>
      <w:r>
        <w:tab/>
        <w:t>Penalty: Imprisonment for 3 years and a fine of $60 000.</w:t>
      </w:r>
    </w:p>
    <w:p>
      <w:pPr>
        <w:pStyle w:val="Footnotesection"/>
      </w:pPr>
      <w:r>
        <w:tab/>
        <w:t>[Section 166 inserted by No. 78 of 2003 s. 22.]</w:t>
      </w:r>
    </w:p>
    <w:p>
      <w:pPr>
        <w:pStyle w:val="Heading5"/>
      </w:pPr>
      <w:bookmarkStart w:id="687" w:name="_Toc407628489"/>
      <w:bookmarkStart w:id="688" w:name="_Toc422302200"/>
      <w:r>
        <w:rPr>
          <w:rStyle w:val="CharSectno"/>
        </w:rPr>
        <w:t>167</w:t>
      </w:r>
      <w:r>
        <w:t>.</w:t>
      </w:r>
      <w:r>
        <w:tab/>
        <w:t>Disclosure contrary to notation under s. 99</w:t>
      </w:r>
      <w:bookmarkEnd w:id="687"/>
      <w:bookmarkEnd w:id="688"/>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by No. 78 of 2003 s. 22.]</w:t>
      </w:r>
    </w:p>
    <w:p>
      <w:pPr>
        <w:pStyle w:val="Heading5"/>
      </w:pPr>
      <w:bookmarkStart w:id="689" w:name="_Toc407628490"/>
      <w:bookmarkStart w:id="690" w:name="_Toc422302201"/>
      <w:r>
        <w:rPr>
          <w:rStyle w:val="CharSectno"/>
        </w:rPr>
        <w:t>168</w:t>
      </w:r>
      <w:r>
        <w:t>.</w:t>
      </w:r>
      <w:r>
        <w:tab/>
        <w:t>Giving false testimony</w:t>
      </w:r>
      <w:bookmarkEnd w:id="689"/>
      <w:bookmarkEnd w:id="690"/>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by No. 78 of 2003 s. 22.]</w:t>
      </w:r>
    </w:p>
    <w:p>
      <w:pPr>
        <w:pStyle w:val="Heading5"/>
      </w:pPr>
      <w:bookmarkStart w:id="691" w:name="_Toc407628491"/>
      <w:bookmarkStart w:id="692" w:name="_Toc422302202"/>
      <w:r>
        <w:rPr>
          <w:rStyle w:val="CharSectno"/>
        </w:rPr>
        <w:t>169</w:t>
      </w:r>
      <w:r>
        <w:t>.</w:t>
      </w:r>
      <w:r>
        <w:tab/>
        <w:t>Bribery of witness</w:t>
      </w:r>
      <w:bookmarkEnd w:id="691"/>
      <w:bookmarkEnd w:id="692"/>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before the 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by No. 78 of 2003 s. 22.]</w:t>
      </w:r>
    </w:p>
    <w:p>
      <w:pPr>
        <w:pStyle w:val="Heading5"/>
      </w:pPr>
      <w:bookmarkStart w:id="693" w:name="_Toc407628492"/>
      <w:bookmarkStart w:id="694" w:name="_Toc422302203"/>
      <w:r>
        <w:rPr>
          <w:rStyle w:val="CharSectno"/>
        </w:rPr>
        <w:t>170</w:t>
      </w:r>
      <w:r>
        <w:t>.</w:t>
      </w:r>
      <w:r>
        <w:tab/>
        <w:t>Fraud on witness</w:t>
      </w:r>
      <w:bookmarkEnd w:id="693"/>
      <w:bookmarkEnd w:id="694"/>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by No. 78 of 2003 s. 22.]</w:t>
      </w:r>
    </w:p>
    <w:p>
      <w:pPr>
        <w:pStyle w:val="Heading5"/>
      </w:pPr>
      <w:bookmarkStart w:id="695" w:name="_Toc407628493"/>
      <w:bookmarkStart w:id="696" w:name="_Toc422302204"/>
      <w:r>
        <w:rPr>
          <w:rStyle w:val="CharSectno"/>
        </w:rPr>
        <w:t>171</w:t>
      </w:r>
      <w:r>
        <w:t>.</w:t>
      </w:r>
      <w:r>
        <w:tab/>
        <w:t>Destroying evidence</w:t>
      </w:r>
      <w:bookmarkEnd w:id="695"/>
      <w:bookmarkEnd w:id="696"/>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by No. 78 of 2003 s. 22.]</w:t>
      </w:r>
    </w:p>
    <w:p>
      <w:pPr>
        <w:pStyle w:val="Heading5"/>
      </w:pPr>
      <w:bookmarkStart w:id="697" w:name="_Toc407628494"/>
      <w:bookmarkStart w:id="698" w:name="_Toc422302205"/>
      <w:r>
        <w:rPr>
          <w:rStyle w:val="CharSectno"/>
        </w:rPr>
        <w:t>172</w:t>
      </w:r>
      <w:r>
        <w:t>.</w:t>
      </w:r>
      <w:r>
        <w:tab/>
        <w:t>Preventing witness from attending</w:t>
      </w:r>
      <w:bookmarkEnd w:id="697"/>
      <w:bookmarkEnd w:id="698"/>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by No. 78 of 2003 s. 22.]</w:t>
      </w:r>
    </w:p>
    <w:p>
      <w:pPr>
        <w:pStyle w:val="Heading5"/>
      </w:pPr>
      <w:bookmarkStart w:id="699" w:name="_Toc407628495"/>
      <w:bookmarkStart w:id="700" w:name="_Toc422302206"/>
      <w:r>
        <w:rPr>
          <w:rStyle w:val="CharSectno"/>
        </w:rPr>
        <w:t>173</w:t>
      </w:r>
      <w:r>
        <w:t>.</w:t>
      </w:r>
      <w:r>
        <w:tab/>
        <w:t>Injury or detriment to witness</w:t>
      </w:r>
      <w:bookmarkEnd w:id="699"/>
      <w:bookmarkEnd w:id="700"/>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by No. 78 of 2003 s. 22.]</w:t>
      </w:r>
    </w:p>
    <w:p>
      <w:pPr>
        <w:pStyle w:val="Heading5"/>
      </w:pPr>
      <w:bookmarkStart w:id="701" w:name="_Toc407628496"/>
      <w:bookmarkStart w:id="702" w:name="_Toc422302207"/>
      <w:r>
        <w:rPr>
          <w:rStyle w:val="CharSectno"/>
        </w:rPr>
        <w:t>174</w:t>
      </w:r>
      <w:r>
        <w:t>.</w:t>
      </w:r>
      <w:r>
        <w:tab/>
        <w:t>Dismissal by employer of witness</w:t>
      </w:r>
      <w:bookmarkEnd w:id="701"/>
      <w:bookmarkEnd w:id="702"/>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by No. 78 of 2003 s. 22.]</w:t>
      </w:r>
    </w:p>
    <w:p>
      <w:pPr>
        <w:pStyle w:val="Heading5"/>
      </w:pPr>
      <w:bookmarkStart w:id="703" w:name="_Toc407628497"/>
      <w:bookmarkStart w:id="704" w:name="_Toc422302208"/>
      <w:r>
        <w:rPr>
          <w:rStyle w:val="CharSectno"/>
        </w:rPr>
        <w:t>175</w:t>
      </w:r>
      <w:r>
        <w:t>.</w:t>
      </w:r>
      <w:r>
        <w:tab/>
        <w:t>Victimisation</w:t>
      </w:r>
      <w:bookmarkEnd w:id="703"/>
      <w:bookmarkEnd w:id="704"/>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or Parliamentary Inspector in the performance of its, his or her functions.</w:t>
      </w:r>
    </w:p>
    <w:p>
      <w:pPr>
        <w:pStyle w:val="Penstart"/>
        <w:rPr>
          <w:snapToGrid w:val="0"/>
        </w:rPr>
      </w:pPr>
      <w:r>
        <w:tab/>
        <w:t xml:space="preserve">Penalty: </w:t>
      </w:r>
      <w:r>
        <w:rPr>
          <w:snapToGrid w:val="0"/>
        </w:rPr>
        <w:t>Imprisonment for 3 years and a fine of $60 000.</w:t>
      </w:r>
    </w:p>
    <w:p>
      <w:pPr>
        <w:pStyle w:val="Footnotesection"/>
      </w:pPr>
      <w:r>
        <w:tab/>
        <w:t>[Section 175 inserted by No. 78 of 2003 s. 22.]</w:t>
      </w:r>
    </w:p>
    <w:p>
      <w:pPr>
        <w:pStyle w:val="Heading5"/>
      </w:pPr>
      <w:bookmarkStart w:id="705" w:name="_Toc407628498"/>
      <w:bookmarkStart w:id="706" w:name="_Toc422302209"/>
      <w:r>
        <w:rPr>
          <w:rStyle w:val="CharSectno"/>
        </w:rPr>
        <w:t>176</w:t>
      </w:r>
      <w:r>
        <w:t>.</w:t>
      </w:r>
      <w:r>
        <w:tab/>
        <w:t>Pretending to be officer</w:t>
      </w:r>
      <w:bookmarkEnd w:id="705"/>
      <w:bookmarkEnd w:id="706"/>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by No. 78 of 2003 s. 22.]</w:t>
      </w:r>
    </w:p>
    <w:p>
      <w:pPr>
        <w:pStyle w:val="Heading5"/>
      </w:pPr>
      <w:bookmarkStart w:id="707" w:name="_Toc407628499"/>
      <w:bookmarkStart w:id="708" w:name="_Toc422302210"/>
      <w:r>
        <w:rPr>
          <w:rStyle w:val="CharSectno"/>
        </w:rPr>
        <w:t>177</w:t>
      </w:r>
      <w:r>
        <w:t>.</w:t>
      </w:r>
      <w:r>
        <w:tab/>
        <w:t>Summary conviction of crimes</w:t>
      </w:r>
      <w:bookmarkEnd w:id="707"/>
      <w:bookmarkEnd w:id="708"/>
    </w:p>
    <w:p>
      <w:pPr>
        <w:pStyle w:val="Subsection"/>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pPr>
      <w:r>
        <w:tab/>
        <w:t>(2)</w:t>
      </w:r>
      <w:r>
        <w:tab/>
        <w:t>Where, in accordance with subsection (1), a court of summary jurisdiction convicts a person of an offence, the penalty that the court may impose is imprisonment for a period not exceeding 3 years and a fine not exceeding $60 000.</w:t>
      </w:r>
    </w:p>
    <w:p>
      <w:pPr>
        <w:pStyle w:val="Footnotesection"/>
      </w:pPr>
      <w:r>
        <w:tab/>
        <w:t>[Section 177 inserted by No. 78 of 2003 s. 22; amended by No. 84 of 2004 s. 82.]</w:t>
      </w:r>
    </w:p>
    <w:p>
      <w:pPr>
        <w:pStyle w:val="Heading5"/>
        <w:rPr>
          <w:b w:val="0"/>
        </w:rPr>
      </w:pPr>
      <w:bookmarkStart w:id="709" w:name="_Toc407628500"/>
      <w:bookmarkStart w:id="710" w:name="_Toc422302211"/>
      <w:r>
        <w:rPr>
          <w:rStyle w:val="CharSectno"/>
        </w:rPr>
        <w:t>177A</w:t>
      </w:r>
      <w:r>
        <w:rPr>
          <w:bCs/>
          <w:sz w:val="22"/>
        </w:rPr>
        <w:t>.</w:t>
      </w:r>
      <w:r>
        <w:rPr>
          <w:bCs/>
          <w:sz w:val="22"/>
        </w:rPr>
        <w:tab/>
      </w:r>
      <w:r>
        <w:rPr>
          <w:bCs/>
        </w:rPr>
        <w:t>Limitation period for prosecution of simple offences</w:t>
      </w:r>
      <w:bookmarkEnd w:id="709"/>
      <w:bookmarkEnd w:id="710"/>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by No. 59 of 2004 s. 141.] </w:t>
      </w:r>
    </w:p>
    <w:p>
      <w:pPr>
        <w:pStyle w:val="Heading2"/>
      </w:pPr>
      <w:bookmarkStart w:id="711" w:name="_Toc381873050"/>
      <w:bookmarkStart w:id="712" w:name="_Toc381873865"/>
      <w:bookmarkStart w:id="713" w:name="_Toc405978272"/>
      <w:bookmarkStart w:id="714" w:name="_Toc406054198"/>
      <w:bookmarkStart w:id="715" w:name="_Toc406078736"/>
      <w:bookmarkStart w:id="716" w:name="_Toc407628501"/>
      <w:bookmarkStart w:id="717" w:name="_Toc413244039"/>
      <w:bookmarkStart w:id="718" w:name="_Toc413321380"/>
      <w:bookmarkStart w:id="719" w:name="_Toc422302212"/>
      <w:r>
        <w:rPr>
          <w:rStyle w:val="CharPartNo"/>
        </w:rPr>
        <w:t>Part 12</w:t>
      </w:r>
      <w:r>
        <w:t> — </w:t>
      </w:r>
      <w:r>
        <w:rPr>
          <w:rStyle w:val="CharPartText"/>
        </w:rPr>
        <w:t>Administration</w:t>
      </w:r>
      <w:bookmarkEnd w:id="711"/>
      <w:bookmarkEnd w:id="712"/>
      <w:bookmarkEnd w:id="713"/>
      <w:bookmarkEnd w:id="714"/>
      <w:bookmarkEnd w:id="715"/>
      <w:bookmarkEnd w:id="716"/>
      <w:bookmarkEnd w:id="717"/>
      <w:bookmarkEnd w:id="718"/>
      <w:bookmarkEnd w:id="719"/>
    </w:p>
    <w:p>
      <w:pPr>
        <w:pStyle w:val="Footnoteheading"/>
        <w:keepNext/>
        <w:tabs>
          <w:tab w:val="clear" w:pos="879"/>
          <w:tab w:val="left" w:pos="896"/>
        </w:tabs>
        <w:ind w:left="924" w:hanging="924"/>
      </w:pPr>
      <w:r>
        <w:tab/>
        <w:t>[Part 12 heading, formerly Part 4 heading, renumbered by No. 78 of 2003 s. 35(3).]</w:t>
      </w:r>
    </w:p>
    <w:p>
      <w:pPr>
        <w:pStyle w:val="Heading3"/>
      </w:pPr>
      <w:bookmarkStart w:id="720" w:name="_Toc381873051"/>
      <w:bookmarkStart w:id="721" w:name="_Toc381873866"/>
      <w:bookmarkStart w:id="722" w:name="_Toc405978273"/>
      <w:bookmarkStart w:id="723" w:name="_Toc406054199"/>
      <w:bookmarkStart w:id="724" w:name="_Toc406078737"/>
      <w:bookmarkStart w:id="725" w:name="_Toc407628502"/>
      <w:bookmarkStart w:id="726" w:name="_Toc413244040"/>
      <w:bookmarkStart w:id="727" w:name="_Toc413321381"/>
      <w:bookmarkStart w:id="728" w:name="_Toc422302213"/>
      <w:r>
        <w:rPr>
          <w:rStyle w:val="CharDivNo"/>
        </w:rPr>
        <w:t>Division 1</w:t>
      </w:r>
      <w:r>
        <w:t> — </w:t>
      </w:r>
      <w:r>
        <w:rPr>
          <w:rStyle w:val="CharDivText"/>
        </w:rPr>
        <w:t>Staff</w:t>
      </w:r>
      <w:bookmarkEnd w:id="720"/>
      <w:bookmarkEnd w:id="721"/>
      <w:bookmarkEnd w:id="722"/>
      <w:bookmarkEnd w:id="723"/>
      <w:bookmarkEnd w:id="724"/>
      <w:bookmarkEnd w:id="725"/>
      <w:bookmarkEnd w:id="726"/>
      <w:bookmarkEnd w:id="727"/>
      <w:bookmarkEnd w:id="728"/>
    </w:p>
    <w:p>
      <w:pPr>
        <w:pStyle w:val="Heading5"/>
      </w:pPr>
      <w:bookmarkStart w:id="729" w:name="_Toc407628503"/>
      <w:bookmarkStart w:id="730" w:name="_Toc422302214"/>
      <w:r>
        <w:rPr>
          <w:rStyle w:val="CharSectno"/>
        </w:rPr>
        <w:t>178</w:t>
      </w:r>
      <w:r>
        <w:t>.</w:t>
      </w:r>
      <w:r>
        <w:tab/>
        <w:t>Commission not SES organisation</w:t>
      </w:r>
      <w:bookmarkEnd w:id="729"/>
      <w:bookmarkEnd w:id="730"/>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by No. 78 of 2003 s. 35(1).]</w:t>
      </w:r>
    </w:p>
    <w:p>
      <w:pPr>
        <w:pStyle w:val="Heading5"/>
      </w:pPr>
      <w:bookmarkStart w:id="731" w:name="_Toc407628504"/>
      <w:bookmarkStart w:id="732" w:name="_Toc422302215"/>
      <w:r>
        <w:rPr>
          <w:rStyle w:val="CharSectno"/>
        </w:rPr>
        <w:t>179</w:t>
      </w:r>
      <w:r>
        <w:t>.</w:t>
      </w:r>
      <w:r>
        <w:tab/>
        <w:t>Staff of Commission</w:t>
      </w:r>
      <w:bookmarkEnd w:id="731"/>
      <w:bookmarkEnd w:id="732"/>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by No. 78 of 2003 s. 35(1).]</w:t>
      </w:r>
    </w:p>
    <w:p>
      <w:pPr>
        <w:pStyle w:val="Heading5"/>
      </w:pPr>
      <w:bookmarkStart w:id="733" w:name="_Toc407628505"/>
      <w:bookmarkStart w:id="734" w:name="_Toc422302216"/>
      <w:r>
        <w:rPr>
          <w:rStyle w:val="CharSectno"/>
        </w:rPr>
        <w:t>180</w:t>
      </w:r>
      <w:r>
        <w:t>.</w:t>
      </w:r>
      <w:r>
        <w:tab/>
        <w:t>Entitlements of public service officers</w:t>
      </w:r>
      <w:bookmarkEnd w:id="733"/>
      <w:bookmarkEnd w:id="734"/>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4</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by No. 78 of 2003 s. 35(13); renumbered as section 180 by No. 78 of 2003 s. 35(1).]</w:t>
      </w:r>
    </w:p>
    <w:p>
      <w:pPr>
        <w:pStyle w:val="Heading5"/>
      </w:pPr>
      <w:bookmarkStart w:id="735" w:name="_Toc407628506"/>
      <w:bookmarkStart w:id="736" w:name="_Toc422302217"/>
      <w:r>
        <w:rPr>
          <w:rStyle w:val="CharSectno"/>
        </w:rPr>
        <w:t>181</w:t>
      </w:r>
      <w:r>
        <w:t>.</w:t>
      </w:r>
      <w:r>
        <w:tab/>
        <w:t>Secondment of staff and use of facilities</w:t>
      </w:r>
      <w:bookmarkEnd w:id="735"/>
      <w:bookmarkEnd w:id="736"/>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tab/>
        <w:t>(c)</w:t>
      </w:r>
      <w:r>
        <w:tab/>
        <w:t>otherwise in the service of the State,</w:t>
      </w:r>
    </w:p>
    <w:p>
      <w:pPr>
        <w:pStyle w:val="Subsection"/>
      </w:pPr>
      <w:r>
        <w:tab/>
      </w:r>
      <w:r>
        <w:tab/>
        <w:t>to be seconded or otherwise engaged to assist the Commission.</w:t>
      </w:r>
    </w:p>
    <w:p>
      <w:pPr>
        <w:pStyle w:val="Subsection"/>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pPr>
      <w:r>
        <w:tab/>
      </w:r>
      <w:r>
        <w:tab/>
        <w:t>to be seconded or otherwise engaged to assist the Commission.</w:t>
      </w:r>
    </w:p>
    <w:p>
      <w:pPr>
        <w:pStyle w:val="Subsection"/>
      </w:pPr>
      <w:r>
        <w:tab/>
        <w:t>(3)</w:t>
      </w:r>
      <w:r>
        <w:tab/>
        <w:t>A person seconded or engaged under subsection (1) or (2) is subject to the control and direction of the Commission and is not subject to the control and direction of any other employing authority.</w:t>
      </w:r>
    </w:p>
    <w:p>
      <w:pPr>
        <w:pStyle w:val="Subsection"/>
      </w:pPr>
      <w:r>
        <w:tab/>
        <w:t>(4)</w:t>
      </w:r>
      <w:r>
        <w:tab/>
        <w:t>The Commission may by arrangement make use of the facilities of a department of the Public Service or a State agency.</w:t>
      </w:r>
    </w:p>
    <w:p>
      <w:pPr>
        <w:pStyle w:val="Subsection"/>
      </w:pPr>
      <w:r>
        <w:tab/>
        <w:t>(5)</w:t>
      </w:r>
      <w:r>
        <w:tab/>
        <w:t>The Commission may by arrangement make use of the facilities of a body or authority of another State, a Territory or the Commonwealth.</w:t>
      </w:r>
    </w:p>
    <w:p>
      <w:pPr>
        <w:pStyle w:val="Subsection"/>
      </w:pPr>
      <w:r>
        <w:tab/>
        <w:t>(6)</w:t>
      </w:r>
      <w:r>
        <w:tab/>
        <w:t>An arrangement under subsection (1) or (4) (other than an arrangement in relation to staff or facilities of the Police Force) is to be made with the relevant employing authority on terms agreed by the parties.</w:t>
      </w:r>
    </w:p>
    <w:p>
      <w:pPr>
        <w:pStyle w:val="Subsection"/>
      </w:pPr>
      <w:r>
        <w:tab/>
        <w:t>(7)</w:t>
      </w:r>
      <w:r>
        <w:tab/>
        <w:t>An arrangement under subsection (1) or (4) in relation to staff or facilities of the Police Force is to be made with the Commissioner of Police on terms agreed by the parties.</w:t>
      </w:r>
    </w:p>
    <w:p>
      <w:pPr>
        <w:pStyle w:val="Subsection"/>
        <w:keepNext/>
      </w:pPr>
      <w:r>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by No. 78 of 2003 s. 35(1).]</w:t>
      </w:r>
    </w:p>
    <w:p>
      <w:pPr>
        <w:pStyle w:val="Heading5"/>
      </w:pPr>
      <w:bookmarkStart w:id="737" w:name="_Toc407628507"/>
      <w:bookmarkStart w:id="738" w:name="_Toc422302218"/>
      <w:r>
        <w:rPr>
          <w:rStyle w:val="CharSectno"/>
        </w:rPr>
        <w:t>182</w:t>
      </w:r>
      <w:r>
        <w:t>.</w:t>
      </w:r>
      <w:r>
        <w:tab/>
        <w:t>Engagement of service providers</w:t>
      </w:r>
      <w:bookmarkEnd w:id="737"/>
      <w:bookmarkEnd w:id="738"/>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by No. 78 of 2003 s. 35(1).]</w:t>
      </w:r>
    </w:p>
    <w:p>
      <w:pPr>
        <w:pStyle w:val="Heading5"/>
      </w:pPr>
      <w:bookmarkStart w:id="739" w:name="_Toc407628508"/>
      <w:bookmarkStart w:id="740" w:name="_Toc422302219"/>
      <w:r>
        <w:rPr>
          <w:rStyle w:val="CharSectno"/>
        </w:rPr>
        <w:t>183</w:t>
      </w:r>
      <w:r>
        <w:t>.</w:t>
      </w:r>
      <w:r>
        <w:tab/>
        <w:t>Oath of secrecy for officers</w:t>
      </w:r>
      <w:bookmarkEnd w:id="739"/>
      <w:bookmarkEnd w:id="740"/>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w:t>
      </w:r>
    </w:p>
    <w:p>
      <w:pPr>
        <w:pStyle w:val="Footnotesection"/>
      </w:pPr>
      <w:r>
        <w:tab/>
        <w:t>[Section 183, formerly section 29, renumbered as section 183 by No. 78 of 2003 s. 35(1).]</w:t>
      </w:r>
    </w:p>
    <w:p>
      <w:pPr>
        <w:pStyle w:val="Heading5"/>
      </w:pPr>
      <w:bookmarkStart w:id="741" w:name="_Toc407628509"/>
      <w:bookmarkStart w:id="742" w:name="_Toc422302220"/>
      <w:r>
        <w:rPr>
          <w:rStyle w:val="CharSectno"/>
        </w:rPr>
        <w:t>184</w:t>
      </w:r>
      <w:r>
        <w:t>.</w:t>
      </w:r>
      <w:r>
        <w:tab/>
        <w:t>Authorised officers, appointment and functions of</w:t>
      </w:r>
      <w:bookmarkEnd w:id="741"/>
      <w:bookmarkEnd w:id="742"/>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(b)</w:t>
      </w:r>
      <w:r>
        <w:tab/>
        <w:t>an officer of the Commission appointed under subsection (2).</w:t>
      </w:r>
    </w:p>
    <w:p>
      <w:pPr>
        <w:pStyle w:val="Subsection"/>
      </w:pPr>
      <w:r>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is prescribed to be a senior officer in relation to the authorised officer.</w:t>
      </w:r>
    </w:p>
    <w:p>
      <w:pPr>
        <w:pStyle w:val="Subsection"/>
      </w:pPr>
      <w:r>
        <w:rPr>
          <w:szCs w:val="22"/>
        </w:rPr>
        <w:tab/>
        <w:t>(3c)</w:t>
      </w:r>
      <w:r>
        <w:rPr>
          <w:szCs w:val="22"/>
        </w:rPr>
        <w:tab/>
        <w:t xml:space="preserve">An authorised officer has and may perform all of the functions that a police officer has and may perform under any law of the State, other than the Acts referred to in subsections (3) to (3b). </w:t>
      </w:r>
    </w:p>
    <w:p>
      <w:pPr>
        <w:pStyle w:val="Subsection"/>
      </w:pPr>
      <w:r>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Section 8(1)(d)(i) of the </w:t>
      </w:r>
      <w:r>
        <w:rPr>
          <w:i/>
        </w:rPr>
        <w:t>Firearms Act 1973</w:t>
      </w:r>
      <w:r>
        <w:t xml:space="preserve"> applies to an authorised officer when acting in his or her capacity as an officer of the Commission as if the authorised officer were a member of the Police Force.</w:t>
      </w:r>
    </w:p>
    <w:p>
      <w:pPr>
        <w:pStyle w:val="Subsection"/>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by No. 78 of 2003 s. 35(1); amended by No. 59 of 2006 s. 11; No. 5 of 2008 s. 128.]</w:t>
      </w:r>
    </w:p>
    <w:p>
      <w:pPr>
        <w:pStyle w:val="Heading5"/>
      </w:pPr>
      <w:bookmarkStart w:id="743" w:name="_Toc407628510"/>
      <w:bookmarkStart w:id="744" w:name="_Toc422302221"/>
      <w:r>
        <w:rPr>
          <w:rStyle w:val="CharSectno"/>
        </w:rPr>
        <w:t>185</w:t>
      </w:r>
      <w:r>
        <w:t>.</w:t>
      </w:r>
      <w:r>
        <w:tab/>
        <w:t>Delegation by Commission</w:t>
      </w:r>
      <w:bookmarkEnd w:id="743"/>
      <w:bookmarkEnd w:id="744"/>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by No. 78 of 2003 s. 23.]</w:t>
      </w:r>
    </w:p>
    <w:p>
      <w:pPr>
        <w:pStyle w:val="Heading3"/>
      </w:pPr>
      <w:bookmarkStart w:id="745" w:name="_Toc381873060"/>
      <w:bookmarkStart w:id="746" w:name="_Toc381873875"/>
      <w:bookmarkStart w:id="747" w:name="_Toc405978282"/>
      <w:bookmarkStart w:id="748" w:name="_Toc406054208"/>
      <w:bookmarkStart w:id="749" w:name="_Toc406078746"/>
      <w:bookmarkStart w:id="750" w:name="_Toc407628511"/>
      <w:bookmarkStart w:id="751" w:name="_Toc413244049"/>
      <w:bookmarkStart w:id="752" w:name="_Toc413321390"/>
      <w:bookmarkStart w:id="753" w:name="_Toc422302222"/>
      <w:r>
        <w:rPr>
          <w:rStyle w:val="CharDivNo"/>
        </w:rPr>
        <w:t>Division 2</w:t>
      </w:r>
      <w:r>
        <w:t> — </w:t>
      </w:r>
      <w:r>
        <w:rPr>
          <w:rStyle w:val="CharDivText"/>
        </w:rPr>
        <w:t>Financial provisions</w:t>
      </w:r>
      <w:bookmarkEnd w:id="745"/>
      <w:bookmarkEnd w:id="746"/>
      <w:bookmarkEnd w:id="747"/>
      <w:bookmarkEnd w:id="748"/>
      <w:bookmarkEnd w:id="749"/>
      <w:bookmarkEnd w:id="750"/>
      <w:bookmarkEnd w:id="751"/>
      <w:bookmarkEnd w:id="752"/>
      <w:bookmarkEnd w:id="753"/>
    </w:p>
    <w:p>
      <w:pPr>
        <w:pStyle w:val="Heading5"/>
      </w:pPr>
      <w:bookmarkStart w:id="754" w:name="_Toc407628512"/>
      <w:bookmarkStart w:id="755" w:name="_Toc422302223"/>
      <w:r>
        <w:rPr>
          <w:rStyle w:val="CharSectno"/>
        </w:rPr>
        <w:t>186</w:t>
      </w:r>
      <w:r>
        <w:t>.</w:t>
      </w:r>
      <w:r>
        <w:tab/>
        <w:t>Funds of Commission</w:t>
      </w:r>
      <w:bookmarkEnd w:id="754"/>
      <w:bookmarkEnd w:id="755"/>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by No. 78 of 2003 s. 35(13); renumbered as section 186 by No. 78 of 2003 s. 35(1); amended by No. 77 of 2006 Sch. 1 cl. 35(6) and (7).]</w:t>
      </w:r>
    </w:p>
    <w:p>
      <w:pPr>
        <w:pStyle w:val="Heading5"/>
      </w:pPr>
      <w:bookmarkStart w:id="756" w:name="_Toc407628513"/>
      <w:bookmarkStart w:id="757" w:name="_Toc422302224"/>
      <w:r>
        <w:rPr>
          <w:rStyle w:val="CharSectno"/>
        </w:rPr>
        <w:t>187</w:t>
      </w:r>
      <w:r>
        <w:t>.</w:t>
      </w:r>
      <w:r>
        <w:tab/>
        <w:t xml:space="preserve">Application of </w:t>
      </w:r>
      <w:r>
        <w:rPr>
          <w:i/>
          <w:iCs/>
        </w:rPr>
        <w:t>Financial Management Act 2006</w:t>
      </w:r>
      <w:r>
        <w:t xml:space="preserve"> and </w:t>
      </w:r>
      <w:r>
        <w:rPr>
          <w:i/>
          <w:iCs/>
        </w:rPr>
        <w:t>Auditor General Act 2006</w:t>
      </w:r>
      <w:bookmarkEnd w:id="756"/>
      <w:bookmarkEnd w:id="757"/>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by No. 78 of 2003 s. 35(13); renumbered as section 187 by No. 78 of 2003 s. 35(1); amended by No. 77 of 2006 Sch. 1 cl. 35(8).]</w:t>
      </w:r>
    </w:p>
    <w:p>
      <w:pPr>
        <w:pStyle w:val="Heading2"/>
      </w:pPr>
      <w:bookmarkStart w:id="758" w:name="_Toc381873063"/>
      <w:bookmarkStart w:id="759" w:name="_Toc381873878"/>
      <w:bookmarkStart w:id="760" w:name="_Toc405978285"/>
      <w:bookmarkStart w:id="761" w:name="_Toc406054211"/>
      <w:bookmarkStart w:id="762" w:name="_Toc406078749"/>
      <w:bookmarkStart w:id="763" w:name="_Toc407628514"/>
      <w:bookmarkStart w:id="764" w:name="_Toc413244052"/>
      <w:bookmarkStart w:id="765" w:name="_Toc413321393"/>
      <w:bookmarkStart w:id="766" w:name="_Toc422302225"/>
      <w:r>
        <w:rPr>
          <w:rStyle w:val="CharPartNo"/>
        </w:rPr>
        <w:t>Part 13</w:t>
      </w:r>
      <w:r>
        <w:t> — </w:t>
      </w:r>
      <w:r>
        <w:rPr>
          <w:rStyle w:val="CharPartText"/>
        </w:rPr>
        <w:t>Parliamentary Inspector of the Corruption and Crime Commission</w:t>
      </w:r>
      <w:bookmarkEnd w:id="758"/>
      <w:bookmarkEnd w:id="759"/>
      <w:bookmarkEnd w:id="760"/>
      <w:bookmarkEnd w:id="761"/>
      <w:bookmarkEnd w:id="762"/>
      <w:bookmarkEnd w:id="763"/>
      <w:bookmarkEnd w:id="764"/>
      <w:bookmarkEnd w:id="765"/>
      <w:bookmarkEnd w:id="766"/>
    </w:p>
    <w:p>
      <w:pPr>
        <w:pStyle w:val="Footnoteheading"/>
        <w:keepNext/>
        <w:tabs>
          <w:tab w:val="clear" w:pos="879"/>
          <w:tab w:val="left" w:pos="896"/>
        </w:tabs>
        <w:ind w:left="924" w:hanging="924"/>
      </w:pPr>
      <w:r>
        <w:tab/>
        <w:t>[Part 13 heading, formerly Part 5 heading, renumbered by No. 78 of 2003 s. 35(4).]</w:t>
      </w:r>
    </w:p>
    <w:p>
      <w:pPr>
        <w:pStyle w:val="Heading3"/>
      </w:pPr>
      <w:bookmarkStart w:id="767" w:name="_Toc381873064"/>
      <w:bookmarkStart w:id="768" w:name="_Toc381873879"/>
      <w:bookmarkStart w:id="769" w:name="_Toc405978286"/>
      <w:bookmarkStart w:id="770" w:name="_Toc406054212"/>
      <w:bookmarkStart w:id="771" w:name="_Toc406078750"/>
      <w:bookmarkStart w:id="772" w:name="_Toc407628515"/>
      <w:bookmarkStart w:id="773" w:name="_Toc413244053"/>
      <w:bookmarkStart w:id="774" w:name="_Toc413321394"/>
      <w:bookmarkStart w:id="775" w:name="_Toc422302226"/>
      <w:r>
        <w:rPr>
          <w:rStyle w:val="CharDivNo"/>
        </w:rPr>
        <w:t>Division 1</w:t>
      </w:r>
      <w:r>
        <w:t> — </w:t>
      </w:r>
      <w:r>
        <w:rPr>
          <w:rStyle w:val="CharDivText"/>
        </w:rPr>
        <w:t>Office of Parliamentary Inspector of the Corruption and Crime Commission</w:t>
      </w:r>
      <w:bookmarkEnd w:id="767"/>
      <w:bookmarkEnd w:id="768"/>
      <w:bookmarkEnd w:id="769"/>
      <w:bookmarkEnd w:id="770"/>
      <w:bookmarkEnd w:id="771"/>
      <w:bookmarkEnd w:id="772"/>
      <w:bookmarkEnd w:id="773"/>
      <w:bookmarkEnd w:id="774"/>
      <w:bookmarkEnd w:id="775"/>
    </w:p>
    <w:p>
      <w:pPr>
        <w:pStyle w:val="Heading5"/>
        <w:spacing w:before="180"/>
      </w:pPr>
      <w:bookmarkStart w:id="776" w:name="_Toc407628516"/>
      <w:bookmarkStart w:id="777" w:name="_Toc422302227"/>
      <w:r>
        <w:rPr>
          <w:rStyle w:val="CharSectno"/>
        </w:rPr>
        <w:t>188</w:t>
      </w:r>
      <w:r>
        <w:t>.</w:t>
      </w:r>
      <w:r>
        <w:tab/>
        <w:t>Parliamentary Inspector of Corruption and Crime Commission, office established</w:t>
      </w:r>
      <w:bookmarkEnd w:id="776"/>
      <w:bookmarkEnd w:id="777"/>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by No. 78 of 2003 s. 24; renumbered as section 188 by No. 78 of 2003 s. 35(1).]</w:t>
      </w:r>
    </w:p>
    <w:p>
      <w:pPr>
        <w:pStyle w:val="Heading5"/>
        <w:spacing w:before="180"/>
      </w:pPr>
      <w:bookmarkStart w:id="778" w:name="_Toc407628517"/>
      <w:bookmarkStart w:id="779" w:name="_Toc422302228"/>
      <w:r>
        <w:rPr>
          <w:rStyle w:val="CharSectno"/>
        </w:rPr>
        <w:t>189</w:t>
      </w:r>
      <w:r>
        <w:t>.</w:t>
      </w:r>
      <w:r>
        <w:tab/>
        <w:t>Parliamentary Inspector, appointment of</w:t>
      </w:r>
      <w:bookmarkEnd w:id="778"/>
      <w:bookmarkEnd w:id="779"/>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by No. 78 of 2003 s. 25; renumbered as section 189 by No. 78 of 2003 s. 35(1).]</w:t>
      </w:r>
    </w:p>
    <w:p>
      <w:pPr>
        <w:pStyle w:val="Heading5"/>
        <w:spacing w:before="180"/>
      </w:pPr>
      <w:bookmarkStart w:id="780" w:name="_Toc407628518"/>
      <w:bookmarkStart w:id="781" w:name="_Toc422302229"/>
      <w:r>
        <w:rPr>
          <w:rStyle w:val="CharSectno"/>
        </w:rPr>
        <w:t>190</w:t>
      </w:r>
      <w:r>
        <w:t>.</w:t>
      </w:r>
      <w:r>
        <w:tab/>
        <w:t>Qualifications for appointment as Parliamentary Inspector</w:t>
      </w:r>
      <w:bookmarkEnd w:id="780"/>
      <w:bookmarkEnd w:id="781"/>
    </w:p>
    <w:p>
      <w:pPr>
        <w:pStyle w:val="Subsection"/>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by No. 78 of 2003 s. 35(1); amended by No. 21 of 2008 s. 654(6) and (7).]</w:t>
      </w:r>
    </w:p>
    <w:p>
      <w:pPr>
        <w:pStyle w:val="Heading5"/>
        <w:spacing w:before="180"/>
      </w:pPr>
      <w:bookmarkStart w:id="782" w:name="_Toc407628519"/>
      <w:bookmarkStart w:id="783" w:name="_Toc422302230"/>
      <w:r>
        <w:rPr>
          <w:rStyle w:val="CharSectno"/>
        </w:rPr>
        <w:t>191</w:t>
      </w:r>
      <w:r>
        <w:t>.</w:t>
      </w:r>
      <w:r>
        <w:tab/>
        <w:t>Terms and conditions of service of Parliamentary Inspector</w:t>
      </w:r>
      <w:bookmarkEnd w:id="782"/>
      <w:bookmarkEnd w:id="783"/>
    </w:p>
    <w:p>
      <w:pPr>
        <w:pStyle w:val="Subsection"/>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by No. 78 of 2003 s. 35(13); renumbered as section 191 by No. 78 of 2003 s. 35(1).]</w:t>
      </w:r>
    </w:p>
    <w:p>
      <w:pPr>
        <w:pStyle w:val="Heading5"/>
      </w:pPr>
      <w:bookmarkStart w:id="784" w:name="_Toc407628520"/>
      <w:bookmarkStart w:id="785" w:name="_Toc422302231"/>
      <w:r>
        <w:rPr>
          <w:rStyle w:val="CharSectno"/>
        </w:rPr>
        <w:t>192</w:t>
      </w:r>
      <w:r>
        <w:t>.</w:t>
      </w:r>
      <w:r>
        <w:tab/>
        <w:t>Removal or suspension of Parliamentary Inspector</w:t>
      </w:r>
      <w:bookmarkEnd w:id="784"/>
      <w:bookmarkEnd w:id="785"/>
    </w:p>
    <w:p>
      <w:pPr>
        <w:pStyle w:val="Subsection"/>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by No. 78 of 2003 s. 35(1).]</w:t>
      </w:r>
    </w:p>
    <w:p>
      <w:pPr>
        <w:pStyle w:val="Heading5"/>
      </w:pPr>
      <w:bookmarkStart w:id="786" w:name="_Toc407628521"/>
      <w:bookmarkStart w:id="787" w:name="_Toc422302232"/>
      <w:r>
        <w:rPr>
          <w:rStyle w:val="CharSectno"/>
        </w:rPr>
        <w:t>193</w:t>
      </w:r>
      <w:r>
        <w:t>.</w:t>
      </w:r>
      <w:r>
        <w:tab/>
        <w:t>Acting Parliamentary Inspector</w:t>
      </w:r>
      <w:bookmarkEnd w:id="786"/>
      <w:bookmarkEnd w:id="787"/>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by No. 78 of 2003 s. 26 and 35(13); renumbered as section 193 by No. 78 of 2003 s. 35(1).]</w:t>
      </w:r>
    </w:p>
    <w:p>
      <w:pPr>
        <w:pStyle w:val="Heading5"/>
        <w:spacing w:before="180"/>
      </w:pPr>
      <w:bookmarkStart w:id="788" w:name="_Toc407628522"/>
      <w:bookmarkStart w:id="789" w:name="_Toc422302233"/>
      <w:r>
        <w:rPr>
          <w:rStyle w:val="CharSectno"/>
        </w:rPr>
        <w:t>194</w:t>
      </w:r>
      <w:r>
        <w:t>.</w:t>
      </w:r>
      <w:r>
        <w:tab/>
        <w:t>Oath or affirmation of office</w:t>
      </w:r>
      <w:bookmarkEnd w:id="788"/>
      <w:bookmarkEnd w:id="789"/>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194, formerly section 39, renumbered as section 194 by No. 78 of 2003 s. 35(1).]</w:t>
      </w:r>
    </w:p>
    <w:p>
      <w:pPr>
        <w:pStyle w:val="Heading3"/>
      </w:pPr>
      <w:bookmarkStart w:id="790" w:name="_Toc381873072"/>
      <w:bookmarkStart w:id="791" w:name="_Toc381873887"/>
      <w:bookmarkStart w:id="792" w:name="_Toc405978294"/>
      <w:bookmarkStart w:id="793" w:name="_Toc406054220"/>
      <w:bookmarkStart w:id="794" w:name="_Toc406078758"/>
      <w:bookmarkStart w:id="795" w:name="_Toc407628523"/>
      <w:bookmarkStart w:id="796" w:name="_Toc413244061"/>
      <w:bookmarkStart w:id="797" w:name="_Toc413321402"/>
      <w:bookmarkStart w:id="798" w:name="_Toc422302234"/>
      <w:r>
        <w:rPr>
          <w:rStyle w:val="CharDivNo"/>
        </w:rPr>
        <w:t>Division 2</w:t>
      </w:r>
      <w:r>
        <w:t> — </w:t>
      </w:r>
      <w:r>
        <w:rPr>
          <w:rStyle w:val="CharDivText"/>
        </w:rPr>
        <w:t>Functions of the Parliamentary Inspector</w:t>
      </w:r>
      <w:bookmarkEnd w:id="790"/>
      <w:bookmarkEnd w:id="791"/>
      <w:bookmarkEnd w:id="792"/>
      <w:bookmarkEnd w:id="793"/>
      <w:bookmarkEnd w:id="794"/>
      <w:bookmarkEnd w:id="795"/>
      <w:bookmarkEnd w:id="796"/>
      <w:bookmarkEnd w:id="797"/>
      <w:bookmarkEnd w:id="798"/>
    </w:p>
    <w:p>
      <w:pPr>
        <w:pStyle w:val="Heading5"/>
      </w:pPr>
      <w:bookmarkStart w:id="799" w:name="_Toc407628524"/>
      <w:bookmarkStart w:id="800" w:name="_Toc422302235"/>
      <w:r>
        <w:rPr>
          <w:rStyle w:val="CharSectno"/>
        </w:rPr>
        <w:t>195</w:t>
      </w:r>
      <w:r>
        <w:t>.</w:t>
      </w:r>
      <w:r>
        <w:tab/>
        <w:t>Functions</w:t>
      </w:r>
      <w:bookmarkEnd w:id="799"/>
      <w:bookmarkEnd w:id="800"/>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by No. 78 of 2003 s. 18 and 27; renumbered as section 195 by No. 78 of 2003 s. 35(1).]</w:t>
      </w:r>
    </w:p>
    <w:p>
      <w:pPr>
        <w:pStyle w:val="Heading5"/>
      </w:pPr>
      <w:bookmarkStart w:id="801" w:name="_Toc407628525"/>
      <w:bookmarkStart w:id="802" w:name="_Toc422302236"/>
      <w:r>
        <w:rPr>
          <w:rStyle w:val="CharSectno"/>
        </w:rPr>
        <w:t>196</w:t>
      </w:r>
      <w:r>
        <w:t>.</w:t>
      </w:r>
      <w:r>
        <w:tab/>
        <w:t>Powers</w:t>
      </w:r>
      <w:bookmarkEnd w:id="801"/>
      <w:bookmarkEnd w:id="802"/>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may require officers to attend before the Parliamentary Inspector to answer questions or produce documents or 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pPr>
      <w:r>
        <w:tab/>
        <w:t>(8)</w:t>
      </w:r>
      <w:r>
        <w:tab/>
        <w:t>Where the Parliamentary Inspector proposes to act under subsection (7)(a), the Commission must be given a reasonable opportunity to show cause why its determination should not be annulled.</w:t>
      </w:r>
    </w:p>
    <w:p>
      <w:pPr>
        <w:pStyle w:val="Subsection"/>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pPr>
      <w:r>
        <w:tab/>
        <w:t>[Section 196 inserted by No. 78 of 2003 s. 28.]</w:t>
      </w:r>
    </w:p>
    <w:p>
      <w:pPr>
        <w:pStyle w:val="Heading5"/>
      </w:pPr>
      <w:bookmarkStart w:id="803" w:name="_Toc407628526"/>
      <w:bookmarkStart w:id="804" w:name="_Toc422302237"/>
      <w:r>
        <w:rPr>
          <w:rStyle w:val="CharSectno"/>
        </w:rPr>
        <w:t>197</w:t>
      </w:r>
      <w:r>
        <w:t>.</w:t>
      </w:r>
      <w:r>
        <w:tab/>
        <w:t>Inquiries</w:t>
      </w:r>
      <w:bookmarkEnd w:id="803"/>
      <w:bookmarkEnd w:id="804"/>
    </w:p>
    <w:p>
      <w:pPr>
        <w:pStyle w:val="Subsection"/>
      </w:pPr>
      <w:r>
        <w:tab/>
        <w:t>(1)</w:t>
      </w:r>
      <w:r>
        <w:tab/>
        <w:t>For the purpose of the Parliamentary Inspector’s functions, the Parliamentary Inspector may make or hold an inquiry.</w:t>
      </w:r>
    </w:p>
    <w:p>
      <w:pPr>
        <w:pStyle w:val="Subsection"/>
      </w:pPr>
      <w:r>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by No. 78 of 2003 s. 28.]</w:t>
      </w:r>
    </w:p>
    <w:p>
      <w:pPr>
        <w:pStyle w:val="Heading5"/>
      </w:pPr>
      <w:bookmarkStart w:id="805" w:name="_Toc407628527"/>
      <w:bookmarkStart w:id="806" w:name="_Toc422302238"/>
      <w:r>
        <w:rPr>
          <w:rStyle w:val="CharSectno"/>
        </w:rPr>
        <w:t>198</w:t>
      </w:r>
      <w:r>
        <w:t>.</w:t>
      </w:r>
      <w:r>
        <w:tab/>
        <w:t>Parliamentary Inspector not to interfere with Commission’s operations</w:t>
      </w:r>
      <w:bookmarkEnd w:id="805"/>
      <w:bookmarkEnd w:id="806"/>
    </w:p>
    <w:p>
      <w:pPr>
        <w:pStyle w:val="Subsection"/>
      </w:pPr>
      <w:r>
        <w:tab/>
      </w:r>
      <w:r>
        <w:tab/>
        <w:t>The Parliamentary Inspector is not to interfere with, obstruct, hinder or delay any lawful operation of the Commission.</w:t>
      </w:r>
    </w:p>
    <w:p>
      <w:pPr>
        <w:pStyle w:val="Footnotesection"/>
      </w:pPr>
      <w:r>
        <w:tab/>
        <w:t>[Section 198 inserted by No. 78 of 2003 s. 28.]</w:t>
      </w:r>
    </w:p>
    <w:p>
      <w:pPr>
        <w:pStyle w:val="Heading3"/>
        <w:pageBreakBefore/>
      </w:pPr>
      <w:bookmarkStart w:id="807" w:name="_Toc381873077"/>
      <w:bookmarkStart w:id="808" w:name="_Toc381873892"/>
      <w:bookmarkStart w:id="809" w:name="_Toc405978299"/>
      <w:bookmarkStart w:id="810" w:name="_Toc406054225"/>
      <w:bookmarkStart w:id="811" w:name="_Toc406078763"/>
      <w:bookmarkStart w:id="812" w:name="_Toc407628528"/>
      <w:bookmarkStart w:id="813" w:name="_Toc413244066"/>
      <w:bookmarkStart w:id="814" w:name="_Toc413321407"/>
      <w:bookmarkStart w:id="815" w:name="_Toc422302239"/>
      <w:r>
        <w:rPr>
          <w:rStyle w:val="CharDivNo"/>
        </w:rPr>
        <w:t>Division 3</w:t>
      </w:r>
      <w:r>
        <w:t> — </w:t>
      </w:r>
      <w:r>
        <w:rPr>
          <w:rStyle w:val="CharDivText"/>
        </w:rPr>
        <w:t>Reporting</w:t>
      </w:r>
      <w:bookmarkEnd w:id="807"/>
      <w:bookmarkEnd w:id="808"/>
      <w:bookmarkEnd w:id="809"/>
      <w:bookmarkEnd w:id="810"/>
      <w:bookmarkEnd w:id="811"/>
      <w:bookmarkEnd w:id="812"/>
      <w:bookmarkEnd w:id="813"/>
      <w:bookmarkEnd w:id="814"/>
      <w:bookmarkEnd w:id="815"/>
    </w:p>
    <w:p>
      <w:pPr>
        <w:pStyle w:val="Footnoteheading"/>
        <w:keepNext/>
        <w:tabs>
          <w:tab w:val="clear" w:pos="879"/>
          <w:tab w:val="left" w:pos="896"/>
        </w:tabs>
      </w:pPr>
      <w:r>
        <w:tab/>
        <w:t>[Heading inserted by No. 78 of 2003 s. 28.]</w:t>
      </w:r>
    </w:p>
    <w:p>
      <w:pPr>
        <w:pStyle w:val="Heading5"/>
      </w:pPr>
      <w:bookmarkStart w:id="816" w:name="_Toc407628529"/>
      <w:bookmarkStart w:id="817" w:name="_Toc422302240"/>
      <w:r>
        <w:rPr>
          <w:rStyle w:val="CharSectno"/>
        </w:rPr>
        <w:t>199</w:t>
      </w:r>
      <w:r>
        <w:t>.</w:t>
      </w:r>
      <w:r>
        <w:tab/>
        <w:t>Report to Parliament may be given at any time</w:t>
      </w:r>
      <w:bookmarkEnd w:id="816"/>
      <w:bookmarkEnd w:id="817"/>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pPr>
      <w:r>
        <w:tab/>
        <w:t>(2)</w:t>
      </w:r>
      <w:r>
        <w:tab/>
        <w:t>The Parliamentary Inspector may cause a report prepared under this section to be laid before each House of Parliament or dealt with under section 206.</w:t>
      </w:r>
    </w:p>
    <w:p>
      <w:pPr>
        <w:pStyle w:val="Footnotesection"/>
      </w:pPr>
      <w:r>
        <w:tab/>
        <w:t>[Section 199 inserted by No. 78 of 2003 s. 28.]</w:t>
      </w:r>
    </w:p>
    <w:p>
      <w:pPr>
        <w:pStyle w:val="Heading5"/>
      </w:pPr>
      <w:bookmarkStart w:id="818" w:name="_Toc407628530"/>
      <w:bookmarkStart w:id="819" w:name="_Toc422302241"/>
      <w:r>
        <w:rPr>
          <w:rStyle w:val="CharSectno"/>
        </w:rPr>
        <w:t>200</w:t>
      </w:r>
      <w:r>
        <w:t>.</w:t>
      </w:r>
      <w:r>
        <w:tab/>
        <w:t>Person subject to adverse report, entitlement of</w:t>
      </w:r>
      <w:bookmarkEnd w:id="818"/>
      <w:bookmarkEnd w:id="819"/>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by No. 78 of 2003 s. 28.]</w:t>
      </w:r>
    </w:p>
    <w:p>
      <w:pPr>
        <w:pStyle w:val="Heading5"/>
      </w:pPr>
      <w:bookmarkStart w:id="820" w:name="_Toc407628531"/>
      <w:bookmarkStart w:id="821" w:name="_Toc422302242"/>
      <w:r>
        <w:rPr>
          <w:rStyle w:val="CharSectno"/>
        </w:rPr>
        <w:t>201</w:t>
      </w:r>
      <w:r>
        <w:t>.</w:t>
      </w:r>
      <w:r>
        <w:tab/>
        <w:t>Report under s. 199 may be made to Standing Committee instead of Parliament</w:t>
      </w:r>
      <w:bookmarkEnd w:id="820"/>
      <w:bookmarkEnd w:id="821"/>
    </w:p>
    <w:p>
      <w:pPr>
        <w:pStyle w:val="Subsection"/>
      </w:pPr>
      <w:r>
        <w:tab/>
      </w:r>
      <w:r>
        <w:tab/>
        <w:t>A report of the kind mentioned in section 199 may be made by the Parliamentary Inspector to the Standing Committee instead of being laid before each House of Parliament or dealt with under section 206 if, for any reason, the Parliamentary Inspector considers it appropriate to do so.</w:t>
      </w:r>
    </w:p>
    <w:p>
      <w:pPr>
        <w:pStyle w:val="Footnotesection"/>
      </w:pPr>
      <w:r>
        <w:tab/>
        <w:t>[Section 201 inserted by No. 78 of 2003 s. 28.]</w:t>
      </w:r>
    </w:p>
    <w:p>
      <w:pPr>
        <w:pStyle w:val="Heading5"/>
      </w:pPr>
      <w:bookmarkStart w:id="822" w:name="_Toc407628532"/>
      <w:bookmarkStart w:id="823" w:name="_Toc422302243"/>
      <w:r>
        <w:rPr>
          <w:rStyle w:val="CharSectno"/>
        </w:rPr>
        <w:t>202</w:t>
      </w:r>
      <w:r>
        <w:t>.</w:t>
      </w:r>
      <w:r>
        <w:tab/>
        <w:t>Disclosure of matters in report</w:t>
      </w:r>
      <w:bookmarkEnd w:id="822"/>
      <w:bookmarkEnd w:id="823"/>
    </w:p>
    <w:p>
      <w:pPr>
        <w:pStyle w:val="Subsection"/>
      </w:pPr>
      <w:r>
        <w:tab/>
        <w:t>(1)</w:t>
      </w:r>
      <w:r>
        <w:tab/>
        <w:t>If a report under section 199 is laid before either House of Parliament, a matter included in that report may be disclosed despite sections 151 and 207.</w:t>
      </w:r>
    </w:p>
    <w:p>
      <w:pPr>
        <w:pStyle w:val="Subsection"/>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by No. 78 of 2003 s. 28.]</w:t>
      </w:r>
    </w:p>
    <w:p>
      <w:pPr>
        <w:pStyle w:val="Heading5"/>
      </w:pPr>
      <w:bookmarkStart w:id="824" w:name="_Toc407628533"/>
      <w:bookmarkStart w:id="825" w:name="_Toc422302244"/>
      <w:r>
        <w:rPr>
          <w:rStyle w:val="CharSectno"/>
        </w:rPr>
        <w:t>203</w:t>
      </w:r>
      <w:r>
        <w:t>.</w:t>
      </w:r>
      <w:r>
        <w:tab/>
        <w:t>Annual report to Parliament</w:t>
      </w:r>
      <w:bookmarkEnd w:id="824"/>
      <w:bookmarkEnd w:id="825"/>
    </w:p>
    <w:p>
      <w:pPr>
        <w:pStyle w:val="Subsection"/>
      </w:pPr>
      <w:r>
        <w:tab/>
        <w:t>(1)</w:t>
      </w:r>
      <w:r>
        <w:tab/>
        <w:t>The Parliamentary Inspector is to prepare, within 3 months after 30 June of each year, a report as to his or her general activities during that year.</w:t>
      </w:r>
    </w:p>
    <w:p>
      <w:pPr>
        <w:pStyle w:val="Subsection"/>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by No. 78 of 2003 s. 28; amended by No. 77 of 2006 Sch. 1 cl. 35(9); No. 46 of 2009 s. 17.]</w:t>
      </w:r>
    </w:p>
    <w:p>
      <w:pPr>
        <w:pStyle w:val="Heading5"/>
      </w:pPr>
      <w:bookmarkStart w:id="826" w:name="_Toc407628534"/>
      <w:bookmarkStart w:id="827" w:name="_Toc422302245"/>
      <w:r>
        <w:rPr>
          <w:rStyle w:val="CharSectno"/>
        </w:rPr>
        <w:t>204</w:t>
      </w:r>
      <w:r>
        <w:t>.</w:t>
      </w:r>
      <w:r>
        <w:tab/>
        <w:t>Periodical report to Parliament</w:t>
      </w:r>
      <w:bookmarkEnd w:id="826"/>
      <w:bookmarkEnd w:id="827"/>
    </w:p>
    <w:p>
      <w:pPr>
        <w:pStyle w:val="Subsection"/>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by No. 78 of 2003 s. 28.]</w:t>
      </w:r>
    </w:p>
    <w:p>
      <w:pPr>
        <w:pStyle w:val="Heading5"/>
      </w:pPr>
      <w:bookmarkStart w:id="828" w:name="_Toc407628535"/>
      <w:bookmarkStart w:id="829" w:name="_Toc422302246"/>
      <w:r>
        <w:rPr>
          <w:rStyle w:val="CharSectno"/>
        </w:rPr>
        <w:t>205</w:t>
      </w:r>
      <w:r>
        <w:t>.</w:t>
      </w:r>
      <w:r>
        <w:tab/>
        <w:t>Reports not to include certain information</w:t>
      </w:r>
      <w:bookmarkEnd w:id="828"/>
      <w:bookmarkEnd w:id="829"/>
    </w:p>
    <w:p>
      <w:pPr>
        <w:pStyle w:val="Subsection"/>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tab/>
        <w:t>(d)</w:t>
      </w:r>
      <w:r>
        <w:tab/>
        <w:t>information that may indicate that a particular investigation has been, is, or is reasonably likely to be, undertaken by the Police Force.</w:t>
      </w:r>
    </w:p>
    <w:p>
      <w:pPr>
        <w:pStyle w:val="Footnotesection"/>
      </w:pPr>
      <w:r>
        <w:tab/>
        <w:t>[Section 205 inserted by No. 78 of 2003 s. 28.]</w:t>
      </w:r>
    </w:p>
    <w:p>
      <w:pPr>
        <w:pStyle w:val="Heading5"/>
      </w:pPr>
      <w:bookmarkStart w:id="830" w:name="_Toc407628536"/>
      <w:bookmarkStart w:id="831" w:name="_Toc422302247"/>
      <w:r>
        <w:rPr>
          <w:rStyle w:val="CharSectno"/>
        </w:rPr>
        <w:t>206</w:t>
      </w:r>
      <w:r>
        <w:t>.</w:t>
      </w:r>
      <w:r>
        <w:tab/>
        <w:t>Laying documents before House of Parliament that is not sitting</w:t>
      </w:r>
      <w:bookmarkEnd w:id="830"/>
      <w:bookmarkEnd w:id="831"/>
    </w:p>
    <w:p>
      <w:pPr>
        <w:pStyle w:val="Subsection"/>
        <w:spacing w:before="120"/>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spacing w:before="120"/>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spacing w:before="120"/>
      </w:pPr>
      <w:r>
        <w:tab/>
      </w:r>
      <w:r>
        <w:tab/>
        <w:t>the Parliamentary Inspector is to transmit a copy of the report to the Clerk of that House.</w:t>
      </w:r>
    </w:p>
    <w:p>
      <w:pPr>
        <w:pStyle w:val="Subsection"/>
        <w:spacing w:before="120"/>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spacing w:before="80"/>
        <w:ind w:left="890" w:hanging="890"/>
      </w:pPr>
      <w:r>
        <w:tab/>
        <w:t>[Section 206 inserted by No. 78 of 2003 s. 28.]</w:t>
      </w:r>
    </w:p>
    <w:p>
      <w:pPr>
        <w:pStyle w:val="Heading3"/>
        <w:spacing w:before="200"/>
      </w:pPr>
      <w:bookmarkStart w:id="832" w:name="_Toc381873086"/>
      <w:bookmarkStart w:id="833" w:name="_Toc381873901"/>
      <w:bookmarkStart w:id="834" w:name="_Toc405978308"/>
      <w:bookmarkStart w:id="835" w:name="_Toc406054234"/>
      <w:bookmarkStart w:id="836" w:name="_Toc406078772"/>
      <w:bookmarkStart w:id="837" w:name="_Toc407628537"/>
      <w:bookmarkStart w:id="838" w:name="_Toc413244075"/>
      <w:bookmarkStart w:id="839" w:name="_Toc413321416"/>
      <w:bookmarkStart w:id="840" w:name="_Toc422302248"/>
      <w:r>
        <w:rPr>
          <w:rStyle w:val="CharDivNo"/>
        </w:rPr>
        <w:t>Division 4</w:t>
      </w:r>
      <w:r>
        <w:t> — </w:t>
      </w:r>
      <w:r>
        <w:rPr>
          <w:rStyle w:val="CharDivText"/>
        </w:rPr>
        <w:t>Disclosure</w:t>
      </w:r>
      <w:bookmarkEnd w:id="832"/>
      <w:bookmarkEnd w:id="833"/>
      <w:bookmarkEnd w:id="834"/>
      <w:bookmarkEnd w:id="835"/>
      <w:bookmarkEnd w:id="836"/>
      <w:bookmarkEnd w:id="837"/>
      <w:bookmarkEnd w:id="838"/>
      <w:bookmarkEnd w:id="839"/>
      <w:bookmarkEnd w:id="840"/>
    </w:p>
    <w:p>
      <w:pPr>
        <w:pStyle w:val="Footnoteheading"/>
        <w:keepNext/>
        <w:tabs>
          <w:tab w:val="clear" w:pos="879"/>
          <w:tab w:val="left" w:pos="896"/>
        </w:tabs>
        <w:spacing w:before="100"/>
        <w:ind w:left="924" w:hanging="924"/>
      </w:pPr>
      <w:r>
        <w:tab/>
        <w:t>[Division 4 heading, formerly Division 3 heading, renumbered by No. 78 of 2003 s. 35(5).]</w:t>
      </w:r>
    </w:p>
    <w:p>
      <w:pPr>
        <w:pStyle w:val="Heading5"/>
        <w:spacing w:before="180"/>
      </w:pPr>
      <w:bookmarkStart w:id="841" w:name="_Toc407628538"/>
      <w:bookmarkStart w:id="842" w:name="_Toc422302249"/>
      <w:r>
        <w:rPr>
          <w:rStyle w:val="CharSectno"/>
        </w:rPr>
        <w:t>207</w:t>
      </w:r>
      <w:r>
        <w:t>.</w:t>
      </w:r>
      <w:r>
        <w:tab/>
        <w:t>Restriction on disclosure generally</w:t>
      </w:r>
      <w:bookmarkEnd w:id="841"/>
      <w:bookmarkEnd w:id="842"/>
    </w:p>
    <w:p>
      <w:pPr>
        <w:pStyle w:val="Subsection"/>
        <w:spacing w:before="120"/>
      </w:pPr>
      <w:r>
        <w:tab/>
      </w:r>
      <w:r>
        <w:tab/>
        <w:t>Section 151 applies to any matters relating to the Parliamentary Inspector as if a reference in that section to the Commission were a reference to the Parliamentary Inspector.</w:t>
      </w:r>
    </w:p>
    <w:p>
      <w:pPr>
        <w:pStyle w:val="Footnotesection"/>
        <w:spacing w:before="80"/>
        <w:ind w:left="890" w:hanging="890"/>
      </w:pPr>
      <w:r>
        <w:tab/>
        <w:t>[Section 207, formerly section 41, amended by No. 78 of 2003 s. 35(13); renumbered as section 207 by No. 78 of 2003 s. 35(1).]</w:t>
      </w:r>
    </w:p>
    <w:p>
      <w:pPr>
        <w:pStyle w:val="Heading5"/>
      </w:pPr>
      <w:bookmarkStart w:id="843" w:name="_Toc407628539"/>
      <w:bookmarkStart w:id="844" w:name="_Toc422302250"/>
      <w:r>
        <w:rPr>
          <w:rStyle w:val="CharSectno"/>
        </w:rPr>
        <w:t>208</w:t>
      </w:r>
      <w:r>
        <w:t>.</w:t>
      </w:r>
      <w:r>
        <w:tab/>
        <w:t>Disclosure by Parliamentary Inspector or officer</w:t>
      </w:r>
      <w:bookmarkEnd w:id="843"/>
      <w:bookmarkEnd w:id="844"/>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pPr>
      <w:r>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by No. 78 of 2003 s. 19; renumbered as section 208 by No. 78 of 2003 s. 35(1).]</w:t>
      </w:r>
    </w:p>
    <w:p>
      <w:pPr>
        <w:pStyle w:val="Heading5"/>
      </w:pPr>
      <w:bookmarkStart w:id="845" w:name="_Toc407628540"/>
      <w:bookmarkStart w:id="846" w:name="_Toc422302251"/>
      <w:r>
        <w:rPr>
          <w:rStyle w:val="CharSectno"/>
        </w:rPr>
        <w:t>209</w:t>
      </w:r>
      <w:r>
        <w:t>.</w:t>
      </w:r>
      <w:r>
        <w:tab/>
        <w:t>Disclosure by other officials</w:t>
      </w:r>
      <w:bookmarkEnd w:id="845"/>
      <w:bookmarkEnd w:id="846"/>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keepNext/>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cannot be required to produce or disclose the information in or to any court except for the purposes of a prosecution or disciplinary action instituted as a result 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by No. 78 of 2003 s. 20 and 35(13); renumbered as section 209 by No. 78 of 2003 s. 35(1).]</w:t>
      </w:r>
    </w:p>
    <w:p>
      <w:pPr>
        <w:pStyle w:val="Heading3"/>
      </w:pPr>
      <w:bookmarkStart w:id="847" w:name="_Toc381873090"/>
      <w:bookmarkStart w:id="848" w:name="_Toc381873905"/>
      <w:bookmarkStart w:id="849" w:name="_Toc405978312"/>
      <w:bookmarkStart w:id="850" w:name="_Toc406054238"/>
      <w:bookmarkStart w:id="851" w:name="_Toc406078776"/>
      <w:bookmarkStart w:id="852" w:name="_Toc407628541"/>
      <w:bookmarkStart w:id="853" w:name="_Toc413244079"/>
      <w:bookmarkStart w:id="854" w:name="_Toc413321420"/>
      <w:bookmarkStart w:id="855" w:name="_Toc422302252"/>
      <w:r>
        <w:rPr>
          <w:rStyle w:val="CharDivNo"/>
        </w:rPr>
        <w:t>Division 5</w:t>
      </w:r>
      <w:r>
        <w:t> — </w:t>
      </w:r>
      <w:r>
        <w:rPr>
          <w:rStyle w:val="CharDivText"/>
        </w:rPr>
        <w:t>Staff</w:t>
      </w:r>
      <w:bookmarkEnd w:id="847"/>
      <w:bookmarkEnd w:id="848"/>
      <w:bookmarkEnd w:id="849"/>
      <w:bookmarkEnd w:id="850"/>
      <w:bookmarkEnd w:id="851"/>
      <w:bookmarkEnd w:id="852"/>
      <w:bookmarkEnd w:id="853"/>
      <w:bookmarkEnd w:id="854"/>
      <w:bookmarkEnd w:id="855"/>
    </w:p>
    <w:p>
      <w:pPr>
        <w:pStyle w:val="Footnoteheading"/>
        <w:keepNext/>
        <w:tabs>
          <w:tab w:val="clear" w:pos="879"/>
          <w:tab w:val="left" w:pos="896"/>
        </w:tabs>
        <w:ind w:left="924" w:hanging="924"/>
      </w:pPr>
      <w:r>
        <w:tab/>
        <w:t>[Division 5 heading, formerly Division 4 heading, renumbered by No. 78 of 2003 s. 35(6).]</w:t>
      </w:r>
    </w:p>
    <w:p>
      <w:pPr>
        <w:pStyle w:val="Heading5"/>
      </w:pPr>
      <w:bookmarkStart w:id="856" w:name="_Toc407628542"/>
      <w:bookmarkStart w:id="857" w:name="_Toc422302253"/>
      <w:r>
        <w:rPr>
          <w:rStyle w:val="CharSectno"/>
        </w:rPr>
        <w:t>210</w:t>
      </w:r>
      <w:r>
        <w:t>.</w:t>
      </w:r>
      <w:r>
        <w:tab/>
        <w:t>Staff of Parliamentary Inspector</w:t>
      </w:r>
      <w:bookmarkEnd w:id="856"/>
      <w:bookmarkEnd w:id="857"/>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by No. 78 of 2003 s. 35(1).]</w:t>
      </w:r>
    </w:p>
    <w:p>
      <w:pPr>
        <w:pStyle w:val="Heading5"/>
      </w:pPr>
      <w:bookmarkStart w:id="858" w:name="_Toc407628543"/>
      <w:bookmarkStart w:id="859" w:name="_Toc422302254"/>
      <w:r>
        <w:rPr>
          <w:rStyle w:val="CharSectno"/>
        </w:rPr>
        <w:t>211</w:t>
      </w:r>
      <w:r>
        <w:t>.</w:t>
      </w:r>
      <w:r>
        <w:tab/>
        <w:t>Entitlements of public service officers</w:t>
      </w:r>
      <w:bookmarkEnd w:id="858"/>
      <w:bookmarkEnd w:id="859"/>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4</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4</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pPr>
      <w:r>
        <w:tab/>
        <w:t>(b)</w:t>
      </w:r>
      <w:r>
        <w:tab/>
        <w:t>that person ceases to be an officer of the Parliamentary Inspector for a reason other than dismissal for 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by No. 78 of 2003 s. 35(13); renumbered as section 211 by No. 78 of 2003 s. 35(1).]</w:t>
      </w:r>
    </w:p>
    <w:p>
      <w:pPr>
        <w:pStyle w:val="Heading5"/>
      </w:pPr>
      <w:bookmarkStart w:id="860" w:name="_Toc407628544"/>
      <w:bookmarkStart w:id="861" w:name="_Toc422302255"/>
      <w:r>
        <w:rPr>
          <w:rStyle w:val="CharSectno"/>
        </w:rPr>
        <w:t>212</w:t>
      </w:r>
      <w:r>
        <w:t>.</w:t>
      </w:r>
      <w:r>
        <w:tab/>
        <w:t>Secondment of staff and use of facilities</w:t>
      </w:r>
      <w:bookmarkEnd w:id="860"/>
      <w:bookmarkEnd w:id="861"/>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pPr>
      <w:r>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by No. 78 of 2003 s. 35(1).]</w:t>
      </w:r>
    </w:p>
    <w:p>
      <w:pPr>
        <w:pStyle w:val="Heading5"/>
      </w:pPr>
      <w:bookmarkStart w:id="862" w:name="_Toc407628545"/>
      <w:bookmarkStart w:id="863" w:name="_Toc422302256"/>
      <w:r>
        <w:rPr>
          <w:rStyle w:val="CharSectno"/>
        </w:rPr>
        <w:t>213</w:t>
      </w:r>
      <w:r>
        <w:t>.</w:t>
      </w:r>
      <w:r>
        <w:tab/>
        <w:t>Engagement of service providers</w:t>
      </w:r>
      <w:bookmarkEnd w:id="862"/>
      <w:bookmarkEnd w:id="863"/>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by No. 78 of 2003 s. 35(1).]</w:t>
      </w:r>
    </w:p>
    <w:p>
      <w:pPr>
        <w:pStyle w:val="Heading5"/>
      </w:pPr>
      <w:bookmarkStart w:id="864" w:name="_Toc407628546"/>
      <w:bookmarkStart w:id="865" w:name="_Toc422302257"/>
      <w:r>
        <w:rPr>
          <w:rStyle w:val="CharSectno"/>
        </w:rPr>
        <w:t>214</w:t>
      </w:r>
      <w:r>
        <w:t>.</w:t>
      </w:r>
      <w:r>
        <w:tab/>
        <w:t>Oath of secrecy for officers</w:t>
      </w:r>
      <w:bookmarkEnd w:id="864"/>
      <w:bookmarkEnd w:id="865"/>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by No. 78 of 2003 s. 35(1).]</w:t>
      </w:r>
    </w:p>
    <w:p>
      <w:pPr>
        <w:pStyle w:val="Heading3"/>
      </w:pPr>
      <w:bookmarkStart w:id="866" w:name="_Toc381873096"/>
      <w:bookmarkStart w:id="867" w:name="_Toc381873911"/>
      <w:bookmarkStart w:id="868" w:name="_Toc405978318"/>
      <w:bookmarkStart w:id="869" w:name="_Toc406054244"/>
      <w:bookmarkStart w:id="870" w:name="_Toc406078782"/>
      <w:bookmarkStart w:id="871" w:name="_Toc407628547"/>
      <w:bookmarkStart w:id="872" w:name="_Toc413244085"/>
      <w:bookmarkStart w:id="873" w:name="_Toc413321426"/>
      <w:bookmarkStart w:id="874" w:name="_Toc422302258"/>
      <w:r>
        <w:rPr>
          <w:rStyle w:val="CharDivNo"/>
        </w:rPr>
        <w:t>Division 6</w:t>
      </w:r>
      <w:r>
        <w:t> — </w:t>
      </w:r>
      <w:r>
        <w:rPr>
          <w:rStyle w:val="CharDivText"/>
        </w:rPr>
        <w:t>Financial provisions</w:t>
      </w:r>
      <w:bookmarkEnd w:id="866"/>
      <w:bookmarkEnd w:id="867"/>
      <w:bookmarkEnd w:id="868"/>
      <w:bookmarkEnd w:id="869"/>
      <w:bookmarkEnd w:id="870"/>
      <w:bookmarkEnd w:id="871"/>
      <w:bookmarkEnd w:id="872"/>
      <w:bookmarkEnd w:id="873"/>
      <w:bookmarkEnd w:id="874"/>
    </w:p>
    <w:p>
      <w:pPr>
        <w:pStyle w:val="Footnoteheading"/>
        <w:keepNext/>
        <w:tabs>
          <w:tab w:val="clear" w:pos="879"/>
          <w:tab w:val="left" w:pos="896"/>
        </w:tabs>
        <w:spacing w:before="80"/>
        <w:ind w:left="936" w:hanging="896"/>
      </w:pPr>
      <w:r>
        <w:tab/>
        <w:t>[Division 6 heading, formerly Division 5 heading, renumbered by No. 78 of 2003 s. 35(7).]</w:t>
      </w:r>
    </w:p>
    <w:p>
      <w:pPr>
        <w:pStyle w:val="Heading5"/>
      </w:pPr>
      <w:bookmarkStart w:id="875" w:name="_Toc407628548"/>
      <w:bookmarkStart w:id="876" w:name="_Toc422302259"/>
      <w:r>
        <w:rPr>
          <w:rStyle w:val="CharSectno"/>
        </w:rPr>
        <w:t>215</w:t>
      </w:r>
      <w:r>
        <w:t>.</w:t>
      </w:r>
      <w:r>
        <w:tab/>
        <w:t>Funds of Parliamentary Inspector</w:t>
      </w:r>
      <w:bookmarkEnd w:id="875"/>
      <w:bookmarkEnd w:id="876"/>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rPr>
          <w:snapToGrid w:val="0"/>
        </w:rPr>
      </w:pPr>
      <w:r>
        <w:rPr>
          <w:snapToGrid w:val="0"/>
        </w:rPr>
        <w:tab/>
        <w:t>(d)</w:t>
      </w:r>
      <w:r>
        <w:rPr>
          <w:snapToGrid w:val="0"/>
        </w:rPr>
        <w:tab/>
        <w:t>all expenditure, other than expenditure referred to in paragraphs (a), (b) and (c), lawfully incurred by the Parliamentary Inspector for the purposes of, or in meeting the costs and expenses of the administration of, this Part.</w:t>
      </w:r>
    </w:p>
    <w:p>
      <w:pPr>
        <w:pStyle w:val="Footnotesection"/>
        <w:ind w:left="890" w:hanging="890"/>
      </w:pPr>
      <w:r>
        <w:tab/>
        <w:t>[Section 215, formerly section 49, amended by No. 78 of 2003 s. 35(13); renumbered as section 215 by No. 78 of 2003 s. 35(1); amended by No. 77 of 2006 Sch. 1 cl. 35(10) and (11).]</w:t>
      </w:r>
    </w:p>
    <w:p>
      <w:pPr>
        <w:pStyle w:val="Heading5"/>
        <w:rPr>
          <w:i/>
        </w:rPr>
      </w:pPr>
      <w:bookmarkStart w:id="877" w:name="_Toc407628549"/>
      <w:bookmarkStart w:id="878" w:name="_Toc422302260"/>
      <w:r>
        <w:rPr>
          <w:rStyle w:val="CharSectno"/>
        </w:rPr>
        <w:t>216</w:t>
      </w:r>
      <w:r>
        <w:t>.</w:t>
      </w:r>
      <w:r>
        <w:tab/>
        <w:t xml:space="preserve">Application of </w:t>
      </w:r>
      <w:r>
        <w:rPr>
          <w:i/>
          <w:iCs/>
        </w:rPr>
        <w:t>Financial Management Act 2006</w:t>
      </w:r>
      <w:r>
        <w:t xml:space="preserve"> and </w:t>
      </w:r>
      <w:r>
        <w:rPr>
          <w:i/>
          <w:iCs/>
        </w:rPr>
        <w:t>Auditor General Act 2006</w:t>
      </w:r>
      <w:bookmarkEnd w:id="877"/>
      <w:bookmarkEnd w:id="878"/>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by No. 78 of 2003 s. 35(13); renumbered as section 216 by No. 78 of 2003 s. 35(1); amended by No. 77 of 2006 Sch. 1 cl. 35(12).]</w:t>
      </w:r>
    </w:p>
    <w:p>
      <w:pPr>
        <w:pStyle w:val="Heading2"/>
      </w:pPr>
      <w:bookmarkStart w:id="879" w:name="_Toc381873099"/>
      <w:bookmarkStart w:id="880" w:name="_Toc381873914"/>
      <w:bookmarkStart w:id="881" w:name="_Toc405978321"/>
      <w:bookmarkStart w:id="882" w:name="_Toc406054247"/>
      <w:bookmarkStart w:id="883" w:name="_Toc406078785"/>
      <w:bookmarkStart w:id="884" w:name="_Toc407628550"/>
      <w:bookmarkStart w:id="885" w:name="_Toc413244088"/>
      <w:bookmarkStart w:id="886" w:name="_Toc413321429"/>
      <w:bookmarkStart w:id="887" w:name="_Toc422302261"/>
      <w:r>
        <w:rPr>
          <w:rStyle w:val="CharPartNo"/>
        </w:rPr>
        <w:t>Part 13A</w:t>
      </w:r>
      <w:r>
        <w:rPr>
          <w:rStyle w:val="CharDivNo"/>
        </w:rPr>
        <w:t> </w:t>
      </w:r>
      <w:r>
        <w:t>—</w:t>
      </w:r>
      <w:r>
        <w:rPr>
          <w:rStyle w:val="CharDivText"/>
        </w:rPr>
        <w:t> </w:t>
      </w:r>
      <w:r>
        <w:rPr>
          <w:rStyle w:val="CharPartText"/>
        </w:rPr>
        <w:t>Standing Committee</w:t>
      </w:r>
      <w:bookmarkEnd w:id="879"/>
      <w:bookmarkEnd w:id="880"/>
      <w:bookmarkEnd w:id="881"/>
      <w:bookmarkEnd w:id="882"/>
      <w:bookmarkEnd w:id="883"/>
      <w:bookmarkEnd w:id="884"/>
      <w:bookmarkEnd w:id="885"/>
      <w:bookmarkEnd w:id="886"/>
      <w:bookmarkEnd w:id="887"/>
      <w:r>
        <w:rPr>
          <w:rStyle w:val="CharPartText"/>
        </w:rPr>
        <w:t xml:space="preserve"> </w:t>
      </w:r>
    </w:p>
    <w:p>
      <w:pPr>
        <w:pStyle w:val="Footnoteheading"/>
        <w:keepNext/>
        <w:tabs>
          <w:tab w:val="clear" w:pos="879"/>
          <w:tab w:val="left" w:pos="896"/>
        </w:tabs>
      </w:pPr>
      <w:r>
        <w:tab/>
        <w:t>[Heading inserted by No. 78 of 2003 s. 29.]</w:t>
      </w:r>
    </w:p>
    <w:p>
      <w:pPr>
        <w:pStyle w:val="Heading5"/>
      </w:pPr>
      <w:bookmarkStart w:id="888" w:name="_Toc407628551"/>
      <w:bookmarkStart w:id="889" w:name="_Toc422302262"/>
      <w:r>
        <w:rPr>
          <w:rStyle w:val="CharSectno"/>
        </w:rPr>
        <w:t>216A</w:t>
      </w:r>
      <w:r>
        <w:t>.</w:t>
      </w:r>
      <w:r>
        <w:tab/>
        <w:t>Standing committee of Houses of Parliament</w:t>
      </w:r>
      <w:bookmarkEnd w:id="888"/>
      <w:bookmarkEnd w:id="889"/>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by No. 78 of 2003 s. 29.]</w:t>
      </w:r>
    </w:p>
    <w:p>
      <w:pPr>
        <w:pStyle w:val="Heading2"/>
      </w:pPr>
      <w:bookmarkStart w:id="890" w:name="_Toc381873101"/>
      <w:bookmarkStart w:id="891" w:name="_Toc381873916"/>
      <w:bookmarkStart w:id="892" w:name="_Toc405978323"/>
      <w:bookmarkStart w:id="893" w:name="_Toc406054249"/>
      <w:bookmarkStart w:id="894" w:name="_Toc406078787"/>
      <w:bookmarkStart w:id="895" w:name="_Toc407628552"/>
      <w:bookmarkStart w:id="896" w:name="_Toc413244090"/>
      <w:bookmarkStart w:id="897" w:name="_Toc413321431"/>
      <w:bookmarkStart w:id="898" w:name="_Toc422302263"/>
      <w:r>
        <w:rPr>
          <w:rStyle w:val="CharPartNo"/>
        </w:rPr>
        <w:t>Part 14</w:t>
      </w:r>
      <w:r>
        <w:rPr>
          <w:rStyle w:val="CharDivNo"/>
        </w:rPr>
        <w:t> </w:t>
      </w:r>
      <w:r>
        <w:t>—</w:t>
      </w:r>
      <w:r>
        <w:rPr>
          <w:rStyle w:val="CharDivText"/>
        </w:rPr>
        <w:t> </w:t>
      </w:r>
      <w:r>
        <w:rPr>
          <w:rStyle w:val="CharPartText"/>
        </w:rPr>
        <w:t>Other matters</w:t>
      </w:r>
      <w:bookmarkEnd w:id="890"/>
      <w:bookmarkEnd w:id="891"/>
      <w:bookmarkEnd w:id="892"/>
      <w:bookmarkEnd w:id="893"/>
      <w:bookmarkEnd w:id="894"/>
      <w:bookmarkEnd w:id="895"/>
      <w:bookmarkEnd w:id="896"/>
      <w:bookmarkEnd w:id="897"/>
      <w:bookmarkEnd w:id="898"/>
    </w:p>
    <w:p>
      <w:pPr>
        <w:pStyle w:val="Footnoteheading"/>
        <w:keepNext/>
        <w:tabs>
          <w:tab w:val="clear" w:pos="879"/>
          <w:tab w:val="left" w:pos="896"/>
        </w:tabs>
        <w:ind w:left="924" w:hanging="924"/>
      </w:pPr>
      <w:r>
        <w:tab/>
        <w:t>[Part 14 heading, formerly Part 6 heading, renumbered by No. 78 of 2003 s. 35(8).]</w:t>
      </w:r>
    </w:p>
    <w:p>
      <w:pPr>
        <w:pStyle w:val="Heading5"/>
        <w:spacing w:before="160"/>
      </w:pPr>
      <w:bookmarkStart w:id="899" w:name="_Toc407628553"/>
      <w:bookmarkStart w:id="900" w:name="_Toc422302264"/>
      <w:r>
        <w:rPr>
          <w:rStyle w:val="CharSectno"/>
        </w:rPr>
        <w:t>217</w:t>
      </w:r>
      <w:r>
        <w:t>.</w:t>
      </w:r>
      <w:r>
        <w:tab/>
        <w:t>Facilitating proof of certain documents</w:t>
      </w:r>
      <w:bookmarkEnd w:id="899"/>
      <w:bookmarkEnd w:id="900"/>
    </w:p>
    <w:p>
      <w:pPr>
        <w:pStyle w:val="Subsection"/>
        <w:rPr>
          <w:snapToGrid w:val="0"/>
        </w:rPr>
      </w:pPr>
      <w:r>
        <w:tab/>
        <w:t>(1)</w:t>
      </w:r>
      <w:r>
        <w:tab/>
      </w:r>
      <w:r>
        <w:rPr>
          <w:snapToGrid w:val="0"/>
        </w:rPr>
        <w:t>In all legal proceedings the production of — </w:t>
      </w:r>
    </w:p>
    <w:p>
      <w:pPr>
        <w:pStyle w:val="Indenta"/>
        <w:rPr>
          <w:snapToGrid w:val="0"/>
        </w:rPr>
      </w:pPr>
      <w:r>
        <w:rPr>
          <w:snapToGrid w:val="0"/>
        </w:rPr>
        <w:tab/>
        <w:t>(a)</w:t>
      </w:r>
      <w:r>
        <w:rPr>
          <w:snapToGrid w:val="0"/>
        </w:rPr>
        <w:tab/>
        <w:t>a document purporting to be signed by the Governor and to be sealed with the Public Seal of the State and purporting to appoint a person to be the Commissioner or the Parliamentary Inspector; or</w:t>
      </w:r>
    </w:p>
    <w:p>
      <w:pPr>
        <w:pStyle w:val="Indenta"/>
        <w:rPr>
          <w:snapToGrid w:val="0"/>
        </w:rPr>
      </w:pPr>
      <w:r>
        <w:rPr>
          <w:snapToGrid w:val="0"/>
        </w:rPr>
        <w:tab/>
        <w:t>(b)</w:t>
      </w:r>
      <w:r>
        <w:rPr>
          <w:snapToGrid w:val="0"/>
        </w:rPr>
        <w:tab/>
        <w:t>a document purporting to be a copy of a document described in paragraph (a) and certified in writing to be a true copy of it by a person purporting to be a person named in the document as the Commissioner or the Parliamentary Inspector,</w:t>
      </w:r>
    </w:p>
    <w:p>
      <w:pPr>
        <w:pStyle w:val="Subsection"/>
        <w:rPr>
          <w:snapToGrid w:val="0"/>
        </w:rPr>
      </w:pPr>
      <w:r>
        <w:rPr>
          <w:snapToGrid w:val="0"/>
        </w:rPr>
        <w:tab/>
      </w:r>
      <w:r>
        <w:rPr>
          <w:snapToGrid w:val="0"/>
        </w:rPr>
        <w:tab/>
        <w:t>is evidence that the Governor has appointed any person described in that document as the Commissioner 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Footnotesection"/>
      </w:pPr>
      <w:r>
        <w:tab/>
        <w:t>[Section 217, formerly section 51, amended by No. 78 of 2003 s. 30; renumbered as section 217 by No. 78 of 2003 s. 35(1).]</w:t>
      </w:r>
    </w:p>
    <w:p>
      <w:pPr>
        <w:pStyle w:val="Heading5"/>
      </w:pPr>
      <w:bookmarkStart w:id="901" w:name="_Toc407628554"/>
      <w:bookmarkStart w:id="902" w:name="_Toc422302265"/>
      <w:r>
        <w:rPr>
          <w:rStyle w:val="CharSectno"/>
        </w:rPr>
        <w:t>218</w:t>
      </w:r>
      <w:r>
        <w:t>.</w:t>
      </w:r>
      <w:r>
        <w:tab/>
        <w:t>Disclosure of material personal interests</w:t>
      </w:r>
      <w:bookmarkEnd w:id="901"/>
      <w:bookmarkEnd w:id="902"/>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by No. 78 of 2003 s. 35(1).]</w:t>
      </w:r>
    </w:p>
    <w:p>
      <w:pPr>
        <w:pStyle w:val="Heading5"/>
      </w:pPr>
      <w:bookmarkStart w:id="903" w:name="_Toc407628555"/>
      <w:bookmarkStart w:id="904" w:name="_Toc422302266"/>
      <w:r>
        <w:rPr>
          <w:rStyle w:val="CharSectno"/>
        </w:rPr>
        <w:t>219</w:t>
      </w:r>
      <w:r>
        <w:t>.</w:t>
      </w:r>
      <w:r>
        <w:tab/>
        <w:t>Protection of officers against personal liability</w:t>
      </w:r>
      <w:bookmarkEnd w:id="903"/>
      <w:bookmarkEnd w:id="904"/>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spacing w:before="60"/>
      </w:pPr>
      <w:r>
        <w:tab/>
        <w:t>(a)</w:t>
      </w:r>
      <w:r>
        <w:tab/>
        <w:t>an officer of the Commission;</w:t>
      </w:r>
    </w:p>
    <w:p>
      <w:pPr>
        <w:pStyle w:val="Defpara"/>
        <w:spacing w:before="60"/>
      </w:pPr>
      <w:r>
        <w:tab/>
        <w:t>(b)</w:t>
      </w:r>
      <w:r>
        <w:tab/>
        <w:t>a person acting under the direction of an officer of the Commission;</w:t>
      </w:r>
    </w:p>
    <w:p>
      <w:pPr>
        <w:pStyle w:val="Defpara"/>
        <w:spacing w:before="60"/>
      </w:pPr>
      <w:r>
        <w:tab/>
        <w:t>(c)</w:t>
      </w:r>
      <w:r>
        <w:tab/>
        <w:t>an officer of the Parliamentary Inspector;</w:t>
      </w:r>
    </w:p>
    <w:p>
      <w:pPr>
        <w:pStyle w:val="Defpara"/>
        <w:spacing w:before="60"/>
      </w:pPr>
      <w:r>
        <w:tab/>
        <w:t>(d)</w:t>
      </w:r>
      <w:r>
        <w:tab/>
        <w:t>a person acting under the direction of an officer of the Parliamentary Inspector.</w:t>
      </w:r>
    </w:p>
    <w:p>
      <w:pPr>
        <w:pStyle w:val="Subsection"/>
      </w:pPr>
      <w:r>
        <w:tab/>
        <w:t>(2)</w:t>
      </w:r>
      <w:r>
        <w:tab/>
        <w:t>An action in tort does not lie against the State, a Minister, the Commission, the Parliamentary Inspector or an official for anything done, in good faith, in the performance or purported performance of a function under this Act or any other written law.</w:t>
      </w:r>
    </w:p>
    <w:p>
      <w:pPr>
        <w:pStyle w:val="Subsection"/>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In this section, a reference to the doing of anything includes a reference to an omission to do anything.</w:t>
      </w:r>
    </w:p>
    <w:p>
      <w:pPr>
        <w:pStyle w:val="Footnotesection"/>
      </w:pPr>
      <w:r>
        <w:tab/>
        <w:t>[Section 219, formerly section 53, renumbered as section 219 by No. 78 of 2003 s. 35(1).]</w:t>
      </w:r>
    </w:p>
    <w:p>
      <w:pPr>
        <w:pStyle w:val="Heading5"/>
      </w:pPr>
      <w:bookmarkStart w:id="905" w:name="_Toc407628556"/>
      <w:bookmarkStart w:id="906" w:name="_Toc422302267"/>
      <w:r>
        <w:rPr>
          <w:rStyle w:val="CharSectno"/>
        </w:rPr>
        <w:t>220</w:t>
      </w:r>
      <w:r>
        <w:t>.</w:t>
      </w:r>
      <w:r>
        <w:tab/>
        <w:t>Protection of persons making allegations and certain disclosures and giving information</w:t>
      </w:r>
      <w:bookmarkEnd w:id="905"/>
      <w:bookmarkEnd w:id="906"/>
    </w:p>
    <w:p>
      <w:pPr>
        <w:pStyle w:val="Subsection"/>
      </w:pPr>
      <w:r>
        <w:tab/>
        <w:t>(1)</w:t>
      </w:r>
      <w:r>
        <w:tab/>
        <w:t xml:space="preserve">In this section — </w:t>
      </w:r>
    </w:p>
    <w:p>
      <w:pPr>
        <w:pStyle w:val="Defstart"/>
      </w:pPr>
      <w:r>
        <w:rPr>
          <w:b/>
        </w:rPr>
        <w:tab/>
      </w:r>
      <w:r>
        <w:rPr>
          <w:rStyle w:val="CharDefText"/>
        </w:rPr>
        <w:t>allegation</w:t>
      </w:r>
      <w:r>
        <w:t xml:space="preserve"> includes any matter reported, notified or referred to the Parliamentary Inspector.</w:t>
      </w:r>
    </w:p>
    <w:p>
      <w:pPr>
        <w:pStyle w:val="Subsection"/>
      </w:pPr>
      <w:r>
        <w:tab/>
        <w:t>(2)</w:t>
      </w:r>
      <w:r>
        <w:tab/>
        <w:t>If an allegation has been made to the Commission or the Parliamentary Inspector or any information has been given to the Commission or the Parliamentary Inspector no civil or criminal liability, other than liability under this Act, attaches to a person by reason that the allegation was made or the information was given.</w:t>
      </w:r>
    </w:p>
    <w:p>
      <w:pPr>
        <w:pStyle w:val="Subsection"/>
      </w:pPr>
      <w:r>
        <w:tab/>
        <w:t>(3)</w:t>
      </w:r>
      <w:r>
        <w:tab/>
        <w:t xml:space="preserve">If a Minister or an independent agency discloses, in good faith — </w:t>
      </w:r>
    </w:p>
    <w:p>
      <w:pPr>
        <w:pStyle w:val="Indenta"/>
      </w:pPr>
      <w:r>
        <w:tab/>
        <w:t>(a)</w:t>
      </w:r>
      <w:r>
        <w:tab/>
        <w:t>the fact that the Commission has received or initiated an allegation or the details of an allegation; or</w:t>
      </w:r>
    </w:p>
    <w:p>
      <w:pPr>
        <w:pStyle w:val="Indenta"/>
      </w:pPr>
      <w:r>
        <w:tab/>
        <w:t>(b)</w:t>
      </w:r>
      <w:r>
        <w:tab/>
        <w:t>the fact that the Parliamentary Inspector has received an allegation or the details of an allegation received by the Parliamentary Inspector,</w:t>
      </w:r>
    </w:p>
    <w:p>
      <w:pPr>
        <w:pStyle w:val="Subsection"/>
      </w:pPr>
      <w:r>
        <w:tab/>
      </w:r>
      <w:r>
        <w:tab/>
        <w:t>no civil or criminal liability attaches to the State, a Minister or an independent agency by reason of that disclosure.</w:t>
      </w:r>
    </w:p>
    <w:p>
      <w:pPr>
        <w:pStyle w:val="Subsection"/>
      </w:pPr>
      <w:r>
        <w:tab/>
        <w:t>(4)</w:t>
      </w:r>
      <w:r>
        <w:tab/>
        <w:t xml:space="preserve">If — </w:t>
      </w:r>
    </w:p>
    <w:p>
      <w:pPr>
        <w:pStyle w:val="Indenta"/>
      </w:pPr>
      <w:r>
        <w:tab/>
        <w:t>(a)</w:t>
      </w:r>
      <w:r>
        <w:tab/>
        <w:t>the principal officer of a notifying authority; or</w:t>
      </w:r>
    </w:p>
    <w:p>
      <w:pPr>
        <w:pStyle w:val="Indenta"/>
      </w:pPr>
      <w:r>
        <w:tab/>
        <w:t>(b)</w:t>
      </w:r>
      <w:r>
        <w:tab/>
        <w:t>the officer constituting a notifying authority,</w:t>
      </w:r>
    </w:p>
    <w:p>
      <w:pPr>
        <w:pStyle w:val="Subsection"/>
      </w:pPr>
      <w:r>
        <w:tab/>
      </w:r>
      <w:r>
        <w:tab/>
        <w:t>discloses, in good faith, the fact that the officer has made an allegation to the Commission or the details of an allegation that the officer has made to the Commission, no civil or criminal liability attaches to the State, a Minister, the notifying authority or the principal officer or officer by reason of that disclosure.</w:t>
      </w:r>
    </w:p>
    <w:p>
      <w:pPr>
        <w:pStyle w:val="Footnotesection"/>
      </w:pPr>
      <w:r>
        <w:tab/>
        <w:t>[Section 220, formerly section 54, renumbered as section 220 by No. 78 of 2003 s. 35(1).]</w:t>
      </w:r>
    </w:p>
    <w:p>
      <w:pPr>
        <w:pStyle w:val="Heading5"/>
      </w:pPr>
      <w:bookmarkStart w:id="907" w:name="_Toc407628557"/>
      <w:bookmarkStart w:id="908" w:name="_Toc422302268"/>
      <w:r>
        <w:rPr>
          <w:rStyle w:val="CharSectno"/>
        </w:rPr>
        <w:t>221</w:t>
      </w:r>
      <w:r>
        <w:t>.</w:t>
      </w:r>
      <w:r>
        <w:tab/>
        <w:t>Protection for compliance with this Act</w:t>
      </w:r>
      <w:bookmarkEnd w:id="907"/>
      <w:bookmarkEnd w:id="908"/>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by No. 78 of 2003 s. 35(1).]</w:t>
      </w:r>
    </w:p>
    <w:p>
      <w:pPr>
        <w:pStyle w:val="Heading5"/>
      </w:pPr>
      <w:bookmarkStart w:id="909" w:name="_Toc407628558"/>
      <w:bookmarkStart w:id="910" w:name="_Toc422302269"/>
      <w:r>
        <w:rPr>
          <w:rStyle w:val="CharSectno"/>
        </w:rPr>
        <w:t>222</w:t>
      </w:r>
      <w:r>
        <w:t>.</w:t>
      </w:r>
      <w:r>
        <w:tab/>
        <w:t>Proceedings for defamation not to lie</w:t>
      </w:r>
      <w:bookmarkEnd w:id="909"/>
      <w:bookmarkEnd w:id="910"/>
    </w:p>
    <w:p>
      <w:pPr>
        <w:pStyle w:val="Subsection"/>
      </w:pPr>
      <w:r>
        <w:tab/>
      </w:r>
      <w:r>
        <w:tab/>
        <w:t>No action or proceeding, civil or criminal, lies against the State, against a Minister, or against a person employed or engaged by the State, in respect of the printing or publishing of a transcript of an examination or inquiry or a report of, or a recommendation made by, the Commission or the Parliamentary Inspector.</w:t>
      </w:r>
    </w:p>
    <w:p>
      <w:pPr>
        <w:pStyle w:val="Footnotesection"/>
      </w:pPr>
      <w:r>
        <w:tab/>
        <w:t>[Section 222, formerly section 56, renumbered as section 222 by No. 78 of 2003 s. 35(1).]</w:t>
      </w:r>
    </w:p>
    <w:p>
      <w:pPr>
        <w:pStyle w:val="Heading5"/>
      </w:pPr>
      <w:bookmarkStart w:id="911" w:name="_Toc407628559"/>
      <w:bookmarkStart w:id="912" w:name="_Toc422302270"/>
      <w:r>
        <w:rPr>
          <w:rStyle w:val="CharSectno"/>
        </w:rPr>
        <w:t>223</w:t>
      </w:r>
      <w:r>
        <w:t>.</w:t>
      </w:r>
      <w:r>
        <w:tab/>
        <w:t>Privilege, protection or immunity not limited or abridged</w:t>
      </w:r>
      <w:bookmarkEnd w:id="911"/>
      <w:bookmarkEnd w:id="912"/>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by No. 78 of 2003 s. 31; renumbered as section 223 by No. 78 of 2003 s. 35(1).]</w:t>
      </w:r>
    </w:p>
    <w:p>
      <w:pPr>
        <w:pStyle w:val="Heading5"/>
      </w:pPr>
      <w:bookmarkStart w:id="913" w:name="_Toc407628560"/>
      <w:bookmarkStart w:id="914" w:name="_Toc422302271"/>
      <w:r>
        <w:rPr>
          <w:rStyle w:val="CharSectno"/>
        </w:rPr>
        <w:t>223A</w:t>
      </w:r>
      <w:r>
        <w:t>.</w:t>
      </w:r>
      <w:r>
        <w:tab/>
        <w:t>Disposal of things seized under this Act</w:t>
      </w:r>
      <w:bookmarkEnd w:id="913"/>
      <w:bookmarkEnd w:id="914"/>
    </w:p>
    <w:p>
      <w:pPr>
        <w:pStyle w:val="Subsection"/>
      </w:pPr>
      <w:r>
        <w:tab/>
        <w:t>(1)</w:t>
      </w:r>
      <w:r>
        <w:tab/>
        <w:t xml:space="preserve">The </w:t>
      </w:r>
      <w:r>
        <w:rPr>
          <w:i/>
          <w:iCs/>
        </w:rPr>
        <w:t>Criminal and Found Property Disposal Act 2006</w:t>
      </w:r>
      <w:r>
        <w:t xml:space="preserve"> applies to and in respect of anything seized under this Act, other than a thing seized under section 75(4).</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pPr>
      <w:r>
        <w:tab/>
        <w:t xml:space="preserve">[Section 223A inserted by No. 59 of 2006 s. 12.] </w:t>
      </w:r>
    </w:p>
    <w:p>
      <w:pPr>
        <w:pStyle w:val="Heading5"/>
      </w:pPr>
      <w:bookmarkStart w:id="915" w:name="_Toc407628561"/>
      <w:bookmarkStart w:id="916" w:name="_Toc422302272"/>
      <w:r>
        <w:rPr>
          <w:rStyle w:val="CharSectno"/>
        </w:rPr>
        <w:t>224</w:t>
      </w:r>
      <w:r>
        <w:t>.</w:t>
      </w:r>
      <w:r>
        <w:tab/>
        <w:t>Records of Commission</w:t>
      </w:r>
      <w:bookmarkEnd w:id="915"/>
      <w:bookmarkEnd w:id="916"/>
    </w:p>
    <w:p>
      <w:pPr>
        <w:pStyle w:val="Subsection"/>
      </w:pPr>
      <w:r>
        <w:tab/>
        <w:t>(1)</w:t>
      </w:r>
      <w:r>
        <w:tab/>
        <w:t>The Commission is to cause records to be kept of any investigation, including transcripts of all examinations before the Commission.</w:t>
      </w:r>
    </w:p>
    <w:p>
      <w:pPr>
        <w:pStyle w:val="Subsection"/>
      </w:pPr>
      <w:r>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pPr>
      <w:r>
        <w:tab/>
        <w:t>[Section 224, formerly section 58, renumbered as section 224 by No. 78 of 2003 s. 35(1).]</w:t>
      </w:r>
    </w:p>
    <w:p>
      <w:pPr>
        <w:pStyle w:val="Heading5"/>
      </w:pPr>
      <w:bookmarkStart w:id="917" w:name="_Toc407628562"/>
      <w:bookmarkStart w:id="918" w:name="_Toc422302273"/>
      <w:r>
        <w:rPr>
          <w:rStyle w:val="CharSectno"/>
        </w:rPr>
        <w:t>225</w:t>
      </w:r>
      <w:r>
        <w:t>.</w:t>
      </w:r>
      <w:r>
        <w:tab/>
        <w:t>Execution of documents by Commission</w:t>
      </w:r>
      <w:bookmarkEnd w:id="917"/>
      <w:bookmarkEnd w:id="918"/>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by No. 78 of 2003 s. 35(1).]</w:t>
      </w:r>
    </w:p>
    <w:p>
      <w:pPr>
        <w:pStyle w:val="Heading5"/>
      </w:pPr>
      <w:bookmarkStart w:id="919" w:name="_Toc407628563"/>
      <w:bookmarkStart w:id="920" w:name="_Toc422302274"/>
      <w:r>
        <w:rPr>
          <w:rStyle w:val="CharSectno"/>
        </w:rPr>
        <w:t>226</w:t>
      </w:r>
      <w:r>
        <w:t>.</w:t>
      </w:r>
      <w:r>
        <w:tab/>
        <w:t>Review of Act</w:t>
      </w:r>
      <w:bookmarkEnd w:id="919"/>
      <w:bookmarkEnd w:id="920"/>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pPr>
      <w:r>
        <w:tab/>
        <w:t>(b)</w:t>
      </w:r>
      <w:r>
        <w:tab/>
        <w:t>the appointment of up to 2 Assistant Commissioners; and</w:t>
      </w:r>
    </w:p>
    <w:p>
      <w:pPr>
        <w:pStyle w:val="Indenta"/>
      </w:pPr>
      <w:r>
        <w:tab/>
        <w:t>(c)</w:t>
      </w:r>
      <w:r>
        <w:tab/>
        <w:t>jurisdiction over private entities executing public functions; and</w:t>
      </w:r>
    </w:p>
    <w:p>
      <w:pPr>
        <w:pStyle w:val="Indenta"/>
      </w:pPr>
      <w:r>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by No. 78 of 2003 s. 21; renumbered as section 226 by No. 78 of 2003 s. 35(1).]</w:t>
      </w:r>
    </w:p>
    <w:p>
      <w:pPr>
        <w:pStyle w:val="Heading5"/>
      </w:pPr>
      <w:bookmarkStart w:id="921" w:name="_Toc407628564"/>
      <w:bookmarkStart w:id="922" w:name="_Toc422302275"/>
      <w:r>
        <w:rPr>
          <w:rStyle w:val="CharSectno"/>
        </w:rPr>
        <w:t>227</w:t>
      </w:r>
      <w:r>
        <w:t>.</w:t>
      </w:r>
      <w:r>
        <w:tab/>
        <w:t>Regulations</w:t>
      </w:r>
      <w:bookmarkEnd w:id="921"/>
      <w:bookmarkEnd w:id="922"/>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by No. 78 of 2003 s. 35(1).]</w:t>
      </w:r>
    </w:p>
    <w:p>
      <w:pPr>
        <w:pStyle w:val="Ednotepart"/>
      </w:pPr>
      <w:r>
        <w:t>[Part 15 omitted under the Reprints Act 1984 s. 7(4)(e).]</w:t>
      </w:r>
    </w:p>
    <w:p>
      <w:pPr>
        <w:rPr>
          <w:rStyle w:val="CharDivText"/>
        </w:r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923" w:name="_Toc381873114"/>
      <w:bookmarkStart w:id="924" w:name="_Toc381873929"/>
      <w:bookmarkStart w:id="925" w:name="_Toc405978336"/>
      <w:bookmarkStart w:id="926" w:name="_Toc406054262"/>
      <w:bookmarkStart w:id="927" w:name="_Toc406078800"/>
      <w:bookmarkStart w:id="928" w:name="_Toc407628565"/>
      <w:bookmarkStart w:id="929" w:name="_Toc413244103"/>
      <w:bookmarkStart w:id="930" w:name="_Toc413321444"/>
      <w:bookmarkStart w:id="931" w:name="_Toc422302276"/>
      <w:r>
        <w:rPr>
          <w:rStyle w:val="CharSchNo"/>
        </w:rPr>
        <w:t>Schedule 1</w:t>
      </w:r>
      <w:r>
        <w:t> — </w:t>
      </w:r>
      <w:r>
        <w:rPr>
          <w:rStyle w:val="CharSchText"/>
        </w:rPr>
        <w:t>Offences that may be relevant for Part 4</w:t>
      </w:r>
      <w:bookmarkEnd w:id="923"/>
      <w:bookmarkEnd w:id="924"/>
      <w:bookmarkEnd w:id="925"/>
      <w:bookmarkEnd w:id="926"/>
      <w:bookmarkEnd w:id="927"/>
      <w:bookmarkEnd w:id="928"/>
      <w:bookmarkEnd w:id="929"/>
      <w:bookmarkEnd w:id="930"/>
      <w:bookmarkEnd w:id="931"/>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rPr>
          <w:i/>
        </w:rPr>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against regulations made under s. 6(1) of the </w:t>
      </w:r>
      <w:r>
        <w:rPr>
          <w:i/>
        </w:rPr>
        <w:t>Firearms Act 1973</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tabs>
          <w:tab w:val="left" w:pos="600"/>
        </w:tabs>
        <w:ind w:left="600" w:hanging="600"/>
      </w:pPr>
      <w:r>
        <w:t>3.</w:t>
      </w:r>
      <w:r>
        <w:tab/>
        <w:t xml:space="preserve">An offence referred to in s. 32A(1)(b) of the </w:t>
      </w:r>
      <w:r>
        <w:rPr>
          <w:i/>
        </w:rPr>
        <w:t>Misuse of Drugs Act 1981</w:t>
      </w:r>
      <w:r>
        <w:t>.</w:t>
      </w:r>
    </w:p>
    <w:p>
      <w:pPr>
        <w:pStyle w:val="yFootnotesection"/>
        <w:keepLines w:val="0"/>
        <w:spacing w:before="80"/>
      </w:pPr>
      <w:r>
        <w:tab/>
        <w:t>[Schedule 1 inserted by No. 78 of 2003 s. 33; amended by No. 4 of 2004 s. 24; No. 70 of 2004 s. 82; No. 29 of 2008 s. 26; No. 8 of 2009 s. 41(9).]</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33" w:name="_Toc381873115"/>
      <w:bookmarkStart w:id="934" w:name="_Toc381873930"/>
      <w:bookmarkStart w:id="935" w:name="_Toc405978337"/>
      <w:bookmarkStart w:id="936" w:name="_Toc406054263"/>
      <w:bookmarkStart w:id="937" w:name="_Toc406078801"/>
      <w:bookmarkStart w:id="938" w:name="_Toc407628566"/>
      <w:bookmarkStart w:id="939" w:name="_Toc413244104"/>
      <w:bookmarkStart w:id="940" w:name="_Toc413321445"/>
      <w:bookmarkStart w:id="941" w:name="_Toc422302277"/>
      <w:r>
        <w:rPr>
          <w:rStyle w:val="CharSchNo"/>
        </w:rPr>
        <w:t>Schedule 2</w:t>
      </w:r>
      <w:r>
        <w:t> — </w:t>
      </w:r>
      <w:r>
        <w:rPr>
          <w:rStyle w:val="CharSchText"/>
        </w:rPr>
        <w:t>Terms and conditions of service of Commissioner</w:t>
      </w:r>
      <w:bookmarkEnd w:id="933"/>
      <w:bookmarkEnd w:id="934"/>
      <w:bookmarkEnd w:id="935"/>
      <w:bookmarkEnd w:id="936"/>
      <w:bookmarkEnd w:id="937"/>
      <w:bookmarkEnd w:id="938"/>
      <w:bookmarkEnd w:id="939"/>
      <w:bookmarkEnd w:id="940"/>
      <w:bookmarkEnd w:id="941"/>
    </w:p>
    <w:p>
      <w:pPr>
        <w:pStyle w:val="yShoulderClause"/>
      </w:pPr>
      <w:r>
        <w:t>[s. 11]</w:t>
      </w:r>
    </w:p>
    <w:p>
      <w:pPr>
        <w:pStyle w:val="yFootnoteheading"/>
      </w:pPr>
      <w:r>
        <w:tab/>
        <w:t>[Heading, formerly Schedule 1, renumbered as Schedule 2 by No. 78 of 2003 s. 35(10).]</w:t>
      </w:r>
    </w:p>
    <w:p>
      <w:pPr>
        <w:pStyle w:val="yHeading5"/>
        <w:outlineLvl w:val="0"/>
      </w:pPr>
      <w:bookmarkStart w:id="942" w:name="_Toc407628567"/>
      <w:bookmarkStart w:id="943" w:name="_Toc422302278"/>
      <w:r>
        <w:rPr>
          <w:rStyle w:val="CharSClsNo"/>
        </w:rPr>
        <w:t>1</w:t>
      </w:r>
      <w:r>
        <w:t>.</w:t>
      </w:r>
      <w:r>
        <w:tab/>
        <w:t>Tenure of office</w:t>
      </w:r>
      <w:bookmarkEnd w:id="942"/>
      <w:bookmarkEnd w:id="943"/>
      <w:r>
        <w:rPr>
          <w:b w:val="0"/>
        </w:rP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by No. 78 of 2003 s. 32(a).]</w:t>
      </w:r>
    </w:p>
    <w:p>
      <w:pPr>
        <w:pStyle w:val="yHeading5"/>
        <w:outlineLvl w:val="0"/>
      </w:pPr>
      <w:bookmarkStart w:id="944" w:name="_Toc407628568"/>
      <w:bookmarkStart w:id="945" w:name="_Toc422302279"/>
      <w:r>
        <w:rPr>
          <w:rStyle w:val="CharSClsNo"/>
        </w:rPr>
        <w:t>2</w:t>
      </w:r>
      <w:r>
        <w:t>.</w:t>
      </w:r>
      <w:r>
        <w:tab/>
        <w:t>Terms of appointment</w:t>
      </w:r>
      <w:bookmarkEnd w:id="944"/>
      <w:bookmarkEnd w:id="945"/>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outlineLvl w:val="0"/>
      </w:pPr>
      <w:bookmarkStart w:id="946" w:name="_Toc407628569"/>
      <w:bookmarkStart w:id="947" w:name="_Toc422302280"/>
      <w:r>
        <w:rPr>
          <w:rStyle w:val="CharSClsNo"/>
        </w:rPr>
        <w:t>3</w:t>
      </w:r>
      <w:r>
        <w:t>.</w:t>
      </w:r>
      <w:r>
        <w:tab/>
        <w:t>Remuneration, leave and entitlements</w:t>
      </w:r>
      <w:bookmarkEnd w:id="946"/>
      <w:bookmarkEnd w:id="947"/>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pPr>
      <w:r>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by No. 77 of 2006 s. 4; No. 35 of 2014 s. 32.]</w:t>
      </w:r>
    </w:p>
    <w:p>
      <w:pPr>
        <w:pStyle w:val="yHeading5"/>
        <w:outlineLvl w:val="0"/>
      </w:pPr>
      <w:bookmarkStart w:id="948" w:name="_Toc407628570"/>
      <w:bookmarkStart w:id="949" w:name="_Toc422302281"/>
      <w:r>
        <w:rPr>
          <w:rStyle w:val="CharSClsNo"/>
        </w:rPr>
        <w:t>4</w:t>
      </w:r>
      <w:r>
        <w:t>.</w:t>
      </w:r>
      <w:r>
        <w:tab/>
        <w:t>Provisions where Commissioner was judge</w:t>
      </w:r>
      <w:bookmarkEnd w:id="948"/>
      <w:bookmarkEnd w:id="949"/>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by No. 78 of 2003 s. 32(b).]</w:t>
      </w:r>
    </w:p>
    <w:p>
      <w:pPr>
        <w:pStyle w:val="yHeading5"/>
        <w:outlineLvl w:val="0"/>
      </w:pPr>
      <w:bookmarkStart w:id="950" w:name="_Toc407628571"/>
      <w:bookmarkStart w:id="951" w:name="_Toc422302282"/>
      <w:r>
        <w:rPr>
          <w:rStyle w:val="CharSClsNo"/>
        </w:rPr>
        <w:t>5</w:t>
      </w:r>
      <w:r>
        <w:t>.</w:t>
      </w:r>
      <w:r>
        <w:tab/>
        <w:t>Provisions where Commissioner was public service officer</w:t>
      </w:r>
      <w:bookmarkEnd w:id="950"/>
      <w:bookmarkEnd w:id="951"/>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4</w:t>
      </w:r>
      <w:r>
        <w:t>, as if service as Commissioner were a continuation of service as a public service officer.</w:t>
      </w:r>
    </w:p>
    <w:p>
      <w:pPr>
        <w:pStyle w:val="ySubsection"/>
        <w:keepLines/>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outlineLvl w:val="0"/>
      </w:pPr>
      <w:bookmarkStart w:id="952" w:name="_Toc407628572"/>
      <w:bookmarkStart w:id="953" w:name="_Toc422302283"/>
      <w:r>
        <w:rPr>
          <w:rStyle w:val="CharSClsNo"/>
        </w:rPr>
        <w:t>6</w:t>
      </w:r>
      <w:r>
        <w:t>.</w:t>
      </w:r>
      <w:r>
        <w:tab/>
        <w:t>Resignation</w:t>
      </w:r>
      <w:bookmarkEnd w:id="952"/>
      <w:bookmarkEnd w:id="953"/>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outlineLvl w:val="0"/>
      </w:pPr>
      <w:bookmarkStart w:id="954" w:name="_Toc407628573"/>
      <w:bookmarkStart w:id="955" w:name="_Toc422302284"/>
      <w:r>
        <w:rPr>
          <w:rStyle w:val="CharSClsNo"/>
        </w:rPr>
        <w:t>7</w:t>
      </w:r>
      <w:r>
        <w:t>.</w:t>
      </w:r>
      <w:r>
        <w:tab/>
        <w:t>Vacancy</w:t>
      </w:r>
      <w:bookmarkEnd w:id="954"/>
      <w:bookmarkEnd w:id="955"/>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by No. 78 of 2003 s. 35(13); No. 18 of 2009 s. 23(2).]</w:t>
      </w:r>
    </w:p>
    <w:p>
      <w:pPr>
        <w:pStyle w:val="yScheduleHeading"/>
      </w:pPr>
      <w:bookmarkStart w:id="956" w:name="_Toc381873123"/>
      <w:bookmarkStart w:id="957" w:name="_Toc381873938"/>
      <w:bookmarkStart w:id="958" w:name="_Toc405978345"/>
      <w:bookmarkStart w:id="959" w:name="_Toc406054271"/>
      <w:bookmarkStart w:id="960" w:name="_Toc406078809"/>
      <w:bookmarkStart w:id="961" w:name="_Toc407628574"/>
      <w:bookmarkStart w:id="962" w:name="_Toc413244112"/>
      <w:bookmarkStart w:id="963" w:name="_Toc413321453"/>
      <w:bookmarkStart w:id="964" w:name="_Toc422302285"/>
      <w:r>
        <w:rPr>
          <w:rStyle w:val="CharSchNo"/>
        </w:rPr>
        <w:t>Schedule 3</w:t>
      </w:r>
      <w:r>
        <w:t> — </w:t>
      </w:r>
      <w:r>
        <w:rPr>
          <w:rStyle w:val="CharSchText"/>
        </w:rPr>
        <w:t>Terms and conditions of service of Parliamentary Inspector</w:t>
      </w:r>
      <w:bookmarkEnd w:id="956"/>
      <w:bookmarkEnd w:id="957"/>
      <w:bookmarkEnd w:id="958"/>
      <w:bookmarkEnd w:id="959"/>
      <w:bookmarkEnd w:id="960"/>
      <w:bookmarkEnd w:id="961"/>
      <w:bookmarkEnd w:id="962"/>
      <w:bookmarkEnd w:id="963"/>
      <w:bookmarkEnd w:id="964"/>
    </w:p>
    <w:p>
      <w:pPr>
        <w:pStyle w:val="yShoulderClause"/>
      </w:pPr>
      <w:r>
        <w:t>[s. 191]</w:t>
      </w:r>
    </w:p>
    <w:p>
      <w:pPr>
        <w:pStyle w:val="yFootnotesection"/>
      </w:pPr>
      <w:r>
        <w:tab/>
        <w:t>[Heading, formerly Schedule 2, renumbered as Schedule 3 by No. 78 of 2003 s. 35(11).]</w:t>
      </w:r>
    </w:p>
    <w:p>
      <w:pPr>
        <w:pStyle w:val="yHeading5"/>
        <w:outlineLvl w:val="0"/>
      </w:pPr>
      <w:bookmarkStart w:id="965" w:name="_Toc407628575"/>
      <w:bookmarkStart w:id="966" w:name="_Toc422302286"/>
      <w:r>
        <w:rPr>
          <w:rStyle w:val="CharSClsNo"/>
        </w:rPr>
        <w:t>1</w:t>
      </w:r>
      <w:r>
        <w:t>.</w:t>
      </w:r>
      <w:r>
        <w:tab/>
        <w:t>Tenure of office</w:t>
      </w:r>
      <w:bookmarkEnd w:id="965"/>
      <w:bookmarkEnd w:id="966"/>
      <w:r>
        <w:rPr>
          <w:b w:val="0"/>
        </w:rP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by No. 78 of 2003 s. 34.]</w:t>
      </w:r>
    </w:p>
    <w:p>
      <w:pPr>
        <w:pStyle w:val="yHeading5"/>
        <w:outlineLvl w:val="0"/>
      </w:pPr>
      <w:bookmarkStart w:id="967" w:name="_Toc407628576"/>
      <w:bookmarkStart w:id="968" w:name="_Toc422302287"/>
      <w:r>
        <w:rPr>
          <w:rStyle w:val="CharSClsNo"/>
        </w:rPr>
        <w:t>2</w:t>
      </w:r>
      <w:r>
        <w:t>.</w:t>
      </w:r>
      <w:r>
        <w:tab/>
        <w:t>Terms of appointment</w:t>
      </w:r>
      <w:bookmarkEnd w:id="967"/>
      <w:bookmarkEnd w:id="968"/>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outlineLvl w:val="0"/>
      </w:pPr>
      <w:bookmarkStart w:id="969" w:name="_Toc407628577"/>
      <w:bookmarkStart w:id="970" w:name="_Toc422302288"/>
      <w:r>
        <w:rPr>
          <w:rStyle w:val="CharSClsNo"/>
        </w:rPr>
        <w:t>3</w:t>
      </w:r>
      <w:r>
        <w:t>.</w:t>
      </w:r>
      <w:r>
        <w:tab/>
        <w:t>Remuneration, leave and entitlements</w:t>
      </w:r>
      <w:bookmarkEnd w:id="969"/>
      <w:bookmarkEnd w:id="970"/>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by No. 77 of 2006 s. 4.]</w:t>
      </w:r>
    </w:p>
    <w:p>
      <w:pPr>
        <w:pStyle w:val="yHeading5"/>
        <w:outlineLvl w:val="0"/>
      </w:pPr>
      <w:bookmarkStart w:id="971" w:name="_Toc407628578"/>
      <w:bookmarkStart w:id="972" w:name="_Toc422302289"/>
      <w:r>
        <w:rPr>
          <w:rStyle w:val="CharSClsNo"/>
        </w:rPr>
        <w:t>4</w:t>
      </w:r>
      <w:r>
        <w:t>.</w:t>
      </w:r>
      <w:r>
        <w:tab/>
        <w:t>Provisions where Parliamentary Inspector was judge</w:t>
      </w:r>
      <w:bookmarkEnd w:id="971"/>
      <w:bookmarkEnd w:id="972"/>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outlineLvl w:val="0"/>
      </w:pPr>
      <w:bookmarkStart w:id="973" w:name="_Toc407628579"/>
      <w:bookmarkStart w:id="974" w:name="_Toc422302290"/>
      <w:r>
        <w:rPr>
          <w:rStyle w:val="CharSClsNo"/>
        </w:rPr>
        <w:t>5</w:t>
      </w:r>
      <w:r>
        <w:t>.</w:t>
      </w:r>
      <w:r>
        <w:tab/>
        <w:t>Provisions where Parliamentary Inspector was public service officer</w:t>
      </w:r>
      <w:bookmarkEnd w:id="973"/>
      <w:bookmarkEnd w:id="974"/>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4</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4</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outlineLvl w:val="0"/>
      </w:pPr>
      <w:bookmarkStart w:id="975" w:name="_Toc407628580"/>
      <w:bookmarkStart w:id="976" w:name="_Toc422302291"/>
      <w:r>
        <w:rPr>
          <w:rStyle w:val="CharSClsNo"/>
        </w:rPr>
        <w:t>6</w:t>
      </w:r>
      <w:r>
        <w:t>.</w:t>
      </w:r>
      <w:r>
        <w:tab/>
        <w:t>Resignation</w:t>
      </w:r>
      <w:bookmarkEnd w:id="975"/>
      <w:bookmarkEnd w:id="976"/>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outlineLvl w:val="0"/>
      </w:pPr>
      <w:bookmarkStart w:id="977" w:name="_Toc407628581"/>
      <w:bookmarkStart w:id="978" w:name="_Toc422302292"/>
      <w:r>
        <w:rPr>
          <w:rStyle w:val="CharSClsNo"/>
        </w:rPr>
        <w:t>7</w:t>
      </w:r>
      <w:r>
        <w:t>.</w:t>
      </w:r>
      <w:r>
        <w:tab/>
        <w:t>Vacancy</w:t>
      </w:r>
      <w:bookmarkEnd w:id="977"/>
      <w:bookmarkEnd w:id="978"/>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by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979" w:name="_Toc381873131"/>
      <w:bookmarkStart w:id="980" w:name="_Toc381873946"/>
      <w:bookmarkStart w:id="981" w:name="_Toc405978353"/>
      <w:bookmarkStart w:id="982" w:name="_Toc406054279"/>
      <w:bookmarkStart w:id="983" w:name="_Toc406078817"/>
      <w:bookmarkStart w:id="984" w:name="_Toc407628582"/>
      <w:bookmarkStart w:id="985" w:name="_Toc413244120"/>
      <w:bookmarkStart w:id="986" w:name="_Toc413321461"/>
      <w:bookmarkStart w:id="987" w:name="_Toc422302293"/>
      <w:r>
        <w:t>Notes</w:t>
      </w:r>
      <w:bookmarkEnd w:id="979"/>
      <w:bookmarkEnd w:id="980"/>
      <w:bookmarkEnd w:id="981"/>
      <w:bookmarkEnd w:id="982"/>
      <w:bookmarkEnd w:id="983"/>
      <w:bookmarkEnd w:id="984"/>
      <w:bookmarkEnd w:id="985"/>
      <w:bookmarkEnd w:id="986"/>
      <w:bookmarkEnd w:id="987"/>
    </w:p>
    <w:p>
      <w:pPr>
        <w:pStyle w:val="nSubsection"/>
        <w:rPr>
          <w:snapToGrid w:val="0"/>
        </w:rPr>
      </w:pPr>
      <w:r>
        <w:rPr>
          <w:snapToGrid w:val="0"/>
          <w:vertAlign w:val="superscript"/>
        </w:rPr>
        <w:t>1</w:t>
      </w:r>
      <w:r>
        <w:rPr>
          <w:snapToGrid w:val="0"/>
        </w:rPr>
        <w:tab/>
        <w:t xml:space="preserve">This is a compilation of the </w:t>
      </w:r>
      <w:r>
        <w:rPr>
          <w:i/>
          <w:noProof/>
          <w:snapToGrid w:val="0"/>
        </w:rPr>
        <w:t>Corruption and Crime Commission Act 2003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988" w:name="_Toc407628583"/>
      <w:bookmarkStart w:id="989" w:name="_Toc422302294"/>
      <w:r>
        <w:rPr>
          <w:snapToGrid w:val="0"/>
        </w:rPr>
        <w:t>Compilation table</w:t>
      </w:r>
      <w:bookmarkEnd w:id="988"/>
      <w:bookmarkEnd w:id="989"/>
    </w:p>
    <w:tbl>
      <w:tblPr>
        <w:tblW w:w="7088" w:type="dxa"/>
        <w:tblInd w:w="14" w:type="dxa"/>
        <w:tblLayout w:type="fixed"/>
        <w:tblCellMar>
          <w:left w:w="56" w:type="dxa"/>
          <w:right w:w="56" w:type="dxa"/>
        </w:tblCellMar>
        <w:tblLook w:val="0000" w:firstRow="0" w:lastRow="0" w:firstColumn="0" w:lastColumn="0" w:noHBand="0" w:noVBand="0"/>
      </w:tblPr>
      <w:tblGrid>
        <w:gridCol w:w="2263"/>
        <w:gridCol w:w="6"/>
        <w:gridCol w:w="1128"/>
        <w:gridCol w:w="6"/>
        <w:gridCol w:w="1128"/>
        <w:gridCol w:w="6"/>
        <w:gridCol w:w="2551"/>
      </w:tblGrid>
      <w:tr>
        <w:trPr>
          <w:tblHeader/>
        </w:trPr>
        <w:tc>
          <w:tcPr>
            <w:tcW w:w="2269"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9" w:type="dxa"/>
            <w:gridSpan w:val="2"/>
            <w:tcBorders>
              <w:top w:val="single" w:sz="8" w:space="0" w:color="auto"/>
            </w:tcBorders>
          </w:tcPr>
          <w:p>
            <w:pPr>
              <w:pStyle w:val="nTable"/>
              <w:spacing w:after="40"/>
            </w:pPr>
            <w:r>
              <w:rPr>
                <w:i/>
                <w:noProof/>
                <w:snapToGrid w:val="0"/>
              </w:rPr>
              <w:t>Corruption and Crime Commission Act 2003</w:t>
            </w:r>
          </w:p>
        </w:tc>
        <w:tc>
          <w:tcPr>
            <w:tcW w:w="1134" w:type="dxa"/>
            <w:gridSpan w:val="2"/>
            <w:tcBorders>
              <w:top w:val="single" w:sz="8" w:space="0" w:color="auto"/>
            </w:tcBorders>
          </w:tcPr>
          <w:p>
            <w:pPr>
              <w:pStyle w:val="nTable"/>
              <w:spacing w:after="40"/>
            </w:pPr>
            <w:r>
              <w:t>48 of 2003</w:t>
            </w:r>
          </w:p>
        </w:tc>
        <w:tc>
          <w:tcPr>
            <w:tcW w:w="1134" w:type="dxa"/>
            <w:gridSpan w:val="2"/>
            <w:tcBorders>
              <w:top w:val="single" w:sz="8" w:space="0" w:color="auto"/>
            </w:tcBorders>
          </w:tcPr>
          <w:p>
            <w:pPr>
              <w:pStyle w:val="nTable"/>
              <w:spacing w:after="40"/>
            </w:pPr>
            <w:r>
              <w:t>3 Jul 2003</w:t>
            </w:r>
          </w:p>
        </w:tc>
        <w:tc>
          <w:tcPr>
            <w:tcW w:w="2551" w:type="dxa"/>
            <w:tcBorders>
              <w:top w:val="single" w:sz="8" w:space="0" w:color="auto"/>
            </w:tcBorders>
          </w:tcPr>
          <w:p>
            <w:pPr>
              <w:pStyle w:val="nTable"/>
              <w:spacing w:after="40"/>
            </w:pPr>
            <w:r>
              <w:t>s. 1 and 2: 3 Jul 2003;</w:t>
            </w:r>
            <w:r>
              <w:br/>
              <w:t xml:space="preserve">Act other than s. 1 and 2: 1 Jan 2004 (see s. 2 and </w:t>
            </w:r>
            <w:r>
              <w:rPr>
                <w:i/>
              </w:rPr>
              <w:t>Gazette</w:t>
            </w:r>
            <w:r>
              <w:t xml:space="preserve"> 30 Dec 2003 p. 5723)</w:t>
            </w:r>
          </w:p>
        </w:tc>
      </w:tr>
      <w:t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noProof/>
                <w:snapToGrid w:val="0"/>
              </w:rPr>
              <w:t>Pt. 2</w:t>
            </w:r>
            <w:r>
              <w:rPr>
                <w:noProof/>
                <w:snapToGrid w:val="0"/>
                <w:vertAlign w:val="superscript"/>
              </w:rPr>
              <w:t> 3,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7088" w:type="dxa"/>
            <w:gridSpan w:val="7"/>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tcPr>
          <w:p>
            <w:pPr>
              <w:pStyle w:val="nTable"/>
              <w:spacing w:after="40"/>
            </w:pPr>
            <w:r>
              <w:t>21 May 2004 (see s. 2)</w:t>
            </w:r>
          </w:p>
        </w:tc>
      </w:tr>
      <w:t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7"/>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c>
          <w:tcPr>
            <w:tcW w:w="2269" w:type="dxa"/>
            <w:gridSpan w:val="2"/>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Pr>
          <w:p>
            <w:pPr>
              <w:pStyle w:val="nTable"/>
              <w:spacing w:after="40"/>
              <w:rPr>
                <w:snapToGrid w:val="0"/>
              </w:rPr>
            </w:pPr>
            <w:r>
              <w:rPr>
                <w:snapToGrid w:val="0"/>
              </w:rPr>
              <w:t>50 of 2006</w:t>
            </w:r>
          </w:p>
        </w:tc>
        <w:tc>
          <w:tcPr>
            <w:tcW w:w="1134" w:type="dxa"/>
            <w:gridSpan w:val="2"/>
          </w:tcPr>
          <w:p>
            <w:pPr>
              <w:pStyle w:val="nTable"/>
              <w:spacing w:after="40"/>
            </w:pPr>
            <w:r>
              <w:t>6 Oct 2006</w:t>
            </w:r>
          </w:p>
        </w:tc>
        <w:tc>
          <w:tcPr>
            <w:tcW w:w="2551"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gridSpan w:val="2"/>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Pr>
          <w:p>
            <w:pPr>
              <w:pStyle w:val="nTable"/>
              <w:spacing w:after="40"/>
              <w:rPr>
                <w:snapToGrid w:val="0"/>
              </w:rPr>
            </w:pPr>
            <w:r>
              <w:rPr>
                <w:snapToGrid w:val="0"/>
              </w:rPr>
              <w:t>59 of 2006</w:t>
            </w:r>
          </w:p>
        </w:tc>
        <w:tc>
          <w:tcPr>
            <w:tcW w:w="1134" w:type="dxa"/>
            <w:gridSpan w:val="2"/>
          </w:tcPr>
          <w:p>
            <w:pPr>
              <w:pStyle w:val="nTable"/>
              <w:spacing w:after="40"/>
            </w:pPr>
            <w:r>
              <w:t>16 Nov 2006</w:t>
            </w:r>
          </w:p>
        </w:tc>
        <w:tc>
          <w:tcPr>
            <w:tcW w:w="2551"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gridSpan w:val="2"/>
          </w:tcPr>
          <w:p>
            <w:pPr>
              <w:pStyle w:val="nTable"/>
              <w:spacing w:after="40"/>
              <w:rPr>
                <w:i/>
                <w:iCs/>
                <w:snapToGrid w:val="0"/>
              </w:rPr>
            </w:pPr>
            <w:r>
              <w:rPr>
                <w:i/>
                <w:snapToGrid w:val="0"/>
              </w:rPr>
              <w:t xml:space="preserve">Financial Legislation Amendment and Repeal Act 2006 </w:t>
            </w:r>
            <w:r>
              <w:rPr>
                <w:iCs/>
                <w:snapToGrid w:val="0"/>
              </w:rPr>
              <w:t>s. 4 and Sch. 1 cl. 35</w:t>
            </w:r>
          </w:p>
        </w:tc>
        <w:tc>
          <w:tcPr>
            <w:tcW w:w="1134" w:type="dxa"/>
            <w:gridSpan w:val="2"/>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blPrEx>
          <w:tblBorders>
            <w:top w:val="single" w:sz="4" w:space="0" w:color="auto"/>
            <w:bottom w:val="single" w:sz="4" w:space="0" w:color="auto"/>
            <w:insideH w:val="single" w:sz="4" w:space="0" w:color="auto"/>
          </w:tblBorders>
        </w:tblPrEx>
        <w:tc>
          <w:tcPr>
            <w:tcW w:w="2263" w:type="dxa"/>
            <w:tcBorders>
              <w:top w:val="nil"/>
              <w:bottom w:val="nil"/>
            </w:tcBorders>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Borders>
              <w:top w:val="nil"/>
              <w:bottom w:val="nil"/>
            </w:tcBorders>
          </w:tcPr>
          <w:p>
            <w:pPr>
              <w:pStyle w:val="nTable"/>
              <w:spacing w:after="40"/>
            </w:pPr>
            <w:r>
              <w:rPr>
                <w:snapToGrid w:val="0"/>
              </w:rPr>
              <w:t>21 of 2008</w:t>
            </w:r>
          </w:p>
        </w:tc>
        <w:tc>
          <w:tcPr>
            <w:tcW w:w="1134" w:type="dxa"/>
            <w:gridSpan w:val="2"/>
            <w:tcBorders>
              <w:top w:val="nil"/>
              <w:bottom w:val="nil"/>
            </w:tcBorders>
          </w:tcPr>
          <w:p>
            <w:pPr>
              <w:pStyle w:val="nTable"/>
              <w:spacing w:after="40"/>
            </w:pPr>
            <w:r>
              <w:rPr>
                <w:snapToGrid w:val="0"/>
              </w:rPr>
              <w:t>27 May 2008</w:t>
            </w:r>
          </w:p>
        </w:tc>
        <w:tc>
          <w:tcPr>
            <w:tcW w:w="2557" w:type="dxa"/>
            <w:gridSpan w:val="2"/>
            <w:tcBorders>
              <w:top w:val="nil"/>
              <w:bottom w:val="nil"/>
            </w:tcBorders>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PrEx>
        <w:tc>
          <w:tcPr>
            <w:tcW w:w="2269" w:type="dxa"/>
            <w:gridSpan w:val="2"/>
            <w:tcBorders>
              <w:top w:val="nil"/>
              <w:bottom w:val="nil"/>
            </w:tcBorders>
          </w:tcPr>
          <w:p>
            <w:pPr>
              <w:pStyle w:val="nTable"/>
              <w:spacing w:after="40"/>
            </w:pPr>
            <w:r>
              <w:rPr>
                <w:i/>
                <w:snapToGrid w:val="0"/>
              </w:rPr>
              <w:t>Medical Practitioners Act 2008</w:t>
            </w:r>
            <w:r>
              <w:t xml:space="preserve"> Sch. 3 cl. 11</w:t>
            </w:r>
          </w:p>
        </w:tc>
        <w:tc>
          <w:tcPr>
            <w:tcW w:w="1134" w:type="dxa"/>
            <w:gridSpan w:val="2"/>
            <w:tcBorders>
              <w:top w:val="nil"/>
              <w:bottom w:val="nil"/>
            </w:tcBorders>
          </w:tcPr>
          <w:p>
            <w:pPr>
              <w:pStyle w:val="nTable"/>
              <w:spacing w:after="40"/>
            </w:pPr>
            <w:r>
              <w:t>22 of 2008</w:t>
            </w:r>
          </w:p>
        </w:tc>
        <w:tc>
          <w:tcPr>
            <w:tcW w:w="1134" w:type="dxa"/>
            <w:gridSpan w:val="2"/>
            <w:tcBorders>
              <w:top w:val="nil"/>
              <w:bottom w:val="nil"/>
            </w:tcBorders>
          </w:tcPr>
          <w:p>
            <w:pPr>
              <w:pStyle w:val="nTable"/>
              <w:spacing w:after="40"/>
            </w:pPr>
            <w:r>
              <w:t>27 May 2008</w:t>
            </w:r>
          </w:p>
        </w:tc>
        <w:tc>
          <w:tcPr>
            <w:tcW w:w="2551"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7"/>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tcPr>
          <w:p>
            <w:pPr>
              <w:pStyle w:val="nTable"/>
              <w:spacing w:after="40"/>
            </w:pPr>
            <w:r>
              <w:t>22 May 2009 (see s. 2(b))</w:t>
            </w:r>
          </w:p>
        </w:tc>
      </w:tr>
      <w:tr>
        <w:trPr>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tcPr>
          <w:p>
            <w:pPr>
              <w:pStyle w:val="nTable"/>
              <w:spacing w:after="40"/>
            </w:pPr>
            <w:r>
              <w:t>17 Sep 2009 (see s. 2(b))</w:t>
            </w:r>
          </w:p>
        </w:tc>
      </w:tr>
      <w:tr>
        <w:trPr>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tcPr>
          <w:p>
            <w:pPr>
              <w:pStyle w:val="nTable"/>
              <w:spacing w:after="40"/>
            </w:pPr>
            <w:r>
              <w:t>4 Dec 2009 (see s. 2(b))</w:t>
            </w:r>
          </w:p>
        </w:tc>
      </w:tr>
      <w:tr>
        <w:trPr>
          <w:cantSplit/>
        </w:trPr>
        <w:tc>
          <w:tcPr>
            <w:tcW w:w="7088" w:type="dxa"/>
            <w:gridSpan w:val="7"/>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cantSplit/>
        </w:trPr>
        <w:tc>
          <w:tcPr>
            <w:tcW w:w="2269" w:type="dxa"/>
            <w:gridSpan w:val="2"/>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Pr>
          <w:p>
            <w:pPr>
              <w:pStyle w:val="nTable"/>
              <w:spacing w:after="40"/>
            </w:pPr>
            <w:r>
              <w:rPr>
                <w:snapToGrid w:val="0"/>
              </w:rPr>
              <w:t>35 of 2010</w:t>
            </w:r>
          </w:p>
        </w:tc>
        <w:tc>
          <w:tcPr>
            <w:tcW w:w="1134" w:type="dxa"/>
            <w:gridSpan w:val="2"/>
          </w:tcPr>
          <w:p>
            <w:pPr>
              <w:pStyle w:val="nTable"/>
              <w:spacing w:after="40"/>
            </w:pPr>
            <w:r>
              <w:rPr>
                <w:snapToGrid w:val="0"/>
              </w:rPr>
              <w:t>30 Aug 2010</w:t>
            </w:r>
          </w:p>
        </w:tc>
        <w:tc>
          <w:tcPr>
            <w:tcW w:w="2551" w:type="dxa"/>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cantSplit/>
        </w:trPr>
        <w:tc>
          <w:tcPr>
            <w:tcW w:w="2269" w:type="dxa"/>
            <w:gridSpan w:val="2"/>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Pr>
          <w:p>
            <w:pPr>
              <w:pStyle w:val="nTable"/>
              <w:spacing w:after="40"/>
              <w:rPr>
                <w:snapToGrid w:val="0"/>
              </w:rPr>
            </w:pPr>
            <w:r>
              <w:rPr>
                <w:snapToGrid w:val="0"/>
              </w:rPr>
              <w:t>39 of 2010</w:t>
            </w:r>
          </w:p>
        </w:tc>
        <w:tc>
          <w:tcPr>
            <w:tcW w:w="1134" w:type="dxa"/>
            <w:gridSpan w:val="2"/>
          </w:tcPr>
          <w:p>
            <w:pPr>
              <w:pStyle w:val="nTable"/>
              <w:spacing w:after="40"/>
              <w:rPr>
                <w:snapToGrid w:val="0"/>
              </w:rPr>
            </w:pPr>
            <w: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9" w:type="dxa"/>
            <w:gridSpan w:val="2"/>
          </w:tcPr>
          <w:p>
            <w:pPr>
              <w:pStyle w:val="nTable"/>
              <w:spacing w:after="40"/>
              <w:ind w:right="113"/>
              <w:rPr>
                <w:i/>
                <w:snapToGrid w:val="0"/>
              </w:rPr>
            </w:pPr>
            <w:r>
              <w:rPr>
                <w:i/>
                <w:snapToGrid w:val="0"/>
              </w:rPr>
              <w:t xml:space="preserve">Telecommunications (Interception) </w:t>
            </w:r>
            <w:smartTag w:uri="urn:schemas-microsoft-com:office:smarttags" w:element="place">
              <w:smartTag w:uri="urn:schemas-microsoft-com:office:smarttags" w:element="State">
                <w:r>
                  <w:rPr>
                    <w:i/>
                    <w:snapToGrid w:val="0"/>
                  </w:rPr>
                  <w:t>Western Australia</w:t>
                </w:r>
              </w:smartTag>
            </w:smartTag>
            <w:r>
              <w:rPr>
                <w:i/>
                <w:snapToGrid w:val="0"/>
              </w:rPr>
              <w:t xml:space="preserve"> Amendment Act 2011 </w:t>
            </w:r>
            <w:r>
              <w:rPr>
                <w:snapToGrid w:val="0"/>
              </w:rPr>
              <w:t>Pt. 3</w:t>
            </w:r>
          </w:p>
        </w:tc>
        <w:tc>
          <w:tcPr>
            <w:tcW w:w="1134" w:type="dxa"/>
            <w:gridSpan w:val="2"/>
          </w:tcPr>
          <w:p>
            <w:pPr>
              <w:pStyle w:val="nTable"/>
              <w:spacing w:after="40"/>
              <w:rPr>
                <w:snapToGrid w:val="0"/>
              </w:rPr>
            </w:pPr>
            <w:r>
              <w:rPr>
                <w:snapToGrid w:val="0"/>
              </w:rPr>
              <w:t>2 of 2011</w:t>
            </w:r>
          </w:p>
        </w:tc>
        <w:tc>
          <w:tcPr>
            <w:tcW w:w="1134" w:type="dxa"/>
            <w:gridSpan w:val="2"/>
          </w:tcPr>
          <w:p>
            <w:pPr>
              <w:pStyle w:val="nTable"/>
              <w:spacing w:after="40"/>
            </w:pPr>
            <w:r>
              <w:t>1 Mar 2011</w:t>
            </w:r>
          </w:p>
        </w:tc>
        <w:tc>
          <w:tcPr>
            <w:tcW w:w="2551" w:type="dxa"/>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r>
              <w:rPr>
                <w:snapToGrid w:val="0"/>
                <w:vertAlign w:val="superscript"/>
              </w:rPr>
              <w:t> 6</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tcPr>
          <w:p>
            <w:pPr>
              <w:pStyle w:val="nTable"/>
              <w:spacing w:after="40"/>
              <w:rPr>
                <w:snapToGrid w:val="0"/>
              </w:rPr>
            </w:pPr>
            <w:r>
              <w:rPr>
                <w:snapToGrid w:val="0"/>
              </w:rPr>
              <w:t>12 Jul 2011 (see s. 2(b))</w:t>
            </w:r>
          </w:p>
        </w:tc>
      </w:tr>
      <w:tr>
        <w:trPr>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cantSplit/>
        </w:trPr>
        <w:tc>
          <w:tcPr>
            <w:tcW w:w="7088" w:type="dxa"/>
            <w:gridSpan w:val="7"/>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(includes amendments listed above)</w:t>
            </w:r>
          </w:p>
        </w:tc>
      </w:tr>
      <w:tr>
        <w:trPr>
          <w:cantSplit/>
        </w:trPr>
        <w:tc>
          <w:tcPr>
            <w:tcW w:w="2269" w:type="dxa"/>
            <w:gridSpan w:val="2"/>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32</w:t>
            </w:r>
          </w:p>
        </w:tc>
        <w:tc>
          <w:tcPr>
            <w:tcW w:w="1134" w:type="dxa"/>
            <w:gridSpan w:val="2"/>
          </w:tcPr>
          <w:p>
            <w:pPr>
              <w:pStyle w:val="nTable"/>
              <w:spacing w:after="40"/>
              <w:rPr>
                <w:snapToGrid w:val="0"/>
              </w:rPr>
            </w:pPr>
            <w:r>
              <w:rPr>
                <w:snapToGrid w:val="0"/>
                <w:lang w:val="en-US"/>
              </w:rPr>
              <w:t>35 of 2014</w:t>
            </w:r>
          </w:p>
        </w:tc>
        <w:tc>
          <w:tcPr>
            <w:tcW w:w="1134" w:type="dxa"/>
            <w:gridSpan w:val="2"/>
          </w:tcPr>
          <w:p>
            <w:pPr>
              <w:pStyle w:val="nTable"/>
              <w:spacing w:after="40"/>
            </w:pPr>
            <w:r>
              <w:t>9 Dec 2014</w:t>
            </w:r>
          </w:p>
        </w:tc>
        <w:tc>
          <w:tcPr>
            <w:tcW w:w="2551" w:type="dxa"/>
          </w:tcPr>
          <w:p>
            <w:pPr>
              <w:pStyle w:val="nTable"/>
              <w:spacing w:after="40"/>
              <w:rPr>
                <w:snapToGrid w:val="0"/>
              </w:rPr>
            </w:pPr>
            <w:r>
              <w:rPr>
                <w:snapToGrid w:val="0"/>
              </w:rPr>
              <w:t xml:space="preserve">30 Dec 2014 (see s. 2(b) and </w:t>
            </w:r>
            <w:r>
              <w:rPr>
                <w:i/>
                <w:snapToGrid w:val="0"/>
              </w:rPr>
              <w:t>Gazette</w:t>
            </w:r>
            <w:r>
              <w:rPr>
                <w:snapToGrid w:val="0"/>
              </w:rPr>
              <w:t xml:space="preserve"> 30 Dec 2014 p. 5497)</w:t>
            </w:r>
          </w:p>
        </w:tc>
      </w:tr>
      <w:tr>
        <w:trPr>
          <w:cantSplit/>
        </w:trPr>
        <w:tc>
          <w:tcPr>
            <w:tcW w:w="2269" w:type="dxa"/>
            <w:gridSpan w:val="2"/>
            <w:tcBorders>
              <w:bottom w:val="single" w:sz="4" w:space="0" w:color="auto"/>
            </w:tcBorders>
          </w:tcPr>
          <w:p>
            <w:pPr>
              <w:pStyle w:val="nTable"/>
              <w:spacing w:after="40"/>
              <w:ind w:right="113"/>
              <w:rPr>
                <w:i/>
                <w:snapToGrid w:val="0"/>
                <w:lang w:val="en-US"/>
              </w:rPr>
            </w:pPr>
            <w:r>
              <w:rPr>
                <w:i/>
              </w:rPr>
              <w:t>Declared Places (Mentally Impaired Accused) Act 2015</w:t>
            </w:r>
            <w:r>
              <w:t xml:space="preserve"> s. 84</w:t>
            </w:r>
          </w:p>
        </w:tc>
        <w:tc>
          <w:tcPr>
            <w:tcW w:w="1134" w:type="dxa"/>
            <w:gridSpan w:val="2"/>
            <w:tcBorders>
              <w:bottom w:val="single" w:sz="4" w:space="0" w:color="auto"/>
            </w:tcBorders>
          </w:tcPr>
          <w:p>
            <w:pPr>
              <w:pStyle w:val="nTable"/>
              <w:spacing w:after="40"/>
              <w:rPr>
                <w:snapToGrid w:val="0"/>
                <w:lang w:val="en-US"/>
              </w:rPr>
            </w:pPr>
            <w:r>
              <w:rPr>
                <w:snapToGrid w:val="0"/>
                <w:lang w:val="en-US"/>
              </w:rPr>
              <w:t>4 of 2015</w:t>
            </w:r>
          </w:p>
        </w:tc>
        <w:tc>
          <w:tcPr>
            <w:tcW w:w="1134" w:type="dxa"/>
            <w:gridSpan w:val="2"/>
            <w:tcBorders>
              <w:bottom w:val="single" w:sz="4" w:space="0" w:color="auto"/>
            </w:tcBorders>
          </w:tcPr>
          <w:p>
            <w:pPr>
              <w:pStyle w:val="nTable"/>
              <w:spacing w:after="40"/>
            </w:pPr>
            <w:r>
              <w:t>3 Mar 2015</w:t>
            </w:r>
          </w:p>
        </w:tc>
        <w:tc>
          <w:tcPr>
            <w:tcW w:w="2551" w:type="dxa"/>
            <w:tcBorders>
              <w:bottom w:val="single" w:sz="4" w:space="0" w:color="auto"/>
            </w:tcBorders>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90" w:name="_Toc7405065"/>
      <w:bookmarkStart w:id="991" w:name="_Toc407628584"/>
      <w:bookmarkStart w:id="992" w:name="_Toc422302295"/>
      <w:r>
        <w:t>Provisions that have not come into operation</w:t>
      </w:r>
      <w:bookmarkEnd w:id="990"/>
      <w:bookmarkEnd w:id="991"/>
      <w:bookmarkEnd w:id="992"/>
    </w:p>
    <w:tbl>
      <w:tblPr>
        <w:tblW w:w="0" w:type="auto"/>
        <w:tblInd w:w="108" w:type="dxa"/>
        <w:tblBorders>
          <w:top w:val="single" w:sz="2" w:space="0" w:color="auto"/>
          <w:bottom w:val="single" w:sz="2" w:space="0" w:color="auto"/>
          <w:insideH w:val="single" w:sz="2"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2" w:space="0" w:color="auto"/>
            </w:tcBorders>
          </w:tcPr>
          <w:p>
            <w:pPr>
              <w:pStyle w:val="nTable"/>
              <w:spacing w:after="40"/>
              <w:rPr>
                <w:b/>
                <w:snapToGrid w:val="0"/>
                <w:lang w:val="en-US"/>
              </w:rPr>
            </w:pPr>
            <w:r>
              <w:rPr>
                <w:b/>
                <w:snapToGrid w:val="0"/>
                <w:lang w:val="en-US"/>
              </w:rPr>
              <w:t>Short title</w:t>
            </w:r>
          </w:p>
        </w:tc>
        <w:tc>
          <w:tcPr>
            <w:tcW w:w="1118" w:type="dxa"/>
            <w:tcBorders>
              <w:bottom w:val="single" w:sz="2" w:space="0" w:color="auto"/>
            </w:tcBorders>
          </w:tcPr>
          <w:p>
            <w:pPr>
              <w:pStyle w:val="nTable"/>
              <w:spacing w:after="40"/>
              <w:rPr>
                <w:b/>
                <w:snapToGrid w:val="0"/>
                <w:lang w:val="en-US"/>
              </w:rPr>
            </w:pPr>
            <w:r>
              <w:rPr>
                <w:b/>
                <w:snapToGrid w:val="0"/>
                <w:lang w:val="en-US"/>
              </w:rPr>
              <w:t>Number and year</w:t>
            </w:r>
          </w:p>
        </w:tc>
        <w:tc>
          <w:tcPr>
            <w:tcW w:w="1134" w:type="dxa"/>
            <w:tcBorders>
              <w:bottom w:val="single" w:sz="2" w:space="0" w:color="auto"/>
            </w:tcBorders>
          </w:tcPr>
          <w:p>
            <w:pPr>
              <w:pStyle w:val="nTable"/>
              <w:spacing w:after="40"/>
              <w:rPr>
                <w:b/>
                <w:snapToGrid w:val="0"/>
                <w:lang w:val="en-US"/>
              </w:rPr>
            </w:pPr>
            <w:r>
              <w:rPr>
                <w:b/>
                <w:snapToGrid w:val="0"/>
                <w:lang w:val="en-US"/>
              </w:rPr>
              <w:t>Assent</w:t>
            </w:r>
          </w:p>
        </w:tc>
        <w:tc>
          <w:tcPr>
            <w:tcW w:w="2552" w:type="dxa"/>
            <w:tcBorders>
              <w:bottom w:val="single" w:sz="2" w:space="0" w:color="auto"/>
            </w:tcBorders>
          </w:tcPr>
          <w:p>
            <w:pPr>
              <w:pStyle w:val="nTable"/>
              <w:spacing w:after="40"/>
              <w:rPr>
                <w:b/>
                <w:snapToGrid w:val="0"/>
                <w:lang w:val="en-US"/>
              </w:rPr>
            </w:pPr>
            <w:r>
              <w:rPr>
                <w:b/>
                <w:snapToGrid w:val="0"/>
                <w:lang w:val="en-US"/>
              </w:rPr>
              <w:t>Commencement</w:t>
            </w:r>
          </w:p>
        </w:tc>
      </w:tr>
      <w:tr>
        <w:tc>
          <w:tcPr>
            <w:tcW w:w="2268" w:type="dxa"/>
            <w:tcBorders>
              <w:bottom w:val="single" w:sz="4" w:space="0" w:color="auto"/>
            </w:tcBorders>
          </w:tcPr>
          <w:p>
            <w:pPr>
              <w:pStyle w:val="nTable"/>
              <w:spacing w:after="40"/>
              <w:rPr>
                <w:snapToGrid w:val="0"/>
                <w:lang w:val="en-US"/>
              </w:rPr>
            </w:pPr>
            <w:r>
              <w:rPr>
                <w:i/>
                <w:snapToGrid w:val="0"/>
                <w:lang w:val="en-US"/>
              </w:rPr>
              <w:t>Corruption and Crime Commission Amendment (Misconduct) Act 2014</w:t>
            </w:r>
            <w:r>
              <w:rPr>
                <w:snapToGrid w:val="0"/>
                <w:lang w:val="en-US"/>
              </w:rPr>
              <w:t xml:space="preserve"> Pt. 2 (other than s. 32)</w:t>
            </w:r>
            <w:r>
              <w:rPr>
                <w:snapToGrid w:val="0"/>
                <w:vertAlign w:val="superscript"/>
                <w:lang w:val="en-US"/>
              </w:rPr>
              <w:t> 6</w:t>
            </w:r>
          </w:p>
        </w:tc>
        <w:tc>
          <w:tcPr>
            <w:tcW w:w="1118" w:type="dxa"/>
            <w:tcBorders>
              <w:bottom w:val="single" w:sz="4" w:space="0" w:color="auto"/>
            </w:tcBorders>
          </w:tcPr>
          <w:p>
            <w:pPr>
              <w:pStyle w:val="nTable"/>
              <w:spacing w:after="40"/>
              <w:rPr>
                <w:snapToGrid w:val="0"/>
                <w:lang w:val="en-US"/>
              </w:rPr>
            </w:pPr>
            <w:r>
              <w:rPr>
                <w:snapToGrid w:val="0"/>
                <w:lang w:val="en-US"/>
              </w:rPr>
              <w:t>35 of 2014</w:t>
            </w:r>
          </w:p>
        </w:tc>
        <w:tc>
          <w:tcPr>
            <w:tcW w:w="1134" w:type="dxa"/>
            <w:tcBorders>
              <w:bottom w:val="single" w:sz="4" w:space="0" w:color="auto"/>
            </w:tcBorders>
          </w:tcPr>
          <w:p>
            <w:pPr>
              <w:pStyle w:val="nTable"/>
              <w:spacing w:after="40"/>
              <w:rPr>
                <w:snapToGrid w:val="0"/>
                <w:lang w:val="en-US"/>
              </w:rPr>
            </w:pPr>
            <w:r>
              <w:t>9 Dec 2014</w:t>
            </w:r>
          </w:p>
        </w:tc>
        <w:tc>
          <w:tcPr>
            <w:tcW w:w="2552" w:type="dxa"/>
            <w:tcBorders>
              <w:bottom w:val="single" w:sz="4" w:space="0" w:color="auto"/>
            </w:tcBorders>
          </w:tcPr>
          <w:p>
            <w:pPr>
              <w:pStyle w:val="nTable"/>
              <w:spacing w:after="40"/>
              <w:rPr>
                <w:snapToGrid w:val="0"/>
                <w:lang w:val="en-US"/>
              </w:rPr>
            </w:pPr>
            <w:r>
              <w:rPr>
                <w:snapToGrid w:val="0"/>
                <w:lang w:val="en-US"/>
              </w:rPr>
              <w:t>To be proclaimed (see s. 2(b))</w:t>
            </w:r>
          </w:p>
        </w:tc>
      </w:tr>
    </w:tbl>
    <w:p>
      <w:pPr>
        <w:pStyle w:val="nSubsection"/>
        <w:spacing w:before="160"/>
        <w:rPr>
          <w:i/>
          <w:iCs/>
          <w:snapToGrid w:val="0"/>
        </w:rPr>
      </w:pPr>
      <w:r>
        <w:rPr>
          <w:vertAlign w:val="superscript"/>
        </w:rPr>
        <w:t>2</w:t>
      </w:r>
      <w:r>
        <w:tab/>
      </w:r>
      <w:r>
        <w:rPr>
          <w:snapToGrid w:val="0"/>
        </w:rPr>
        <w:t xml:space="preserve">The provisions in this Act amending these Acts have been omitted under the </w:t>
      </w:r>
      <w:r>
        <w:rPr>
          <w:i/>
          <w:iCs/>
          <w:snapToGrid w:val="0"/>
        </w:rPr>
        <w:t>Reprints Act 1984</w:t>
      </w:r>
      <w:r>
        <w:rPr>
          <w:snapToGrid w:val="0"/>
        </w:rPr>
        <w:t xml:space="preserve"> s. 7(4)(e).</w:t>
      </w:r>
    </w:p>
    <w:p>
      <w:pPr>
        <w:pStyle w:val="nSubsection"/>
        <w:keepNext/>
        <w:rPr>
          <w:snapToGrid w:val="0"/>
        </w:rPr>
      </w:pPr>
      <w:r>
        <w:rPr>
          <w:snapToGrid w:val="0"/>
          <w:vertAlign w:val="superscript"/>
        </w:rPr>
        <w:t>3</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Corruption and Crime Commission Act 2003, was an officer of the Commission as that term is defined in the A</w:t>
      </w:r>
      <w:r>
        <w:noBreakHyphen/>
        <w:t>CC Act;</w:t>
      </w:r>
    </w:p>
    <w:p>
      <w:pPr>
        <w:pStyle w:val="nzDefstart"/>
      </w:pPr>
      <w:r>
        <w:tab/>
      </w:r>
      <w:r>
        <w:rPr>
          <w:b/>
          <w:bCs/>
          <w:i/>
          <w:iCs/>
        </w:rPr>
        <w:t>officer of the Commission</w:t>
      </w:r>
      <w:r>
        <w:t xml:space="preserve"> has the meaning given to that term by the Corruption and Crime Commission Act 2003;</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t>66</w:t>
      </w:r>
      <w:r>
        <w:t>.</w:t>
      </w:r>
      <w:r>
        <w:tab/>
        <w:t>Financial reporting</w:t>
      </w:r>
    </w:p>
    <w:p>
      <w:pPr>
        <w:pStyle w:val="nzSubsection"/>
      </w:pPr>
      <w:r>
        <w:tab/>
        <w:t>(1)</w:t>
      </w:r>
      <w:r>
        <w:tab/>
        <w:t xml:space="preserve">In this section — </w:t>
      </w:r>
    </w:p>
    <w:p>
      <w:pPr>
        <w:pStyle w:val="nzDefstart"/>
      </w:pPr>
      <w:r>
        <w:rPr>
          <w:b/>
          <w:bCs/>
          <w:i/>
          <w:iCs/>
        </w:rPr>
        <w:tab/>
        <w:t xml:space="preserve">FAA Act </w:t>
      </w:r>
      <w:r>
        <w:t>means the Financial Administration and Audit Act 1985;</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pPr>
    </w:p>
    <w:p>
      <w:pPr>
        <w:pStyle w:val="nSubsection"/>
        <w:rPr>
          <w:snapToGrid w:val="0"/>
        </w:rPr>
      </w:pPr>
      <w:r>
        <w:rPr>
          <w:snapToGrid w:val="0"/>
          <w:vertAlign w:val="superscript"/>
        </w:rPr>
        <w:t>4</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pPr>
      <w:r>
        <w:rPr>
          <w:vertAlign w:val="superscript"/>
        </w:rPr>
        <w:t>5</w:t>
      </w:r>
      <w:r>
        <w:tab/>
        <w:t xml:space="preserve">The </w:t>
      </w:r>
      <w:r>
        <w:rPr>
          <w:i/>
        </w:rPr>
        <w:t>Corruption and Crime Commission Amendment and Repeal Act 2003</w:t>
      </w:r>
      <w:r>
        <w:t xml:space="preserve"> Pt. 3 Div. 7 reads as follows:</w:t>
      </w:r>
    </w:p>
    <w:p>
      <w:pPr>
        <w:pStyle w:val="BlankOpen"/>
      </w:pPr>
    </w:p>
    <w:p>
      <w:pPr>
        <w:pStyle w:val="nzHeading2"/>
      </w:pPr>
      <w:r>
        <w:t>Part 3 — Repeals, transitional and savings provisions, and consequential amendments</w:t>
      </w:r>
    </w:p>
    <w:p>
      <w:pPr>
        <w:pStyle w:val="nzHeading3"/>
      </w:pPr>
      <w:r>
        <w:t>Division 7 — General</w:t>
      </w:r>
    </w:p>
    <w:p>
      <w:pPr>
        <w:pStyle w:val="nzHeading5"/>
      </w:pPr>
      <w:r>
        <w:t>75.</w:t>
      </w:r>
      <w:r>
        <w:tab/>
        <w:t>Further transitional provisions may be made</w:t>
      </w:r>
    </w:p>
    <w:p>
      <w:pPr>
        <w:pStyle w:val="nzSubsection"/>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keepNex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pPr>
    </w:p>
    <w:p>
      <w:pPr>
        <w:pStyle w:val="nSubsection"/>
        <w:keepNext/>
      </w:pPr>
      <w:r>
        <w:rPr>
          <w:vertAlign w:val="superscript"/>
        </w:rPr>
        <w:t>6</w:t>
      </w:r>
      <w:r>
        <w:tab/>
        <w:t xml:space="preserve">On the date as at which this compilation was prepared, </w:t>
      </w:r>
      <w:r>
        <w:rPr>
          <w:snapToGrid w:val="0"/>
        </w:rPr>
        <w:t xml:space="preserve">the </w:t>
      </w:r>
      <w:r>
        <w:rPr>
          <w:i/>
        </w:rPr>
        <w:t xml:space="preserve">Corruption and Crime Commission Amendment (Misconduct) Act 2014 </w:t>
      </w:r>
      <w:r>
        <w:t>Pt. 2 (other than s. 32)</w:t>
      </w:r>
      <w:r>
        <w:rPr>
          <w:snapToGrid w:val="0"/>
        </w:rPr>
        <w:t xml:space="preserve"> had not come into operation.  It reads as follows:</w:t>
      </w:r>
    </w:p>
    <w:p>
      <w:pPr>
        <w:pStyle w:val="BlankOpen"/>
      </w:pPr>
    </w:p>
    <w:p>
      <w:pPr>
        <w:pStyle w:val="nzHeading2"/>
      </w:pPr>
      <w:bookmarkStart w:id="993" w:name="_Toc401089796"/>
      <w:bookmarkStart w:id="994" w:name="_Toc401089884"/>
      <w:bookmarkStart w:id="995" w:name="_Toc405371156"/>
      <w:bookmarkStart w:id="996" w:name="_Toc405898061"/>
      <w:bookmarkStart w:id="997" w:name="_Toc405975442"/>
      <w:r>
        <w:rPr>
          <w:rStyle w:val="CharPartNo"/>
        </w:rPr>
        <w:t>Part 2</w:t>
      </w:r>
      <w:r>
        <w:rPr>
          <w:rStyle w:val="CharDivNo"/>
        </w:rPr>
        <w:t> </w:t>
      </w:r>
      <w:r>
        <w:t>—</w:t>
      </w:r>
      <w:r>
        <w:rPr>
          <w:rStyle w:val="CharDivText"/>
        </w:rPr>
        <w:t> </w:t>
      </w:r>
      <w:r>
        <w:rPr>
          <w:rStyle w:val="CharPartText"/>
          <w:i/>
        </w:rPr>
        <w:t>Corruption and Crime Commission Act 2003</w:t>
      </w:r>
      <w:r>
        <w:rPr>
          <w:rStyle w:val="CharPartText"/>
        </w:rPr>
        <w:t xml:space="preserve"> amended</w:t>
      </w:r>
      <w:bookmarkEnd w:id="993"/>
      <w:bookmarkEnd w:id="994"/>
      <w:bookmarkEnd w:id="995"/>
      <w:bookmarkEnd w:id="996"/>
      <w:bookmarkEnd w:id="997"/>
    </w:p>
    <w:p>
      <w:pPr>
        <w:pStyle w:val="nzHeading5"/>
        <w:rPr>
          <w:snapToGrid w:val="0"/>
        </w:rPr>
      </w:pPr>
      <w:bookmarkStart w:id="998" w:name="_Toc405898062"/>
      <w:bookmarkStart w:id="999" w:name="_Toc405975443"/>
      <w:r>
        <w:rPr>
          <w:rStyle w:val="CharSectno"/>
        </w:rPr>
        <w:t>3</w:t>
      </w:r>
      <w:r>
        <w:rPr>
          <w:snapToGrid w:val="0"/>
        </w:rPr>
        <w:t>.</w:t>
      </w:r>
      <w:r>
        <w:rPr>
          <w:snapToGrid w:val="0"/>
        </w:rPr>
        <w:tab/>
        <w:t>Act amended</w:t>
      </w:r>
      <w:bookmarkEnd w:id="998"/>
      <w:bookmarkEnd w:id="999"/>
    </w:p>
    <w:p>
      <w:pPr>
        <w:pStyle w:val="nzSubsection"/>
      </w:pPr>
      <w:r>
        <w:tab/>
      </w:r>
      <w:r>
        <w:tab/>
        <w:t xml:space="preserve">This Part amends the </w:t>
      </w:r>
      <w:r>
        <w:rPr>
          <w:i/>
        </w:rPr>
        <w:t>Corruption and Crime Commission Act 2003</w:t>
      </w:r>
      <w:r>
        <w:t>.</w:t>
      </w:r>
    </w:p>
    <w:p>
      <w:pPr>
        <w:pStyle w:val="nzHeading5"/>
      </w:pPr>
      <w:bookmarkStart w:id="1000" w:name="_Toc405898063"/>
      <w:bookmarkStart w:id="1001" w:name="_Toc405975444"/>
      <w:r>
        <w:rPr>
          <w:rStyle w:val="CharSectno"/>
        </w:rPr>
        <w:t>4</w:t>
      </w:r>
      <w:r>
        <w:t>.</w:t>
      </w:r>
      <w:r>
        <w:tab/>
        <w:t>Long title amended</w:t>
      </w:r>
      <w:bookmarkEnd w:id="1000"/>
      <w:bookmarkEnd w:id="1001"/>
    </w:p>
    <w:p>
      <w:pPr>
        <w:pStyle w:val="nzSubsection"/>
      </w:pPr>
      <w:r>
        <w:tab/>
      </w:r>
      <w:r>
        <w:tab/>
        <w:t>In the long title:</w:t>
      </w:r>
    </w:p>
    <w:p>
      <w:pPr>
        <w:pStyle w:val="nzIndenta"/>
      </w:pPr>
      <w:r>
        <w:tab/>
        <w:t>(a)</w:t>
      </w:r>
      <w:r>
        <w:tab/>
        <w:t>in the 1</w:t>
      </w:r>
      <w:r>
        <w:rPr>
          <w:vertAlign w:val="superscript"/>
        </w:rPr>
        <w:t>st</w:t>
      </w:r>
      <w:r>
        <w:t xml:space="preserve"> bullet point delete “</w:t>
      </w:r>
      <w:r>
        <w:rPr>
          <w:b/>
        </w:rPr>
        <w:t>Commission; and</w:t>
      </w:r>
      <w:r>
        <w:t>” and insert:</w:t>
      </w:r>
    </w:p>
    <w:p>
      <w:pPr>
        <w:pStyle w:val="BlankOpen"/>
      </w:pPr>
    </w:p>
    <w:p>
      <w:pPr>
        <w:pStyle w:val="nzIndenta"/>
      </w:pPr>
      <w:r>
        <w:tab/>
      </w:r>
      <w:r>
        <w:tab/>
      </w:r>
      <w:r>
        <w:rPr>
          <w:b/>
        </w:rPr>
        <w:t>Commission with functions with respect to serious misconduct by public officers and organised crime; and</w:t>
      </w:r>
    </w:p>
    <w:p>
      <w:pPr>
        <w:pStyle w:val="BlankClose"/>
      </w:pPr>
    </w:p>
    <w:p>
      <w:pPr>
        <w:pStyle w:val="nzIndenta"/>
      </w:pPr>
      <w:r>
        <w:tab/>
        <w:t>(b)</w:t>
      </w:r>
      <w:r>
        <w:tab/>
        <w:t>after the 1</w:t>
      </w:r>
      <w:r>
        <w:rPr>
          <w:vertAlign w:val="superscript"/>
        </w:rPr>
        <w:t>st</w:t>
      </w:r>
      <w:r>
        <w:t xml:space="preserve"> bullet point insert:</w:t>
      </w:r>
    </w:p>
    <w:p>
      <w:pPr>
        <w:pStyle w:val="BlankOpen"/>
      </w:pPr>
    </w:p>
    <w:p>
      <w:pPr>
        <w:pStyle w:val="zLongTitle"/>
        <w:numPr>
          <w:ilvl w:val="0"/>
          <w:numId w:val="32"/>
        </w:numPr>
        <w:ind w:left="1281" w:hanging="357"/>
      </w:pPr>
      <w:r>
        <w:t>confer on the Public Sector Commissioner functions with respect to misconduct by public officers; and</w:t>
      </w:r>
    </w:p>
    <w:p>
      <w:pPr>
        <w:pStyle w:val="BlankClose"/>
      </w:pPr>
    </w:p>
    <w:p>
      <w:pPr>
        <w:pStyle w:val="nzIndenta"/>
      </w:pPr>
      <w:r>
        <w:tab/>
        <w:t>(c)</w:t>
      </w:r>
      <w:r>
        <w:tab/>
        <w:t>in the 2</w:t>
      </w:r>
      <w:r>
        <w:rPr>
          <w:vertAlign w:val="superscript"/>
        </w:rPr>
        <w:t>nd</w:t>
      </w:r>
      <w:r>
        <w:t xml:space="preserve"> bullet point delete “</w:t>
      </w:r>
      <w:r>
        <w:rPr>
          <w:b/>
        </w:rPr>
        <w:t>Commission; and</w:t>
      </w:r>
      <w:r>
        <w:t>” and insert:</w:t>
      </w:r>
    </w:p>
    <w:p>
      <w:pPr>
        <w:pStyle w:val="BlankOpen"/>
      </w:pPr>
    </w:p>
    <w:p>
      <w:pPr>
        <w:pStyle w:val="nzIndenta"/>
      </w:pPr>
      <w:r>
        <w:tab/>
      </w:r>
      <w:r>
        <w:tab/>
      </w:r>
      <w:r>
        <w:rPr>
          <w:b/>
        </w:rPr>
        <w:t>Commission.</w:t>
      </w:r>
    </w:p>
    <w:p>
      <w:pPr>
        <w:pStyle w:val="BlankClose"/>
      </w:pPr>
    </w:p>
    <w:p>
      <w:pPr>
        <w:pStyle w:val="nzIndenta"/>
      </w:pPr>
      <w:r>
        <w:tab/>
        <w:t>(d)</w:t>
      </w:r>
      <w:r>
        <w:tab/>
        <w:t>delete the last bullet point.</w:t>
      </w:r>
    </w:p>
    <w:p>
      <w:pPr>
        <w:pStyle w:val="nzHeading5"/>
      </w:pPr>
      <w:bookmarkStart w:id="1002" w:name="_Toc405898064"/>
      <w:bookmarkStart w:id="1003" w:name="_Toc405975445"/>
      <w:r>
        <w:rPr>
          <w:rStyle w:val="CharSectno"/>
        </w:rPr>
        <w:t>5</w:t>
      </w:r>
      <w:r>
        <w:t>.</w:t>
      </w:r>
      <w:r>
        <w:tab/>
        <w:t>Section 1 amended</w:t>
      </w:r>
      <w:bookmarkEnd w:id="1002"/>
      <w:bookmarkEnd w:id="1003"/>
    </w:p>
    <w:p>
      <w:pPr>
        <w:pStyle w:val="nzSubsection"/>
      </w:pPr>
      <w:r>
        <w:tab/>
      </w:r>
      <w:r>
        <w:tab/>
        <w:t>In section 1 delete “</w:t>
      </w:r>
      <w:r>
        <w:rPr>
          <w:i/>
        </w:rPr>
        <w:t>Corruption and Crime Commission Act 2003</w:t>
      </w:r>
      <w:r>
        <w:t>.” and insert:</w:t>
      </w:r>
    </w:p>
    <w:p>
      <w:pPr>
        <w:pStyle w:val="BlankOpen"/>
      </w:pPr>
    </w:p>
    <w:p>
      <w:pPr>
        <w:pStyle w:val="nzSubsection"/>
      </w:pPr>
      <w:r>
        <w:tab/>
      </w:r>
      <w:r>
        <w:tab/>
      </w:r>
      <w:r>
        <w:rPr>
          <w:i/>
        </w:rPr>
        <w:t>Corruption, Crime and Misconduct Act 2003</w:t>
      </w:r>
      <w:r>
        <w:t>.</w:t>
      </w:r>
    </w:p>
    <w:p>
      <w:pPr>
        <w:pStyle w:val="BlankClose"/>
      </w:pPr>
    </w:p>
    <w:p>
      <w:pPr>
        <w:pStyle w:val="nzHeading5"/>
      </w:pPr>
      <w:bookmarkStart w:id="1004" w:name="_Toc405898065"/>
      <w:bookmarkStart w:id="1005" w:name="_Toc405975446"/>
      <w:r>
        <w:rPr>
          <w:rStyle w:val="CharSectno"/>
        </w:rPr>
        <w:t>6</w:t>
      </w:r>
      <w:r>
        <w:t>.</w:t>
      </w:r>
      <w:r>
        <w:tab/>
        <w:t>Section 3 amended</w:t>
      </w:r>
      <w:bookmarkEnd w:id="1004"/>
      <w:bookmarkEnd w:id="1005"/>
    </w:p>
    <w:p>
      <w:pPr>
        <w:pStyle w:val="nzSubsection"/>
      </w:pPr>
      <w:r>
        <w:tab/>
        <w:t>(1)</w:t>
      </w:r>
      <w:r>
        <w:tab/>
        <w:t>In section 3(1) delete the definitions of:</w:t>
      </w:r>
    </w:p>
    <w:p>
      <w:pPr>
        <w:pStyle w:val="DeleteListSub"/>
        <w:rPr>
          <w:b/>
          <w:i/>
        </w:rPr>
      </w:pPr>
      <w:r>
        <w:rPr>
          <w:b/>
          <w:i/>
        </w:rPr>
        <w:t>allegation</w:t>
      </w:r>
    </w:p>
    <w:p>
      <w:pPr>
        <w:pStyle w:val="DeleteListSub"/>
        <w:rPr>
          <w:b/>
          <w:i/>
        </w:rPr>
      </w:pPr>
      <w:r>
        <w:rPr>
          <w:b/>
          <w:i/>
        </w:rPr>
        <w:t>investigation</w:t>
      </w:r>
    </w:p>
    <w:p>
      <w:pPr>
        <w:pStyle w:val="DeleteListSub"/>
        <w:rPr>
          <w:b/>
          <w:i/>
        </w:rPr>
      </w:pPr>
      <w:r>
        <w:rPr>
          <w:b/>
          <w:i/>
        </w:rPr>
        <w:t>serious misconduct</w:t>
      </w:r>
    </w:p>
    <w:p>
      <w:pPr>
        <w:pStyle w:val="nzSubsection"/>
      </w:pPr>
      <w:r>
        <w:tab/>
        <w:t>(2)</w:t>
      </w:r>
      <w:r>
        <w:tab/>
        <w:t>In section 3(1) insert in alphabetical order:</w:t>
      </w:r>
    </w:p>
    <w:p>
      <w:pPr>
        <w:pStyle w:val="BlankOpen"/>
      </w:pPr>
    </w:p>
    <w:p>
      <w:pPr>
        <w:pStyle w:val="nzDefstart"/>
      </w:pPr>
      <w:r>
        <w:tab/>
      </w:r>
      <w:r>
        <w:rPr>
          <w:rStyle w:val="CharDefText"/>
        </w:rPr>
        <w:t>allegation</w:t>
      </w:r>
      <w:r>
        <w:t xml:space="preserve"> means — </w:t>
      </w:r>
    </w:p>
    <w:p>
      <w:pPr>
        <w:pStyle w:val="nzDefpara"/>
      </w:pPr>
      <w:r>
        <w:tab/>
        <w:t>(a)</w:t>
      </w:r>
      <w:r>
        <w:tab/>
        <w:t>a report made to the Commission under section 25; or</w:t>
      </w:r>
    </w:p>
    <w:p>
      <w:pPr>
        <w:pStyle w:val="nzDefpara"/>
      </w:pPr>
      <w:r>
        <w:tab/>
        <w:t>(b)</w:t>
      </w:r>
      <w:r>
        <w:tab/>
        <w:t>a proposition initiated by the Commission under section 26(1); or</w:t>
      </w:r>
    </w:p>
    <w:p>
      <w:pPr>
        <w:pStyle w:val="nzDefpara"/>
      </w:pPr>
      <w:r>
        <w:tab/>
        <w:t>(c)</w:t>
      </w:r>
      <w:r>
        <w:tab/>
        <w:t>a matter notified to the Commission under section 28(2); or</w:t>
      </w:r>
    </w:p>
    <w:p>
      <w:pPr>
        <w:pStyle w:val="nzDefpara"/>
      </w:pPr>
      <w:r>
        <w:tab/>
        <w:t>(d)</w:t>
      </w:r>
      <w:r>
        <w:tab/>
        <w:t>an allegation referred to the Commission under section 45M(d); or</w:t>
      </w:r>
    </w:p>
    <w:p>
      <w:pPr>
        <w:pStyle w:val="nzDefpara"/>
      </w:pPr>
      <w:r>
        <w:tab/>
        <w:t>(e)</w:t>
      </w:r>
      <w:r>
        <w:tab/>
        <w:t>a received matter; or</w:t>
      </w:r>
    </w:p>
    <w:p>
      <w:pPr>
        <w:pStyle w:val="nzDefpara"/>
      </w:pPr>
      <w:r>
        <w:tab/>
        <w:t>(f)</w:t>
      </w:r>
      <w:r>
        <w:tab/>
        <w:t>a report made to the Public Sector Commissioner under section 45E(1); or</w:t>
      </w:r>
    </w:p>
    <w:p>
      <w:pPr>
        <w:pStyle w:val="nzDefpara"/>
      </w:pPr>
      <w:r>
        <w:tab/>
        <w:t>(g)</w:t>
      </w:r>
      <w:r>
        <w:tab/>
        <w:t>a proposition initiated by the Public Sector Commissioner under section 45F(1); or</w:t>
      </w:r>
    </w:p>
    <w:p>
      <w:pPr>
        <w:pStyle w:val="nzDefpara"/>
      </w:pPr>
      <w:r>
        <w:tab/>
        <w:t>(h)</w:t>
      </w:r>
      <w:r>
        <w:tab/>
        <w:t>a matter notified to the Public Sector Commissioner under section 45H(2);</w:t>
      </w:r>
    </w:p>
    <w:p>
      <w:pPr>
        <w:pStyle w:val="nzDefstart"/>
      </w:pPr>
      <w:r>
        <w:tab/>
      </w:r>
      <w:r>
        <w:rPr>
          <w:rStyle w:val="CharDefText"/>
        </w:rPr>
        <w:t xml:space="preserve">employee of the Police Department </w:t>
      </w:r>
      <w:r>
        <w:t xml:space="preserve">includes an Aboriginal police liaison officer, a police auxiliary officer and a police cadet under the </w:t>
      </w:r>
      <w:r>
        <w:rPr>
          <w:i/>
        </w:rPr>
        <w:t>Police Act 1892</w:t>
      </w:r>
      <w:r>
        <w:t>;</w:t>
      </w:r>
    </w:p>
    <w:p>
      <w:pPr>
        <w:pStyle w:val="nzDefstart"/>
      </w:pPr>
      <w:r>
        <w:tab/>
      </w:r>
      <w:r>
        <w:rPr>
          <w:rStyle w:val="CharDefText"/>
        </w:rPr>
        <w:t>investigation</w:t>
      </w:r>
      <w:r>
        <w:t xml:space="preserve"> means an investigation by the Commission, whether alone or in cooperation with another body, under Part 3 (including a preliminary investigation conducted under section 32(2));</w:t>
      </w:r>
    </w:p>
    <w:p>
      <w:pPr>
        <w:pStyle w:val="nzDefstart"/>
      </w:pPr>
      <w:r>
        <w:tab/>
      </w:r>
      <w:r>
        <w:rPr>
          <w:rStyle w:val="CharDefText"/>
        </w:rPr>
        <w:t>minor misconduct</w:t>
      </w:r>
      <w:r>
        <w:t xml:space="preserve"> means misconduct of a kind described in section 4(d) that is not any of the following — </w:t>
      </w:r>
    </w:p>
    <w:p>
      <w:pPr>
        <w:pStyle w:val="nzDefpara"/>
      </w:pPr>
      <w:r>
        <w:tab/>
        <w:t>(a)</w:t>
      </w:r>
      <w:r>
        <w:tab/>
        <w:t>police misconduct;</w:t>
      </w:r>
    </w:p>
    <w:p>
      <w:pPr>
        <w:pStyle w:val="nzDefpara"/>
      </w:pPr>
      <w:r>
        <w:tab/>
        <w:t>(b)</w:t>
      </w:r>
      <w:r>
        <w:tab/>
        <w:t>conduct engaged in by a member of a House of Parliament or the Clerk of a House of Parliament;</w:t>
      </w:r>
    </w:p>
    <w:p>
      <w:pPr>
        <w:pStyle w:val="nzDefpara"/>
      </w:pPr>
      <w:r>
        <w:tab/>
        <w:t>(c)</w:t>
      </w:r>
      <w:r>
        <w:tab/>
        <w:t>conduct engaged in by a member of a local government or council of a local government;</w:t>
      </w:r>
    </w:p>
    <w:p>
      <w:pPr>
        <w:pStyle w:val="nzDefstart"/>
      </w:pPr>
      <w:r>
        <w:tab/>
      </w:r>
      <w:r>
        <w:rPr>
          <w:rStyle w:val="CharDefText"/>
        </w:rPr>
        <w:t>officer of the Public Sector Commissioner</w:t>
      </w:r>
      <w:r>
        <w:t xml:space="preserve"> means a public service officer employed in, or seconded to, the office of the Public Sector Commissioner;</w:t>
      </w:r>
    </w:p>
    <w:p>
      <w:pPr>
        <w:pStyle w:val="nz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nzDefstart"/>
      </w:pPr>
      <w:r>
        <w:tab/>
      </w:r>
      <w:r>
        <w:rPr>
          <w:rStyle w:val="CharDefText"/>
        </w:rPr>
        <w:t>police misconduct</w:t>
      </w:r>
      <w:r>
        <w:t xml:space="preserve"> means — </w:t>
      </w:r>
    </w:p>
    <w:p>
      <w:pPr>
        <w:pStyle w:val="nzDefpara"/>
      </w:pPr>
      <w:r>
        <w:tab/>
        <w:t>(a)</w:t>
      </w:r>
      <w:r>
        <w:tab/>
        <w:t xml:space="preserve">misconduct by — </w:t>
      </w:r>
    </w:p>
    <w:p>
      <w:pPr>
        <w:pStyle w:val="nzDefsubpara"/>
      </w:pPr>
      <w:r>
        <w:tab/>
        <w:t>(i)</w:t>
      </w:r>
      <w:r>
        <w:tab/>
        <w:t>a member of the Police Force; or</w:t>
      </w:r>
    </w:p>
    <w:p>
      <w:pPr>
        <w:pStyle w:val="nzDefsubpara"/>
      </w:pPr>
      <w:r>
        <w:tab/>
        <w:t>(ii)</w:t>
      </w:r>
      <w:r>
        <w:tab/>
        <w:t>an employee of the Police Department; or</w:t>
      </w:r>
    </w:p>
    <w:p>
      <w:pPr>
        <w:pStyle w:val="nzDefsubpara"/>
      </w:pPr>
      <w:r>
        <w:tab/>
        <w:t>(iii)</w:t>
      </w:r>
      <w:r>
        <w:tab/>
        <w:t>a person seconded to perform functions and services for, or duties in the service of, the Police Department;</w:t>
      </w:r>
    </w:p>
    <w:p>
      <w:pPr>
        <w:pStyle w:val="nzDefpara"/>
      </w:pPr>
      <w:r>
        <w:tab/>
      </w:r>
      <w:r>
        <w:tab/>
        <w:t>or</w:t>
      </w:r>
    </w:p>
    <w:p>
      <w:pPr>
        <w:pStyle w:val="nzDefpara"/>
      </w:pPr>
      <w:r>
        <w:tab/>
        <w:t>(b)</w:t>
      </w:r>
      <w:r>
        <w:tab/>
        <w:t>reviewable police action;</w:t>
      </w:r>
    </w:p>
    <w:p>
      <w:pPr>
        <w:pStyle w:val="nzDefstart"/>
      </w:pPr>
      <w:r>
        <w:tab/>
      </w:r>
      <w:r>
        <w:rPr>
          <w:rStyle w:val="CharDefText"/>
        </w:rPr>
        <w:t>police service</w:t>
      </w:r>
      <w:r>
        <w:t xml:space="preserve"> means the organisation consisting of — </w:t>
      </w:r>
    </w:p>
    <w:p>
      <w:pPr>
        <w:pStyle w:val="nzDefpara"/>
      </w:pPr>
      <w:r>
        <w:tab/>
        <w:t>(a)</w:t>
      </w:r>
      <w:r>
        <w:tab/>
        <w:t>members of the Police Force; and</w:t>
      </w:r>
    </w:p>
    <w:p>
      <w:pPr>
        <w:pStyle w:val="nzDefpara"/>
      </w:pPr>
      <w:r>
        <w:tab/>
        <w:t>(b)</w:t>
      </w:r>
      <w:r>
        <w:tab/>
        <w:t>employees of the Police Department; and</w:t>
      </w:r>
    </w:p>
    <w:p>
      <w:pPr>
        <w:pStyle w:val="nzDefpara"/>
      </w:pPr>
      <w:r>
        <w:tab/>
        <w:t>(c)</w:t>
      </w:r>
      <w:r>
        <w:tab/>
        <w:t>persons seconded to perform functions and services for, or duties in the service of, the Police Department;</w:t>
      </w:r>
    </w:p>
    <w:p>
      <w:pPr>
        <w:pStyle w:val="nzDefstart"/>
      </w:pPr>
      <w:r>
        <w:tab/>
      </w:r>
      <w:r>
        <w:rPr>
          <w:rStyle w:val="CharDefText"/>
        </w:rPr>
        <w:t>serious misconduct</w:t>
      </w:r>
      <w:r>
        <w:t xml:space="preserve"> means — </w:t>
      </w:r>
    </w:p>
    <w:p>
      <w:pPr>
        <w:pStyle w:val="nzDefpara"/>
      </w:pPr>
      <w:r>
        <w:tab/>
        <w:t>(a)</w:t>
      </w:r>
      <w:r>
        <w:tab/>
        <w:t>misconduct of a kind described in section 4(a), (b) or (c) by a public officer; or</w:t>
      </w:r>
    </w:p>
    <w:p>
      <w:pPr>
        <w:pStyle w:val="nzDefpara"/>
      </w:pPr>
      <w:r>
        <w:tab/>
        <w:t>(b)</w:t>
      </w:r>
      <w:r>
        <w:tab/>
        <w:t>police misconduct;</w:t>
      </w:r>
    </w:p>
    <w:p>
      <w:pPr>
        <w:pStyle w:val="BlankClose"/>
      </w:pPr>
    </w:p>
    <w:p>
      <w:pPr>
        <w:pStyle w:val="nzSubsection"/>
      </w:pPr>
      <w:r>
        <w:tab/>
        <w:t>(3)</w:t>
      </w:r>
      <w:r>
        <w:tab/>
        <w:t xml:space="preserve">In section 3(1) in the definition of </w:t>
      </w:r>
      <w:r>
        <w:rPr>
          <w:b/>
          <w:i/>
        </w:rPr>
        <w:t>appropriate authority</w:t>
      </w:r>
      <w:r>
        <w:t xml:space="preserve"> after “does not include” insert:</w:t>
      </w:r>
    </w:p>
    <w:p>
      <w:pPr>
        <w:pStyle w:val="BlankOpen"/>
      </w:pPr>
    </w:p>
    <w:p>
      <w:pPr>
        <w:pStyle w:val="nzSubsection"/>
      </w:pPr>
      <w:r>
        <w:tab/>
      </w:r>
      <w:r>
        <w:tab/>
        <w:t>the Commission,</w:t>
      </w:r>
    </w:p>
    <w:p>
      <w:pPr>
        <w:pStyle w:val="BlankClose"/>
      </w:pPr>
    </w:p>
    <w:p>
      <w:pPr>
        <w:pStyle w:val="nzSubsection"/>
      </w:pPr>
      <w:r>
        <w:tab/>
        <w:t>(4)</w:t>
      </w:r>
      <w:r>
        <w:tab/>
        <w:t xml:space="preserve">In section 3(1) in the definition of </w:t>
      </w:r>
      <w:r>
        <w:rPr>
          <w:b/>
          <w:i/>
        </w:rPr>
        <w:t>reviewable police action</w:t>
      </w:r>
      <w:r>
        <w:t xml:space="preserve"> delete “a police officer or an employee of the Police Service of the Public Service,” and insert:</w:t>
      </w:r>
    </w:p>
    <w:p>
      <w:pPr>
        <w:pStyle w:val="BlankOpen"/>
      </w:pPr>
    </w:p>
    <w:p>
      <w:pPr>
        <w:pStyle w:val="nzSubsection"/>
      </w:pPr>
      <w:r>
        <w:tab/>
      </w:r>
      <w:r>
        <w:tab/>
        <w:t xml:space="preserve">a member of the Police Force, an employee of the Police Department or a person seconded to perform functions and services for, or duties in the service of, the Police Department </w:t>
      </w:r>
    </w:p>
    <w:p>
      <w:pPr>
        <w:pStyle w:val="BlankClose"/>
      </w:pPr>
    </w:p>
    <w:p>
      <w:pPr>
        <w:pStyle w:val="nzSubsection"/>
      </w:pPr>
      <w:r>
        <w:tab/>
        <w:t>(5)</w:t>
      </w:r>
      <w:r>
        <w:tab/>
        <w:t>In section 3(2) delete “exclusively by a House of Parliament, unless that House so resolves.” and insert:</w:t>
      </w:r>
    </w:p>
    <w:p>
      <w:pPr>
        <w:pStyle w:val="BlankOpen"/>
      </w:pPr>
    </w:p>
    <w:p>
      <w:pPr>
        <w:pStyle w:val="nzSubsection"/>
      </w:pPr>
      <w:r>
        <w:tab/>
      </w:r>
      <w:r>
        <w:tab/>
        <w:t>by a House of Parliament.</w:t>
      </w:r>
    </w:p>
    <w:p>
      <w:pPr>
        <w:pStyle w:val="BlankClose"/>
      </w:pPr>
    </w:p>
    <w:p>
      <w:pPr>
        <w:pStyle w:val="nzHeading5"/>
      </w:pPr>
      <w:bookmarkStart w:id="1006" w:name="_Toc405898066"/>
      <w:bookmarkStart w:id="1007" w:name="_Toc405975447"/>
      <w:r>
        <w:rPr>
          <w:rStyle w:val="CharSectno"/>
        </w:rPr>
        <w:t>7</w:t>
      </w:r>
      <w:r>
        <w:t>.</w:t>
      </w:r>
      <w:r>
        <w:tab/>
        <w:t>Section 4 amended</w:t>
      </w:r>
      <w:bookmarkEnd w:id="1006"/>
      <w:bookmarkEnd w:id="1007"/>
    </w:p>
    <w:p>
      <w:pPr>
        <w:pStyle w:val="nzSubsection"/>
      </w:pPr>
      <w:r>
        <w:tab/>
      </w:r>
      <w:r>
        <w:tab/>
        <w:t>Delete section 4(d)(v).</w:t>
      </w:r>
    </w:p>
    <w:p>
      <w:pPr>
        <w:pStyle w:val="nzHeading5"/>
      </w:pPr>
      <w:bookmarkStart w:id="1008" w:name="_Toc405898067"/>
      <w:bookmarkStart w:id="1009" w:name="_Toc405975448"/>
      <w:r>
        <w:rPr>
          <w:rStyle w:val="CharSectno"/>
        </w:rPr>
        <w:t>8</w:t>
      </w:r>
      <w:r>
        <w:t>.</w:t>
      </w:r>
      <w:r>
        <w:tab/>
        <w:t>Section 7B amended</w:t>
      </w:r>
      <w:bookmarkEnd w:id="1008"/>
      <w:bookmarkEnd w:id="1009"/>
    </w:p>
    <w:p>
      <w:pPr>
        <w:pStyle w:val="nzSubsection"/>
      </w:pPr>
      <w:r>
        <w:tab/>
      </w:r>
      <w:r>
        <w:tab/>
        <w:t>Delete section 7B(3) and insert:</w:t>
      </w:r>
    </w:p>
    <w:p>
      <w:pPr>
        <w:pStyle w:val="BlankOpen"/>
      </w:pPr>
    </w:p>
    <w:p>
      <w:pPr>
        <w:pStyle w:val="nzSubsection"/>
      </w:pPr>
      <w:r>
        <w:tab/>
        <w:t>(3)</w:t>
      </w:r>
      <w:r>
        <w:tab/>
        <w:t>The Act’s purpose in relation to misconduct is to be achieved by conferring functions on the Commission and on the Public Sector Commissioner.</w:t>
      </w:r>
    </w:p>
    <w:p>
      <w:pPr>
        <w:pStyle w:val="nzSubsection"/>
      </w:pPr>
      <w:r>
        <w:tab/>
        <w:t>(4)</w:t>
      </w:r>
      <w:r>
        <w:tab/>
        <w:t>The Commission is to be able to investigate cases of serious misconduct.</w:t>
      </w:r>
    </w:p>
    <w:p>
      <w:pPr>
        <w:pStyle w:val="nzSubsection"/>
      </w:pPr>
      <w:r>
        <w:tab/>
        <w:t>(5)</w:t>
      </w:r>
      <w:r>
        <w:tab/>
        <w:t>The Public Sector Commissioner is to be able to investigate cases of minor misconduct.</w:t>
      </w:r>
    </w:p>
    <w:p>
      <w:pPr>
        <w:pStyle w:val="nzSubsection"/>
      </w:pPr>
      <w:r>
        <w:tab/>
        <w:t>(6)</w:t>
      </w:r>
      <w:r>
        <w:tab/>
        <w:t>The Commission and the Public Sector Commissioner are to help public authorities to prevent, and to identify and deal effectively and appropriately with, misconduct.</w:t>
      </w:r>
    </w:p>
    <w:p>
      <w:pPr>
        <w:pStyle w:val="BlankClose"/>
      </w:pPr>
    </w:p>
    <w:p>
      <w:pPr>
        <w:pStyle w:val="nzHeading5"/>
      </w:pPr>
      <w:bookmarkStart w:id="1010" w:name="_Toc405898068"/>
      <w:bookmarkStart w:id="1011" w:name="_Toc405975449"/>
      <w:r>
        <w:rPr>
          <w:rStyle w:val="CharSectno"/>
        </w:rPr>
        <w:t>9</w:t>
      </w:r>
      <w:r>
        <w:t>.</w:t>
      </w:r>
      <w:r>
        <w:tab/>
        <w:t>Section 17 deleted</w:t>
      </w:r>
      <w:bookmarkEnd w:id="1010"/>
      <w:bookmarkEnd w:id="1011"/>
    </w:p>
    <w:p>
      <w:pPr>
        <w:pStyle w:val="nzSubsection"/>
      </w:pPr>
      <w:r>
        <w:tab/>
      </w:r>
      <w:r>
        <w:tab/>
        <w:t>Delete section 17.</w:t>
      </w:r>
    </w:p>
    <w:p>
      <w:pPr>
        <w:pStyle w:val="nzHeading5"/>
      </w:pPr>
      <w:bookmarkStart w:id="1012" w:name="_Toc405898069"/>
      <w:bookmarkStart w:id="1013" w:name="_Toc405975450"/>
      <w:r>
        <w:rPr>
          <w:rStyle w:val="CharSectno"/>
        </w:rPr>
        <w:t>10</w:t>
      </w:r>
      <w:r>
        <w:t>.</w:t>
      </w:r>
      <w:r>
        <w:tab/>
        <w:t>Section 18 amended</w:t>
      </w:r>
      <w:bookmarkEnd w:id="1012"/>
      <w:bookmarkEnd w:id="1013"/>
    </w:p>
    <w:p>
      <w:pPr>
        <w:pStyle w:val="nzSubsection"/>
      </w:pPr>
      <w:r>
        <w:tab/>
        <w:t>(1)</w:t>
      </w:r>
      <w:r>
        <w:tab/>
        <w:t>In section 18(1):</w:t>
      </w:r>
    </w:p>
    <w:p>
      <w:pPr>
        <w:pStyle w:val="nzIndenta"/>
      </w:pPr>
      <w:r>
        <w:tab/>
        <w:t>(a)</w:t>
      </w:r>
      <w:r>
        <w:tab/>
        <w:t xml:space="preserve">delete “(the </w:t>
      </w:r>
      <w:r>
        <w:rPr>
          <w:b/>
          <w:i/>
        </w:rPr>
        <w:t>misconduct function</w:t>
      </w:r>
      <w:r>
        <w:t>)” and insert:</w:t>
      </w:r>
    </w:p>
    <w:p>
      <w:pPr>
        <w:pStyle w:val="BlankOpen"/>
      </w:pPr>
    </w:p>
    <w:p>
      <w:pPr>
        <w:pStyle w:val="nzIndenta"/>
      </w:pPr>
      <w:r>
        <w:tab/>
      </w:r>
      <w:r>
        <w:tab/>
        <w:t xml:space="preserve">(the </w:t>
      </w:r>
      <w:r>
        <w:rPr>
          <w:rStyle w:val="CharDefText"/>
        </w:rPr>
        <w:t>serious misconduct function</w:t>
      </w:r>
      <w:r>
        <w:t>)</w:t>
      </w:r>
    </w:p>
    <w:p>
      <w:pPr>
        <w:pStyle w:val="BlankClose"/>
      </w:pPr>
    </w:p>
    <w:p>
      <w:pPr>
        <w:pStyle w:val="nzIndenta"/>
      </w:pPr>
      <w:r>
        <w:tab/>
        <w:t>(b)</w:t>
      </w:r>
      <w:r>
        <w:tab/>
        <w:t>delete “misconduct” and insert:</w:t>
      </w:r>
    </w:p>
    <w:p>
      <w:pPr>
        <w:pStyle w:val="BlankOpen"/>
      </w:pPr>
    </w:p>
    <w:p>
      <w:pPr>
        <w:pStyle w:val="nzIndenta"/>
      </w:pPr>
      <w:r>
        <w:tab/>
      </w:r>
      <w:r>
        <w:tab/>
        <w:t>serious misconduct</w:t>
      </w:r>
    </w:p>
    <w:p>
      <w:pPr>
        <w:pStyle w:val="BlankClose"/>
      </w:pPr>
    </w:p>
    <w:p>
      <w:pPr>
        <w:pStyle w:val="nzSubsection"/>
      </w:pPr>
      <w:r>
        <w:tab/>
        <w:t>(2)</w:t>
      </w:r>
      <w:r>
        <w:tab/>
        <w:t>After section 18(3) insert:</w:t>
      </w:r>
    </w:p>
    <w:p>
      <w:pPr>
        <w:pStyle w:val="BlankOpen"/>
      </w:pPr>
    </w:p>
    <w:p>
      <w:pPr>
        <w:pStyle w:val="nzSubsection"/>
      </w:pPr>
      <w:r>
        <w:tab/>
        <w:t>(4)</w:t>
      </w:r>
      <w:r>
        <w:tab/>
        <w:t xml:space="preserve">As an aspect of the serious misconduct function, the Commission may help public authorities to prevent serious misconduct by doing the following — </w:t>
      </w:r>
    </w:p>
    <w:p>
      <w:pPr>
        <w:pStyle w:val="nzIndenta"/>
      </w:pPr>
      <w:r>
        <w:tab/>
        <w:t>(a)</w:t>
      </w:r>
      <w:r>
        <w:tab/>
        <w:t>analysing the information it gathers in performing the serious misconduct function, including the intelligence gathered in support of investigations into serious misconduct;</w:t>
      </w:r>
    </w:p>
    <w:p>
      <w:pPr>
        <w:pStyle w:val="nzIndenta"/>
      </w:pPr>
      <w:r>
        <w:tab/>
        <w:t>(b)</w:t>
      </w:r>
      <w:r>
        <w:tab/>
        <w:t>analysing systems used within public authorities to prevent serious misconduct;</w:t>
      </w:r>
    </w:p>
    <w:p>
      <w:pPr>
        <w:pStyle w:val="nzIndenta"/>
      </w:pPr>
      <w:r>
        <w:tab/>
        <w:t>(c)</w:t>
      </w:r>
      <w:r>
        <w:tab/>
        <w:t>providing information to, consulting with, and making recommendations to, public authorities about ways to prevent serious misconduct;</w:t>
      </w:r>
    </w:p>
    <w:p>
      <w:pPr>
        <w:pStyle w:val="nzIndenta"/>
      </w:pPr>
      <w:r>
        <w:tab/>
        <w:t>(d)</w:t>
      </w:r>
      <w:r>
        <w:tab/>
        <w:t>generally increasing the capacity of public authorities to prevent serious misconduct by providing advice and training to those authorities and, if asked, to other entities;</w:t>
      </w:r>
    </w:p>
    <w:p>
      <w:pPr>
        <w:pStyle w:val="nzIndenta"/>
      </w:pPr>
      <w:r>
        <w:tab/>
        <w:t>(e)</w:t>
      </w:r>
      <w:r>
        <w:tab/>
        <w:t>reporting on ways to prevent and combat serious misconduct.</w:t>
      </w:r>
    </w:p>
    <w:p>
      <w:pPr>
        <w:pStyle w:val="BlankClose"/>
      </w:pPr>
    </w:p>
    <w:p>
      <w:pPr>
        <w:pStyle w:val="nzSubsection"/>
      </w:pPr>
      <w:r>
        <w:tab/>
        <w:t>(3)</w:t>
      </w:r>
      <w:r>
        <w:tab/>
        <w:t>In section 18 amend the provisions listed in the Table as set out in the Table.</w:t>
      </w:r>
    </w:p>
    <w:p>
      <w:pPr>
        <w:pStyle w:val="THeading"/>
        <w:tabs>
          <w:tab w:val="left" w:pos="2694"/>
        </w:tabs>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trPr>
        <w:tc>
          <w:tcPr>
            <w:tcW w:w="2268" w:type="dxa"/>
          </w:tcPr>
          <w:p>
            <w:pPr>
              <w:pStyle w:val="TableAm"/>
              <w:keepNext/>
              <w:tabs>
                <w:tab w:val="left" w:pos="2694"/>
              </w:tabs>
              <w:jc w:val="center"/>
              <w:rPr>
                <w:b/>
                <w:bCs/>
              </w:rPr>
            </w:pPr>
            <w:r>
              <w:rPr>
                <w:b/>
                <w:bCs/>
              </w:rPr>
              <w:t>Provision</w:t>
            </w:r>
          </w:p>
        </w:tc>
        <w:tc>
          <w:tcPr>
            <w:tcW w:w="2268" w:type="dxa"/>
          </w:tcPr>
          <w:p>
            <w:pPr>
              <w:pStyle w:val="TableAm"/>
              <w:keepNext/>
              <w:tabs>
                <w:tab w:val="left" w:pos="2694"/>
              </w:tabs>
              <w:jc w:val="center"/>
              <w:rPr>
                <w:b/>
                <w:bCs/>
              </w:rPr>
            </w:pPr>
            <w:r>
              <w:rPr>
                <w:b/>
                <w:bCs/>
              </w:rPr>
              <w:t>Delete</w:t>
            </w:r>
          </w:p>
        </w:tc>
        <w:tc>
          <w:tcPr>
            <w:tcW w:w="2268" w:type="dxa"/>
          </w:tcPr>
          <w:p>
            <w:pPr>
              <w:pStyle w:val="TableAm"/>
              <w:keepNext/>
              <w:tabs>
                <w:tab w:val="left" w:pos="2694"/>
              </w:tabs>
              <w:jc w:val="center"/>
              <w:rPr>
                <w:b/>
                <w:bCs/>
              </w:rPr>
            </w:pPr>
            <w:r>
              <w:rPr>
                <w:b/>
                <w:bCs/>
              </w:rPr>
              <w:t>Insert</w:t>
            </w:r>
          </w:p>
        </w:tc>
      </w:tr>
      <w:tr>
        <w:trPr>
          <w:cantSplit/>
          <w:jc w:val="center"/>
        </w:trPr>
        <w:tc>
          <w:tcPr>
            <w:tcW w:w="2268" w:type="dxa"/>
          </w:tcPr>
          <w:p>
            <w:pPr>
              <w:pStyle w:val="TableAm"/>
              <w:tabs>
                <w:tab w:val="left" w:pos="2694"/>
              </w:tabs>
            </w:pPr>
            <w:r>
              <w:t>s. 18(2)</w:t>
            </w:r>
          </w:p>
        </w:tc>
        <w:tc>
          <w:tcPr>
            <w:tcW w:w="2268" w:type="dxa"/>
          </w:tcPr>
          <w:p>
            <w:pPr>
              <w:pStyle w:val="TableAm"/>
              <w:tabs>
                <w:tab w:val="left" w:pos="2694"/>
              </w:tabs>
            </w:pPr>
            <w:r>
              <w:t>misconduct function</w:t>
            </w:r>
            <w:r>
              <w:br/>
              <w:t>(1</w:t>
            </w:r>
            <w:r>
              <w:rPr>
                <w:vertAlign w:val="superscript"/>
              </w:rPr>
              <w:t>st</w:t>
            </w:r>
            <w:r>
              <w:t xml:space="preserve"> occurrence)</w:t>
            </w:r>
          </w:p>
        </w:tc>
        <w:tc>
          <w:tcPr>
            <w:tcW w:w="2268" w:type="dxa"/>
          </w:tcPr>
          <w:p>
            <w:pPr>
              <w:pStyle w:val="TableAm"/>
              <w:tabs>
                <w:tab w:val="left" w:pos="2694"/>
              </w:tabs>
            </w:pPr>
            <w:r>
              <w:t>serious misconduct function</w:t>
            </w:r>
          </w:p>
        </w:tc>
      </w:tr>
      <w:tr>
        <w:trPr>
          <w:cantSplit/>
          <w:jc w:val="center"/>
        </w:trPr>
        <w:tc>
          <w:tcPr>
            <w:tcW w:w="2268" w:type="dxa"/>
          </w:tcPr>
          <w:p>
            <w:pPr>
              <w:pStyle w:val="TableAm"/>
              <w:tabs>
                <w:tab w:val="left" w:pos="2694"/>
              </w:tabs>
            </w:pPr>
            <w:r>
              <w:t>s. 18(2)(a), (b), (c) and (e)</w:t>
            </w:r>
          </w:p>
        </w:tc>
        <w:tc>
          <w:tcPr>
            <w:tcW w:w="2268" w:type="dxa"/>
          </w:tcPr>
          <w:p>
            <w:pPr>
              <w:pStyle w:val="TableAm"/>
              <w:tabs>
                <w:tab w:val="left" w:pos="2694"/>
              </w:tabs>
            </w:pPr>
            <w:r>
              <w:t xml:space="preserve">misconduct </w:t>
            </w:r>
            <w:r>
              <w:br/>
              <w:t>(each occurrence)</w:t>
            </w:r>
          </w:p>
        </w:tc>
        <w:tc>
          <w:tcPr>
            <w:tcW w:w="2268" w:type="dxa"/>
          </w:tcPr>
          <w:p>
            <w:pPr>
              <w:pStyle w:val="TableAm"/>
              <w:tabs>
                <w:tab w:val="left" w:pos="2694"/>
              </w:tabs>
            </w:pPr>
            <w:r>
              <w:t>serious misconduct</w:t>
            </w:r>
          </w:p>
        </w:tc>
      </w:tr>
      <w:tr>
        <w:trPr>
          <w:cantSplit/>
          <w:jc w:val="center"/>
        </w:trPr>
        <w:tc>
          <w:tcPr>
            <w:tcW w:w="2268" w:type="dxa"/>
          </w:tcPr>
          <w:p>
            <w:pPr>
              <w:pStyle w:val="TableAm"/>
              <w:tabs>
                <w:tab w:val="left" w:pos="2694"/>
              </w:tabs>
            </w:pPr>
            <w:r>
              <w:t>s. 18(2)(h)</w:t>
            </w:r>
          </w:p>
        </w:tc>
        <w:tc>
          <w:tcPr>
            <w:tcW w:w="2268" w:type="dxa"/>
          </w:tcPr>
          <w:p>
            <w:pPr>
              <w:pStyle w:val="TableAm"/>
              <w:tabs>
                <w:tab w:val="left" w:pos="2694"/>
              </w:tabs>
            </w:pPr>
            <w:r>
              <w:t>misconduct function</w:t>
            </w:r>
          </w:p>
        </w:tc>
        <w:tc>
          <w:tcPr>
            <w:tcW w:w="2268" w:type="dxa"/>
          </w:tcPr>
          <w:p>
            <w:pPr>
              <w:pStyle w:val="TableAm"/>
              <w:tabs>
                <w:tab w:val="left" w:pos="2694"/>
              </w:tabs>
            </w:pPr>
            <w:r>
              <w:t>serious misconduct function</w:t>
            </w:r>
          </w:p>
        </w:tc>
      </w:tr>
    </w:tbl>
    <w:p>
      <w:pPr>
        <w:pStyle w:val="nzNotesPerm"/>
      </w:pPr>
      <w:r>
        <w:tab/>
        <w:t>Note:</w:t>
      </w:r>
      <w:r>
        <w:tab/>
        <w:t>The heading to amended section 18 is to read:</w:t>
      </w:r>
    </w:p>
    <w:p>
      <w:pPr>
        <w:pStyle w:val="nzNotesPerm"/>
        <w:rPr>
          <w:b/>
          <w:bCs/>
        </w:rPr>
      </w:pPr>
      <w:r>
        <w:rPr>
          <w:b/>
          <w:bCs/>
        </w:rPr>
        <w:tab/>
      </w:r>
      <w:r>
        <w:rPr>
          <w:b/>
          <w:bCs/>
        </w:rPr>
        <w:tab/>
        <w:t>Serious misconduct function</w:t>
      </w:r>
    </w:p>
    <w:p>
      <w:pPr>
        <w:pStyle w:val="nzHeading5"/>
      </w:pPr>
      <w:bookmarkStart w:id="1014" w:name="_Toc405898070"/>
      <w:bookmarkStart w:id="1015" w:name="_Toc405975451"/>
      <w:r>
        <w:rPr>
          <w:rStyle w:val="CharSectno"/>
        </w:rPr>
        <w:t>11</w:t>
      </w:r>
      <w:r>
        <w:t>.</w:t>
      </w:r>
      <w:r>
        <w:tab/>
        <w:t>Section 21A amended</w:t>
      </w:r>
      <w:bookmarkEnd w:id="1014"/>
      <w:bookmarkEnd w:id="1015"/>
    </w:p>
    <w:p>
      <w:pPr>
        <w:pStyle w:val="nzSubsection"/>
      </w:pPr>
      <w:r>
        <w:tab/>
      </w:r>
      <w:r>
        <w:tab/>
        <w:t>After section 21A(2) insert:</w:t>
      </w:r>
    </w:p>
    <w:p>
      <w:pPr>
        <w:pStyle w:val="BlankOpen"/>
      </w:pPr>
    </w:p>
    <w:p>
      <w:pPr>
        <w:pStyle w:val="nzSubsection"/>
      </w:pPr>
      <w:r>
        <w:tab/>
        <w:t>(3)</w:t>
      </w:r>
      <w:r>
        <w:tab/>
        <w:t>This section does not limit the powers of the Commission under section 22 or 24 in relation to police misconduct.</w:t>
      </w:r>
    </w:p>
    <w:p>
      <w:pPr>
        <w:pStyle w:val="BlankClose"/>
      </w:pPr>
    </w:p>
    <w:p>
      <w:pPr>
        <w:pStyle w:val="nzHeading5"/>
      </w:pPr>
      <w:bookmarkStart w:id="1016" w:name="_Toc405898071"/>
      <w:bookmarkStart w:id="1017" w:name="_Toc405975452"/>
      <w:r>
        <w:rPr>
          <w:rStyle w:val="CharSectno"/>
        </w:rPr>
        <w:t>12</w:t>
      </w:r>
      <w:r>
        <w:t>.</w:t>
      </w:r>
      <w:r>
        <w:tab/>
        <w:t>Sections 21AA, 21AB and 21AC inserted</w:t>
      </w:r>
      <w:bookmarkEnd w:id="1016"/>
      <w:bookmarkEnd w:id="1017"/>
    </w:p>
    <w:p>
      <w:pPr>
        <w:pStyle w:val="nzSubsection"/>
      </w:pPr>
      <w:r>
        <w:tab/>
      </w:r>
      <w:r>
        <w:tab/>
        <w:t>At the end of Part 2 Division 2 insert:</w:t>
      </w:r>
    </w:p>
    <w:p>
      <w:pPr>
        <w:pStyle w:val="BlankOpen"/>
      </w:pPr>
    </w:p>
    <w:p>
      <w:pPr>
        <w:pStyle w:val="nzHeading5"/>
      </w:pPr>
      <w:bookmarkStart w:id="1018" w:name="_Toc405898072"/>
      <w:bookmarkStart w:id="1019" w:name="_Toc405975453"/>
      <w:r>
        <w:t>21AA.</w:t>
      </w:r>
      <w:r>
        <w:tab/>
        <w:t>Prevention and education function: police misconduct</w:t>
      </w:r>
      <w:bookmarkEnd w:id="1018"/>
      <w:bookmarkEnd w:id="1019"/>
    </w:p>
    <w:p>
      <w:pPr>
        <w:pStyle w:val="nzSubsection"/>
      </w:pPr>
      <w:r>
        <w:tab/>
        <w:t>(1)</w:t>
      </w:r>
      <w:r>
        <w:tab/>
        <w:t xml:space="preserve">It is a function of the Commission (the </w:t>
      </w:r>
      <w:r>
        <w:rPr>
          <w:rStyle w:val="CharDefText"/>
        </w:rPr>
        <w:t>prevention and education function</w:t>
      </w:r>
      <w:r>
        <w:t>) to help to prevent police misconduct.</w:t>
      </w:r>
    </w:p>
    <w:p>
      <w:pPr>
        <w:pStyle w:val="nzSubsection"/>
      </w:pPr>
      <w:r>
        <w:tab/>
        <w:t>(2)</w:t>
      </w:r>
      <w:r>
        <w:tab/>
        <w:t xml:space="preserve">Without limiting the ways the Commission may perform the prevention and education function, the Commission performs that function by doing the following — </w:t>
      </w:r>
    </w:p>
    <w:p>
      <w:pPr>
        <w:pStyle w:val="nzIndenta"/>
      </w:pPr>
      <w:r>
        <w:tab/>
        <w:t>(a)</w:t>
      </w:r>
      <w:r>
        <w:tab/>
        <w:t>analysing the information it gathers in performing functions under this Act and any other Act, including the intelligence gathered in support of its police misconduct and organised crime functions;</w:t>
      </w:r>
    </w:p>
    <w:p>
      <w:pPr>
        <w:pStyle w:val="nzIndenta"/>
      </w:pPr>
      <w:r>
        <w:tab/>
        <w:t>(b)</w:t>
      </w:r>
      <w:r>
        <w:tab/>
        <w:t>analysing systems used within the Police Department to prevent police misconduct;</w:t>
      </w:r>
    </w:p>
    <w:p>
      <w:pPr>
        <w:pStyle w:val="nzIndenta"/>
      </w:pPr>
      <w:r>
        <w:tab/>
        <w:t>(c)</w:t>
      </w:r>
      <w:r>
        <w:tab/>
        <w:t>using information it gathers from any source in support of the prevention and education function;</w:t>
      </w:r>
    </w:p>
    <w:p>
      <w:pPr>
        <w:pStyle w:val="nzIndenta"/>
      </w:pPr>
      <w:r>
        <w:tab/>
        <w:t>(d)</w:t>
      </w:r>
      <w:r>
        <w:tab/>
        <w:t>providing information to, consulting with, and making recommendations to, the Police Department;</w:t>
      </w:r>
    </w:p>
    <w:p>
      <w:pPr>
        <w:pStyle w:val="nzIndenta"/>
      </w:pPr>
      <w:r>
        <w:tab/>
        <w:t>(e)</w:t>
      </w:r>
      <w:r>
        <w:tab/>
        <w:t>providing information relevant to the prevention and education function to members of the police service and to the general community;</w:t>
      </w:r>
    </w:p>
    <w:p>
      <w:pPr>
        <w:pStyle w:val="nzIndenta"/>
      </w:pPr>
      <w:r>
        <w:tab/>
        <w:t>(f)</w:t>
      </w:r>
      <w:r>
        <w:tab/>
        <w:t>ensuring that in performing all of its functions it has regard to the prevention and education function;</w:t>
      </w:r>
    </w:p>
    <w:p>
      <w:pPr>
        <w:pStyle w:val="nzIndenta"/>
      </w:pPr>
      <w:r>
        <w:tab/>
        <w:t>(g)</w:t>
      </w:r>
      <w:r>
        <w:tab/>
        <w:t>generally increasing the capacity of the Police Department to prevent and combat police misconduct by providing advice and training to the Police Department;</w:t>
      </w:r>
    </w:p>
    <w:p>
      <w:pPr>
        <w:pStyle w:val="nzIndenta"/>
      </w:pPr>
      <w:r>
        <w:tab/>
        <w:t>(h)</w:t>
      </w:r>
      <w:r>
        <w:tab/>
        <w:t>reporting on ways to prevent and combat police misconduct.</w:t>
      </w:r>
    </w:p>
    <w:p>
      <w:pPr>
        <w:pStyle w:val="nzSubsection"/>
      </w:pPr>
      <w:r>
        <w:tab/>
        <w:t>(3)</w:t>
      </w:r>
      <w:r>
        <w:tab/>
        <w:t>In performing the prevention and education function, the Commission may consult, cooperate, and exchange information, with the Public Sector Commissioner.</w:t>
      </w:r>
    </w:p>
    <w:p>
      <w:pPr>
        <w:pStyle w:val="nzHeading5"/>
      </w:pPr>
      <w:bookmarkStart w:id="1020" w:name="_Toc405898073"/>
      <w:bookmarkStart w:id="1021" w:name="_Toc405975454"/>
      <w:r>
        <w:t>21AB.</w:t>
      </w:r>
      <w:r>
        <w:tab/>
        <w:t>Capacity development function: public authorities</w:t>
      </w:r>
      <w:bookmarkEnd w:id="1020"/>
      <w:bookmarkEnd w:id="1021"/>
    </w:p>
    <w:p>
      <w:pPr>
        <w:pStyle w:val="nz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nzSubsection"/>
      </w:pPr>
      <w:r>
        <w:tab/>
        <w:t>(2)</w:t>
      </w:r>
      <w:r>
        <w:tab/>
        <w:t xml:space="preserve">Without limiting the ways the Commission may perform the capacity development function, the Commission performs that function by doing the following — </w:t>
      </w:r>
    </w:p>
    <w:p>
      <w:pPr>
        <w:pStyle w:val="nzIndenta"/>
      </w:pPr>
      <w:r>
        <w:tab/>
        <w:t>(a)</w:t>
      </w:r>
      <w:r>
        <w:tab/>
        <w:t>analysing intelligence it gathers in support of its serious misconduct and organised crime functions;</w:t>
      </w:r>
    </w:p>
    <w:p>
      <w:pPr>
        <w:pStyle w:val="nzIndenta"/>
      </w:pPr>
      <w:r>
        <w:tab/>
        <w:t>(b)</w:t>
      </w:r>
      <w:r>
        <w:tab/>
        <w:t>using information it gathers from any source in support of the capacity development function.</w:t>
      </w:r>
    </w:p>
    <w:p>
      <w:pPr>
        <w:pStyle w:val="nzSubsection"/>
      </w:pPr>
      <w:r>
        <w:tab/>
        <w:t>(3)</w:t>
      </w:r>
      <w:r>
        <w:tab/>
        <w:t>In performing the capacity development function, the Commission may consult, cooperate, and exchange information, with the Public Sector Commissioner.</w:t>
      </w:r>
    </w:p>
    <w:p>
      <w:pPr>
        <w:pStyle w:val="nzSubsection"/>
      </w:pPr>
      <w:r>
        <w:tab/>
        <w:t>(4)</w:t>
      </w:r>
      <w:r>
        <w:tab/>
        <w:t>This section does not limit the obligation of the Commission under section 45A(4) to support the Public Sector Commissioner.</w:t>
      </w:r>
    </w:p>
    <w:p>
      <w:pPr>
        <w:pStyle w:val="nzHeading5"/>
      </w:pPr>
      <w:bookmarkStart w:id="1022" w:name="_Toc405898074"/>
      <w:bookmarkStart w:id="1023" w:name="_Toc405975455"/>
      <w:r>
        <w:t>21AC.</w:t>
      </w:r>
      <w:r>
        <w:tab/>
        <w:t>Information about allegations received or initiated by Public Sector Commissioner</w:t>
      </w:r>
      <w:bookmarkEnd w:id="1022"/>
      <w:bookmarkEnd w:id="1023"/>
    </w:p>
    <w:p>
      <w:pPr>
        <w:pStyle w:val="nz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BlankClose"/>
      </w:pPr>
    </w:p>
    <w:p>
      <w:pPr>
        <w:pStyle w:val="nzHeading5"/>
      </w:pPr>
      <w:bookmarkStart w:id="1024" w:name="_Toc405898075"/>
      <w:bookmarkStart w:id="1025" w:name="_Toc405975456"/>
      <w:r>
        <w:rPr>
          <w:rStyle w:val="CharSectno"/>
        </w:rPr>
        <w:t>13</w:t>
      </w:r>
      <w:r>
        <w:t>.</w:t>
      </w:r>
      <w:r>
        <w:tab/>
        <w:t>Part 3 heading replaced</w:t>
      </w:r>
      <w:bookmarkEnd w:id="1024"/>
      <w:bookmarkEnd w:id="1025"/>
    </w:p>
    <w:p>
      <w:pPr>
        <w:pStyle w:val="nzSubsection"/>
      </w:pPr>
      <w:r>
        <w:tab/>
      </w:r>
      <w:r>
        <w:tab/>
        <w:t>Delete the heading to Part 3 and insert:</w:t>
      </w:r>
    </w:p>
    <w:p>
      <w:pPr>
        <w:pStyle w:val="BlankOpen"/>
      </w:pPr>
    </w:p>
    <w:p>
      <w:pPr>
        <w:pStyle w:val="nzHeading2"/>
      </w:pPr>
      <w:bookmarkStart w:id="1026" w:name="_Toc401089811"/>
      <w:bookmarkStart w:id="1027" w:name="_Toc401089899"/>
      <w:bookmarkStart w:id="1028" w:name="_Toc405371171"/>
      <w:bookmarkStart w:id="1029" w:name="_Toc405898076"/>
      <w:bookmarkStart w:id="1030" w:name="_Toc405975457"/>
      <w:r>
        <w:t>Part 3</w:t>
      </w:r>
      <w:r>
        <w:rPr>
          <w:b w:val="0"/>
        </w:rPr>
        <w:t> </w:t>
      </w:r>
      <w:r>
        <w:t>—</w:t>
      </w:r>
      <w:r>
        <w:rPr>
          <w:b w:val="0"/>
        </w:rPr>
        <w:t> </w:t>
      </w:r>
      <w:r>
        <w:t>Serious misconduct: role of Commission</w:t>
      </w:r>
      <w:bookmarkEnd w:id="1026"/>
      <w:bookmarkEnd w:id="1027"/>
      <w:bookmarkEnd w:id="1028"/>
      <w:bookmarkEnd w:id="1029"/>
      <w:bookmarkEnd w:id="1030"/>
    </w:p>
    <w:p>
      <w:pPr>
        <w:pStyle w:val="BlankClose"/>
      </w:pPr>
    </w:p>
    <w:p>
      <w:pPr>
        <w:pStyle w:val="nzHeading5"/>
      </w:pPr>
      <w:bookmarkStart w:id="1031" w:name="_Toc405898077"/>
      <w:bookmarkStart w:id="1032" w:name="_Toc405975458"/>
      <w:r>
        <w:rPr>
          <w:rStyle w:val="CharSectno"/>
        </w:rPr>
        <w:t>14</w:t>
      </w:r>
      <w:r>
        <w:t>.</w:t>
      </w:r>
      <w:r>
        <w:tab/>
        <w:t>Section 23 deleted</w:t>
      </w:r>
      <w:bookmarkEnd w:id="1031"/>
      <w:bookmarkEnd w:id="1032"/>
    </w:p>
    <w:p>
      <w:pPr>
        <w:pStyle w:val="nzSubsection"/>
      </w:pPr>
      <w:r>
        <w:tab/>
      </w:r>
      <w:r>
        <w:tab/>
        <w:t>Delete section 23.</w:t>
      </w:r>
    </w:p>
    <w:p>
      <w:pPr>
        <w:pStyle w:val="nzHeading5"/>
      </w:pPr>
      <w:bookmarkStart w:id="1033" w:name="_Toc405898078"/>
      <w:bookmarkStart w:id="1034" w:name="_Toc405975459"/>
      <w:r>
        <w:rPr>
          <w:rStyle w:val="CharSectno"/>
        </w:rPr>
        <w:t>15</w:t>
      </w:r>
      <w:r>
        <w:t>.</w:t>
      </w:r>
      <w:r>
        <w:tab/>
        <w:t>Sections 27A and 27B deleted</w:t>
      </w:r>
      <w:bookmarkEnd w:id="1033"/>
      <w:bookmarkEnd w:id="1034"/>
    </w:p>
    <w:p>
      <w:pPr>
        <w:pStyle w:val="nzSubsection"/>
      </w:pPr>
      <w:r>
        <w:tab/>
      </w:r>
      <w:r>
        <w:tab/>
        <w:t>Delete sections 27A and 27B.</w:t>
      </w:r>
    </w:p>
    <w:p>
      <w:pPr>
        <w:pStyle w:val="nzHeading5"/>
      </w:pPr>
      <w:bookmarkStart w:id="1035" w:name="_Toc405898079"/>
      <w:bookmarkStart w:id="1036" w:name="_Toc405975460"/>
      <w:r>
        <w:rPr>
          <w:rStyle w:val="CharSectno"/>
        </w:rPr>
        <w:t>16</w:t>
      </w:r>
      <w:r>
        <w:t>.</w:t>
      </w:r>
      <w:r>
        <w:tab/>
        <w:t>Section 32 amended</w:t>
      </w:r>
      <w:bookmarkEnd w:id="1035"/>
      <w:bookmarkEnd w:id="1036"/>
    </w:p>
    <w:p>
      <w:pPr>
        <w:pStyle w:val="nzSubsection"/>
      </w:pPr>
      <w:r>
        <w:tab/>
      </w:r>
      <w:r>
        <w:tab/>
        <w:t>Delete section 32(3) and insert:</w:t>
      </w:r>
    </w:p>
    <w:p>
      <w:pPr>
        <w:pStyle w:val="BlankOpen"/>
      </w:pPr>
    </w:p>
    <w:p>
      <w:pPr>
        <w:pStyle w:val="nzSubsection"/>
      </w:pPr>
      <w:r>
        <w:tab/>
        <w:t>(3)</w:t>
      </w:r>
      <w:r>
        <w:tab/>
        <w:t>The Commission may consult about an allegation or other matter relating to serious misconduct the persons and bodies that the Commission considers desirable and practicable to consult.</w:t>
      </w:r>
    </w:p>
    <w:p>
      <w:pPr>
        <w:pStyle w:val="BlankClose"/>
      </w:pPr>
    </w:p>
    <w:p>
      <w:pPr>
        <w:pStyle w:val="nzHeading5"/>
      </w:pPr>
      <w:bookmarkStart w:id="1037" w:name="_Toc405898080"/>
      <w:bookmarkStart w:id="1038" w:name="_Toc405975461"/>
      <w:r>
        <w:rPr>
          <w:rStyle w:val="CharSectno"/>
        </w:rPr>
        <w:t>17</w:t>
      </w:r>
      <w:r>
        <w:t>.</w:t>
      </w:r>
      <w:r>
        <w:tab/>
        <w:t>Section 34 amended</w:t>
      </w:r>
      <w:bookmarkEnd w:id="1037"/>
      <w:bookmarkEnd w:id="1038"/>
    </w:p>
    <w:p>
      <w:pPr>
        <w:pStyle w:val="nzSubsection"/>
      </w:pPr>
      <w:r>
        <w:tab/>
        <w:t>(1)</w:t>
      </w:r>
      <w:r>
        <w:tab/>
        <w:t>In section 34(1) delete the passage that begins with “regard, when” and ends with “misconduct —” and insert:</w:t>
      </w:r>
    </w:p>
    <w:p>
      <w:pPr>
        <w:pStyle w:val="BlankOpen"/>
      </w:pPr>
    </w:p>
    <w:p>
      <w:pPr>
        <w:pStyle w:val="nzSubsection"/>
      </w:pPr>
      <w:r>
        <w:tab/>
      </w:r>
      <w:r>
        <w:tab/>
        <w:t>regard when deciding whether or not to make a decision under section 33(1)(a) or (b), the Commission is to have regard to the nature of the serious misconduct that —</w:t>
      </w:r>
    </w:p>
    <w:p>
      <w:pPr>
        <w:pStyle w:val="BlankClose"/>
      </w:pPr>
    </w:p>
    <w:p>
      <w:pPr>
        <w:pStyle w:val="nzSubsection"/>
      </w:pPr>
      <w:r>
        <w:tab/>
        <w:t>(2)</w:t>
      </w:r>
      <w:r>
        <w:tab/>
        <w:t>In section 34(2):</w:t>
      </w:r>
    </w:p>
    <w:p>
      <w:pPr>
        <w:pStyle w:val="nzIndenta"/>
      </w:pPr>
      <w:r>
        <w:tab/>
        <w:t>(a)</w:t>
      </w:r>
      <w:r>
        <w:tab/>
        <w:t>delete the passage that begins with “When” and ends with “include” and insert:</w:t>
      </w:r>
    </w:p>
    <w:p>
      <w:pPr>
        <w:pStyle w:val="BlankOpen"/>
      </w:pPr>
    </w:p>
    <w:p>
      <w:pPr>
        <w:pStyle w:val="nzIndenta"/>
      </w:pPr>
      <w:r>
        <w:tab/>
      </w:r>
      <w:r>
        <w:tab/>
        <w:t>Without limiting the matters to which the Commission may have regard when deciding whether or not to make a decision under section 33(1)(c), the Commission is to have regard to</w:t>
      </w:r>
    </w:p>
    <w:p>
      <w:pPr>
        <w:pStyle w:val="BlankClose"/>
      </w:pPr>
    </w:p>
    <w:p>
      <w:pPr>
        <w:pStyle w:val="nzIndenta"/>
      </w:pPr>
      <w:r>
        <w:tab/>
        <w:t>(b)</w:t>
      </w:r>
      <w:r>
        <w:tab/>
        <w:t>in paragraph (b) delete “whether, in the opinion of the Commission, serious misconduct —” and insert:</w:t>
      </w:r>
    </w:p>
    <w:p>
      <w:pPr>
        <w:pStyle w:val="BlankOpen"/>
      </w:pPr>
    </w:p>
    <w:p>
      <w:pPr>
        <w:pStyle w:val="nzIndenta"/>
      </w:pPr>
      <w:r>
        <w:tab/>
      </w:r>
      <w:r>
        <w:tab/>
        <w:t>the nature of the serious misconduct that —</w:t>
      </w:r>
    </w:p>
    <w:p>
      <w:pPr>
        <w:pStyle w:val="BlankClose"/>
      </w:pPr>
    </w:p>
    <w:p>
      <w:pPr>
        <w:pStyle w:val="nzHeading5"/>
      </w:pPr>
      <w:bookmarkStart w:id="1039" w:name="_Toc405898081"/>
      <w:bookmarkStart w:id="1040" w:name="_Toc405975462"/>
      <w:r>
        <w:rPr>
          <w:rStyle w:val="CharSectno"/>
        </w:rPr>
        <w:t>18</w:t>
      </w:r>
      <w:r>
        <w:t>.</w:t>
      </w:r>
      <w:r>
        <w:tab/>
        <w:t>Section 37 amended</w:t>
      </w:r>
      <w:bookmarkEnd w:id="1039"/>
      <w:bookmarkEnd w:id="1040"/>
    </w:p>
    <w:p>
      <w:pPr>
        <w:pStyle w:val="nzSubsection"/>
      </w:pPr>
      <w:r>
        <w:tab/>
      </w:r>
      <w:r>
        <w:tab/>
        <w:t>In section 37(1) after “decides” insert:</w:t>
      </w:r>
    </w:p>
    <w:p>
      <w:pPr>
        <w:pStyle w:val="BlankOpen"/>
      </w:pPr>
    </w:p>
    <w:p>
      <w:pPr>
        <w:pStyle w:val="nzSubsection"/>
      </w:pPr>
      <w:r>
        <w:tab/>
      </w:r>
      <w:r>
        <w:tab/>
        <w:t>under section 33(1)(c)</w:t>
      </w:r>
    </w:p>
    <w:p>
      <w:pPr>
        <w:pStyle w:val="BlankClose"/>
      </w:pPr>
    </w:p>
    <w:p>
      <w:pPr>
        <w:pStyle w:val="nzHeading5"/>
      </w:pPr>
      <w:bookmarkStart w:id="1041" w:name="_Toc405898082"/>
      <w:bookmarkStart w:id="1042" w:name="_Toc405975463"/>
      <w:r>
        <w:rPr>
          <w:rStyle w:val="CharSectno"/>
        </w:rPr>
        <w:t>19</w:t>
      </w:r>
      <w:r>
        <w:t>.</w:t>
      </w:r>
      <w:r>
        <w:tab/>
        <w:t>Section 38 amended</w:t>
      </w:r>
      <w:bookmarkEnd w:id="1041"/>
      <w:bookmarkEnd w:id="1042"/>
    </w:p>
    <w:p>
      <w:pPr>
        <w:pStyle w:val="nzSubsection"/>
      </w:pPr>
      <w:r>
        <w:tab/>
      </w:r>
      <w:r>
        <w:tab/>
        <w:t>In section 38(1) after “Auditor General” (1</w:t>
      </w:r>
      <w:r>
        <w:rPr>
          <w:vertAlign w:val="superscript"/>
        </w:rPr>
        <w:t>st</w:t>
      </w:r>
      <w:r>
        <w:t xml:space="preserve"> occurrence) insert:</w:t>
      </w:r>
    </w:p>
    <w:p>
      <w:pPr>
        <w:pStyle w:val="BlankOpen"/>
      </w:pPr>
    </w:p>
    <w:p>
      <w:pPr>
        <w:pStyle w:val="nzSubsection"/>
      </w:pPr>
      <w:r>
        <w:tab/>
      </w:r>
      <w:r>
        <w:tab/>
        <w:t>under section 33(1)(c)</w:t>
      </w:r>
    </w:p>
    <w:p>
      <w:pPr>
        <w:pStyle w:val="BlankClose"/>
      </w:pPr>
    </w:p>
    <w:p>
      <w:pPr>
        <w:pStyle w:val="nzHeading5"/>
      </w:pPr>
      <w:bookmarkStart w:id="1043" w:name="_Toc405898083"/>
      <w:bookmarkStart w:id="1044" w:name="_Toc405975464"/>
      <w:r>
        <w:rPr>
          <w:rStyle w:val="CharSectno"/>
        </w:rPr>
        <w:t>20</w:t>
      </w:r>
      <w:r>
        <w:t>.</w:t>
      </w:r>
      <w:r>
        <w:tab/>
        <w:t>Section 42 amended</w:t>
      </w:r>
      <w:bookmarkEnd w:id="1043"/>
      <w:bookmarkEnd w:id="1044"/>
    </w:p>
    <w:p>
      <w:pPr>
        <w:pStyle w:val="nzSubsection"/>
      </w:pPr>
      <w:r>
        <w:tab/>
        <w:t>(1)</w:t>
      </w:r>
      <w:r>
        <w:tab/>
        <w:t>In section 42(2):</w:t>
      </w:r>
    </w:p>
    <w:p>
      <w:pPr>
        <w:pStyle w:val="nzIndenta"/>
      </w:pPr>
      <w:r>
        <w:tab/>
        <w:t>(a)</w:t>
      </w:r>
      <w:r>
        <w:tab/>
        <w:t>after “direct” insert:</w:t>
      </w:r>
    </w:p>
    <w:p>
      <w:pPr>
        <w:pStyle w:val="BlankOpen"/>
      </w:pPr>
    </w:p>
    <w:p>
      <w:pPr>
        <w:pStyle w:val="nzIndenta"/>
      </w:pPr>
      <w:r>
        <w:tab/>
      </w:r>
      <w:r>
        <w:tab/>
        <w:t>the Public Sector Commissioner or</w:t>
      </w:r>
    </w:p>
    <w:p>
      <w:pPr>
        <w:pStyle w:val="BlankClose"/>
      </w:pPr>
    </w:p>
    <w:p>
      <w:pPr>
        <w:pStyle w:val="nzIndenta"/>
      </w:pPr>
      <w:r>
        <w:tab/>
        <w:t>(b)</w:t>
      </w:r>
      <w:r>
        <w:tab/>
        <w:t>in paragraph (b) before “an officer” insert:</w:t>
      </w:r>
    </w:p>
    <w:p>
      <w:pPr>
        <w:pStyle w:val="BlankOpen"/>
      </w:pPr>
    </w:p>
    <w:p>
      <w:pPr>
        <w:pStyle w:val="nzIndenta"/>
      </w:pPr>
      <w:r>
        <w:tab/>
      </w:r>
      <w:r>
        <w:tab/>
        <w:t>an officer of the Public Sector Commissioner or</w:t>
      </w:r>
    </w:p>
    <w:p>
      <w:pPr>
        <w:pStyle w:val="BlankClose"/>
      </w:pPr>
    </w:p>
    <w:p>
      <w:pPr>
        <w:pStyle w:val="nzSubsection"/>
      </w:pPr>
      <w:r>
        <w:tab/>
        <w:t>(2)</w:t>
      </w:r>
      <w:r>
        <w:tab/>
        <w:t>Delete section 42(3) and insert:</w:t>
      </w:r>
    </w:p>
    <w:p>
      <w:pPr>
        <w:pStyle w:val="BlankOpen"/>
      </w:pPr>
    </w:p>
    <w:p>
      <w:pPr>
        <w:pStyle w:val="nzSubsection"/>
      </w:pPr>
      <w:r>
        <w:tab/>
        <w:t>(3)</w:t>
      </w:r>
      <w:r>
        <w:tab/>
        <w:t>The Public Sector Commissioner or appropriate authority must comply with the direction.</w:t>
      </w:r>
    </w:p>
    <w:p>
      <w:pPr>
        <w:pStyle w:val="BlankClose"/>
      </w:pPr>
    </w:p>
    <w:p>
      <w:pPr>
        <w:pStyle w:val="nzSubsection"/>
      </w:pPr>
      <w:r>
        <w:tab/>
        <w:t>(3)</w:t>
      </w:r>
      <w:r>
        <w:tab/>
        <w:t>In section 42(4) after “absolves” insert:</w:t>
      </w:r>
    </w:p>
    <w:p>
      <w:pPr>
        <w:pStyle w:val="BlankOpen"/>
      </w:pPr>
    </w:p>
    <w:p>
      <w:pPr>
        <w:pStyle w:val="nzSubsection"/>
      </w:pPr>
      <w:r>
        <w:tab/>
      </w:r>
      <w:r>
        <w:tab/>
        <w:t>the Public Sector Commissioner and his or her officers or</w:t>
      </w:r>
    </w:p>
    <w:p>
      <w:pPr>
        <w:pStyle w:val="BlankClose"/>
      </w:pPr>
    </w:p>
    <w:p>
      <w:pPr>
        <w:pStyle w:val="nzSubsection"/>
      </w:pPr>
      <w:r>
        <w:tab/>
        <w:t>(4)</w:t>
      </w:r>
      <w:r>
        <w:tab/>
        <w:t>Delete section 42(5).</w:t>
      </w:r>
    </w:p>
    <w:p>
      <w:pPr>
        <w:pStyle w:val="nzSubsection"/>
      </w:pPr>
      <w:r>
        <w:tab/>
        <w:t>(5)</w:t>
      </w:r>
      <w:r>
        <w:tab/>
        <w:t>In section 42(6) before “appropriate authority.” insert:</w:t>
      </w:r>
    </w:p>
    <w:p>
      <w:pPr>
        <w:pStyle w:val="BlankOpen"/>
      </w:pPr>
    </w:p>
    <w:p>
      <w:pPr>
        <w:pStyle w:val="nzSubsection"/>
      </w:pPr>
      <w:r>
        <w:tab/>
      </w:r>
      <w:r>
        <w:tab/>
        <w:t>Public Sector Commissioner or</w:t>
      </w:r>
    </w:p>
    <w:p>
      <w:pPr>
        <w:pStyle w:val="BlankClose"/>
      </w:pPr>
    </w:p>
    <w:p>
      <w:pPr>
        <w:pStyle w:val="nzSubsection"/>
      </w:pPr>
      <w:r>
        <w:tab/>
        <w:t>(6)</w:t>
      </w:r>
      <w:r>
        <w:tab/>
        <w:t>In section 42(7):</w:t>
      </w:r>
    </w:p>
    <w:p>
      <w:pPr>
        <w:pStyle w:val="nzIndenta"/>
      </w:pPr>
      <w:r>
        <w:tab/>
        <w:t>(a)</w:t>
      </w:r>
      <w:r>
        <w:tab/>
        <w:t>before “appropriate authority” (each occurrence) insert:</w:t>
      </w:r>
    </w:p>
    <w:p>
      <w:pPr>
        <w:pStyle w:val="BlankOpen"/>
      </w:pPr>
    </w:p>
    <w:p>
      <w:pPr>
        <w:pStyle w:val="nzIndenta"/>
      </w:pPr>
      <w:r>
        <w:tab/>
      </w:r>
      <w:r>
        <w:tab/>
        <w:t>Public Sector Commissioner or</w:t>
      </w:r>
    </w:p>
    <w:p>
      <w:pPr>
        <w:pStyle w:val="BlankClose"/>
      </w:pPr>
    </w:p>
    <w:p>
      <w:pPr>
        <w:pStyle w:val="nzIndenta"/>
      </w:pPr>
      <w:r>
        <w:tab/>
        <w:t>(b)</w:t>
      </w:r>
      <w:r>
        <w:tab/>
        <w:t>delete “direction given to it under subsection (2).” and insert:</w:t>
      </w:r>
    </w:p>
    <w:p>
      <w:pPr>
        <w:pStyle w:val="BlankOpen"/>
      </w:pPr>
    </w:p>
    <w:p>
      <w:pPr>
        <w:pStyle w:val="nzIndenta"/>
      </w:pPr>
      <w:r>
        <w:tab/>
      </w:r>
      <w:r>
        <w:tab/>
        <w:t>direction.</w:t>
      </w:r>
    </w:p>
    <w:p>
      <w:pPr>
        <w:pStyle w:val="BlankClose"/>
      </w:pPr>
    </w:p>
    <w:p>
      <w:pPr>
        <w:pStyle w:val="nzNotesPerm"/>
      </w:pPr>
      <w:r>
        <w:tab/>
        <w:t>Note:</w:t>
      </w:r>
      <w:r>
        <w:tab/>
        <w:t>The heading to amended section 42 is to read:</w:t>
      </w:r>
    </w:p>
    <w:p>
      <w:pPr>
        <w:pStyle w:val="nzNotesPerm"/>
        <w:rPr>
          <w:b/>
        </w:rPr>
      </w:pPr>
      <w:r>
        <w:tab/>
      </w:r>
      <w:r>
        <w:tab/>
      </w:r>
      <w:r>
        <w:rPr>
          <w:b/>
        </w:rPr>
        <w:t>Commission may direct Public Sector Commissioner or appropriate authority not to take action</w:t>
      </w:r>
    </w:p>
    <w:p>
      <w:pPr>
        <w:pStyle w:val="nzHeading5"/>
      </w:pPr>
      <w:bookmarkStart w:id="1045" w:name="_Toc405898084"/>
      <w:bookmarkStart w:id="1046" w:name="_Toc405975465"/>
      <w:r>
        <w:rPr>
          <w:rStyle w:val="CharSectno"/>
        </w:rPr>
        <w:t>21</w:t>
      </w:r>
      <w:r>
        <w:t>.</w:t>
      </w:r>
      <w:r>
        <w:tab/>
        <w:t>Part 4A inserted</w:t>
      </w:r>
      <w:bookmarkEnd w:id="1045"/>
      <w:bookmarkEnd w:id="1046"/>
    </w:p>
    <w:p>
      <w:pPr>
        <w:pStyle w:val="nzSubsection"/>
      </w:pPr>
      <w:r>
        <w:tab/>
      </w:r>
      <w:r>
        <w:tab/>
        <w:t>After section 44 insert:</w:t>
      </w:r>
    </w:p>
    <w:p>
      <w:pPr>
        <w:pStyle w:val="BlankOpen"/>
      </w:pPr>
    </w:p>
    <w:p>
      <w:pPr>
        <w:pStyle w:val="nzHeading2"/>
      </w:pPr>
      <w:bookmarkStart w:id="1047" w:name="_Toc401089820"/>
      <w:bookmarkStart w:id="1048" w:name="_Toc401089908"/>
      <w:bookmarkStart w:id="1049" w:name="_Toc405371180"/>
      <w:bookmarkStart w:id="1050" w:name="_Toc405898085"/>
      <w:bookmarkStart w:id="1051" w:name="_Toc405975466"/>
      <w:r>
        <w:t>Part 4A — Misconduct: role of Public Sector Commissioner</w:t>
      </w:r>
      <w:bookmarkEnd w:id="1047"/>
      <w:bookmarkEnd w:id="1048"/>
      <w:bookmarkEnd w:id="1049"/>
      <w:bookmarkEnd w:id="1050"/>
      <w:bookmarkEnd w:id="1051"/>
    </w:p>
    <w:p>
      <w:pPr>
        <w:pStyle w:val="nzHeading3"/>
      </w:pPr>
      <w:bookmarkStart w:id="1052" w:name="_Toc401089821"/>
      <w:bookmarkStart w:id="1053" w:name="_Toc401089909"/>
      <w:bookmarkStart w:id="1054" w:name="_Toc405371181"/>
      <w:bookmarkStart w:id="1055" w:name="_Toc405898086"/>
      <w:bookmarkStart w:id="1056" w:name="_Toc405975467"/>
      <w:r>
        <w:t>Division 1 — Functions in relation to misconduct</w:t>
      </w:r>
      <w:bookmarkEnd w:id="1052"/>
      <w:bookmarkEnd w:id="1053"/>
      <w:bookmarkEnd w:id="1054"/>
      <w:bookmarkEnd w:id="1055"/>
      <w:bookmarkEnd w:id="1056"/>
    </w:p>
    <w:p>
      <w:pPr>
        <w:pStyle w:val="nzHeading5"/>
      </w:pPr>
      <w:bookmarkStart w:id="1057" w:name="_Toc405898087"/>
      <w:bookmarkStart w:id="1058" w:name="_Toc405975468"/>
      <w:r>
        <w:t>45A.</w:t>
      </w:r>
      <w:r>
        <w:tab/>
        <w:t>Prevention and education function</w:t>
      </w:r>
      <w:bookmarkEnd w:id="1057"/>
      <w:bookmarkEnd w:id="1058"/>
    </w:p>
    <w:p>
      <w:pPr>
        <w:pStyle w:val="nzSubsection"/>
      </w:pPr>
      <w:r>
        <w:tab/>
        <w:t>(1)</w:t>
      </w:r>
      <w:r>
        <w:tab/>
        <w:t xml:space="preserve">It is a function of the Public Sector Commissioner (the </w:t>
      </w:r>
      <w:r>
        <w:rPr>
          <w:rStyle w:val="CharDefText"/>
        </w:rPr>
        <w:t>prevention and education function</w:t>
      </w:r>
      <w:r>
        <w:t>) to help to prevent misconduct.</w:t>
      </w:r>
    </w:p>
    <w:p>
      <w:pPr>
        <w:pStyle w:val="nzSubsection"/>
      </w:pPr>
      <w:r>
        <w:tab/>
        <w:t>(2)</w:t>
      </w:r>
      <w:r>
        <w:tab/>
        <w:t>Without limiting the ways the Public Sector Commissioner may perform the prevention and education function, the Public Sector Commissioner performs that function by doing the following —</w:t>
      </w:r>
    </w:p>
    <w:p>
      <w:pPr>
        <w:pStyle w:val="nzIndenta"/>
      </w:pPr>
      <w:r>
        <w:tab/>
        <w:t>(a)</w:t>
      </w:r>
      <w:r>
        <w:tab/>
        <w:t>analysing the information the Public Sector Commissioner gathers in performing functions under this Act and any other Act, including the information gathered in support of inquiries conducted under Division 2;</w:t>
      </w:r>
    </w:p>
    <w:p>
      <w:pPr>
        <w:pStyle w:val="nzIndenta"/>
      </w:pPr>
      <w:r>
        <w:tab/>
        <w:t>(b)</w:t>
      </w:r>
      <w:r>
        <w:tab/>
        <w:t>analysing systems used within public authorities to prevent misconduct;</w:t>
      </w:r>
    </w:p>
    <w:p>
      <w:pPr>
        <w:pStyle w:val="nzIndenta"/>
      </w:pPr>
      <w:r>
        <w:tab/>
        <w:t>(c)</w:t>
      </w:r>
      <w:r>
        <w:tab/>
        <w:t>providing information to, consulting with, and making recommendations to, public authorities;</w:t>
      </w:r>
    </w:p>
    <w:p>
      <w:pPr>
        <w:pStyle w:val="nzIndenta"/>
      </w:pPr>
      <w:r>
        <w:tab/>
        <w:t>(d)</w:t>
      </w:r>
      <w:r>
        <w:tab/>
        <w:t>providing information relevant to the prevention and education function to the general community;</w:t>
      </w:r>
    </w:p>
    <w:p>
      <w:pPr>
        <w:pStyle w:val="nzIndenta"/>
      </w:pPr>
      <w:r>
        <w:tab/>
        <w:t>(e)</w:t>
      </w:r>
      <w:r>
        <w:tab/>
        <w:t>ensuring that, in performing functions under this Act and any other Act, the Public Sector Commissioner has regard to the prevention and education function;</w:t>
      </w:r>
    </w:p>
    <w:p>
      <w:pPr>
        <w:pStyle w:val="nzIndenta"/>
      </w:pPr>
      <w:r>
        <w:tab/>
        <w:t>(f)</w:t>
      </w:r>
      <w:r>
        <w:tab/>
        <w:t>generally increasing the capacity of public authorities to prevent and combat misconduct by providing advice and training to those authorities and, if asked, to other entities;</w:t>
      </w:r>
    </w:p>
    <w:p>
      <w:pPr>
        <w:pStyle w:val="nzIndenta"/>
      </w:pPr>
      <w:r>
        <w:tab/>
        <w:t>(g)</w:t>
      </w:r>
      <w:r>
        <w:tab/>
        <w:t>reporting on ways to prevent and combat misconduct.</w:t>
      </w:r>
    </w:p>
    <w:p>
      <w:pPr>
        <w:pStyle w:val="nzSubsection"/>
      </w:pPr>
      <w:r>
        <w:tab/>
        <w:t>(3)</w:t>
      </w:r>
      <w:r>
        <w:tab/>
        <w:t>In performing the prevention and education function, the Public Sector Commissioner may consult, cooperate, and exchange information, with the Commission.</w:t>
      </w:r>
    </w:p>
    <w:p>
      <w:pPr>
        <w:pStyle w:val="nzSubsection"/>
      </w:pPr>
      <w:r>
        <w:tab/>
        <w:t>(4)</w:t>
      </w:r>
      <w:r>
        <w:tab/>
        <w:t>In performing the prevention and education function, the Public Sector Commissioner is to be supported by the Commission, other independent agencies and appropriate authorities.</w:t>
      </w:r>
    </w:p>
    <w:p>
      <w:pPr>
        <w:pStyle w:val="nzHeading5"/>
      </w:pPr>
      <w:bookmarkStart w:id="1059" w:name="_Toc405898088"/>
      <w:bookmarkStart w:id="1060" w:name="_Toc405975469"/>
      <w:r>
        <w:t>45B.</w:t>
      </w:r>
      <w:r>
        <w:tab/>
        <w:t>Minor misconduct function</w:t>
      </w:r>
      <w:bookmarkEnd w:id="1059"/>
      <w:bookmarkEnd w:id="1060"/>
    </w:p>
    <w:p>
      <w:pPr>
        <w:pStyle w:val="nz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nz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nzIndenta"/>
      </w:pPr>
      <w:r>
        <w:tab/>
        <w:t>(a)</w:t>
      </w:r>
      <w:r>
        <w:tab/>
        <w:t>receiving and initiating allegations of minor misconduct;</w:t>
      </w:r>
    </w:p>
    <w:p>
      <w:pPr>
        <w:pStyle w:val="nzIndenta"/>
      </w:pPr>
      <w:r>
        <w:tab/>
        <w:t>(b)</w:t>
      </w:r>
      <w:r>
        <w:tab/>
        <w:t>considering whether action is needed in relation to allegations and matters related to minor misconduct;</w:t>
      </w:r>
    </w:p>
    <w:p>
      <w:pPr>
        <w:pStyle w:val="nz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nzIndenta"/>
      </w:pPr>
      <w:r>
        <w:tab/>
        <w:t>(d)</w:t>
      </w:r>
      <w:r>
        <w:tab/>
        <w:t>monitoring the way in which other independent agencies and appropriate authorities take action in relation to allegations and matters that are referred to them by the Public Sector Commissioner;</w:t>
      </w:r>
    </w:p>
    <w:p>
      <w:pPr>
        <w:pStyle w:val="nzIndenta"/>
      </w:pPr>
      <w:r>
        <w:tab/>
        <w:t>(e)</w:t>
      </w:r>
      <w:r>
        <w:tab/>
        <w:t>whether or not there has been an allegation of minor misconduct, inquiring into whether minor misconduct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t>(f)</w:t>
      </w:r>
      <w:r>
        <w:tab/>
        <w:t>making recommendations and furnishing reports on the outcome of inquiries;</w:t>
      </w:r>
    </w:p>
    <w:p>
      <w:pPr>
        <w:pStyle w:val="nzIndenta"/>
      </w:pPr>
      <w:r>
        <w:tab/>
        <w:t>(g)</w:t>
      </w:r>
      <w:r>
        <w:tab/>
        <w:t xml:space="preserve">consulting, cooperating, and exchanging information, with the following — </w:t>
      </w:r>
    </w:p>
    <w:p>
      <w:pPr>
        <w:pStyle w:val="nzIndenti"/>
      </w:pPr>
      <w:r>
        <w:tab/>
        <w:t>(i)</w:t>
      </w:r>
      <w:r>
        <w:tab/>
        <w:t>the Commission;</w:t>
      </w:r>
    </w:p>
    <w:p>
      <w:pPr>
        <w:pStyle w:val="nzIndenti"/>
      </w:pPr>
      <w:r>
        <w:tab/>
        <w:t>(ii)</w:t>
      </w:r>
      <w:r>
        <w:tab/>
        <w:t>other independent agencies;</w:t>
      </w:r>
    </w:p>
    <w:p>
      <w:pPr>
        <w:pStyle w:val="nzIndenti"/>
      </w:pPr>
      <w:r>
        <w:tab/>
        <w:t>(iii)</w:t>
      </w:r>
      <w:r>
        <w:tab/>
        <w:t>appropriate authorities;</w:t>
      </w:r>
    </w:p>
    <w:p>
      <w:pPr>
        <w:pStyle w:val="nzIndenti"/>
      </w:pPr>
      <w:r>
        <w:tab/>
        <w:t>(iv)</w:t>
      </w:r>
      <w:r>
        <w:tab/>
        <w:t>the principal officers of notifying authorities;</w:t>
      </w:r>
    </w:p>
    <w:p>
      <w:pPr>
        <w:pStyle w:val="nzIndenti"/>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nzIndenti"/>
      </w:pPr>
      <w:r>
        <w:tab/>
        <w:t>(vi)</w:t>
      </w:r>
      <w:r>
        <w:tab/>
        <w:t>any person, or any authority or body of this State, the Commonwealth, another State or a Territory, declared by the Minister to be a person, authority or body to which this paragraph applies;</w:t>
      </w:r>
    </w:p>
    <w:p>
      <w:pPr>
        <w:pStyle w:val="nzIndenta"/>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nzSubsection"/>
      </w:pPr>
      <w:r>
        <w:tab/>
        <w:t>(3)</w:t>
      </w:r>
      <w:r>
        <w:tab/>
        <w:t>When the Public Sector Commissioner is deciding whether further action for the purposes of this Act in relation to an allegation is warranted, the matters to which the Public Sector Commissioner may have regard include the following —</w:t>
      </w:r>
    </w:p>
    <w:p>
      <w:pPr>
        <w:pStyle w:val="nzIndenta"/>
      </w:pPr>
      <w:r>
        <w:tab/>
        <w:t>(a)</w:t>
      </w:r>
      <w:r>
        <w:tab/>
        <w:t>the seriousness of the conduct or involvement to which the allegation relates;</w:t>
      </w:r>
    </w:p>
    <w:p>
      <w:pPr>
        <w:pStyle w:val="nzIndenta"/>
      </w:pPr>
      <w:r>
        <w:tab/>
        <w:t>(b)</w:t>
      </w:r>
      <w:r>
        <w:tab/>
        <w:t>whether or not the allegation is frivolous or vexatious or is made in good faith;</w:t>
      </w:r>
    </w:p>
    <w:p>
      <w:pPr>
        <w:pStyle w:val="nzIndenta"/>
      </w:pPr>
      <w:r>
        <w:tab/>
        <w:t>(c)</w:t>
      </w:r>
      <w:r>
        <w:tab/>
        <w:t>whether or not the conduct or involvement to which the allegation relates is or has been the subject of appropriate investigatory or other action otherwise than for the purposes of this Act;</w:t>
      </w:r>
    </w:p>
    <w:p>
      <w:pPr>
        <w:pStyle w:val="nzIndenta"/>
      </w:pPr>
      <w:r>
        <w:tab/>
        <w:t>(d)</w:t>
      </w:r>
      <w:r>
        <w:tab/>
        <w:t>whether or not, in all the circumstances, the carrying out of further action for the purposes of this Act in relation to the allegation is justified or is in the public interest.</w:t>
      </w:r>
    </w:p>
    <w:p>
      <w:pPr>
        <w:pStyle w:val="nzHeading3"/>
      </w:pPr>
      <w:bookmarkStart w:id="1061" w:name="_Toc401089824"/>
      <w:bookmarkStart w:id="1062" w:name="_Toc401089912"/>
      <w:bookmarkStart w:id="1063" w:name="_Toc405371184"/>
      <w:bookmarkStart w:id="1064" w:name="_Toc405898089"/>
      <w:bookmarkStart w:id="1065" w:name="_Toc405975470"/>
      <w:r>
        <w:t>Division 2 — Minor misconduct</w:t>
      </w:r>
      <w:bookmarkEnd w:id="1061"/>
      <w:bookmarkEnd w:id="1062"/>
      <w:bookmarkEnd w:id="1063"/>
      <w:bookmarkEnd w:id="1064"/>
      <w:bookmarkEnd w:id="1065"/>
    </w:p>
    <w:p>
      <w:pPr>
        <w:pStyle w:val="nzHeading4"/>
      </w:pPr>
      <w:bookmarkStart w:id="1066" w:name="_Toc401089825"/>
      <w:bookmarkStart w:id="1067" w:name="_Toc401089913"/>
      <w:bookmarkStart w:id="1068" w:name="_Toc405371185"/>
      <w:bookmarkStart w:id="1069" w:name="_Toc405898090"/>
      <w:bookmarkStart w:id="1070" w:name="_Toc405975471"/>
      <w:r>
        <w:t>Subdivision 1 — Assessments and opinions</w:t>
      </w:r>
      <w:bookmarkEnd w:id="1066"/>
      <w:bookmarkEnd w:id="1067"/>
      <w:bookmarkEnd w:id="1068"/>
      <w:bookmarkEnd w:id="1069"/>
      <w:bookmarkEnd w:id="1070"/>
    </w:p>
    <w:p>
      <w:pPr>
        <w:pStyle w:val="nzHeading5"/>
      </w:pPr>
      <w:bookmarkStart w:id="1071" w:name="_Toc405898091"/>
      <w:bookmarkStart w:id="1072" w:name="_Toc405975472"/>
      <w:r>
        <w:t>45C.</w:t>
      </w:r>
      <w:r>
        <w:tab/>
        <w:t>Assessments and opinions as to occurrence of minor misconduct</w:t>
      </w:r>
      <w:bookmarkEnd w:id="1071"/>
      <w:bookmarkEnd w:id="1072"/>
    </w:p>
    <w:p>
      <w:pPr>
        <w:pStyle w:val="nzSubsection"/>
      </w:pPr>
      <w:r>
        <w:tab/>
        <w:t>(1)</w:t>
      </w:r>
      <w:r>
        <w:tab/>
        <w:t>Whether or not there has been an allegation of minor misconduct, the Public Sector Commissioner may make assessments and form opinions as to whether minor misconduct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 xml:space="preserve">The Public Sector Commissioner may make the assessments and form the opinions on the basis of all or any of the following — </w:t>
      </w:r>
    </w:p>
    <w:p>
      <w:pPr>
        <w:pStyle w:val="nzIndenta"/>
      </w:pPr>
      <w:r>
        <w:tab/>
        <w:t>(a)</w:t>
      </w:r>
      <w:r>
        <w:tab/>
        <w:t>consultations with the Commission, another independent agency or an appropriate authority;</w:t>
      </w:r>
    </w:p>
    <w:p>
      <w:pPr>
        <w:pStyle w:val="nzIndenta"/>
      </w:pPr>
      <w:r>
        <w:tab/>
        <w:t>(b)</w:t>
      </w:r>
      <w:r>
        <w:tab/>
        <w:t>inquiries and other action, whether conducted or taken in cooperation with the Commission, another independent agency or an appropriate authority or otherwise;</w:t>
      </w:r>
    </w:p>
    <w:p>
      <w:pPr>
        <w:pStyle w:val="nzIndenta"/>
      </w:pPr>
      <w:r>
        <w:tab/>
        <w:t>(c)</w:t>
      </w:r>
      <w:r>
        <w:tab/>
        <w:t>inquiries or other action conducted or taken by the Commission, another independent agency or an appropriate authority.</w:t>
      </w:r>
    </w:p>
    <w:p>
      <w:pPr>
        <w:pStyle w:val="nzSubsection"/>
      </w:pPr>
      <w:r>
        <w:tab/>
        <w:t>(3)</w:t>
      </w:r>
      <w:r>
        <w:tab/>
        <w:t xml:space="preserve">If the Public Sector Commissioner makes an assessment or forms an opinion under subsection (1) concerning minor misconduct, the Public Sector Commissioner may — </w:t>
      </w:r>
    </w:p>
    <w:p>
      <w:pPr>
        <w:pStyle w:val="nzIndenta"/>
      </w:pPr>
      <w:r>
        <w:tab/>
        <w:t>(a)</w:t>
      </w:r>
      <w:r>
        <w:tab/>
        <w:t>conduct a review in respect of part or all of the functions, management or operations of one or more notifying authorities in connection with the minor misconduct; or</w:t>
      </w:r>
    </w:p>
    <w:p>
      <w:pPr>
        <w:pStyle w:val="nz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nzSubsection"/>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nzIndenta"/>
      </w:pPr>
      <w:r>
        <w:tab/>
        <w:t>(a)</w:t>
      </w:r>
      <w:r>
        <w:tab/>
        <w:t>a reference to a review were a reference to a review under subsection (3)(a); and</w:t>
      </w:r>
    </w:p>
    <w:p>
      <w:pPr>
        <w:pStyle w:val="nzIndenta"/>
      </w:pPr>
      <w:r>
        <w:tab/>
        <w:t>(b)</w:t>
      </w:r>
      <w:r>
        <w:tab/>
        <w:t>a reference to a public sector body, or to the employing authority of a public sector body, were a reference to a notifying authority; and</w:t>
      </w:r>
    </w:p>
    <w:p>
      <w:pPr>
        <w:pStyle w:val="nzIndenta"/>
      </w:pPr>
      <w:r>
        <w:tab/>
        <w:t>(c)</w:t>
      </w:r>
      <w:r>
        <w:tab/>
        <w:t>a reference to an employee were a reference to a public officer.</w:t>
      </w:r>
    </w:p>
    <w:p>
      <w:pPr>
        <w:pStyle w:val="nzHeading4"/>
      </w:pPr>
      <w:bookmarkStart w:id="1073" w:name="_Toc401089827"/>
      <w:bookmarkStart w:id="1074" w:name="_Toc401089915"/>
      <w:bookmarkStart w:id="1075" w:name="_Toc405371187"/>
      <w:bookmarkStart w:id="1076" w:name="_Toc405898092"/>
      <w:bookmarkStart w:id="1077" w:name="_Toc405975473"/>
      <w:r>
        <w:t>Subdivision 2 — Allegations</w:t>
      </w:r>
      <w:bookmarkEnd w:id="1073"/>
      <w:bookmarkEnd w:id="1074"/>
      <w:bookmarkEnd w:id="1075"/>
      <w:bookmarkEnd w:id="1076"/>
      <w:bookmarkEnd w:id="1077"/>
    </w:p>
    <w:p>
      <w:pPr>
        <w:pStyle w:val="nzHeading5"/>
      </w:pPr>
      <w:bookmarkStart w:id="1078" w:name="_Toc405898093"/>
      <w:bookmarkStart w:id="1079" w:name="_Toc405975474"/>
      <w:r>
        <w:t>45D.</w:t>
      </w:r>
      <w:r>
        <w:tab/>
        <w:t>Allegations of minor misconduct</w:t>
      </w:r>
      <w:bookmarkEnd w:id="1078"/>
      <w:bookmarkEnd w:id="1079"/>
    </w:p>
    <w:p>
      <w:pPr>
        <w:pStyle w:val="nzSubsection"/>
      </w:pPr>
      <w:r>
        <w:tab/>
        <w:t>(1)</w:t>
      </w:r>
      <w:r>
        <w:tab/>
        <w:t xml:space="preserve">Subject to section 45G, the Public Sector Commissioner — </w:t>
      </w:r>
    </w:p>
    <w:p>
      <w:pPr>
        <w:pStyle w:val="nzIndenta"/>
      </w:pPr>
      <w:r>
        <w:tab/>
        <w:t>(a)</w:t>
      </w:r>
      <w:r>
        <w:tab/>
        <w:t xml:space="preserve">is to receive allegations of minor misconduct by way of — </w:t>
      </w:r>
    </w:p>
    <w:p>
      <w:pPr>
        <w:pStyle w:val="nzIndenti"/>
      </w:pPr>
      <w:r>
        <w:tab/>
        <w:t>(i)</w:t>
      </w:r>
      <w:r>
        <w:tab/>
        <w:t xml:space="preserve">reports under section 45E(1); and </w:t>
      </w:r>
    </w:p>
    <w:p>
      <w:pPr>
        <w:pStyle w:val="nzIndenti"/>
      </w:pPr>
      <w:r>
        <w:tab/>
        <w:t>(ii)</w:t>
      </w:r>
      <w:r>
        <w:tab/>
        <w:t>matters notified under section 45H(2);</w:t>
      </w:r>
    </w:p>
    <w:p>
      <w:pPr>
        <w:pStyle w:val="nzIndenta"/>
      </w:pPr>
      <w:r>
        <w:tab/>
      </w:r>
      <w:r>
        <w:tab/>
        <w:t>and</w:t>
      </w:r>
    </w:p>
    <w:p>
      <w:pPr>
        <w:pStyle w:val="nzIndenta"/>
      </w:pPr>
      <w:r>
        <w:tab/>
        <w:t>(b)</w:t>
      </w:r>
      <w:r>
        <w:tab/>
        <w:t>may initiate allegations of minor misconduct by way of propositions under section 45F(1).</w:t>
      </w:r>
    </w:p>
    <w:p>
      <w:pPr>
        <w:pStyle w:val="nz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nzHeading5"/>
      </w:pPr>
      <w:bookmarkStart w:id="1080" w:name="_Toc405898094"/>
      <w:bookmarkStart w:id="1081" w:name="_Toc405975475"/>
      <w:r>
        <w:t>45E.</w:t>
      </w:r>
      <w:r>
        <w:tab/>
        <w:t>Any person may report minor misconduct</w:t>
      </w:r>
      <w:bookmarkEnd w:id="1080"/>
      <w:bookmarkEnd w:id="1081"/>
    </w:p>
    <w:p>
      <w:pPr>
        <w:pStyle w:val="nzSubsection"/>
      </w:pPr>
      <w:r>
        <w:tab/>
        <w:t>(1)</w:t>
      </w:r>
      <w:r>
        <w:tab/>
        <w:t xml:space="preserve">A public officer or any other person may report to the Public Sector Commissioner any matter which that person suspects on reasonable grounds concerns or may concern minor misconduct that —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A report may be made to the Public Sector Commissioner orally or in writing.</w:t>
      </w:r>
    </w:p>
    <w:p>
      <w:pPr>
        <w:pStyle w:val="nzSubsection"/>
      </w:pPr>
      <w:r>
        <w:tab/>
        <w:t>(3)</w:t>
      </w:r>
      <w:r>
        <w:tab/>
        <w:t xml:space="preserve">This section has effect despite — </w:t>
      </w:r>
    </w:p>
    <w:p>
      <w:pPr>
        <w:pStyle w:val="nzIndenta"/>
      </w:pPr>
      <w:r>
        <w:tab/>
        <w:t>(a)</w:t>
      </w:r>
      <w:r>
        <w:tab/>
        <w:t>the provisions of any other Act, whether enacted before or after this Act; and</w:t>
      </w:r>
    </w:p>
    <w:p>
      <w:pPr>
        <w:pStyle w:val="nzIndenta"/>
      </w:pPr>
      <w:r>
        <w:tab/>
        <w:t>(b)</w:t>
      </w:r>
      <w:r>
        <w:tab/>
        <w:t>any obligation the person has to maintain confidentiality about a matter to which the allegation relates.</w:t>
      </w:r>
    </w:p>
    <w:p>
      <w:pPr>
        <w:pStyle w:val="nzSubsection"/>
      </w:pPr>
      <w:r>
        <w:tab/>
        <w:t>(4)</w:t>
      </w:r>
      <w:r>
        <w:tab/>
        <w:t>A person who exercises the power conferred by subsection (1) does not commit an offence by reason of that exercise.</w:t>
      </w:r>
    </w:p>
    <w:p>
      <w:pPr>
        <w:pStyle w:val="nzSubsection"/>
      </w:pPr>
      <w:r>
        <w:tab/>
        <w:t>(5)</w:t>
      </w:r>
      <w:r>
        <w:tab/>
        <w:t xml:space="preserve">A person who makes a report under this section and who does so — </w:t>
      </w:r>
    </w:p>
    <w:p>
      <w:pPr>
        <w:pStyle w:val="nzIndenta"/>
      </w:pPr>
      <w:r>
        <w:tab/>
        <w:t>(a)</w:t>
      </w:r>
      <w:r>
        <w:tab/>
        <w:t>knowing that the content of the report is false or misleading in a material respect; or</w:t>
      </w:r>
    </w:p>
    <w:p>
      <w:pPr>
        <w:pStyle w:val="nzIndenta"/>
      </w:pPr>
      <w:r>
        <w:tab/>
        <w:t>(b)</w:t>
      </w:r>
      <w:r>
        <w:tab/>
        <w:t>maliciously or recklessly,</w:t>
      </w:r>
    </w:p>
    <w:p>
      <w:pPr>
        <w:pStyle w:val="nzSubsection"/>
      </w:pPr>
      <w:r>
        <w:tab/>
      </w:r>
      <w:r>
        <w:tab/>
        <w:t>is guilty of a crime.</w:t>
      </w:r>
    </w:p>
    <w:p>
      <w:pPr>
        <w:pStyle w:val="nzPenstart"/>
      </w:pPr>
      <w:r>
        <w:tab/>
        <w:t>Penalty: a fine of $60 000 and imprisonment for 3 years.</w:t>
      </w:r>
    </w:p>
    <w:p>
      <w:pPr>
        <w:pStyle w:val="nzPenstart"/>
      </w:pPr>
      <w:r>
        <w:tab/>
        <w:t>Summary conviction penalty: a fine of $10 000.</w:t>
      </w:r>
    </w:p>
    <w:p>
      <w:pPr>
        <w:pStyle w:val="nzSubsection"/>
      </w:pPr>
      <w:r>
        <w:tab/>
        <w:t>(6)</w:t>
      </w:r>
      <w:r>
        <w:tab/>
        <w:t>A charge cannot be brought against a person under subsection (5) other than by the Director of Public Prosecutions.</w:t>
      </w:r>
    </w:p>
    <w:p>
      <w:pPr>
        <w:pStyle w:val="nzSubsection"/>
      </w:pPr>
      <w:r>
        <w:tab/>
        <w:t>(7)</w:t>
      </w:r>
      <w:r>
        <w:tab/>
        <w:t>A publication by —</w:t>
      </w:r>
    </w:p>
    <w:p>
      <w:pPr>
        <w:pStyle w:val="nzIndenta"/>
      </w:pPr>
      <w:r>
        <w:tab/>
        <w:t>(a)</w:t>
      </w:r>
      <w:r>
        <w:tab/>
        <w:t>a complainant; or</w:t>
      </w:r>
    </w:p>
    <w:p>
      <w:pPr>
        <w:pStyle w:val="nzIndenta"/>
      </w:pPr>
      <w:r>
        <w:tab/>
        <w:t>(b)</w:t>
      </w:r>
      <w:r>
        <w:tab/>
        <w:t>a person who has relied upon information derived from a complainant; or</w:t>
      </w:r>
    </w:p>
    <w:p>
      <w:pPr>
        <w:pStyle w:val="nzIndenta"/>
      </w:pPr>
      <w:r>
        <w:tab/>
        <w:t>(c)</w:t>
      </w:r>
      <w:r>
        <w:tab/>
        <w:t>a person who has no reliable source of knowledge (which is to be presumed in the absence of proof to the contrary),</w:t>
      </w:r>
    </w:p>
    <w:p>
      <w:pPr>
        <w:pStyle w:val="nzSubsection"/>
      </w:pPr>
      <w:r>
        <w:tab/>
      </w:r>
      <w:r>
        <w:tab/>
        <w:t>that an allegation has been made about a person to the Public Sector Commissioner carries with it an inference that there were reasonable grounds for making the complaint.</w:t>
      </w:r>
    </w:p>
    <w:p>
      <w:pPr>
        <w:pStyle w:val="nzHeading5"/>
      </w:pPr>
      <w:bookmarkStart w:id="1082" w:name="_Toc405898095"/>
      <w:bookmarkStart w:id="1083" w:name="_Toc405975476"/>
      <w:r>
        <w:t>45F.</w:t>
      </w:r>
      <w:r>
        <w:tab/>
        <w:t>Public Sector Commissioner may make proposition about minor misconduct</w:t>
      </w:r>
      <w:bookmarkEnd w:id="1082"/>
      <w:bookmarkEnd w:id="1083"/>
    </w:p>
    <w:p>
      <w:pPr>
        <w:pStyle w:val="nzSubsection"/>
      </w:pPr>
      <w:r>
        <w:tab/>
        <w:t>(1)</w:t>
      </w:r>
      <w:r>
        <w:tab/>
        <w:t xml:space="preserve">The Public Sector Commissioner may make a proposition that minor misconduct —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A proposition under subsection (1) may be based on the Public Sector Commissioner’s own experience and knowledge and made independently of any allegation referred to in section 45E(1).</w:t>
      </w:r>
    </w:p>
    <w:p>
      <w:pPr>
        <w:pStyle w:val="nzHeading5"/>
      </w:pPr>
      <w:bookmarkStart w:id="1084" w:name="_Toc405898096"/>
      <w:bookmarkStart w:id="1085" w:name="_Toc405975477"/>
      <w:r>
        <w:t>45G.</w:t>
      </w:r>
      <w:r>
        <w:tab/>
        <w:t>Allegation about Commission, Public Sector Commissioner, Parliamentary Inspector or judicial officer not to be received or initiated</w:t>
      </w:r>
      <w:bookmarkEnd w:id="1084"/>
      <w:bookmarkEnd w:id="1085"/>
    </w:p>
    <w:p>
      <w:pPr>
        <w:pStyle w:val="nzSubsection"/>
      </w:pPr>
      <w:r>
        <w:tab/>
      </w:r>
      <w:r>
        <w:tab/>
        <w:t xml:space="preserve">The Public Sector Commissioner must not receive or initiate an allegation about a person in the person’s capacity as any of the following — </w:t>
      </w:r>
    </w:p>
    <w:p>
      <w:pPr>
        <w:pStyle w:val="nzIndenta"/>
      </w:pPr>
      <w:r>
        <w:tab/>
        <w:t>(a)</w:t>
      </w:r>
      <w:r>
        <w:tab/>
        <w:t>the holder of the office of Commissioner, whether the person is appointed under section 9 or 14;</w:t>
      </w:r>
    </w:p>
    <w:p>
      <w:pPr>
        <w:pStyle w:val="nzIndenta"/>
      </w:pPr>
      <w:r>
        <w:tab/>
        <w:t>(b)</w:t>
      </w:r>
      <w:r>
        <w:tab/>
        <w:t>an officer of the Commission;</w:t>
      </w:r>
    </w:p>
    <w:p>
      <w:pPr>
        <w:pStyle w:val="nzIndenta"/>
      </w:pPr>
      <w:r>
        <w:tab/>
        <w:t>(c)</w:t>
      </w:r>
      <w:r>
        <w:tab/>
        <w:t>the Public Sector Commissioner;</w:t>
      </w:r>
    </w:p>
    <w:p>
      <w:pPr>
        <w:pStyle w:val="nzIndenta"/>
      </w:pPr>
      <w:r>
        <w:tab/>
        <w:t>(d)</w:t>
      </w:r>
      <w:r>
        <w:tab/>
        <w:t>the Parliamentary Inspector;</w:t>
      </w:r>
    </w:p>
    <w:p>
      <w:pPr>
        <w:pStyle w:val="nzIndenta"/>
      </w:pPr>
      <w:r>
        <w:tab/>
        <w:t>(e)</w:t>
      </w:r>
      <w:r>
        <w:tab/>
        <w:t>an officer of the Parliamentary Inspector;</w:t>
      </w:r>
    </w:p>
    <w:p>
      <w:pPr>
        <w:pStyle w:val="nzIndenta"/>
      </w:pPr>
      <w:r>
        <w:tab/>
        <w:t>(f)</w:t>
      </w:r>
      <w:r>
        <w:tab/>
        <w:t xml:space="preserve">the holder of a judicial office as defined in </w:t>
      </w:r>
      <w:r>
        <w:rPr>
          <w:i/>
        </w:rPr>
        <w:t>The Criminal Code</w:t>
      </w:r>
      <w:r>
        <w:t xml:space="preserve"> section 121.</w:t>
      </w:r>
    </w:p>
    <w:p>
      <w:pPr>
        <w:pStyle w:val="nzHeading4"/>
      </w:pPr>
      <w:bookmarkStart w:id="1086" w:name="_Toc401089832"/>
      <w:bookmarkStart w:id="1087" w:name="_Toc401089920"/>
      <w:bookmarkStart w:id="1088" w:name="_Toc405371192"/>
      <w:bookmarkStart w:id="1089" w:name="_Toc405898097"/>
      <w:bookmarkStart w:id="1090" w:name="_Toc405975478"/>
      <w:r>
        <w:t>Subdivision 3 — Duty to notify</w:t>
      </w:r>
      <w:bookmarkEnd w:id="1086"/>
      <w:bookmarkEnd w:id="1087"/>
      <w:bookmarkEnd w:id="1088"/>
      <w:bookmarkEnd w:id="1089"/>
      <w:bookmarkEnd w:id="1090"/>
    </w:p>
    <w:p>
      <w:pPr>
        <w:pStyle w:val="nzHeading5"/>
      </w:pPr>
      <w:bookmarkStart w:id="1091" w:name="_Toc405898098"/>
      <w:bookmarkStart w:id="1092" w:name="_Toc405975479"/>
      <w:r>
        <w:t>45H.</w:t>
      </w:r>
      <w:r>
        <w:tab/>
        <w:t>Certain officers obliged to notify minor misconduct</w:t>
      </w:r>
      <w:bookmarkEnd w:id="1091"/>
      <w:bookmarkEnd w:id="1092"/>
    </w:p>
    <w:p>
      <w:pPr>
        <w:pStyle w:val="nzSubsection"/>
      </w:pPr>
      <w:r>
        <w:tab/>
        <w:t>(1)</w:t>
      </w:r>
      <w:r>
        <w:tab/>
        <w:t xml:space="preserve">This section applies to the following persons — </w:t>
      </w:r>
    </w:p>
    <w:p>
      <w:pPr>
        <w:pStyle w:val="nzIndenta"/>
      </w:pPr>
      <w:r>
        <w:tab/>
        <w:t>(a)</w:t>
      </w:r>
      <w:r>
        <w:tab/>
        <w:t>the Parliamentary Commissioner;</w:t>
      </w:r>
    </w:p>
    <w:p>
      <w:pPr>
        <w:pStyle w:val="nzIndenta"/>
      </w:pPr>
      <w:r>
        <w:tab/>
        <w:t>(b)</w:t>
      </w:r>
      <w:r>
        <w:tab/>
        <w:t>the Inspector of Custodial Services;</w:t>
      </w:r>
    </w:p>
    <w:p>
      <w:pPr>
        <w:pStyle w:val="nzIndenta"/>
      </w:pPr>
      <w:r>
        <w:tab/>
        <w:t>(c)</w:t>
      </w:r>
      <w:r>
        <w:tab/>
        <w:t>the principal officer of a notifying authority;</w:t>
      </w:r>
    </w:p>
    <w:p>
      <w:pPr>
        <w:pStyle w:val="nzIndenta"/>
      </w:pPr>
      <w:r>
        <w:tab/>
        <w:t>(d)</w:t>
      </w:r>
      <w:r>
        <w:tab/>
        <w:t>an officer who constitutes a notifying authority.</w:t>
      </w:r>
    </w:p>
    <w:p>
      <w:pPr>
        <w:pStyle w:val="nzSubsection"/>
      </w:pPr>
      <w:r>
        <w:tab/>
        <w:t>(2)</w:t>
      </w:r>
      <w:r>
        <w:tab/>
        <w:t xml:space="preserve">Subject to subsections (4) and (5), a person to whom this section applies must notify the Public Sector Commissioner in writing of any matter — </w:t>
      </w:r>
    </w:p>
    <w:p>
      <w:pPr>
        <w:pStyle w:val="nzIndenta"/>
      </w:pPr>
      <w:r>
        <w:tab/>
        <w:t>(a)</w:t>
      </w:r>
      <w:r>
        <w:tab/>
        <w:t>which that person suspects on reasonable grounds concerns or may concern minor misconduct; and</w:t>
      </w:r>
    </w:p>
    <w:p>
      <w:pPr>
        <w:pStyle w:val="nzIndenta"/>
      </w:pPr>
      <w:r>
        <w:tab/>
        <w:t>(b)</w:t>
      </w:r>
      <w:r>
        <w:tab/>
        <w:t>which, in the case of a person referred to in subsection (1)(c) or (d), is of relevance or concern to that person in his or her official capacity.</w:t>
      </w:r>
    </w:p>
    <w:p>
      <w:pPr>
        <w:pStyle w:val="nzSubsection"/>
      </w:pPr>
      <w:r>
        <w:tab/>
        <w:t>(3)</w:t>
      </w:r>
      <w:r>
        <w:tab/>
        <w:t>The Public Sector Commissioner must be notified under subsection (2) as soon as is reasonably practicable after the person becomes aware of the matter.</w:t>
      </w:r>
    </w:p>
    <w:p>
      <w:pPr>
        <w:pStyle w:val="nzSubsection"/>
      </w:pPr>
      <w:r>
        <w:tab/>
        <w:t>(4)</w:t>
      </w:r>
      <w:r>
        <w:tab/>
        <w:t xml:space="preserve">A person to whom this section applies is not required to notify the Public Sector Commissioner of — </w:t>
      </w:r>
    </w:p>
    <w:p>
      <w:pPr>
        <w:pStyle w:val="nzIndenta"/>
      </w:pPr>
      <w:r>
        <w:tab/>
        <w:t>(a)</w:t>
      </w:r>
      <w:r>
        <w:tab/>
        <w:t xml:space="preserve">a matter that — </w:t>
      </w:r>
    </w:p>
    <w:p>
      <w:pPr>
        <w:pStyle w:val="nzIndenti"/>
      </w:pPr>
      <w:r>
        <w:tab/>
        <w:t>(i)</w:t>
      </w:r>
      <w:r>
        <w:tab/>
        <w:t>is being dealt with by that person, or the notifying authority of which that person is the principal officer, under section 45M(b); or</w:t>
      </w:r>
    </w:p>
    <w:p>
      <w:pPr>
        <w:pStyle w:val="nzIndenti"/>
      </w:pPr>
      <w:r>
        <w:tab/>
        <w:t>(ii)</w:t>
      </w:r>
      <w:r>
        <w:tab/>
        <w:t>is referred to that person, or the notifying authority of which that person is the principal officer, by the Public Sector Commissioner under section 45M(c);</w:t>
      </w:r>
    </w:p>
    <w:p>
      <w:pPr>
        <w:pStyle w:val="nzIndenta"/>
      </w:pPr>
      <w:r>
        <w:tab/>
      </w:r>
      <w:r>
        <w:tab/>
        <w:t>or</w:t>
      </w:r>
    </w:p>
    <w:p>
      <w:pPr>
        <w:pStyle w:val="nzIndenta"/>
      </w:pPr>
      <w:r>
        <w:tab/>
        <w:t>(b)</w:t>
      </w:r>
      <w:r>
        <w:tab/>
        <w:t xml:space="preserve">a matter that — </w:t>
      </w:r>
    </w:p>
    <w:p>
      <w:pPr>
        <w:pStyle w:val="nzIndenti"/>
      </w:pPr>
      <w:r>
        <w:tab/>
        <w:t>(i)</w:t>
      </w:r>
      <w:r>
        <w:tab/>
        <w:t>is referred to that person, or a notifying authority of which that person is the principal officer, by the Parliamentary Inspector under section 196(3)(f); and</w:t>
      </w:r>
    </w:p>
    <w:p>
      <w:pPr>
        <w:pStyle w:val="nzIndenti"/>
      </w:pPr>
      <w:r>
        <w:tab/>
        <w:t>(ii)</w:t>
      </w:r>
      <w:r>
        <w:tab/>
        <w:t>relates to conduct by the holder of the office of Commissioner, whether the person is appointed under section 9 or 14, or by an officer of the Commission or an officer of the Parliamentary Inspector.</w:t>
      </w:r>
    </w:p>
    <w:p>
      <w:pPr>
        <w:pStyle w:val="nzSubsection"/>
      </w:pPr>
      <w:r>
        <w:tab/>
        <w:t>(5)</w:t>
      </w:r>
      <w:r>
        <w:tab/>
        <w:t xml:space="preserve">The Director of Public Prosecutions is not required to notify the Public Sector Commissioner of a matter if the matter does not relate to conduct by — </w:t>
      </w:r>
    </w:p>
    <w:p>
      <w:pPr>
        <w:pStyle w:val="nzIndenta"/>
      </w:pPr>
      <w:r>
        <w:tab/>
        <w:t>(a)</w:t>
      </w:r>
      <w:r>
        <w:tab/>
        <w:t xml:space="preserve">the Deputy Director as defined in the </w:t>
      </w:r>
      <w:r>
        <w:rPr>
          <w:i/>
        </w:rPr>
        <w:t>Director of Public Prosecutions Act 1991</w:t>
      </w:r>
      <w:r>
        <w:t xml:space="preserve"> section 3; or</w:t>
      </w:r>
    </w:p>
    <w:p>
      <w:pPr>
        <w:pStyle w:val="nz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nzHeading5"/>
      </w:pPr>
      <w:bookmarkStart w:id="1093" w:name="_Toc405898099"/>
      <w:bookmarkStart w:id="1094" w:name="_Toc405975480"/>
      <w:r>
        <w:t>45I.</w:t>
      </w:r>
      <w:r>
        <w:tab/>
        <w:t>Duty to notify under s. 45H is paramount</w:t>
      </w:r>
      <w:bookmarkEnd w:id="1093"/>
      <w:bookmarkEnd w:id="1094"/>
    </w:p>
    <w:p>
      <w:pPr>
        <w:pStyle w:val="nzSubsection"/>
      </w:pPr>
      <w:r>
        <w:tab/>
        <w:t>(1)</w:t>
      </w:r>
      <w:r>
        <w:tab/>
        <w:t xml:space="preserve">The duty of a person to make a notification under section 45H must be complied with despite — </w:t>
      </w:r>
    </w:p>
    <w:p>
      <w:pPr>
        <w:pStyle w:val="nzIndenta"/>
      </w:pPr>
      <w:r>
        <w:tab/>
        <w:t>(a)</w:t>
      </w:r>
      <w:r>
        <w:tab/>
        <w:t>the provisions of any other Act, whether enacted before or after this Act; or</w:t>
      </w:r>
    </w:p>
    <w:p>
      <w:pPr>
        <w:pStyle w:val="nzIndenta"/>
      </w:pPr>
      <w:r>
        <w:tab/>
        <w:t>(b)</w:t>
      </w:r>
      <w:r>
        <w:tab/>
        <w:t>any obligation the person has to maintain confidentiality about a matter to which the allegation relates,</w:t>
      </w:r>
    </w:p>
    <w:p>
      <w:pPr>
        <w:pStyle w:val="nzSubsection"/>
      </w:pPr>
      <w:r>
        <w:tab/>
      </w:r>
      <w:r>
        <w:tab/>
        <w:t>and the person does not commit an offence by reason of that compliance.</w:t>
      </w:r>
    </w:p>
    <w:p>
      <w:pPr>
        <w:pStyle w:val="nzSubsection"/>
      </w:pPr>
      <w:r>
        <w:tab/>
        <w:t>(2)</w:t>
      </w:r>
      <w:r>
        <w:tab/>
        <w:t>Subsection (1) does not affect an obligation under another written law to notify minor misconduct.</w:t>
      </w:r>
    </w:p>
    <w:p>
      <w:pPr>
        <w:pStyle w:val="nzHeading5"/>
      </w:pPr>
      <w:bookmarkStart w:id="1095" w:name="_Toc405898100"/>
      <w:bookmarkStart w:id="1096" w:name="_Toc405975481"/>
      <w:r>
        <w:t>45J.</w:t>
      </w:r>
      <w:r>
        <w:tab/>
        <w:t>Public Sector Commissioner may issue guidelines about notifications</w:t>
      </w:r>
      <w:bookmarkEnd w:id="1095"/>
      <w:bookmarkEnd w:id="1096"/>
    </w:p>
    <w:p>
      <w:pPr>
        <w:pStyle w:val="nzSubsection"/>
      </w:pPr>
      <w:r>
        <w:tab/>
        <w:t>(1)</w:t>
      </w:r>
      <w:r>
        <w:tab/>
        <w:t>The Public Sector Commissioner may issue guidelines about —</w:t>
      </w:r>
    </w:p>
    <w:p>
      <w:pPr>
        <w:pStyle w:val="nzIndenta"/>
      </w:pPr>
      <w:r>
        <w:tab/>
        <w:t>(a)</w:t>
      </w:r>
      <w:r>
        <w:tab/>
        <w:t>what matters are or are not required to be notified to the Public Sector Commissioner under section 45H; and</w:t>
      </w:r>
    </w:p>
    <w:p>
      <w:pPr>
        <w:pStyle w:val="nzIndenta"/>
      </w:pPr>
      <w:r>
        <w:tab/>
        <w:t>(b)</w:t>
      </w:r>
      <w:r>
        <w:tab/>
        <w:t>what reports are required with respect to such matters.</w:t>
      </w:r>
    </w:p>
    <w:p>
      <w:pPr>
        <w:pStyle w:val="nzSubsection"/>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nzSubsection"/>
      </w:pPr>
      <w:r>
        <w:tab/>
        <w:t>(3)</w:t>
      </w:r>
      <w:r>
        <w:tab/>
        <w:t>The Public Sector Commissioner may deal with a matter reported on under subsection (2) as if it were a matter notified under section 45H.</w:t>
      </w:r>
    </w:p>
    <w:p>
      <w:pPr>
        <w:pStyle w:val="nzHeading5"/>
      </w:pPr>
      <w:bookmarkStart w:id="1097" w:name="_Toc405898101"/>
      <w:bookmarkStart w:id="1098" w:name="_Toc405975482"/>
      <w:r>
        <w:t>45K.</w:t>
      </w:r>
      <w:r>
        <w:tab/>
        <w:t>Public Sector Commissioner may report breach of duty to report or notify</w:t>
      </w:r>
      <w:bookmarkEnd w:id="1097"/>
      <w:bookmarkEnd w:id="1098"/>
    </w:p>
    <w:p>
      <w:pPr>
        <w:pStyle w:val="nzSubsection"/>
      </w:pPr>
      <w:r>
        <w:tab/>
      </w:r>
      <w:r>
        <w:tab/>
        <w:t>If a person to whom section 45H or 45J applies does not comply with the duty to make a notification or report under that section, the Public Sector Commissioner may report that non</w:t>
      </w:r>
      <w:r>
        <w:noBreakHyphen/>
        <w:t xml:space="preserve">compliance — </w:t>
      </w:r>
    </w:p>
    <w:p>
      <w:pPr>
        <w:pStyle w:val="nz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nzIndenta"/>
      </w:pPr>
      <w:r>
        <w:tab/>
        <w:t>(b)</w:t>
      </w:r>
      <w:r>
        <w:tab/>
        <w:t>in any other case — to a person or body that has the power to take disciplinary action against the person to whom section 45H or 45J applies.</w:t>
      </w:r>
    </w:p>
    <w:p>
      <w:pPr>
        <w:pStyle w:val="nzHeading4"/>
      </w:pPr>
      <w:bookmarkStart w:id="1099" w:name="_Toc401089837"/>
      <w:bookmarkStart w:id="1100" w:name="_Toc401089925"/>
      <w:bookmarkStart w:id="1101" w:name="_Toc405371197"/>
      <w:bookmarkStart w:id="1102" w:name="_Toc405898102"/>
      <w:bookmarkStart w:id="1103" w:name="_Toc405975483"/>
      <w:r>
        <w:t>Subdivision 4 — Assessments, opinions and investigations</w:t>
      </w:r>
      <w:bookmarkEnd w:id="1099"/>
      <w:bookmarkEnd w:id="1100"/>
      <w:bookmarkEnd w:id="1101"/>
      <w:bookmarkEnd w:id="1102"/>
      <w:bookmarkEnd w:id="1103"/>
    </w:p>
    <w:p>
      <w:pPr>
        <w:pStyle w:val="nzHeading5"/>
      </w:pPr>
      <w:bookmarkStart w:id="1104" w:name="_Toc405898103"/>
      <w:bookmarkStart w:id="1105" w:name="_Toc405975484"/>
      <w:r>
        <w:t>45L.</w:t>
      </w:r>
      <w:r>
        <w:tab/>
        <w:t>Dealing with allegations</w:t>
      </w:r>
      <w:bookmarkEnd w:id="1104"/>
      <w:bookmarkEnd w:id="1105"/>
    </w:p>
    <w:p>
      <w:pPr>
        <w:pStyle w:val="nzSubsection"/>
      </w:pPr>
      <w:r>
        <w:tab/>
        <w:t>(1)</w:t>
      </w:r>
      <w:r>
        <w:tab/>
        <w:t xml:space="preserve">The Public Sector Commissioner is to deal with an allegation by — </w:t>
      </w:r>
    </w:p>
    <w:p>
      <w:pPr>
        <w:pStyle w:val="nzIndenta"/>
      </w:pPr>
      <w:r>
        <w:tab/>
        <w:t>(a)</w:t>
      </w:r>
      <w:r>
        <w:tab/>
        <w:t>assessing the allegation and forming an opinion under section 45C; and</w:t>
      </w:r>
    </w:p>
    <w:p>
      <w:pPr>
        <w:pStyle w:val="nzIndenta"/>
      </w:pPr>
      <w:r>
        <w:tab/>
        <w:t>(b)</w:t>
      </w:r>
      <w:r>
        <w:tab/>
        <w:t>making a decision under section 45M that the Public Sector Commissioner considers appropriate in the circumstances.</w:t>
      </w:r>
    </w:p>
    <w:p>
      <w:pPr>
        <w:pStyle w:val="nzSubsection"/>
      </w:pPr>
      <w:r>
        <w:tab/>
        <w:t>(2)</w:t>
      </w:r>
      <w:r>
        <w:tab/>
        <w:t>For the purposes of subsection (1), the Public Sector Commissioner may conduct a preliminary inquiry into the allegation.</w:t>
      </w:r>
    </w:p>
    <w:p>
      <w:pPr>
        <w:pStyle w:val="nz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nzHeading5"/>
      </w:pPr>
      <w:bookmarkStart w:id="1106" w:name="_Toc405898104"/>
      <w:bookmarkStart w:id="1107" w:name="_Toc405975485"/>
      <w:r>
        <w:t>45M.</w:t>
      </w:r>
      <w:r>
        <w:tab/>
        <w:t>Decision on further action on allegation</w:t>
      </w:r>
      <w:bookmarkEnd w:id="1106"/>
      <w:bookmarkEnd w:id="1107"/>
    </w:p>
    <w:p>
      <w:pPr>
        <w:pStyle w:val="nzSubsection"/>
      </w:pPr>
      <w:r>
        <w:tab/>
      </w:r>
      <w:r>
        <w:tab/>
        <w:t xml:space="preserve">Having made an assessment of an allegation, the Public Sector Commissioner may decide to do any of the following — </w:t>
      </w:r>
    </w:p>
    <w:p>
      <w:pPr>
        <w:pStyle w:val="nzIndenta"/>
      </w:pPr>
      <w:r>
        <w:tab/>
        <w:t>(a)</w:t>
      </w:r>
      <w:r>
        <w:tab/>
        <w:t>inquire into or take other action in relation to the allegation without the involvement of the Commission, another independent agency or an appropriate authority;</w:t>
      </w:r>
    </w:p>
    <w:p>
      <w:pPr>
        <w:pStyle w:val="nzIndenta"/>
      </w:pPr>
      <w:r>
        <w:tab/>
        <w:t>(b)</w:t>
      </w:r>
      <w:r>
        <w:tab/>
        <w:t>inquire into or take other action in relation to the allegation in cooperation with the Commission, another independent agency or an appropriate authority;</w:t>
      </w:r>
    </w:p>
    <w:p>
      <w:pPr>
        <w:pStyle w:val="nzIndenta"/>
      </w:pPr>
      <w:r>
        <w:tab/>
        <w:t>(c)</w:t>
      </w:r>
      <w:r>
        <w:tab/>
        <w:t>refer the allegation to another independent agency or an appropriate authority for action in accordance with sections 45R(1) and 45S(1), and those sections apply accordingly;</w:t>
      </w:r>
    </w:p>
    <w:p>
      <w:pPr>
        <w:pStyle w:val="nzIndenta"/>
      </w:pPr>
      <w:r>
        <w:tab/>
        <w:t>(d)</w:t>
      </w:r>
      <w:r>
        <w:tab/>
        <w:t>refer the allegation to the Commission in accordance with section 45T(1), and that section applies accordingly;</w:t>
      </w:r>
    </w:p>
    <w:p>
      <w:pPr>
        <w:pStyle w:val="nzIndenta"/>
      </w:pPr>
      <w:r>
        <w:tab/>
        <w:t>(e)</w:t>
      </w:r>
      <w:r>
        <w:tab/>
        <w:t>take no action.</w:t>
      </w:r>
    </w:p>
    <w:p>
      <w:pPr>
        <w:pStyle w:val="nzHeading5"/>
      </w:pPr>
      <w:bookmarkStart w:id="1108" w:name="_Toc405898105"/>
      <w:bookmarkStart w:id="1109" w:name="_Toc405975486"/>
      <w:r>
        <w:t>45N.</w:t>
      </w:r>
      <w:r>
        <w:tab/>
        <w:t>Matters to be considered in deciding who should take action</w:t>
      </w:r>
      <w:bookmarkEnd w:id="1108"/>
      <w:bookmarkEnd w:id="1109"/>
    </w:p>
    <w:p>
      <w:pPr>
        <w:pStyle w:val="nz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nzIndenta"/>
      </w:pPr>
      <w:r>
        <w:tab/>
        <w:t>(a)</w:t>
      </w:r>
      <w:r>
        <w:tab/>
        <w:t>has or may have occurred; or</w:t>
      </w:r>
    </w:p>
    <w:p>
      <w:pPr>
        <w:pStyle w:val="nzIndenta"/>
      </w:pPr>
      <w:r>
        <w:tab/>
        <w:t>(b)</w:t>
      </w:r>
      <w:r>
        <w:tab/>
        <w:t>is or may be occurring; or</w:t>
      </w:r>
    </w:p>
    <w:p>
      <w:pPr>
        <w:pStyle w:val="nzIndenta"/>
      </w:pPr>
      <w:r>
        <w:tab/>
        <w:t>(c)</w:t>
      </w:r>
      <w:r>
        <w:tab/>
        <w:t>is or may be about to occur; or</w:t>
      </w:r>
    </w:p>
    <w:p>
      <w:pPr>
        <w:pStyle w:val="nzIndenta"/>
      </w:pPr>
      <w:r>
        <w:tab/>
        <w:t>(d)</w:t>
      </w:r>
      <w:r>
        <w:tab/>
        <w:t>is likely to occur.</w:t>
      </w:r>
    </w:p>
    <w:p>
      <w:pPr>
        <w:pStyle w:val="nzSubsection"/>
      </w:pPr>
      <w:r>
        <w:tab/>
        <w:t>(2)</w:t>
      </w:r>
      <w:r>
        <w:tab/>
        <w:t xml:space="preserve">Without limiting the matters to which the Public Sector Commissioner may have regard when deciding whether or not to make a decision under section 45M(c), the Public Sector Commissioner is to have regard to the following — </w:t>
      </w:r>
    </w:p>
    <w:p>
      <w:pPr>
        <w:pStyle w:val="nzIndenta"/>
      </w:pPr>
      <w:r>
        <w:tab/>
        <w:t>(a)</w:t>
      </w:r>
      <w:r>
        <w:tab/>
        <w:t>the seniority of any public officer to whom the allegation relates;</w:t>
      </w:r>
    </w:p>
    <w:p>
      <w:pPr>
        <w:pStyle w:val="nzIndenta"/>
      </w:pPr>
      <w:r>
        <w:tab/>
        <w:t>(b)</w:t>
      </w:r>
      <w:r>
        <w:tab/>
        <w:t>the nature of the minor misconduct that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nzHeading5"/>
      </w:pPr>
      <w:bookmarkStart w:id="1110" w:name="_Toc405898106"/>
      <w:bookmarkStart w:id="1111" w:name="_Toc405975487"/>
      <w:r>
        <w:t>45O.</w:t>
      </w:r>
      <w:r>
        <w:tab/>
        <w:t>Informant to be notified of decision not to take action</w:t>
      </w:r>
      <w:bookmarkEnd w:id="1110"/>
      <w:bookmarkEnd w:id="1111"/>
    </w:p>
    <w:p>
      <w:pPr>
        <w:pStyle w:val="nzSubsection"/>
      </w:pPr>
      <w:r>
        <w:tab/>
      </w:r>
      <w:r>
        <w:tab/>
        <w:t>If —</w:t>
      </w:r>
    </w:p>
    <w:p>
      <w:pPr>
        <w:pStyle w:val="nzIndenta"/>
      </w:pPr>
      <w:r>
        <w:tab/>
        <w:t>(a)</w:t>
      </w:r>
      <w:r>
        <w:tab/>
        <w:t>a person makes an allegation under section 45E(1) or 45H(2); or</w:t>
      </w:r>
    </w:p>
    <w:p>
      <w:pPr>
        <w:pStyle w:val="nzIndenta"/>
      </w:pPr>
      <w:r>
        <w:tab/>
        <w:t>(b)</w:t>
      </w:r>
      <w:r>
        <w:tab/>
        <w:t xml:space="preserve">a complaint under the </w:t>
      </w:r>
      <w:r>
        <w:rPr>
          <w:i/>
        </w:rPr>
        <w:t>Parliamentary Commissioner Act 1971</w:t>
      </w:r>
      <w:r>
        <w:t xml:space="preserve"> is referred to the Public Sector Commissioner,</w:t>
      </w:r>
    </w:p>
    <w:p>
      <w:pPr>
        <w:pStyle w:val="nzSubsection"/>
      </w:pPr>
      <w:r>
        <w:tab/>
      </w:r>
      <w:r>
        <w:tab/>
        <w:t>and the Public Sector Commissioner decides to take no action, the Public Sector Commissioner must notify the person who made the allegation or complaint of the decision.</w:t>
      </w:r>
    </w:p>
    <w:p>
      <w:pPr>
        <w:pStyle w:val="nzHeading5"/>
      </w:pPr>
      <w:bookmarkStart w:id="1112" w:name="_Toc405898107"/>
      <w:bookmarkStart w:id="1113" w:name="_Toc405975488"/>
      <w:r>
        <w:t>45P.</w:t>
      </w:r>
      <w:r>
        <w:tab/>
        <w:t>Person to whom allegation relates can be advised of outcome of inquiry</w:t>
      </w:r>
      <w:bookmarkEnd w:id="1112"/>
      <w:bookmarkEnd w:id="1113"/>
    </w:p>
    <w:p>
      <w:pPr>
        <w:pStyle w:val="nzSubsection"/>
      </w:pPr>
      <w:r>
        <w:tab/>
      </w:r>
      <w:r>
        <w:tab/>
        <w:t>The Public Sector Commissioner may inform a person to whom an allegation relates as to the outcome of any inquiry conducted by the Public Sector Commissioner or an appropriate authority in relation to the allegation if —</w:t>
      </w:r>
    </w:p>
    <w:p>
      <w:pPr>
        <w:pStyle w:val="nzIndenta"/>
      </w:pPr>
      <w:r>
        <w:tab/>
        <w:t>(a)</w:t>
      </w:r>
      <w:r>
        <w:tab/>
        <w:t xml:space="preserve">the person requests the information; or </w:t>
      </w:r>
    </w:p>
    <w:p>
      <w:pPr>
        <w:pStyle w:val="nzIndenta"/>
      </w:pPr>
      <w:r>
        <w:tab/>
        <w:t>(b)</w:t>
      </w:r>
      <w:r>
        <w:tab/>
        <w:t>the Public Sector Commissioner considers that giving the information to the person is in the person’s best interests,</w:t>
      </w:r>
    </w:p>
    <w:p>
      <w:pPr>
        <w:pStyle w:val="nzSubsection"/>
      </w:pPr>
      <w:r>
        <w:tab/>
      </w:r>
      <w:r>
        <w:tab/>
        <w:t>and the Public Sector Commissioner considers that giving the information to the person is in the public interest.</w:t>
      </w:r>
    </w:p>
    <w:p>
      <w:pPr>
        <w:pStyle w:val="nzHeading5"/>
      </w:pPr>
      <w:bookmarkStart w:id="1114" w:name="_Toc405898108"/>
      <w:bookmarkStart w:id="1115" w:name="_Toc405975489"/>
      <w:r>
        <w:t>45Q.</w:t>
      </w:r>
      <w:r>
        <w:tab/>
        <w:t>Action by Public Sector Commissioner: special inquiry or investigation</w:t>
      </w:r>
      <w:bookmarkEnd w:id="1114"/>
      <w:bookmarkEnd w:id="1115"/>
    </w:p>
    <w:p>
      <w:pPr>
        <w:pStyle w:val="nzSubsection"/>
      </w:pPr>
      <w:r>
        <w:tab/>
        <w:t>(1)</w:t>
      </w:r>
      <w:r>
        <w:tab/>
        <w:t xml:space="preserve">If the Public Sector Commissioner decides to take action under section 45M(a) in relation to an allegation, the Public Sector Commissioner may — </w:t>
      </w:r>
    </w:p>
    <w:p>
      <w:pPr>
        <w:pStyle w:val="nzIndenta"/>
      </w:pPr>
      <w:r>
        <w:tab/>
        <w:t>(a)</w:t>
      </w:r>
      <w:r>
        <w:tab/>
        <w:t>arrange for the holding of a special inquiry into the allegation; or</w:t>
      </w:r>
    </w:p>
    <w:p>
      <w:pPr>
        <w:pStyle w:val="nzIndenta"/>
      </w:pPr>
      <w:r>
        <w:tab/>
        <w:t>(b)</w:t>
      </w:r>
      <w:r>
        <w:tab/>
        <w:t>investigate the allegation.</w:t>
      </w:r>
    </w:p>
    <w:p>
      <w:pPr>
        <w:pStyle w:val="nzSubsection"/>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nzIndenta"/>
      </w:pPr>
      <w:r>
        <w:tab/>
        <w:t>(a)</w:t>
      </w:r>
      <w:r>
        <w:tab/>
        <w:t>a reference to a special inquiry or investigation were a reference to a special inquiry or investigation under subsection (1); and</w:t>
      </w:r>
    </w:p>
    <w:p>
      <w:pPr>
        <w:pStyle w:val="nzIndenta"/>
      </w:pPr>
      <w:r>
        <w:tab/>
        <w:t>(b)</w:t>
      </w:r>
      <w:r>
        <w:tab/>
        <w:t>a reference to a public sector body were a reference to a notifying authority.</w:t>
      </w:r>
    </w:p>
    <w:p>
      <w:pPr>
        <w:pStyle w:val="nzSubsection"/>
      </w:pPr>
      <w:r>
        <w:tab/>
        <w:t>(3)</w:t>
      </w:r>
      <w:r>
        <w:tab/>
        <w:t>This section does not limit the action that the Public Sector Commissioner may take under section 45M(a).</w:t>
      </w:r>
    </w:p>
    <w:p>
      <w:pPr>
        <w:pStyle w:val="nzHeading5"/>
      </w:pPr>
      <w:bookmarkStart w:id="1116" w:name="_Toc405898109"/>
      <w:bookmarkStart w:id="1117" w:name="_Toc405975490"/>
      <w:r>
        <w:t>45R.</w:t>
      </w:r>
      <w:r>
        <w:tab/>
        <w:t>Referring allegation to independent agency or appropriate authority under s. 45M(c)</w:t>
      </w:r>
      <w:bookmarkEnd w:id="1116"/>
      <w:bookmarkEnd w:id="1117"/>
    </w:p>
    <w:p>
      <w:pPr>
        <w:pStyle w:val="nzSubsection"/>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nzSubsection"/>
      </w:pPr>
      <w:r>
        <w:tab/>
        <w:t>(2)</w:t>
      </w:r>
      <w:r>
        <w:tab/>
        <w:t xml:space="preserve">The allegation may be accompanied by a report, which may include — </w:t>
      </w:r>
    </w:p>
    <w:p>
      <w:pPr>
        <w:pStyle w:val="nzIndenta"/>
      </w:pPr>
      <w:r>
        <w:tab/>
        <w:t>(a)</w:t>
      </w:r>
      <w:r>
        <w:tab/>
        <w:t>a recommendation under section 45X; and</w:t>
      </w:r>
    </w:p>
    <w:p>
      <w:pPr>
        <w:pStyle w:val="nzIndenta"/>
      </w:pPr>
      <w:r>
        <w:tab/>
        <w:t>(b)</w:t>
      </w:r>
      <w:r>
        <w:tab/>
        <w:t>such other recommendations as the Public Sector Commissioner thinks fit in respect of the action to be taken; and</w:t>
      </w:r>
    </w:p>
    <w:p>
      <w:pPr>
        <w:pStyle w:val="nzIndenta"/>
      </w:pPr>
      <w:r>
        <w:tab/>
        <w:t>(c)</w:t>
      </w:r>
      <w:r>
        <w:tab/>
        <w:t>such information as the Public Sector Commissioner considers would assist the agency or authority to take the action.</w:t>
      </w:r>
    </w:p>
    <w:p>
      <w:pPr>
        <w:pStyle w:val="nzSubsection"/>
      </w:pPr>
      <w:r>
        <w:tab/>
        <w:t>(3)</w:t>
      </w:r>
      <w:r>
        <w:tab/>
        <w:t>If the allegation is referred to an appropriate authority, the report may also include a recommendation as to the period within which the action should be taken.</w:t>
      </w:r>
    </w:p>
    <w:p>
      <w:pPr>
        <w:pStyle w:val="nzHeading5"/>
      </w:pPr>
      <w:bookmarkStart w:id="1118" w:name="_Toc405898110"/>
      <w:bookmarkStart w:id="1119" w:name="_Toc405975491"/>
      <w:r>
        <w:t>45S.</w:t>
      </w:r>
      <w:r>
        <w:tab/>
        <w:t>Referring allegations to Parliamentary Commissioner or Auditor General under s. 45M(c)</w:t>
      </w:r>
      <w:bookmarkEnd w:id="1118"/>
      <w:bookmarkEnd w:id="1119"/>
    </w:p>
    <w:p>
      <w:pPr>
        <w:pStyle w:val="nz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nz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nzSubsection"/>
      </w:pPr>
      <w:r>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nz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nzIndenta"/>
      </w:pPr>
      <w:r>
        <w:tab/>
        <w:t>(a)</w:t>
      </w:r>
      <w:r>
        <w:tab/>
        <w:t>the Public Sector Commissioner; or</w:t>
      </w:r>
    </w:p>
    <w:p>
      <w:pPr>
        <w:pStyle w:val="nzIndenta"/>
      </w:pPr>
      <w:r>
        <w:tab/>
        <w:t>(b)</w:t>
      </w:r>
      <w:r>
        <w:tab/>
        <w:t>a person who is authorised by the Public Sector Commissioner for the purposes of this paragraph,</w:t>
      </w:r>
    </w:p>
    <w:p>
      <w:pPr>
        <w:pStyle w:val="nzSubsection"/>
      </w:pPr>
      <w:r>
        <w:tab/>
      </w:r>
      <w:r>
        <w:tab/>
        <w:t>information obtained in the course of an investigation under subsection (3).</w:t>
      </w:r>
    </w:p>
    <w:p>
      <w:pPr>
        <w:pStyle w:val="nzHeading5"/>
      </w:pPr>
      <w:bookmarkStart w:id="1120" w:name="_Toc405898111"/>
      <w:bookmarkStart w:id="1121" w:name="_Toc405975492"/>
      <w:r>
        <w:t>45T.</w:t>
      </w:r>
      <w:r>
        <w:tab/>
        <w:t>Referring allegations to Corruption and Crime Commission under s. 45M(d)</w:t>
      </w:r>
      <w:bookmarkEnd w:id="1120"/>
      <w:bookmarkEnd w:id="1121"/>
    </w:p>
    <w:p>
      <w:pPr>
        <w:pStyle w:val="nzSubsection"/>
      </w:pPr>
      <w:r>
        <w:tab/>
        <w:t>(1)</w:t>
      </w:r>
      <w:r>
        <w:tab/>
        <w:t xml:space="preserve">The Public Sector Commissioner may refer an allegation to the Commission under section 45M(d) if the Public Sector Commissioner considers — </w:t>
      </w:r>
    </w:p>
    <w:p>
      <w:pPr>
        <w:pStyle w:val="nzIndenta"/>
      </w:pPr>
      <w:r>
        <w:tab/>
        <w:t>(a)</w:t>
      </w:r>
      <w:r>
        <w:tab/>
        <w:t xml:space="preserve">that serious misconduct — </w:t>
      </w:r>
    </w:p>
    <w:p>
      <w:pPr>
        <w:pStyle w:val="nzIndenti"/>
      </w:pPr>
      <w:r>
        <w:tab/>
        <w:t>(i)</w:t>
      </w:r>
      <w:r>
        <w:tab/>
        <w:t>has or may have occurred; or</w:t>
      </w:r>
    </w:p>
    <w:p>
      <w:pPr>
        <w:pStyle w:val="nzIndenti"/>
      </w:pPr>
      <w:r>
        <w:tab/>
        <w:t>(ii)</w:t>
      </w:r>
      <w:r>
        <w:tab/>
        <w:t>is or may be occurring; or</w:t>
      </w:r>
    </w:p>
    <w:p>
      <w:pPr>
        <w:pStyle w:val="nzIndenti"/>
      </w:pPr>
      <w:r>
        <w:tab/>
        <w:t>(iii)</w:t>
      </w:r>
      <w:r>
        <w:tab/>
        <w:t>is or may be about to occur; or</w:t>
      </w:r>
    </w:p>
    <w:p>
      <w:pPr>
        <w:pStyle w:val="nzIndenti"/>
      </w:pPr>
      <w:r>
        <w:tab/>
        <w:t>(iv)</w:t>
      </w:r>
      <w:r>
        <w:tab/>
        <w:t>is likely to occur;</w:t>
      </w:r>
    </w:p>
    <w:p>
      <w:pPr>
        <w:pStyle w:val="nzIndenta"/>
      </w:pPr>
      <w:r>
        <w:tab/>
      </w:r>
      <w:r>
        <w:tab/>
        <w:t>or</w:t>
      </w:r>
    </w:p>
    <w:p>
      <w:pPr>
        <w:pStyle w:val="nzIndenta"/>
      </w:pPr>
      <w:r>
        <w:tab/>
        <w:t>(b)</w:t>
      </w:r>
      <w:r>
        <w:tab/>
        <w:t>that it is otherwise appropriate to refer the allegation.</w:t>
      </w:r>
    </w:p>
    <w:p>
      <w:pPr>
        <w:pStyle w:val="nzSubsection"/>
      </w:pPr>
      <w:r>
        <w:tab/>
        <w:t>(2)</w:t>
      </w:r>
      <w:r>
        <w:tab/>
        <w:t>The Commission may deal with an allegation referred under section 45M(d) as if it were a matter notified under section 28(2).</w:t>
      </w:r>
    </w:p>
    <w:p>
      <w:pPr>
        <w:pStyle w:val="nzSubsection"/>
      </w:pPr>
      <w:r>
        <w:tab/>
        <w:t>(3)</w:t>
      </w:r>
      <w:r>
        <w:tab/>
        <w:t>This section does not affect the obligation of the Public Sector Commissioner under section 28(2) to notify the Commission of suspected serious misconduct of relevance or concern to the Public Sector Commissioner in his or her official capacity.</w:t>
      </w:r>
    </w:p>
    <w:p>
      <w:pPr>
        <w:pStyle w:val="nzHeading5"/>
      </w:pPr>
      <w:bookmarkStart w:id="1122" w:name="_Toc405898112"/>
      <w:bookmarkStart w:id="1123" w:name="_Toc405975493"/>
      <w:r>
        <w:t>45U.</w:t>
      </w:r>
      <w:r>
        <w:tab/>
        <w:t>Public Sector Commissioner may decide to take other action</w:t>
      </w:r>
      <w:bookmarkEnd w:id="1122"/>
      <w:bookmarkEnd w:id="1123"/>
    </w:p>
    <w:p>
      <w:pPr>
        <w:pStyle w:val="nzSubsection"/>
      </w:pPr>
      <w:r>
        <w:tab/>
        <w:t>(1)</w:t>
      </w:r>
      <w:r>
        <w:tab/>
        <w:t>Despite having made a decision to act under section 45M(a), (b) or (c), the Public Sector Commissioner may at any time decide to act under another of those paragraphs.</w:t>
      </w:r>
    </w:p>
    <w:p>
      <w:pPr>
        <w:pStyle w:val="nzSubsection"/>
      </w:pPr>
      <w:r>
        <w:tab/>
        <w:t>(2)</w:t>
      </w:r>
      <w:r>
        <w:tab/>
        <w:t>The Public Sector Commissioner may make the decision whether or not he or she has acted under the first</w:t>
      </w:r>
      <w:r>
        <w:noBreakHyphen/>
        <w:t>mentioned decision.</w:t>
      </w:r>
    </w:p>
    <w:p>
      <w:pPr>
        <w:pStyle w:val="nzSubsection"/>
      </w:pPr>
      <w:r>
        <w:tab/>
        <w:t>(3)</w:t>
      </w:r>
      <w:r>
        <w:tab/>
        <w:t>The Public Sector Commissioner is not to reconsider action taken in respect of a matter reported under section 45J(2) except on new information.</w:t>
      </w:r>
    </w:p>
    <w:p>
      <w:pPr>
        <w:pStyle w:val="nz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nzHeading5"/>
      </w:pPr>
      <w:bookmarkStart w:id="1124" w:name="_Toc405898113"/>
      <w:bookmarkStart w:id="1125" w:name="_Toc405975494"/>
      <w:r>
        <w:t>45V.</w:t>
      </w:r>
      <w:r>
        <w:tab/>
        <w:t>Monitoring of appropriate authorities</w:t>
      </w:r>
      <w:bookmarkEnd w:id="1124"/>
      <w:bookmarkEnd w:id="1125"/>
    </w:p>
    <w:p>
      <w:pPr>
        <w:pStyle w:val="nzSubsection"/>
      </w:pPr>
      <w:r>
        <w:tab/>
        <w:t>(1)</w:t>
      </w:r>
      <w:r>
        <w:tab/>
        <w:t xml:space="preserve">If — </w:t>
      </w:r>
    </w:p>
    <w:p>
      <w:pPr>
        <w:pStyle w:val="nzIndenta"/>
      </w:pPr>
      <w:r>
        <w:tab/>
        <w:t>(a)</w:t>
      </w:r>
      <w:r>
        <w:tab/>
        <w:t>an appropriate authority takes action in relation to an allegation in cooperation with the Public Sector Commissioner; or</w:t>
      </w:r>
    </w:p>
    <w:p>
      <w:pPr>
        <w:pStyle w:val="nzIndenta"/>
      </w:pPr>
      <w:r>
        <w:tab/>
        <w:t>(b)</w:t>
      </w:r>
      <w:r>
        <w:tab/>
        <w:t>an allegation is referred to an appropriate authority by the Public Sector Commissioner,</w:t>
      </w:r>
    </w:p>
    <w:p>
      <w:pPr>
        <w:pStyle w:val="nz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nzSubsection"/>
      </w:pPr>
      <w:r>
        <w:tab/>
        <w:t>(2)</w:t>
      </w:r>
      <w:r>
        <w:tab/>
        <w:t>The report must be given to the Public Sector Commissioner in writing as soon as practicable after the action is taken.</w:t>
      </w:r>
    </w:p>
    <w:p>
      <w:pPr>
        <w:pStyle w:val="nzSubsection"/>
      </w:pPr>
      <w:r>
        <w:tab/>
        <w:t>(3)</w:t>
      </w:r>
      <w:r>
        <w:tab/>
        <w:t xml:space="preserve">The Public Sector Commissioner may, by written notice, direct the appropriate authority to give the Public Sector Commissioner a detailed report on — </w:t>
      </w:r>
    </w:p>
    <w:p>
      <w:pPr>
        <w:pStyle w:val="nzIndenta"/>
      </w:pPr>
      <w:r>
        <w:tab/>
        <w:t>(a)</w:t>
      </w:r>
      <w:r>
        <w:tab/>
        <w:t>action the appropriate authority has taken in relation to the allegation; and</w:t>
      </w:r>
    </w:p>
    <w:p>
      <w:pPr>
        <w:pStyle w:val="nz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nzSubsection"/>
      </w:pPr>
      <w:r>
        <w:tab/>
        <w:t>(4)</w:t>
      </w:r>
      <w:r>
        <w:tab/>
        <w:t>The appropriate authority must comply with a direction given to it under subsection (3).</w:t>
      </w:r>
    </w:p>
    <w:p>
      <w:pPr>
        <w:pStyle w:val="nzSubsection"/>
      </w:pPr>
      <w:r>
        <w:tab/>
        <w:t>(5)</w:t>
      </w:r>
      <w:r>
        <w:tab/>
        <w:t>A report referred to in this section must include details of any disciplinary action taken as a consequence of the recommendations.</w:t>
      </w:r>
    </w:p>
    <w:p>
      <w:pPr>
        <w:pStyle w:val="nzHeading5"/>
      </w:pPr>
      <w:bookmarkStart w:id="1126" w:name="_Toc405898114"/>
      <w:bookmarkStart w:id="1127" w:name="_Toc405975495"/>
      <w:r>
        <w:t>45W.</w:t>
      </w:r>
      <w:r>
        <w:tab/>
        <w:t>Review of appropriate authority’s handling of minor misconduct</w:t>
      </w:r>
      <w:bookmarkEnd w:id="1126"/>
      <w:bookmarkEnd w:id="1127"/>
    </w:p>
    <w:p>
      <w:pPr>
        <w:pStyle w:val="nz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nzSubsection"/>
      </w:pPr>
      <w:r>
        <w:tab/>
        <w:t>(2)</w:t>
      </w:r>
      <w:r>
        <w:tab/>
        <w:t>The appropriate authority must give the Public Sector Commissioner all necessary help to undertake a review under subsection (1).</w:t>
      </w:r>
    </w:p>
    <w:p>
      <w:pPr>
        <w:pStyle w:val="nzHeading4"/>
      </w:pPr>
      <w:bookmarkStart w:id="1128" w:name="_Toc401089850"/>
      <w:bookmarkStart w:id="1129" w:name="_Toc401089938"/>
      <w:bookmarkStart w:id="1130" w:name="_Toc405371210"/>
      <w:bookmarkStart w:id="1131" w:name="_Toc405898115"/>
      <w:bookmarkStart w:id="1132" w:name="_Toc405975496"/>
      <w:r>
        <w:t>Subdivision 5 — Recommendations</w:t>
      </w:r>
      <w:bookmarkEnd w:id="1128"/>
      <w:bookmarkEnd w:id="1129"/>
      <w:bookmarkEnd w:id="1130"/>
      <w:bookmarkEnd w:id="1131"/>
      <w:bookmarkEnd w:id="1132"/>
    </w:p>
    <w:p>
      <w:pPr>
        <w:pStyle w:val="nzHeading5"/>
      </w:pPr>
      <w:bookmarkStart w:id="1133" w:name="_Toc405898116"/>
      <w:bookmarkStart w:id="1134" w:name="_Toc405975497"/>
      <w:r>
        <w:t>45X.</w:t>
      </w:r>
      <w:r>
        <w:tab/>
        <w:t>Recommendations by Public Sector Commissioner</w:t>
      </w:r>
      <w:bookmarkEnd w:id="1133"/>
      <w:bookmarkEnd w:id="1134"/>
    </w:p>
    <w:p>
      <w:pPr>
        <w:pStyle w:val="nzSubsection"/>
      </w:pPr>
      <w:r>
        <w:tab/>
        <w:t>(1)</w:t>
      </w:r>
      <w:r>
        <w:tab/>
        <w:t xml:space="preserve">The Public Sector Commissioner may — </w:t>
      </w:r>
    </w:p>
    <w:p>
      <w:pPr>
        <w:pStyle w:val="nzIndenta"/>
      </w:pPr>
      <w:r>
        <w:tab/>
        <w:t>(a)</w:t>
      </w:r>
      <w:r>
        <w:tab/>
        <w:t>make recommendations as to whether consideration should or should not be given to the taking of disciplinary action against particular persons; and</w:t>
      </w:r>
    </w:p>
    <w:p>
      <w:pPr>
        <w:pStyle w:val="nz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nzSubsection"/>
      </w:pPr>
      <w:r>
        <w:tab/>
        <w:t>(2)</w:t>
      </w:r>
      <w:r>
        <w:tab/>
        <w:t xml:space="preserve">The Public Sector Commissioner may make the recommendations on the basis of — </w:t>
      </w:r>
    </w:p>
    <w:p>
      <w:pPr>
        <w:pStyle w:val="nzIndenta"/>
      </w:pPr>
      <w:r>
        <w:tab/>
        <w:t>(a)</w:t>
      </w:r>
      <w:r>
        <w:tab/>
        <w:t>his or her assessments, consultations and opinions; and</w:t>
      </w:r>
    </w:p>
    <w:p>
      <w:pPr>
        <w:pStyle w:val="nzIndenta"/>
      </w:pPr>
      <w:r>
        <w:tab/>
        <w:t>(b)</w:t>
      </w:r>
      <w:r>
        <w:tab/>
        <w:t>inquiries and other action, whether conducted or taken in cooperation with the Commission, another independent agency or an appropriate authority or otherwise; and</w:t>
      </w:r>
    </w:p>
    <w:p>
      <w:pPr>
        <w:pStyle w:val="nzIndenta"/>
      </w:pPr>
      <w:r>
        <w:tab/>
        <w:t>(c)</w:t>
      </w:r>
      <w:r>
        <w:tab/>
        <w:t>inquiries or other action conducted or taken by the Commission, another independent agency or an appropriate authority.</w:t>
      </w:r>
    </w:p>
    <w:p>
      <w:pPr>
        <w:pStyle w:val="nzSubsection"/>
      </w:pPr>
      <w:r>
        <w:tab/>
        <w:t>(3)</w:t>
      </w:r>
      <w:r>
        <w:tab/>
        <w:t xml:space="preserve">Without limiting subsection (1), the Public Sector Commissioner may — </w:t>
      </w:r>
    </w:p>
    <w:p>
      <w:pPr>
        <w:pStyle w:val="nzIndenta"/>
      </w:pPr>
      <w:r>
        <w:tab/>
        <w:t>(a)</w:t>
      </w:r>
      <w:r>
        <w:tab/>
        <w:t xml:space="preserve">recommend that further inquiry or investigation into any matter be carried out — </w:t>
      </w:r>
    </w:p>
    <w:p>
      <w:pPr>
        <w:pStyle w:val="nzIndenti"/>
      </w:pPr>
      <w:r>
        <w:tab/>
        <w:t>(i)</w:t>
      </w:r>
      <w:r>
        <w:tab/>
        <w:t xml:space="preserve">by an Inquiry Panel appointed under the </w:t>
      </w:r>
      <w:r>
        <w:rPr>
          <w:i/>
        </w:rPr>
        <w:t>Local Government Act 1995</w:t>
      </w:r>
      <w:r>
        <w:t>; or</w:t>
      </w:r>
    </w:p>
    <w:p>
      <w:pPr>
        <w:pStyle w:val="nzIndenti"/>
      </w:pPr>
      <w:r>
        <w:tab/>
        <w:t>(ii)</w:t>
      </w:r>
      <w:r>
        <w:tab/>
        <w:t>in such other manner as the Commissioner may recommend;</w:t>
      </w:r>
    </w:p>
    <w:p>
      <w:pPr>
        <w:pStyle w:val="nzIndenta"/>
      </w:pPr>
      <w:r>
        <w:tab/>
      </w:r>
      <w:r>
        <w:tab/>
        <w:t>and</w:t>
      </w:r>
    </w:p>
    <w:p>
      <w:pPr>
        <w:pStyle w:val="nzIndenta"/>
      </w:pPr>
      <w:r>
        <w:tab/>
        <w:t>(b)</w:t>
      </w:r>
      <w:r>
        <w:tab/>
        <w:t>recommend the terms of reference of any such inquiry or investigation.</w:t>
      </w:r>
    </w:p>
    <w:p>
      <w:pPr>
        <w:pStyle w:val="nzSubsection"/>
      </w:pPr>
      <w:r>
        <w:tab/>
        <w:t>(4)</w:t>
      </w:r>
      <w:r>
        <w:tab/>
        <w:t>The Public Sector Commissioner may give the recommendations to another independent agency or an appropriate authority.</w:t>
      </w:r>
    </w:p>
    <w:p>
      <w:pPr>
        <w:pStyle w:val="nz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nzHeading5"/>
      </w:pPr>
      <w:bookmarkStart w:id="1135" w:name="_Toc405898117"/>
      <w:bookmarkStart w:id="1136" w:name="_Toc405975498"/>
      <w:r>
        <w:t>45Y.</w:t>
      </w:r>
      <w:r>
        <w:tab/>
        <w:t>Other action for minor misconduct not affected</w:t>
      </w:r>
      <w:bookmarkEnd w:id="1135"/>
      <w:bookmarkEnd w:id="1136"/>
    </w:p>
    <w:p>
      <w:pPr>
        <w:pStyle w:val="nzSubsection"/>
      </w:pPr>
      <w:r>
        <w:tab/>
      </w:r>
      <w:r>
        <w:tab/>
        <w:t>This Part does not limit the action that may lawfully be taken to discipline or otherwise deal with a person for minor misconduct.</w:t>
      </w:r>
    </w:p>
    <w:p>
      <w:pPr>
        <w:pStyle w:val="nzHeading3"/>
      </w:pPr>
      <w:bookmarkStart w:id="1137" w:name="_Toc401089853"/>
      <w:bookmarkStart w:id="1138" w:name="_Toc401089941"/>
      <w:bookmarkStart w:id="1139" w:name="_Toc405371213"/>
      <w:bookmarkStart w:id="1140" w:name="_Toc405898118"/>
      <w:bookmarkStart w:id="1141" w:name="_Toc405975499"/>
      <w:r>
        <w:t>Division 3 — Reporting</w:t>
      </w:r>
      <w:bookmarkEnd w:id="1137"/>
      <w:bookmarkEnd w:id="1138"/>
      <w:bookmarkEnd w:id="1139"/>
      <w:bookmarkEnd w:id="1140"/>
      <w:bookmarkEnd w:id="1141"/>
    </w:p>
    <w:p>
      <w:pPr>
        <w:pStyle w:val="nzHeading5"/>
      </w:pPr>
      <w:bookmarkStart w:id="1142" w:name="_Toc405898119"/>
      <w:bookmarkStart w:id="1143" w:name="_Toc405975500"/>
      <w:r>
        <w:t>45ZA.</w:t>
      </w:r>
      <w:r>
        <w:tab/>
        <w:t>Report to Parliament on inquiry or other action</w:t>
      </w:r>
      <w:bookmarkEnd w:id="1142"/>
      <w:bookmarkEnd w:id="1143"/>
    </w:p>
    <w:p>
      <w:pPr>
        <w:pStyle w:val="nz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nzIndenta"/>
      </w:pPr>
      <w:r>
        <w:tab/>
        <w:t>(a)</w:t>
      </w:r>
      <w:r>
        <w:tab/>
        <w:t>the Public Sector Commissioner alone; or</w:t>
      </w:r>
    </w:p>
    <w:p>
      <w:pPr>
        <w:pStyle w:val="nzIndenta"/>
      </w:pPr>
      <w:r>
        <w:tab/>
        <w:t>(b)</w:t>
      </w:r>
      <w:r>
        <w:tab/>
        <w:t>the Public Sector Commissioner in cooperation with the Commission, another independent agency or an appropriate authority; or</w:t>
      </w:r>
    </w:p>
    <w:p>
      <w:pPr>
        <w:pStyle w:val="nzIndenta"/>
      </w:pPr>
      <w:r>
        <w:tab/>
        <w:t>(c)</w:t>
      </w:r>
      <w:r>
        <w:tab/>
        <w:t>an appropriate authority alone.</w:t>
      </w:r>
    </w:p>
    <w:p>
      <w:pPr>
        <w:pStyle w:val="nzSubsection"/>
      </w:pPr>
      <w:r>
        <w:tab/>
        <w:t>(2)</w:t>
      </w:r>
      <w:r>
        <w:tab/>
        <w:t xml:space="preserve">The Public Sector Commissioner may include in the report — </w:t>
      </w:r>
    </w:p>
    <w:p>
      <w:pPr>
        <w:pStyle w:val="nzIndenta"/>
      </w:pPr>
      <w:r>
        <w:tab/>
        <w:t>(a)</w:t>
      </w:r>
      <w:r>
        <w:tab/>
        <w:t>statements as to any of the Public Sector Commissioner’s assessments, opinions and recommendations; and</w:t>
      </w:r>
    </w:p>
    <w:p>
      <w:pPr>
        <w:pStyle w:val="nzIndenta"/>
      </w:pPr>
      <w:r>
        <w:tab/>
        <w:t>(b)</w:t>
      </w:r>
      <w:r>
        <w:tab/>
        <w:t>statements as to any of the Public Sector Commissioner’s reasons for the assessments, opinions and recommendations.</w:t>
      </w:r>
    </w:p>
    <w:p>
      <w:pPr>
        <w:pStyle w:val="nz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nzHeading5"/>
      </w:pPr>
      <w:bookmarkStart w:id="1144" w:name="_Toc405898120"/>
      <w:bookmarkStart w:id="1145" w:name="_Toc405975501"/>
      <w:r>
        <w:t>45ZB.</w:t>
      </w:r>
      <w:r>
        <w:tab/>
        <w:t>Report to Parliament on further action by appropriate authority</w:t>
      </w:r>
      <w:bookmarkEnd w:id="1144"/>
      <w:bookmarkEnd w:id="1145"/>
    </w:p>
    <w:p>
      <w:pPr>
        <w:pStyle w:val="nzSubsection"/>
      </w:pPr>
      <w:r>
        <w:tab/>
        <w:t>(1)</w:t>
      </w:r>
      <w:r>
        <w:tab/>
        <w:t>After considering a report given to the Public Sector Commissioner by an appropriate authority under section 45V(2) or (4), the Public Sector Commissioner may prepare a report on the report of the authority.</w:t>
      </w:r>
    </w:p>
    <w:p>
      <w:pPr>
        <w:pStyle w:val="nz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nzSubsection"/>
      </w:pPr>
      <w:r>
        <w:tab/>
        <w:t>(3)</w:t>
      </w:r>
      <w:r>
        <w:tab/>
        <w:t xml:space="preserve">The Public Sector Commissioner may include in a report prepared under this section — </w:t>
      </w:r>
    </w:p>
    <w:p>
      <w:pPr>
        <w:pStyle w:val="nzIndenta"/>
      </w:pPr>
      <w:r>
        <w:tab/>
        <w:t>(a)</w:t>
      </w:r>
      <w:r>
        <w:tab/>
        <w:t>statements as to any of the Public Sector Commissioner’s assessments, opinions and recommendations; and</w:t>
      </w:r>
    </w:p>
    <w:p>
      <w:pPr>
        <w:pStyle w:val="nzIndenta"/>
      </w:pPr>
      <w:r>
        <w:tab/>
        <w:t>(b)</w:t>
      </w:r>
      <w:r>
        <w:tab/>
        <w:t>statements as to any of the Public Sector Commissioner’s reasons for the assessments, opinions and recommendations.</w:t>
      </w:r>
    </w:p>
    <w:p>
      <w:pPr>
        <w:pStyle w:val="nzSubsection"/>
      </w:pPr>
      <w:r>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nzHeading5"/>
      </w:pPr>
      <w:bookmarkStart w:id="1146" w:name="_Toc405898121"/>
      <w:bookmarkStart w:id="1147" w:name="_Toc405975502"/>
      <w:r>
        <w:t>45ZC.</w:t>
      </w:r>
      <w:r>
        <w:tab/>
        <w:t>Person subject to adverse report: entitlement of</w:t>
      </w:r>
      <w:bookmarkEnd w:id="1146"/>
      <w:bookmarkEnd w:id="1147"/>
    </w:p>
    <w:p>
      <w:pPr>
        <w:pStyle w:val="nz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nzHeading5"/>
      </w:pPr>
      <w:bookmarkStart w:id="1148" w:name="_Toc405898122"/>
      <w:bookmarkStart w:id="1149" w:name="_Toc405975503"/>
      <w:r>
        <w:t>45ZD.</w:t>
      </w:r>
      <w:r>
        <w:tab/>
        <w:t>Annual report under PSMA s. 22D: matters to be included</w:t>
      </w:r>
      <w:bookmarkEnd w:id="1148"/>
      <w:bookmarkEnd w:id="1149"/>
    </w:p>
    <w:p>
      <w:pPr>
        <w:pStyle w:val="nz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nzSubsection"/>
      </w:pPr>
      <w:r>
        <w:tab/>
        <w:t>(2)</w:t>
      </w:r>
      <w:r>
        <w:tab/>
        <w:t xml:space="preserve">The report is to include the following — </w:t>
      </w:r>
    </w:p>
    <w:p>
      <w:pPr>
        <w:pStyle w:val="nzIndenta"/>
      </w:pPr>
      <w:r>
        <w:tab/>
        <w:t>(a)</w:t>
      </w:r>
      <w:r>
        <w:tab/>
        <w:t>a description of the types of allegations received or initiated by the Public Sector Commissioner;</w:t>
      </w:r>
    </w:p>
    <w:p>
      <w:pPr>
        <w:pStyle w:val="nzIndenta"/>
      </w:pPr>
      <w:r>
        <w:tab/>
        <w:t>(b)</w:t>
      </w:r>
      <w:r>
        <w:tab/>
        <w:t>a description of the types of inquiries conducted by the Public Sector Commissioner, whether alone or in cooperation with another person or body;</w:t>
      </w:r>
    </w:p>
    <w:p>
      <w:pPr>
        <w:pStyle w:val="nzIndenta"/>
      </w:pPr>
      <w:r>
        <w:tab/>
        <w:t>(c)</w:t>
      </w:r>
      <w:r>
        <w:tab/>
        <w:t>an evaluation of the response of appropriate authorities to recommendations made by the Public Sector Commissioner;</w:t>
      </w:r>
    </w:p>
    <w:p>
      <w:pPr>
        <w:pStyle w:val="nzIndenta"/>
      </w:pPr>
      <w:r>
        <w:tab/>
        <w:t>(d)</w:t>
      </w:r>
      <w:r>
        <w:tab/>
        <w:t>a description of the general nature and extent of any information furnished under this Part by the Public Sector Commissioner to other independent agencies;</w:t>
      </w:r>
    </w:p>
    <w:p>
      <w:pPr>
        <w:pStyle w:val="nzIndenta"/>
      </w:pPr>
      <w:r>
        <w:tab/>
        <w:t>(e)</w:t>
      </w:r>
      <w:r>
        <w:tab/>
        <w:t>a description of the general nature and extent of referrals to the Commission under section 45M(d);</w:t>
      </w:r>
    </w:p>
    <w:p>
      <w:pPr>
        <w:pStyle w:val="nzIndenta"/>
      </w:pPr>
      <w:r>
        <w:tab/>
        <w:t>(f)</w:t>
      </w:r>
      <w:r>
        <w:tab/>
        <w:t>a description of the extent to which inquiries conducted by the Public Sector Commissioner, whether alone or in cooperation with another person or body, have resulted in disciplinary action against public officers;</w:t>
      </w:r>
    </w:p>
    <w:p>
      <w:pPr>
        <w:pStyle w:val="nzIndenta"/>
      </w:pPr>
      <w:r>
        <w:tab/>
        <w:t>(g)</w:t>
      </w:r>
      <w:r>
        <w:tab/>
        <w:t>a description of the Public Sector Commissioner’s activities during that year in relation to the prevention and education function;</w:t>
      </w:r>
    </w:p>
    <w:p>
      <w:pPr>
        <w:pStyle w:val="nzIndenta"/>
      </w:pPr>
      <w:r>
        <w:tab/>
        <w:t>(h)</w:t>
      </w:r>
      <w:r>
        <w:tab/>
        <w:t>any recommendations for changes in the laws of the State that the Public Sector Commissioner considers should be made as a result of the performance of functions under this Part.</w:t>
      </w:r>
    </w:p>
    <w:p>
      <w:pPr>
        <w:pStyle w:val="nzSubsection"/>
      </w:pPr>
      <w:r>
        <w:tab/>
        <w:t>(3)</w:t>
      </w:r>
      <w:r>
        <w:tab/>
        <w:t>This section does not require the Public Sector Commissioner to include operational information in a report prepared under subsection (1).</w:t>
      </w:r>
    </w:p>
    <w:p>
      <w:pPr>
        <w:pStyle w:val="BlankClose"/>
      </w:pPr>
    </w:p>
    <w:p>
      <w:pPr>
        <w:pStyle w:val="nzHeading5"/>
      </w:pPr>
      <w:bookmarkStart w:id="1150" w:name="_Toc405898123"/>
      <w:bookmarkStart w:id="1151" w:name="_Toc405975504"/>
      <w:r>
        <w:rPr>
          <w:rStyle w:val="CharSectno"/>
        </w:rPr>
        <w:t>22</w:t>
      </w:r>
      <w:r>
        <w:t>.</w:t>
      </w:r>
      <w:r>
        <w:tab/>
        <w:t>Section 91 amended</w:t>
      </w:r>
      <w:bookmarkEnd w:id="1150"/>
      <w:bookmarkEnd w:id="1151"/>
    </w:p>
    <w:p>
      <w:pPr>
        <w:pStyle w:val="nzSubsection"/>
      </w:pPr>
      <w:r>
        <w:tab/>
      </w:r>
      <w:r>
        <w:tab/>
        <w:t>In section 91(2):</w:t>
      </w:r>
    </w:p>
    <w:p>
      <w:pPr>
        <w:pStyle w:val="nzIndenta"/>
      </w:pPr>
      <w:r>
        <w:tab/>
        <w:t>(a)</w:t>
      </w:r>
      <w:r>
        <w:tab/>
        <w:t>in paragraph (d) delete “the general nature” and insert:</w:t>
      </w:r>
    </w:p>
    <w:p>
      <w:pPr>
        <w:pStyle w:val="BlankOpen"/>
      </w:pPr>
    </w:p>
    <w:p>
      <w:pPr>
        <w:pStyle w:val="nzIndenta"/>
      </w:pPr>
      <w:r>
        <w:tab/>
      </w:r>
      <w:r>
        <w:tab/>
        <w:t>a description of the general nature</w:t>
      </w:r>
    </w:p>
    <w:p>
      <w:pPr>
        <w:pStyle w:val="BlankClose"/>
      </w:pPr>
    </w:p>
    <w:p>
      <w:pPr>
        <w:pStyle w:val="nzIndenta"/>
      </w:pPr>
      <w:r>
        <w:tab/>
        <w:t>(b)</w:t>
      </w:r>
      <w:r>
        <w:tab/>
        <w:t>in paragraph (d) delete “authorities; and” and insert:</w:t>
      </w:r>
    </w:p>
    <w:p>
      <w:pPr>
        <w:pStyle w:val="BlankOpen"/>
      </w:pPr>
    </w:p>
    <w:p>
      <w:pPr>
        <w:pStyle w:val="nzIndenta"/>
      </w:pPr>
      <w:r>
        <w:tab/>
      </w:r>
      <w:r>
        <w:tab/>
        <w:t>agencies; and</w:t>
      </w:r>
    </w:p>
    <w:p>
      <w:pPr>
        <w:pStyle w:val="BlankClose"/>
      </w:pPr>
    </w:p>
    <w:p>
      <w:pPr>
        <w:pStyle w:val="nzIndenta"/>
      </w:pPr>
      <w:r>
        <w:tab/>
        <w:t>(c)</w:t>
      </w:r>
      <w:r>
        <w:tab/>
        <w:t>in paragraph (e) delete “the extent” and insert:</w:t>
      </w:r>
    </w:p>
    <w:p>
      <w:pPr>
        <w:pStyle w:val="BlankOpen"/>
      </w:pPr>
    </w:p>
    <w:p>
      <w:pPr>
        <w:pStyle w:val="nzIndenta"/>
      </w:pPr>
      <w:r>
        <w:tab/>
      </w:r>
      <w:r>
        <w:tab/>
        <w:t>a description of the extent</w:t>
      </w:r>
    </w:p>
    <w:p>
      <w:pPr>
        <w:pStyle w:val="BlankClose"/>
      </w:pPr>
    </w:p>
    <w:p>
      <w:pPr>
        <w:pStyle w:val="nzHeading5"/>
      </w:pPr>
      <w:bookmarkStart w:id="1152" w:name="_Toc405898124"/>
      <w:bookmarkStart w:id="1153" w:name="_Toc405975505"/>
      <w:r>
        <w:rPr>
          <w:rStyle w:val="CharSectno"/>
        </w:rPr>
        <w:t>23</w:t>
      </w:r>
      <w:r>
        <w:t>.</w:t>
      </w:r>
      <w:r>
        <w:tab/>
        <w:t>Section 119 amended</w:t>
      </w:r>
      <w:bookmarkEnd w:id="1152"/>
      <w:bookmarkEnd w:id="1153"/>
    </w:p>
    <w:p>
      <w:pPr>
        <w:pStyle w:val="nzSubsection"/>
      </w:pPr>
      <w:r>
        <w:tab/>
      </w:r>
      <w:r>
        <w:tab/>
        <w:t xml:space="preserve">In section 119 in the definition of </w:t>
      </w:r>
      <w:r>
        <w:rPr>
          <w:b/>
          <w:i/>
        </w:rPr>
        <w:t>controlled operation</w:t>
      </w:r>
      <w:r>
        <w:t xml:space="preserve"> paragraph (a) delete “of misconduct; and” and insert:</w:t>
      </w:r>
    </w:p>
    <w:p>
      <w:pPr>
        <w:pStyle w:val="BlankOpen"/>
      </w:pPr>
    </w:p>
    <w:p>
      <w:pPr>
        <w:pStyle w:val="nzSubsection"/>
      </w:pPr>
      <w:r>
        <w:tab/>
      </w:r>
      <w:r>
        <w:tab/>
        <w:t>for the purposes of an investigation; and</w:t>
      </w:r>
    </w:p>
    <w:p>
      <w:pPr>
        <w:pStyle w:val="BlankClose"/>
      </w:pPr>
    </w:p>
    <w:p>
      <w:pPr>
        <w:pStyle w:val="nzHeading5"/>
      </w:pPr>
      <w:bookmarkStart w:id="1154" w:name="_Toc405898125"/>
      <w:bookmarkStart w:id="1155" w:name="_Toc405975506"/>
      <w:r>
        <w:rPr>
          <w:rStyle w:val="CharSectno"/>
        </w:rPr>
        <w:t>24</w:t>
      </w:r>
      <w:r>
        <w:t>.</w:t>
      </w:r>
      <w:r>
        <w:tab/>
        <w:t>Section 166 amended</w:t>
      </w:r>
      <w:bookmarkEnd w:id="1154"/>
      <w:bookmarkEnd w:id="1155"/>
    </w:p>
    <w:p>
      <w:pPr>
        <w:pStyle w:val="nzSubsection"/>
      </w:pPr>
      <w:r>
        <w:tab/>
      </w:r>
      <w:r>
        <w:tab/>
        <w:t>In section 166 delete “the Commission,” and insert:</w:t>
      </w:r>
    </w:p>
    <w:p>
      <w:pPr>
        <w:pStyle w:val="BlankOpen"/>
      </w:pPr>
    </w:p>
    <w:p>
      <w:pPr>
        <w:pStyle w:val="nzSubsection"/>
      </w:pPr>
      <w:r>
        <w:tab/>
      </w:r>
      <w:r>
        <w:tab/>
        <w:t>the Commission or the Public Sector Commissioner,</w:t>
      </w:r>
    </w:p>
    <w:p>
      <w:pPr>
        <w:pStyle w:val="BlankClose"/>
      </w:pPr>
    </w:p>
    <w:p>
      <w:pPr>
        <w:pStyle w:val="nzHeading5"/>
      </w:pPr>
      <w:bookmarkStart w:id="1156" w:name="_Toc405898126"/>
      <w:bookmarkStart w:id="1157" w:name="_Toc405975507"/>
      <w:r>
        <w:rPr>
          <w:rStyle w:val="CharSectno"/>
        </w:rPr>
        <w:t>25</w:t>
      </w:r>
      <w:r>
        <w:t>.</w:t>
      </w:r>
      <w:r>
        <w:tab/>
        <w:t>Section 175 amended</w:t>
      </w:r>
      <w:bookmarkEnd w:id="1156"/>
      <w:bookmarkEnd w:id="1157"/>
    </w:p>
    <w:p>
      <w:pPr>
        <w:pStyle w:val="nzSubsection"/>
      </w:pPr>
      <w:r>
        <w:tab/>
      </w:r>
      <w:r>
        <w:tab/>
        <w:t>In section 175 delete “the Commission or Parliamentary Inspector in the performance of its, his or her functions.” and insert:</w:t>
      </w:r>
    </w:p>
    <w:p>
      <w:pPr>
        <w:pStyle w:val="BlankOpen"/>
      </w:pPr>
    </w:p>
    <w:p>
      <w:pPr>
        <w:pStyle w:val="nzSubsection"/>
      </w:pPr>
      <w:r>
        <w:tab/>
      </w:r>
      <w:r>
        <w:tab/>
        <w:t>the Commission, the Public Sector Commissioner or the Parliamentary Inspector in the performance of functions under this Act.</w:t>
      </w:r>
    </w:p>
    <w:p>
      <w:pPr>
        <w:pStyle w:val="BlankClose"/>
      </w:pPr>
    </w:p>
    <w:p>
      <w:pPr>
        <w:pStyle w:val="nzHeading5"/>
      </w:pPr>
      <w:bookmarkStart w:id="1158" w:name="_Toc405898127"/>
      <w:bookmarkStart w:id="1159" w:name="_Toc405975508"/>
      <w:r>
        <w:rPr>
          <w:rStyle w:val="CharSectno"/>
        </w:rPr>
        <w:t>26</w:t>
      </w:r>
      <w:r>
        <w:t>.</w:t>
      </w:r>
      <w:r>
        <w:tab/>
        <w:t>Section 217A inserted</w:t>
      </w:r>
      <w:bookmarkEnd w:id="1158"/>
      <w:bookmarkEnd w:id="1159"/>
    </w:p>
    <w:p>
      <w:pPr>
        <w:pStyle w:val="nzSubsection"/>
      </w:pPr>
      <w:r>
        <w:tab/>
      </w:r>
      <w:r>
        <w:tab/>
        <w:t>At the beginning of Part 14 insert:</w:t>
      </w:r>
    </w:p>
    <w:p>
      <w:pPr>
        <w:pStyle w:val="BlankOpen"/>
      </w:pPr>
    </w:p>
    <w:p>
      <w:pPr>
        <w:pStyle w:val="nzHeading5"/>
      </w:pPr>
      <w:bookmarkStart w:id="1160" w:name="_Toc405898128"/>
      <w:bookmarkStart w:id="1161" w:name="_Toc405975509"/>
      <w:r>
        <w:t>217A.</w:t>
      </w:r>
      <w:r>
        <w:tab/>
        <w:t>Findings and opinions of Commission or Public Sector Commissioner</w:t>
      </w:r>
      <w:bookmarkEnd w:id="1160"/>
      <w:bookmarkEnd w:id="1161"/>
    </w:p>
    <w:p>
      <w:pPr>
        <w:pStyle w:val="nzSubsection"/>
      </w:pPr>
      <w:r>
        <w:tab/>
        <w:t>(1)</w:t>
      </w:r>
      <w:r>
        <w:tab/>
        <w:t>This section applies in relation to a finding made, or an opinion formed or expressed, by the Commission or the Public Sector Commissioner in the course of performing a function under this Act.</w:t>
      </w:r>
    </w:p>
    <w:p>
      <w:pPr>
        <w:pStyle w:val="nzSubsection"/>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nzSubsection"/>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BlankClose"/>
      </w:pPr>
    </w:p>
    <w:p>
      <w:pPr>
        <w:pStyle w:val="nzHeading5"/>
      </w:pPr>
      <w:bookmarkStart w:id="1162" w:name="_Toc405898129"/>
      <w:bookmarkStart w:id="1163" w:name="_Toc405975510"/>
      <w:r>
        <w:rPr>
          <w:rStyle w:val="CharSectno"/>
        </w:rPr>
        <w:t>27</w:t>
      </w:r>
      <w:r>
        <w:t>.</w:t>
      </w:r>
      <w:r>
        <w:tab/>
        <w:t>Section 219 replaced</w:t>
      </w:r>
      <w:bookmarkEnd w:id="1162"/>
      <w:bookmarkEnd w:id="1163"/>
    </w:p>
    <w:p>
      <w:pPr>
        <w:pStyle w:val="nzSubsection"/>
      </w:pPr>
      <w:r>
        <w:tab/>
      </w:r>
      <w:r>
        <w:tab/>
        <w:t>Delete section 219 and insert:</w:t>
      </w:r>
    </w:p>
    <w:p>
      <w:pPr>
        <w:pStyle w:val="BlankOpen"/>
      </w:pPr>
    </w:p>
    <w:p>
      <w:pPr>
        <w:pStyle w:val="nzHeading5"/>
      </w:pPr>
      <w:bookmarkStart w:id="1164" w:name="_Toc405898130"/>
      <w:bookmarkStart w:id="1165" w:name="_Toc405975511"/>
      <w:r>
        <w:t>219.</w:t>
      </w:r>
      <w:r>
        <w:tab/>
        <w:t>Protection from liability</w:t>
      </w:r>
      <w:bookmarkEnd w:id="1164"/>
      <w:bookmarkEnd w:id="1165"/>
    </w:p>
    <w:p>
      <w:pPr>
        <w:pStyle w:val="nzSubsection"/>
      </w:pPr>
      <w:r>
        <w:tab/>
        <w:t>(1)</w:t>
      </w:r>
      <w:r>
        <w:tab/>
        <w:t xml:space="preserve">In this section — </w:t>
      </w:r>
    </w:p>
    <w:p>
      <w:pPr>
        <w:pStyle w:val="nzDefstart"/>
      </w:pPr>
      <w:r>
        <w:tab/>
      </w:r>
      <w:r>
        <w:rPr>
          <w:rStyle w:val="CharDefText"/>
        </w:rPr>
        <w:t>official</w:t>
      </w:r>
      <w:r>
        <w:t xml:space="preserve"> means — </w:t>
      </w:r>
    </w:p>
    <w:p>
      <w:pPr>
        <w:pStyle w:val="nzDefpara"/>
      </w:pPr>
      <w:r>
        <w:tab/>
        <w:t>(a)</w:t>
      </w:r>
      <w:r>
        <w:tab/>
        <w:t>the Commission; or</w:t>
      </w:r>
    </w:p>
    <w:p>
      <w:pPr>
        <w:pStyle w:val="nzDefpara"/>
      </w:pPr>
      <w:r>
        <w:tab/>
        <w:t>(b)</w:t>
      </w:r>
      <w:r>
        <w:tab/>
        <w:t>any person acting on behalf of, or with the authority of, the Commission; or</w:t>
      </w:r>
    </w:p>
    <w:p>
      <w:pPr>
        <w:pStyle w:val="nzDefpara"/>
      </w:pPr>
      <w:r>
        <w:tab/>
        <w:t>(c)</w:t>
      </w:r>
      <w:r>
        <w:tab/>
        <w:t>the Public Sector Commissioner; or</w:t>
      </w:r>
    </w:p>
    <w:p>
      <w:pPr>
        <w:pStyle w:val="nzDefpara"/>
      </w:pPr>
      <w:r>
        <w:tab/>
        <w:t>(d)</w:t>
      </w:r>
      <w:r>
        <w:tab/>
        <w:t>any person acting on behalf of, or with the authority of, the Public Sector Commissioner; or</w:t>
      </w:r>
    </w:p>
    <w:p>
      <w:pPr>
        <w:pStyle w:val="nzDefpara"/>
      </w:pPr>
      <w:r>
        <w:tab/>
        <w:t>(e)</w:t>
      </w:r>
      <w:r>
        <w:tab/>
        <w:t>the Parliamentary Inspector; or</w:t>
      </w:r>
    </w:p>
    <w:p>
      <w:pPr>
        <w:pStyle w:val="nzDefpara"/>
      </w:pPr>
      <w:r>
        <w:tab/>
        <w:t>(f)</w:t>
      </w:r>
      <w:r>
        <w:tab/>
        <w:t>any person acting on behalf of, or with the authority of, the Parliamentary Inspector.</w:t>
      </w:r>
    </w:p>
    <w:p>
      <w:pPr>
        <w:pStyle w:val="nzSubsection"/>
      </w:pPr>
      <w:r>
        <w:tab/>
        <w:t>(2)</w:t>
      </w:r>
      <w:r>
        <w:tab/>
        <w:t xml:space="preserve">No action or claim for damages lies against an official for or on account of anything done or omitted, or ordered or authorised to be done or omitted — </w:t>
      </w:r>
    </w:p>
    <w:p>
      <w:pPr>
        <w:pStyle w:val="nzIndenta"/>
      </w:pPr>
      <w:r>
        <w:tab/>
        <w:t>(a)</w:t>
      </w:r>
      <w:r>
        <w:tab/>
        <w:t>under, or apparently under, this Act; or</w:t>
      </w:r>
    </w:p>
    <w:p>
      <w:pPr>
        <w:pStyle w:val="nzIndenta"/>
      </w:pPr>
      <w:r>
        <w:tab/>
        <w:t>(b)</w:t>
      </w:r>
      <w:r>
        <w:tab/>
        <w:t>for the purpose, or apparently for the purpose, of giving effect to this Act.</w:t>
      </w:r>
    </w:p>
    <w:p>
      <w:pPr>
        <w:pStyle w:val="nzSubsection"/>
      </w:pPr>
      <w:r>
        <w:tab/>
        <w:t>(3)</w:t>
      </w:r>
      <w:r>
        <w:tab/>
        <w:t>Subsection (2) does not apply if it is proved that the thing was done or omitted, or ordered or authorised to be done or omitted, maliciously and without reasonable and probable cause.</w:t>
      </w:r>
    </w:p>
    <w:p>
      <w:pPr>
        <w:pStyle w:val="BlankClose"/>
      </w:pPr>
    </w:p>
    <w:p>
      <w:pPr>
        <w:pStyle w:val="nzHeading5"/>
      </w:pPr>
      <w:bookmarkStart w:id="1166" w:name="_Toc405898131"/>
      <w:bookmarkStart w:id="1167" w:name="_Toc405975512"/>
      <w:r>
        <w:rPr>
          <w:rStyle w:val="CharSectno"/>
        </w:rPr>
        <w:t>28</w:t>
      </w:r>
      <w:r>
        <w:t>.</w:t>
      </w:r>
      <w:r>
        <w:tab/>
        <w:t>Section 220 amended</w:t>
      </w:r>
      <w:bookmarkEnd w:id="1166"/>
      <w:bookmarkEnd w:id="1167"/>
    </w:p>
    <w:p>
      <w:pPr>
        <w:pStyle w:val="nzSubsection"/>
      </w:pPr>
      <w:r>
        <w:tab/>
        <w:t>(1)</w:t>
      </w:r>
      <w:r>
        <w:tab/>
        <w:t>In section 220(2) delete “Commission” (each occurrence) and insert:</w:t>
      </w:r>
    </w:p>
    <w:p>
      <w:pPr>
        <w:pStyle w:val="BlankOpen"/>
      </w:pPr>
    </w:p>
    <w:p>
      <w:pPr>
        <w:pStyle w:val="nzSubsection"/>
      </w:pPr>
      <w:r>
        <w:tab/>
      </w:r>
      <w:r>
        <w:tab/>
        <w:t>Commission, the Public Sector Commissioner</w:t>
      </w:r>
    </w:p>
    <w:p>
      <w:pPr>
        <w:pStyle w:val="BlankClose"/>
      </w:pPr>
    </w:p>
    <w:p>
      <w:pPr>
        <w:pStyle w:val="nzSubsection"/>
      </w:pPr>
      <w:r>
        <w:tab/>
        <w:t>(2)</w:t>
      </w:r>
      <w:r>
        <w:tab/>
        <w:t>In section 220(3)(a) after “Commission” insert:</w:t>
      </w:r>
    </w:p>
    <w:p>
      <w:pPr>
        <w:pStyle w:val="BlankOpen"/>
      </w:pPr>
    </w:p>
    <w:p>
      <w:pPr>
        <w:pStyle w:val="nzSubsection"/>
      </w:pPr>
      <w:r>
        <w:tab/>
      </w:r>
      <w:r>
        <w:tab/>
        <w:t>or the Public Sector Commissioner</w:t>
      </w:r>
    </w:p>
    <w:p>
      <w:pPr>
        <w:pStyle w:val="BlankClose"/>
      </w:pPr>
    </w:p>
    <w:p>
      <w:pPr>
        <w:pStyle w:val="nzSubsection"/>
      </w:pPr>
      <w:r>
        <w:tab/>
        <w:t>(3)</w:t>
      </w:r>
      <w:r>
        <w:tab/>
        <w:t>In section 220(4):</w:t>
      </w:r>
    </w:p>
    <w:p>
      <w:pPr>
        <w:pStyle w:val="nzIndenta"/>
      </w:pPr>
      <w:r>
        <w:tab/>
        <w:t>(a)</w:t>
      </w:r>
      <w:r>
        <w:tab/>
        <w:t>after “Commission” (1</w:t>
      </w:r>
      <w:r>
        <w:rPr>
          <w:vertAlign w:val="superscript"/>
        </w:rPr>
        <w:t>st</w:t>
      </w:r>
      <w:r>
        <w:t xml:space="preserve"> occurrence) insert:</w:t>
      </w:r>
    </w:p>
    <w:p>
      <w:pPr>
        <w:pStyle w:val="BlankOpen"/>
      </w:pPr>
    </w:p>
    <w:p>
      <w:pPr>
        <w:pStyle w:val="nzIndenta"/>
      </w:pPr>
      <w:r>
        <w:tab/>
      </w:r>
      <w:r>
        <w:tab/>
        <w:t>or the Public Sector Commissioner</w:t>
      </w:r>
    </w:p>
    <w:p>
      <w:pPr>
        <w:pStyle w:val="BlankClose"/>
      </w:pPr>
    </w:p>
    <w:p>
      <w:pPr>
        <w:pStyle w:val="nzIndenta"/>
      </w:pPr>
      <w:r>
        <w:tab/>
        <w:t>(b)</w:t>
      </w:r>
      <w:r>
        <w:tab/>
        <w:t>delete “Commission,” and insert:</w:t>
      </w:r>
    </w:p>
    <w:p>
      <w:pPr>
        <w:pStyle w:val="BlankOpen"/>
      </w:pPr>
    </w:p>
    <w:p>
      <w:pPr>
        <w:pStyle w:val="nzIndenta"/>
      </w:pPr>
      <w:r>
        <w:tab/>
      </w:r>
      <w:r>
        <w:tab/>
        <w:t>Commission or the Public Sector Commissioner,</w:t>
      </w:r>
    </w:p>
    <w:p>
      <w:pPr>
        <w:pStyle w:val="BlankClose"/>
      </w:pPr>
    </w:p>
    <w:p>
      <w:pPr>
        <w:pStyle w:val="nzHeading5"/>
      </w:pPr>
      <w:bookmarkStart w:id="1168" w:name="_Toc405898132"/>
      <w:bookmarkStart w:id="1169" w:name="_Toc405975513"/>
      <w:r>
        <w:rPr>
          <w:rStyle w:val="CharSectno"/>
        </w:rPr>
        <w:t>29</w:t>
      </w:r>
      <w:r>
        <w:t>.</w:t>
      </w:r>
      <w:r>
        <w:tab/>
        <w:t>Section 222 amended</w:t>
      </w:r>
      <w:bookmarkEnd w:id="1168"/>
      <w:bookmarkEnd w:id="1169"/>
    </w:p>
    <w:p>
      <w:pPr>
        <w:pStyle w:val="nzSubsection"/>
      </w:pPr>
      <w:r>
        <w:tab/>
      </w:r>
      <w:r>
        <w:tab/>
        <w:t>In section 222 delete “Commission” and insert:</w:t>
      </w:r>
    </w:p>
    <w:p>
      <w:pPr>
        <w:pStyle w:val="BlankOpen"/>
      </w:pPr>
    </w:p>
    <w:p>
      <w:pPr>
        <w:pStyle w:val="nzSubsection"/>
      </w:pPr>
      <w:r>
        <w:tab/>
      </w:r>
      <w:r>
        <w:tab/>
        <w:t>Commission, the Public Sector Commissioner</w:t>
      </w:r>
    </w:p>
    <w:p>
      <w:pPr>
        <w:pStyle w:val="BlankClose"/>
      </w:pPr>
    </w:p>
    <w:p>
      <w:pPr>
        <w:pStyle w:val="nzHeading5"/>
      </w:pPr>
      <w:bookmarkStart w:id="1170" w:name="_Toc405898133"/>
      <w:bookmarkStart w:id="1171" w:name="_Toc405975514"/>
      <w:r>
        <w:rPr>
          <w:rStyle w:val="CharSectno"/>
        </w:rPr>
        <w:t>30</w:t>
      </w:r>
      <w:r>
        <w:t>.</w:t>
      </w:r>
      <w:r>
        <w:tab/>
        <w:t>Part 15 replaced</w:t>
      </w:r>
      <w:bookmarkEnd w:id="1170"/>
      <w:bookmarkEnd w:id="1171"/>
    </w:p>
    <w:p>
      <w:pPr>
        <w:pStyle w:val="nzSubsection"/>
      </w:pPr>
      <w:r>
        <w:tab/>
      </w:r>
      <w:r>
        <w:tab/>
        <w:t>Delete Part 15 and insert:</w:t>
      </w:r>
    </w:p>
    <w:p>
      <w:pPr>
        <w:pStyle w:val="BlankOpen"/>
      </w:pPr>
    </w:p>
    <w:p>
      <w:pPr>
        <w:pStyle w:val="nzHeading2"/>
      </w:pPr>
      <w:bookmarkStart w:id="1172" w:name="_Toc401089869"/>
      <w:bookmarkStart w:id="1173" w:name="_Toc401089957"/>
      <w:bookmarkStart w:id="1174" w:name="_Toc405371229"/>
      <w:bookmarkStart w:id="1175" w:name="_Toc405898134"/>
      <w:bookmarkStart w:id="1176" w:name="_Toc405975515"/>
      <w:r>
        <w:t>Part 15</w:t>
      </w:r>
      <w:r>
        <w:rPr>
          <w:b w:val="0"/>
        </w:rPr>
        <w:t> </w:t>
      </w:r>
      <w:r>
        <w:t>—</w:t>
      </w:r>
      <w:r>
        <w:rPr>
          <w:b w:val="0"/>
        </w:rPr>
        <w:t> </w:t>
      </w:r>
      <w:r>
        <w:t>Transitional matters</w:t>
      </w:r>
      <w:bookmarkEnd w:id="1172"/>
      <w:bookmarkEnd w:id="1173"/>
      <w:bookmarkEnd w:id="1174"/>
      <w:bookmarkEnd w:id="1175"/>
      <w:bookmarkEnd w:id="1176"/>
    </w:p>
    <w:p>
      <w:pPr>
        <w:pStyle w:val="nzHeading5"/>
        <w:rPr>
          <w:snapToGrid w:val="0"/>
        </w:rPr>
      </w:pPr>
      <w:bookmarkStart w:id="1177" w:name="_Toc405898135"/>
      <w:bookmarkStart w:id="1178" w:name="_Toc405975516"/>
      <w:r>
        <w:t>228.</w:t>
      </w:r>
      <w:r>
        <w:tab/>
        <w:t xml:space="preserve">Transitional provision for </w:t>
      </w:r>
      <w:r>
        <w:rPr>
          <w:i/>
          <w:snapToGrid w:val="0"/>
        </w:rPr>
        <w:t>Corruption and Crime Commission Amendment (Misconduct) Act 2014</w:t>
      </w:r>
      <w:bookmarkEnd w:id="1177"/>
      <w:bookmarkEnd w:id="1178"/>
    </w:p>
    <w:p>
      <w:pPr>
        <w:pStyle w:val="nz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 must continue to be dealt with under this Act as if that Part had not been enacted.</w:t>
      </w:r>
    </w:p>
    <w:p>
      <w:pPr>
        <w:pStyle w:val="BlankClose"/>
        <w:rPr>
          <w:snapToGrid w:val="0"/>
        </w:rPr>
      </w:pPr>
    </w:p>
    <w:p>
      <w:pPr>
        <w:pStyle w:val="nzHeading5"/>
      </w:pPr>
      <w:bookmarkStart w:id="1179" w:name="_Toc405898136"/>
      <w:bookmarkStart w:id="1180" w:name="_Toc405975517"/>
      <w:r>
        <w:rPr>
          <w:rStyle w:val="CharSectno"/>
        </w:rPr>
        <w:t>31</w:t>
      </w:r>
      <w:r>
        <w:t>.</w:t>
      </w:r>
      <w:r>
        <w:tab/>
        <w:t>Various references to “misconduct” amended</w:t>
      </w:r>
      <w:bookmarkEnd w:id="1179"/>
      <w:bookmarkEnd w:id="1180"/>
    </w:p>
    <w:p>
      <w:pPr>
        <w:pStyle w:val="nzSubsection"/>
      </w:pPr>
      <w:r>
        <w:tab/>
      </w:r>
      <w:r>
        <w:tab/>
        <w:t>In the provisions listed in the Table delete “misconduct” (each occurrence) and insert:</w:t>
      </w:r>
    </w:p>
    <w:p>
      <w:pPr>
        <w:pStyle w:val="BlankOpen"/>
      </w:pPr>
    </w:p>
    <w:p>
      <w:pPr>
        <w:pStyle w:val="nzSubsection"/>
      </w:pPr>
      <w:r>
        <w:tab/>
      </w:r>
      <w:r>
        <w:tab/>
        <w:t>serious misconduct</w:t>
      </w:r>
    </w:p>
    <w:p>
      <w:pPr>
        <w:pStyle w:val="BlankClose"/>
      </w:pPr>
    </w:p>
    <w:p>
      <w:pPr>
        <w:pStyle w:val="THeading"/>
        <w:tabs>
          <w:tab w:val="left" w:pos="2694"/>
        </w:tabs>
        <w:ind w:right="141"/>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tabs>
                <w:tab w:val="left" w:pos="2694"/>
              </w:tabs>
            </w:pPr>
            <w:r>
              <w:t>s. 22(1)</w:t>
            </w:r>
          </w:p>
        </w:tc>
        <w:tc>
          <w:tcPr>
            <w:tcW w:w="3402" w:type="dxa"/>
          </w:tcPr>
          <w:p>
            <w:pPr>
              <w:pStyle w:val="TableAm"/>
              <w:tabs>
                <w:tab w:val="left" w:pos="2694"/>
              </w:tabs>
            </w:pPr>
            <w:r>
              <w:t>s. 24(1)(a) and (b)</w:t>
            </w:r>
          </w:p>
        </w:tc>
      </w:tr>
      <w:tr>
        <w:trPr>
          <w:cantSplit/>
          <w:jc w:val="center"/>
        </w:trPr>
        <w:tc>
          <w:tcPr>
            <w:tcW w:w="3402" w:type="dxa"/>
          </w:tcPr>
          <w:p>
            <w:pPr>
              <w:pStyle w:val="TableAm"/>
              <w:tabs>
                <w:tab w:val="left" w:pos="2694"/>
              </w:tabs>
            </w:pPr>
            <w:r>
              <w:t>s. 25(1)</w:t>
            </w:r>
          </w:p>
        </w:tc>
        <w:tc>
          <w:tcPr>
            <w:tcW w:w="3402" w:type="dxa"/>
          </w:tcPr>
          <w:p>
            <w:pPr>
              <w:pStyle w:val="TableAm"/>
              <w:tabs>
                <w:tab w:val="left" w:pos="2694"/>
              </w:tabs>
            </w:pPr>
            <w:r>
              <w:t>s. 26(1)</w:t>
            </w:r>
          </w:p>
        </w:tc>
      </w:tr>
      <w:tr>
        <w:trPr>
          <w:cantSplit/>
          <w:jc w:val="center"/>
        </w:trPr>
        <w:tc>
          <w:tcPr>
            <w:tcW w:w="3402" w:type="dxa"/>
          </w:tcPr>
          <w:p>
            <w:pPr>
              <w:pStyle w:val="TableAm"/>
              <w:tabs>
                <w:tab w:val="left" w:pos="2694"/>
              </w:tabs>
            </w:pPr>
            <w:r>
              <w:t>s. 28(2)(a)</w:t>
            </w:r>
          </w:p>
        </w:tc>
        <w:tc>
          <w:tcPr>
            <w:tcW w:w="3402" w:type="dxa"/>
          </w:tcPr>
          <w:p>
            <w:pPr>
              <w:pStyle w:val="TableAm"/>
              <w:tabs>
                <w:tab w:val="left" w:pos="2694"/>
              </w:tabs>
              <w:rPr>
                <w:strike/>
              </w:rPr>
            </w:pPr>
            <w:r>
              <w:t>s. 41(1)</w:t>
            </w:r>
          </w:p>
        </w:tc>
      </w:tr>
      <w:tr>
        <w:trPr>
          <w:cantSplit/>
          <w:jc w:val="center"/>
        </w:trPr>
        <w:tc>
          <w:tcPr>
            <w:tcW w:w="3402" w:type="dxa"/>
          </w:tcPr>
          <w:p>
            <w:pPr>
              <w:pStyle w:val="TableAm"/>
              <w:tabs>
                <w:tab w:val="left" w:pos="2694"/>
              </w:tabs>
            </w:pPr>
            <w:r>
              <w:t>s. 84(1)</w:t>
            </w:r>
          </w:p>
        </w:tc>
        <w:tc>
          <w:tcPr>
            <w:tcW w:w="3402" w:type="dxa"/>
          </w:tcPr>
          <w:p>
            <w:pPr>
              <w:pStyle w:val="TableAm"/>
              <w:tabs>
                <w:tab w:val="left" w:pos="2694"/>
              </w:tabs>
            </w:pPr>
            <w:r>
              <w:t>s. 100(2)</w:t>
            </w:r>
          </w:p>
        </w:tc>
      </w:tr>
      <w:tr>
        <w:trPr>
          <w:cantSplit/>
          <w:jc w:val="center"/>
        </w:trPr>
        <w:tc>
          <w:tcPr>
            <w:tcW w:w="3402" w:type="dxa"/>
          </w:tcPr>
          <w:p>
            <w:pPr>
              <w:pStyle w:val="TableAm"/>
              <w:tabs>
                <w:tab w:val="left" w:pos="2694"/>
              </w:tabs>
            </w:pPr>
            <w:r>
              <w:t>s. 148(3)</w:t>
            </w:r>
          </w:p>
        </w:tc>
        <w:tc>
          <w:tcPr>
            <w:tcW w:w="3402" w:type="dxa"/>
          </w:tcPr>
          <w:p>
            <w:pPr>
              <w:pStyle w:val="TableAm"/>
              <w:tabs>
                <w:tab w:val="left" w:pos="2694"/>
              </w:tabs>
            </w:pPr>
          </w:p>
        </w:tc>
      </w:tr>
    </w:tbl>
    <w:p>
      <w:pPr>
        <w:pStyle w:val="nzNotesPerm"/>
      </w:pPr>
      <w:r>
        <w:t>Note:</w:t>
      </w:r>
      <w:r>
        <w:tab/>
        <w:t>The headings to the amended sections listed in the Table are to read as set out in the Table.</w:t>
      </w:r>
    </w:p>
    <w:p>
      <w:pPr>
        <w:pStyle w:val="THeadingAmNote"/>
        <w:tabs>
          <w:tab w:val="left" w:pos="2694"/>
        </w:tabs>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57" w:type="dxa"/>
        </w:tblCellMar>
        <w:tblLook w:val="0000" w:firstRow="0" w:lastRow="0" w:firstColumn="0" w:lastColumn="0" w:noHBand="0" w:noVBand="0"/>
      </w:tblPr>
      <w:tblGrid>
        <w:gridCol w:w="2557"/>
        <w:gridCol w:w="4253"/>
      </w:tblGrid>
      <w:tr>
        <w:trPr>
          <w:cantSplit/>
          <w:tblHeader/>
        </w:trPr>
        <w:tc>
          <w:tcPr>
            <w:tcW w:w="2557" w:type="dxa"/>
          </w:tcPr>
          <w:p>
            <w:pPr>
              <w:pStyle w:val="TableAmNote"/>
              <w:keepNext/>
              <w:tabs>
                <w:tab w:val="left" w:pos="2694"/>
              </w:tabs>
              <w:jc w:val="center"/>
              <w:rPr>
                <w:b/>
                <w:bCs/>
              </w:rPr>
            </w:pPr>
            <w:r>
              <w:rPr>
                <w:b/>
                <w:bCs/>
              </w:rPr>
              <w:t>Amended section</w:t>
            </w:r>
          </w:p>
        </w:tc>
        <w:tc>
          <w:tcPr>
            <w:tcW w:w="4253" w:type="dxa"/>
          </w:tcPr>
          <w:p>
            <w:pPr>
              <w:pStyle w:val="TableAmNote"/>
              <w:keepNext/>
              <w:tabs>
                <w:tab w:val="left" w:pos="2694"/>
              </w:tabs>
              <w:jc w:val="center"/>
              <w:rPr>
                <w:b/>
                <w:bCs/>
              </w:rPr>
            </w:pPr>
            <w:r>
              <w:rPr>
                <w:b/>
                <w:bCs/>
              </w:rPr>
              <w:t>Section heading</w:t>
            </w:r>
          </w:p>
        </w:tc>
      </w:tr>
      <w:tr>
        <w:trPr>
          <w:cantSplit/>
        </w:trPr>
        <w:tc>
          <w:tcPr>
            <w:tcW w:w="2557" w:type="dxa"/>
          </w:tcPr>
          <w:p>
            <w:pPr>
              <w:pStyle w:val="TableAmNote"/>
              <w:tabs>
                <w:tab w:val="left" w:pos="2694"/>
              </w:tabs>
            </w:pPr>
            <w:r>
              <w:t>s. 22</w:t>
            </w:r>
          </w:p>
        </w:tc>
        <w:tc>
          <w:tcPr>
            <w:tcW w:w="4253" w:type="dxa"/>
          </w:tcPr>
          <w:p>
            <w:pPr>
              <w:pStyle w:val="TableAmNote"/>
              <w:tabs>
                <w:tab w:val="left" w:pos="2694"/>
              </w:tabs>
              <w:rPr>
                <w:b/>
                <w:bCs/>
              </w:rPr>
            </w:pPr>
            <w:r>
              <w:rPr>
                <w:b/>
              </w:rPr>
              <w:t>Assessments and opinions as to occurrence of serious misconduct</w:t>
            </w:r>
          </w:p>
        </w:tc>
      </w:tr>
      <w:tr>
        <w:trPr>
          <w:cantSplit/>
        </w:trPr>
        <w:tc>
          <w:tcPr>
            <w:tcW w:w="2557" w:type="dxa"/>
          </w:tcPr>
          <w:p>
            <w:pPr>
              <w:pStyle w:val="TableAmNote"/>
              <w:tabs>
                <w:tab w:val="left" w:pos="2694"/>
              </w:tabs>
            </w:pPr>
            <w:r>
              <w:t>s. 24</w:t>
            </w:r>
          </w:p>
        </w:tc>
        <w:tc>
          <w:tcPr>
            <w:tcW w:w="4253" w:type="dxa"/>
          </w:tcPr>
          <w:p>
            <w:pPr>
              <w:pStyle w:val="TableAmNote"/>
              <w:tabs>
                <w:tab w:val="left" w:pos="2694"/>
              </w:tabs>
              <w:rPr>
                <w:b/>
                <w:bCs/>
              </w:rPr>
            </w:pPr>
            <w:r>
              <w:rPr>
                <w:b/>
              </w:rPr>
              <w:t>Allegations of serious misconduct</w:t>
            </w:r>
          </w:p>
        </w:tc>
      </w:tr>
      <w:tr>
        <w:trPr>
          <w:cantSplit/>
        </w:trPr>
        <w:tc>
          <w:tcPr>
            <w:tcW w:w="2557" w:type="dxa"/>
          </w:tcPr>
          <w:p>
            <w:pPr>
              <w:pStyle w:val="TableAmNote"/>
              <w:tabs>
                <w:tab w:val="left" w:pos="2694"/>
              </w:tabs>
            </w:pPr>
            <w:r>
              <w:t>s. 25</w:t>
            </w:r>
          </w:p>
        </w:tc>
        <w:tc>
          <w:tcPr>
            <w:tcW w:w="4253" w:type="dxa"/>
          </w:tcPr>
          <w:p>
            <w:pPr>
              <w:pStyle w:val="TableAmNote"/>
              <w:tabs>
                <w:tab w:val="left" w:pos="2694"/>
              </w:tabs>
              <w:rPr>
                <w:b/>
                <w:bCs/>
              </w:rPr>
            </w:pPr>
            <w:r>
              <w:rPr>
                <w:b/>
                <w:bCs/>
              </w:rPr>
              <w:t>Any person may report serious misconduct</w:t>
            </w:r>
          </w:p>
        </w:tc>
      </w:tr>
      <w:tr>
        <w:trPr>
          <w:cantSplit/>
        </w:trPr>
        <w:tc>
          <w:tcPr>
            <w:tcW w:w="2557" w:type="dxa"/>
          </w:tcPr>
          <w:p>
            <w:pPr>
              <w:pStyle w:val="TableAmNote"/>
              <w:tabs>
                <w:tab w:val="left" w:pos="2694"/>
              </w:tabs>
            </w:pPr>
            <w:r>
              <w:t>s. 26</w:t>
            </w:r>
          </w:p>
        </w:tc>
        <w:tc>
          <w:tcPr>
            <w:tcW w:w="4253" w:type="dxa"/>
          </w:tcPr>
          <w:p>
            <w:pPr>
              <w:pStyle w:val="TableAmNote"/>
              <w:tabs>
                <w:tab w:val="left" w:pos="2694"/>
              </w:tabs>
              <w:rPr>
                <w:b/>
                <w:bCs/>
              </w:rPr>
            </w:pPr>
            <w:r>
              <w:rPr>
                <w:b/>
                <w:bCs/>
              </w:rPr>
              <w:t>Commission may make proposition about serious misconduct</w:t>
            </w:r>
          </w:p>
        </w:tc>
      </w:tr>
      <w:tr>
        <w:trPr>
          <w:cantSplit/>
        </w:trPr>
        <w:tc>
          <w:tcPr>
            <w:tcW w:w="2557" w:type="dxa"/>
          </w:tcPr>
          <w:p>
            <w:pPr>
              <w:pStyle w:val="TableAmNote"/>
              <w:tabs>
                <w:tab w:val="left" w:pos="2694"/>
              </w:tabs>
            </w:pPr>
            <w:r>
              <w:t>s. 28</w:t>
            </w:r>
          </w:p>
        </w:tc>
        <w:tc>
          <w:tcPr>
            <w:tcW w:w="4253" w:type="dxa"/>
          </w:tcPr>
          <w:p>
            <w:pPr>
              <w:pStyle w:val="TableAmNote"/>
              <w:tabs>
                <w:tab w:val="left" w:pos="2694"/>
              </w:tabs>
              <w:rPr>
                <w:b/>
                <w:bCs/>
              </w:rPr>
            </w:pPr>
            <w:r>
              <w:rPr>
                <w:b/>
                <w:bCs/>
              </w:rPr>
              <w:t>Certain officers obliged to notify serious misconduct</w:t>
            </w:r>
          </w:p>
        </w:tc>
      </w:tr>
      <w:tr>
        <w:trPr>
          <w:cantSplit/>
        </w:trPr>
        <w:tc>
          <w:tcPr>
            <w:tcW w:w="2557" w:type="dxa"/>
          </w:tcPr>
          <w:p>
            <w:pPr>
              <w:pStyle w:val="TableAmNote"/>
              <w:tabs>
                <w:tab w:val="left" w:pos="2694"/>
              </w:tabs>
            </w:pPr>
            <w:r>
              <w:t>s. 41</w:t>
            </w:r>
          </w:p>
        </w:tc>
        <w:tc>
          <w:tcPr>
            <w:tcW w:w="4253" w:type="dxa"/>
          </w:tcPr>
          <w:p>
            <w:pPr>
              <w:pStyle w:val="TableAmNote"/>
              <w:tabs>
                <w:tab w:val="left" w:pos="2694"/>
              </w:tabs>
              <w:rPr>
                <w:b/>
                <w:bCs/>
              </w:rPr>
            </w:pPr>
            <w:r>
              <w:rPr>
                <w:b/>
                <w:bCs/>
              </w:rPr>
              <w:t xml:space="preserve">Commission may </w:t>
            </w:r>
            <w:r>
              <w:rPr>
                <w:b/>
              </w:rPr>
              <w:t>review how appropriate authority has dealt with serious misconduct</w:t>
            </w:r>
          </w:p>
        </w:tc>
      </w:tr>
    </w:tbl>
    <w:p>
      <w:pPr>
        <w:pStyle w:val="BlankClose"/>
      </w:pPr>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181" w:name="_Toc413321464"/>
      <w:bookmarkStart w:id="1182" w:name="_Toc422302296"/>
      <w:r>
        <w:rPr>
          <w:sz w:val="28"/>
        </w:rPr>
        <w:t>Defined terms</w:t>
      </w:r>
      <w:bookmarkEnd w:id="1181"/>
      <w:bookmarkEnd w:id="118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noBreakHyphen/>
        <w:t>CC</w:t>
      </w:r>
      <w:r>
        <w:tab/>
        <w:t>3(1)</w:t>
      </w:r>
    </w:p>
    <w:p>
      <w:pPr>
        <w:pStyle w:val="DefinedTerms"/>
      </w:pPr>
      <w:r>
        <w:t>allegation</w:t>
      </w:r>
      <w:r>
        <w:tab/>
        <w:t>3(1), 220(1)</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 lawyer</w:t>
      </w:r>
      <w:r>
        <w:tab/>
        <w:t>152(1)</w:t>
      </w:r>
    </w:p>
    <w:p>
      <w:pPr>
        <w:pStyle w:val="DefinedTerms"/>
      </w:pPr>
      <w:r>
        <w:t>Commissioner</w:t>
      </w:r>
      <w:r>
        <w:tab/>
        <w:t>3(1)</w:t>
      </w:r>
    </w:p>
    <w:p>
      <w:pPr>
        <w:pStyle w:val="DefinedTerms"/>
      </w:pPr>
      <w:r>
        <w:t>Commissioner of Police</w:t>
      </w:r>
      <w:r>
        <w:tab/>
        <w:t>3(1)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examination</w:t>
      </w:r>
      <w:r>
        <w:tab/>
        <w:t>3(1)</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w:t>
      </w:r>
    </w:p>
    <w:p>
      <w:pPr>
        <w:pStyle w:val="DefinedTerms"/>
      </w:pPr>
      <w:r>
        <w:t>formal variation of an authority</w:t>
      </w:r>
      <w:r>
        <w:tab/>
        <w:t>124(3)</w:t>
      </w:r>
    </w:p>
    <w:p>
      <w:pPr>
        <w:pStyle w:val="DefinedTerms"/>
      </w:pPr>
      <w:r>
        <w:t>former judge</w:t>
      </w:r>
      <w:r>
        <w:tab/>
        <w:t>Sch. 2 cl. 4(6)</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lawyer</w:t>
      </w:r>
      <w:r>
        <w:tab/>
        <w:t>3(1)</w:t>
      </w:r>
    </w:p>
    <w:p>
      <w:pPr>
        <w:pStyle w:val="DefinedTerms"/>
      </w:pPr>
      <w:r>
        <w:t>legal experience</w:t>
      </w:r>
      <w:r>
        <w:tab/>
        <w:t>190(1)</w:t>
      </w:r>
    </w:p>
    <w:p>
      <w:pPr>
        <w:pStyle w:val="DefinedTerms"/>
      </w:pPr>
      <w:r>
        <w:t>legal practitioner</w:t>
      </w:r>
      <w:r>
        <w:tab/>
        <w:t>3(1)</w:t>
      </w:r>
    </w:p>
    <w:p>
      <w:pPr>
        <w:pStyle w:val="DefinedTerms"/>
      </w:pPr>
      <w:r>
        <w:t>medical practitioner</w:t>
      </w:r>
      <w:r>
        <w:tab/>
        <w:t>54(1)</w:t>
      </w:r>
    </w:p>
    <w:p>
      <w:pPr>
        <w:pStyle w:val="DefinedTerms"/>
      </w:pPr>
      <w:r>
        <w:t>misconduct</w:t>
      </w:r>
      <w:r>
        <w:tab/>
        <w:t>3(1)</w:t>
      </w:r>
    </w:p>
    <w:p>
      <w:pPr>
        <w:pStyle w:val="DefinedTerms"/>
      </w:pPr>
      <w:r>
        <w:t>misconduct function</w:t>
      </w:r>
      <w:r>
        <w:tab/>
        <w:t>18(1)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99(1),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Royal Commission</w:t>
      </w:r>
      <w:r>
        <w:tab/>
        <w:t>3(1)</w:t>
      </w:r>
    </w:p>
    <w:p>
      <w:pPr>
        <w:pStyle w:val="DefinedTerms"/>
      </w:pPr>
      <w:r>
        <w:t>presiding officer</w:t>
      </w:r>
      <w:r>
        <w:tab/>
        <w:t>27A(4)</w:t>
      </w:r>
    </w:p>
    <w:p>
      <w:pPr>
        <w:pStyle w:val="DefinedTerms"/>
      </w:pPr>
      <w:r>
        <w:t>prevention and education function</w:t>
      </w:r>
      <w:r>
        <w:tab/>
        <w:t>17(1)</w:t>
      </w:r>
    </w:p>
    <w:p>
      <w:pPr>
        <w:pStyle w:val="DefinedTerms"/>
      </w:pPr>
      <w:r>
        <w:t>principal officer of a notifying authority</w:t>
      </w:r>
      <w:r>
        <w:tab/>
        <w:t>3(1)</w:t>
      </w:r>
    </w:p>
    <w:p>
      <w:pPr>
        <w:pStyle w:val="DefinedTerms"/>
      </w:pPr>
      <w:r>
        <w:t>Privileges Committee</w:t>
      </w:r>
      <w:r>
        <w:tab/>
        <w:t>27B(1)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material</w:t>
      </w:r>
      <w:r>
        <w:tab/>
        <w:t>101(1)</w:t>
      </w:r>
    </w:p>
    <w:p>
      <w:pPr>
        <w:pStyle w:val="DefinedTerms"/>
      </w:pPr>
      <w:r>
        <w:t>relevant person</w:t>
      </w:r>
      <w:r>
        <w:tab/>
        <w:t>152(1), 208(1)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w:t>
      </w:r>
    </w:p>
    <w:p>
      <w:pPr>
        <w:pStyle w:val="DefinedTerms"/>
      </w:pPr>
      <w:r>
        <w:t>urgent authority</w:t>
      </w:r>
      <w:r>
        <w:tab/>
        <w:t>119, 121(2)</w:t>
      </w:r>
    </w:p>
    <w:p>
      <w:pPr>
        <w:pStyle w:val="DefinedTerms"/>
      </w:pPr>
      <w:r>
        <w:t>urgent variation of an authority</w:t>
      </w:r>
      <w:r>
        <w:tab/>
        <w:t>124(3)</w:t>
      </w:r>
    </w:p>
    <w:p>
      <w:pPr>
        <w:pStyle w:val="DefinedTerms"/>
      </w:pPr>
      <w:r>
        <w:t>warrant</w:t>
      </w:r>
      <w:r>
        <w:tab/>
        <w:t>101(1)</w:t>
      </w:r>
    </w:p>
    <w:p>
      <w:pPr>
        <w:pStyle w:val="DefinedTerms"/>
      </w:pPr>
      <w:r>
        <w:t>witness</w:t>
      </w:r>
      <w:r>
        <w:tab/>
        <w:t>3(1)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224</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05-e0-01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Jun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and Crime Commission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932" w:name="Schedule"/>
    <w:bookmarkEnd w:id="93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and Crime Commission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and Crime Commission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and Crime Commission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83" w:name="DefinedTerms"/>
    <w:bookmarkEnd w:id="118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4" w:name="Coversheet"/>
    <w:bookmarkEnd w:id="118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58851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BEA78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E14BD8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1AD95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D605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7F40F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D8CF4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91006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2EEB428"/>
    <w:lvl w:ilvl="0">
      <w:start w:val="1"/>
      <w:numFmt w:val="decimal"/>
      <w:pStyle w:val="ListNumber"/>
      <w:lvlText w:val="%1."/>
      <w:lvlJc w:val="left"/>
      <w:pPr>
        <w:tabs>
          <w:tab w:val="num" w:pos="360"/>
        </w:tabs>
        <w:ind w:left="360" w:hanging="360"/>
      </w:pPr>
    </w:lvl>
  </w:abstractNum>
  <w:abstractNum w:abstractNumId="9">
    <w:nsid w:val="FFFFFF89"/>
    <w:multiLevelType w:val="singleLevel"/>
    <w:tmpl w:val="4B1A7F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55CE0D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D3AE675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4A7E7F"/>
    <w:multiLevelType w:val="hybridMultilevel"/>
    <w:tmpl w:val="2CCCE33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0DEFC8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5478E8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2">
    <w:nsid w:val="6D202A0E"/>
    <w:multiLevelType w:val="hybridMultilevel"/>
    <w:tmpl w:val="7D6C064C"/>
    <w:lvl w:ilvl="0" w:tplc="CBD671BA">
      <w:numFmt w:val="bullet"/>
      <w:lvlText w:val="•"/>
      <w:lvlJc w:val="left"/>
      <w:pPr>
        <w:ind w:left="927" w:hanging="360"/>
      </w:pPr>
      <w:rPr>
        <w:rFonts w:ascii="Times New Roman" w:eastAsia="Times New Roman" w:hAnsi="Times New Roman" w:cs="Times New Roman" w:hint="default"/>
      </w:rPr>
    </w:lvl>
    <w:lvl w:ilvl="1" w:tplc="0C090003" w:tentative="1">
      <w:start w:val="1"/>
      <w:numFmt w:val="bullet"/>
      <w:lvlText w:val="o"/>
      <w:lvlJc w:val="left"/>
      <w:pPr>
        <w:ind w:left="1647" w:hanging="360"/>
      </w:pPr>
      <w:rPr>
        <w:rFonts w:ascii="Courier New" w:hAnsi="Courier New" w:cs="Courier New" w:hint="default"/>
      </w:rPr>
    </w:lvl>
    <w:lvl w:ilvl="2" w:tplc="0C090005" w:tentative="1">
      <w:start w:val="1"/>
      <w:numFmt w:val="bullet"/>
      <w:lvlText w:val=""/>
      <w:lvlJc w:val="left"/>
      <w:pPr>
        <w:ind w:left="2367" w:hanging="360"/>
      </w:pPr>
      <w:rPr>
        <w:rFonts w:ascii="Wingdings" w:hAnsi="Wingdings" w:hint="default"/>
      </w:rPr>
    </w:lvl>
    <w:lvl w:ilvl="3" w:tplc="0C090001" w:tentative="1">
      <w:start w:val="1"/>
      <w:numFmt w:val="bullet"/>
      <w:lvlText w:val=""/>
      <w:lvlJc w:val="left"/>
      <w:pPr>
        <w:ind w:left="3087" w:hanging="360"/>
      </w:pPr>
      <w:rPr>
        <w:rFonts w:ascii="Symbol" w:hAnsi="Symbol" w:hint="default"/>
      </w:rPr>
    </w:lvl>
    <w:lvl w:ilvl="4" w:tplc="0C090003" w:tentative="1">
      <w:start w:val="1"/>
      <w:numFmt w:val="bullet"/>
      <w:lvlText w:val="o"/>
      <w:lvlJc w:val="left"/>
      <w:pPr>
        <w:ind w:left="3807" w:hanging="360"/>
      </w:pPr>
      <w:rPr>
        <w:rFonts w:ascii="Courier New" w:hAnsi="Courier New" w:cs="Courier New" w:hint="default"/>
      </w:rPr>
    </w:lvl>
    <w:lvl w:ilvl="5" w:tplc="0C090005" w:tentative="1">
      <w:start w:val="1"/>
      <w:numFmt w:val="bullet"/>
      <w:lvlText w:val=""/>
      <w:lvlJc w:val="left"/>
      <w:pPr>
        <w:ind w:left="4527" w:hanging="360"/>
      </w:pPr>
      <w:rPr>
        <w:rFonts w:ascii="Wingdings" w:hAnsi="Wingdings" w:hint="default"/>
      </w:rPr>
    </w:lvl>
    <w:lvl w:ilvl="6" w:tplc="0C090001" w:tentative="1">
      <w:start w:val="1"/>
      <w:numFmt w:val="bullet"/>
      <w:lvlText w:val=""/>
      <w:lvlJc w:val="left"/>
      <w:pPr>
        <w:ind w:left="5247" w:hanging="360"/>
      </w:pPr>
      <w:rPr>
        <w:rFonts w:ascii="Symbol" w:hAnsi="Symbol" w:hint="default"/>
      </w:rPr>
    </w:lvl>
    <w:lvl w:ilvl="7" w:tplc="0C090003" w:tentative="1">
      <w:start w:val="1"/>
      <w:numFmt w:val="bullet"/>
      <w:lvlText w:val="o"/>
      <w:lvlJc w:val="left"/>
      <w:pPr>
        <w:ind w:left="5967" w:hanging="360"/>
      </w:pPr>
      <w:rPr>
        <w:rFonts w:ascii="Courier New" w:hAnsi="Courier New" w:cs="Courier New" w:hint="default"/>
      </w:rPr>
    </w:lvl>
    <w:lvl w:ilvl="8" w:tplc="0C090005" w:tentative="1">
      <w:start w:val="1"/>
      <w:numFmt w:val="bullet"/>
      <w:lvlText w:val=""/>
      <w:lvlJc w:val="left"/>
      <w:pPr>
        <w:ind w:left="6687" w:hanging="360"/>
      </w:pPr>
      <w:rPr>
        <w:rFonts w:ascii="Wingdings" w:hAnsi="Wingdings" w:hint="default"/>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9E05A66"/>
    <w:multiLevelType w:val="hybridMultilevel"/>
    <w:tmpl w:val="662E6594"/>
    <w:lvl w:ilvl="0" w:tplc="0C090001">
      <w:start w:val="1"/>
      <w:numFmt w:val="bullet"/>
      <w:lvlText w:val=""/>
      <w:lvlJc w:val="left"/>
      <w:pPr>
        <w:ind w:left="1647" w:hanging="360"/>
      </w:pPr>
      <w:rPr>
        <w:rFonts w:ascii="Symbol" w:hAnsi="Symbol" w:hint="default"/>
      </w:rPr>
    </w:lvl>
    <w:lvl w:ilvl="1" w:tplc="0C090003" w:tentative="1">
      <w:start w:val="1"/>
      <w:numFmt w:val="bullet"/>
      <w:lvlText w:val="o"/>
      <w:lvlJc w:val="left"/>
      <w:pPr>
        <w:ind w:left="2367" w:hanging="360"/>
      </w:pPr>
      <w:rPr>
        <w:rFonts w:ascii="Courier New" w:hAnsi="Courier New" w:cs="Courier New" w:hint="default"/>
      </w:rPr>
    </w:lvl>
    <w:lvl w:ilvl="2" w:tplc="0C090005" w:tentative="1">
      <w:start w:val="1"/>
      <w:numFmt w:val="bullet"/>
      <w:lvlText w:val=""/>
      <w:lvlJc w:val="left"/>
      <w:pPr>
        <w:ind w:left="3087" w:hanging="360"/>
      </w:pPr>
      <w:rPr>
        <w:rFonts w:ascii="Wingdings" w:hAnsi="Wingdings" w:hint="default"/>
      </w:rPr>
    </w:lvl>
    <w:lvl w:ilvl="3" w:tplc="0C090001" w:tentative="1">
      <w:start w:val="1"/>
      <w:numFmt w:val="bullet"/>
      <w:lvlText w:val=""/>
      <w:lvlJc w:val="left"/>
      <w:pPr>
        <w:ind w:left="3807" w:hanging="360"/>
      </w:pPr>
      <w:rPr>
        <w:rFonts w:ascii="Symbol" w:hAnsi="Symbol" w:hint="default"/>
      </w:rPr>
    </w:lvl>
    <w:lvl w:ilvl="4" w:tplc="0C090003" w:tentative="1">
      <w:start w:val="1"/>
      <w:numFmt w:val="bullet"/>
      <w:lvlText w:val="o"/>
      <w:lvlJc w:val="left"/>
      <w:pPr>
        <w:ind w:left="4527" w:hanging="360"/>
      </w:pPr>
      <w:rPr>
        <w:rFonts w:ascii="Courier New" w:hAnsi="Courier New" w:cs="Courier New" w:hint="default"/>
      </w:rPr>
    </w:lvl>
    <w:lvl w:ilvl="5" w:tplc="0C090005" w:tentative="1">
      <w:start w:val="1"/>
      <w:numFmt w:val="bullet"/>
      <w:lvlText w:val=""/>
      <w:lvlJc w:val="left"/>
      <w:pPr>
        <w:ind w:left="5247" w:hanging="360"/>
      </w:pPr>
      <w:rPr>
        <w:rFonts w:ascii="Wingdings" w:hAnsi="Wingdings" w:hint="default"/>
      </w:rPr>
    </w:lvl>
    <w:lvl w:ilvl="6" w:tplc="0C090001" w:tentative="1">
      <w:start w:val="1"/>
      <w:numFmt w:val="bullet"/>
      <w:lvlText w:val=""/>
      <w:lvlJc w:val="left"/>
      <w:pPr>
        <w:ind w:left="5967" w:hanging="360"/>
      </w:pPr>
      <w:rPr>
        <w:rFonts w:ascii="Symbol" w:hAnsi="Symbol" w:hint="default"/>
      </w:rPr>
    </w:lvl>
    <w:lvl w:ilvl="7" w:tplc="0C090003" w:tentative="1">
      <w:start w:val="1"/>
      <w:numFmt w:val="bullet"/>
      <w:lvlText w:val="o"/>
      <w:lvlJc w:val="left"/>
      <w:pPr>
        <w:ind w:left="6687" w:hanging="360"/>
      </w:pPr>
      <w:rPr>
        <w:rFonts w:ascii="Courier New" w:hAnsi="Courier New" w:cs="Courier New" w:hint="default"/>
      </w:rPr>
    </w:lvl>
    <w:lvl w:ilvl="8" w:tplc="0C090005" w:tentative="1">
      <w:start w:val="1"/>
      <w:numFmt w:val="bullet"/>
      <w:lvlText w:val=""/>
      <w:lvlJc w:val="left"/>
      <w:pPr>
        <w:ind w:left="7407" w:hanging="360"/>
      </w:pPr>
      <w:rPr>
        <w:rFonts w:ascii="Wingdings" w:hAnsi="Wingdings" w:hint="default"/>
      </w:r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3"/>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30"/>
  </w:num>
  <w:num w:numId="27">
    <w:abstractNumId w:val="31"/>
  </w:num>
  <w:num w:numId="28">
    <w:abstractNumId w:val="13"/>
  </w:num>
  <w:num w:numId="29">
    <w:abstractNumId w:val="15"/>
  </w:num>
  <w:num w:numId="30">
    <w:abstractNumId w:val="14"/>
  </w:num>
  <w:num w:numId="31">
    <w:abstractNumId w:val="32"/>
  </w:num>
  <w:num w:numId="32">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4144431"/>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rFonts w:ascii="Times New Roman" w:hAnsi="Times New Roman"/>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AGE-">
    <w:name w:val="- PAGE -"/>
    <w:rPr>
      <w:rFonts w:ascii="Times New Roman" w:hAnsi="Times New Roman"/>
    </w:rPr>
  </w:style>
  <w:style w:type="paragraph" w:styleId="Revision">
    <w:name w:val="Revision"/>
    <w:hidden/>
    <w:uiPriority w:val="99"/>
    <w:semiHidden/>
    <w:rPr>
      <w:rFonts w:ascii="Times New Roman" w:hAnsi="Times New Roman"/>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75C32-F3D9-485D-8FD5-16F3496120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239</Pages>
  <Words>57659</Words>
  <Characters>284261</Characters>
  <Application>Microsoft Office Word</Application>
  <DocSecurity>0</DocSecurity>
  <Lines>7682</Lines>
  <Paragraphs>4440</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337480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and Crime Commission Act 2003 - 05-e0-01</dc:title>
  <dc:subject/>
  <dc:creator/>
  <cp:keywords/>
  <dc:description/>
  <cp:lastModifiedBy>svcMRProcess</cp:lastModifiedBy>
  <cp:revision>4</cp:revision>
  <cp:lastPrinted>2013-10-29T01:59:00Z</cp:lastPrinted>
  <dcterms:created xsi:type="dcterms:W3CDTF">2018-08-22T06:43:00Z</dcterms:created>
  <dcterms:modified xsi:type="dcterms:W3CDTF">2018-08-22T06:43:00Z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No">
    <vt:lpwstr>5</vt:lpwstr>
  </property>
  <property fmtid="{D5CDD505-2E9C-101B-9397-08002B2CF9AE}" pid="6" name="ReprintedAsAt">
    <vt:filetime>2013-10-17T16:00:00Z</vt:filetime>
  </property>
  <property fmtid="{D5CDD505-2E9C-101B-9397-08002B2CF9AE}" pid="7" name="AsAtDate">
    <vt:lpwstr>17 Jun 2015</vt:lpwstr>
  </property>
  <property fmtid="{D5CDD505-2E9C-101B-9397-08002B2CF9AE}" pid="8" name="Suffix">
    <vt:lpwstr>05-e0-01</vt:lpwstr>
  </property>
  <property fmtid="{D5CDD505-2E9C-101B-9397-08002B2CF9AE}" pid="9" name="CommencementDate">
    <vt:lpwstr>20150617</vt:lpwstr>
  </property>
</Properties>
</file>