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2.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Young Offenders Act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Young Offenders Act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_Toc422303169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_Toc422303170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_Toc422303171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Young offenders reaching 18</w:t>
      </w:r>
      <w:r>
        <w:tab/>
      </w:r>
      <w:r>
        <w:fldChar w:fldCharType="begin"/>
      </w:r>
      <w:r>
        <w:instrText xml:space="preserve"> PAGEREF _Toc422303172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rPr>
          <w:i/>
        </w:rPr>
        <w:t>Criminal Procedure Act 2004</w:t>
      </w:r>
      <w:r>
        <w:t xml:space="preserve"> </w:t>
      </w:r>
      <w:r>
        <w:rPr>
          <w:snapToGrid w:val="0"/>
        </w:rPr>
        <w:t>overridden</w:t>
      </w:r>
      <w:r>
        <w:tab/>
      </w:r>
      <w:r>
        <w:fldChar w:fldCharType="begin"/>
      </w:r>
      <w:r>
        <w:instrText xml:space="preserve"> PAGEREF _Toc422303173 \h </w:instrText>
      </w:r>
      <w:r>
        <w:fldChar w:fldCharType="separate"/>
      </w:r>
      <w:r>
        <w:t>5</w:t>
      </w:r>
      <w:r>
        <w:fldChar w:fldCharType="end"/>
      </w:r>
    </w:p>
    <w:p>
      <w:pPr>
        <w:pStyle w:val="TOC8"/>
        <w:rPr>
          <w:rFonts w:asciiTheme="minorHAnsi" w:eastAsiaTheme="minorEastAsia" w:hAnsiTheme="minorHAnsi" w:cstheme="minorBidi"/>
          <w:szCs w:val="22"/>
        </w:rPr>
      </w:pPr>
      <w:r>
        <w:t>6A.</w:t>
      </w:r>
      <w:r>
        <w:tab/>
      </w:r>
      <w:r>
        <w:rPr>
          <w:i/>
        </w:rPr>
        <w:t>Courts and Tribunals (Electronic Processes Facilitation) Act 2013</w:t>
      </w:r>
      <w:r>
        <w:t xml:space="preserve"> Part 2 applies</w:t>
      </w:r>
      <w:r>
        <w:tab/>
      </w:r>
      <w:r>
        <w:fldChar w:fldCharType="begin"/>
      </w:r>
      <w:r>
        <w:instrText xml:space="preserve"> PAGEREF _Toc422303174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Objectives and principles</w:t>
      </w:r>
    </w:p>
    <w:p>
      <w:pPr>
        <w:pStyle w:val="TOC8"/>
        <w:rPr>
          <w:rFonts w:asciiTheme="minorHAnsi" w:eastAsiaTheme="minorEastAsia" w:hAnsiTheme="minorHAnsi" w:cstheme="minorBidi"/>
          <w:szCs w:val="22"/>
        </w:rPr>
      </w:pPr>
      <w:r>
        <w:t>6</w:t>
      </w:r>
      <w:r>
        <w:rPr>
          <w:snapToGrid w:val="0"/>
        </w:rPr>
        <w:t>.</w:t>
      </w:r>
      <w:r>
        <w:rPr>
          <w:snapToGrid w:val="0"/>
        </w:rPr>
        <w:tab/>
        <w:t>Objectives</w:t>
      </w:r>
      <w:r>
        <w:tab/>
      </w:r>
      <w:r>
        <w:fldChar w:fldCharType="begin"/>
      </w:r>
      <w:r>
        <w:instrText xml:space="preserve"> PAGEREF _Toc422303176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General principles of juvenile justice</w:t>
      </w:r>
      <w:r>
        <w:tab/>
      </w:r>
      <w:r>
        <w:fldChar w:fldCharType="begin"/>
      </w:r>
      <w:r>
        <w:instrText xml:space="preserve"> PAGEREF _Toc422303177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Responsible adults, role of</w:t>
      </w:r>
      <w:r>
        <w:tab/>
      </w:r>
      <w:r>
        <w:fldChar w:fldCharType="begin"/>
      </w:r>
      <w:r>
        <w:instrText xml:space="preserve"> PAGEREF _Toc422303178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Administration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9</w:t>
      </w:r>
      <w:r>
        <w:rPr>
          <w:snapToGrid w:val="0"/>
        </w:rPr>
        <w:t>.</w:t>
      </w:r>
      <w:r>
        <w:rPr>
          <w:snapToGrid w:val="0"/>
        </w:rPr>
        <w:tab/>
        <w:t>Chief executive officer, functions of</w:t>
      </w:r>
      <w:r>
        <w:tab/>
      </w:r>
      <w:r>
        <w:fldChar w:fldCharType="begin"/>
      </w:r>
      <w:r>
        <w:instrText xml:space="preserve"> PAGEREF _Toc422303181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Chief executive officer may delegate</w:t>
      </w:r>
      <w:r>
        <w:tab/>
      </w:r>
      <w:r>
        <w:fldChar w:fldCharType="begin"/>
      </w:r>
      <w:r>
        <w:instrText xml:space="preserve"> PAGEREF _Toc422303182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Officers and employees, appointment of</w:t>
      </w:r>
      <w:r>
        <w:tab/>
      </w:r>
      <w:r>
        <w:fldChar w:fldCharType="begin"/>
      </w:r>
      <w:r>
        <w:instrText xml:space="preserve"> PAGEREF _Toc422303183 \h </w:instrText>
      </w:r>
      <w:r>
        <w:fldChar w:fldCharType="separate"/>
      </w:r>
      <w:r>
        <w:t>11</w:t>
      </w:r>
      <w:r>
        <w:fldChar w:fldCharType="end"/>
      </w:r>
    </w:p>
    <w:p>
      <w:pPr>
        <w:pStyle w:val="TOC8"/>
        <w:rPr>
          <w:rFonts w:asciiTheme="minorHAnsi" w:eastAsiaTheme="minorEastAsia" w:hAnsiTheme="minorHAnsi" w:cstheme="minorBidi"/>
          <w:szCs w:val="22"/>
        </w:rPr>
      </w:pPr>
      <w:r>
        <w:t>11A.</w:t>
      </w:r>
      <w:r>
        <w:tab/>
        <w:t>Duties of all officers and employees</w:t>
      </w:r>
      <w:r>
        <w:tab/>
      </w:r>
      <w:r>
        <w:fldChar w:fldCharType="begin"/>
      </w:r>
      <w:r>
        <w:instrText xml:space="preserve"> PAGEREF _Toc422303184 \h </w:instrText>
      </w:r>
      <w:r>
        <w:fldChar w:fldCharType="separate"/>
      </w:r>
      <w:r>
        <w:t>12</w:t>
      </w:r>
      <w:r>
        <w:fldChar w:fldCharType="end"/>
      </w:r>
    </w:p>
    <w:p>
      <w:pPr>
        <w:pStyle w:val="TOC8"/>
        <w:rPr>
          <w:rFonts w:asciiTheme="minorHAnsi" w:eastAsiaTheme="minorEastAsia" w:hAnsiTheme="minorHAnsi" w:cstheme="minorBidi"/>
          <w:szCs w:val="22"/>
        </w:rPr>
      </w:pPr>
      <w:r>
        <w:t>11B.</w:t>
      </w:r>
      <w:r>
        <w:tab/>
        <w:t>Powers and duties of custodial staff</w:t>
      </w:r>
      <w:r>
        <w:tab/>
      </w:r>
      <w:r>
        <w:fldChar w:fldCharType="begin"/>
      </w:r>
      <w:r>
        <w:instrText xml:space="preserve"> PAGEREF _Toc422303185 \h </w:instrText>
      </w:r>
      <w:r>
        <w:fldChar w:fldCharType="separate"/>
      </w:r>
      <w:r>
        <w:t>13</w:t>
      </w:r>
      <w:r>
        <w:fldChar w:fldCharType="end"/>
      </w:r>
    </w:p>
    <w:p>
      <w:pPr>
        <w:pStyle w:val="TOC8"/>
        <w:rPr>
          <w:rFonts w:asciiTheme="minorHAnsi" w:eastAsiaTheme="minorEastAsia" w:hAnsiTheme="minorHAnsi" w:cstheme="minorBidi"/>
          <w:szCs w:val="22"/>
        </w:rPr>
      </w:pPr>
      <w:r>
        <w:t>11C.</w:t>
      </w:r>
      <w:r>
        <w:tab/>
        <w:t>Use of force</w:t>
      </w:r>
      <w:r>
        <w:tab/>
      </w:r>
      <w:r>
        <w:fldChar w:fldCharType="begin"/>
      </w:r>
      <w:r>
        <w:instrText xml:space="preserve"> PAGEREF _Toc422303186 \h </w:instrText>
      </w:r>
      <w:r>
        <w:fldChar w:fldCharType="separate"/>
      </w:r>
      <w:r>
        <w:t>13</w:t>
      </w:r>
      <w:r>
        <w:fldChar w:fldCharType="end"/>
      </w:r>
    </w:p>
    <w:p>
      <w:pPr>
        <w:pStyle w:val="TOC8"/>
        <w:rPr>
          <w:rFonts w:asciiTheme="minorHAnsi" w:eastAsiaTheme="minorEastAsia" w:hAnsiTheme="minorHAnsi" w:cstheme="minorBidi"/>
          <w:szCs w:val="22"/>
        </w:rPr>
      </w:pPr>
      <w:r>
        <w:t>11D.</w:t>
      </w:r>
      <w:r>
        <w:tab/>
        <w:t>Use of restraints</w:t>
      </w:r>
      <w:r>
        <w:tab/>
      </w:r>
      <w:r>
        <w:fldChar w:fldCharType="begin"/>
      </w:r>
      <w:r>
        <w:instrText xml:space="preserve"> PAGEREF _Toc422303187 \h </w:instrText>
      </w:r>
      <w:r>
        <w:fldChar w:fldCharType="separate"/>
      </w:r>
      <w:r>
        <w:t>14</w:t>
      </w:r>
      <w:r>
        <w:fldChar w:fldCharType="end"/>
      </w:r>
    </w:p>
    <w:p>
      <w:pPr>
        <w:pStyle w:val="TOC8"/>
        <w:rPr>
          <w:rFonts w:asciiTheme="minorHAnsi" w:eastAsiaTheme="minorEastAsia" w:hAnsiTheme="minorHAnsi" w:cstheme="minorBidi"/>
          <w:szCs w:val="22"/>
        </w:rPr>
      </w:pPr>
      <w:r>
        <w:t>11E.</w:t>
      </w:r>
      <w:r>
        <w:tab/>
        <w:t>Assistance by prison officers</w:t>
      </w:r>
      <w:r>
        <w:tab/>
      </w:r>
      <w:r>
        <w:fldChar w:fldCharType="begin"/>
      </w:r>
      <w:r>
        <w:instrText xml:space="preserve"> PAGEREF _Toc422303188 \h </w:instrText>
      </w:r>
      <w:r>
        <w:fldChar w:fldCharType="separate"/>
      </w:r>
      <w:r>
        <w:t>14</w:t>
      </w:r>
      <w:r>
        <w:fldChar w:fldCharType="end"/>
      </w:r>
    </w:p>
    <w:p>
      <w:pPr>
        <w:pStyle w:val="TOC8"/>
        <w:rPr>
          <w:rFonts w:asciiTheme="minorHAnsi" w:eastAsiaTheme="minorEastAsia" w:hAnsiTheme="minorHAnsi" w:cstheme="minorBidi"/>
          <w:szCs w:val="22"/>
        </w:rPr>
      </w:pPr>
      <w:r>
        <w:t>11F.</w:t>
      </w:r>
      <w:r>
        <w:tab/>
        <w:t>Assistance by police officers</w:t>
      </w:r>
      <w:r>
        <w:tab/>
      </w:r>
      <w:r>
        <w:fldChar w:fldCharType="begin"/>
      </w:r>
      <w:r>
        <w:instrText xml:space="preserve"> PAGEREF _Toc422303189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Departmental and subsidised facilities, establishment of</w:t>
      </w:r>
      <w:r>
        <w:tab/>
      </w:r>
      <w:r>
        <w:fldChar w:fldCharType="begin"/>
      </w:r>
      <w:r>
        <w:instrText xml:space="preserve"> PAGEREF _Toc422303190 \h </w:instrText>
      </w:r>
      <w:r>
        <w:fldChar w:fldCharType="separate"/>
      </w:r>
      <w:r>
        <w:t>15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Detention centres, establishing</w:t>
      </w:r>
      <w:r>
        <w:tab/>
      </w:r>
      <w:r>
        <w:fldChar w:fldCharType="begin"/>
      </w:r>
      <w:r>
        <w:instrText xml:space="preserve"> PAGEREF _Toc422303191 \h </w:instrText>
      </w:r>
      <w:r>
        <w:fldChar w:fldCharType="separate"/>
      </w:r>
      <w:r>
        <w:t>16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Records of young offenders, duty to keep</w:t>
      </w:r>
      <w:r>
        <w:tab/>
      </w:r>
      <w:r>
        <w:fldChar w:fldCharType="begin"/>
      </w:r>
      <w:r>
        <w:instrText xml:space="preserve"> PAGEREF _Toc422303192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Records of young offenders, access to</w:t>
      </w:r>
      <w:r>
        <w:tab/>
      </w:r>
      <w:r>
        <w:fldChar w:fldCharType="begin"/>
      </w:r>
      <w:r>
        <w:instrText xml:space="preserve"> PAGEREF _Toc422303193 \h </w:instrText>
      </w:r>
      <w:r>
        <w:fldChar w:fldCharType="separate"/>
      </w:r>
      <w:r>
        <w:t>18</w:t>
      </w:r>
      <w:r>
        <w:fldChar w:fldCharType="end"/>
      </w:r>
    </w:p>
    <w:p>
      <w:pPr>
        <w:pStyle w:val="TOC8"/>
        <w:rPr>
          <w:rFonts w:asciiTheme="minorHAnsi" w:eastAsiaTheme="minorEastAsia" w:hAnsiTheme="minorHAnsi" w:cstheme="minorBidi"/>
          <w:szCs w:val="22"/>
        </w:rPr>
      </w:pPr>
      <w:r>
        <w:t>15A.</w:t>
      </w:r>
      <w:r>
        <w:tab/>
        <w:t>Disclosure of personal information relating to young offenders</w:t>
      </w:r>
      <w:r>
        <w:tab/>
      </w:r>
      <w:r>
        <w:fldChar w:fldCharType="begin"/>
      </w:r>
      <w:r>
        <w:instrText xml:space="preserve"> PAGEREF _Toc422303194 \h </w:instrText>
      </w:r>
      <w:r>
        <w:fldChar w:fldCharType="separate"/>
      </w:r>
      <w:r>
        <w:t>19</w:t>
      </w:r>
      <w:r>
        <w:fldChar w:fldCharType="end"/>
      </w:r>
    </w:p>
    <w:p>
      <w:pPr>
        <w:pStyle w:val="TOC8"/>
        <w:rPr>
          <w:rFonts w:asciiTheme="minorHAnsi" w:eastAsiaTheme="minorEastAsia" w:hAnsiTheme="minorHAnsi" w:cstheme="minorBidi"/>
          <w:szCs w:val="22"/>
        </w:rPr>
      </w:pPr>
      <w:r>
        <w:t>16.</w:t>
      </w:r>
      <w:r>
        <w:tab/>
        <w:t>Exchange of information</w:t>
      </w:r>
      <w:r>
        <w:tab/>
      </w:r>
      <w:r>
        <w:fldChar w:fldCharType="begin"/>
      </w:r>
      <w:r>
        <w:instrText xml:space="preserve"> PAGEREF _Toc422303195 \h </w:instrText>
      </w:r>
      <w:r>
        <w:fldChar w:fldCharType="separate"/>
      </w:r>
      <w:r>
        <w:t>22</w:t>
      </w:r>
      <w:r>
        <w:fldChar w:fldCharType="end"/>
      </w:r>
    </w:p>
    <w:p>
      <w:pPr>
        <w:pStyle w:val="TOC8"/>
        <w:rPr>
          <w:rFonts w:asciiTheme="minorHAnsi" w:eastAsiaTheme="minorEastAsia" w:hAnsiTheme="minorHAnsi" w:cstheme="minorBidi"/>
          <w:szCs w:val="22"/>
        </w:rPr>
      </w:pPr>
      <w:r>
        <w:t>16A.</w:t>
      </w:r>
      <w:r>
        <w:tab/>
        <w:t>Disclosure authorised</w:t>
      </w:r>
      <w:r>
        <w:tab/>
      </w:r>
      <w:r>
        <w:fldChar w:fldCharType="begin"/>
      </w:r>
      <w:r>
        <w:instrText xml:space="preserve"> PAGEREF _Toc422303196 \h </w:instrText>
      </w:r>
      <w:r>
        <w:fldChar w:fldCharType="separate"/>
      </w:r>
      <w:r>
        <w:t>24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Confidentiality</w:t>
      </w:r>
      <w:r>
        <w:tab/>
      </w:r>
      <w:r>
        <w:fldChar w:fldCharType="begin"/>
      </w:r>
      <w:r>
        <w:instrText xml:space="preserve"> PAGEREF _Toc422303197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2 — Arrangements with the council of an Aboriginal community</w:t>
      </w:r>
    </w:p>
    <w:p>
      <w:pPr>
        <w:pStyle w:val="TOC8"/>
        <w:rPr>
          <w:rFonts w:asciiTheme="minorHAnsi" w:eastAsiaTheme="minorEastAsia" w:hAnsiTheme="minorHAnsi" w:cstheme="minorBidi"/>
          <w:szCs w:val="22"/>
        </w:rPr>
      </w:pPr>
      <w:r>
        <w:t>17A.</w:t>
      </w:r>
      <w:r>
        <w:tab/>
        <w:t>Terms used</w:t>
      </w:r>
      <w:r>
        <w:tab/>
      </w:r>
      <w:r>
        <w:fldChar w:fldCharType="begin"/>
      </w:r>
      <w:r>
        <w:instrText xml:space="preserve"> PAGEREF _Toc422303199 \h </w:instrText>
      </w:r>
      <w:r>
        <w:fldChar w:fldCharType="separate"/>
      </w:r>
      <w:r>
        <w:t>25</w:t>
      </w:r>
      <w:r>
        <w:fldChar w:fldCharType="end"/>
      </w:r>
    </w:p>
    <w:p>
      <w:pPr>
        <w:pStyle w:val="TOC8"/>
        <w:rPr>
          <w:rFonts w:asciiTheme="minorHAnsi" w:eastAsiaTheme="minorEastAsia" w:hAnsiTheme="minorHAnsi" w:cstheme="minorBidi"/>
          <w:szCs w:val="22"/>
        </w:rPr>
      </w:pPr>
      <w:r>
        <w:t>17B.</w:t>
      </w:r>
      <w:r>
        <w:tab/>
        <w:t>Community supervision agreement</w:t>
      </w:r>
      <w:r>
        <w:tab/>
      </w:r>
      <w:r>
        <w:fldChar w:fldCharType="begin"/>
      </w:r>
      <w:r>
        <w:instrText xml:space="preserve"> PAGEREF _Toc422303200 \h </w:instrText>
      </w:r>
      <w:r>
        <w:fldChar w:fldCharType="separate"/>
      </w:r>
      <w:r>
        <w:t>26</w:t>
      </w:r>
      <w:r>
        <w:fldChar w:fldCharType="end"/>
      </w:r>
    </w:p>
    <w:p>
      <w:pPr>
        <w:pStyle w:val="TOC8"/>
        <w:rPr>
          <w:rFonts w:asciiTheme="minorHAnsi" w:eastAsiaTheme="minorEastAsia" w:hAnsiTheme="minorHAnsi" w:cstheme="minorBidi"/>
          <w:szCs w:val="22"/>
        </w:rPr>
      </w:pPr>
      <w:r>
        <w:t>17C.</w:t>
      </w:r>
      <w:r>
        <w:tab/>
        <w:t>Appointment of monitor</w:t>
      </w:r>
      <w:r>
        <w:tab/>
      </w:r>
      <w:r>
        <w:fldChar w:fldCharType="begin"/>
      </w:r>
      <w:r>
        <w:instrText xml:space="preserve"> PAGEREF _Toc422303201 \h </w:instrText>
      </w:r>
      <w:r>
        <w:fldChar w:fldCharType="separate"/>
      </w:r>
      <w:r>
        <w:t>26</w:t>
      </w:r>
      <w:r>
        <w:fldChar w:fldCharType="end"/>
      </w:r>
    </w:p>
    <w:p>
      <w:pPr>
        <w:pStyle w:val="TOC8"/>
        <w:rPr>
          <w:rFonts w:asciiTheme="minorHAnsi" w:eastAsiaTheme="minorEastAsia" w:hAnsiTheme="minorHAnsi" w:cstheme="minorBidi"/>
          <w:szCs w:val="22"/>
        </w:rPr>
      </w:pPr>
      <w:r>
        <w:t>17D.</w:t>
      </w:r>
      <w:r>
        <w:tab/>
        <w:t>Compensation for injury</w:t>
      </w:r>
      <w:r>
        <w:tab/>
      </w:r>
      <w:r>
        <w:fldChar w:fldCharType="begin"/>
      </w:r>
      <w:r>
        <w:instrText xml:space="preserve"> PAGEREF _Toc422303202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4 — Young persons in custody before being dealt with for an offence</w:t>
      </w:r>
    </w:p>
    <w:p>
      <w:pPr>
        <w:pStyle w:val="TOC8"/>
        <w:rPr>
          <w:rFonts w:asciiTheme="minorHAnsi" w:eastAsiaTheme="minorEastAsia" w:hAnsiTheme="minorHAnsi" w:cstheme="minorBidi"/>
          <w:szCs w:val="22"/>
        </w:rPr>
      </w:pPr>
      <w:r>
        <w:t>19</w:t>
      </w:r>
      <w:r>
        <w:rPr>
          <w:snapToGrid w:val="0"/>
        </w:rPr>
        <w:t>.</w:t>
      </w:r>
      <w:r>
        <w:rPr>
          <w:snapToGrid w:val="0"/>
        </w:rPr>
        <w:tab/>
        <w:t>Detention of young offenders apprehended by police</w:t>
      </w:r>
      <w:r>
        <w:tab/>
      </w:r>
      <w:r>
        <w:fldChar w:fldCharType="begin"/>
      </w:r>
      <w:r>
        <w:instrText xml:space="preserve"> PAGEREF _Toc422303204 \h </w:instrText>
      </w:r>
      <w:r>
        <w:fldChar w:fldCharType="separate"/>
      </w:r>
      <w:r>
        <w:t>28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Responsible adult to be notified</w:t>
      </w:r>
      <w:r>
        <w:tab/>
      </w:r>
      <w:r>
        <w:fldChar w:fldCharType="begin"/>
      </w:r>
      <w:r>
        <w:instrText xml:space="preserve"> PAGEREF _Toc422303205 \h </w:instrText>
      </w:r>
      <w:r>
        <w:fldChar w:fldCharType="separate"/>
      </w:r>
      <w:r>
        <w:t>28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Young person in custody awaiting trial</w:t>
      </w:r>
      <w:r>
        <w:tab/>
      </w:r>
      <w:r>
        <w:fldChar w:fldCharType="begin"/>
      </w:r>
      <w:r>
        <w:instrText xml:space="preserve"> PAGEREF _Toc422303206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5 — Dealing with young offenders without taking court proceedings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Cautioning</w:t>
      </w:r>
    </w:p>
    <w:p>
      <w:pPr>
        <w:pStyle w:val="TOC8"/>
        <w:rPr>
          <w:rFonts w:asciiTheme="minorHAnsi" w:eastAsiaTheme="minorEastAsia" w:hAnsiTheme="minorHAnsi" w:cstheme="minorBidi"/>
          <w:szCs w:val="22"/>
        </w:rPr>
      </w:pPr>
      <w:r>
        <w:t>22A</w:t>
      </w:r>
      <w:r>
        <w:rPr>
          <w:snapToGrid w:val="0"/>
        </w:rPr>
        <w:t>.</w:t>
      </w:r>
      <w:r>
        <w:rPr>
          <w:snapToGrid w:val="0"/>
        </w:rPr>
        <w:tab/>
        <w:t>Purpose of this Division</w:t>
      </w:r>
      <w:r>
        <w:tab/>
      </w:r>
      <w:r>
        <w:fldChar w:fldCharType="begin"/>
      </w:r>
      <w:r>
        <w:instrText xml:space="preserve"> PAGEREF _Toc422303209 \h </w:instrText>
      </w:r>
      <w:r>
        <w:fldChar w:fldCharType="separate"/>
      </w:r>
      <w:r>
        <w:t>31</w:t>
      </w:r>
      <w:r>
        <w:fldChar w:fldCharType="end"/>
      </w:r>
    </w:p>
    <w:p>
      <w:pPr>
        <w:pStyle w:val="TOC8"/>
        <w:rPr>
          <w:rFonts w:asciiTheme="minorHAnsi" w:eastAsiaTheme="minorEastAsia" w:hAnsiTheme="minorHAnsi" w:cstheme="minorBidi"/>
          <w:szCs w:val="22"/>
        </w:rPr>
      </w:pPr>
      <w:r>
        <w:t>22B</w:t>
      </w:r>
      <w:r>
        <w:rPr>
          <w:snapToGrid w:val="0"/>
        </w:rPr>
        <w:t>.</w:t>
      </w:r>
      <w:r>
        <w:rPr>
          <w:snapToGrid w:val="0"/>
        </w:rPr>
        <w:tab/>
        <w:t>Police officer to consider alternatives to court proceedings</w:t>
      </w:r>
      <w:r>
        <w:tab/>
      </w:r>
      <w:r>
        <w:fldChar w:fldCharType="begin"/>
      </w:r>
      <w:r>
        <w:instrText xml:space="preserve"> PAGEREF _Toc422303210 \h </w:instrText>
      </w:r>
      <w:r>
        <w:fldChar w:fldCharType="separate"/>
      </w:r>
      <w:r>
        <w:t>31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Cautions may be given except for Sch. 1 or 2 offences</w:t>
      </w:r>
      <w:r>
        <w:tab/>
      </w:r>
      <w:r>
        <w:fldChar w:fldCharType="begin"/>
      </w:r>
      <w:r>
        <w:instrText xml:space="preserve"> PAGEREF _Toc422303211 \h </w:instrText>
      </w:r>
      <w:r>
        <w:fldChar w:fldCharType="separate"/>
      </w:r>
      <w:r>
        <w:t>31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Cautioning to be preferred in certain cases</w:t>
      </w:r>
      <w:r>
        <w:tab/>
      </w:r>
      <w:r>
        <w:fldChar w:fldCharType="begin"/>
      </w:r>
      <w:r>
        <w:instrText xml:space="preserve"> PAGEREF _Toc422303212 \h </w:instrText>
      </w:r>
      <w:r>
        <w:fldChar w:fldCharType="separate"/>
      </w:r>
      <w:r>
        <w:t>32</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Caution certificate to be given</w:t>
      </w:r>
      <w:r>
        <w:tab/>
      </w:r>
      <w:r>
        <w:fldChar w:fldCharType="begin"/>
      </w:r>
      <w:r>
        <w:instrText xml:space="preserve"> PAGEREF _Toc422303213 \h </w:instrText>
      </w:r>
      <w:r>
        <w:fldChar w:fldCharType="separate"/>
      </w:r>
      <w:r>
        <w:t>32</w:t>
      </w:r>
      <w:r>
        <w:fldChar w:fldCharType="end"/>
      </w:r>
    </w:p>
    <w:p>
      <w:pPr>
        <w:pStyle w:val="TOC8"/>
        <w:rPr>
          <w:rFonts w:asciiTheme="minorHAnsi" w:eastAsiaTheme="minorEastAsia" w:hAnsiTheme="minorHAnsi" w:cstheme="minorBidi"/>
          <w:szCs w:val="22"/>
        </w:rPr>
      </w:pPr>
      <w:r>
        <w:t>23B</w:t>
      </w:r>
      <w:r>
        <w:rPr>
          <w:snapToGrid w:val="0"/>
        </w:rPr>
        <w:t>.</w:t>
      </w:r>
      <w:r>
        <w:rPr>
          <w:snapToGrid w:val="0"/>
        </w:rPr>
        <w:tab/>
        <w:t>Police officer may retain a thing relating to an offence</w:t>
      </w:r>
      <w:r>
        <w:tab/>
      </w:r>
      <w:r>
        <w:fldChar w:fldCharType="begin"/>
      </w:r>
      <w:r>
        <w:instrText xml:space="preserve"> PAGEREF _Toc422303214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Referral to juvenile justice team</w:t>
      </w:r>
    </w:p>
    <w:p>
      <w:pPr>
        <w:pStyle w:val="TOC8"/>
        <w:rPr>
          <w:rFonts w:asciiTheme="minorHAnsi" w:eastAsiaTheme="minorEastAsia" w:hAnsiTheme="minorHAnsi" w:cstheme="minorBidi"/>
          <w:szCs w:val="22"/>
        </w:rPr>
      </w:pPr>
      <w:r>
        <w:t>24</w:t>
      </w:r>
      <w:r>
        <w:rPr>
          <w:snapToGrid w:val="0"/>
        </w:rPr>
        <w:t>.</w:t>
      </w:r>
      <w:r>
        <w:rPr>
          <w:snapToGrid w:val="0"/>
        </w:rPr>
        <w:tab/>
        <w:t>Principles</w:t>
      </w:r>
      <w:r>
        <w:tab/>
      </w:r>
      <w:r>
        <w:fldChar w:fldCharType="begin"/>
      </w:r>
      <w:r>
        <w:instrText xml:space="preserve"> PAGEREF _Toc422303216 \h </w:instrText>
      </w:r>
      <w:r>
        <w:fldChar w:fldCharType="separate"/>
      </w:r>
      <w:r>
        <w:t>33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Only certain matters may be referred to teams</w:t>
      </w:r>
      <w:r>
        <w:tab/>
      </w:r>
      <w:r>
        <w:fldChar w:fldCharType="begin"/>
      </w:r>
      <w:r>
        <w:instrText xml:space="preserve"> PAGEREF _Toc422303217 \h </w:instrText>
      </w:r>
      <w:r>
        <w:fldChar w:fldCharType="separate"/>
      </w:r>
      <w:r>
        <w:t>34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Release of young person under arrest</w:t>
      </w:r>
      <w:r>
        <w:tab/>
      </w:r>
      <w:r>
        <w:fldChar w:fldCharType="begin"/>
      </w:r>
      <w:r>
        <w:instrText xml:space="preserve"> PAGEREF _Toc422303218 \h </w:instrText>
      </w:r>
      <w:r>
        <w:fldChar w:fldCharType="separate"/>
      </w:r>
      <w:r>
        <w:t>35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Referral to team by prosecutor</w:t>
      </w:r>
      <w:r>
        <w:tab/>
      </w:r>
      <w:r>
        <w:fldChar w:fldCharType="begin"/>
      </w:r>
      <w:r>
        <w:instrText xml:space="preserve"> PAGEREF _Toc422303219 \h </w:instrText>
      </w:r>
      <w:r>
        <w:fldChar w:fldCharType="separate"/>
      </w:r>
      <w:r>
        <w:t>35</w:t>
      </w:r>
      <w:r>
        <w:fldChar w:fldCharType="end"/>
      </w:r>
    </w:p>
    <w:p>
      <w:pPr>
        <w:pStyle w:val="TOC8"/>
        <w:rPr>
          <w:rFonts w:asciiTheme="minorHAnsi" w:eastAsiaTheme="minorEastAsia" w:hAnsiTheme="minorHAnsi" w:cstheme="minorBidi"/>
          <w:szCs w:val="22"/>
        </w:rPr>
      </w:pPr>
      <w:r>
        <w:t>28.</w:t>
      </w:r>
      <w:r>
        <w:tab/>
      </w:r>
      <w:r>
        <w:rPr>
          <w:snapToGrid w:val="0"/>
        </w:rPr>
        <w:t>Referral to team by court</w:t>
      </w:r>
      <w:r>
        <w:tab/>
      </w:r>
      <w:r>
        <w:fldChar w:fldCharType="begin"/>
      </w:r>
      <w:r>
        <w:instrText xml:space="preserve"> PAGEREF _Toc422303220 \h </w:instrText>
      </w:r>
      <w:r>
        <w:fldChar w:fldCharType="separate"/>
      </w:r>
      <w:r>
        <w:t>36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First offenders usually should be referred to team</w:t>
      </w:r>
      <w:r>
        <w:tab/>
      </w:r>
      <w:r>
        <w:fldChar w:fldCharType="begin"/>
      </w:r>
      <w:r>
        <w:instrText xml:space="preserve"> PAGEREF _Toc422303221 \h </w:instrText>
      </w:r>
      <w:r>
        <w:fldChar w:fldCharType="separate"/>
      </w:r>
      <w:r>
        <w:t>36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Role of responsible adult</w:t>
      </w:r>
      <w:r>
        <w:tab/>
      </w:r>
      <w:r>
        <w:fldChar w:fldCharType="begin"/>
      </w:r>
      <w:r>
        <w:instrText xml:space="preserve"> PAGEREF _Toc422303222 \h </w:instrText>
      </w:r>
      <w:r>
        <w:fldChar w:fldCharType="separate"/>
      </w:r>
      <w:r>
        <w:t>37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Role of victim</w:t>
      </w:r>
      <w:r>
        <w:tab/>
      </w:r>
      <w:r>
        <w:fldChar w:fldCharType="begin"/>
      </w:r>
      <w:r>
        <w:instrText xml:space="preserve"> PAGEREF _Toc422303223 \h </w:instrText>
      </w:r>
      <w:r>
        <w:fldChar w:fldCharType="separate"/>
      </w:r>
      <w:r>
        <w:t>38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Powers of juvenile justice team</w:t>
      </w:r>
      <w:r>
        <w:tab/>
      </w:r>
      <w:r>
        <w:fldChar w:fldCharType="begin"/>
      </w:r>
      <w:r>
        <w:instrText xml:space="preserve"> PAGEREF _Toc422303224 \h </w:instrText>
      </w:r>
      <w:r>
        <w:fldChar w:fldCharType="separate"/>
      </w:r>
      <w:r>
        <w:t>38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Effect on liability to be dealt with by court</w:t>
      </w:r>
      <w:r>
        <w:tab/>
      </w:r>
      <w:r>
        <w:fldChar w:fldCharType="begin"/>
      </w:r>
      <w:r>
        <w:instrText xml:space="preserve"> PAGEREF _Toc422303225 \h </w:instrText>
      </w:r>
      <w:r>
        <w:fldChar w:fldCharType="separate"/>
      </w:r>
      <w:r>
        <w:t>40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Civil liability not affected</w:t>
      </w:r>
      <w:r>
        <w:tab/>
      </w:r>
      <w:r>
        <w:fldChar w:fldCharType="begin"/>
      </w:r>
      <w:r>
        <w:instrText xml:space="preserve"> PAGEREF _Toc422303226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Juvenile justice teams</w:t>
      </w:r>
    </w:p>
    <w:p>
      <w:pPr>
        <w:pStyle w:val="TOC8"/>
        <w:rPr>
          <w:rFonts w:asciiTheme="minorHAnsi" w:eastAsiaTheme="minorEastAsia" w:hAnsiTheme="minorHAnsi" w:cstheme="minorBidi"/>
          <w:szCs w:val="22"/>
        </w:rPr>
      </w:pPr>
      <w:r>
        <w:t>35</w:t>
      </w:r>
      <w:r>
        <w:rPr>
          <w:snapToGrid w:val="0"/>
        </w:rPr>
        <w:t>.</w:t>
      </w:r>
      <w:r>
        <w:rPr>
          <w:snapToGrid w:val="0"/>
        </w:rPr>
        <w:tab/>
        <w:t>Terms used</w:t>
      </w:r>
      <w:r>
        <w:tab/>
      </w:r>
      <w:r>
        <w:fldChar w:fldCharType="begin"/>
      </w:r>
      <w:r>
        <w:instrText xml:space="preserve"> PAGEREF _Toc422303228 \h </w:instrText>
      </w:r>
      <w:r>
        <w:fldChar w:fldCharType="separate"/>
      </w:r>
      <w:r>
        <w:t>41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Juvenile Justice Team Coordinator, appointment of</w:t>
      </w:r>
      <w:r>
        <w:tab/>
      </w:r>
      <w:r>
        <w:fldChar w:fldCharType="begin"/>
      </w:r>
      <w:r>
        <w:instrText xml:space="preserve"> PAGEREF _Toc422303229 \h </w:instrText>
      </w:r>
      <w:r>
        <w:fldChar w:fldCharType="separate"/>
      </w:r>
      <w:r>
        <w:t>41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Establishing juvenile justice teams</w:t>
      </w:r>
      <w:r>
        <w:tab/>
      </w:r>
      <w:r>
        <w:fldChar w:fldCharType="begin"/>
      </w:r>
      <w:r>
        <w:instrText xml:space="preserve"> PAGEREF _Toc422303230 \h </w:instrText>
      </w:r>
      <w:r>
        <w:fldChar w:fldCharType="separate"/>
      </w:r>
      <w:r>
        <w:t>41</w:t>
      </w:r>
      <w:r>
        <w:fldChar w:fldCharType="end"/>
      </w:r>
    </w:p>
    <w:p>
      <w:pPr>
        <w:pStyle w:val="TOC8"/>
        <w:rPr>
          <w:rFonts w:asciiTheme="minorHAnsi" w:eastAsiaTheme="minorEastAsia" w:hAnsiTheme="minorHAnsi" w:cstheme="minorBidi"/>
          <w:szCs w:val="22"/>
        </w:rPr>
      </w:pPr>
      <w:r>
        <w:t>37A.</w:t>
      </w:r>
      <w:r>
        <w:tab/>
        <w:t>No representation by legal practitioner or agent</w:t>
      </w:r>
      <w:r>
        <w:tab/>
      </w:r>
      <w:r>
        <w:fldChar w:fldCharType="begin"/>
      </w:r>
      <w:r>
        <w:instrText xml:space="preserve"> PAGEREF _Toc422303231 \h </w:instrText>
      </w:r>
      <w:r>
        <w:fldChar w:fldCharType="separate"/>
      </w:r>
      <w:r>
        <w:t>42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Decisions to be unanimous</w:t>
      </w:r>
      <w:r>
        <w:tab/>
      </w:r>
      <w:r>
        <w:fldChar w:fldCharType="begin"/>
      </w:r>
      <w:r>
        <w:instrText xml:space="preserve"> PAGEREF _Toc422303232 \h </w:instrText>
      </w:r>
      <w:r>
        <w:fldChar w:fldCharType="separate"/>
      </w:r>
      <w:r>
        <w:t>42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Records to be kept</w:t>
      </w:r>
      <w:r>
        <w:tab/>
      </w:r>
      <w:r>
        <w:fldChar w:fldCharType="begin"/>
      </w:r>
      <w:r>
        <w:instrText xml:space="preserve"> PAGEREF _Toc422303233 \h </w:instrText>
      </w:r>
      <w:r>
        <w:fldChar w:fldCharType="separate"/>
      </w:r>
      <w:r>
        <w:t>43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No report of proceedings to be published</w:t>
      </w:r>
      <w:r>
        <w:tab/>
      </w:r>
      <w:r>
        <w:fldChar w:fldCharType="begin"/>
      </w:r>
      <w:r>
        <w:instrText xml:space="preserve"> PAGEREF _Toc422303234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6 — Court proceedings</w:t>
      </w:r>
    </w:p>
    <w:p>
      <w:pPr>
        <w:pStyle w:val="TOC8"/>
        <w:rPr>
          <w:rFonts w:asciiTheme="minorHAnsi" w:eastAsiaTheme="minorEastAsia" w:hAnsiTheme="minorHAnsi" w:cstheme="minorBidi"/>
          <w:szCs w:val="22"/>
        </w:rPr>
      </w:pPr>
      <w:r>
        <w:t>41</w:t>
      </w:r>
      <w:r>
        <w:rPr>
          <w:snapToGrid w:val="0"/>
        </w:rPr>
        <w:t>.</w:t>
      </w:r>
      <w:r>
        <w:rPr>
          <w:snapToGrid w:val="0"/>
        </w:rPr>
        <w:tab/>
        <w:t>Preliminary considerations for police before prosecuting</w:t>
      </w:r>
      <w:r>
        <w:tab/>
      </w:r>
      <w:r>
        <w:fldChar w:fldCharType="begin"/>
      </w:r>
      <w:r>
        <w:instrText xml:space="preserve"> PAGEREF _Toc422303236 \h </w:instrText>
      </w:r>
      <w:r>
        <w:fldChar w:fldCharType="separate"/>
      </w:r>
      <w:r>
        <w:t>44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Notice to attend court usually preferable to summons</w:t>
      </w:r>
      <w:r>
        <w:tab/>
      </w:r>
      <w:r>
        <w:fldChar w:fldCharType="begin"/>
      </w:r>
      <w:r>
        <w:instrText xml:space="preserve"> PAGEREF _Toc422303237 \h </w:instrText>
      </w:r>
      <w:r>
        <w:fldChar w:fldCharType="separate"/>
      </w:r>
      <w:r>
        <w:t>44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Notices to attend court, general provisions about</w:t>
      </w:r>
      <w:r>
        <w:tab/>
      </w:r>
      <w:r>
        <w:fldChar w:fldCharType="begin"/>
      </w:r>
      <w:r>
        <w:instrText xml:space="preserve"> PAGEREF _Toc422303238 \h </w:instrText>
      </w:r>
      <w:r>
        <w:fldChar w:fldCharType="separate"/>
      </w:r>
      <w:r>
        <w:t>45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Proceedings to be explained to young persons</w:t>
      </w:r>
      <w:r>
        <w:tab/>
      </w:r>
      <w:r>
        <w:fldChar w:fldCharType="begin"/>
      </w:r>
      <w:r>
        <w:instrText xml:space="preserve"> PAGEREF _Toc422303239 \h </w:instrText>
      </w:r>
      <w:r>
        <w:fldChar w:fldCharType="separate"/>
      </w:r>
      <w:r>
        <w:t>47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Responsible adult may be required to attend court</w:t>
      </w:r>
      <w:r>
        <w:tab/>
      </w:r>
      <w:r>
        <w:fldChar w:fldCharType="begin"/>
      </w:r>
      <w:r>
        <w:instrText xml:space="preserve"> PAGEREF _Toc422303240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7 — Sentencing and related matters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46</w:t>
      </w:r>
      <w:r>
        <w:rPr>
          <w:snapToGrid w:val="0"/>
        </w:rPr>
        <w:t>.</w:t>
      </w:r>
      <w:r>
        <w:rPr>
          <w:snapToGrid w:val="0"/>
        </w:rPr>
        <w:tab/>
        <w:t>Principles and considerations to be applied to young offenders</w:t>
      </w:r>
      <w:r>
        <w:tab/>
      </w:r>
      <w:r>
        <w:fldChar w:fldCharType="begin"/>
      </w:r>
      <w:r>
        <w:instrText xml:space="preserve"> PAGEREF _Toc422303243 \h </w:instrText>
      </w:r>
      <w:r>
        <w:fldChar w:fldCharType="separate"/>
      </w:r>
      <w:r>
        <w:t>50</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 xml:space="preserve">Application of </w:t>
      </w:r>
      <w:r>
        <w:rPr>
          <w:i/>
          <w:snapToGrid w:val="0"/>
        </w:rPr>
        <w:t>Sentencing Act 1995</w:t>
      </w:r>
      <w:r>
        <w:tab/>
      </w:r>
      <w:r>
        <w:fldChar w:fldCharType="begin"/>
      </w:r>
      <w:r>
        <w:instrText xml:space="preserve"> PAGEREF _Toc422303244 \h </w:instrText>
      </w:r>
      <w:r>
        <w:fldChar w:fldCharType="separate"/>
      </w:r>
      <w:r>
        <w:t>51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Court may request information</w:t>
      </w:r>
      <w:r>
        <w:tab/>
      </w:r>
      <w:r>
        <w:fldChar w:fldCharType="begin"/>
      </w:r>
      <w:r>
        <w:instrText xml:space="preserve"> PAGEREF _Toc422303245 \h </w:instrText>
      </w:r>
      <w:r>
        <w:fldChar w:fldCharType="separate"/>
      </w:r>
      <w:r>
        <w:t>52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Certain reports required</w:t>
      </w:r>
      <w:r>
        <w:tab/>
      </w:r>
      <w:r>
        <w:fldChar w:fldCharType="begin"/>
      </w:r>
      <w:r>
        <w:instrText xml:space="preserve"> PAGEREF _Toc422303246 \h </w:instrText>
      </w:r>
      <w:r>
        <w:fldChar w:fldCharType="separate"/>
      </w:r>
      <w:r>
        <w:t>52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Remand for observation</w:t>
      </w:r>
      <w:r>
        <w:tab/>
      </w:r>
      <w:r>
        <w:fldChar w:fldCharType="begin"/>
      </w:r>
      <w:r>
        <w:instrText xml:space="preserve"> PAGEREF _Toc422303247 \h </w:instrText>
      </w:r>
      <w:r>
        <w:fldChar w:fldCharType="separate"/>
      </w:r>
      <w:r>
        <w:t>52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Offender aged under 17 at time of sentence, options</w:t>
      </w:r>
      <w:r>
        <w:tab/>
      </w:r>
      <w:r>
        <w:fldChar w:fldCharType="begin"/>
      </w:r>
      <w:r>
        <w:instrText xml:space="preserve"> PAGEREF _Toc422303248 \h </w:instrText>
      </w:r>
      <w:r>
        <w:fldChar w:fldCharType="separate"/>
      </w:r>
      <w:r>
        <w:t>53</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Offender aged 17 or over but under 18 at time of sentence, options</w:t>
      </w:r>
      <w:r>
        <w:tab/>
      </w:r>
      <w:r>
        <w:fldChar w:fldCharType="begin"/>
      </w:r>
      <w:r>
        <w:instrText xml:space="preserve"> PAGEREF _Toc422303249 \h </w:instrText>
      </w:r>
      <w:r>
        <w:fldChar w:fldCharType="separate"/>
      </w:r>
      <w:r>
        <w:t>53</w:t>
      </w:r>
      <w:r>
        <w:fldChar w:fldCharType="end"/>
      </w:r>
    </w:p>
    <w:p>
      <w:pPr>
        <w:pStyle w:val="TOC8"/>
        <w:rPr>
          <w:rFonts w:asciiTheme="minorHAnsi" w:eastAsiaTheme="minorEastAsia" w:hAnsiTheme="minorHAnsi" w:cstheme="minorBidi"/>
          <w:szCs w:val="22"/>
        </w:rPr>
      </w:pPr>
      <w:r>
        <w:t>50B</w:t>
      </w:r>
      <w:r>
        <w:rPr>
          <w:snapToGrid w:val="0"/>
        </w:rPr>
        <w:t>.</w:t>
      </w:r>
      <w:r>
        <w:rPr>
          <w:snapToGrid w:val="0"/>
        </w:rPr>
        <w:tab/>
        <w:t>Offender aged 18 or over at time of sentence, options</w:t>
      </w:r>
      <w:r>
        <w:tab/>
      </w:r>
      <w:r>
        <w:fldChar w:fldCharType="begin"/>
      </w:r>
      <w:r>
        <w:instrText xml:space="preserve"> PAGEREF _Toc422303250 \h </w:instrText>
      </w:r>
      <w:r>
        <w:fldChar w:fldCharType="separate"/>
      </w:r>
      <w:r>
        <w:t>54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Responsible adult to be present for certain orders</w:t>
      </w:r>
      <w:r>
        <w:tab/>
      </w:r>
      <w:r>
        <w:fldChar w:fldCharType="begin"/>
      </w:r>
      <w:r>
        <w:instrText xml:space="preserve"> PAGEREF _Toc422303251 \h </w:instrText>
      </w:r>
      <w:r>
        <w:fldChar w:fldCharType="separate"/>
      </w:r>
      <w:r>
        <w:t>55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Order requiring consent to be explained</w:t>
      </w:r>
      <w:r>
        <w:tab/>
      </w:r>
      <w:r>
        <w:fldChar w:fldCharType="begin"/>
      </w:r>
      <w:r>
        <w:instrText xml:space="preserve"> PAGEREF _Toc422303252 \h </w:instrText>
      </w:r>
      <w:r>
        <w:fldChar w:fldCharType="separate"/>
      </w:r>
      <w:r>
        <w:t>55</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Body samples may be required to be provided</w:t>
      </w:r>
      <w:r>
        <w:tab/>
      </w:r>
      <w:r>
        <w:fldChar w:fldCharType="begin"/>
      </w:r>
      <w:r>
        <w:instrText xml:space="preserve"> PAGEREF _Toc422303253 \h </w:instrText>
      </w:r>
      <w:r>
        <w:fldChar w:fldCharType="separate"/>
      </w:r>
      <w:r>
        <w:t>56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Conviction, when to be recorded</w:t>
      </w:r>
      <w:r>
        <w:tab/>
      </w:r>
      <w:r>
        <w:fldChar w:fldCharType="begin"/>
      </w:r>
      <w:r>
        <w:instrText xml:space="preserve"> PAGEREF _Toc422303254 \h </w:instrText>
      </w:r>
      <w:r>
        <w:fldChar w:fldCharType="separate"/>
      </w:r>
      <w:r>
        <w:t>56</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Compensation and restitution, orders for</w:t>
      </w:r>
      <w:r>
        <w:tab/>
      </w:r>
      <w:r>
        <w:fldChar w:fldCharType="begin"/>
      </w:r>
      <w:r>
        <w:instrText xml:space="preserve"> PAGEREF _Toc422303255 \h </w:instrText>
      </w:r>
      <w:r>
        <w:fldChar w:fldCharType="separate"/>
      </w:r>
      <w:r>
        <w:t>57</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Costs may be ordered to be paid</w:t>
      </w:r>
      <w:r>
        <w:tab/>
      </w:r>
      <w:r>
        <w:fldChar w:fldCharType="begin"/>
      </w:r>
      <w:r>
        <w:instrText xml:space="preserve"> PAGEREF _Toc422303256 \h </w:instrText>
      </w:r>
      <w:r>
        <w:fldChar w:fldCharType="separate"/>
      </w:r>
      <w:r>
        <w:t>58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Responsible adult may be made liable for fine etc.</w:t>
      </w:r>
      <w:r>
        <w:tab/>
      </w:r>
      <w:r>
        <w:fldChar w:fldCharType="begin"/>
      </w:r>
      <w:r>
        <w:instrText xml:space="preserve"> PAGEREF _Toc422303257 \h </w:instrText>
      </w:r>
      <w:r>
        <w:fldChar w:fldCharType="separate"/>
      </w:r>
      <w:r>
        <w:t>58</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Court orders to be provided in writing</w:t>
      </w:r>
      <w:r>
        <w:tab/>
      </w:r>
      <w:r>
        <w:fldChar w:fldCharType="begin"/>
      </w:r>
      <w:r>
        <w:instrText xml:space="preserve"> PAGEREF _Toc422303258 \h </w:instrText>
      </w:r>
      <w:r>
        <w:fldChar w:fldCharType="separate"/>
      </w:r>
      <w:r>
        <w:t>59</w:t>
      </w:r>
      <w:r>
        <w:fldChar w:fldCharType="end"/>
      </w:r>
    </w:p>
    <w:p>
      <w:pPr>
        <w:pStyle w:val="TOC8"/>
        <w:rPr>
          <w:rFonts w:asciiTheme="minorHAnsi" w:eastAsiaTheme="minorEastAsia" w:hAnsiTheme="minorHAnsi" w:cstheme="minorBidi"/>
          <w:szCs w:val="22"/>
        </w:rPr>
      </w:pPr>
      <w:r>
        <w:t>60.</w:t>
      </w:r>
      <w:r>
        <w:tab/>
        <w:t>Orders etc. under this Part are sentences</w:t>
      </w:r>
      <w:r>
        <w:tab/>
      </w:r>
      <w:r>
        <w:fldChar w:fldCharType="begin"/>
      </w:r>
      <w:r>
        <w:instrText xml:space="preserve"> PAGEREF _Toc422303259 \h </w:instrText>
      </w:r>
      <w:r>
        <w:fldChar w:fldCharType="separate"/>
      </w:r>
      <w:r>
        <w:t>60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Workers’ compensation for compulsory work</w:t>
      </w:r>
      <w:r>
        <w:tab/>
      </w:r>
      <w:r>
        <w:fldChar w:fldCharType="begin"/>
      </w:r>
      <w:r>
        <w:instrText xml:space="preserve"> PAGEREF _Toc422303260 \h </w:instrText>
      </w:r>
      <w:r>
        <w:fldChar w:fldCharType="separate"/>
      </w:r>
      <w:r>
        <w:t>61</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Terms used</w:t>
      </w:r>
      <w:r>
        <w:tab/>
      </w:r>
      <w:r>
        <w:fldChar w:fldCharType="begin"/>
      </w:r>
      <w:r>
        <w:instrText xml:space="preserve"> PAGEREF _Toc422303261 \h </w:instrText>
      </w:r>
      <w:r>
        <w:fldChar w:fldCharType="separate"/>
      </w:r>
      <w:r>
        <w:t>61</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Enforcing payment by young person who has reached 18</w:t>
      </w:r>
      <w:r>
        <w:tab/>
      </w:r>
      <w:r>
        <w:fldChar w:fldCharType="begin"/>
      </w:r>
      <w:r>
        <w:instrText xml:space="preserve"> PAGEREF _Toc422303262 \h </w:instrText>
      </w:r>
      <w:r>
        <w:fldChar w:fldCharType="separate"/>
      </w:r>
      <w:r>
        <w:t>61</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Enforcing payment by young person who has not reached 18</w:t>
      </w:r>
      <w:r>
        <w:tab/>
      </w:r>
      <w:r>
        <w:fldChar w:fldCharType="begin"/>
      </w:r>
      <w:r>
        <w:instrText xml:space="preserve"> PAGEREF _Toc422303263 \h </w:instrText>
      </w:r>
      <w:r>
        <w:fldChar w:fldCharType="separate"/>
      </w:r>
      <w:r>
        <w:t>62</w:t>
      </w:r>
      <w:r>
        <w:fldChar w:fldCharType="end"/>
      </w:r>
    </w:p>
    <w:p>
      <w:pPr>
        <w:pStyle w:val="TOC8"/>
        <w:rPr>
          <w:rFonts w:asciiTheme="minorHAnsi" w:eastAsiaTheme="minorEastAsia" w:hAnsiTheme="minorHAnsi" w:cstheme="minorBidi"/>
          <w:szCs w:val="22"/>
        </w:rPr>
      </w:pPr>
      <w:r>
        <w:t>65A</w:t>
      </w:r>
      <w:r>
        <w:rPr>
          <w:snapToGrid w:val="0"/>
        </w:rPr>
        <w:t>.</w:t>
      </w:r>
      <w:r>
        <w:rPr>
          <w:snapToGrid w:val="0"/>
        </w:rPr>
        <w:tab/>
        <w:t>Court’s powers to deal with defaulter</w:t>
      </w:r>
      <w:r>
        <w:tab/>
      </w:r>
      <w:r>
        <w:fldChar w:fldCharType="begin"/>
      </w:r>
      <w:r>
        <w:instrText xml:space="preserve"> PAGEREF _Toc422303264 \h </w:instrText>
      </w:r>
      <w:r>
        <w:fldChar w:fldCharType="separate"/>
      </w:r>
      <w:r>
        <w:t>64</w:t>
      </w:r>
      <w:r>
        <w:fldChar w:fldCharType="end"/>
      </w:r>
    </w:p>
    <w:p>
      <w:pPr>
        <w:pStyle w:val="TOC8"/>
        <w:rPr>
          <w:rFonts w:asciiTheme="minorHAnsi" w:eastAsiaTheme="minorEastAsia" w:hAnsiTheme="minorHAnsi" w:cstheme="minorBidi"/>
          <w:szCs w:val="22"/>
        </w:rPr>
      </w:pPr>
      <w:r>
        <w:t>65B</w:t>
      </w:r>
      <w:r>
        <w:rPr>
          <w:snapToGrid w:val="0"/>
        </w:rPr>
        <w:t>.</w:t>
      </w:r>
      <w:r>
        <w:rPr>
          <w:snapToGrid w:val="0"/>
        </w:rPr>
        <w:tab/>
        <w:t>Community work order</w:t>
      </w:r>
      <w:r>
        <w:tab/>
      </w:r>
      <w:r>
        <w:fldChar w:fldCharType="begin"/>
      </w:r>
      <w:r>
        <w:instrText xml:space="preserve"> PAGEREF _Toc422303265 \h </w:instrText>
      </w:r>
      <w:r>
        <w:fldChar w:fldCharType="separate"/>
      </w:r>
      <w:r>
        <w:t>65</w:t>
      </w:r>
      <w:r>
        <w:fldChar w:fldCharType="end"/>
      </w:r>
    </w:p>
    <w:p>
      <w:pPr>
        <w:pStyle w:val="TOC8"/>
        <w:rPr>
          <w:rFonts w:asciiTheme="minorHAnsi" w:eastAsiaTheme="minorEastAsia" w:hAnsiTheme="minorHAnsi" w:cstheme="minorBidi"/>
          <w:szCs w:val="22"/>
        </w:rPr>
      </w:pPr>
      <w:r>
        <w:t>65C</w:t>
      </w:r>
      <w:r>
        <w:rPr>
          <w:snapToGrid w:val="0"/>
        </w:rPr>
        <w:t>.</w:t>
      </w:r>
      <w:r>
        <w:rPr>
          <w:snapToGrid w:val="0"/>
        </w:rPr>
        <w:tab/>
        <w:t>Detention order</w:t>
      </w:r>
      <w:r>
        <w:tab/>
      </w:r>
      <w:r>
        <w:fldChar w:fldCharType="begin"/>
      </w:r>
      <w:r>
        <w:instrText xml:space="preserve"> PAGEREF _Toc422303266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No punishment and no conditions</w:t>
      </w:r>
    </w:p>
    <w:p>
      <w:pPr>
        <w:pStyle w:val="TOC8"/>
        <w:rPr>
          <w:rFonts w:asciiTheme="minorHAnsi" w:eastAsiaTheme="minorEastAsia" w:hAnsiTheme="minorHAnsi" w:cstheme="minorBidi"/>
          <w:szCs w:val="22"/>
        </w:rPr>
      </w:pPr>
      <w:r>
        <w:t>66</w:t>
      </w:r>
      <w:r>
        <w:rPr>
          <w:snapToGrid w:val="0"/>
        </w:rPr>
        <w:t>.</w:t>
      </w:r>
      <w:r>
        <w:rPr>
          <w:snapToGrid w:val="0"/>
        </w:rPr>
        <w:tab/>
        <w:t>Court may refrain from punishing in some cases</w:t>
      </w:r>
      <w:r>
        <w:tab/>
      </w:r>
      <w:r>
        <w:fldChar w:fldCharType="begin"/>
      </w:r>
      <w:r>
        <w:instrText xml:space="preserve"> PAGEREF _Toc422303268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No punishment but conditions</w:t>
      </w:r>
    </w:p>
    <w:p>
      <w:pPr>
        <w:pStyle w:val="TOC8"/>
        <w:rPr>
          <w:rFonts w:asciiTheme="minorHAnsi" w:eastAsiaTheme="minorEastAsia" w:hAnsiTheme="minorHAnsi" w:cstheme="minorBidi"/>
          <w:szCs w:val="22"/>
        </w:rPr>
      </w:pPr>
      <w:r>
        <w:t>67</w:t>
      </w:r>
      <w:r>
        <w:rPr>
          <w:snapToGrid w:val="0"/>
        </w:rPr>
        <w:t>.</w:t>
      </w:r>
      <w:r>
        <w:rPr>
          <w:snapToGrid w:val="0"/>
        </w:rPr>
        <w:tab/>
        <w:t>Undertakings and informal punishment</w:t>
      </w:r>
      <w:r>
        <w:tab/>
      </w:r>
      <w:r>
        <w:fldChar w:fldCharType="begin"/>
      </w:r>
      <w:r>
        <w:instrText xml:space="preserve"> PAGEREF _Toc422303270 \h </w:instrText>
      </w:r>
      <w:r>
        <w:fldChar w:fldCharType="separate"/>
      </w:r>
      <w:r>
        <w:t>66</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Adjournment</w:t>
      </w:r>
      <w:r>
        <w:tab/>
      </w:r>
      <w:r>
        <w:fldChar w:fldCharType="begin"/>
      </w:r>
      <w:r>
        <w:instrText xml:space="preserve"> PAGEREF _Toc422303271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No punishment but security or recognisance</w:t>
      </w:r>
    </w:p>
    <w:p>
      <w:pPr>
        <w:pStyle w:val="TOC8"/>
        <w:rPr>
          <w:rFonts w:asciiTheme="minorHAnsi" w:eastAsiaTheme="minorEastAsia" w:hAnsiTheme="minorHAnsi" w:cstheme="minorBidi"/>
          <w:szCs w:val="22"/>
        </w:rPr>
      </w:pPr>
      <w:r>
        <w:t>69</w:t>
      </w:r>
      <w:r>
        <w:rPr>
          <w:snapToGrid w:val="0"/>
        </w:rPr>
        <w:t>.</w:t>
      </w:r>
      <w:r>
        <w:rPr>
          <w:snapToGrid w:val="0"/>
        </w:rPr>
        <w:tab/>
        <w:t>Recognisance by offender to be of good behaviour etc.</w:t>
      </w:r>
      <w:r>
        <w:tab/>
      </w:r>
      <w:r>
        <w:fldChar w:fldCharType="begin"/>
      </w:r>
      <w:r>
        <w:instrText xml:space="preserve"> PAGEREF _Toc422303273 \h </w:instrText>
      </w:r>
      <w:r>
        <w:fldChar w:fldCharType="separate"/>
      </w:r>
      <w:r>
        <w:t>67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Responsible adult may give security for offender’s good behaviour etc.</w:t>
      </w:r>
      <w:r>
        <w:tab/>
      </w:r>
      <w:r>
        <w:fldChar w:fldCharType="begin"/>
      </w:r>
      <w:r>
        <w:instrText xml:space="preserve"> PAGEREF _Toc422303274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Fine</w:t>
      </w:r>
    </w:p>
    <w:p>
      <w:pPr>
        <w:pStyle w:val="TOC8"/>
        <w:rPr>
          <w:rFonts w:asciiTheme="minorHAnsi" w:eastAsiaTheme="minorEastAsia" w:hAnsiTheme="minorHAnsi" w:cstheme="minorBidi"/>
          <w:szCs w:val="22"/>
        </w:rPr>
      </w:pPr>
      <w:r>
        <w:t>71</w:t>
      </w:r>
      <w:r>
        <w:rPr>
          <w:snapToGrid w:val="0"/>
        </w:rPr>
        <w:t>.</w:t>
      </w:r>
      <w:r>
        <w:rPr>
          <w:snapToGrid w:val="0"/>
        </w:rPr>
        <w:tab/>
        <w:t>Fine instead of imprisonment</w:t>
      </w:r>
      <w:r>
        <w:tab/>
      </w:r>
      <w:r>
        <w:fldChar w:fldCharType="begin"/>
      </w:r>
      <w:r>
        <w:instrText xml:space="preserve"> PAGEREF _Toc422303276 \h </w:instrText>
      </w:r>
      <w:r>
        <w:fldChar w:fldCharType="separate"/>
      </w:r>
      <w:r>
        <w:t>67</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Offender must be able to pay</w:t>
      </w:r>
      <w:r>
        <w:tab/>
      </w:r>
      <w:r>
        <w:fldChar w:fldCharType="begin"/>
      </w:r>
      <w:r>
        <w:instrText xml:space="preserve"> PAGEREF _Toc422303277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Youth community based order</w:t>
      </w:r>
    </w:p>
    <w:p>
      <w:pPr>
        <w:pStyle w:val="TOC8"/>
        <w:rPr>
          <w:rFonts w:asciiTheme="minorHAnsi" w:eastAsiaTheme="minorEastAsia" w:hAnsiTheme="minorHAnsi" w:cstheme="minorBidi"/>
          <w:szCs w:val="22"/>
        </w:rPr>
      </w:pPr>
      <w:r>
        <w:t>73</w:t>
      </w:r>
      <w:r>
        <w:rPr>
          <w:snapToGrid w:val="0"/>
        </w:rPr>
        <w:t>.</w:t>
      </w:r>
      <w:r>
        <w:rPr>
          <w:snapToGrid w:val="0"/>
        </w:rPr>
        <w:tab/>
        <w:t>Youth community based order, nature of</w:t>
      </w:r>
      <w:r>
        <w:tab/>
      </w:r>
      <w:r>
        <w:fldChar w:fldCharType="begin"/>
      </w:r>
      <w:r>
        <w:instrText xml:space="preserve"> PAGEREF _Toc422303279 \h </w:instrText>
      </w:r>
      <w:r>
        <w:fldChar w:fldCharType="separate"/>
      </w:r>
      <w:r>
        <w:t>68</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Offender must be suitable and consent</w:t>
      </w:r>
      <w:r>
        <w:tab/>
      </w:r>
      <w:r>
        <w:fldChar w:fldCharType="begin"/>
      </w:r>
      <w:r>
        <w:instrText xml:space="preserve"> PAGEREF _Toc422303280 \h </w:instrText>
      </w:r>
      <w:r>
        <w:fldChar w:fldCharType="separate"/>
      </w:r>
      <w:r>
        <w:t>68</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Proposed agenda required for suitable person</w:t>
      </w:r>
      <w:r>
        <w:tab/>
      </w:r>
      <w:r>
        <w:fldChar w:fldCharType="begin"/>
      </w:r>
      <w:r>
        <w:instrText xml:space="preserve"> PAGEREF _Toc422303281 \h </w:instrText>
      </w:r>
      <w:r>
        <w:fldChar w:fldCharType="separate"/>
      </w:r>
      <w:r>
        <w:t>68</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Duration of order</w:t>
      </w:r>
      <w:r>
        <w:tab/>
      </w:r>
      <w:r>
        <w:fldChar w:fldCharType="begin"/>
      </w:r>
      <w:r>
        <w:instrText xml:space="preserve"> PAGEREF _Toc422303282 \h </w:instrText>
      </w:r>
      <w:r>
        <w:fldChar w:fldCharType="separate"/>
      </w:r>
      <w:r>
        <w:t>69</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Supervising officer</w:t>
      </w:r>
      <w:r>
        <w:tab/>
      </w:r>
      <w:r>
        <w:fldChar w:fldCharType="begin"/>
      </w:r>
      <w:r>
        <w:instrText xml:space="preserve"> PAGEREF _Toc422303283 \h </w:instrText>
      </w:r>
      <w:r>
        <w:fldChar w:fldCharType="separate"/>
      </w:r>
      <w:r>
        <w:t>69</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Conditions implied in order</w:t>
      </w:r>
      <w:r>
        <w:tab/>
      </w:r>
      <w:r>
        <w:fldChar w:fldCharType="begin"/>
      </w:r>
      <w:r>
        <w:instrText xml:space="preserve"> PAGEREF _Toc422303284 \h </w:instrText>
      </w:r>
      <w:r>
        <w:fldChar w:fldCharType="separate"/>
      </w:r>
      <w:r>
        <w:t>69</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Obligations under order may be suspended</w:t>
      </w:r>
      <w:r>
        <w:tab/>
      </w:r>
      <w:r>
        <w:fldChar w:fldCharType="begin"/>
      </w:r>
      <w:r>
        <w:instrText xml:space="preserve"> PAGEREF _Toc422303285 \h </w:instrText>
      </w:r>
      <w:r>
        <w:fldChar w:fldCharType="separate"/>
      </w:r>
      <w:r>
        <w:t>70</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Amendment of order, extent of power</w:t>
      </w:r>
      <w:r>
        <w:tab/>
      </w:r>
      <w:r>
        <w:fldChar w:fldCharType="begin"/>
      </w:r>
      <w:r>
        <w:instrText xml:space="preserve"> PAGEREF _Toc422303286 \h </w:instrText>
      </w:r>
      <w:r>
        <w:fldChar w:fldCharType="separate"/>
      </w:r>
      <w:r>
        <w:t>70</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Amendment of order</w:t>
      </w:r>
      <w:r>
        <w:tab/>
      </w:r>
      <w:r>
        <w:fldChar w:fldCharType="begin"/>
      </w:r>
      <w:r>
        <w:instrText xml:space="preserve"> PAGEREF _Toc422303287 \h </w:instrText>
      </w:r>
      <w:r>
        <w:fldChar w:fldCharType="separate"/>
      </w:r>
      <w:r>
        <w:t>70</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Breach of order, CEO may require offender to attend court</w:t>
      </w:r>
      <w:r>
        <w:tab/>
      </w:r>
      <w:r>
        <w:fldChar w:fldCharType="begin"/>
      </w:r>
      <w:r>
        <w:instrText xml:space="preserve"> PAGEREF _Toc422303288 \h </w:instrText>
      </w:r>
      <w:r>
        <w:fldChar w:fldCharType="separate"/>
      </w:r>
      <w:r>
        <w:t>71</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Breach of order, powers to deal with</w:t>
      </w:r>
      <w:r>
        <w:tab/>
      </w:r>
      <w:r>
        <w:fldChar w:fldCharType="begin"/>
      </w:r>
      <w:r>
        <w:instrText xml:space="preserve"> PAGEREF _Toc422303289 \h </w:instrText>
      </w:r>
      <w:r>
        <w:fldChar w:fldCharType="separate"/>
      </w:r>
      <w:r>
        <w:t>71</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Breach of order by re</w:t>
      </w:r>
      <w:r>
        <w:rPr>
          <w:snapToGrid w:val="0"/>
        </w:rPr>
        <w:noBreakHyphen/>
        <w:t>offending, new order may be made</w:t>
      </w:r>
      <w:r>
        <w:tab/>
      </w:r>
      <w:r>
        <w:fldChar w:fldCharType="begin"/>
      </w:r>
      <w:r>
        <w:instrText xml:space="preserve"> PAGEREF _Toc422303290 \h </w:instrText>
      </w:r>
      <w:r>
        <w:fldChar w:fldCharType="separate"/>
      </w:r>
      <w:r>
        <w:t>72</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Discharge or fulfillment of order, effect of</w:t>
      </w:r>
      <w:r>
        <w:tab/>
      </w:r>
      <w:r>
        <w:fldChar w:fldCharType="begin"/>
      </w:r>
      <w:r>
        <w:instrText xml:space="preserve"> PAGEREF _Toc422303291 \h </w:instrText>
      </w:r>
      <w:r>
        <w:fldChar w:fldCharType="separate"/>
      </w:r>
      <w:r>
        <w:t>72</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Proof of identity in proceedings for breach of order</w:t>
      </w:r>
      <w:r>
        <w:tab/>
      </w:r>
      <w:r>
        <w:fldChar w:fldCharType="begin"/>
      </w:r>
      <w:r>
        <w:instrText xml:space="preserve"> PAGEREF _Toc422303292 \h </w:instrText>
      </w:r>
      <w:r>
        <w:fldChar w:fldCharType="separate"/>
      </w:r>
      <w:r>
        <w:t>73</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Notice of court applications</w:t>
      </w:r>
      <w:r>
        <w:tab/>
      </w:r>
      <w:r>
        <w:fldChar w:fldCharType="begin"/>
      </w:r>
      <w:r>
        <w:instrText xml:space="preserve"> PAGEREF _Toc422303293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1 — Attendance conditions</w:t>
      </w:r>
    </w:p>
    <w:p>
      <w:pPr>
        <w:pStyle w:val="TOC8"/>
        <w:rPr>
          <w:rFonts w:asciiTheme="minorHAnsi" w:eastAsiaTheme="minorEastAsia" w:hAnsiTheme="minorHAnsi" w:cstheme="minorBidi"/>
          <w:szCs w:val="22"/>
        </w:rPr>
      </w:pPr>
      <w:r>
        <w:t>88</w:t>
      </w:r>
      <w:r>
        <w:rPr>
          <w:snapToGrid w:val="0"/>
        </w:rPr>
        <w:t>.</w:t>
      </w:r>
      <w:r>
        <w:rPr>
          <w:snapToGrid w:val="0"/>
        </w:rPr>
        <w:tab/>
        <w:t>Requirement to attend courses</w:t>
      </w:r>
      <w:r>
        <w:tab/>
      </w:r>
      <w:r>
        <w:fldChar w:fldCharType="begin"/>
      </w:r>
      <w:r>
        <w:instrText xml:space="preserve"> PAGEREF _Toc422303295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Community work conditions</w:t>
      </w:r>
    </w:p>
    <w:p>
      <w:pPr>
        <w:pStyle w:val="TOC8"/>
        <w:rPr>
          <w:rFonts w:asciiTheme="minorHAnsi" w:eastAsiaTheme="minorEastAsia" w:hAnsiTheme="minorHAnsi" w:cstheme="minorBidi"/>
          <w:szCs w:val="22"/>
        </w:rPr>
      </w:pPr>
      <w:r>
        <w:t>89</w:t>
      </w:r>
      <w:r>
        <w:rPr>
          <w:snapToGrid w:val="0"/>
        </w:rPr>
        <w:t>.</w:t>
      </w:r>
      <w:r>
        <w:rPr>
          <w:snapToGrid w:val="0"/>
        </w:rPr>
        <w:tab/>
        <w:t>Requirement to perform unpaid work</w:t>
      </w:r>
      <w:r>
        <w:tab/>
      </w:r>
      <w:r>
        <w:fldChar w:fldCharType="begin"/>
      </w:r>
      <w:r>
        <w:instrText xml:space="preserve"> PAGEREF _Toc422303297 \h </w:instrText>
      </w:r>
      <w:r>
        <w:fldChar w:fldCharType="separate"/>
      </w:r>
      <w:r>
        <w:t>74</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Conditions cannot be imposed on child under 12</w:t>
      </w:r>
      <w:r>
        <w:tab/>
      </w:r>
      <w:r>
        <w:fldChar w:fldCharType="begin"/>
      </w:r>
      <w:r>
        <w:instrText xml:space="preserve"> PAGEREF _Toc422303298 \h </w:instrText>
      </w:r>
      <w:r>
        <w:fldChar w:fldCharType="separate"/>
      </w:r>
      <w:r>
        <w:t>74</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Community work, minimum and maximum hours of</w:t>
      </w:r>
      <w:r>
        <w:tab/>
      </w:r>
      <w:r>
        <w:fldChar w:fldCharType="begin"/>
      </w:r>
      <w:r>
        <w:instrText xml:space="preserve"> PAGEREF _Toc422303299 \h </w:instrText>
      </w:r>
      <w:r>
        <w:fldChar w:fldCharType="separate"/>
      </w:r>
      <w:r>
        <w:t>74</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Offender to attend before Departmental officer</w:t>
      </w:r>
      <w:r>
        <w:tab/>
      </w:r>
      <w:r>
        <w:fldChar w:fldCharType="begin"/>
      </w:r>
      <w:r>
        <w:instrText xml:space="preserve"> PAGEREF _Toc422303300 \h </w:instrText>
      </w:r>
      <w:r>
        <w:fldChar w:fldCharType="separate"/>
      </w:r>
      <w:r>
        <w:t>74</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Performing the work</w:t>
      </w:r>
      <w:r>
        <w:tab/>
      </w:r>
      <w:r>
        <w:fldChar w:fldCharType="begin"/>
      </w:r>
      <w:r>
        <w:instrText xml:space="preserve"> PAGEREF _Toc422303301 \h </w:instrText>
      </w:r>
      <w:r>
        <w:fldChar w:fldCharType="separate"/>
      </w:r>
      <w:r>
        <w:t>75</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Regulations relating to community work conditions</w:t>
      </w:r>
      <w:r>
        <w:tab/>
      </w:r>
      <w:r>
        <w:fldChar w:fldCharType="begin"/>
      </w:r>
      <w:r>
        <w:instrText xml:space="preserve"> PAGEREF _Toc422303302 \h </w:instrText>
      </w:r>
      <w:r>
        <w:fldChar w:fldCharType="separate"/>
      </w:r>
      <w:r>
        <w:t>75</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 — Supervision conditions</w:t>
      </w:r>
    </w:p>
    <w:p>
      <w:pPr>
        <w:pStyle w:val="TOC8"/>
        <w:rPr>
          <w:rFonts w:asciiTheme="minorHAnsi" w:eastAsiaTheme="minorEastAsia" w:hAnsiTheme="minorHAnsi" w:cstheme="minorBidi"/>
          <w:szCs w:val="22"/>
        </w:rPr>
      </w:pPr>
      <w:r>
        <w:t>95</w:t>
      </w:r>
      <w:r>
        <w:rPr>
          <w:snapToGrid w:val="0"/>
        </w:rPr>
        <w:t>.</w:t>
      </w:r>
      <w:r>
        <w:rPr>
          <w:snapToGrid w:val="0"/>
        </w:rPr>
        <w:tab/>
        <w:t>Requirement to be supervised</w:t>
      </w:r>
      <w:r>
        <w:tab/>
      </w:r>
      <w:r>
        <w:fldChar w:fldCharType="begin"/>
      </w:r>
      <w:r>
        <w:instrText xml:space="preserve"> PAGEREF _Toc422303304 \h </w:instrText>
      </w:r>
      <w:r>
        <w:fldChar w:fldCharType="separate"/>
      </w:r>
      <w:r>
        <w:t>76</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Duration of supervision</w:t>
      </w:r>
      <w:r>
        <w:tab/>
      </w:r>
      <w:r>
        <w:fldChar w:fldCharType="begin"/>
      </w:r>
      <w:r>
        <w:instrText xml:space="preserve"> PAGEREF _Toc422303305 \h </w:instrText>
      </w:r>
      <w:r>
        <w:fldChar w:fldCharType="separate"/>
      </w:r>
      <w:r>
        <w:t>76</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Changing duration of supervision</w:t>
      </w:r>
      <w:r>
        <w:tab/>
      </w:r>
      <w:r>
        <w:fldChar w:fldCharType="begin"/>
      </w:r>
      <w:r>
        <w:instrText xml:space="preserve"> PAGEREF _Toc422303306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Intensive youth supervision order</w:t>
      </w:r>
    </w:p>
    <w:p>
      <w:pPr>
        <w:pStyle w:val="TOC8"/>
        <w:rPr>
          <w:rFonts w:asciiTheme="minorHAnsi" w:eastAsiaTheme="minorEastAsia" w:hAnsiTheme="minorHAnsi" w:cstheme="minorBidi"/>
          <w:szCs w:val="22"/>
        </w:rPr>
      </w:pPr>
      <w:r>
        <w:t>98</w:t>
      </w:r>
      <w:r>
        <w:rPr>
          <w:snapToGrid w:val="0"/>
        </w:rPr>
        <w:t>.</w:t>
      </w:r>
      <w:r>
        <w:rPr>
          <w:snapToGrid w:val="0"/>
        </w:rPr>
        <w:tab/>
        <w:t>Intensive youth supervision order, nature of</w:t>
      </w:r>
      <w:r>
        <w:tab/>
      </w:r>
      <w:r>
        <w:fldChar w:fldCharType="begin"/>
      </w:r>
      <w:r>
        <w:instrText xml:space="preserve"> PAGEREF _Toc422303308 \h </w:instrText>
      </w:r>
      <w:r>
        <w:fldChar w:fldCharType="separate"/>
      </w:r>
      <w:r>
        <w:t>77</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Order may be made with or without custodial sentence</w:t>
      </w:r>
      <w:r>
        <w:tab/>
      </w:r>
      <w:r>
        <w:fldChar w:fldCharType="begin"/>
      </w:r>
      <w:r>
        <w:instrText xml:space="preserve"> PAGEREF _Toc422303309 \h </w:instrText>
      </w:r>
      <w:r>
        <w:fldChar w:fldCharType="separate"/>
      </w:r>
      <w:r>
        <w:t>77</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Order without custodial sentence</w:t>
      </w:r>
      <w:r>
        <w:tab/>
      </w:r>
      <w:r>
        <w:fldChar w:fldCharType="begin"/>
      </w:r>
      <w:r>
        <w:instrText xml:space="preserve"> PAGEREF _Toc422303310 \h </w:instrText>
      </w:r>
      <w:r>
        <w:fldChar w:fldCharType="separate"/>
      </w:r>
      <w:r>
        <w:t>77</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Order with custodial sentence (conditional release order)</w:t>
      </w:r>
      <w:r>
        <w:tab/>
      </w:r>
      <w:r>
        <w:fldChar w:fldCharType="begin"/>
      </w:r>
      <w:r>
        <w:instrText xml:space="preserve"> PAGEREF _Toc422303311 \h </w:instrText>
      </w:r>
      <w:r>
        <w:fldChar w:fldCharType="separate"/>
      </w:r>
      <w:r>
        <w:t>77</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Conditional release order to include agenda of conditions</w:t>
      </w:r>
      <w:r>
        <w:tab/>
      </w:r>
      <w:r>
        <w:fldChar w:fldCharType="begin"/>
      </w:r>
      <w:r>
        <w:instrText xml:space="preserve"> PAGEREF _Toc422303312 \h </w:instrText>
      </w:r>
      <w:r>
        <w:fldChar w:fldCharType="separate"/>
      </w:r>
      <w:r>
        <w:t>78</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Offender must be suitable and consent</w:t>
      </w:r>
      <w:r>
        <w:tab/>
      </w:r>
      <w:r>
        <w:fldChar w:fldCharType="begin"/>
      </w:r>
      <w:r>
        <w:instrText xml:space="preserve"> PAGEREF _Toc422303313 \h </w:instrText>
      </w:r>
      <w:r>
        <w:fldChar w:fldCharType="separate"/>
      </w:r>
      <w:r>
        <w:t>78</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Agenda proposal required for suitable person</w:t>
      </w:r>
      <w:r>
        <w:tab/>
      </w:r>
      <w:r>
        <w:fldChar w:fldCharType="begin"/>
      </w:r>
      <w:r>
        <w:instrText xml:space="preserve"> PAGEREF _Toc422303314 \h </w:instrText>
      </w:r>
      <w:r>
        <w:fldChar w:fldCharType="separate"/>
      </w:r>
      <w:r>
        <w:t>78</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Conditional release order, duration of</w:t>
      </w:r>
      <w:r>
        <w:tab/>
      </w:r>
      <w:r>
        <w:fldChar w:fldCharType="begin"/>
      </w:r>
      <w:r>
        <w:instrText xml:space="preserve"> PAGEREF _Toc422303315 \h </w:instrText>
      </w:r>
      <w:r>
        <w:fldChar w:fldCharType="separate"/>
      </w:r>
      <w:r>
        <w:t>78</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Conditional release order may relate to several sentences</w:t>
      </w:r>
      <w:r>
        <w:tab/>
      </w:r>
      <w:r>
        <w:fldChar w:fldCharType="begin"/>
      </w:r>
      <w:r>
        <w:instrText xml:space="preserve"> PAGEREF _Toc422303316 \h </w:instrText>
      </w:r>
      <w:r>
        <w:fldChar w:fldCharType="separate"/>
      </w:r>
      <w:r>
        <w:t>79</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Conditional release not to exceed 12 months</w:t>
      </w:r>
      <w:r>
        <w:tab/>
      </w:r>
      <w:r>
        <w:fldChar w:fldCharType="begin"/>
      </w:r>
      <w:r>
        <w:instrText xml:space="preserve"> PAGEREF _Toc422303317 \h </w:instrText>
      </w:r>
      <w:r>
        <w:fldChar w:fldCharType="separate"/>
      </w:r>
      <w:r>
        <w:t>79</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Supervising officer</w:t>
      </w:r>
      <w:r>
        <w:tab/>
      </w:r>
      <w:r>
        <w:fldChar w:fldCharType="begin"/>
      </w:r>
      <w:r>
        <w:instrText xml:space="preserve"> PAGEREF _Toc422303318 \h </w:instrText>
      </w:r>
      <w:r>
        <w:fldChar w:fldCharType="separate"/>
      </w:r>
      <w:r>
        <w:t>79</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Conditional release order, implied conditions of</w:t>
      </w:r>
      <w:r>
        <w:tab/>
      </w:r>
      <w:r>
        <w:fldChar w:fldCharType="begin"/>
      </w:r>
      <w:r>
        <w:instrText xml:space="preserve"> PAGEREF _Toc422303319 \h </w:instrText>
      </w:r>
      <w:r>
        <w:fldChar w:fldCharType="separate"/>
      </w:r>
      <w:r>
        <w:t>79</w:t>
      </w:r>
      <w:r>
        <w:fldChar w:fldCharType="end"/>
      </w:r>
    </w:p>
    <w:p>
      <w:pPr>
        <w:pStyle w:val="TOC8"/>
        <w:rPr>
          <w:rFonts w:asciiTheme="minorHAnsi" w:eastAsiaTheme="minorEastAsia" w:hAnsiTheme="minorHAnsi" w:cstheme="minorBidi"/>
          <w:szCs w:val="22"/>
        </w:rPr>
      </w:pPr>
      <w:r>
        <w:t>109A</w:t>
      </w:r>
      <w:r>
        <w:rPr>
          <w:snapToGrid w:val="0"/>
        </w:rPr>
        <w:t>.</w:t>
      </w:r>
      <w:r>
        <w:rPr>
          <w:snapToGrid w:val="0"/>
        </w:rPr>
        <w:tab/>
        <w:t>Conditional release order: specified places</w:t>
      </w:r>
      <w:r>
        <w:tab/>
      </w:r>
      <w:r>
        <w:fldChar w:fldCharType="begin"/>
      </w:r>
      <w:r>
        <w:instrText xml:space="preserve"> PAGEREF _Toc422303320 \h </w:instrText>
      </w:r>
      <w:r>
        <w:fldChar w:fldCharType="separate"/>
      </w:r>
      <w:r>
        <w:t>80</w:t>
      </w:r>
      <w:r>
        <w:fldChar w:fldCharType="end"/>
      </w:r>
    </w:p>
    <w:p>
      <w:pPr>
        <w:pStyle w:val="TOC8"/>
        <w:rPr>
          <w:rFonts w:asciiTheme="minorHAnsi" w:eastAsiaTheme="minorEastAsia" w:hAnsiTheme="minorHAnsi" w:cstheme="minorBidi"/>
          <w:szCs w:val="22"/>
        </w:rPr>
      </w:pPr>
      <w:r>
        <w:t>109B</w:t>
      </w:r>
      <w:r>
        <w:rPr>
          <w:snapToGrid w:val="0"/>
        </w:rPr>
        <w:t>.</w:t>
      </w:r>
      <w:r>
        <w:rPr>
          <w:snapToGrid w:val="0"/>
        </w:rPr>
        <w:tab/>
        <w:t>Conditional release order: devices</w:t>
      </w:r>
      <w:r>
        <w:tab/>
      </w:r>
      <w:r>
        <w:fldChar w:fldCharType="begin"/>
      </w:r>
      <w:r>
        <w:instrText xml:space="preserve"> PAGEREF _Toc422303321 \h </w:instrText>
      </w:r>
      <w:r>
        <w:fldChar w:fldCharType="separate"/>
      </w:r>
      <w:r>
        <w:t>82</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Obligations under order may be suspended</w:t>
      </w:r>
      <w:r>
        <w:tab/>
      </w:r>
      <w:r>
        <w:fldChar w:fldCharType="begin"/>
      </w:r>
      <w:r>
        <w:instrText xml:space="preserve"> PAGEREF _Toc422303322 \h </w:instrText>
      </w:r>
      <w:r>
        <w:fldChar w:fldCharType="separate"/>
      </w:r>
      <w:r>
        <w:t>83</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Amendment of order, extent of power</w:t>
      </w:r>
      <w:r>
        <w:tab/>
      </w:r>
      <w:r>
        <w:fldChar w:fldCharType="begin"/>
      </w:r>
      <w:r>
        <w:instrText xml:space="preserve"> PAGEREF _Toc422303323 \h </w:instrText>
      </w:r>
      <w:r>
        <w:fldChar w:fldCharType="separate"/>
      </w:r>
      <w:r>
        <w:t>83</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Amendment or cancellation of order</w:t>
      </w:r>
      <w:r>
        <w:tab/>
      </w:r>
      <w:r>
        <w:fldChar w:fldCharType="begin"/>
      </w:r>
      <w:r>
        <w:instrText xml:space="preserve"> PAGEREF _Toc422303324 \h </w:instrText>
      </w:r>
      <w:r>
        <w:fldChar w:fldCharType="separate"/>
      </w:r>
      <w:r>
        <w:t>83</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Breach of order, CEO may require offender to attend court</w:t>
      </w:r>
      <w:r>
        <w:tab/>
      </w:r>
      <w:r>
        <w:fldChar w:fldCharType="begin"/>
      </w:r>
      <w:r>
        <w:instrText xml:space="preserve"> PAGEREF _Toc422303325 \h </w:instrText>
      </w:r>
      <w:r>
        <w:fldChar w:fldCharType="separate"/>
      </w:r>
      <w:r>
        <w:t>84</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Breach of order, powers to deal with</w:t>
      </w:r>
      <w:r>
        <w:tab/>
      </w:r>
      <w:r>
        <w:fldChar w:fldCharType="begin"/>
      </w:r>
      <w:r>
        <w:instrText xml:space="preserve"> PAGEREF _Toc422303326 \h </w:instrText>
      </w:r>
      <w:r>
        <w:fldChar w:fldCharType="separate"/>
      </w:r>
      <w:r>
        <w:t>84</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Conditional release order, effect of expiry of</w:t>
      </w:r>
      <w:r>
        <w:tab/>
      </w:r>
      <w:r>
        <w:fldChar w:fldCharType="begin"/>
      </w:r>
      <w:r>
        <w:instrText xml:space="preserve"> PAGEREF _Toc422303327 \h </w:instrText>
      </w:r>
      <w:r>
        <w:fldChar w:fldCharType="separate"/>
      </w:r>
      <w:r>
        <w:t>85</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Cancellation of conditional release order, effect of</w:t>
      </w:r>
      <w:r>
        <w:tab/>
      </w:r>
      <w:r>
        <w:fldChar w:fldCharType="begin"/>
      </w:r>
      <w:r>
        <w:instrText xml:space="preserve"> PAGEREF _Toc422303328 \h </w:instrText>
      </w:r>
      <w:r>
        <w:fldChar w:fldCharType="separate"/>
      </w:r>
      <w:r>
        <w:t>86</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Notice of court applications</w:t>
      </w:r>
      <w:r>
        <w:tab/>
      </w:r>
      <w:r>
        <w:fldChar w:fldCharType="begin"/>
      </w:r>
      <w:r>
        <w:instrText xml:space="preserve"> PAGEREF _Toc422303329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Custodial sentence</w:t>
      </w:r>
    </w:p>
    <w:p>
      <w:pPr>
        <w:pStyle w:val="TOC8"/>
        <w:rPr>
          <w:rFonts w:asciiTheme="minorHAnsi" w:eastAsiaTheme="minorEastAsia" w:hAnsiTheme="minorHAnsi" w:cstheme="minorBidi"/>
          <w:szCs w:val="22"/>
        </w:rPr>
      </w:pPr>
      <w:r>
        <w:t>118</w:t>
      </w:r>
      <w:r>
        <w:rPr>
          <w:snapToGrid w:val="0"/>
        </w:rPr>
        <w:t>.</w:t>
      </w:r>
      <w:r>
        <w:rPr>
          <w:snapToGrid w:val="0"/>
        </w:rPr>
        <w:tab/>
        <w:t>Offences punishable by imprisonment, options</w:t>
      </w:r>
      <w:r>
        <w:tab/>
      </w:r>
      <w:r>
        <w:fldChar w:fldCharType="begin"/>
      </w:r>
      <w:r>
        <w:instrText xml:space="preserve"> PAGEREF _Toc422303331 \h </w:instrText>
      </w:r>
      <w:r>
        <w:fldChar w:fldCharType="separate"/>
      </w:r>
      <w:r>
        <w:t>87</w:t>
      </w:r>
      <w:r>
        <w:fldChar w:fldCharType="end"/>
      </w:r>
    </w:p>
    <w:p>
      <w:pPr>
        <w:pStyle w:val="TOC8"/>
        <w:rPr>
          <w:rFonts w:asciiTheme="minorHAnsi" w:eastAsiaTheme="minorEastAsia" w:hAnsiTheme="minorHAnsi" w:cstheme="minorBidi"/>
          <w:szCs w:val="22"/>
        </w:rPr>
      </w:pPr>
      <w:r>
        <w:t>118A</w:t>
      </w:r>
      <w:r>
        <w:rPr>
          <w:snapToGrid w:val="0"/>
        </w:rPr>
        <w:t>.</w:t>
      </w:r>
      <w:r>
        <w:rPr>
          <w:snapToGrid w:val="0"/>
        </w:rPr>
        <w:tab/>
        <w:t>Where sentence of imprisonment to be served</w:t>
      </w:r>
      <w:r>
        <w:tab/>
      </w:r>
      <w:r>
        <w:fldChar w:fldCharType="begin"/>
      </w:r>
      <w:r>
        <w:instrText xml:space="preserve"> PAGEREF _Toc422303332 \h </w:instrText>
      </w:r>
      <w:r>
        <w:fldChar w:fldCharType="separate"/>
      </w:r>
      <w:r>
        <w:t>88</w:t>
      </w:r>
      <w:r>
        <w:fldChar w:fldCharType="end"/>
      </w:r>
    </w:p>
    <w:p>
      <w:pPr>
        <w:pStyle w:val="TOC8"/>
        <w:rPr>
          <w:rFonts w:asciiTheme="minorHAnsi" w:eastAsiaTheme="minorEastAsia" w:hAnsiTheme="minorHAnsi" w:cstheme="minorBidi"/>
          <w:szCs w:val="22"/>
        </w:rPr>
      </w:pPr>
      <w:r>
        <w:t>119.</w:t>
      </w:r>
      <w:r>
        <w:tab/>
        <w:t>Taking time on remand into account</w:t>
      </w:r>
      <w:r>
        <w:tab/>
      </w:r>
      <w:r>
        <w:fldChar w:fldCharType="begin"/>
      </w:r>
      <w:r>
        <w:instrText xml:space="preserve"> PAGEREF _Toc422303333 \h </w:instrText>
      </w:r>
      <w:r>
        <w:fldChar w:fldCharType="separate"/>
      </w:r>
      <w:r>
        <w:t>89</w:t>
      </w:r>
      <w:r>
        <w:fldChar w:fldCharType="end"/>
      </w:r>
    </w:p>
    <w:p>
      <w:pPr>
        <w:pStyle w:val="TOC8"/>
        <w:rPr>
          <w:rFonts w:asciiTheme="minorHAnsi" w:eastAsiaTheme="minorEastAsia" w:hAnsiTheme="minorHAnsi" w:cstheme="minorBidi"/>
          <w:szCs w:val="22"/>
        </w:rPr>
      </w:pPr>
      <w:r>
        <w:t>119A.</w:t>
      </w:r>
      <w:r>
        <w:tab/>
        <w:t>Effect of not being in custody</w:t>
      </w:r>
      <w:r>
        <w:tab/>
      </w:r>
      <w:r>
        <w:fldChar w:fldCharType="begin"/>
      </w:r>
      <w:r>
        <w:instrText xml:space="preserve"> PAGEREF _Toc422303334 \h </w:instrText>
      </w:r>
      <w:r>
        <w:fldChar w:fldCharType="separate"/>
      </w:r>
      <w:r>
        <w:t>89</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Custodial sentence is sentence of last resort</w:t>
      </w:r>
      <w:r>
        <w:tab/>
      </w:r>
      <w:r>
        <w:fldChar w:fldCharType="begin"/>
      </w:r>
      <w:r>
        <w:instrText xml:space="preserve"> PAGEREF _Toc422303335 \h </w:instrText>
      </w:r>
      <w:r>
        <w:fldChar w:fldCharType="separate"/>
      </w:r>
      <w:r>
        <w:t>89</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Minimum period before release from detention</w:t>
      </w:r>
      <w:r>
        <w:tab/>
      </w:r>
      <w:r>
        <w:fldChar w:fldCharType="begin"/>
      </w:r>
      <w:r>
        <w:instrText xml:space="preserve"> PAGEREF _Toc422303336 \h </w:instrText>
      </w:r>
      <w:r>
        <w:fldChar w:fldCharType="separate"/>
      </w:r>
      <w:r>
        <w:t>90</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Aggregation of multiple sentences of detention</w:t>
      </w:r>
      <w:r>
        <w:tab/>
      </w:r>
      <w:r>
        <w:fldChar w:fldCharType="begin"/>
      </w:r>
      <w:r>
        <w:instrText xml:space="preserve"> PAGEREF _Toc422303337 \h </w:instrText>
      </w:r>
      <w:r>
        <w:fldChar w:fldCharType="separate"/>
      </w:r>
      <w:r>
        <w:t>91</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Cumulative sentences of detention, service of</w:t>
      </w:r>
      <w:r>
        <w:tab/>
      </w:r>
      <w:r>
        <w:fldChar w:fldCharType="begin"/>
      </w:r>
      <w:r>
        <w:instrText xml:space="preserve"> PAGEREF _Toc422303338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Dealing with young person who repeatedly commits serious offences</w:t>
      </w:r>
    </w:p>
    <w:p>
      <w:pPr>
        <w:pStyle w:val="TOC8"/>
        <w:rPr>
          <w:rFonts w:asciiTheme="minorHAnsi" w:eastAsiaTheme="minorEastAsia" w:hAnsiTheme="minorHAnsi" w:cstheme="minorBidi"/>
          <w:szCs w:val="22"/>
        </w:rPr>
      </w:pPr>
      <w:r>
        <w:t>124</w:t>
      </w:r>
      <w:r>
        <w:rPr>
          <w:snapToGrid w:val="0"/>
        </w:rPr>
        <w:t>.</w:t>
      </w:r>
      <w:r>
        <w:rPr>
          <w:snapToGrid w:val="0"/>
        </w:rPr>
        <w:tab/>
        <w:t>When this Division applies</w:t>
      </w:r>
      <w:r>
        <w:tab/>
      </w:r>
      <w:r>
        <w:fldChar w:fldCharType="begin"/>
      </w:r>
      <w:r>
        <w:instrText xml:space="preserve"> PAGEREF _Toc422303340 \h </w:instrText>
      </w:r>
      <w:r>
        <w:fldChar w:fldCharType="separate"/>
      </w:r>
      <w:r>
        <w:t>92</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Protection of the community paramount</w:t>
      </w:r>
      <w:r>
        <w:tab/>
      </w:r>
      <w:r>
        <w:fldChar w:fldCharType="begin"/>
      </w:r>
      <w:r>
        <w:instrText xml:space="preserve"> PAGEREF _Toc422303341 \h </w:instrText>
      </w:r>
      <w:r>
        <w:fldChar w:fldCharType="separate"/>
      </w:r>
      <w:r>
        <w:t>93</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Special order, making of</w:t>
      </w:r>
      <w:r>
        <w:tab/>
      </w:r>
      <w:r>
        <w:fldChar w:fldCharType="begin"/>
      </w:r>
      <w:r>
        <w:instrText xml:space="preserve"> PAGEREF _Toc422303342 \h </w:instrText>
      </w:r>
      <w:r>
        <w:fldChar w:fldCharType="separate"/>
      </w:r>
      <w:r>
        <w:t>93</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Special order, time of operation</w:t>
      </w:r>
      <w:r>
        <w:tab/>
      </w:r>
      <w:r>
        <w:fldChar w:fldCharType="begin"/>
      </w:r>
      <w:r>
        <w:instrText xml:space="preserve"> PAGEREF _Toc422303343 \h </w:instrText>
      </w:r>
      <w:r>
        <w:fldChar w:fldCharType="separate"/>
      </w:r>
      <w:r>
        <w:t>94</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Special order, effect of</w:t>
      </w:r>
      <w:r>
        <w:tab/>
      </w:r>
      <w:r>
        <w:fldChar w:fldCharType="begin"/>
      </w:r>
      <w:r>
        <w:instrText xml:space="preserve"> PAGEREF _Toc422303344 \h </w:instrText>
      </w:r>
      <w:r>
        <w:fldChar w:fldCharType="separate"/>
      </w:r>
      <w:r>
        <w:t>94</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Special order, application to discharge</w:t>
      </w:r>
      <w:r>
        <w:tab/>
      </w:r>
      <w:r>
        <w:fldChar w:fldCharType="begin"/>
      </w:r>
      <w:r>
        <w:instrText xml:space="preserve"> PAGEREF _Toc422303345 \h </w:instrText>
      </w:r>
      <w:r>
        <w:fldChar w:fldCharType="separate"/>
      </w:r>
      <w:r>
        <w:t>95</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Special order, effect of expiry of</w:t>
      </w:r>
      <w:r>
        <w:tab/>
      </w:r>
      <w:r>
        <w:fldChar w:fldCharType="begin"/>
      </w:r>
      <w:r>
        <w:instrText xml:space="preserve"> PAGEREF _Toc422303346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Part 8 — Supervised release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Definitions</w:t>
      </w:r>
    </w:p>
    <w:p>
      <w:pPr>
        <w:pStyle w:val="TOC8"/>
        <w:rPr>
          <w:rFonts w:asciiTheme="minorHAnsi" w:eastAsiaTheme="minorEastAsia" w:hAnsiTheme="minorHAnsi" w:cstheme="minorBidi"/>
          <w:szCs w:val="22"/>
        </w:rPr>
      </w:pPr>
      <w:r>
        <w:t>131</w:t>
      </w:r>
      <w:r>
        <w:rPr>
          <w:snapToGrid w:val="0"/>
        </w:rPr>
        <w:t>.</w:t>
      </w:r>
      <w:r>
        <w:rPr>
          <w:snapToGrid w:val="0"/>
        </w:rPr>
        <w:tab/>
        <w:t>Terms used</w:t>
      </w:r>
      <w:r>
        <w:tab/>
      </w:r>
      <w:r>
        <w:fldChar w:fldCharType="begin"/>
      </w:r>
      <w:r>
        <w:instrText xml:space="preserve"> PAGEREF _Toc422303349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The order</w:t>
      </w:r>
    </w:p>
    <w:p>
      <w:pPr>
        <w:pStyle w:val="TOC8"/>
        <w:rPr>
          <w:rFonts w:asciiTheme="minorHAnsi" w:eastAsiaTheme="minorEastAsia" w:hAnsiTheme="minorHAnsi" w:cstheme="minorBidi"/>
          <w:szCs w:val="22"/>
        </w:rPr>
      </w:pPr>
      <w:r>
        <w:t>132</w:t>
      </w:r>
      <w:r>
        <w:rPr>
          <w:snapToGrid w:val="0"/>
        </w:rPr>
        <w:t>.</w:t>
      </w:r>
      <w:r>
        <w:rPr>
          <w:snapToGrid w:val="0"/>
        </w:rPr>
        <w:tab/>
        <w:t>Supervised release order, Board may make</w:t>
      </w:r>
      <w:r>
        <w:tab/>
      </w:r>
      <w:r>
        <w:fldChar w:fldCharType="begin"/>
      </w:r>
      <w:r>
        <w:instrText xml:space="preserve"> PAGEREF _Toc422303351 \h </w:instrText>
      </w:r>
      <w:r>
        <w:fldChar w:fldCharType="separate"/>
      </w:r>
      <w:r>
        <w:t>97</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Supervised release order, when can be made</w:t>
      </w:r>
      <w:r>
        <w:tab/>
      </w:r>
      <w:r>
        <w:fldChar w:fldCharType="begin"/>
      </w:r>
      <w:r>
        <w:instrText xml:space="preserve"> PAGEREF _Toc422303352 \h </w:instrText>
      </w:r>
      <w:r>
        <w:fldChar w:fldCharType="separate"/>
      </w:r>
      <w:r>
        <w:t>98</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Duration of order</w:t>
      </w:r>
      <w:r>
        <w:tab/>
      </w:r>
      <w:r>
        <w:fldChar w:fldCharType="begin"/>
      </w:r>
      <w:r>
        <w:instrText xml:space="preserve"> PAGEREF _Toc422303353 \h </w:instrText>
      </w:r>
      <w:r>
        <w:fldChar w:fldCharType="separate"/>
      </w:r>
      <w:r>
        <w:t>99</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Order may relate to more than one sentence</w:t>
      </w:r>
      <w:r>
        <w:tab/>
      </w:r>
      <w:r>
        <w:fldChar w:fldCharType="begin"/>
      </w:r>
      <w:r>
        <w:instrText xml:space="preserve"> PAGEREF _Toc422303354 \h </w:instrText>
      </w:r>
      <w:r>
        <w:fldChar w:fldCharType="separate"/>
      </w:r>
      <w:r>
        <w:t>99</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Conditions implied in order</w:t>
      </w:r>
      <w:r>
        <w:tab/>
      </w:r>
      <w:r>
        <w:fldChar w:fldCharType="begin"/>
      </w:r>
      <w:r>
        <w:instrText xml:space="preserve"> PAGEREF _Toc422303355 \h </w:instrText>
      </w:r>
      <w:r>
        <w:fldChar w:fldCharType="separate"/>
      </w:r>
      <w:r>
        <w:t>99</w:t>
      </w:r>
      <w:r>
        <w:fldChar w:fldCharType="end"/>
      </w:r>
    </w:p>
    <w:p>
      <w:pPr>
        <w:pStyle w:val="TOC8"/>
        <w:rPr>
          <w:rFonts w:asciiTheme="minorHAnsi" w:eastAsiaTheme="minorEastAsia" w:hAnsiTheme="minorHAnsi" w:cstheme="minorBidi"/>
          <w:szCs w:val="22"/>
        </w:rPr>
      </w:pPr>
      <w:r>
        <w:t>136A</w:t>
      </w:r>
      <w:r>
        <w:rPr>
          <w:snapToGrid w:val="0"/>
        </w:rPr>
        <w:t>.</w:t>
      </w:r>
      <w:r>
        <w:rPr>
          <w:snapToGrid w:val="0"/>
        </w:rPr>
        <w:tab/>
        <w:t>Express conditions: specified places</w:t>
      </w:r>
      <w:r>
        <w:tab/>
      </w:r>
      <w:r>
        <w:fldChar w:fldCharType="begin"/>
      </w:r>
      <w:r>
        <w:instrText xml:space="preserve"> PAGEREF _Toc422303356 \h </w:instrText>
      </w:r>
      <w:r>
        <w:fldChar w:fldCharType="separate"/>
      </w:r>
      <w:r>
        <w:t>100</w:t>
      </w:r>
      <w:r>
        <w:fldChar w:fldCharType="end"/>
      </w:r>
    </w:p>
    <w:p>
      <w:pPr>
        <w:pStyle w:val="TOC8"/>
        <w:rPr>
          <w:rFonts w:asciiTheme="minorHAnsi" w:eastAsiaTheme="minorEastAsia" w:hAnsiTheme="minorHAnsi" w:cstheme="minorBidi"/>
          <w:szCs w:val="22"/>
        </w:rPr>
      </w:pPr>
      <w:r>
        <w:t>136B.</w:t>
      </w:r>
      <w:r>
        <w:tab/>
        <w:t>Express conditions: devices</w:t>
      </w:r>
      <w:r>
        <w:tab/>
      </w:r>
      <w:r>
        <w:fldChar w:fldCharType="begin"/>
      </w:r>
      <w:r>
        <w:instrText xml:space="preserve"> PAGEREF _Toc422303357 \h </w:instrText>
      </w:r>
      <w:r>
        <w:fldChar w:fldCharType="separate"/>
      </w:r>
      <w:r>
        <w:t>101</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Effect of proposed order to be explained to offender</w:t>
      </w:r>
      <w:r>
        <w:tab/>
      </w:r>
      <w:r>
        <w:fldChar w:fldCharType="begin"/>
      </w:r>
      <w:r>
        <w:instrText xml:space="preserve"> PAGEREF _Toc422303358 \h </w:instrText>
      </w:r>
      <w:r>
        <w:fldChar w:fldCharType="separate"/>
      </w:r>
      <w:r>
        <w:t>102</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Order to be provided in writing</w:t>
      </w:r>
      <w:r>
        <w:tab/>
      </w:r>
      <w:r>
        <w:fldChar w:fldCharType="begin"/>
      </w:r>
      <w:r>
        <w:instrText xml:space="preserve"> PAGEREF _Toc422303359 \h </w:instrText>
      </w:r>
      <w:r>
        <w:fldChar w:fldCharType="separate"/>
      </w:r>
      <w:r>
        <w:t>103</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Supervising officer</w:t>
      </w:r>
      <w:r>
        <w:tab/>
      </w:r>
      <w:r>
        <w:fldChar w:fldCharType="begin"/>
      </w:r>
      <w:r>
        <w:instrText xml:space="preserve"> PAGEREF _Toc422303360 \h </w:instrText>
      </w:r>
      <w:r>
        <w:fldChar w:fldCharType="separate"/>
      </w:r>
      <w:r>
        <w:t>103</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Obligations under order may be suspended</w:t>
      </w:r>
      <w:r>
        <w:tab/>
      </w:r>
      <w:r>
        <w:fldChar w:fldCharType="begin"/>
      </w:r>
      <w:r>
        <w:instrText xml:space="preserve"> PAGEREF _Toc422303361 \h </w:instrText>
      </w:r>
      <w:r>
        <w:fldChar w:fldCharType="separate"/>
      </w:r>
      <w:r>
        <w:t>103</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Amendment of order, extent of power</w:t>
      </w:r>
      <w:r>
        <w:tab/>
      </w:r>
      <w:r>
        <w:fldChar w:fldCharType="begin"/>
      </w:r>
      <w:r>
        <w:instrText xml:space="preserve"> PAGEREF _Toc422303362 \h </w:instrText>
      </w:r>
      <w:r>
        <w:fldChar w:fldCharType="separate"/>
      </w:r>
      <w:r>
        <w:t>104</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Amendment or cancellation of order</w:t>
      </w:r>
      <w:r>
        <w:tab/>
      </w:r>
      <w:r>
        <w:fldChar w:fldCharType="begin"/>
      </w:r>
      <w:r>
        <w:instrText xml:space="preserve"> PAGEREF _Toc422303363 \h </w:instrText>
      </w:r>
      <w:r>
        <w:fldChar w:fldCharType="separate"/>
      </w:r>
      <w:r>
        <w:t>104</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Cancellation of certain obligations after 6 months’ release</w:t>
      </w:r>
      <w:r>
        <w:tab/>
      </w:r>
      <w:r>
        <w:fldChar w:fldCharType="begin"/>
      </w:r>
      <w:r>
        <w:instrText xml:space="preserve"> PAGEREF _Toc422303364 \h </w:instrText>
      </w:r>
      <w:r>
        <w:fldChar w:fldCharType="separate"/>
      </w:r>
      <w:r>
        <w:t>104</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Breach of order other than by re</w:t>
      </w:r>
      <w:r>
        <w:rPr>
          <w:snapToGrid w:val="0"/>
        </w:rPr>
        <w:noBreakHyphen/>
        <w:t>offending, report to CEO</w:t>
      </w:r>
      <w:r>
        <w:tab/>
      </w:r>
      <w:r>
        <w:fldChar w:fldCharType="begin"/>
      </w:r>
      <w:r>
        <w:instrText xml:space="preserve"> PAGEREF _Toc422303365 \h </w:instrText>
      </w:r>
      <w:r>
        <w:fldChar w:fldCharType="separate"/>
      </w:r>
      <w:r>
        <w:t>105</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Courts to notify Board and CEO of re</w:t>
      </w:r>
      <w:r>
        <w:rPr>
          <w:snapToGrid w:val="0"/>
        </w:rPr>
        <w:noBreakHyphen/>
        <w:t>offending</w:t>
      </w:r>
      <w:r>
        <w:tab/>
      </w:r>
      <w:r>
        <w:fldChar w:fldCharType="begin"/>
      </w:r>
      <w:r>
        <w:instrText xml:space="preserve"> PAGEREF _Toc422303366 \h </w:instrText>
      </w:r>
      <w:r>
        <w:fldChar w:fldCharType="separate"/>
      </w:r>
      <w:r>
        <w:t>105</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Report to be provided when referring matter to Board</w:t>
      </w:r>
      <w:r>
        <w:tab/>
      </w:r>
      <w:r>
        <w:fldChar w:fldCharType="begin"/>
      </w:r>
      <w:r>
        <w:instrText xml:space="preserve"> PAGEREF _Toc422303367 \h </w:instrText>
      </w:r>
      <w:r>
        <w:fldChar w:fldCharType="separate"/>
      </w:r>
      <w:r>
        <w:t>106</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Breach of order, how Board may deal with</w:t>
      </w:r>
      <w:r>
        <w:tab/>
      </w:r>
      <w:r>
        <w:fldChar w:fldCharType="begin"/>
      </w:r>
      <w:r>
        <w:instrText xml:space="preserve"> PAGEREF _Toc422303368 \h </w:instrText>
      </w:r>
      <w:r>
        <w:fldChar w:fldCharType="separate"/>
      </w:r>
      <w:r>
        <w:t>106</w:t>
      </w:r>
      <w:r>
        <w:fldChar w:fldCharType="end"/>
      </w:r>
    </w:p>
    <w:p>
      <w:pPr>
        <w:pStyle w:val="TOC8"/>
        <w:rPr>
          <w:rFonts w:asciiTheme="minorHAnsi" w:eastAsiaTheme="minorEastAsia" w:hAnsiTheme="minorHAnsi" w:cstheme="minorBidi"/>
          <w:szCs w:val="22"/>
        </w:rPr>
      </w:pPr>
      <w:r>
        <w:t>147A.</w:t>
      </w:r>
      <w:r>
        <w:tab/>
      </w:r>
      <w:r>
        <w:rPr>
          <w:snapToGrid w:val="0"/>
        </w:rPr>
        <w:t>Offending while on supervised release order: automatic cancellation</w:t>
      </w:r>
      <w:r>
        <w:tab/>
      </w:r>
      <w:r>
        <w:fldChar w:fldCharType="begin"/>
      </w:r>
      <w:r>
        <w:instrText xml:space="preserve"> PAGEREF _Toc422303369 \h </w:instrText>
      </w:r>
      <w:r>
        <w:fldChar w:fldCharType="separate"/>
      </w:r>
      <w:r>
        <w:t>107</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Compliance with order, effect of</w:t>
      </w:r>
      <w:r>
        <w:tab/>
      </w:r>
      <w:r>
        <w:fldChar w:fldCharType="begin"/>
      </w:r>
      <w:r>
        <w:instrText xml:space="preserve"> PAGEREF _Toc422303370 \h </w:instrText>
      </w:r>
      <w:r>
        <w:fldChar w:fldCharType="separate"/>
      </w:r>
      <w:r>
        <w:t>107</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Suspension or cancellation of order, effect of</w:t>
      </w:r>
      <w:r>
        <w:tab/>
      </w:r>
      <w:r>
        <w:fldChar w:fldCharType="begin"/>
      </w:r>
      <w:r>
        <w:instrText xml:space="preserve"> PAGEREF _Toc422303371 \h </w:instrText>
      </w:r>
      <w:r>
        <w:fldChar w:fldCharType="separate"/>
      </w:r>
      <w:r>
        <w:t>108</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Cancellation of order after offender reaches 18</w:t>
      </w:r>
      <w:r>
        <w:tab/>
      </w:r>
      <w:r>
        <w:fldChar w:fldCharType="begin"/>
      </w:r>
      <w:r>
        <w:instrText xml:space="preserve"> PAGEREF _Toc422303372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The Supervised Release Review Board</w:t>
      </w:r>
    </w:p>
    <w:p>
      <w:pPr>
        <w:pStyle w:val="TOC8"/>
        <w:rPr>
          <w:rFonts w:asciiTheme="minorHAnsi" w:eastAsiaTheme="minorEastAsia" w:hAnsiTheme="minorHAnsi" w:cstheme="minorBidi"/>
          <w:szCs w:val="22"/>
        </w:rPr>
      </w:pPr>
      <w:r>
        <w:t>151</w:t>
      </w:r>
      <w:r>
        <w:rPr>
          <w:snapToGrid w:val="0"/>
        </w:rPr>
        <w:t>.</w:t>
      </w:r>
      <w:r>
        <w:rPr>
          <w:snapToGrid w:val="0"/>
        </w:rPr>
        <w:tab/>
        <w:t>Board established</w:t>
      </w:r>
      <w:r>
        <w:tab/>
      </w:r>
      <w:r>
        <w:fldChar w:fldCharType="begin"/>
      </w:r>
      <w:r>
        <w:instrText xml:space="preserve"> PAGEREF _Toc422303374 \h </w:instrText>
      </w:r>
      <w:r>
        <w:fldChar w:fldCharType="separate"/>
      </w:r>
      <w:r>
        <w:t>109</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Board members</w:t>
      </w:r>
      <w:r>
        <w:tab/>
      </w:r>
      <w:r>
        <w:fldChar w:fldCharType="begin"/>
      </w:r>
      <w:r>
        <w:instrText xml:space="preserve"> PAGEREF _Toc422303375 \h </w:instrText>
      </w:r>
      <w:r>
        <w:fldChar w:fldCharType="separate"/>
      </w:r>
      <w:r>
        <w:t>109</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Term of office</w:t>
      </w:r>
      <w:r>
        <w:tab/>
      </w:r>
      <w:r>
        <w:fldChar w:fldCharType="begin"/>
      </w:r>
      <w:r>
        <w:instrText xml:space="preserve"> PAGEREF _Toc422303376 \h </w:instrText>
      </w:r>
      <w:r>
        <w:fldChar w:fldCharType="separate"/>
      </w:r>
      <w:r>
        <w:t>111</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Alternate members</w:t>
      </w:r>
      <w:r>
        <w:tab/>
      </w:r>
      <w:r>
        <w:fldChar w:fldCharType="begin"/>
      </w:r>
      <w:r>
        <w:instrText xml:space="preserve"> PAGEREF _Toc422303377 \h </w:instrText>
      </w:r>
      <w:r>
        <w:fldChar w:fldCharType="separate"/>
      </w:r>
      <w:r>
        <w:t>112</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Remuneration and allowances</w:t>
      </w:r>
      <w:r>
        <w:tab/>
      </w:r>
      <w:r>
        <w:fldChar w:fldCharType="begin"/>
      </w:r>
      <w:r>
        <w:instrText xml:space="preserve"> PAGEREF _Toc422303378 \h </w:instrText>
      </w:r>
      <w:r>
        <w:fldChar w:fldCharType="separate"/>
      </w:r>
      <w:r>
        <w:t>113</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Meetings</w:t>
      </w:r>
      <w:r>
        <w:tab/>
      </w:r>
      <w:r>
        <w:fldChar w:fldCharType="begin"/>
      </w:r>
      <w:r>
        <w:instrText xml:space="preserve"> PAGEREF _Toc422303379 \h </w:instrText>
      </w:r>
      <w:r>
        <w:fldChar w:fldCharType="separate"/>
      </w:r>
      <w:r>
        <w:t>113</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Quorum</w:t>
      </w:r>
      <w:r>
        <w:tab/>
      </w:r>
      <w:r>
        <w:fldChar w:fldCharType="begin"/>
      </w:r>
      <w:r>
        <w:instrText xml:space="preserve"> PAGEREF _Toc422303380 \h </w:instrText>
      </w:r>
      <w:r>
        <w:fldChar w:fldCharType="separate"/>
      </w:r>
      <w:r>
        <w:t>113</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Presiding at meetings</w:t>
      </w:r>
      <w:r>
        <w:tab/>
      </w:r>
      <w:r>
        <w:fldChar w:fldCharType="begin"/>
      </w:r>
      <w:r>
        <w:instrText xml:space="preserve"> PAGEREF _Toc422303381 \h </w:instrText>
      </w:r>
      <w:r>
        <w:fldChar w:fldCharType="separate"/>
      </w:r>
      <w:r>
        <w:t>113</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Board may request reports</w:t>
      </w:r>
      <w:r>
        <w:tab/>
      </w:r>
      <w:r>
        <w:fldChar w:fldCharType="begin"/>
      </w:r>
      <w:r>
        <w:instrText xml:space="preserve"> PAGEREF _Toc422303382 \h </w:instrText>
      </w:r>
      <w:r>
        <w:fldChar w:fldCharType="separate"/>
      </w:r>
      <w:r>
        <w:t>113</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Determination of questions</w:t>
      </w:r>
      <w:r>
        <w:tab/>
      </w:r>
      <w:r>
        <w:fldChar w:fldCharType="begin"/>
      </w:r>
      <w:r>
        <w:instrText xml:space="preserve"> PAGEREF _Toc422303383 \h </w:instrText>
      </w:r>
      <w:r>
        <w:fldChar w:fldCharType="separate"/>
      </w:r>
      <w:r>
        <w:t>114</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Procedure</w:t>
      </w:r>
      <w:r>
        <w:tab/>
      </w:r>
      <w:r>
        <w:fldChar w:fldCharType="begin"/>
      </w:r>
      <w:r>
        <w:instrText xml:space="preserve"> PAGEREF _Toc422303384 \h </w:instrText>
      </w:r>
      <w:r>
        <w:fldChar w:fldCharType="separate"/>
      </w:r>
      <w:r>
        <w:t>114</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Board may reconsider its decision</w:t>
      </w:r>
      <w:r>
        <w:tab/>
      </w:r>
      <w:r>
        <w:fldChar w:fldCharType="begin"/>
      </w:r>
      <w:r>
        <w:instrText xml:space="preserve"> PAGEREF _Toc422303385 \h </w:instrText>
      </w:r>
      <w:r>
        <w:fldChar w:fldCharType="separate"/>
      </w:r>
      <w:r>
        <w:t>114</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Rules of natural justice excluded</w:t>
      </w:r>
      <w:r>
        <w:tab/>
      </w:r>
      <w:r>
        <w:fldChar w:fldCharType="begin"/>
      </w:r>
      <w:r>
        <w:instrText xml:space="preserve"> PAGEREF _Toc422303386 \h </w:instrText>
      </w:r>
      <w:r>
        <w:fldChar w:fldCharType="separate"/>
      </w:r>
      <w:r>
        <w:t>115</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Judicial notice of Board’s documents</w:t>
      </w:r>
      <w:r>
        <w:tab/>
      </w:r>
      <w:r>
        <w:fldChar w:fldCharType="begin"/>
      </w:r>
      <w:r>
        <w:instrText xml:space="preserve"> PAGEREF _Toc422303387 \h </w:instrText>
      </w:r>
      <w:r>
        <w:fldChar w:fldCharType="separate"/>
      </w:r>
      <w:r>
        <w:t>115</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Annual report</w:t>
      </w:r>
      <w:r>
        <w:tab/>
      </w:r>
      <w:r>
        <w:fldChar w:fldCharType="begin"/>
      </w:r>
      <w:r>
        <w:instrText xml:space="preserve"> PAGEREF _Toc422303388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Part 9 — Detention centres</w:t>
      </w:r>
    </w:p>
    <w:p>
      <w:pPr>
        <w:pStyle w:val="TOC8"/>
        <w:rPr>
          <w:rFonts w:asciiTheme="minorHAnsi" w:eastAsiaTheme="minorEastAsia" w:hAnsiTheme="minorHAnsi" w:cstheme="minorBidi"/>
          <w:szCs w:val="22"/>
        </w:rPr>
      </w:pPr>
      <w:r>
        <w:t>166.</w:t>
      </w:r>
      <w:r>
        <w:tab/>
        <w:t>Appointment of visiting justices</w:t>
      </w:r>
      <w:r>
        <w:tab/>
      </w:r>
      <w:r>
        <w:fldChar w:fldCharType="begin"/>
      </w:r>
      <w:r>
        <w:instrText xml:space="preserve"> PAGEREF _Toc422303390 \h </w:instrText>
      </w:r>
      <w:r>
        <w:fldChar w:fldCharType="separate"/>
      </w:r>
      <w:r>
        <w:t>117</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Visiting justices, functions of</w:t>
      </w:r>
      <w:r>
        <w:tab/>
      </w:r>
      <w:r>
        <w:fldChar w:fldCharType="begin"/>
      </w:r>
      <w:r>
        <w:instrText xml:space="preserve"> PAGEREF _Toc422303391 \h </w:instrText>
      </w:r>
      <w:r>
        <w:fldChar w:fldCharType="separate"/>
      </w:r>
      <w:r>
        <w:t>117</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Right of certain persons to enter detention centre</w:t>
      </w:r>
      <w:r>
        <w:tab/>
      </w:r>
      <w:r>
        <w:fldChar w:fldCharType="begin"/>
      </w:r>
      <w:r>
        <w:instrText xml:space="preserve"> PAGEREF _Toc422303392 \h </w:instrText>
      </w:r>
      <w:r>
        <w:fldChar w:fldCharType="separate"/>
      </w:r>
      <w:r>
        <w:t>118</w:t>
      </w:r>
      <w:r>
        <w:fldChar w:fldCharType="end"/>
      </w:r>
    </w:p>
    <w:p>
      <w:pPr>
        <w:pStyle w:val="TOC8"/>
        <w:rPr>
          <w:rFonts w:asciiTheme="minorHAnsi" w:eastAsiaTheme="minorEastAsia" w:hAnsiTheme="minorHAnsi" w:cstheme="minorBidi"/>
          <w:szCs w:val="22"/>
        </w:rPr>
      </w:pPr>
      <w:r>
        <w:t>169A.</w:t>
      </w:r>
      <w:r>
        <w:tab/>
      </w:r>
      <w:r>
        <w:rPr>
          <w:snapToGrid w:val="0"/>
        </w:rPr>
        <w:t>Investigation of an alleged incident at a detention centre</w:t>
      </w:r>
      <w:r>
        <w:tab/>
      </w:r>
      <w:r>
        <w:fldChar w:fldCharType="begin"/>
      </w:r>
      <w:r>
        <w:instrText xml:space="preserve"> PAGEREF _Toc422303393 \h </w:instrText>
      </w:r>
      <w:r>
        <w:fldChar w:fldCharType="separate"/>
      </w:r>
      <w:r>
        <w:t>118</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Detention offences</w:t>
      </w:r>
      <w:r>
        <w:tab/>
      </w:r>
      <w:r>
        <w:fldChar w:fldCharType="begin"/>
      </w:r>
      <w:r>
        <w:instrText xml:space="preserve"> PAGEREF _Toc422303394 \h </w:instrText>
      </w:r>
      <w:r>
        <w:fldChar w:fldCharType="separate"/>
      </w:r>
      <w:r>
        <w:t>119</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Detention offence charge, procedure on</w:t>
      </w:r>
      <w:r>
        <w:tab/>
      </w:r>
      <w:r>
        <w:fldChar w:fldCharType="begin"/>
      </w:r>
      <w:r>
        <w:instrText xml:space="preserve"> PAGEREF _Toc422303395 \h </w:instrText>
      </w:r>
      <w:r>
        <w:fldChar w:fldCharType="separate"/>
      </w:r>
      <w:r>
        <w:t>120</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Visiting justice may deal with referred charges</w:t>
      </w:r>
      <w:r>
        <w:tab/>
      </w:r>
      <w:r>
        <w:fldChar w:fldCharType="begin"/>
      </w:r>
      <w:r>
        <w:instrText xml:space="preserve"> PAGEREF _Toc422303396 \h </w:instrText>
      </w:r>
      <w:r>
        <w:fldChar w:fldCharType="separate"/>
      </w:r>
      <w:r>
        <w:t>121</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Detention offences, dealing with</w:t>
      </w:r>
      <w:r>
        <w:tab/>
      </w:r>
      <w:r>
        <w:fldChar w:fldCharType="begin"/>
      </w:r>
      <w:r>
        <w:instrText xml:space="preserve"> PAGEREF _Toc422303397 \h </w:instrText>
      </w:r>
      <w:r>
        <w:fldChar w:fldCharType="separate"/>
      </w:r>
      <w:r>
        <w:t>121</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Detention offence charges, hearing of</w:t>
      </w:r>
      <w:r>
        <w:tab/>
      </w:r>
      <w:r>
        <w:fldChar w:fldCharType="begin"/>
      </w:r>
      <w:r>
        <w:instrText xml:space="preserve"> PAGEREF _Toc422303398 \h </w:instrText>
      </w:r>
      <w:r>
        <w:fldChar w:fldCharType="separate"/>
      </w:r>
      <w:r>
        <w:t>123</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Visiting justice may direct prosecution for detention offence</w:t>
      </w:r>
      <w:r>
        <w:tab/>
      </w:r>
      <w:r>
        <w:fldChar w:fldCharType="begin"/>
      </w:r>
      <w:r>
        <w:instrText xml:space="preserve"> PAGEREF _Toc422303399 \h </w:instrText>
      </w:r>
      <w:r>
        <w:fldChar w:fldCharType="separate"/>
      </w:r>
      <w:r>
        <w:t>123</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Early discharge from detention</w:t>
      </w:r>
      <w:r>
        <w:tab/>
      </w:r>
      <w:r>
        <w:fldChar w:fldCharType="begin"/>
      </w:r>
      <w:r>
        <w:instrText xml:space="preserve"> PAGEREF _Toc422303400 \h </w:instrText>
      </w:r>
      <w:r>
        <w:fldChar w:fldCharType="separate"/>
      </w:r>
      <w:r>
        <w:t>123</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Transfer of offender from detention centre to prison</w:t>
      </w:r>
      <w:r>
        <w:tab/>
      </w:r>
      <w:r>
        <w:fldChar w:fldCharType="begin"/>
      </w:r>
      <w:r>
        <w:instrText xml:space="preserve"> PAGEREF _Toc422303401 \h </w:instrText>
      </w:r>
      <w:r>
        <w:fldChar w:fldCharType="separate"/>
      </w:r>
      <w:r>
        <w:t>124</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Medical treatment, removal for</w:t>
      </w:r>
      <w:r>
        <w:tab/>
      </w:r>
      <w:r>
        <w:fldChar w:fldCharType="begin"/>
      </w:r>
      <w:r>
        <w:instrText xml:space="preserve"> PAGEREF _Toc422303402 \h </w:instrText>
      </w:r>
      <w:r>
        <w:fldChar w:fldCharType="separate"/>
      </w:r>
      <w:r>
        <w:t>125</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Death of detainee, coroner to investigate</w:t>
      </w:r>
      <w:r>
        <w:tab/>
      </w:r>
      <w:r>
        <w:fldChar w:fldCharType="begin"/>
      </w:r>
      <w:r>
        <w:instrText xml:space="preserve"> PAGEREF _Toc422303403 \h </w:instrText>
      </w:r>
      <w:r>
        <w:fldChar w:fldCharType="separate"/>
      </w:r>
      <w:r>
        <w:t>127</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Rules for detention centres, CEO may make</w:t>
      </w:r>
      <w:r>
        <w:tab/>
      </w:r>
      <w:r>
        <w:fldChar w:fldCharType="begin"/>
      </w:r>
      <w:r>
        <w:instrText xml:space="preserve"> PAGEREF _Toc422303404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182</w:t>
      </w:r>
      <w:r>
        <w:rPr>
          <w:snapToGrid w:val="0"/>
        </w:rPr>
        <w:t>.</w:t>
      </w:r>
      <w:r>
        <w:rPr>
          <w:snapToGrid w:val="0"/>
        </w:rPr>
        <w:tab/>
        <w:t>Protection from legal liability</w:t>
      </w:r>
      <w:r>
        <w:tab/>
      </w:r>
      <w:r>
        <w:fldChar w:fldCharType="begin"/>
      </w:r>
      <w:r>
        <w:instrText xml:space="preserve"> PAGEREF _Toc422303406 \h </w:instrText>
      </w:r>
      <w:r>
        <w:fldChar w:fldCharType="separate"/>
      </w:r>
      <w:r>
        <w:t>129</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Order to be defence to actions</w:t>
      </w:r>
      <w:r>
        <w:tab/>
      </w:r>
      <w:r>
        <w:fldChar w:fldCharType="begin"/>
      </w:r>
      <w:r>
        <w:instrText xml:space="preserve"> PAGEREF _Toc422303407 \h </w:instrText>
      </w:r>
      <w:r>
        <w:fldChar w:fldCharType="separate"/>
      </w:r>
      <w:r>
        <w:t>129</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CEO may give consent in relation to detainee</w:t>
      </w:r>
      <w:r>
        <w:tab/>
      </w:r>
      <w:r>
        <w:fldChar w:fldCharType="begin"/>
      </w:r>
      <w:r>
        <w:instrText xml:space="preserve"> PAGEREF _Toc422303408 \h </w:instrText>
      </w:r>
      <w:r>
        <w:fldChar w:fldCharType="separate"/>
      </w:r>
      <w:r>
        <w:t>130</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Minister may make certain payments</w:t>
      </w:r>
      <w:r>
        <w:tab/>
      </w:r>
      <w:r>
        <w:fldChar w:fldCharType="begin"/>
      </w:r>
      <w:r>
        <w:instrText xml:space="preserve"> PAGEREF _Toc422303409 \h </w:instrText>
      </w:r>
      <w:r>
        <w:fldChar w:fldCharType="separate"/>
      </w:r>
      <w:r>
        <w:t>130</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Officer of Department may conduct cases</w:t>
      </w:r>
      <w:r>
        <w:tab/>
      </w:r>
      <w:r>
        <w:fldChar w:fldCharType="begin"/>
      </w:r>
      <w:r>
        <w:instrText xml:space="preserve"> PAGEREF _Toc422303410 \h </w:instrText>
      </w:r>
      <w:r>
        <w:fldChar w:fldCharType="separate"/>
      </w:r>
      <w:r>
        <w:t>130</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Certificate of superintendent to be evidence</w:t>
      </w:r>
      <w:r>
        <w:tab/>
      </w:r>
      <w:r>
        <w:fldChar w:fldCharType="begin"/>
      </w:r>
      <w:r>
        <w:instrText xml:space="preserve"> PAGEREF _Toc422303411 \h </w:instrText>
      </w:r>
      <w:r>
        <w:fldChar w:fldCharType="separate"/>
      </w:r>
      <w:r>
        <w:t>130</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Person having charge of detainee has legal custody</w:t>
      </w:r>
      <w:r>
        <w:tab/>
      </w:r>
      <w:r>
        <w:fldChar w:fldCharType="begin"/>
      </w:r>
      <w:r>
        <w:instrText xml:space="preserve"> PAGEREF _Toc422303412 \h </w:instrText>
      </w:r>
      <w:r>
        <w:fldChar w:fldCharType="separate"/>
      </w:r>
      <w:r>
        <w:t>131</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Certain offenders to be regarded as not convicted</w:t>
      </w:r>
      <w:r>
        <w:tab/>
      </w:r>
      <w:r>
        <w:fldChar w:fldCharType="begin"/>
      </w:r>
      <w:r>
        <w:instrText xml:space="preserve"> PAGEREF _Toc422303413 \h </w:instrText>
      </w:r>
      <w:r>
        <w:fldChar w:fldCharType="separate"/>
      </w:r>
      <w:r>
        <w:t>132</w:t>
      </w:r>
      <w:r>
        <w:fldChar w:fldCharType="end"/>
      </w:r>
    </w:p>
    <w:p>
      <w:pPr>
        <w:pStyle w:val="TOC8"/>
        <w:rPr>
          <w:rFonts w:asciiTheme="minorHAnsi" w:eastAsiaTheme="minorEastAsia" w:hAnsiTheme="minorHAnsi" w:cstheme="minorBidi"/>
          <w:szCs w:val="22"/>
        </w:rPr>
      </w:pPr>
      <w:r>
        <w:t>190</w:t>
      </w:r>
      <w:r>
        <w:rPr>
          <w:snapToGrid w:val="0"/>
        </w:rPr>
        <w:t>.</w:t>
      </w:r>
      <w:r>
        <w:rPr>
          <w:snapToGrid w:val="0"/>
        </w:rPr>
        <w:tab/>
        <w:t>Disclosure of certain convictions</w:t>
      </w:r>
      <w:r>
        <w:tab/>
      </w:r>
      <w:r>
        <w:fldChar w:fldCharType="begin"/>
      </w:r>
      <w:r>
        <w:instrText xml:space="preserve"> PAGEREF _Toc422303414 \h </w:instrText>
      </w:r>
      <w:r>
        <w:fldChar w:fldCharType="separate"/>
      </w:r>
      <w:r>
        <w:t>134</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Unlawfully communicating with detainee</w:t>
      </w:r>
      <w:r>
        <w:tab/>
      </w:r>
      <w:r>
        <w:fldChar w:fldCharType="begin"/>
      </w:r>
      <w:r>
        <w:instrText xml:space="preserve"> PAGEREF _Toc422303415 \h </w:instrText>
      </w:r>
      <w:r>
        <w:fldChar w:fldCharType="separate"/>
      </w:r>
      <w:r>
        <w:t>134</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Unlawfully remaining in detention centre</w:t>
      </w:r>
      <w:r>
        <w:tab/>
      </w:r>
      <w:r>
        <w:fldChar w:fldCharType="begin"/>
      </w:r>
      <w:r>
        <w:instrText xml:space="preserve"> PAGEREF _Toc422303416 \h </w:instrText>
      </w:r>
      <w:r>
        <w:fldChar w:fldCharType="separate"/>
      </w:r>
      <w:r>
        <w:t>134</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Escape from custody</w:t>
      </w:r>
      <w:r>
        <w:tab/>
      </w:r>
      <w:r>
        <w:fldChar w:fldCharType="begin"/>
      </w:r>
      <w:r>
        <w:instrText xml:space="preserve"> PAGEREF _Toc422303417 \h </w:instrText>
      </w:r>
      <w:r>
        <w:fldChar w:fldCharType="separate"/>
      </w:r>
      <w:r>
        <w:t>134</w:t>
      </w:r>
      <w:r>
        <w:fldChar w:fldCharType="end"/>
      </w:r>
    </w:p>
    <w:p>
      <w:pPr>
        <w:pStyle w:val="TOC8"/>
        <w:rPr>
          <w:rFonts w:asciiTheme="minorHAnsi" w:eastAsiaTheme="minorEastAsia" w:hAnsiTheme="minorHAnsi" w:cstheme="minorBidi"/>
          <w:szCs w:val="22"/>
        </w:rPr>
      </w:pPr>
      <w:r>
        <w:t>193A.</w:t>
      </w:r>
      <w:r>
        <w:tab/>
        <w:t>Arrest warrant may be issued if warrant of commitment in force</w:t>
      </w:r>
      <w:r>
        <w:tab/>
      </w:r>
      <w:r>
        <w:fldChar w:fldCharType="begin"/>
      </w:r>
      <w:r>
        <w:instrText xml:space="preserve"> PAGEREF _Toc422303418 \h </w:instrText>
      </w:r>
      <w:r>
        <w:fldChar w:fldCharType="separate"/>
      </w:r>
      <w:r>
        <w:t>135</w:t>
      </w:r>
      <w:r>
        <w:fldChar w:fldCharType="end"/>
      </w:r>
    </w:p>
    <w:p>
      <w:pPr>
        <w:pStyle w:val="TOC8"/>
        <w:rPr>
          <w:rFonts w:asciiTheme="minorHAnsi" w:eastAsiaTheme="minorEastAsia" w:hAnsiTheme="minorHAnsi" w:cstheme="minorBidi"/>
          <w:szCs w:val="22"/>
        </w:rPr>
      </w:pPr>
      <w:r>
        <w:t>194</w:t>
      </w:r>
      <w:r>
        <w:rPr>
          <w:snapToGrid w:val="0"/>
        </w:rPr>
        <w:t>.</w:t>
      </w:r>
      <w:r>
        <w:rPr>
          <w:snapToGrid w:val="0"/>
        </w:rPr>
        <w:tab/>
        <w:t>Personating an officer</w:t>
      </w:r>
      <w:r>
        <w:tab/>
      </w:r>
      <w:r>
        <w:fldChar w:fldCharType="begin"/>
      </w:r>
      <w:r>
        <w:instrText xml:space="preserve"> PAGEREF _Toc422303419 \h </w:instrText>
      </w:r>
      <w:r>
        <w:fldChar w:fldCharType="separate"/>
      </w:r>
      <w:r>
        <w:t>135</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General penalty</w:t>
      </w:r>
      <w:r>
        <w:tab/>
      </w:r>
      <w:r>
        <w:fldChar w:fldCharType="begin"/>
      </w:r>
      <w:r>
        <w:instrText xml:space="preserve"> PAGEREF _Toc422303420 \h </w:instrText>
      </w:r>
      <w:r>
        <w:fldChar w:fldCharType="separate"/>
      </w:r>
      <w:r>
        <w:t>136</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Regulations</w:t>
      </w:r>
      <w:r>
        <w:tab/>
      </w:r>
      <w:r>
        <w:fldChar w:fldCharType="begin"/>
      </w:r>
      <w:r>
        <w:instrText xml:space="preserve"> PAGEREF _Toc422303421 \h </w:instrText>
      </w:r>
      <w:r>
        <w:fldChar w:fldCharType="separate"/>
      </w:r>
      <w:r>
        <w:t>136</w:t>
      </w:r>
      <w:r>
        <w:fldChar w:fldCharType="end"/>
      </w:r>
    </w:p>
    <w:p>
      <w:pPr>
        <w:pStyle w:val="TOC8"/>
        <w:rPr>
          <w:rFonts w:asciiTheme="minorHAnsi" w:eastAsiaTheme="minorEastAsia" w:hAnsiTheme="minorHAnsi" w:cstheme="minorBidi"/>
          <w:szCs w:val="22"/>
        </w:rPr>
      </w:pPr>
      <w:r>
        <w:t>197.</w:t>
      </w:r>
      <w:r>
        <w:tab/>
      </w:r>
      <w:r>
        <w:rPr>
          <w:snapToGrid w:val="0"/>
        </w:rPr>
        <w:t>Delegation of prescribed functions</w:t>
      </w:r>
      <w:r>
        <w:tab/>
      </w:r>
      <w:r>
        <w:fldChar w:fldCharType="begin"/>
      </w:r>
      <w:r>
        <w:instrText xml:space="preserve"> PAGEREF _Toc422303422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t>Part 11 — Amendment of certain other Acts and transitional provisions</w:t>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Transitional provisions</w:t>
      </w:r>
    </w:p>
    <w:p>
      <w:pPr>
        <w:pStyle w:val="TOC8"/>
        <w:rPr>
          <w:rFonts w:asciiTheme="minorHAnsi" w:eastAsiaTheme="minorEastAsia" w:hAnsiTheme="minorHAnsi" w:cstheme="minorBidi"/>
          <w:szCs w:val="22"/>
        </w:rPr>
      </w:pPr>
      <w:r>
        <w:t>231</w:t>
      </w:r>
      <w:r>
        <w:rPr>
          <w:snapToGrid w:val="0"/>
        </w:rPr>
        <w:t>.</w:t>
      </w:r>
      <w:r>
        <w:rPr>
          <w:snapToGrid w:val="0"/>
        </w:rPr>
        <w:tab/>
      </w:r>
      <w:r>
        <w:rPr>
          <w:i/>
          <w:snapToGrid w:val="0"/>
        </w:rPr>
        <w:t>Interpretation Act 1984</w:t>
      </w:r>
      <w:r>
        <w:rPr>
          <w:snapToGrid w:val="0"/>
        </w:rPr>
        <w:t xml:space="preserve"> applies</w:t>
      </w:r>
      <w:r>
        <w:tab/>
      </w:r>
      <w:r>
        <w:fldChar w:fldCharType="begin"/>
      </w:r>
      <w:r>
        <w:instrText xml:space="preserve"> PAGEREF _Toc422303425 \h </w:instrText>
      </w:r>
      <w:r>
        <w:fldChar w:fldCharType="separate"/>
      </w:r>
      <w:r>
        <w:t>139</w:t>
      </w:r>
      <w:r>
        <w:fldChar w:fldCharType="end"/>
      </w:r>
    </w:p>
    <w:p>
      <w:pPr>
        <w:pStyle w:val="TOC8"/>
        <w:rPr>
          <w:rFonts w:asciiTheme="minorHAnsi" w:eastAsiaTheme="minorEastAsia" w:hAnsiTheme="minorHAnsi" w:cstheme="minorBidi"/>
          <w:szCs w:val="22"/>
        </w:rPr>
      </w:pPr>
      <w:r>
        <w:t>232</w:t>
      </w:r>
      <w:r>
        <w:rPr>
          <w:snapToGrid w:val="0"/>
        </w:rPr>
        <w:t>.</w:t>
      </w:r>
      <w:r>
        <w:rPr>
          <w:snapToGrid w:val="0"/>
        </w:rPr>
        <w:tab/>
        <w:t>Orders for past matters</w:t>
      </w:r>
      <w:r>
        <w:tab/>
      </w:r>
      <w:r>
        <w:fldChar w:fldCharType="begin"/>
      </w:r>
      <w:r>
        <w:instrText xml:space="preserve"> PAGEREF _Toc422303426 \h </w:instrText>
      </w:r>
      <w:r>
        <w:fldChar w:fldCharType="separate"/>
      </w:r>
      <w:r>
        <w:t>139</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Orders under former provisions</w:t>
      </w:r>
      <w:r>
        <w:tab/>
      </w:r>
      <w:r>
        <w:fldChar w:fldCharType="begin"/>
      </w:r>
      <w:r>
        <w:instrText xml:space="preserve"> PAGEREF _Toc422303427 \h </w:instrText>
      </w:r>
      <w:r>
        <w:fldChar w:fldCharType="separate"/>
      </w:r>
      <w:r>
        <w:t>139</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 xml:space="preserve">Detention centres under </w:t>
      </w:r>
      <w:r>
        <w:rPr>
          <w:i/>
          <w:snapToGrid w:val="0"/>
        </w:rPr>
        <w:t>Child Welfare Act 1947</w:t>
      </w:r>
      <w:r>
        <w:tab/>
      </w:r>
      <w:r>
        <w:fldChar w:fldCharType="begin"/>
      </w:r>
      <w:r>
        <w:instrText xml:space="preserve"> PAGEREF _Toc422303428 \h </w:instrText>
      </w:r>
      <w:r>
        <w:fldChar w:fldCharType="separate"/>
      </w:r>
      <w:r>
        <w:t>140</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Proceedings pending before children’s panels</w:t>
      </w:r>
      <w:r>
        <w:tab/>
      </w:r>
      <w:r>
        <w:fldChar w:fldCharType="begin"/>
      </w:r>
      <w:r>
        <w:instrText xml:space="preserve"> PAGEREF _Toc422303429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237</w:t>
      </w:r>
      <w:r>
        <w:rPr>
          <w:snapToGrid w:val="0"/>
        </w:rPr>
        <w:t>.</w:t>
      </w:r>
      <w:r>
        <w:rPr>
          <w:snapToGrid w:val="0"/>
        </w:rPr>
        <w:tab/>
        <w:t>Review of Act</w:t>
      </w:r>
      <w:r>
        <w:tab/>
      </w:r>
      <w:r>
        <w:fldChar w:fldCharType="begin"/>
      </w:r>
      <w:r>
        <w:instrText xml:space="preserve"> PAGEREF _Toc422303431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Schedule 1 — Schedule 1 offences</w:t>
      </w:r>
    </w:p>
    <w:p>
      <w:pPr>
        <w:pStyle w:val="TOC2"/>
        <w:tabs>
          <w:tab w:val="right" w:leader="dot" w:pos="7077"/>
        </w:tabs>
        <w:rPr>
          <w:rFonts w:asciiTheme="minorHAnsi" w:eastAsiaTheme="minorEastAsia" w:hAnsiTheme="minorHAnsi" w:cstheme="minorBidi"/>
          <w:b w:val="0"/>
          <w:sz w:val="22"/>
          <w:szCs w:val="22"/>
        </w:rPr>
      </w:pPr>
      <w:r>
        <w:t>Schedule 2 — Schedule 2 offences</w:t>
      </w:r>
    </w:p>
    <w:p>
      <w:pPr>
        <w:pStyle w:val="TOC2"/>
        <w:tabs>
          <w:tab w:val="right" w:leader="dot" w:pos="7077"/>
        </w:tabs>
        <w:rPr>
          <w:rFonts w:asciiTheme="minorHAnsi" w:eastAsiaTheme="minorEastAsia" w:hAnsiTheme="minorHAnsi" w:cstheme="minorBidi"/>
          <w:b w:val="0"/>
          <w:sz w:val="22"/>
          <w:szCs w:val="22"/>
        </w:rPr>
      </w:pPr>
      <w:r>
        <w:t>Schedule 3 — Adaptations for community work in default of payment</w:t>
      </w:r>
    </w:p>
    <w:p>
      <w:pPr>
        <w:pStyle w:val="TOC8"/>
        <w:rPr>
          <w:rFonts w:asciiTheme="minorHAnsi" w:eastAsiaTheme="minorEastAsia" w:hAnsiTheme="minorHAnsi" w:cstheme="minorBidi"/>
          <w:szCs w:val="22"/>
        </w:rPr>
      </w:pPr>
      <w:r>
        <w:t>1.</w:t>
      </w:r>
      <w:r>
        <w:tab/>
        <w:t>References to “offender”</w:t>
      </w:r>
      <w:r>
        <w:tab/>
      </w:r>
      <w:r>
        <w:fldChar w:fldCharType="begin"/>
      </w:r>
      <w:r>
        <w:instrText xml:space="preserve"> PAGEREF _Toc422303435 \h </w:instrText>
      </w:r>
      <w:r>
        <w:fldChar w:fldCharType="separate"/>
      </w:r>
      <w:r>
        <w:t>149</w:t>
      </w:r>
      <w:r>
        <w:fldChar w:fldCharType="end"/>
      </w:r>
    </w:p>
    <w:p>
      <w:pPr>
        <w:pStyle w:val="TOC8"/>
        <w:rPr>
          <w:rFonts w:asciiTheme="minorHAnsi" w:eastAsiaTheme="minorEastAsia" w:hAnsiTheme="minorHAnsi" w:cstheme="minorBidi"/>
          <w:szCs w:val="22"/>
        </w:rPr>
      </w:pPr>
      <w:r>
        <w:t>2.</w:t>
      </w:r>
      <w:r>
        <w:tab/>
        <w:t>Conditions</w:t>
      </w:r>
      <w:r>
        <w:tab/>
      </w:r>
      <w:r>
        <w:fldChar w:fldCharType="begin"/>
      </w:r>
      <w:r>
        <w:instrText xml:space="preserve"> PAGEREF _Toc422303436 \h </w:instrText>
      </w:r>
      <w:r>
        <w:fldChar w:fldCharType="separate"/>
      </w:r>
      <w:r>
        <w:t>149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Duration of order</w:t>
      </w:r>
      <w:r>
        <w:tab/>
      </w:r>
      <w:r>
        <w:fldChar w:fldCharType="begin"/>
      </w:r>
      <w:r>
        <w:instrText xml:space="preserve"> PAGEREF _Toc422303437 \h </w:instrText>
      </w:r>
      <w:r>
        <w:fldChar w:fldCharType="separate"/>
      </w:r>
      <w:r>
        <w:t>149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Powers of court in dealing with breach</w:t>
      </w:r>
      <w:r>
        <w:tab/>
      </w:r>
      <w:r>
        <w:fldChar w:fldCharType="begin"/>
      </w:r>
      <w:r>
        <w:instrText xml:space="preserve"> PAGEREF _Toc422303438 \h </w:instrText>
      </w:r>
      <w:r>
        <w:fldChar w:fldCharType="separate"/>
      </w:r>
      <w:r>
        <w:t>149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Effect of partially performing work ordered in default of payment</w:t>
      </w:r>
      <w:r>
        <w:tab/>
      </w:r>
      <w:r>
        <w:fldChar w:fldCharType="begin"/>
      </w:r>
      <w:r>
        <w:instrText xml:space="preserve"> PAGEREF _Toc422303439 \h </w:instrText>
      </w:r>
      <w:r>
        <w:fldChar w:fldCharType="separate"/>
      </w:r>
      <w:r>
        <w:t>149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Proof of identity</w:t>
      </w:r>
      <w:r>
        <w:tab/>
      </w:r>
      <w:r>
        <w:fldChar w:fldCharType="begin"/>
      </w:r>
      <w:r>
        <w:instrText xml:space="preserve"> PAGEREF _Toc422303440 \h </w:instrText>
      </w:r>
      <w:r>
        <w:fldChar w:fldCharType="separate"/>
      </w:r>
      <w:r>
        <w:t>150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_Toc422303442 \h </w:instrText>
      </w:r>
      <w:r>
        <w:fldChar w:fldCharType="separate"/>
      </w:r>
      <w:r>
        <w:t>151</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_Toc422303443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680" w:after="1000"/>
      </w:pPr>
      <w:r>
        <w:t xml:space="preserve">Young Offenders Act 1994 </w:t>
      </w:r>
    </w:p>
    <w:p>
      <w:pPr>
        <w:pStyle w:val="LongTitle"/>
        <w:rPr>
          <w:snapToGrid w:val="0"/>
        </w:rPr>
      </w:pPr>
      <w:r>
        <w:rPr>
          <w:snapToGrid w:val="0"/>
        </w:rPr>
        <w:t>An Act relating to young persons who commit offences against the law, to amend certain Acts</w:t>
      </w:r>
      <w:r>
        <w:rPr>
          <w:b w:val="0"/>
          <w:snapToGrid w:val="0"/>
          <w:vertAlign w:val="superscript"/>
        </w:rPr>
        <w:t> 2</w:t>
      </w:r>
      <w:r>
        <w:rPr>
          <w:snapToGrid w:val="0"/>
        </w:rPr>
        <w:t xml:space="preserve">, and for related purposes. </w:t>
      </w:r>
    </w:p>
    <w:p>
      <w:pPr>
        <w:pStyle w:val="Heading2"/>
      </w:pPr>
      <w:bookmarkStart w:id="3" w:name="_Toc405453100"/>
      <w:bookmarkStart w:id="4" w:name="_Toc413336825"/>
      <w:bookmarkStart w:id="5" w:name="_Toc413337101"/>
      <w:bookmarkStart w:id="6" w:name="_Toc413336915"/>
      <w:bookmarkStart w:id="7" w:name="_Toc42230316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r>
        <w:rPr>
          <w:rStyle w:val="CharPartText"/>
        </w:rPr>
        <w:t xml:space="preserve"> </w:t>
      </w:r>
    </w:p>
    <w:p>
      <w:pPr>
        <w:pStyle w:val="Heading5"/>
        <w:rPr>
          <w:snapToGrid w:val="0"/>
        </w:rPr>
      </w:pPr>
      <w:bookmarkStart w:id="8" w:name="_Toc405453101"/>
      <w:bookmarkStart w:id="9" w:name="_Toc422303169"/>
      <w:r>
        <w:rPr>
          <w:rStyle w:val="CharSectno"/>
        </w:rPr>
        <w:t>1</w:t>
      </w:r>
      <w:r>
        <w:rPr>
          <w:snapToGrid w:val="0"/>
        </w:rPr>
        <w:t>.</w:t>
      </w:r>
      <w:r>
        <w:rPr>
          <w:snapToGrid w:val="0"/>
        </w:rPr>
        <w:tab/>
        <w:t>Short title</w:t>
      </w:r>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10" w:name="_Toc405453102"/>
      <w:bookmarkStart w:id="11" w:name="_Toc422303170"/>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12" w:name="_Toc405453103"/>
      <w:bookmarkStart w:id="13" w:name="_Toc422303171"/>
      <w:r>
        <w:rPr>
          <w:rStyle w:val="CharSectno"/>
        </w:rPr>
        <w:t>3</w:t>
      </w:r>
      <w:r>
        <w:rPr>
          <w:snapToGrid w:val="0"/>
        </w:rPr>
        <w:t>.</w:t>
      </w:r>
      <w:r>
        <w:rPr>
          <w:snapToGrid w:val="0"/>
        </w:rPr>
        <w:tab/>
        <w:t>Terms used</w:t>
      </w:r>
      <w:bookmarkEnd w:id="12"/>
      <w:bookmarkEnd w:id="13"/>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pPr>
      <w:r>
        <w:rPr>
          <w:b/>
        </w:rPr>
        <w:tab/>
      </w:r>
      <w:r>
        <w:rPr>
          <w:rStyle w:val="CharDefText"/>
        </w:rPr>
        <w:t>court</w:t>
      </w:r>
      <w:r>
        <w:t xml:space="preserve"> means the Children’s Court or other court dealing with a young person for an offence;</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 or</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 or</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pPr>
      <w:r>
        <w:tab/>
      </w:r>
      <w:r>
        <w:rPr>
          <w:rStyle w:val="CharDefText"/>
        </w:rPr>
        <w:t>registrar of the court</w:t>
      </w:r>
      <w:r>
        <w:t>, in relation to the Children’s Court, means the registrar of the Children’s Court at the place where the relevant matter was heard;</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outlineLvl w:val="0"/>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rPr>
          <w:snapToGrid w:val="0"/>
        </w:rPr>
      </w:pPr>
      <w:r>
        <w:rPr>
          <w:snapToGrid w:val="0"/>
        </w:rPr>
        <w:tab/>
        <w:t>(i)</w:t>
      </w:r>
      <w:r>
        <w:rPr>
          <w:snapToGrid w:val="0"/>
        </w:rPr>
        <w:tab/>
        <w:t>described in column 2 of Schedule 1 opposite the reference; or</w:t>
      </w:r>
    </w:p>
    <w:p>
      <w:pPr>
        <w:pStyle w:val="Defsubpara"/>
        <w:rPr>
          <w:snapToGrid w:val="0"/>
        </w:rPr>
      </w:pPr>
      <w:r>
        <w:rPr>
          <w:snapToGrid w:val="0"/>
        </w:rPr>
        <w:tab/>
        <w:t>(ii)</w:t>
      </w:r>
      <w:r>
        <w:rPr>
          <w:snapToGrid w:val="0"/>
        </w:rP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outlineLvl w:val="0"/>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rPr>
          <w:snapToGrid w:val="0"/>
        </w:rPr>
      </w:pPr>
      <w:r>
        <w:rPr>
          <w:snapToGrid w:val="0"/>
        </w:rPr>
        <w:tab/>
        <w:t>(i)</w:t>
      </w:r>
      <w:r>
        <w:rPr>
          <w:snapToGrid w:val="0"/>
        </w:rPr>
        <w:tab/>
        <w:t>described in column 2 of Schedule 2 opposite the reference; or</w:t>
      </w:r>
    </w:p>
    <w:p>
      <w:pPr>
        <w:pStyle w:val="Defsubpara"/>
        <w:rPr>
          <w:snapToGrid w:val="0"/>
        </w:rPr>
      </w:pPr>
      <w:r>
        <w:rPr>
          <w:snapToGrid w:val="0"/>
        </w:rPr>
        <w:tab/>
        <w:t>(ii)</w:t>
      </w:r>
      <w:r>
        <w:rPr>
          <w:snapToGrid w:val="0"/>
        </w:rP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Footnotesection"/>
      </w:pPr>
      <w:r>
        <w:tab/>
        <w:t xml:space="preserve">[Section 3 amended by No. 47 of 1999 s. 40; </w:t>
      </w:r>
      <w:r>
        <w:rPr>
          <w:spacing w:val="-6"/>
        </w:rPr>
        <w:t>No. 34 of 2004 s. </w:t>
      </w:r>
      <w:r>
        <w:t>251; No. 58 of 2004 s. 4; No. 59 of 2004 s. 141.]</w:t>
      </w:r>
    </w:p>
    <w:p>
      <w:pPr>
        <w:pStyle w:val="Footnotesection"/>
        <w:ind w:left="890" w:hanging="890"/>
      </w:pPr>
      <w:r>
        <w:tab/>
        <w:t>[Section 3. Modifications to be applied in order to give effect to Cross-border Justice Act 2008: section altered 1 Dec 2009. See endnote 1M.]</w:t>
      </w:r>
    </w:p>
    <w:p>
      <w:pPr>
        <w:pStyle w:val="Heading5"/>
        <w:rPr>
          <w:snapToGrid w:val="0"/>
        </w:rPr>
      </w:pPr>
      <w:bookmarkStart w:id="14" w:name="_Toc405453104"/>
      <w:bookmarkStart w:id="15" w:name="_Toc422303172"/>
      <w:r>
        <w:rPr>
          <w:rStyle w:val="CharSectno"/>
        </w:rPr>
        <w:t>4</w:t>
      </w:r>
      <w:r>
        <w:rPr>
          <w:snapToGrid w:val="0"/>
        </w:rPr>
        <w:t>.</w:t>
      </w:r>
      <w:r>
        <w:rPr>
          <w:snapToGrid w:val="0"/>
        </w:rPr>
        <w:tab/>
        <w:t>Young offenders reaching 18</w:t>
      </w:r>
      <w:bookmarkEnd w:id="14"/>
      <w:bookmarkEnd w:id="15"/>
      <w:r>
        <w:rPr>
          <w:snapToGrid w:val="0"/>
        </w:rPr>
        <w:t xml:space="preserve"> </w:t>
      </w:r>
    </w:p>
    <w:p>
      <w:pPr>
        <w:pStyle w:val="Subsection"/>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rPr>
          <w:snapToGrid w:val="0"/>
        </w:rPr>
      </w:pPr>
      <w:bookmarkStart w:id="16" w:name="_Toc405453105"/>
      <w:bookmarkStart w:id="17" w:name="_Toc422303173"/>
      <w:r>
        <w:rPr>
          <w:rStyle w:val="CharSectno"/>
        </w:rPr>
        <w:t>5</w:t>
      </w:r>
      <w:r>
        <w:rPr>
          <w:snapToGrid w:val="0"/>
        </w:rPr>
        <w:t>.</w:t>
      </w:r>
      <w:r>
        <w:rPr>
          <w:snapToGrid w:val="0"/>
        </w:rPr>
        <w:tab/>
      </w:r>
      <w:r>
        <w:rPr>
          <w:i/>
        </w:rPr>
        <w:t>Criminal Procedure Act 2004</w:t>
      </w:r>
      <w:r>
        <w:t xml:space="preserve"> </w:t>
      </w:r>
      <w:r>
        <w:rPr>
          <w:snapToGrid w:val="0"/>
        </w:rPr>
        <w:t>overridden</w:t>
      </w:r>
      <w:bookmarkEnd w:id="16"/>
      <w:bookmarkEnd w:id="17"/>
      <w:r>
        <w:rPr>
          <w:snapToGrid w:val="0"/>
        </w:rPr>
        <w:t xml:space="preserve"> </w:t>
      </w:r>
    </w:p>
    <w:p>
      <w:pPr>
        <w:pStyle w:val="Subsection"/>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pPr>
      <w:r>
        <w:tab/>
        <w:t>[Section 5 amended by No. 59 of 2004 s. 141; No. 84 of 2004 s. 77.]</w:t>
      </w:r>
    </w:p>
    <w:p>
      <w:pPr>
        <w:pStyle w:val="Heading5"/>
      </w:pPr>
      <w:bookmarkStart w:id="18" w:name="_Toc405453106"/>
      <w:bookmarkStart w:id="19" w:name="_Toc422303174"/>
      <w:r>
        <w:rPr>
          <w:rStyle w:val="CharSectno"/>
        </w:rPr>
        <w:t>6A</w:t>
      </w:r>
      <w:r>
        <w:t>.</w:t>
      </w:r>
      <w:r>
        <w:tab/>
      </w:r>
      <w:r>
        <w:rPr>
          <w:i/>
        </w:rPr>
        <w:t>Courts and Tribunals (Electronic Processes Facilitation) Act 2013</w:t>
      </w:r>
      <w:r>
        <w:t xml:space="preserve"> Part 2 applies</w:t>
      </w:r>
      <w:bookmarkEnd w:id="18"/>
      <w:bookmarkEnd w:id="19"/>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6A inserted by No. 20 of 2013 s. 137.]</w:t>
      </w:r>
    </w:p>
    <w:p>
      <w:pPr>
        <w:pStyle w:val="Heading2"/>
      </w:pPr>
      <w:bookmarkStart w:id="20" w:name="_Toc405453107"/>
      <w:bookmarkStart w:id="21" w:name="_Toc413336832"/>
      <w:bookmarkStart w:id="22" w:name="_Toc413337108"/>
      <w:bookmarkStart w:id="23" w:name="_Toc413336922"/>
      <w:bookmarkStart w:id="24" w:name="_Toc422303175"/>
      <w:r>
        <w:rPr>
          <w:rStyle w:val="CharPartNo"/>
        </w:rPr>
        <w:t>Part 2</w:t>
      </w:r>
      <w:r>
        <w:rPr>
          <w:rStyle w:val="CharDivNo"/>
        </w:rPr>
        <w:t> </w:t>
      </w:r>
      <w:r>
        <w:t>—</w:t>
      </w:r>
      <w:r>
        <w:rPr>
          <w:rStyle w:val="CharDivText"/>
        </w:rPr>
        <w:t> </w:t>
      </w:r>
      <w:r>
        <w:rPr>
          <w:rStyle w:val="CharPartText"/>
        </w:rPr>
        <w:t>Objectives and principles</w:t>
      </w:r>
      <w:bookmarkEnd w:id="20"/>
      <w:bookmarkEnd w:id="21"/>
      <w:bookmarkEnd w:id="22"/>
      <w:bookmarkEnd w:id="23"/>
      <w:bookmarkEnd w:id="24"/>
      <w:r>
        <w:rPr>
          <w:rStyle w:val="CharPartText"/>
        </w:rPr>
        <w:t xml:space="preserve"> </w:t>
      </w:r>
    </w:p>
    <w:p>
      <w:pPr>
        <w:pStyle w:val="Heading5"/>
        <w:rPr>
          <w:snapToGrid w:val="0"/>
        </w:rPr>
      </w:pPr>
      <w:bookmarkStart w:id="25" w:name="_Toc405453108"/>
      <w:bookmarkStart w:id="26" w:name="_Toc422303176"/>
      <w:r>
        <w:rPr>
          <w:rStyle w:val="CharSectno"/>
        </w:rPr>
        <w:t>6</w:t>
      </w:r>
      <w:r>
        <w:rPr>
          <w:snapToGrid w:val="0"/>
        </w:rPr>
        <w:t>.</w:t>
      </w:r>
      <w:r>
        <w:rPr>
          <w:snapToGrid w:val="0"/>
        </w:rPr>
        <w:tab/>
        <w:t>Objectives</w:t>
      </w:r>
      <w:bookmarkEnd w:id="25"/>
      <w:bookmarkEnd w:id="26"/>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 and</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 and</w:t>
      </w:r>
    </w:p>
    <w:p>
      <w:pPr>
        <w:pStyle w:val="Indenta"/>
        <w:rPr>
          <w:snapToGrid w:val="0"/>
        </w:rPr>
      </w:pPr>
      <w:r>
        <w:rPr>
          <w:snapToGrid w:val="0"/>
        </w:rPr>
        <w:tab/>
        <w:t>(c)</w:t>
      </w:r>
      <w:r>
        <w:rPr>
          <w:snapToGrid w:val="0"/>
        </w:rPr>
        <w:tab/>
        <w:t>to ensure that the legal rights of young persons involved with the criminal justice system are observed; and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 and</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27" w:name="_Toc405453109"/>
      <w:bookmarkStart w:id="28" w:name="_Toc422303177"/>
      <w:r>
        <w:rPr>
          <w:rStyle w:val="CharSectno"/>
        </w:rPr>
        <w:t>7</w:t>
      </w:r>
      <w:r>
        <w:rPr>
          <w:snapToGrid w:val="0"/>
        </w:rPr>
        <w:t>.</w:t>
      </w:r>
      <w:r>
        <w:rPr>
          <w:snapToGrid w:val="0"/>
        </w:rPr>
        <w:tab/>
        <w:t>General principles of juvenile justice</w:t>
      </w:r>
      <w:bookmarkEnd w:id="27"/>
      <w:bookmarkEnd w:id="28"/>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 and</w:t>
      </w:r>
    </w:p>
    <w:p>
      <w:pPr>
        <w:pStyle w:val="Indenta"/>
        <w:keepLines/>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 and</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 and</w:t>
      </w:r>
    </w:p>
    <w:p>
      <w:pPr>
        <w:pStyle w:val="Indenta"/>
        <w:rPr>
          <w:snapToGrid w:val="0"/>
        </w:rPr>
      </w:pPr>
      <w:r>
        <w:rPr>
          <w:snapToGrid w:val="0"/>
        </w:rPr>
        <w:tab/>
        <w:t>(d)</w:t>
      </w:r>
      <w:r>
        <w:rPr>
          <w:snapToGrid w:val="0"/>
        </w:rPr>
        <w:tab/>
        <w:t>the community must be protected from illegal behaviour; and</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 and</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 and</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 and</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 and</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 and</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 and</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 and</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 and</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29" w:name="_Toc405453110"/>
      <w:bookmarkStart w:id="30" w:name="_Toc422303178"/>
      <w:r>
        <w:rPr>
          <w:rStyle w:val="CharSectno"/>
        </w:rPr>
        <w:t>8</w:t>
      </w:r>
      <w:r>
        <w:rPr>
          <w:snapToGrid w:val="0"/>
        </w:rPr>
        <w:t>.</w:t>
      </w:r>
      <w:r>
        <w:rPr>
          <w:snapToGrid w:val="0"/>
        </w:rPr>
        <w:tab/>
        <w:t>Responsible adults, role of</w:t>
      </w:r>
      <w:bookmarkEnd w:id="29"/>
      <w:bookmarkEnd w:id="30"/>
      <w:r>
        <w:rPr>
          <w:snapToGrid w:val="0"/>
        </w:rPr>
        <w:t xml:space="preserve"> </w:t>
      </w:r>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 and</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 and</w:t>
      </w:r>
    </w:p>
    <w:p>
      <w:pPr>
        <w:pStyle w:val="Indenta"/>
        <w:keepLines/>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31" w:name="_Toc405453111"/>
      <w:bookmarkStart w:id="32" w:name="_Toc413336836"/>
      <w:bookmarkStart w:id="33" w:name="_Toc413337112"/>
      <w:bookmarkStart w:id="34" w:name="_Toc413336928"/>
      <w:bookmarkStart w:id="35" w:name="_Toc422303179"/>
      <w:r>
        <w:rPr>
          <w:rStyle w:val="CharPartNo"/>
        </w:rPr>
        <w:t>Part 3</w:t>
      </w:r>
      <w:r>
        <w:t> — </w:t>
      </w:r>
      <w:r>
        <w:rPr>
          <w:rStyle w:val="CharPartText"/>
        </w:rPr>
        <w:t>Administration</w:t>
      </w:r>
      <w:bookmarkEnd w:id="31"/>
      <w:bookmarkEnd w:id="32"/>
      <w:bookmarkEnd w:id="33"/>
      <w:bookmarkEnd w:id="34"/>
      <w:bookmarkEnd w:id="35"/>
      <w:r>
        <w:rPr>
          <w:rStyle w:val="CharPartText"/>
        </w:rPr>
        <w:t xml:space="preserve"> </w:t>
      </w:r>
    </w:p>
    <w:p>
      <w:pPr>
        <w:pStyle w:val="Heading3"/>
      </w:pPr>
      <w:bookmarkStart w:id="36" w:name="_Toc405453112"/>
      <w:bookmarkStart w:id="37" w:name="_Toc413336837"/>
      <w:bookmarkStart w:id="38" w:name="_Toc413337113"/>
      <w:bookmarkStart w:id="39" w:name="_Toc413336930"/>
      <w:bookmarkStart w:id="40" w:name="_Toc422303180"/>
      <w:r>
        <w:rPr>
          <w:rStyle w:val="CharDivNo"/>
        </w:rPr>
        <w:t>Division 1</w:t>
      </w:r>
      <w:r>
        <w:t> — </w:t>
      </w:r>
      <w:r>
        <w:rPr>
          <w:rStyle w:val="CharDivText"/>
        </w:rPr>
        <w:t>General</w:t>
      </w:r>
      <w:bookmarkEnd w:id="36"/>
      <w:bookmarkEnd w:id="37"/>
      <w:bookmarkEnd w:id="38"/>
      <w:bookmarkEnd w:id="39"/>
      <w:bookmarkEnd w:id="40"/>
    </w:p>
    <w:p>
      <w:pPr>
        <w:pStyle w:val="Footnoteheading"/>
        <w:tabs>
          <w:tab w:val="left" w:pos="851"/>
        </w:tabs>
      </w:pPr>
      <w:r>
        <w:tab/>
        <w:t>[Heading inserted by No. 58 of 2004 s. 5.]</w:t>
      </w:r>
    </w:p>
    <w:p>
      <w:pPr>
        <w:pStyle w:val="Heading5"/>
        <w:rPr>
          <w:snapToGrid w:val="0"/>
        </w:rPr>
      </w:pPr>
      <w:bookmarkStart w:id="41" w:name="_Toc405453113"/>
      <w:bookmarkStart w:id="42" w:name="_Toc422303181"/>
      <w:r>
        <w:rPr>
          <w:rStyle w:val="CharSectno"/>
        </w:rPr>
        <w:t>9</w:t>
      </w:r>
      <w:r>
        <w:rPr>
          <w:snapToGrid w:val="0"/>
        </w:rPr>
        <w:t>.</w:t>
      </w:r>
      <w:r>
        <w:rPr>
          <w:snapToGrid w:val="0"/>
        </w:rPr>
        <w:tab/>
        <w:t>Chief executive officer, functions of</w:t>
      </w:r>
      <w:bookmarkEnd w:id="41"/>
      <w:bookmarkEnd w:id="42"/>
      <w:r>
        <w:rPr>
          <w:snapToGrid w:val="0"/>
        </w:rPr>
        <w:t xml:space="preserve"> </w:t>
      </w:r>
    </w:p>
    <w:p>
      <w:pPr>
        <w:pStyle w:val="Subsection"/>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rPr>
          <w:snapToGrid w:val="0"/>
        </w:rPr>
      </w:pPr>
      <w:bookmarkStart w:id="43" w:name="_Toc405453114"/>
      <w:bookmarkStart w:id="44" w:name="_Toc422303182"/>
      <w:r>
        <w:rPr>
          <w:rStyle w:val="CharSectno"/>
        </w:rPr>
        <w:t>10</w:t>
      </w:r>
      <w:r>
        <w:rPr>
          <w:snapToGrid w:val="0"/>
        </w:rPr>
        <w:t>.</w:t>
      </w:r>
      <w:r>
        <w:rPr>
          <w:snapToGrid w:val="0"/>
        </w:rPr>
        <w:tab/>
        <w:t>Chief executive officer may delegate</w:t>
      </w:r>
      <w:bookmarkEnd w:id="43"/>
      <w:bookmarkEnd w:id="44"/>
      <w:r>
        <w:rPr>
          <w:snapToGrid w:val="0"/>
        </w:rPr>
        <w:t xml:space="preserve"> </w:t>
      </w:r>
    </w:p>
    <w:p>
      <w:pPr>
        <w:pStyle w:val="Subsection"/>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pPr>
      <w:r>
        <w:tab/>
        <w:t>[Section 10. Modifications to be applied in order to give effect to Cross-border Justice Act 2008: section altered 1 Dec 2009. See endnote 1M.]</w:t>
      </w:r>
    </w:p>
    <w:p>
      <w:pPr>
        <w:pStyle w:val="Heading5"/>
        <w:rPr>
          <w:snapToGrid w:val="0"/>
        </w:rPr>
      </w:pPr>
      <w:bookmarkStart w:id="45" w:name="_Toc405453115"/>
      <w:bookmarkStart w:id="46" w:name="_Toc422303183"/>
      <w:r>
        <w:rPr>
          <w:rStyle w:val="CharSectno"/>
        </w:rPr>
        <w:t>11</w:t>
      </w:r>
      <w:r>
        <w:rPr>
          <w:snapToGrid w:val="0"/>
        </w:rPr>
        <w:t>.</w:t>
      </w:r>
      <w:r>
        <w:rPr>
          <w:snapToGrid w:val="0"/>
        </w:rPr>
        <w:tab/>
        <w:t>Officers and employees, appointment of</w:t>
      </w:r>
      <w:bookmarkEnd w:id="45"/>
      <w:bookmarkEnd w:id="46"/>
      <w:r>
        <w:rPr>
          <w:snapToGrid w:val="0"/>
        </w:rPr>
        <w:t xml:space="preserve"> </w:t>
      </w:r>
    </w:p>
    <w:p>
      <w:pPr>
        <w:pStyle w:val="Subsection"/>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 (</w:t>
      </w:r>
      <w:r>
        <w:rPr>
          <w:rStyle w:val="CharDefText"/>
        </w:rPr>
        <w:t>group workers</w:t>
      </w:r>
      <w:r>
        <w:t>);</w:t>
      </w:r>
      <w:r>
        <w:rPr>
          <w:b/>
        </w:rPr>
        <w:t xml:space="preserve"> </w:t>
      </w:r>
      <w:r>
        <w:t>and</w:t>
      </w:r>
    </w:p>
    <w:p>
      <w:pPr>
        <w:pStyle w:val="Indenta"/>
      </w:pPr>
      <w:r>
        <w:tab/>
        <w:t>(b)</w:t>
      </w:r>
      <w:r>
        <w:tab/>
        <w:t xml:space="preserve">officers and employees of particular classes as are prescribed by the regulations, </w:t>
      </w:r>
    </w:p>
    <w:p>
      <w:pPr>
        <w:pStyle w:val="Subsection"/>
      </w:pPr>
      <w:r>
        <w:tab/>
      </w:r>
      <w:r>
        <w:tab/>
        <w:t>and may terminate the appointment of those persons in the prescribed circumstances.</w:t>
      </w:r>
    </w:p>
    <w:p>
      <w:pPr>
        <w:pStyle w:val="Subsection"/>
      </w:pPr>
      <w:r>
        <w:tab/>
        <w:t>(1b)</w:t>
      </w:r>
      <w:r>
        <w:tab/>
        <w:t xml:space="preserve">The custodial officers appointed under subsection (1a)(a) — </w:t>
      </w:r>
    </w:p>
    <w:p>
      <w:pPr>
        <w:pStyle w:val="Indenta"/>
        <w:spacing w:before="100"/>
      </w:pPr>
      <w:r>
        <w:tab/>
        <w:t>(a)</w:t>
      </w:r>
      <w:r>
        <w:tab/>
        <w:t>may be subject to employment conditions set out in an award or industrial agreement; and</w:t>
      </w:r>
    </w:p>
    <w:p>
      <w:pPr>
        <w:pStyle w:val="Indenta"/>
        <w:spacing w:before="100"/>
      </w:pPr>
      <w:r>
        <w:tab/>
        <w:t>(b)</w:t>
      </w:r>
      <w:r>
        <w:tab/>
        <w:t>in prescribed circumstances, may be subject to such disciplinary procedures as are set out in the regulations.</w:t>
      </w:r>
    </w:p>
    <w:p>
      <w:pPr>
        <w:pStyle w:val="Subsection"/>
        <w:spacing w:before="180"/>
      </w:pPr>
      <w:r>
        <w:tab/>
        <w:t>(2)</w:t>
      </w:r>
      <w:r>
        <w:tab/>
        <w:t xml:space="preserve">The officers and employees appointed under subsection (1a)(b) — </w:t>
      </w:r>
    </w:p>
    <w:p>
      <w:pPr>
        <w:pStyle w:val="Indenta"/>
        <w:spacing w:before="100"/>
      </w:pPr>
      <w:r>
        <w:tab/>
        <w:t>(a)</w:t>
      </w:r>
      <w:r>
        <w:tab/>
        <w:t>are to have such functions as are given to them under the regulations; and</w:t>
      </w:r>
    </w:p>
    <w:p>
      <w:pPr>
        <w:pStyle w:val="Indenta"/>
        <w:spacing w:before="100"/>
      </w:pPr>
      <w:r>
        <w:tab/>
        <w:t>(b)</w:t>
      </w:r>
      <w:r>
        <w:tab/>
        <w:t>may be subject to employment conditions set out in an award or industrial agreement; and</w:t>
      </w:r>
    </w:p>
    <w:p>
      <w:pPr>
        <w:pStyle w:val="Indenta"/>
        <w:spacing w:before="100"/>
      </w:pPr>
      <w:r>
        <w:tab/>
        <w:t>(c)</w:t>
      </w:r>
      <w:r>
        <w:tab/>
        <w:t>in prescribed circumstances, may be subject to such disciplinary procedures as are set out in the regulations.</w:t>
      </w:r>
    </w:p>
    <w:p>
      <w:pPr>
        <w:pStyle w:val="Subsection"/>
        <w:spacing w:before="180"/>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ind w:left="890" w:hanging="890"/>
      </w:pPr>
      <w:r>
        <w:tab/>
        <w:t>[Section 11 amended by No. 58 of 2004 s. 6(1) and (2).]</w:t>
      </w:r>
    </w:p>
    <w:p>
      <w:pPr>
        <w:pStyle w:val="Ednotesection"/>
        <w:spacing w:before="240"/>
        <w:ind w:left="890" w:hanging="890"/>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spacing w:before="240"/>
      </w:pPr>
      <w:bookmarkStart w:id="47" w:name="_Toc405453116"/>
      <w:bookmarkStart w:id="48" w:name="_Toc422303184"/>
      <w:r>
        <w:rPr>
          <w:rStyle w:val="CharSectno"/>
        </w:rPr>
        <w:t>11A</w:t>
      </w:r>
      <w:r>
        <w:t>.</w:t>
      </w:r>
      <w:r>
        <w:tab/>
        <w:t>Duties of all officers and employees</w:t>
      </w:r>
      <w:bookmarkEnd w:id="47"/>
      <w:bookmarkEnd w:id="48"/>
      <w:r>
        <w:t xml:space="preserve"> </w:t>
      </w:r>
    </w:p>
    <w:p>
      <w:pPr>
        <w:pStyle w:val="Subsection"/>
        <w:spacing w:before="180"/>
      </w:pPr>
      <w:r>
        <w:tab/>
      </w:r>
      <w:r>
        <w:tab/>
        <w:t xml:space="preserve">Every officer, person or employee appointed under section 11 — </w:t>
      </w:r>
    </w:p>
    <w:p>
      <w:pPr>
        <w:pStyle w:val="Indenta"/>
        <w:spacing w:before="100"/>
      </w:pPr>
      <w:r>
        <w:tab/>
        <w:t>(a)</w:t>
      </w:r>
      <w:r>
        <w:tab/>
        <w:t>must observe all rules made under this Act; and</w:t>
      </w:r>
    </w:p>
    <w:p>
      <w:pPr>
        <w:pStyle w:val="Indenta"/>
        <w:spacing w:before="100"/>
      </w:pPr>
      <w:r>
        <w:tab/>
        <w:t>(b)</w:t>
      </w:r>
      <w:r>
        <w:tab/>
        <w:t>must make such returns and reports to the chief executive officer as the chief executive officer may from time to time direct; and</w:t>
      </w:r>
    </w:p>
    <w:p>
      <w:pPr>
        <w:pStyle w:val="Indenta"/>
        <w:keepNext/>
        <w:spacing w:before="100"/>
      </w:pPr>
      <w:r>
        <w:tab/>
        <w:t>(c)</w:t>
      </w:r>
      <w:r>
        <w:tab/>
        <w:t>must make any records relating to any young offender available, upon request of the chief executive officer, to the chief executive officer or a delegate of the chief executive officer.</w:t>
      </w:r>
    </w:p>
    <w:p>
      <w:pPr>
        <w:pStyle w:val="Footnotesection"/>
        <w:ind w:left="890" w:hanging="890"/>
      </w:pPr>
      <w:r>
        <w:tab/>
        <w:t>[Section 11A inserted by No. 58 of 2004 s. 7.]</w:t>
      </w:r>
    </w:p>
    <w:p>
      <w:pPr>
        <w:pStyle w:val="Footnotesection"/>
        <w:ind w:left="890" w:hanging="890"/>
      </w:pPr>
      <w:r>
        <w:tab/>
        <w:t>[Section 11A. Modifications to be applied in order to give effect to Cross-border Justice Act 2008: section altered 1 Dec 2009. See endnote 1M.]</w:t>
      </w:r>
    </w:p>
    <w:p>
      <w:pPr>
        <w:pStyle w:val="Heading5"/>
      </w:pPr>
      <w:bookmarkStart w:id="49" w:name="_Toc405453117"/>
      <w:bookmarkStart w:id="50" w:name="_Toc422303185"/>
      <w:r>
        <w:rPr>
          <w:rStyle w:val="CharSectno"/>
        </w:rPr>
        <w:t>11B</w:t>
      </w:r>
      <w:r>
        <w:t>.</w:t>
      </w:r>
      <w:r>
        <w:tab/>
        <w:t>Powers and duties of custodial staff</w:t>
      </w:r>
      <w:bookmarkEnd w:id="49"/>
      <w:bookmarkEnd w:id="50"/>
      <w:r>
        <w:t xml:space="preserve"> </w:t>
      </w:r>
    </w:p>
    <w:p>
      <w:pPr>
        <w:pStyle w:val="Subsection"/>
      </w:pPr>
      <w:r>
        <w:tab/>
      </w:r>
      <w:r>
        <w:tab/>
        <w:t xml:space="preserve">A person who is appointed under section 11(1) or (1a) as a custodial officer — </w:t>
      </w:r>
    </w:p>
    <w:p>
      <w:pPr>
        <w:pStyle w:val="Indenta"/>
      </w:pPr>
      <w:r>
        <w:tab/>
        <w:t>(a)</w:t>
      </w:r>
      <w:r>
        <w:tab/>
        <w:t>has a responsibility to maintain the security of the facility or detention centre where he or she is employed; and</w:t>
      </w:r>
    </w:p>
    <w:p>
      <w:pPr>
        <w:pStyle w:val="Indenta"/>
      </w:pPr>
      <w:r>
        <w:tab/>
        <w:t>(b)</w:t>
      </w:r>
      <w:r>
        <w:tab/>
        <w:t>is liable to answer for the escape of a detainee placed in his or her charge or for whom when on duty he or she has a responsibility; and</w:t>
      </w:r>
    </w:p>
    <w:p>
      <w:pPr>
        <w:pStyle w:val="Indenta"/>
      </w:pPr>
      <w:r>
        <w:tab/>
        <w:t>(c)</w:t>
      </w:r>
      <w:r>
        <w:tab/>
        <w:t>must obey all lawful orders given to him or her by the officer under whose control or supervision he or she is placed; and</w:t>
      </w:r>
    </w:p>
    <w:p>
      <w:pPr>
        <w:pStyle w:val="Indenta"/>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w:t>
      </w:r>
    </w:p>
    <w:p>
      <w:pPr>
        <w:pStyle w:val="Heading5"/>
      </w:pPr>
      <w:bookmarkStart w:id="51" w:name="_Toc405453118"/>
      <w:bookmarkStart w:id="52" w:name="_Toc422303186"/>
      <w:r>
        <w:rPr>
          <w:rStyle w:val="CharSectno"/>
        </w:rPr>
        <w:t>11C</w:t>
      </w:r>
      <w:r>
        <w:t>.</w:t>
      </w:r>
      <w:r>
        <w:tab/>
        <w:t>Use of force</w:t>
      </w:r>
      <w:bookmarkEnd w:id="51"/>
      <w:bookmarkEnd w:id="52"/>
    </w:p>
    <w:p>
      <w:pPr>
        <w:pStyle w:val="Subsection"/>
      </w:pPr>
      <w:r>
        <w:tab/>
        <w:t>(1)</w:t>
      </w:r>
      <w:r>
        <w:tab/>
        <w:t>A person who is appointed under section 11(1) or (1a) as a custodial officer is authorised to use no more than prescribed force in the management, control and security of a facility or detention centre.</w:t>
      </w:r>
    </w:p>
    <w:p>
      <w:pPr>
        <w:pStyle w:val="Subsection"/>
      </w:pPr>
      <w:r>
        <w:tab/>
        <w:t>(2)</w:t>
      </w:r>
      <w:r>
        <w:tab/>
        <w:t>A person who is appointed under section 11(1) or (1a) as a custodial officer must not use force on a young offender unless that force is used in the prescribed circumstances.</w:t>
      </w:r>
    </w:p>
    <w:p>
      <w:pPr>
        <w:pStyle w:val="Footnotesection"/>
      </w:pPr>
      <w:r>
        <w:tab/>
        <w:t>[Section 11C inserted by No. 58 of 2004 s. 7.]</w:t>
      </w:r>
    </w:p>
    <w:p>
      <w:pPr>
        <w:pStyle w:val="Heading5"/>
      </w:pPr>
      <w:bookmarkStart w:id="53" w:name="_Toc405453119"/>
      <w:bookmarkStart w:id="54" w:name="_Toc422303187"/>
      <w:r>
        <w:rPr>
          <w:rStyle w:val="CharSectno"/>
        </w:rPr>
        <w:t>11D</w:t>
      </w:r>
      <w:r>
        <w:t>.</w:t>
      </w:r>
      <w:r>
        <w:tab/>
        <w:t>Use of restraints</w:t>
      </w:r>
      <w:bookmarkEnd w:id="53"/>
      <w:bookmarkEnd w:id="54"/>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 or</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55" w:name="_Toc405453120"/>
      <w:bookmarkStart w:id="56" w:name="_Toc422303188"/>
      <w:r>
        <w:rPr>
          <w:rStyle w:val="CharSectno"/>
        </w:rPr>
        <w:t>11E</w:t>
      </w:r>
      <w:r>
        <w:t>.</w:t>
      </w:r>
      <w:r>
        <w:tab/>
        <w:t>Assistance by prison officers</w:t>
      </w:r>
      <w:bookmarkEnd w:id="55"/>
      <w:bookmarkEnd w:id="56"/>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in addition to the powers and duties conferred and imposed on that prison officer by or under any other law.</w:t>
      </w:r>
    </w:p>
    <w:p>
      <w:pPr>
        <w:pStyle w:val="Subsection"/>
      </w:pPr>
      <w:r>
        <w:tab/>
        <w:t>(3)</w:t>
      </w:r>
      <w:r>
        <w:tab/>
        <w:t>A prison officer who is assisting may use such force as can be used by a custodial officer appointed under section 11(1) or (1a) and, with the approval of the chief executive officer, may use such control weapons as are necessary in the circumstances.</w:t>
      </w:r>
    </w:p>
    <w:p>
      <w:pPr>
        <w:pStyle w:val="Footnotesection"/>
      </w:pPr>
      <w:r>
        <w:tab/>
        <w:t>[Section 11E inserted by No. 58 of 2004 s. 7.]</w:t>
      </w:r>
    </w:p>
    <w:p>
      <w:pPr>
        <w:pStyle w:val="Heading5"/>
      </w:pPr>
      <w:bookmarkStart w:id="57" w:name="_Toc405453121"/>
      <w:bookmarkStart w:id="58" w:name="_Toc422303189"/>
      <w:r>
        <w:rPr>
          <w:rStyle w:val="CharSectno"/>
        </w:rPr>
        <w:t>11F</w:t>
      </w:r>
      <w:r>
        <w:t>.</w:t>
      </w:r>
      <w:r>
        <w:tab/>
        <w:t>Assistance by police officers</w:t>
      </w:r>
      <w:bookmarkEnd w:id="57"/>
      <w:bookmarkEnd w:id="58"/>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in addition to the powers and duties conferred and imposed on that police officer by or under any other law.</w:t>
      </w:r>
    </w:p>
    <w:p>
      <w:pPr>
        <w:pStyle w:val="Footnotesection"/>
      </w:pPr>
      <w:r>
        <w:tab/>
        <w:t>[Section 11F inserted by No. 58 of 2004 s. 7.]</w:t>
      </w:r>
    </w:p>
    <w:p>
      <w:pPr>
        <w:pStyle w:val="Heading5"/>
        <w:rPr>
          <w:snapToGrid w:val="0"/>
        </w:rPr>
      </w:pPr>
      <w:bookmarkStart w:id="59" w:name="_Toc405453122"/>
      <w:bookmarkStart w:id="60" w:name="_Toc422303190"/>
      <w:r>
        <w:rPr>
          <w:rStyle w:val="CharSectno"/>
        </w:rPr>
        <w:t>12</w:t>
      </w:r>
      <w:r>
        <w:rPr>
          <w:snapToGrid w:val="0"/>
        </w:rPr>
        <w:t>.</w:t>
      </w:r>
      <w:r>
        <w:rPr>
          <w:snapToGrid w:val="0"/>
        </w:rPr>
        <w:tab/>
        <w:t>Departmental and subsidised facilities, establishment of</w:t>
      </w:r>
      <w:bookmarkEnd w:id="59"/>
      <w:bookmarkEnd w:id="60"/>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61" w:name="_Toc405453123"/>
      <w:bookmarkStart w:id="62" w:name="_Toc422303191"/>
      <w:r>
        <w:rPr>
          <w:rStyle w:val="CharSectno"/>
        </w:rPr>
        <w:t>13</w:t>
      </w:r>
      <w:r>
        <w:rPr>
          <w:snapToGrid w:val="0"/>
        </w:rPr>
        <w:t>.</w:t>
      </w:r>
      <w:r>
        <w:rPr>
          <w:snapToGrid w:val="0"/>
        </w:rPr>
        <w:tab/>
        <w:t>Detention centres, establishing</w:t>
      </w:r>
      <w:bookmarkEnd w:id="61"/>
      <w:bookmarkEnd w:id="62"/>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63" w:name="_Toc405453124"/>
      <w:bookmarkStart w:id="64" w:name="_Toc422303192"/>
      <w:r>
        <w:rPr>
          <w:rStyle w:val="CharSectno"/>
        </w:rPr>
        <w:t>14</w:t>
      </w:r>
      <w:r>
        <w:rPr>
          <w:snapToGrid w:val="0"/>
        </w:rPr>
        <w:t>.</w:t>
      </w:r>
      <w:r>
        <w:rPr>
          <w:snapToGrid w:val="0"/>
        </w:rPr>
        <w:tab/>
        <w:t>Records of young offenders, duty to keep</w:t>
      </w:r>
      <w:bookmarkEnd w:id="63"/>
      <w:bookmarkEnd w:id="64"/>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 and</w:t>
      </w:r>
    </w:p>
    <w:p>
      <w:pPr>
        <w:pStyle w:val="Indenta"/>
        <w:rPr>
          <w:snapToGrid w:val="0"/>
        </w:rPr>
      </w:pPr>
      <w:r>
        <w:rPr>
          <w:snapToGrid w:val="0"/>
        </w:rPr>
        <w:tab/>
        <w:t>(b)</w:t>
      </w:r>
      <w:r>
        <w:rPr>
          <w:snapToGrid w:val="0"/>
        </w:rPr>
        <w:tab/>
        <w:t>details of any detention or any way in which the young person has been dealt with for an offence; and</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 and</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65" w:name="_Toc405453125"/>
      <w:bookmarkStart w:id="66" w:name="_Toc422303193"/>
      <w:r>
        <w:rPr>
          <w:rStyle w:val="CharSectno"/>
        </w:rPr>
        <w:t>15</w:t>
      </w:r>
      <w:r>
        <w:rPr>
          <w:snapToGrid w:val="0"/>
        </w:rPr>
        <w:t>.</w:t>
      </w:r>
      <w:r>
        <w:rPr>
          <w:snapToGrid w:val="0"/>
        </w:rPr>
        <w:tab/>
        <w:t>Records of young offenders, access to</w:t>
      </w:r>
      <w:bookmarkEnd w:id="65"/>
      <w:bookmarkEnd w:id="66"/>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 or</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ind w:left="890" w:hanging="890"/>
      </w:pPr>
      <w:r>
        <w:tab/>
        <w:t>[Section 15 amended by No. 47 of 1999 s. 41.]</w:t>
      </w:r>
    </w:p>
    <w:p>
      <w:pPr>
        <w:pStyle w:val="Heading5"/>
      </w:pPr>
      <w:bookmarkStart w:id="67" w:name="_Toc405453126"/>
      <w:bookmarkStart w:id="68" w:name="_Toc422303194"/>
      <w:r>
        <w:rPr>
          <w:rStyle w:val="CharSectno"/>
        </w:rPr>
        <w:t>15A</w:t>
      </w:r>
      <w:r>
        <w:t>.</w:t>
      </w:r>
      <w:r>
        <w:tab/>
        <w:t>Disclosure of personal information relating to young offenders</w:t>
      </w:r>
      <w:bookmarkEnd w:id="67"/>
      <w:bookmarkEnd w:id="68"/>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 or</w:t>
      </w:r>
    </w:p>
    <w:p>
      <w:pPr>
        <w:pStyle w:val="Indenta"/>
      </w:pPr>
      <w:r>
        <w:tab/>
        <w:t>(b)</w:t>
      </w:r>
      <w:r>
        <w:tab/>
        <w:t>to assist in the placement of the young person; or</w:t>
      </w:r>
    </w:p>
    <w:p>
      <w:pPr>
        <w:pStyle w:val="Indenta"/>
      </w:pPr>
      <w:r>
        <w:tab/>
        <w:t>(c)</w:t>
      </w:r>
      <w:r>
        <w:tab/>
        <w:t>to protect the physical safety of a child, whether or not in the care of the welfare agency; or</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Subsection"/>
      </w:pPr>
      <w:r>
        <w:tab/>
        <w:t>(3a)</w:t>
      </w:r>
      <w:r>
        <w:tab/>
        <w:t xml:space="preserve">Upon being requested to do so by an authorised officer, the chief executive officer is to provide — </w:t>
      </w:r>
    </w:p>
    <w:p>
      <w:pPr>
        <w:pStyle w:val="Indenta"/>
      </w:pPr>
      <w:r>
        <w:tab/>
        <w:t>(a)</w:t>
      </w:r>
      <w:r>
        <w:tab/>
        <w:t>the officer with information relating to a child who is, or was, a young offender or detainee, for the purposes of proceedings for or in respect of a responsible parenting order in respect of the child; or</w:t>
      </w:r>
    </w:p>
    <w:p>
      <w:pPr>
        <w:pStyle w:val="Indenta"/>
      </w:pPr>
      <w:r>
        <w:tab/>
        <w:t>(b)</w:t>
      </w:r>
      <w:r>
        <w:tab/>
        <w:t>an appointed person or body with information relating to a person who is, or was, a young offender or detainee, for the purposes of section 39 of that Act.</w:t>
      </w:r>
    </w:p>
    <w:p>
      <w:pPr>
        <w:pStyle w:val="Subsection"/>
      </w:pPr>
      <w:r>
        <w:tab/>
        <w:t>(3b)</w:t>
      </w:r>
      <w:r>
        <w:tab/>
        <w:t>The information provided under subsection (3a)(b) must be in a form that would not reveal the identity of the person.</w:t>
      </w:r>
    </w:p>
    <w:p>
      <w:pPr>
        <w:pStyle w:val="Subsection"/>
      </w:pPr>
      <w:r>
        <w:tab/>
        <w:t>(3c)</w:t>
      </w:r>
      <w:r>
        <w:tab/>
        <w:t xml:space="preserve">In subsection (3a) — </w:t>
      </w:r>
    </w:p>
    <w:p>
      <w:pPr>
        <w:pStyle w:val="Defstart"/>
      </w:pPr>
      <w:r>
        <w:rPr>
          <w:b/>
        </w:rPr>
        <w:tab/>
      </w:r>
      <w:r>
        <w:rPr>
          <w:rStyle w:val="CharDefText"/>
        </w:rPr>
        <w:t>appointed person or body</w:t>
      </w:r>
      <w:r>
        <w:t xml:space="preserve"> means a person or body appointed under section 39(1) of the </w:t>
      </w:r>
      <w:r>
        <w:rPr>
          <w:i/>
          <w:iCs/>
        </w:rPr>
        <w:t>Parental Support and Responsibility Act 2008</w:t>
      </w:r>
      <w:r>
        <w:t>;</w:t>
      </w:r>
    </w:p>
    <w:p>
      <w:pPr>
        <w:pStyle w:val="Defstart"/>
      </w:pPr>
      <w:r>
        <w:rPr>
          <w:b/>
        </w:rPr>
        <w:tab/>
      </w:r>
      <w:r>
        <w:rPr>
          <w:rStyle w:val="CharDefText"/>
        </w:rPr>
        <w:t>authorised officer</w:t>
      </w:r>
      <w:r>
        <w:t xml:space="preserve"> has the meaning given to that term in section 3 of the </w:t>
      </w:r>
      <w:r>
        <w:rPr>
          <w:i/>
          <w:iCs/>
        </w:rPr>
        <w:t>Parental Support and Responsibility Act 2008</w:t>
      </w:r>
      <w:r>
        <w:t>;</w:t>
      </w:r>
    </w:p>
    <w:p>
      <w:pPr>
        <w:pStyle w:val="Defstart"/>
      </w:pPr>
      <w:r>
        <w:rPr>
          <w:b/>
        </w:rPr>
        <w:tab/>
      </w:r>
      <w:r>
        <w:rPr>
          <w:rStyle w:val="CharDefText"/>
        </w:rPr>
        <w:t>child</w:t>
      </w:r>
      <w:r>
        <w:t xml:space="preserve"> means a person who is under 15 years of age;</w:t>
      </w:r>
    </w:p>
    <w:p>
      <w:pPr>
        <w:pStyle w:val="Defstart"/>
      </w:pPr>
      <w:r>
        <w:rPr>
          <w:b/>
        </w:rPr>
        <w:tab/>
      </w:r>
      <w:r>
        <w:rPr>
          <w:rStyle w:val="CharDefText"/>
        </w:rPr>
        <w:t>proceedings for or in respect of a responsible parenting order</w:t>
      </w:r>
      <w:r>
        <w:t xml:space="preserve"> has the meaning given to </w:t>
      </w:r>
      <w:r>
        <w:rPr>
          <w:b/>
          <w:i/>
        </w:rPr>
        <w:t>proceedings for or in respect of an order</w:t>
      </w:r>
      <w:r>
        <w:t xml:space="preserve"> in section 26 of the </w:t>
      </w:r>
      <w:r>
        <w:rPr>
          <w:i/>
          <w:iCs/>
        </w:rPr>
        <w:t>Parental Support and Responsibility Act 2008</w:t>
      </w:r>
      <w:r>
        <w:t>.</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76; No. 14 of 2008 s. 44.]</w:t>
      </w:r>
    </w:p>
    <w:p>
      <w:pPr>
        <w:pStyle w:val="Heading5"/>
      </w:pPr>
      <w:bookmarkStart w:id="69" w:name="_Toc405453127"/>
      <w:bookmarkStart w:id="70" w:name="_Toc422303195"/>
      <w:r>
        <w:rPr>
          <w:rStyle w:val="CharSectno"/>
        </w:rPr>
        <w:t>16</w:t>
      </w:r>
      <w:r>
        <w:t>.</w:t>
      </w:r>
      <w:r>
        <w:tab/>
        <w:t>Exchange of information</w:t>
      </w:r>
      <w:bookmarkEnd w:id="69"/>
      <w:bookmarkEnd w:id="70"/>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keepNext/>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 amended by No. 26 of 2011 s. 8; No. 4 of 2015 s. 89.]</w:t>
      </w:r>
    </w:p>
    <w:p>
      <w:pPr>
        <w:pStyle w:val="Heading5"/>
      </w:pPr>
      <w:bookmarkStart w:id="71" w:name="_Toc405453128"/>
      <w:bookmarkStart w:id="72" w:name="_Toc422303196"/>
      <w:r>
        <w:rPr>
          <w:rStyle w:val="CharSectno"/>
        </w:rPr>
        <w:t>16A</w:t>
      </w:r>
      <w:r>
        <w:t>.</w:t>
      </w:r>
      <w:r>
        <w:tab/>
        <w:t>Disclosure authorised</w:t>
      </w:r>
      <w:bookmarkEnd w:id="71"/>
      <w:bookmarkEnd w:id="72"/>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73" w:name="_Toc405453129"/>
      <w:bookmarkStart w:id="74" w:name="_Toc422303197"/>
      <w:r>
        <w:rPr>
          <w:rStyle w:val="CharSectno"/>
        </w:rPr>
        <w:t>17</w:t>
      </w:r>
      <w:r>
        <w:rPr>
          <w:snapToGrid w:val="0"/>
        </w:rPr>
        <w:t>.</w:t>
      </w:r>
      <w:r>
        <w:rPr>
          <w:snapToGrid w:val="0"/>
        </w:rPr>
        <w:tab/>
        <w:t>Confidentiality</w:t>
      </w:r>
      <w:bookmarkEnd w:id="73"/>
      <w:bookmarkEnd w:id="74"/>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spacing w:before="100"/>
        <w:ind w:left="890" w:hanging="890"/>
      </w:pPr>
      <w:r>
        <w:tab/>
        <w:t>[Section 17 amended by No. 58 of 2004 s. 10.]</w:t>
      </w:r>
    </w:p>
    <w:p>
      <w:pPr>
        <w:pStyle w:val="Heading3"/>
        <w:spacing w:before="220"/>
      </w:pPr>
      <w:bookmarkStart w:id="75" w:name="_Toc405453130"/>
      <w:bookmarkStart w:id="76" w:name="_Toc413336855"/>
      <w:bookmarkStart w:id="77" w:name="_Toc413337131"/>
      <w:bookmarkStart w:id="78" w:name="_Toc413336950"/>
      <w:bookmarkStart w:id="79" w:name="_Toc422303198"/>
      <w:r>
        <w:rPr>
          <w:rStyle w:val="CharDivNo"/>
        </w:rPr>
        <w:t>Division 2</w:t>
      </w:r>
      <w:r>
        <w:t xml:space="preserve"> — </w:t>
      </w:r>
      <w:r>
        <w:rPr>
          <w:rStyle w:val="CharDivText"/>
        </w:rPr>
        <w:t>Arrangements with the council of an Aboriginal community</w:t>
      </w:r>
      <w:bookmarkEnd w:id="75"/>
      <w:bookmarkEnd w:id="76"/>
      <w:bookmarkEnd w:id="77"/>
      <w:bookmarkEnd w:id="78"/>
      <w:bookmarkEnd w:id="79"/>
    </w:p>
    <w:p>
      <w:pPr>
        <w:pStyle w:val="Footnoteheading"/>
        <w:tabs>
          <w:tab w:val="left" w:pos="851"/>
        </w:tabs>
      </w:pPr>
      <w:r>
        <w:tab/>
        <w:t>[Heading inserted by No. 58 of 2004 s. 11.]</w:t>
      </w:r>
    </w:p>
    <w:p>
      <w:pPr>
        <w:pStyle w:val="Heading5"/>
        <w:spacing w:before="180"/>
      </w:pPr>
      <w:bookmarkStart w:id="80" w:name="_Toc405453131"/>
      <w:bookmarkStart w:id="81" w:name="_Toc422303199"/>
      <w:r>
        <w:rPr>
          <w:rStyle w:val="CharSectno"/>
        </w:rPr>
        <w:t>17A</w:t>
      </w:r>
      <w:r>
        <w:t>.</w:t>
      </w:r>
      <w:r>
        <w:tab/>
        <w:t>Terms used</w:t>
      </w:r>
      <w:bookmarkEnd w:id="80"/>
      <w:bookmarkEnd w:id="81"/>
    </w:p>
    <w:p>
      <w:pPr>
        <w:pStyle w:val="Subsection"/>
      </w:pPr>
      <w:r>
        <w:tab/>
      </w:r>
      <w:r>
        <w:tab/>
        <w:t>In this Division, unless the contrary intention appears —</w:t>
      </w:r>
    </w:p>
    <w:p>
      <w:pPr>
        <w:pStyle w:val="Defstart"/>
      </w:pPr>
      <w:r>
        <w:tab/>
      </w:r>
      <w:r>
        <w:rPr>
          <w:rStyle w:val="CharDefText"/>
        </w:rPr>
        <w:t>council</w:t>
      </w:r>
      <w:r>
        <w:t xml:space="preserve"> has the meaning given to that term in section 3 of the </w:t>
      </w:r>
      <w:r>
        <w:rPr>
          <w:i/>
        </w:rPr>
        <w:t>Aboriginal Communities Act 1979</w:t>
      </w:r>
      <w:r>
        <w:t>;</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r>
        <w:tab/>
      </w:r>
    </w:p>
    <w:p>
      <w:pPr>
        <w:pStyle w:val="Footnotesection"/>
      </w:pPr>
      <w:r>
        <w:tab/>
        <w:t>[Section 17A inserted by No. 58 of 2004 s. 11.]</w:t>
      </w:r>
    </w:p>
    <w:p>
      <w:pPr>
        <w:pStyle w:val="Footnotesection"/>
      </w:pPr>
      <w:r>
        <w:tab/>
        <w:t>[Section 17A. Modifications to be applied in order to give effect to Cross-border Justice Act 2008: section altered 1 Dec 2009. See endnote 1M.]</w:t>
      </w:r>
    </w:p>
    <w:p>
      <w:pPr>
        <w:pStyle w:val="Heading5"/>
        <w:spacing w:before="180"/>
      </w:pPr>
      <w:bookmarkStart w:id="82" w:name="_Toc405453132"/>
      <w:bookmarkStart w:id="83" w:name="_Toc422303200"/>
      <w:r>
        <w:rPr>
          <w:rStyle w:val="CharSectno"/>
        </w:rPr>
        <w:t>17B</w:t>
      </w:r>
      <w:r>
        <w:t>.</w:t>
      </w:r>
      <w:r>
        <w:tab/>
        <w:t>Community supervision agreement</w:t>
      </w:r>
      <w:bookmarkEnd w:id="82"/>
      <w:bookmarkEnd w:id="83"/>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 or</w:t>
      </w:r>
    </w:p>
    <w:p>
      <w:pPr>
        <w:pStyle w:val="Indenta"/>
      </w:pPr>
      <w:r>
        <w:tab/>
        <w:t>(b)</w:t>
      </w:r>
      <w:r>
        <w:tab/>
        <w:t xml:space="preserve">a youth community based order; or </w:t>
      </w:r>
    </w:p>
    <w:p>
      <w:pPr>
        <w:pStyle w:val="Indenta"/>
      </w:pPr>
      <w:r>
        <w:tab/>
        <w:t>(c)</w:t>
      </w:r>
      <w:r>
        <w:tab/>
        <w:t>an intensive youth supervision order; or</w:t>
      </w:r>
    </w:p>
    <w:p>
      <w:pPr>
        <w:pStyle w:val="Indenta"/>
      </w:pPr>
      <w:r>
        <w:tab/>
        <w:t>(d)</w:t>
      </w:r>
      <w:r>
        <w:tab/>
        <w:t>a conditional release order; or</w:t>
      </w:r>
    </w:p>
    <w:p>
      <w:pPr>
        <w:pStyle w:val="Indenta"/>
      </w:pPr>
      <w:r>
        <w:tab/>
        <w:t>(e)</w:t>
      </w:r>
      <w:r>
        <w:tab/>
        <w:t>a supervised release order.</w:t>
      </w:r>
    </w:p>
    <w:p>
      <w:pPr>
        <w:pStyle w:val="Footnotesection"/>
        <w:spacing w:before="100"/>
        <w:ind w:left="890" w:hanging="890"/>
      </w:pPr>
      <w:r>
        <w:tab/>
        <w:t>[Section 17B inserted by No. 58 of 2004 s. 11.]</w:t>
      </w:r>
    </w:p>
    <w:p>
      <w:pPr>
        <w:pStyle w:val="Heading5"/>
        <w:spacing w:before="180"/>
      </w:pPr>
      <w:bookmarkStart w:id="84" w:name="_Toc405453133"/>
      <w:bookmarkStart w:id="85" w:name="_Toc422303201"/>
      <w:r>
        <w:rPr>
          <w:rStyle w:val="CharSectno"/>
        </w:rPr>
        <w:t>17C</w:t>
      </w:r>
      <w:r>
        <w:t>.</w:t>
      </w:r>
      <w:r>
        <w:tab/>
        <w:t>Appointment of monitor</w:t>
      </w:r>
      <w:bookmarkEnd w:id="84"/>
      <w:bookmarkEnd w:id="85"/>
    </w:p>
    <w:p>
      <w:pPr>
        <w:pStyle w:val="Subsection"/>
        <w:spacing w:before="140"/>
      </w:pPr>
      <w:r>
        <w:tab/>
        <w:t>(1)</w:t>
      </w:r>
      <w:r>
        <w:tab/>
        <w:t>The chief executive officer may appoint as a monitor of a young person who has an aboriginal background, a person who is appointed from a panel of persons nominated under subsection (2).</w:t>
      </w:r>
    </w:p>
    <w:p>
      <w:pPr>
        <w:pStyle w:val="Subsection"/>
        <w:spacing w:before="140"/>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spacing w:before="140"/>
      </w:pPr>
      <w:r>
        <w:tab/>
        <w:t>(3)</w:t>
      </w:r>
      <w:r>
        <w:tab/>
        <w:t>The appointment of a person as a monitor may be made on a paid or honorary basis.</w:t>
      </w:r>
    </w:p>
    <w:p>
      <w:pPr>
        <w:pStyle w:val="Subsection"/>
        <w:spacing w:before="140"/>
      </w:pPr>
      <w:r>
        <w:tab/>
        <w:t>(4)</w:t>
      </w:r>
      <w:r>
        <w:tab/>
        <w:t>The chief executive officer may at any time cancel the appointment of a monitor.</w:t>
      </w:r>
    </w:p>
    <w:p>
      <w:pPr>
        <w:pStyle w:val="Footnotesection"/>
        <w:spacing w:before="100"/>
        <w:ind w:left="890" w:hanging="890"/>
      </w:pPr>
      <w:r>
        <w:tab/>
        <w:t>[Section 17C inserted by No. 58 of 2004 s. 11.]</w:t>
      </w:r>
    </w:p>
    <w:p>
      <w:pPr>
        <w:pStyle w:val="Heading5"/>
        <w:spacing w:before="180"/>
      </w:pPr>
      <w:bookmarkStart w:id="86" w:name="_Toc405453134"/>
      <w:bookmarkStart w:id="87" w:name="_Toc422303202"/>
      <w:r>
        <w:rPr>
          <w:rStyle w:val="CharSectno"/>
        </w:rPr>
        <w:t>17D</w:t>
      </w:r>
      <w:r>
        <w:t>.</w:t>
      </w:r>
      <w:r>
        <w:tab/>
        <w:t>Compensation for injury</w:t>
      </w:r>
      <w:bookmarkEnd w:id="86"/>
      <w:bookmarkEnd w:id="87"/>
    </w:p>
    <w:p>
      <w:pPr>
        <w:pStyle w:val="Subsection"/>
        <w:spacing w:before="120"/>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keepLines w:val="0"/>
        <w:spacing w:before="80"/>
        <w:ind w:left="890" w:hanging="890"/>
      </w:pPr>
      <w:r>
        <w:tab/>
        <w:t>[Section 17D inserted by No. 58 of 2004 s. 11.]</w:t>
      </w:r>
    </w:p>
    <w:p>
      <w:pPr>
        <w:pStyle w:val="Heading2"/>
      </w:pPr>
      <w:bookmarkStart w:id="88" w:name="_Toc405453135"/>
      <w:bookmarkStart w:id="89" w:name="_Toc413336860"/>
      <w:bookmarkStart w:id="90" w:name="_Toc413337136"/>
      <w:bookmarkStart w:id="91" w:name="_Toc413336957"/>
      <w:bookmarkStart w:id="92" w:name="_Toc422303203"/>
      <w:r>
        <w:rPr>
          <w:rStyle w:val="CharPartNo"/>
        </w:rPr>
        <w:t>Part 4</w:t>
      </w:r>
      <w:r>
        <w:rPr>
          <w:rStyle w:val="CharDivNo"/>
        </w:rPr>
        <w:t> </w:t>
      </w:r>
      <w:r>
        <w:t>—</w:t>
      </w:r>
      <w:r>
        <w:rPr>
          <w:rStyle w:val="CharDivText"/>
        </w:rPr>
        <w:t> </w:t>
      </w:r>
      <w:r>
        <w:rPr>
          <w:rStyle w:val="CharPartText"/>
        </w:rPr>
        <w:t>Young persons in custody before being dealt with for an offence</w:t>
      </w:r>
      <w:bookmarkEnd w:id="88"/>
      <w:bookmarkEnd w:id="89"/>
      <w:bookmarkEnd w:id="90"/>
      <w:bookmarkEnd w:id="91"/>
      <w:bookmarkEnd w:id="92"/>
      <w:r>
        <w:rPr>
          <w:rStyle w:val="CharPartText"/>
        </w:rPr>
        <w:t xml:space="preserve"> </w:t>
      </w:r>
    </w:p>
    <w:p>
      <w:pPr>
        <w:pStyle w:val="Ednotesection"/>
      </w:pPr>
      <w:r>
        <w:t>[</w:t>
      </w:r>
      <w:r>
        <w:rPr>
          <w:b/>
        </w:rPr>
        <w:t>18.</w:t>
      </w:r>
      <w:r>
        <w:tab/>
        <w:t xml:space="preserve">Deleted by No. 50 of 2000 s. 30.] </w:t>
      </w:r>
    </w:p>
    <w:p>
      <w:pPr>
        <w:pStyle w:val="Heading5"/>
        <w:rPr>
          <w:snapToGrid w:val="0"/>
        </w:rPr>
      </w:pPr>
      <w:bookmarkStart w:id="93" w:name="_Toc405453136"/>
      <w:bookmarkStart w:id="94" w:name="_Toc422303204"/>
      <w:r>
        <w:rPr>
          <w:rStyle w:val="CharSectno"/>
        </w:rPr>
        <w:t>19</w:t>
      </w:r>
      <w:r>
        <w:rPr>
          <w:snapToGrid w:val="0"/>
        </w:rPr>
        <w:t>.</w:t>
      </w:r>
      <w:r>
        <w:rPr>
          <w:snapToGrid w:val="0"/>
        </w:rPr>
        <w:tab/>
        <w:t>Detention of young offenders apprehended by police</w:t>
      </w:r>
      <w:bookmarkEnd w:id="93"/>
      <w:bookmarkEnd w:id="94"/>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95" w:name="_Toc405453137"/>
      <w:bookmarkStart w:id="96" w:name="_Toc422303205"/>
      <w:r>
        <w:rPr>
          <w:rStyle w:val="CharSectno"/>
        </w:rPr>
        <w:t>20</w:t>
      </w:r>
      <w:r>
        <w:rPr>
          <w:snapToGrid w:val="0"/>
        </w:rPr>
        <w:t>.</w:t>
      </w:r>
      <w:r>
        <w:rPr>
          <w:snapToGrid w:val="0"/>
        </w:rPr>
        <w:tab/>
        <w:t>Responsible adult to be notified</w:t>
      </w:r>
      <w:bookmarkEnd w:id="95"/>
      <w:bookmarkEnd w:id="96"/>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 and</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97" w:name="_Toc405453138"/>
      <w:bookmarkStart w:id="98" w:name="_Toc422303206"/>
      <w:r>
        <w:rPr>
          <w:rStyle w:val="CharSectno"/>
        </w:rPr>
        <w:t>21</w:t>
      </w:r>
      <w:r>
        <w:rPr>
          <w:snapToGrid w:val="0"/>
        </w:rPr>
        <w:t>.</w:t>
      </w:r>
      <w:r>
        <w:rPr>
          <w:snapToGrid w:val="0"/>
        </w:rPr>
        <w:tab/>
        <w:t>Young person in custody awaiting trial</w:t>
      </w:r>
      <w:bookmarkEnd w:id="97"/>
      <w:bookmarkEnd w:id="98"/>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99" w:name="_Toc405453139"/>
      <w:bookmarkStart w:id="100" w:name="_Toc413336864"/>
      <w:bookmarkStart w:id="101" w:name="_Toc413337140"/>
      <w:bookmarkStart w:id="102" w:name="_Toc413336962"/>
      <w:bookmarkStart w:id="103" w:name="_Toc422303207"/>
      <w:r>
        <w:rPr>
          <w:rStyle w:val="CharPartNo"/>
        </w:rPr>
        <w:t>Part 5</w:t>
      </w:r>
      <w:r>
        <w:t> — </w:t>
      </w:r>
      <w:r>
        <w:rPr>
          <w:rStyle w:val="CharPartText"/>
        </w:rPr>
        <w:t>Dealing with young offenders without taking court proceedings</w:t>
      </w:r>
      <w:bookmarkEnd w:id="99"/>
      <w:bookmarkEnd w:id="100"/>
      <w:bookmarkEnd w:id="101"/>
      <w:bookmarkEnd w:id="102"/>
      <w:bookmarkEnd w:id="103"/>
      <w:r>
        <w:rPr>
          <w:rStyle w:val="CharPartText"/>
        </w:rPr>
        <w:t xml:space="preserve"> </w:t>
      </w:r>
    </w:p>
    <w:p>
      <w:pPr>
        <w:pStyle w:val="Heading3"/>
        <w:rPr>
          <w:snapToGrid w:val="0"/>
        </w:rPr>
      </w:pPr>
      <w:bookmarkStart w:id="104" w:name="_Toc405453140"/>
      <w:bookmarkStart w:id="105" w:name="_Toc413336865"/>
      <w:bookmarkStart w:id="106" w:name="_Toc413337141"/>
      <w:bookmarkStart w:id="107" w:name="_Toc413336963"/>
      <w:bookmarkStart w:id="108" w:name="_Toc422303208"/>
      <w:r>
        <w:rPr>
          <w:rStyle w:val="CharDivNo"/>
        </w:rPr>
        <w:t>Division 1</w:t>
      </w:r>
      <w:r>
        <w:rPr>
          <w:snapToGrid w:val="0"/>
        </w:rPr>
        <w:t> — </w:t>
      </w:r>
      <w:r>
        <w:rPr>
          <w:rStyle w:val="CharDivText"/>
        </w:rPr>
        <w:t>Cautioning</w:t>
      </w:r>
      <w:bookmarkEnd w:id="104"/>
      <w:bookmarkEnd w:id="105"/>
      <w:bookmarkEnd w:id="106"/>
      <w:bookmarkEnd w:id="107"/>
      <w:bookmarkEnd w:id="108"/>
      <w:r>
        <w:rPr>
          <w:rStyle w:val="CharDivText"/>
        </w:rPr>
        <w:t xml:space="preserve"> </w:t>
      </w:r>
    </w:p>
    <w:p>
      <w:pPr>
        <w:pStyle w:val="Heading5"/>
        <w:rPr>
          <w:snapToGrid w:val="0"/>
        </w:rPr>
      </w:pPr>
      <w:bookmarkStart w:id="109" w:name="_Toc405453141"/>
      <w:bookmarkStart w:id="110" w:name="_Toc422303209"/>
      <w:r>
        <w:rPr>
          <w:rStyle w:val="CharSectno"/>
        </w:rPr>
        <w:t>22A</w:t>
      </w:r>
      <w:r>
        <w:rPr>
          <w:snapToGrid w:val="0"/>
        </w:rPr>
        <w:t>.</w:t>
      </w:r>
      <w:r>
        <w:rPr>
          <w:snapToGrid w:val="0"/>
        </w:rPr>
        <w:tab/>
        <w:t>Purpose of this Division</w:t>
      </w:r>
      <w:bookmarkEnd w:id="109"/>
      <w:bookmarkEnd w:id="110"/>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111" w:name="_Toc405453142"/>
      <w:bookmarkStart w:id="112" w:name="_Toc422303210"/>
      <w:r>
        <w:rPr>
          <w:rStyle w:val="CharSectno"/>
        </w:rPr>
        <w:t>22B</w:t>
      </w:r>
      <w:r>
        <w:rPr>
          <w:snapToGrid w:val="0"/>
        </w:rPr>
        <w:t>.</w:t>
      </w:r>
      <w:r>
        <w:rPr>
          <w:snapToGrid w:val="0"/>
        </w:rPr>
        <w:tab/>
        <w:t>Police officer to consider alternatives to court proceedings</w:t>
      </w:r>
      <w:bookmarkEnd w:id="111"/>
      <w:bookmarkEnd w:id="112"/>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113" w:name="_Toc405453143"/>
      <w:bookmarkStart w:id="114" w:name="_Toc422303211"/>
      <w:r>
        <w:rPr>
          <w:rStyle w:val="CharSectno"/>
        </w:rPr>
        <w:t>22</w:t>
      </w:r>
      <w:r>
        <w:rPr>
          <w:snapToGrid w:val="0"/>
        </w:rPr>
        <w:t>.</w:t>
      </w:r>
      <w:r>
        <w:rPr>
          <w:snapToGrid w:val="0"/>
        </w:rPr>
        <w:tab/>
        <w:t>Cautions may be given except for Sch. 1 or 2 offences</w:t>
      </w:r>
      <w:bookmarkEnd w:id="113"/>
      <w:bookmarkEnd w:id="114"/>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115" w:name="_Toc405453144"/>
      <w:bookmarkStart w:id="116" w:name="_Toc422303212"/>
      <w:r>
        <w:rPr>
          <w:rStyle w:val="CharSectno"/>
        </w:rPr>
        <w:t>23</w:t>
      </w:r>
      <w:r>
        <w:rPr>
          <w:snapToGrid w:val="0"/>
        </w:rPr>
        <w:t>.</w:t>
      </w:r>
      <w:r>
        <w:rPr>
          <w:snapToGrid w:val="0"/>
        </w:rPr>
        <w:tab/>
        <w:t>Cautioning to be preferred in certain cases</w:t>
      </w:r>
      <w:bookmarkEnd w:id="115"/>
      <w:bookmarkEnd w:id="116"/>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spacing w:before="120"/>
        <w:rPr>
          <w:snapToGrid w:val="0"/>
        </w:rPr>
      </w:pPr>
      <w:bookmarkStart w:id="117" w:name="_Toc405453145"/>
      <w:bookmarkStart w:id="118" w:name="_Toc422303213"/>
      <w:r>
        <w:rPr>
          <w:rStyle w:val="CharSectno"/>
        </w:rPr>
        <w:t>23A</w:t>
      </w:r>
      <w:r>
        <w:rPr>
          <w:snapToGrid w:val="0"/>
        </w:rPr>
        <w:t>.</w:t>
      </w:r>
      <w:r>
        <w:rPr>
          <w:snapToGrid w:val="0"/>
        </w:rPr>
        <w:tab/>
        <w:t>Caution certificate to be given</w:t>
      </w:r>
      <w:bookmarkEnd w:id="117"/>
      <w:bookmarkEnd w:id="118"/>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119" w:name="_Toc405453146"/>
      <w:bookmarkStart w:id="120" w:name="_Toc422303214"/>
      <w:r>
        <w:rPr>
          <w:rStyle w:val="CharSectno"/>
        </w:rPr>
        <w:t>23B</w:t>
      </w:r>
      <w:r>
        <w:rPr>
          <w:snapToGrid w:val="0"/>
        </w:rPr>
        <w:t>.</w:t>
      </w:r>
      <w:r>
        <w:rPr>
          <w:snapToGrid w:val="0"/>
        </w:rPr>
        <w:tab/>
        <w:t>Police officer may retain a thing relating to an offence</w:t>
      </w:r>
      <w:bookmarkEnd w:id="119"/>
      <w:bookmarkEnd w:id="120"/>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by No. 47 of 1998 s. 9.]</w:t>
      </w:r>
    </w:p>
    <w:p>
      <w:pPr>
        <w:pStyle w:val="Heading3"/>
        <w:rPr>
          <w:snapToGrid w:val="0"/>
        </w:rPr>
      </w:pPr>
      <w:bookmarkStart w:id="121" w:name="_Toc405453147"/>
      <w:bookmarkStart w:id="122" w:name="_Toc413336872"/>
      <w:bookmarkStart w:id="123" w:name="_Toc413337148"/>
      <w:bookmarkStart w:id="124" w:name="_Toc413336971"/>
      <w:bookmarkStart w:id="125" w:name="_Toc422303215"/>
      <w:r>
        <w:rPr>
          <w:rStyle w:val="CharDivNo"/>
        </w:rPr>
        <w:t>Division 2</w:t>
      </w:r>
      <w:r>
        <w:rPr>
          <w:snapToGrid w:val="0"/>
        </w:rPr>
        <w:t> — </w:t>
      </w:r>
      <w:r>
        <w:rPr>
          <w:rStyle w:val="CharDivText"/>
        </w:rPr>
        <w:t>Referral to juvenile justice team</w:t>
      </w:r>
      <w:bookmarkEnd w:id="121"/>
      <w:bookmarkEnd w:id="122"/>
      <w:bookmarkEnd w:id="123"/>
      <w:bookmarkEnd w:id="124"/>
      <w:bookmarkEnd w:id="125"/>
      <w:r>
        <w:rPr>
          <w:rStyle w:val="CharDivText"/>
        </w:rPr>
        <w:t xml:space="preserve"> </w:t>
      </w:r>
    </w:p>
    <w:p>
      <w:pPr>
        <w:pStyle w:val="Heading5"/>
        <w:rPr>
          <w:snapToGrid w:val="0"/>
        </w:rPr>
      </w:pPr>
      <w:bookmarkStart w:id="126" w:name="_Toc405453148"/>
      <w:bookmarkStart w:id="127" w:name="_Toc422303216"/>
      <w:r>
        <w:rPr>
          <w:rStyle w:val="CharSectno"/>
        </w:rPr>
        <w:t>24</w:t>
      </w:r>
      <w:r>
        <w:rPr>
          <w:snapToGrid w:val="0"/>
        </w:rPr>
        <w:t>.</w:t>
      </w:r>
      <w:r>
        <w:rPr>
          <w:snapToGrid w:val="0"/>
        </w:rPr>
        <w:tab/>
        <w:t>Principles</w:t>
      </w:r>
      <w:bookmarkEnd w:id="126"/>
      <w:bookmarkEnd w:id="127"/>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 and</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rPr>
          <w:snapToGrid w:val="0"/>
        </w:rPr>
      </w:pPr>
      <w:bookmarkStart w:id="128" w:name="_Toc405453149"/>
      <w:bookmarkStart w:id="129" w:name="_Toc422303217"/>
      <w:r>
        <w:rPr>
          <w:rStyle w:val="CharSectno"/>
        </w:rPr>
        <w:t>25</w:t>
      </w:r>
      <w:r>
        <w:rPr>
          <w:snapToGrid w:val="0"/>
        </w:rPr>
        <w:t>.</w:t>
      </w:r>
      <w:r>
        <w:rPr>
          <w:snapToGrid w:val="0"/>
        </w:rPr>
        <w:tab/>
        <w:t>Only certain matters may be referred to teams</w:t>
      </w:r>
      <w:bookmarkEnd w:id="128"/>
      <w:bookmarkEnd w:id="129"/>
      <w:r>
        <w:rPr>
          <w:snapToGrid w:val="0"/>
        </w:rPr>
        <w:t xml:space="preserve"> </w:t>
      </w:r>
    </w:p>
    <w:p>
      <w:pPr>
        <w:pStyle w:val="Subsection"/>
        <w:rPr>
          <w:snapToGrid w:val="0"/>
        </w:rPr>
      </w:pPr>
      <w:r>
        <w:rPr>
          <w:snapToGrid w:val="0"/>
        </w:rPr>
        <w:tab/>
        <w:t>(1)</w:t>
      </w:r>
      <w:r>
        <w:rPr>
          <w:snapToGrid w:val="0"/>
        </w:rPr>
        <w:tab/>
        <w:t>A matter cannot be referred to a juvenile justice team if the offence is a Schedule 1 offence or a Schedule 2 offence.</w:t>
      </w:r>
    </w:p>
    <w:p>
      <w:pPr>
        <w:pStyle w:val="Subsection"/>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pPr>
      <w:r>
        <w:tab/>
        <w:t>(3)</w:t>
      </w:r>
      <w:r>
        <w:tab/>
        <w:t xml:space="preserve">In subsection (2) — </w:t>
      </w:r>
    </w:p>
    <w:p>
      <w:pPr>
        <w:pStyle w:val="Defstart"/>
      </w:pPr>
      <w:r>
        <w:tab/>
      </w:r>
      <w:r>
        <w:rPr>
          <w:rStyle w:val="CharDefText"/>
        </w:rPr>
        <w:t>infringement notice</w:t>
      </w:r>
      <w:r>
        <w:t xml:space="preserve"> means — </w:t>
      </w:r>
    </w:p>
    <w:p>
      <w:pPr>
        <w:pStyle w:val="Defpara"/>
      </w:pPr>
      <w:r>
        <w:tab/>
        <w:t>(a)</w:t>
      </w:r>
      <w:r>
        <w:tab/>
        <w:t>a notice issued under a written law to a person alleging the commission of an offence and offering the person an opportunity, by paying an amount of money prescribed under the written law and specified in the notice, to have the matter dealt with out of court; or</w:t>
      </w:r>
    </w:p>
    <w:p>
      <w:pPr>
        <w:pStyle w:val="Defpara"/>
      </w:pPr>
      <w:r>
        <w:tab/>
        <w:t>(b)</w:t>
      </w:r>
      <w:r>
        <w:tab/>
        <w:t xml:space="preserve">a cannabis intervention requirement given under the </w:t>
      </w:r>
      <w:r>
        <w:rPr>
          <w:i/>
          <w:iCs/>
        </w:rPr>
        <w:t xml:space="preserve">Misuse of Drugs Act 1981 </w:t>
      </w:r>
      <w:r>
        <w:t>Part IIIA.</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 No. 45 of 2010 s. 12.]</w:t>
      </w:r>
    </w:p>
    <w:p>
      <w:pPr>
        <w:pStyle w:val="Heading5"/>
        <w:rPr>
          <w:snapToGrid w:val="0"/>
        </w:rPr>
      </w:pPr>
      <w:bookmarkStart w:id="130" w:name="_Toc405453150"/>
      <w:bookmarkStart w:id="131" w:name="_Toc422303218"/>
      <w:r>
        <w:rPr>
          <w:rStyle w:val="CharSectno"/>
        </w:rPr>
        <w:t>26</w:t>
      </w:r>
      <w:r>
        <w:rPr>
          <w:snapToGrid w:val="0"/>
        </w:rPr>
        <w:t>.</w:t>
      </w:r>
      <w:r>
        <w:rPr>
          <w:snapToGrid w:val="0"/>
        </w:rPr>
        <w:tab/>
        <w:t>Release of young person under arrest</w:t>
      </w:r>
      <w:bookmarkEnd w:id="130"/>
      <w:bookmarkEnd w:id="131"/>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132" w:name="_Toc405453151"/>
      <w:bookmarkStart w:id="133" w:name="_Toc422303219"/>
      <w:r>
        <w:rPr>
          <w:rStyle w:val="CharSectno"/>
        </w:rPr>
        <w:t>27</w:t>
      </w:r>
      <w:r>
        <w:rPr>
          <w:snapToGrid w:val="0"/>
        </w:rPr>
        <w:t>.</w:t>
      </w:r>
      <w:r>
        <w:rPr>
          <w:snapToGrid w:val="0"/>
        </w:rPr>
        <w:tab/>
        <w:t>Referral to team by prosecutor</w:t>
      </w:r>
      <w:bookmarkEnd w:id="132"/>
      <w:bookmarkEnd w:id="133"/>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134" w:name="_Toc405453152"/>
      <w:bookmarkStart w:id="135" w:name="_Toc422303220"/>
      <w:r>
        <w:rPr>
          <w:rStyle w:val="CharSectno"/>
        </w:rPr>
        <w:t>28</w:t>
      </w:r>
      <w:r>
        <w:t>.</w:t>
      </w:r>
      <w:r>
        <w:tab/>
      </w:r>
      <w:r>
        <w:rPr>
          <w:snapToGrid w:val="0"/>
        </w:rPr>
        <w:t>Referral to team by court</w:t>
      </w:r>
      <w:bookmarkEnd w:id="134"/>
      <w:bookmarkEnd w:id="135"/>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 or</w:t>
      </w:r>
    </w:p>
    <w:p>
      <w:pPr>
        <w:pStyle w:val="Indenta"/>
      </w:pPr>
      <w:r>
        <w:tab/>
        <w:t>(b)</w:t>
      </w:r>
      <w:r>
        <w:tab/>
        <w:t>after a plea of guilty has been entered but before the court records a finding that the young person is guilty of the offence; or</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136" w:name="_Toc405453153"/>
      <w:bookmarkStart w:id="137" w:name="_Toc422303221"/>
      <w:r>
        <w:rPr>
          <w:rStyle w:val="CharSectno"/>
        </w:rPr>
        <w:t>29</w:t>
      </w:r>
      <w:r>
        <w:rPr>
          <w:snapToGrid w:val="0"/>
        </w:rPr>
        <w:t>.</w:t>
      </w:r>
      <w:r>
        <w:rPr>
          <w:snapToGrid w:val="0"/>
        </w:rPr>
        <w:tab/>
        <w:t>First offenders usually should be referred to team</w:t>
      </w:r>
      <w:bookmarkEnd w:id="136"/>
      <w:bookmarkEnd w:id="137"/>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r>
        <w:tab/>
        <w:t>(2)</w:t>
      </w:r>
      <w:r>
        <w:tab/>
      </w:r>
      <w:r>
        <w:rPr>
          <w:snapToGrid w:val="0"/>
        </w:rPr>
        <w:t>A young person is not to be taken to have previously offended against the law merely because he or she —</w:t>
      </w:r>
    </w:p>
    <w:p>
      <w:pPr>
        <w:pStyle w:val="Indenta"/>
      </w:pPr>
      <w:r>
        <w:tab/>
        <w:t>(a)</w:t>
      </w:r>
      <w:r>
        <w:tab/>
        <w:t>has been cautioned under section 22; or</w:t>
      </w:r>
    </w:p>
    <w:p>
      <w:pPr>
        <w:pStyle w:val="Indenta"/>
      </w:pPr>
      <w:r>
        <w:tab/>
        <w:t>(ba)</w:t>
      </w:r>
      <w:r>
        <w:tab/>
        <w:t>has been given an infringement notice, as defined in section 25(3); or</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 No. 45 of 2010 s. 13.]</w:t>
      </w:r>
    </w:p>
    <w:p>
      <w:pPr>
        <w:pStyle w:val="Heading5"/>
        <w:rPr>
          <w:snapToGrid w:val="0"/>
        </w:rPr>
      </w:pPr>
      <w:bookmarkStart w:id="138" w:name="_Toc405453154"/>
      <w:bookmarkStart w:id="139" w:name="_Toc422303222"/>
      <w:r>
        <w:rPr>
          <w:rStyle w:val="CharSectno"/>
        </w:rPr>
        <w:t>30</w:t>
      </w:r>
      <w:r>
        <w:rPr>
          <w:snapToGrid w:val="0"/>
        </w:rPr>
        <w:t>.</w:t>
      </w:r>
      <w:r>
        <w:rPr>
          <w:snapToGrid w:val="0"/>
        </w:rPr>
        <w:tab/>
        <w:t>Role of responsible adult</w:t>
      </w:r>
      <w:bookmarkEnd w:id="138"/>
      <w:bookmarkEnd w:id="139"/>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140" w:name="_Toc405453155"/>
      <w:bookmarkStart w:id="141" w:name="_Toc422303223"/>
      <w:r>
        <w:rPr>
          <w:rStyle w:val="CharSectno"/>
        </w:rPr>
        <w:t>31</w:t>
      </w:r>
      <w:r>
        <w:rPr>
          <w:snapToGrid w:val="0"/>
        </w:rPr>
        <w:t>.</w:t>
      </w:r>
      <w:r>
        <w:rPr>
          <w:snapToGrid w:val="0"/>
        </w:rPr>
        <w:tab/>
        <w:t>Role of victim</w:t>
      </w:r>
      <w:bookmarkEnd w:id="140"/>
      <w:bookmarkEnd w:id="141"/>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142" w:name="_Toc405453156"/>
      <w:bookmarkStart w:id="143" w:name="_Toc422303224"/>
      <w:r>
        <w:rPr>
          <w:rStyle w:val="CharSectno"/>
        </w:rPr>
        <w:t>32</w:t>
      </w:r>
      <w:r>
        <w:rPr>
          <w:snapToGrid w:val="0"/>
        </w:rPr>
        <w:t>.</w:t>
      </w:r>
      <w:r>
        <w:rPr>
          <w:snapToGrid w:val="0"/>
        </w:rPr>
        <w:tab/>
        <w:t>Powers of juvenile justice team</w:t>
      </w:r>
      <w:bookmarkEnd w:id="142"/>
      <w:bookmarkEnd w:id="143"/>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keepNext/>
        <w:keepLines/>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rPr>
          <w:snapToGrid w:val="0"/>
        </w:rPr>
      </w:pPr>
      <w:bookmarkStart w:id="144" w:name="_Toc405453157"/>
      <w:bookmarkStart w:id="145" w:name="_Toc422303225"/>
      <w:r>
        <w:rPr>
          <w:rStyle w:val="CharSectno"/>
        </w:rPr>
        <w:t>33</w:t>
      </w:r>
      <w:r>
        <w:rPr>
          <w:snapToGrid w:val="0"/>
        </w:rPr>
        <w:t>.</w:t>
      </w:r>
      <w:r>
        <w:rPr>
          <w:snapToGrid w:val="0"/>
        </w:rPr>
        <w:tab/>
        <w:t>Effect on liability to be dealt with by court</w:t>
      </w:r>
      <w:bookmarkEnd w:id="144"/>
      <w:bookmarkEnd w:id="145"/>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146" w:name="_Toc405453158"/>
      <w:bookmarkStart w:id="147" w:name="_Toc422303226"/>
      <w:r>
        <w:rPr>
          <w:rStyle w:val="CharSectno"/>
        </w:rPr>
        <w:t>34</w:t>
      </w:r>
      <w:r>
        <w:rPr>
          <w:snapToGrid w:val="0"/>
        </w:rPr>
        <w:t>.</w:t>
      </w:r>
      <w:r>
        <w:rPr>
          <w:snapToGrid w:val="0"/>
        </w:rPr>
        <w:tab/>
        <w:t>Civil liability not affected</w:t>
      </w:r>
      <w:bookmarkEnd w:id="146"/>
      <w:bookmarkEnd w:id="147"/>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148" w:name="_Toc405453159"/>
      <w:bookmarkStart w:id="149" w:name="_Toc413336884"/>
      <w:bookmarkStart w:id="150" w:name="_Toc413337160"/>
      <w:bookmarkStart w:id="151" w:name="_Toc413336983"/>
      <w:bookmarkStart w:id="152" w:name="_Toc422303227"/>
      <w:r>
        <w:rPr>
          <w:rStyle w:val="CharDivNo"/>
        </w:rPr>
        <w:t>Division 3</w:t>
      </w:r>
      <w:r>
        <w:rPr>
          <w:snapToGrid w:val="0"/>
        </w:rPr>
        <w:t> — </w:t>
      </w:r>
      <w:r>
        <w:rPr>
          <w:rStyle w:val="CharDivText"/>
        </w:rPr>
        <w:t>Juvenile justice teams</w:t>
      </w:r>
      <w:bookmarkEnd w:id="148"/>
      <w:bookmarkEnd w:id="149"/>
      <w:bookmarkEnd w:id="150"/>
      <w:bookmarkEnd w:id="151"/>
      <w:bookmarkEnd w:id="152"/>
      <w:r>
        <w:rPr>
          <w:rStyle w:val="CharDivText"/>
        </w:rPr>
        <w:t xml:space="preserve"> </w:t>
      </w:r>
    </w:p>
    <w:p>
      <w:pPr>
        <w:pStyle w:val="Heading5"/>
        <w:spacing w:before="180"/>
        <w:rPr>
          <w:snapToGrid w:val="0"/>
        </w:rPr>
      </w:pPr>
      <w:bookmarkStart w:id="153" w:name="_Toc405453160"/>
      <w:bookmarkStart w:id="154" w:name="_Toc422303228"/>
      <w:r>
        <w:rPr>
          <w:rStyle w:val="CharSectno"/>
        </w:rPr>
        <w:t>35</w:t>
      </w:r>
      <w:r>
        <w:rPr>
          <w:snapToGrid w:val="0"/>
        </w:rPr>
        <w:t>.</w:t>
      </w:r>
      <w:r>
        <w:rPr>
          <w:snapToGrid w:val="0"/>
        </w:rPr>
        <w:tab/>
        <w:t>Terms used</w:t>
      </w:r>
      <w:bookmarkEnd w:id="153"/>
      <w:bookmarkEnd w:id="154"/>
    </w:p>
    <w:p>
      <w:pPr>
        <w:pStyle w:val="Subsection"/>
        <w:keepNext/>
        <w:spacing w:before="120"/>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by No. 58 of 2004 s. 17.]</w:t>
      </w:r>
    </w:p>
    <w:p>
      <w:pPr>
        <w:pStyle w:val="Heading5"/>
        <w:spacing w:before="180"/>
        <w:rPr>
          <w:snapToGrid w:val="0"/>
        </w:rPr>
      </w:pPr>
      <w:bookmarkStart w:id="155" w:name="_Toc405453161"/>
      <w:bookmarkStart w:id="156" w:name="_Toc422303229"/>
      <w:r>
        <w:rPr>
          <w:rStyle w:val="CharSectno"/>
        </w:rPr>
        <w:t>36</w:t>
      </w:r>
      <w:r>
        <w:rPr>
          <w:snapToGrid w:val="0"/>
        </w:rPr>
        <w:t>.</w:t>
      </w:r>
      <w:r>
        <w:rPr>
          <w:snapToGrid w:val="0"/>
        </w:rPr>
        <w:tab/>
        <w:t>Juvenile Justice Team Coordinator, appointment of</w:t>
      </w:r>
      <w:bookmarkEnd w:id="155"/>
      <w:bookmarkEnd w:id="156"/>
      <w:r>
        <w:rPr>
          <w:snapToGrid w:val="0"/>
        </w:rPr>
        <w:t xml:space="preserve"> </w:t>
      </w:r>
    </w:p>
    <w:p>
      <w:pPr>
        <w:pStyle w:val="Subsection"/>
        <w:spacing w:before="120"/>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spacing w:before="120"/>
      </w:pPr>
      <w:r>
        <w:tab/>
        <w:t>(2)</w:t>
      </w:r>
      <w:r>
        <w:tab/>
        <w:t>The chief executive officer may appoint a member of an approved Aboriginal community to be a Juvenile Justice Team Coordinator on a paid or honorary basis, and may revoke any such appointment.</w:t>
      </w:r>
    </w:p>
    <w:p>
      <w:pPr>
        <w:pStyle w:val="Footnotesection"/>
      </w:pPr>
      <w:r>
        <w:tab/>
        <w:t>[Section 36 amended by No. 58 of 2004 s. 18.]</w:t>
      </w:r>
    </w:p>
    <w:p>
      <w:pPr>
        <w:pStyle w:val="Footnotesection"/>
      </w:pPr>
      <w:r>
        <w:tab/>
        <w:t>[Section 36. Modifications to be applied in order to give effect to Cross-border Justice Act 2008: section altered 1 Dec 2009. See endnote 1M.]</w:t>
      </w:r>
    </w:p>
    <w:p>
      <w:pPr>
        <w:pStyle w:val="Heading5"/>
        <w:spacing w:before="180"/>
        <w:rPr>
          <w:snapToGrid w:val="0"/>
        </w:rPr>
      </w:pPr>
      <w:bookmarkStart w:id="157" w:name="_Toc405453162"/>
      <w:bookmarkStart w:id="158" w:name="_Toc422303230"/>
      <w:r>
        <w:rPr>
          <w:rStyle w:val="CharSectno"/>
        </w:rPr>
        <w:t>37</w:t>
      </w:r>
      <w:r>
        <w:rPr>
          <w:snapToGrid w:val="0"/>
        </w:rPr>
        <w:t>.</w:t>
      </w:r>
      <w:r>
        <w:rPr>
          <w:snapToGrid w:val="0"/>
        </w:rPr>
        <w:tab/>
        <w:t>Establishing juvenile justice teams</w:t>
      </w:r>
      <w:bookmarkEnd w:id="157"/>
      <w:bookmarkEnd w:id="158"/>
      <w:r>
        <w:rPr>
          <w:snapToGrid w:val="0"/>
        </w:rPr>
        <w:t xml:space="preserve"> </w:t>
      </w:r>
    </w:p>
    <w:p>
      <w:pPr>
        <w:pStyle w:val="Subsection"/>
        <w:spacing w:before="120"/>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spacing w:before="120"/>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spacing w:before="120"/>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spacing w:before="120"/>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spacing w:before="120"/>
        <w:rPr>
          <w:snapToGrid w:val="0"/>
        </w:rPr>
      </w:pPr>
      <w:r>
        <w:rPr>
          <w:snapToGrid w:val="0"/>
        </w:rPr>
        <w:tab/>
        <w:t>(3)</w:t>
      </w:r>
      <w:r>
        <w:rPr>
          <w:snapToGrid w:val="0"/>
        </w:rPr>
        <w:tab/>
        <w:t>The team may also include such other persons as the Coordinator appoints.</w:t>
      </w:r>
    </w:p>
    <w:p>
      <w:pPr>
        <w:pStyle w:val="Footnotesection"/>
        <w:spacing w:before="100"/>
        <w:ind w:left="890" w:hanging="890"/>
      </w:pPr>
      <w:r>
        <w:tab/>
        <w:t>[Section 37 amended by No. 36 of 1999 s. 247; No. 58 of 2004 s. 19.]</w:t>
      </w:r>
    </w:p>
    <w:p>
      <w:pPr>
        <w:pStyle w:val="Heading5"/>
        <w:spacing w:before="180"/>
      </w:pPr>
      <w:bookmarkStart w:id="159" w:name="_Toc405453163"/>
      <w:bookmarkStart w:id="160" w:name="_Toc422303231"/>
      <w:r>
        <w:rPr>
          <w:rStyle w:val="CharSectno"/>
        </w:rPr>
        <w:t>37A</w:t>
      </w:r>
      <w:r>
        <w:t>.</w:t>
      </w:r>
      <w:r>
        <w:tab/>
        <w:t>No representation by legal practitioner or agent</w:t>
      </w:r>
      <w:bookmarkEnd w:id="159"/>
      <w:bookmarkEnd w:id="160"/>
    </w:p>
    <w:p>
      <w:pPr>
        <w:pStyle w:val="Subsection"/>
        <w:spacing w:before="120"/>
      </w:pPr>
      <w:r>
        <w:tab/>
        <w:t>(1)</w:t>
      </w:r>
      <w:r>
        <w:tab/>
        <w:t xml:space="preserve">In this section — </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Subsection"/>
        <w:spacing w:before="120"/>
      </w:pPr>
      <w:r>
        <w:tab/>
        <w:t>(2)</w:t>
      </w:r>
      <w:r>
        <w:tab/>
        <w:t>During the consideration of a matter by a juvenile justice team, a participant in the proceedings of the team is not to be represented in those proceedings by a lawyer or other agent.</w:t>
      </w:r>
    </w:p>
    <w:p>
      <w:pPr>
        <w:pStyle w:val="Footnotesection"/>
      </w:pPr>
      <w:r>
        <w:tab/>
        <w:t>[Section 37A inserted by No. 58 of 2004 s. 20; amended by No. 21 of 2008 s. 714(2) and (3).]</w:t>
      </w:r>
    </w:p>
    <w:p>
      <w:pPr>
        <w:pStyle w:val="Heading5"/>
        <w:keepNext w:val="0"/>
        <w:keepLines w:val="0"/>
        <w:spacing w:before="180"/>
        <w:rPr>
          <w:snapToGrid w:val="0"/>
        </w:rPr>
      </w:pPr>
      <w:bookmarkStart w:id="161" w:name="_Toc405453164"/>
      <w:bookmarkStart w:id="162" w:name="_Toc422303232"/>
      <w:r>
        <w:rPr>
          <w:rStyle w:val="CharSectno"/>
        </w:rPr>
        <w:t>38</w:t>
      </w:r>
      <w:r>
        <w:rPr>
          <w:snapToGrid w:val="0"/>
        </w:rPr>
        <w:t>.</w:t>
      </w:r>
      <w:r>
        <w:rPr>
          <w:snapToGrid w:val="0"/>
        </w:rPr>
        <w:tab/>
        <w:t>Decisions to be unanimous</w:t>
      </w:r>
      <w:bookmarkEnd w:id="161"/>
      <w:bookmarkEnd w:id="162"/>
      <w:r>
        <w:rPr>
          <w:snapToGrid w:val="0"/>
        </w:rPr>
        <w:t xml:space="preserve"> </w:t>
      </w:r>
    </w:p>
    <w:p>
      <w:pPr>
        <w:pStyle w:val="Subsection"/>
        <w:spacing w:before="100"/>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spacing w:before="180"/>
        <w:rPr>
          <w:snapToGrid w:val="0"/>
        </w:rPr>
      </w:pPr>
      <w:bookmarkStart w:id="163" w:name="_Toc405453165"/>
      <w:bookmarkStart w:id="164" w:name="_Toc422303233"/>
      <w:r>
        <w:rPr>
          <w:rStyle w:val="CharSectno"/>
        </w:rPr>
        <w:t>39</w:t>
      </w:r>
      <w:r>
        <w:rPr>
          <w:snapToGrid w:val="0"/>
        </w:rPr>
        <w:t>.</w:t>
      </w:r>
      <w:r>
        <w:rPr>
          <w:snapToGrid w:val="0"/>
        </w:rPr>
        <w:tab/>
        <w:t>Records to be kept</w:t>
      </w:r>
      <w:bookmarkEnd w:id="163"/>
      <w:bookmarkEnd w:id="164"/>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spacing w:before="180"/>
        <w:rPr>
          <w:snapToGrid w:val="0"/>
        </w:rPr>
      </w:pPr>
      <w:bookmarkStart w:id="165" w:name="_Toc405453166"/>
      <w:bookmarkStart w:id="166" w:name="_Toc422303234"/>
      <w:r>
        <w:rPr>
          <w:rStyle w:val="CharSectno"/>
        </w:rPr>
        <w:t>40</w:t>
      </w:r>
      <w:r>
        <w:rPr>
          <w:snapToGrid w:val="0"/>
        </w:rPr>
        <w:t>.</w:t>
      </w:r>
      <w:r>
        <w:rPr>
          <w:snapToGrid w:val="0"/>
        </w:rPr>
        <w:tab/>
        <w:t>No report of proceedings to be published</w:t>
      </w:r>
      <w:bookmarkEnd w:id="165"/>
      <w:bookmarkEnd w:id="166"/>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spacing w:before="120"/>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167" w:name="_Toc405453167"/>
      <w:bookmarkStart w:id="168" w:name="_Toc413336892"/>
      <w:bookmarkStart w:id="169" w:name="_Toc413337168"/>
      <w:bookmarkStart w:id="170" w:name="_Toc413336992"/>
      <w:bookmarkStart w:id="171" w:name="_Toc422303235"/>
      <w:r>
        <w:rPr>
          <w:rStyle w:val="CharPartNo"/>
        </w:rPr>
        <w:t>Part 6</w:t>
      </w:r>
      <w:r>
        <w:rPr>
          <w:rStyle w:val="CharDivNo"/>
        </w:rPr>
        <w:t> </w:t>
      </w:r>
      <w:r>
        <w:t>—</w:t>
      </w:r>
      <w:r>
        <w:rPr>
          <w:rStyle w:val="CharDivText"/>
        </w:rPr>
        <w:t> </w:t>
      </w:r>
      <w:r>
        <w:rPr>
          <w:rStyle w:val="CharPartText"/>
        </w:rPr>
        <w:t>Court proceedings</w:t>
      </w:r>
      <w:bookmarkEnd w:id="167"/>
      <w:bookmarkEnd w:id="168"/>
      <w:bookmarkEnd w:id="169"/>
      <w:bookmarkEnd w:id="170"/>
      <w:bookmarkEnd w:id="171"/>
      <w:r>
        <w:rPr>
          <w:rStyle w:val="CharPartText"/>
        </w:rPr>
        <w:t xml:space="preserve"> </w:t>
      </w:r>
    </w:p>
    <w:p>
      <w:pPr>
        <w:pStyle w:val="Heading5"/>
        <w:rPr>
          <w:snapToGrid w:val="0"/>
        </w:rPr>
      </w:pPr>
      <w:bookmarkStart w:id="172" w:name="_Toc405453168"/>
      <w:bookmarkStart w:id="173" w:name="_Toc422303236"/>
      <w:r>
        <w:rPr>
          <w:rStyle w:val="CharSectno"/>
        </w:rPr>
        <w:t>41</w:t>
      </w:r>
      <w:r>
        <w:rPr>
          <w:snapToGrid w:val="0"/>
        </w:rPr>
        <w:t>.</w:t>
      </w:r>
      <w:r>
        <w:rPr>
          <w:snapToGrid w:val="0"/>
        </w:rPr>
        <w:tab/>
        <w:t>Preliminary considerations for police before prosecuting</w:t>
      </w:r>
      <w:bookmarkEnd w:id="172"/>
      <w:bookmarkEnd w:id="173"/>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174" w:name="_Toc405453169"/>
      <w:bookmarkStart w:id="175" w:name="_Toc422303237"/>
      <w:r>
        <w:rPr>
          <w:rStyle w:val="CharSectno"/>
        </w:rPr>
        <w:t>42</w:t>
      </w:r>
      <w:r>
        <w:rPr>
          <w:snapToGrid w:val="0"/>
        </w:rPr>
        <w:t>.</w:t>
      </w:r>
      <w:r>
        <w:rPr>
          <w:snapToGrid w:val="0"/>
        </w:rPr>
        <w:tab/>
        <w:t>Notice to attend court usually preferable to summons</w:t>
      </w:r>
      <w:bookmarkEnd w:id="174"/>
      <w:bookmarkEnd w:id="175"/>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20"/>
        <w:rPr>
          <w:snapToGrid w:val="0"/>
        </w:rPr>
      </w:pPr>
      <w:r>
        <w:rPr>
          <w:snapToGrid w:val="0"/>
        </w:rPr>
        <w:tab/>
      </w:r>
      <w:r>
        <w:rPr>
          <w:snapToGrid w:val="0"/>
        </w:rPr>
        <w:tab/>
        <w:t>may instead issue to the young person a notice to attend court.</w:t>
      </w:r>
    </w:p>
    <w:p>
      <w:pPr>
        <w:pStyle w:val="Subsection"/>
        <w:spacing w:before="12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 and</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176" w:name="_Toc405453170"/>
      <w:bookmarkStart w:id="177" w:name="_Toc422303238"/>
      <w:r>
        <w:rPr>
          <w:rStyle w:val="CharSectno"/>
        </w:rPr>
        <w:t>43</w:t>
      </w:r>
      <w:r>
        <w:rPr>
          <w:snapToGrid w:val="0"/>
        </w:rPr>
        <w:t>.</w:t>
      </w:r>
      <w:r>
        <w:rPr>
          <w:snapToGrid w:val="0"/>
        </w:rPr>
        <w:tab/>
        <w:t>Notices to attend court, general provisions about</w:t>
      </w:r>
      <w:bookmarkEnd w:id="176"/>
      <w:bookmarkEnd w:id="177"/>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 and</w:t>
      </w:r>
    </w:p>
    <w:p>
      <w:pPr>
        <w:pStyle w:val="Indenta"/>
        <w:rPr>
          <w:snapToGrid w:val="0"/>
        </w:rPr>
      </w:pPr>
      <w:r>
        <w:rPr>
          <w:snapToGrid w:val="0"/>
        </w:rPr>
        <w:tab/>
        <w:t>(b)</w:t>
      </w:r>
      <w:r>
        <w:rPr>
          <w:snapToGrid w:val="0"/>
        </w:rPr>
        <w:tab/>
        <w:t>be signed by the person issuing it; and</w:t>
      </w:r>
    </w:p>
    <w:p>
      <w:pPr>
        <w:pStyle w:val="Indenta"/>
        <w:rPr>
          <w:snapToGrid w:val="0"/>
        </w:rPr>
      </w:pPr>
      <w:r>
        <w:rPr>
          <w:snapToGrid w:val="0"/>
        </w:rPr>
        <w:tab/>
        <w:t>(c)</w:t>
      </w:r>
      <w:r>
        <w:rPr>
          <w:snapToGrid w:val="0"/>
        </w:rPr>
        <w:tab/>
        <w:t>name the young person to whom it is directed; and</w:t>
      </w:r>
    </w:p>
    <w:p>
      <w:pPr>
        <w:pStyle w:val="Indenta"/>
        <w:rPr>
          <w:snapToGrid w:val="0"/>
        </w:rPr>
      </w:pPr>
      <w:r>
        <w:rPr>
          <w:snapToGrid w:val="0"/>
        </w:rPr>
        <w:tab/>
        <w:t>(d)</w:t>
      </w:r>
      <w:r>
        <w:rPr>
          <w:snapToGrid w:val="0"/>
        </w:rPr>
        <w:tab/>
        <w:t>if the identity of a responsible adult is known, name that responsible adult; and</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 or</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 or</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178" w:name="_Toc405453171"/>
      <w:bookmarkStart w:id="179" w:name="_Toc422303239"/>
      <w:r>
        <w:rPr>
          <w:rStyle w:val="CharSectno"/>
        </w:rPr>
        <w:t>44</w:t>
      </w:r>
      <w:r>
        <w:rPr>
          <w:snapToGrid w:val="0"/>
        </w:rPr>
        <w:t>.</w:t>
      </w:r>
      <w:r>
        <w:rPr>
          <w:snapToGrid w:val="0"/>
        </w:rPr>
        <w:tab/>
        <w:t>Proceedings to be explained to young persons</w:t>
      </w:r>
      <w:bookmarkEnd w:id="178"/>
      <w:bookmarkEnd w:id="179"/>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spacing w:before="120"/>
        <w:rPr>
          <w:snapToGrid w:val="0"/>
        </w:rPr>
      </w:pPr>
      <w:bookmarkStart w:id="180" w:name="_Toc405453172"/>
      <w:bookmarkStart w:id="181" w:name="_Toc422303240"/>
      <w:r>
        <w:rPr>
          <w:rStyle w:val="CharSectno"/>
        </w:rPr>
        <w:t>45</w:t>
      </w:r>
      <w:r>
        <w:rPr>
          <w:snapToGrid w:val="0"/>
        </w:rPr>
        <w:t>.</w:t>
      </w:r>
      <w:r>
        <w:rPr>
          <w:snapToGrid w:val="0"/>
        </w:rPr>
        <w:tab/>
        <w:t>Responsible adult may be required to attend court</w:t>
      </w:r>
      <w:bookmarkEnd w:id="180"/>
      <w:bookmarkEnd w:id="181"/>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spacing w:before="60"/>
        <w:rPr>
          <w:snapToGrid w:val="0"/>
        </w:rPr>
      </w:pPr>
      <w:r>
        <w:rPr>
          <w:snapToGrid w:val="0"/>
        </w:rPr>
        <w:tab/>
        <w:t>(a)</w:t>
      </w:r>
      <w:r>
        <w:rPr>
          <w:snapToGrid w:val="0"/>
        </w:rPr>
        <w:tab/>
        <w:t>there is a valid reason to excuse attendance of a responsible adult; or</w:t>
      </w:r>
    </w:p>
    <w:p>
      <w:pPr>
        <w:pStyle w:val="Indenta"/>
        <w:spacing w:before="60"/>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rPr>
      </w:pPr>
      <w:r>
        <w:rPr>
          <w:snapToGrid w:val="0"/>
        </w:rPr>
        <w:tab/>
      </w:r>
      <w:r>
        <w:rPr>
          <w:snapToGrid w:val="0"/>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0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0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spacing w:before="60"/>
        <w:rPr>
          <w:snapToGrid w:val="0"/>
        </w:rPr>
      </w:pPr>
      <w:r>
        <w:rPr>
          <w:snapToGrid w:val="0"/>
        </w:rPr>
        <w:tab/>
        <w:t>(a)</w:t>
      </w:r>
      <w:r>
        <w:rPr>
          <w:snapToGrid w:val="0"/>
        </w:rPr>
        <w:tab/>
        <w:t>of the charge, or each charge, laid alleging the commission of an offence; and</w:t>
      </w:r>
    </w:p>
    <w:p>
      <w:pPr>
        <w:pStyle w:val="Indenta"/>
        <w:spacing w:before="60"/>
        <w:rPr>
          <w:snapToGrid w:val="0"/>
        </w:rPr>
      </w:pPr>
      <w:r>
        <w:rPr>
          <w:snapToGrid w:val="0"/>
        </w:rPr>
        <w:tab/>
        <w:t>(b)</w:t>
      </w:r>
      <w:r>
        <w:rPr>
          <w:snapToGrid w:val="0"/>
        </w:rPr>
        <w:tab/>
        <w:t>of any finding, order or decision made by the court in the proceedings; and</w:t>
      </w:r>
    </w:p>
    <w:p>
      <w:pPr>
        <w:pStyle w:val="Indenta"/>
        <w:spacing w:before="60"/>
        <w:rPr>
          <w:snapToGrid w:val="0"/>
        </w:rPr>
      </w:pPr>
      <w:r>
        <w:rPr>
          <w:snapToGrid w:val="0"/>
        </w:rPr>
        <w:tab/>
        <w:t>(c)</w:t>
      </w:r>
      <w:r>
        <w:rPr>
          <w:snapToGrid w:val="0"/>
        </w:rPr>
        <w:tab/>
        <w:t>of any other information that the court considers appropriate.</w:t>
      </w:r>
    </w:p>
    <w:p>
      <w:pPr>
        <w:pStyle w:val="Heading2"/>
      </w:pPr>
      <w:bookmarkStart w:id="182" w:name="_Toc405453173"/>
      <w:bookmarkStart w:id="183" w:name="_Toc413336898"/>
      <w:bookmarkStart w:id="184" w:name="_Toc413337174"/>
      <w:bookmarkStart w:id="185" w:name="_Toc413336999"/>
      <w:bookmarkStart w:id="186" w:name="_Toc422303241"/>
      <w:r>
        <w:rPr>
          <w:rStyle w:val="CharPartNo"/>
        </w:rPr>
        <w:t>Part 7</w:t>
      </w:r>
      <w:r>
        <w:t> — </w:t>
      </w:r>
      <w:r>
        <w:rPr>
          <w:rStyle w:val="CharPartText"/>
        </w:rPr>
        <w:t>Sentencing and related matters</w:t>
      </w:r>
      <w:bookmarkEnd w:id="182"/>
      <w:bookmarkEnd w:id="183"/>
      <w:bookmarkEnd w:id="184"/>
      <w:bookmarkEnd w:id="185"/>
      <w:bookmarkEnd w:id="186"/>
      <w:r>
        <w:rPr>
          <w:rStyle w:val="CharPartText"/>
        </w:rPr>
        <w:t xml:space="preserve"> </w:t>
      </w:r>
    </w:p>
    <w:p>
      <w:pPr>
        <w:pStyle w:val="Heading3"/>
        <w:rPr>
          <w:snapToGrid w:val="0"/>
        </w:rPr>
      </w:pPr>
      <w:bookmarkStart w:id="187" w:name="_Toc405453174"/>
      <w:bookmarkStart w:id="188" w:name="_Toc413336899"/>
      <w:bookmarkStart w:id="189" w:name="_Toc413337175"/>
      <w:bookmarkStart w:id="190" w:name="_Toc413337000"/>
      <w:bookmarkStart w:id="191" w:name="_Toc422303242"/>
      <w:r>
        <w:rPr>
          <w:rStyle w:val="CharDivNo"/>
        </w:rPr>
        <w:t>Division 1</w:t>
      </w:r>
      <w:r>
        <w:rPr>
          <w:snapToGrid w:val="0"/>
        </w:rPr>
        <w:t> — </w:t>
      </w:r>
      <w:r>
        <w:rPr>
          <w:rStyle w:val="CharDivText"/>
        </w:rPr>
        <w:t>General</w:t>
      </w:r>
      <w:bookmarkEnd w:id="187"/>
      <w:bookmarkEnd w:id="188"/>
      <w:bookmarkEnd w:id="189"/>
      <w:bookmarkEnd w:id="190"/>
      <w:bookmarkEnd w:id="191"/>
      <w:r>
        <w:rPr>
          <w:rStyle w:val="CharDivText"/>
        </w:rPr>
        <w:t xml:space="preserve"> </w:t>
      </w:r>
    </w:p>
    <w:p>
      <w:pPr>
        <w:pStyle w:val="Heading5"/>
        <w:spacing w:before="120"/>
        <w:rPr>
          <w:snapToGrid w:val="0"/>
        </w:rPr>
      </w:pPr>
      <w:bookmarkStart w:id="192" w:name="_Toc405453175"/>
      <w:bookmarkStart w:id="193" w:name="_Toc422303243"/>
      <w:r>
        <w:rPr>
          <w:rStyle w:val="CharSectno"/>
        </w:rPr>
        <w:t>46</w:t>
      </w:r>
      <w:r>
        <w:rPr>
          <w:snapToGrid w:val="0"/>
        </w:rPr>
        <w:t>.</w:t>
      </w:r>
      <w:r>
        <w:rPr>
          <w:snapToGrid w:val="0"/>
        </w:rPr>
        <w:tab/>
        <w:t>Principles and considerations to be applied to young offenders</w:t>
      </w:r>
      <w:bookmarkEnd w:id="192"/>
      <w:bookmarkEnd w:id="193"/>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 and</w:t>
      </w:r>
    </w:p>
    <w:p>
      <w:pPr>
        <w:pStyle w:val="Indenta"/>
        <w:rPr>
          <w:snapToGrid w:val="0"/>
        </w:rPr>
      </w:pPr>
      <w:r>
        <w:rPr>
          <w:snapToGrid w:val="0"/>
        </w:rPr>
        <w:tab/>
        <w:t>(b)</w:t>
      </w:r>
      <w:r>
        <w:rPr>
          <w:snapToGrid w:val="0"/>
        </w:rPr>
        <w:tab/>
        <w:t>any history of offences previously committed by the offender; and</w:t>
      </w:r>
    </w:p>
    <w:p>
      <w:pPr>
        <w:pStyle w:val="Indenta"/>
        <w:rPr>
          <w:snapToGrid w:val="0"/>
        </w:rPr>
      </w:pPr>
      <w:r>
        <w:rPr>
          <w:snapToGrid w:val="0"/>
        </w:rPr>
        <w:tab/>
        <w:t>(c)</w:t>
      </w:r>
      <w:r>
        <w:rPr>
          <w:snapToGrid w:val="0"/>
        </w:rPr>
        <w:tab/>
        <w:t>the cultural background of the offender; and</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w:t>
      </w:r>
      <w:r>
        <w:t xml:space="preserve">the </w:t>
      </w:r>
      <w:r>
        <w:rPr>
          <w:i/>
          <w:iCs/>
        </w:rPr>
        <w:t>Road Traffic (Administration) Act 2008</w:t>
      </w:r>
      <w:r>
        <w:t xml:space="preserve"> section 121</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No. 8 of 2012 s. 201.] </w:t>
      </w:r>
    </w:p>
    <w:p>
      <w:pPr>
        <w:pStyle w:val="Heading5"/>
        <w:rPr>
          <w:snapToGrid w:val="0"/>
        </w:rPr>
      </w:pPr>
      <w:bookmarkStart w:id="194" w:name="_Toc405453176"/>
      <w:bookmarkStart w:id="195" w:name="_Toc422303244"/>
      <w:r>
        <w:rPr>
          <w:rStyle w:val="CharSectno"/>
        </w:rPr>
        <w:t>46A</w:t>
      </w:r>
      <w:r>
        <w:rPr>
          <w:snapToGrid w:val="0"/>
        </w:rPr>
        <w:t>.</w:t>
      </w:r>
      <w:r>
        <w:rPr>
          <w:snapToGrid w:val="0"/>
        </w:rPr>
        <w:tab/>
        <w:t xml:space="preserve">Application of </w:t>
      </w:r>
      <w:r>
        <w:rPr>
          <w:i/>
          <w:snapToGrid w:val="0"/>
        </w:rPr>
        <w:t>Sentencing Act 1995</w:t>
      </w:r>
      <w:bookmarkEnd w:id="194"/>
      <w:bookmarkEnd w:id="195"/>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 or</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196" w:name="_Toc405453177"/>
      <w:bookmarkStart w:id="197" w:name="_Toc422303245"/>
      <w:r>
        <w:rPr>
          <w:rStyle w:val="CharSectno"/>
        </w:rPr>
        <w:t>47</w:t>
      </w:r>
      <w:r>
        <w:rPr>
          <w:snapToGrid w:val="0"/>
        </w:rPr>
        <w:t>.</w:t>
      </w:r>
      <w:r>
        <w:rPr>
          <w:snapToGrid w:val="0"/>
        </w:rPr>
        <w:tab/>
        <w:t>Court may request information</w:t>
      </w:r>
      <w:bookmarkEnd w:id="196"/>
      <w:bookmarkEnd w:id="197"/>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198" w:name="_Toc405453178"/>
      <w:bookmarkStart w:id="199" w:name="_Toc422303246"/>
      <w:r>
        <w:rPr>
          <w:rStyle w:val="CharSectno"/>
        </w:rPr>
        <w:t>48</w:t>
      </w:r>
      <w:r>
        <w:rPr>
          <w:snapToGrid w:val="0"/>
        </w:rPr>
        <w:t>.</w:t>
      </w:r>
      <w:r>
        <w:rPr>
          <w:snapToGrid w:val="0"/>
        </w:rPr>
        <w:tab/>
        <w:t>Certain reports required</w:t>
      </w:r>
      <w:bookmarkEnd w:id="198"/>
      <w:bookmarkEnd w:id="199"/>
      <w:r>
        <w:rPr>
          <w:snapToGrid w:val="0"/>
        </w:rPr>
        <w:t xml:space="preserve"> </w:t>
      </w:r>
    </w:p>
    <w:p>
      <w:pPr>
        <w:pStyle w:val="Subsection"/>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200" w:name="_Toc405453179"/>
      <w:bookmarkStart w:id="201" w:name="_Toc422303247"/>
      <w:r>
        <w:rPr>
          <w:rStyle w:val="CharSectno"/>
        </w:rPr>
        <w:t>49</w:t>
      </w:r>
      <w:r>
        <w:rPr>
          <w:snapToGrid w:val="0"/>
        </w:rPr>
        <w:t>.</w:t>
      </w:r>
      <w:r>
        <w:rPr>
          <w:snapToGrid w:val="0"/>
        </w:rPr>
        <w:tab/>
        <w:t>Remand for observation</w:t>
      </w:r>
      <w:bookmarkEnd w:id="200"/>
      <w:bookmarkEnd w:id="201"/>
      <w:r>
        <w:rPr>
          <w:snapToGrid w:val="0"/>
        </w:rPr>
        <w:t xml:space="preserve"> </w:t>
      </w:r>
    </w:p>
    <w:p>
      <w:pPr>
        <w:pStyle w:val="Subsection"/>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rPr>
          <w:snapToGrid w:val="0"/>
        </w:rPr>
      </w:pPr>
      <w:bookmarkStart w:id="202" w:name="_Toc405453180"/>
      <w:bookmarkStart w:id="203" w:name="_Toc422303248"/>
      <w:r>
        <w:rPr>
          <w:rStyle w:val="CharSectno"/>
        </w:rPr>
        <w:t>50</w:t>
      </w:r>
      <w:r>
        <w:rPr>
          <w:snapToGrid w:val="0"/>
        </w:rPr>
        <w:t>.</w:t>
      </w:r>
      <w:r>
        <w:rPr>
          <w:snapToGrid w:val="0"/>
        </w:rPr>
        <w:tab/>
        <w:t>Offender aged under 17 at time of sentence, options</w:t>
      </w:r>
      <w:bookmarkEnd w:id="202"/>
      <w:bookmarkEnd w:id="203"/>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under 17 </w:t>
      </w:r>
      <w:r>
        <w:t>years old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The court dealing with the offender must dispose of the matter in one of the ways provided for in this Part.</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pPr>
      <w:r>
        <w:tab/>
        <w:t xml:space="preserve">[Section 50 inserted by No. 78 of 1995 s. 142.] </w:t>
      </w:r>
    </w:p>
    <w:p>
      <w:pPr>
        <w:pStyle w:val="Heading5"/>
        <w:rPr>
          <w:snapToGrid w:val="0"/>
        </w:rPr>
      </w:pPr>
      <w:bookmarkStart w:id="204" w:name="_Toc405453181"/>
      <w:bookmarkStart w:id="205" w:name="_Toc422303249"/>
      <w:r>
        <w:rPr>
          <w:rStyle w:val="CharSectno"/>
        </w:rPr>
        <w:t>50A</w:t>
      </w:r>
      <w:r>
        <w:rPr>
          <w:snapToGrid w:val="0"/>
        </w:rPr>
        <w:t>.</w:t>
      </w:r>
      <w:r>
        <w:rPr>
          <w:snapToGrid w:val="0"/>
        </w:rPr>
        <w:tab/>
        <w:t>Offender aged 17 or over but under 18 at time of sentence, options</w:t>
      </w:r>
      <w:bookmarkEnd w:id="204"/>
      <w:bookmarkEnd w:id="205"/>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at least 17 years old but under 18 years </w:t>
      </w:r>
      <w:r>
        <w:t>old (the</w:t>
      </w:r>
      <w:r>
        <w:rPr>
          <w:b/>
          <w:i/>
          <w:snapToGrid w:val="0"/>
        </w:rPr>
        <w:t xml:space="preserve"> </w:t>
      </w:r>
      <w:r>
        <w:rPr>
          <w:rStyle w:val="CharDefText"/>
        </w:rPr>
        <w:t>offender</w:t>
      </w:r>
      <w:r>
        <w:rPr>
          <w:snapToGrid w:val="0"/>
        </w:rPr>
        <w:t>).</w:t>
      </w:r>
    </w:p>
    <w:p>
      <w:pPr>
        <w:pStyle w:val="Subsection"/>
        <w:keepNext/>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206" w:name="_Toc405453182"/>
      <w:bookmarkStart w:id="207" w:name="_Toc422303250"/>
      <w:r>
        <w:rPr>
          <w:rStyle w:val="CharSectno"/>
        </w:rPr>
        <w:t>50B</w:t>
      </w:r>
      <w:r>
        <w:rPr>
          <w:snapToGrid w:val="0"/>
        </w:rPr>
        <w:t>.</w:t>
      </w:r>
      <w:r>
        <w:rPr>
          <w:snapToGrid w:val="0"/>
        </w:rPr>
        <w:tab/>
        <w:t>Offender aged 18 or over at time of sentence, options</w:t>
      </w:r>
      <w:bookmarkEnd w:id="206"/>
      <w:bookmarkEnd w:id="207"/>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18 years old or </w:t>
      </w:r>
      <w:r>
        <w:t>older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208" w:name="_Toc405453183"/>
      <w:bookmarkStart w:id="209" w:name="_Toc422303251"/>
      <w:r>
        <w:rPr>
          <w:rStyle w:val="CharSectno"/>
        </w:rPr>
        <w:t>51</w:t>
      </w:r>
      <w:r>
        <w:rPr>
          <w:snapToGrid w:val="0"/>
        </w:rPr>
        <w:t>.</w:t>
      </w:r>
      <w:r>
        <w:rPr>
          <w:snapToGrid w:val="0"/>
        </w:rPr>
        <w:tab/>
        <w:t>Responsible adult to be present for certain orders</w:t>
      </w:r>
      <w:bookmarkEnd w:id="208"/>
      <w:bookmarkEnd w:id="209"/>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210" w:name="_Toc405453184"/>
      <w:bookmarkStart w:id="211" w:name="_Toc422303252"/>
      <w:r>
        <w:rPr>
          <w:rStyle w:val="CharSectno"/>
        </w:rPr>
        <w:t>52</w:t>
      </w:r>
      <w:r>
        <w:rPr>
          <w:snapToGrid w:val="0"/>
        </w:rPr>
        <w:t>.</w:t>
      </w:r>
      <w:r>
        <w:rPr>
          <w:snapToGrid w:val="0"/>
        </w:rPr>
        <w:tab/>
        <w:t>Order requiring consent to be explained</w:t>
      </w:r>
      <w:bookmarkEnd w:id="210"/>
      <w:bookmarkEnd w:id="211"/>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180"/>
      </w:pPr>
      <w:r>
        <w:t>[</w:t>
      </w:r>
      <w:r>
        <w:rPr>
          <w:b/>
        </w:rPr>
        <w:t>53.</w:t>
      </w:r>
      <w:r>
        <w:t xml:space="preserve"> </w:t>
      </w:r>
      <w:r>
        <w:tab/>
        <w:t xml:space="preserve">Deleted by No. 78 of 1995 s. 145.] </w:t>
      </w:r>
    </w:p>
    <w:p>
      <w:pPr>
        <w:pStyle w:val="Heading5"/>
        <w:spacing w:before="180"/>
        <w:rPr>
          <w:snapToGrid w:val="0"/>
        </w:rPr>
      </w:pPr>
      <w:bookmarkStart w:id="212" w:name="_Toc405453185"/>
      <w:bookmarkStart w:id="213" w:name="_Toc422303253"/>
      <w:r>
        <w:rPr>
          <w:rStyle w:val="CharSectno"/>
        </w:rPr>
        <w:t>54</w:t>
      </w:r>
      <w:r>
        <w:rPr>
          <w:snapToGrid w:val="0"/>
        </w:rPr>
        <w:t>.</w:t>
      </w:r>
      <w:r>
        <w:rPr>
          <w:snapToGrid w:val="0"/>
        </w:rPr>
        <w:tab/>
        <w:t>Body samples may be required to be provided</w:t>
      </w:r>
      <w:bookmarkEnd w:id="212"/>
      <w:bookmarkEnd w:id="213"/>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spacing w:before="180"/>
        <w:rPr>
          <w:snapToGrid w:val="0"/>
        </w:rPr>
      </w:pPr>
      <w:bookmarkStart w:id="214" w:name="_Toc405453186"/>
      <w:bookmarkStart w:id="215" w:name="_Toc422303254"/>
      <w:r>
        <w:rPr>
          <w:rStyle w:val="CharSectno"/>
        </w:rPr>
        <w:t>55</w:t>
      </w:r>
      <w:r>
        <w:rPr>
          <w:snapToGrid w:val="0"/>
        </w:rPr>
        <w:t>.</w:t>
      </w:r>
      <w:r>
        <w:rPr>
          <w:snapToGrid w:val="0"/>
        </w:rPr>
        <w:tab/>
        <w:t>Conviction, when to be recorded</w:t>
      </w:r>
      <w:bookmarkEnd w:id="214"/>
      <w:bookmarkEnd w:id="215"/>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spacing w:before="120"/>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spacing w:before="120"/>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spacing w:before="120"/>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spacing w:before="120"/>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w:t>
      </w:r>
      <w:r>
        <w:t xml:space="preserve">a road law as defined in the </w:t>
      </w:r>
      <w:r>
        <w:rPr>
          <w:i/>
          <w:iCs/>
        </w:rPr>
        <w:t xml:space="preserve">Road Traffic (Administration) Act 2008 </w:t>
      </w:r>
      <w:r>
        <w:t xml:space="preserve">section 4 </w:t>
      </w:r>
      <w:r>
        <w:rPr>
          <w:snapToGrid w:val="0"/>
        </w:rPr>
        <w:t xml:space="preserve">relating to the cancellation of, or disqualification from holding or obtaining, a driver’s licence </w:t>
      </w:r>
      <w:r>
        <w:t>as defined in that section</w:t>
      </w:r>
      <w:r>
        <w:rPr>
          <w:snapToGrid w:val="0"/>
        </w:rPr>
        <w:t xml:space="preserve">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r>
        <w:tab/>
        <w:t>(6)</w:t>
      </w:r>
      <w:r>
        <w:tab/>
        <w:t xml:space="preserve">The powers in this section may be exercised despite section 147(1) of the </w:t>
      </w:r>
      <w:r>
        <w:rPr>
          <w:i/>
        </w:rPr>
        <w:t>Criminal Procedure Act 2004</w:t>
      </w:r>
      <w:r>
        <w:t>.</w:t>
      </w:r>
    </w:p>
    <w:p>
      <w:pPr>
        <w:pStyle w:val="Footnotesection"/>
      </w:pPr>
      <w:r>
        <w:tab/>
        <w:t>[Section 55 amended by No. 84 of 2004 s. 74; No. 8 of 2012 s. 202.]</w:t>
      </w:r>
    </w:p>
    <w:p>
      <w:pPr>
        <w:pStyle w:val="Heading5"/>
        <w:rPr>
          <w:snapToGrid w:val="0"/>
        </w:rPr>
      </w:pPr>
      <w:bookmarkStart w:id="216" w:name="_Toc405453187"/>
      <w:bookmarkStart w:id="217" w:name="_Toc422303255"/>
      <w:r>
        <w:rPr>
          <w:rStyle w:val="CharSectno"/>
        </w:rPr>
        <w:t>56</w:t>
      </w:r>
      <w:r>
        <w:rPr>
          <w:snapToGrid w:val="0"/>
        </w:rPr>
        <w:t>.</w:t>
      </w:r>
      <w:r>
        <w:rPr>
          <w:snapToGrid w:val="0"/>
        </w:rPr>
        <w:tab/>
        <w:t>Compensation and restitution, orders for</w:t>
      </w:r>
      <w:bookmarkEnd w:id="216"/>
      <w:bookmarkEnd w:id="217"/>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r>
        <w:tab/>
        <w:t>[Section 56 amended by No. 59 of 2004 s. 141.]</w:t>
      </w:r>
    </w:p>
    <w:p>
      <w:pPr>
        <w:pStyle w:val="Heading5"/>
        <w:rPr>
          <w:snapToGrid w:val="0"/>
        </w:rPr>
      </w:pPr>
      <w:bookmarkStart w:id="218" w:name="_Toc405453188"/>
      <w:bookmarkStart w:id="219" w:name="_Toc422303256"/>
      <w:r>
        <w:rPr>
          <w:rStyle w:val="CharSectno"/>
        </w:rPr>
        <w:t>57</w:t>
      </w:r>
      <w:r>
        <w:rPr>
          <w:snapToGrid w:val="0"/>
        </w:rPr>
        <w:t>.</w:t>
      </w:r>
      <w:r>
        <w:rPr>
          <w:snapToGrid w:val="0"/>
        </w:rPr>
        <w:tab/>
        <w:t>Costs may be ordered to be paid</w:t>
      </w:r>
      <w:bookmarkEnd w:id="218"/>
      <w:bookmarkEnd w:id="219"/>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220" w:name="_Toc405453189"/>
      <w:bookmarkStart w:id="221" w:name="_Toc422303257"/>
      <w:r>
        <w:rPr>
          <w:rStyle w:val="CharSectno"/>
        </w:rPr>
        <w:t>58</w:t>
      </w:r>
      <w:r>
        <w:rPr>
          <w:snapToGrid w:val="0"/>
        </w:rPr>
        <w:t>.</w:t>
      </w:r>
      <w:r>
        <w:rPr>
          <w:snapToGrid w:val="0"/>
        </w:rPr>
        <w:tab/>
        <w:t>Responsible adult may be made liable for fine etc.</w:t>
      </w:r>
      <w:bookmarkEnd w:id="220"/>
      <w:bookmarkEnd w:id="221"/>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rPr>
          <w:snapToGrid w:val="0"/>
        </w:rPr>
      </w:pPr>
      <w:r>
        <w:rPr>
          <w:snapToGrid w:val="0"/>
        </w:rPr>
        <w:tab/>
        <w:t>(4)</w:t>
      </w:r>
      <w:r>
        <w:rPr>
          <w:snapToGrid w:val="0"/>
        </w:rPr>
        <w:tab/>
        <w:t>In an order for payment of any sum, the court may direct that such sum be paid by periodical payments.</w:t>
      </w:r>
    </w:p>
    <w:p>
      <w:pPr>
        <w:pStyle w:val="Subsection"/>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rPr>
          <w:snapToGrid w:val="0"/>
        </w:rPr>
      </w:pPr>
      <w:r>
        <w:rPr>
          <w:snapToGrid w:val="0"/>
        </w:rPr>
        <w:tab/>
        <w:t>(6)</w:t>
      </w:r>
      <w:r>
        <w:rPr>
          <w:snapToGrid w:val="0"/>
        </w:rPr>
        <w:tab/>
        <w:t>An order under subsection (2) or (5) may be made against more than one responsible adult.</w:t>
      </w:r>
    </w:p>
    <w:p>
      <w:pPr>
        <w:pStyle w:val="Subsection"/>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rPr>
          <w:snapToGrid w:val="0"/>
        </w:rPr>
      </w:pPr>
      <w:bookmarkStart w:id="222" w:name="_Toc405453190"/>
      <w:bookmarkStart w:id="223" w:name="_Toc422303258"/>
      <w:r>
        <w:rPr>
          <w:rStyle w:val="CharSectno"/>
        </w:rPr>
        <w:t>59</w:t>
      </w:r>
      <w:r>
        <w:rPr>
          <w:snapToGrid w:val="0"/>
        </w:rPr>
        <w:t>.</w:t>
      </w:r>
      <w:r>
        <w:rPr>
          <w:snapToGrid w:val="0"/>
        </w:rPr>
        <w:tab/>
        <w:t>Court orders to be provided in writing</w:t>
      </w:r>
      <w:bookmarkEnd w:id="222"/>
      <w:bookmarkEnd w:id="223"/>
      <w:r>
        <w:rPr>
          <w:snapToGrid w:val="0"/>
        </w:rPr>
        <w:t xml:space="preserve"> </w:t>
      </w:r>
    </w:p>
    <w:p>
      <w:pPr>
        <w:pStyle w:val="Subsection"/>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 and</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224" w:name="_Toc405453191"/>
      <w:bookmarkStart w:id="225" w:name="_Toc422303259"/>
      <w:r>
        <w:rPr>
          <w:rStyle w:val="CharSectno"/>
        </w:rPr>
        <w:t>60</w:t>
      </w:r>
      <w:r>
        <w:t>.</w:t>
      </w:r>
      <w:r>
        <w:tab/>
        <w:t>Orders etc. under this Part are sentences</w:t>
      </w:r>
      <w:bookmarkEnd w:id="224"/>
      <w:bookmarkEnd w:id="225"/>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Deleted by No. 92 of 1994 s. 44.] </w:t>
      </w:r>
    </w:p>
    <w:p>
      <w:pPr>
        <w:pStyle w:val="Heading5"/>
        <w:rPr>
          <w:snapToGrid w:val="0"/>
        </w:rPr>
      </w:pPr>
      <w:bookmarkStart w:id="226" w:name="_Toc405453192"/>
      <w:bookmarkStart w:id="227" w:name="_Toc422303260"/>
      <w:r>
        <w:rPr>
          <w:rStyle w:val="CharSectno"/>
        </w:rPr>
        <w:t>62</w:t>
      </w:r>
      <w:r>
        <w:rPr>
          <w:snapToGrid w:val="0"/>
        </w:rPr>
        <w:t>.</w:t>
      </w:r>
      <w:r>
        <w:rPr>
          <w:snapToGrid w:val="0"/>
        </w:rPr>
        <w:tab/>
        <w:t>Workers’ compensation for compulsory work</w:t>
      </w:r>
      <w:bookmarkEnd w:id="226"/>
      <w:bookmarkEnd w:id="227"/>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228" w:name="_Toc405453193"/>
      <w:bookmarkStart w:id="229" w:name="_Toc422303261"/>
      <w:r>
        <w:rPr>
          <w:rStyle w:val="CharSectno"/>
        </w:rPr>
        <w:t>63</w:t>
      </w:r>
      <w:r>
        <w:rPr>
          <w:snapToGrid w:val="0"/>
        </w:rPr>
        <w:t>.</w:t>
      </w:r>
      <w:r>
        <w:rPr>
          <w:snapToGrid w:val="0"/>
        </w:rPr>
        <w:tab/>
        <w:t>Terms used</w:t>
      </w:r>
      <w:bookmarkEnd w:id="228"/>
      <w:bookmarkEnd w:id="229"/>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230" w:name="_Toc405453194"/>
      <w:bookmarkStart w:id="231" w:name="_Toc422303262"/>
      <w:r>
        <w:rPr>
          <w:rStyle w:val="CharSectno"/>
        </w:rPr>
        <w:t>64</w:t>
      </w:r>
      <w:r>
        <w:rPr>
          <w:snapToGrid w:val="0"/>
        </w:rPr>
        <w:t>.</w:t>
      </w:r>
      <w:r>
        <w:rPr>
          <w:snapToGrid w:val="0"/>
        </w:rPr>
        <w:tab/>
        <w:t>Enforcing payment by young person who has reached 18</w:t>
      </w:r>
      <w:bookmarkEnd w:id="230"/>
      <w:bookmarkEnd w:id="231"/>
    </w:p>
    <w:p>
      <w:pPr>
        <w:pStyle w:val="Subsection"/>
        <w:keepNext/>
        <w:rPr>
          <w:snapToGrid w:val="0"/>
        </w:rPr>
      </w:pPr>
      <w:r>
        <w:rPr>
          <w:snapToGrid w:val="0"/>
        </w:rPr>
        <w:tab/>
      </w:r>
      <w:r>
        <w:t>(1)</w:t>
      </w:r>
      <w:r>
        <w:tab/>
        <w:t>If a young person</w:t>
      </w:r>
      <w:r>
        <w:rPr>
          <w:snapToGrid w:val="0"/>
        </w:rPr>
        <w:t xml:space="preserve"> has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Subsection"/>
        <w:keepNext/>
      </w:pPr>
      <w:r>
        <w:tab/>
        <w:t>(2)</w:t>
      </w:r>
      <w:r>
        <w:tab/>
        <w:t xml:space="preserve">Without limiting subsection (1) — </w:t>
      </w:r>
    </w:p>
    <w:p>
      <w:pPr>
        <w:pStyle w:val="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Indenta"/>
      </w:pPr>
      <w:r>
        <w:tab/>
        <w:t>(b)</w:t>
      </w:r>
      <w:r>
        <w:tab/>
        <w:t xml:space="preserve">section 59A(2) of that Act applies to and in relation to — </w:t>
      </w:r>
    </w:p>
    <w:p>
      <w:pPr>
        <w:pStyle w:val="Indenti"/>
      </w:pPr>
      <w:r>
        <w:tab/>
        <w:t>(i)</w:t>
      </w:r>
      <w:r>
        <w:tab/>
        <w:t>a forfeited bail undertaking to which subsection (1)(b) applies; and</w:t>
      </w:r>
    </w:p>
    <w:p>
      <w:pPr>
        <w:pStyle w:val="Indenti"/>
        <w:rPr>
          <w:snapToGrid w:val="0"/>
        </w:rPr>
      </w:pPr>
      <w:r>
        <w:tab/>
        <w:t>(ii)</w:t>
      </w:r>
      <w:r>
        <w:tab/>
        <w:t>a forfeited recognisance to which subsection (1)(c) applies.</w:t>
      </w:r>
    </w:p>
    <w:p>
      <w:pPr>
        <w:pStyle w:val="Footnotesection"/>
        <w:ind w:left="890" w:hanging="890"/>
      </w:pPr>
      <w:r>
        <w:tab/>
        <w:t xml:space="preserve">[Section 64 inserted by No. 92 of 1994 s. 45; amended by No. 20 of 2013 s. 140.] </w:t>
      </w:r>
    </w:p>
    <w:p>
      <w:pPr>
        <w:pStyle w:val="Heading5"/>
        <w:rPr>
          <w:snapToGrid w:val="0"/>
        </w:rPr>
      </w:pPr>
      <w:bookmarkStart w:id="232" w:name="_Toc405453195"/>
      <w:bookmarkStart w:id="233" w:name="_Toc422303263"/>
      <w:r>
        <w:rPr>
          <w:rStyle w:val="CharSectno"/>
        </w:rPr>
        <w:t>65</w:t>
      </w:r>
      <w:r>
        <w:rPr>
          <w:snapToGrid w:val="0"/>
        </w:rPr>
        <w:t>.</w:t>
      </w:r>
      <w:r>
        <w:rPr>
          <w:snapToGrid w:val="0"/>
        </w:rPr>
        <w:tab/>
        <w:t>Enforcing payment by young person who has not reached 18</w:t>
      </w:r>
      <w:bookmarkEnd w:id="232"/>
      <w:bookmarkEnd w:id="233"/>
      <w:r>
        <w:rPr>
          <w:snapToGrid w:val="0"/>
        </w:rPr>
        <w:t xml:space="preserve"> </w:t>
      </w:r>
    </w:p>
    <w:p>
      <w:pPr>
        <w:pStyle w:val="Subsection"/>
        <w:keepNext/>
        <w:spacing w:before="180"/>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spacing w:before="18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Subsection"/>
        <w:spacing w:before="18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Indenta"/>
      </w:pPr>
      <w:r>
        <w:tab/>
        <w:t>(a)</w:t>
      </w:r>
      <w:r>
        <w:tab/>
        <w:t>in the case of a fine, section 32(2) of that Act applies to and in relation to the fine; and</w:t>
      </w:r>
    </w:p>
    <w:p>
      <w:pPr>
        <w:pStyle w:val="Indenta"/>
      </w:pPr>
      <w:r>
        <w:tab/>
        <w:t>(b)</w:t>
      </w:r>
      <w:r>
        <w:tab/>
        <w:t>in the case of a forfeited undertaking or forfeited recognisance, section 59A(3) of that Act applies to and in relation to the amount forfeited.</w:t>
      </w:r>
    </w:p>
    <w:p>
      <w:pPr>
        <w:pStyle w:val="Subsection"/>
        <w:spacing w:before="180"/>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spacing w:before="180"/>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pPr>
      <w:r>
        <w:tab/>
        <w:t xml:space="preserve">[Section 65 inserted by No. 92 of 1994 s. 45; amended by No. 20 of 2013 s. 141.] </w:t>
      </w:r>
    </w:p>
    <w:p>
      <w:pPr>
        <w:pStyle w:val="Heading5"/>
        <w:spacing w:before="240"/>
        <w:rPr>
          <w:snapToGrid w:val="0"/>
        </w:rPr>
      </w:pPr>
      <w:bookmarkStart w:id="234" w:name="_Toc405453196"/>
      <w:bookmarkStart w:id="235" w:name="_Toc422303264"/>
      <w:r>
        <w:rPr>
          <w:rStyle w:val="CharSectno"/>
        </w:rPr>
        <w:t>65A</w:t>
      </w:r>
      <w:r>
        <w:rPr>
          <w:snapToGrid w:val="0"/>
        </w:rPr>
        <w:t>.</w:t>
      </w:r>
      <w:r>
        <w:rPr>
          <w:snapToGrid w:val="0"/>
        </w:rPr>
        <w:tab/>
        <w:t>Court’s powers to deal with defaulter</w:t>
      </w:r>
      <w:bookmarkEnd w:id="234"/>
      <w:bookmarkEnd w:id="235"/>
      <w:r>
        <w:rPr>
          <w:snapToGrid w:val="0"/>
        </w:rPr>
        <w:t xml:space="preserve"> </w:t>
      </w:r>
    </w:p>
    <w:p>
      <w:pPr>
        <w:pStyle w:val="Subsection"/>
        <w:spacing w:before="180"/>
        <w:rPr>
          <w:snapToGrid w:val="0"/>
        </w:rPr>
      </w:pPr>
      <w:r>
        <w:rPr>
          <w:snapToGrid w:val="0"/>
        </w:rPr>
        <w:tab/>
        <w:t>(1)</w:t>
      </w:r>
      <w:r>
        <w:rPr>
          <w:snapToGrid w:val="0"/>
        </w:rPr>
        <w:tab/>
        <w:t xml:space="preserve">If a notice to attend court is issued under section 65(3) to a young person </w:t>
      </w:r>
      <w:r>
        <w:t>(the</w:t>
      </w:r>
      <w:r>
        <w:rPr>
          <w:snapToGrid w:val="0"/>
        </w:rPr>
        <w:t xml:space="preserve"> </w:t>
      </w:r>
      <w:r>
        <w:rPr>
          <w:rStyle w:val="CharDefText"/>
        </w:rPr>
        <w:t>defaulter</w:t>
      </w:r>
      <w:r>
        <w:rPr>
          <w:snapToGrid w:val="0"/>
        </w:rPr>
        <w:t>) and the defaulter appears before the court, the court may invite the defaulter to consent to the making of a community work order in respect of the unpaid amount concerned.</w:t>
      </w:r>
    </w:p>
    <w:p>
      <w:pPr>
        <w:pStyle w:val="Subsection"/>
        <w:spacing w:before="180"/>
        <w:rPr>
          <w:snapToGrid w:val="0"/>
        </w:rPr>
      </w:pPr>
      <w:r>
        <w:rPr>
          <w:snapToGrid w:val="0"/>
        </w:rPr>
        <w:tab/>
        <w:t>(2)</w:t>
      </w:r>
      <w:r>
        <w:rPr>
          <w:snapToGrid w:val="0"/>
        </w:rPr>
        <w:tab/>
        <w:t>If the defaulter consents to the making of a community work order the court may make one.</w:t>
      </w:r>
    </w:p>
    <w:p>
      <w:pPr>
        <w:pStyle w:val="Subsection"/>
        <w:spacing w:before="180"/>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spacing w:before="180"/>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spacing w:before="180"/>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by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236" w:name="_Toc405453197"/>
      <w:bookmarkStart w:id="237" w:name="_Toc422303265"/>
      <w:r>
        <w:rPr>
          <w:rStyle w:val="CharSectno"/>
        </w:rPr>
        <w:t>65B</w:t>
      </w:r>
      <w:r>
        <w:rPr>
          <w:snapToGrid w:val="0"/>
        </w:rPr>
        <w:t>.</w:t>
      </w:r>
      <w:r>
        <w:rPr>
          <w:snapToGrid w:val="0"/>
        </w:rPr>
        <w:tab/>
        <w:t>Community work order</w:t>
      </w:r>
      <w:bookmarkEnd w:id="236"/>
      <w:bookmarkEnd w:id="237"/>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spacing w:before="240"/>
        <w:rPr>
          <w:snapToGrid w:val="0"/>
        </w:rPr>
      </w:pPr>
      <w:bookmarkStart w:id="238" w:name="_Toc405453198"/>
      <w:bookmarkStart w:id="239" w:name="_Toc422303266"/>
      <w:r>
        <w:rPr>
          <w:rStyle w:val="CharSectno"/>
        </w:rPr>
        <w:t>65C</w:t>
      </w:r>
      <w:r>
        <w:rPr>
          <w:snapToGrid w:val="0"/>
        </w:rPr>
        <w:t>.</w:t>
      </w:r>
      <w:r>
        <w:rPr>
          <w:snapToGrid w:val="0"/>
        </w:rPr>
        <w:tab/>
        <w:t>Detention order</w:t>
      </w:r>
      <w:bookmarkEnd w:id="238"/>
      <w:bookmarkEnd w:id="239"/>
      <w:r>
        <w:rPr>
          <w:snapToGrid w:val="0"/>
        </w:rPr>
        <w:t xml:space="preserve"> </w:t>
      </w:r>
    </w:p>
    <w:p>
      <w:pPr>
        <w:pStyle w:val="Subsection"/>
        <w:spacing w:before="18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8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80"/>
        <w:rPr>
          <w:snapToGrid w:val="0"/>
        </w:rPr>
      </w:pPr>
      <w:r>
        <w:rPr>
          <w:snapToGrid w:val="0"/>
        </w:rPr>
        <w:tab/>
        <w:t>(3)</w:t>
      </w:r>
      <w:r>
        <w:rPr>
          <w:snapToGrid w:val="0"/>
        </w:rPr>
        <w:tab/>
        <w:t>If the court makes a detention order it is required to issue a warrant of commitment accordingly.</w:t>
      </w:r>
    </w:p>
    <w:p>
      <w:pPr>
        <w:pStyle w:val="Subsection"/>
        <w:keepLines/>
        <w:spacing w:before="18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spacing w:before="180"/>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Footnotesection"/>
      </w:pPr>
      <w:r>
        <w:tab/>
        <w:t>[Section 65C. Modifications to be applied in order to give effect to Cross-border Justice Act 2008: section altered 1 Dec 2009. See endnote 1M.]</w:t>
      </w:r>
    </w:p>
    <w:p>
      <w:pPr>
        <w:pStyle w:val="Heading3"/>
        <w:rPr>
          <w:snapToGrid w:val="0"/>
        </w:rPr>
      </w:pPr>
      <w:bookmarkStart w:id="240" w:name="_Toc405453199"/>
      <w:bookmarkStart w:id="241" w:name="_Toc413336924"/>
      <w:bookmarkStart w:id="242" w:name="_Toc413337200"/>
      <w:bookmarkStart w:id="243" w:name="_Toc413337028"/>
      <w:bookmarkStart w:id="244" w:name="_Toc422303267"/>
      <w:r>
        <w:rPr>
          <w:rStyle w:val="CharDivNo"/>
        </w:rPr>
        <w:t>Division 2</w:t>
      </w:r>
      <w:r>
        <w:rPr>
          <w:snapToGrid w:val="0"/>
        </w:rPr>
        <w:t> — </w:t>
      </w:r>
      <w:r>
        <w:rPr>
          <w:rStyle w:val="CharDivText"/>
        </w:rPr>
        <w:t>No punishment and no conditions</w:t>
      </w:r>
      <w:bookmarkEnd w:id="240"/>
      <w:bookmarkEnd w:id="241"/>
      <w:bookmarkEnd w:id="242"/>
      <w:bookmarkEnd w:id="243"/>
      <w:bookmarkEnd w:id="244"/>
      <w:r>
        <w:rPr>
          <w:rStyle w:val="CharDivText"/>
        </w:rPr>
        <w:t xml:space="preserve"> </w:t>
      </w:r>
    </w:p>
    <w:p>
      <w:pPr>
        <w:pStyle w:val="Heading5"/>
        <w:rPr>
          <w:snapToGrid w:val="0"/>
        </w:rPr>
      </w:pPr>
      <w:bookmarkStart w:id="245" w:name="_Toc405453200"/>
      <w:bookmarkStart w:id="246" w:name="_Toc422303268"/>
      <w:r>
        <w:rPr>
          <w:rStyle w:val="CharSectno"/>
        </w:rPr>
        <w:t>66</w:t>
      </w:r>
      <w:r>
        <w:rPr>
          <w:snapToGrid w:val="0"/>
        </w:rPr>
        <w:t>.</w:t>
      </w:r>
      <w:r>
        <w:rPr>
          <w:snapToGrid w:val="0"/>
        </w:rPr>
        <w:tab/>
        <w:t>Court may refrain from punishing in some cases</w:t>
      </w:r>
      <w:bookmarkEnd w:id="245"/>
      <w:bookmarkEnd w:id="246"/>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rPr>
          <w:snapToGrid w:val="0"/>
        </w:rPr>
      </w:pPr>
      <w:bookmarkStart w:id="247" w:name="_Toc405453201"/>
      <w:bookmarkStart w:id="248" w:name="_Toc413336926"/>
      <w:bookmarkStart w:id="249" w:name="_Toc413337202"/>
      <w:bookmarkStart w:id="250" w:name="_Toc413337031"/>
      <w:bookmarkStart w:id="251" w:name="_Toc422303269"/>
      <w:r>
        <w:rPr>
          <w:rStyle w:val="CharDivNo"/>
        </w:rPr>
        <w:t>Division 3</w:t>
      </w:r>
      <w:r>
        <w:rPr>
          <w:snapToGrid w:val="0"/>
        </w:rPr>
        <w:t> — </w:t>
      </w:r>
      <w:r>
        <w:rPr>
          <w:rStyle w:val="CharDivText"/>
        </w:rPr>
        <w:t>No punishment but conditions</w:t>
      </w:r>
      <w:bookmarkEnd w:id="247"/>
      <w:bookmarkEnd w:id="248"/>
      <w:bookmarkEnd w:id="249"/>
      <w:bookmarkEnd w:id="250"/>
      <w:bookmarkEnd w:id="251"/>
      <w:r>
        <w:rPr>
          <w:rStyle w:val="CharDivText"/>
        </w:rPr>
        <w:t xml:space="preserve"> </w:t>
      </w:r>
    </w:p>
    <w:p>
      <w:pPr>
        <w:pStyle w:val="Heading5"/>
        <w:spacing w:before="240"/>
        <w:rPr>
          <w:snapToGrid w:val="0"/>
        </w:rPr>
      </w:pPr>
      <w:bookmarkStart w:id="252" w:name="_Toc405453202"/>
      <w:bookmarkStart w:id="253" w:name="_Toc422303270"/>
      <w:r>
        <w:rPr>
          <w:rStyle w:val="CharSectno"/>
        </w:rPr>
        <w:t>67</w:t>
      </w:r>
      <w:r>
        <w:rPr>
          <w:snapToGrid w:val="0"/>
        </w:rPr>
        <w:t>.</w:t>
      </w:r>
      <w:r>
        <w:rPr>
          <w:snapToGrid w:val="0"/>
        </w:rPr>
        <w:tab/>
        <w:t>Undertakings and informal punishment</w:t>
      </w:r>
      <w:bookmarkEnd w:id="252"/>
      <w:bookmarkEnd w:id="253"/>
      <w:r>
        <w:rPr>
          <w:snapToGrid w:val="0"/>
        </w:rPr>
        <w:t xml:space="preserve"> </w:t>
      </w:r>
    </w:p>
    <w:p>
      <w:pPr>
        <w:pStyle w:val="Subsection"/>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rPr>
          <w:snapToGrid w:val="0"/>
        </w:rPr>
      </w:pPr>
      <w:r>
        <w:rPr>
          <w:snapToGrid w:val="0"/>
        </w:rPr>
        <w:tab/>
        <w:t>(2)</w:t>
      </w:r>
      <w:r>
        <w:rPr>
          <w:snapToGrid w:val="0"/>
        </w:rPr>
        <w:tab/>
        <w:t>The power given by subsection (1) is independent of the power given by section 66(1).</w:t>
      </w:r>
    </w:p>
    <w:p>
      <w:pPr>
        <w:pStyle w:val="Heading5"/>
        <w:spacing w:before="240"/>
        <w:rPr>
          <w:snapToGrid w:val="0"/>
        </w:rPr>
      </w:pPr>
      <w:bookmarkStart w:id="254" w:name="_Toc405453203"/>
      <w:bookmarkStart w:id="255" w:name="_Toc422303271"/>
      <w:r>
        <w:rPr>
          <w:rStyle w:val="CharSectno"/>
        </w:rPr>
        <w:t>68</w:t>
      </w:r>
      <w:r>
        <w:rPr>
          <w:snapToGrid w:val="0"/>
        </w:rPr>
        <w:t>.</w:t>
      </w:r>
      <w:r>
        <w:rPr>
          <w:snapToGrid w:val="0"/>
        </w:rPr>
        <w:tab/>
        <w:t>Adjournment</w:t>
      </w:r>
      <w:bookmarkEnd w:id="254"/>
      <w:bookmarkEnd w:id="255"/>
      <w:r>
        <w:rPr>
          <w:snapToGrid w:val="0"/>
        </w:rPr>
        <w:t xml:space="preserve"> </w:t>
      </w:r>
    </w:p>
    <w:p>
      <w:pPr>
        <w:pStyle w:val="Subsection"/>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256" w:name="_Toc405453204"/>
      <w:bookmarkStart w:id="257" w:name="_Toc413336929"/>
      <w:bookmarkStart w:id="258" w:name="_Toc413337205"/>
      <w:bookmarkStart w:id="259" w:name="_Toc413337034"/>
      <w:bookmarkStart w:id="260" w:name="_Toc422303272"/>
      <w:r>
        <w:rPr>
          <w:rStyle w:val="CharDivNo"/>
        </w:rPr>
        <w:t>Division 4</w:t>
      </w:r>
      <w:r>
        <w:rPr>
          <w:snapToGrid w:val="0"/>
        </w:rPr>
        <w:t> — </w:t>
      </w:r>
      <w:r>
        <w:rPr>
          <w:rStyle w:val="CharDivText"/>
        </w:rPr>
        <w:t>No punishment but security or recognisance</w:t>
      </w:r>
      <w:bookmarkEnd w:id="256"/>
      <w:bookmarkEnd w:id="257"/>
      <w:bookmarkEnd w:id="258"/>
      <w:bookmarkEnd w:id="259"/>
      <w:bookmarkEnd w:id="260"/>
      <w:r>
        <w:rPr>
          <w:rStyle w:val="CharDivText"/>
        </w:rPr>
        <w:t xml:space="preserve"> </w:t>
      </w:r>
    </w:p>
    <w:p>
      <w:pPr>
        <w:pStyle w:val="Heading5"/>
        <w:rPr>
          <w:snapToGrid w:val="0"/>
        </w:rPr>
      </w:pPr>
      <w:bookmarkStart w:id="261" w:name="_Toc405453205"/>
      <w:bookmarkStart w:id="262" w:name="_Toc422303273"/>
      <w:r>
        <w:rPr>
          <w:rStyle w:val="CharSectno"/>
        </w:rPr>
        <w:t>69</w:t>
      </w:r>
      <w:r>
        <w:rPr>
          <w:snapToGrid w:val="0"/>
        </w:rPr>
        <w:t>.</w:t>
      </w:r>
      <w:r>
        <w:rPr>
          <w:snapToGrid w:val="0"/>
        </w:rPr>
        <w:tab/>
        <w:t>Recognisance by offender to be of good behaviour etc.</w:t>
      </w:r>
      <w:bookmarkEnd w:id="261"/>
      <w:bookmarkEnd w:id="262"/>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263" w:name="_Toc405453206"/>
      <w:bookmarkStart w:id="264" w:name="_Toc422303274"/>
      <w:r>
        <w:rPr>
          <w:rStyle w:val="CharSectno"/>
        </w:rPr>
        <w:t>70</w:t>
      </w:r>
      <w:r>
        <w:rPr>
          <w:snapToGrid w:val="0"/>
        </w:rPr>
        <w:t>.</w:t>
      </w:r>
      <w:r>
        <w:rPr>
          <w:snapToGrid w:val="0"/>
        </w:rPr>
        <w:tab/>
        <w:t>Responsible adult may give security for offender’s good behaviour etc.</w:t>
      </w:r>
      <w:bookmarkEnd w:id="263"/>
      <w:bookmarkEnd w:id="264"/>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265" w:name="_Toc405453207"/>
      <w:bookmarkStart w:id="266" w:name="_Toc413336932"/>
      <w:bookmarkStart w:id="267" w:name="_Toc413337208"/>
      <w:bookmarkStart w:id="268" w:name="_Toc413337037"/>
      <w:bookmarkStart w:id="269" w:name="_Toc422303275"/>
      <w:r>
        <w:rPr>
          <w:rStyle w:val="CharDivNo"/>
        </w:rPr>
        <w:t>Division 5</w:t>
      </w:r>
      <w:r>
        <w:rPr>
          <w:snapToGrid w:val="0"/>
        </w:rPr>
        <w:t> — </w:t>
      </w:r>
      <w:r>
        <w:rPr>
          <w:rStyle w:val="CharDivText"/>
        </w:rPr>
        <w:t>Fine</w:t>
      </w:r>
      <w:bookmarkEnd w:id="265"/>
      <w:bookmarkEnd w:id="266"/>
      <w:bookmarkEnd w:id="267"/>
      <w:bookmarkEnd w:id="268"/>
      <w:bookmarkEnd w:id="269"/>
      <w:r>
        <w:rPr>
          <w:rStyle w:val="CharDivText"/>
        </w:rPr>
        <w:t xml:space="preserve"> </w:t>
      </w:r>
    </w:p>
    <w:p>
      <w:pPr>
        <w:pStyle w:val="Heading5"/>
        <w:rPr>
          <w:snapToGrid w:val="0"/>
        </w:rPr>
      </w:pPr>
      <w:bookmarkStart w:id="270" w:name="_Toc405453208"/>
      <w:bookmarkStart w:id="271" w:name="_Toc422303276"/>
      <w:r>
        <w:rPr>
          <w:rStyle w:val="CharSectno"/>
        </w:rPr>
        <w:t>71</w:t>
      </w:r>
      <w:r>
        <w:rPr>
          <w:snapToGrid w:val="0"/>
        </w:rPr>
        <w:t>.</w:t>
      </w:r>
      <w:r>
        <w:rPr>
          <w:snapToGrid w:val="0"/>
        </w:rPr>
        <w:tab/>
        <w:t>Fine instead of imprisonment</w:t>
      </w:r>
      <w:bookmarkEnd w:id="270"/>
      <w:bookmarkEnd w:id="271"/>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272" w:name="_Toc405453209"/>
      <w:bookmarkStart w:id="273" w:name="_Toc422303277"/>
      <w:r>
        <w:rPr>
          <w:rStyle w:val="CharSectno"/>
        </w:rPr>
        <w:t>72</w:t>
      </w:r>
      <w:r>
        <w:rPr>
          <w:snapToGrid w:val="0"/>
        </w:rPr>
        <w:t>.</w:t>
      </w:r>
      <w:r>
        <w:rPr>
          <w:snapToGrid w:val="0"/>
        </w:rPr>
        <w:tab/>
        <w:t>Offender must be able to pay</w:t>
      </w:r>
      <w:bookmarkEnd w:id="272"/>
      <w:bookmarkEnd w:id="273"/>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274" w:name="_Toc405453210"/>
      <w:bookmarkStart w:id="275" w:name="_Toc413336935"/>
      <w:bookmarkStart w:id="276" w:name="_Toc413337211"/>
      <w:bookmarkStart w:id="277" w:name="_Toc413337040"/>
      <w:bookmarkStart w:id="278" w:name="_Toc422303278"/>
      <w:r>
        <w:rPr>
          <w:rStyle w:val="CharDivNo"/>
        </w:rPr>
        <w:t>Division 6</w:t>
      </w:r>
      <w:r>
        <w:rPr>
          <w:snapToGrid w:val="0"/>
        </w:rPr>
        <w:t> — </w:t>
      </w:r>
      <w:r>
        <w:rPr>
          <w:rStyle w:val="CharDivText"/>
        </w:rPr>
        <w:t>Youth community based order</w:t>
      </w:r>
      <w:bookmarkEnd w:id="274"/>
      <w:bookmarkEnd w:id="275"/>
      <w:bookmarkEnd w:id="276"/>
      <w:bookmarkEnd w:id="277"/>
      <w:bookmarkEnd w:id="278"/>
      <w:r>
        <w:rPr>
          <w:rStyle w:val="CharDivText"/>
        </w:rPr>
        <w:t xml:space="preserve"> </w:t>
      </w:r>
    </w:p>
    <w:p>
      <w:pPr>
        <w:pStyle w:val="Heading5"/>
        <w:rPr>
          <w:snapToGrid w:val="0"/>
        </w:rPr>
      </w:pPr>
      <w:bookmarkStart w:id="279" w:name="_Toc405453211"/>
      <w:bookmarkStart w:id="280" w:name="_Toc422303279"/>
      <w:r>
        <w:rPr>
          <w:rStyle w:val="CharSectno"/>
        </w:rPr>
        <w:t>73</w:t>
      </w:r>
      <w:r>
        <w:rPr>
          <w:snapToGrid w:val="0"/>
        </w:rPr>
        <w:t>.</w:t>
      </w:r>
      <w:r>
        <w:rPr>
          <w:snapToGrid w:val="0"/>
        </w:rPr>
        <w:tab/>
        <w:t>Youth community based order, nature of</w:t>
      </w:r>
      <w:bookmarkEnd w:id="279"/>
      <w:bookmarkEnd w:id="280"/>
      <w:r>
        <w:rPr>
          <w:snapToGrid w:val="0"/>
        </w:rPr>
        <w:t xml:space="preserve"> </w:t>
      </w:r>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281" w:name="_Toc405453212"/>
      <w:bookmarkStart w:id="282" w:name="_Toc422303280"/>
      <w:r>
        <w:rPr>
          <w:rStyle w:val="CharSectno"/>
        </w:rPr>
        <w:t>74</w:t>
      </w:r>
      <w:r>
        <w:rPr>
          <w:snapToGrid w:val="0"/>
        </w:rPr>
        <w:t>.</w:t>
      </w:r>
      <w:r>
        <w:rPr>
          <w:snapToGrid w:val="0"/>
        </w:rPr>
        <w:tab/>
        <w:t>Offender must be suitable and consent</w:t>
      </w:r>
      <w:bookmarkEnd w:id="281"/>
      <w:bookmarkEnd w:id="282"/>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283" w:name="_Toc405453213"/>
      <w:bookmarkStart w:id="284" w:name="_Toc422303281"/>
      <w:r>
        <w:rPr>
          <w:rStyle w:val="CharSectno"/>
        </w:rPr>
        <w:t>75</w:t>
      </w:r>
      <w:r>
        <w:rPr>
          <w:snapToGrid w:val="0"/>
        </w:rPr>
        <w:t>.</w:t>
      </w:r>
      <w:r>
        <w:rPr>
          <w:snapToGrid w:val="0"/>
        </w:rPr>
        <w:tab/>
        <w:t>Proposed agenda required for suitable person</w:t>
      </w:r>
      <w:bookmarkEnd w:id="283"/>
      <w:bookmarkEnd w:id="284"/>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rPr>
          <w:snapToGrid w:val="0"/>
        </w:rPr>
      </w:pPr>
      <w:bookmarkStart w:id="285" w:name="_Toc405453214"/>
      <w:bookmarkStart w:id="286" w:name="_Toc422303282"/>
      <w:r>
        <w:rPr>
          <w:rStyle w:val="CharSectno"/>
        </w:rPr>
        <w:t>76</w:t>
      </w:r>
      <w:r>
        <w:rPr>
          <w:snapToGrid w:val="0"/>
        </w:rPr>
        <w:t>.</w:t>
      </w:r>
      <w:r>
        <w:rPr>
          <w:snapToGrid w:val="0"/>
        </w:rPr>
        <w:tab/>
        <w:t>Duration of order</w:t>
      </w:r>
      <w:bookmarkEnd w:id="285"/>
      <w:bookmarkEnd w:id="286"/>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287" w:name="_Toc405453215"/>
      <w:bookmarkStart w:id="288" w:name="_Toc422303283"/>
      <w:r>
        <w:rPr>
          <w:rStyle w:val="CharSectno"/>
        </w:rPr>
        <w:t>77</w:t>
      </w:r>
      <w:r>
        <w:rPr>
          <w:snapToGrid w:val="0"/>
        </w:rPr>
        <w:t>.</w:t>
      </w:r>
      <w:r>
        <w:rPr>
          <w:snapToGrid w:val="0"/>
        </w:rPr>
        <w:tab/>
        <w:t>Supervising officer</w:t>
      </w:r>
      <w:bookmarkEnd w:id="287"/>
      <w:bookmarkEnd w:id="288"/>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289" w:name="_Toc405453216"/>
      <w:bookmarkStart w:id="290" w:name="_Toc422303284"/>
      <w:r>
        <w:rPr>
          <w:rStyle w:val="CharSectno"/>
        </w:rPr>
        <w:t>78</w:t>
      </w:r>
      <w:r>
        <w:rPr>
          <w:snapToGrid w:val="0"/>
        </w:rPr>
        <w:t>.</w:t>
      </w:r>
      <w:r>
        <w:rPr>
          <w:snapToGrid w:val="0"/>
        </w:rPr>
        <w:tab/>
        <w:t>Conditions implied in order</w:t>
      </w:r>
      <w:bookmarkEnd w:id="289"/>
      <w:bookmarkEnd w:id="290"/>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291" w:name="_Toc405453217"/>
      <w:bookmarkStart w:id="292" w:name="_Toc422303285"/>
      <w:r>
        <w:rPr>
          <w:rStyle w:val="CharSectno"/>
        </w:rPr>
        <w:t>79</w:t>
      </w:r>
      <w:r>
        <w:rPr>
          <w:snapToGrid w:val="0"/>
        </w:rPr>
        <w:t>.</w:t>
      </w:r>
      <w:r>
        <w:rPr>
          <w:snapToGrid w:val="0"/>
        </w:rPr>
        <w:tab/>
        <w:t>Obligations under order may be suspended</w:t>
      </w:r>
      <w:bookmarkEnd w:id="291"/>
      <w:bookmarkEnd w:id="292"/>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293" w:name="_Toc405453218"/>
      <w:bookmarkStart w:id="294" w:name="_Toc422303286"/>
      <w:r>
        <w:rPr>
          <w:rStyle w:val="CharSectno"/>
        </w:rPr>
        <w:t>80</w:t>
      </w:r>
      <w:r>
        <w:rPr>
          <w:snapToGrid w:val="0"/>
        </w:rPr>
        <w:t>.</w:t>
      </w:r>
      <w:r>
        <w:rPr>
          <w:snapToGrid w:val="0"/>
        </w:rPr>
        <w:tab/>
        <w:t>Amendment of order, extent of power</w:t>
      </w:r>
      <w:bookmarkEnd w:id="293"/>
      <w:bookmarkEnd w:id="294"/>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 or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295" w:name="_Toc405453219"/>
      <w:bookmarkStart w:id="296" w:name="_Toc422303287"/>
      <w:r>
        <w:rPr>
          <w:rStyle w:val="CharSectno"/>
        </w:rPr>
        <w:t>81</w:t>
      </w:r>
      <w:r>
        <w:rPr>
          <w:snapToGrid w:val="0"/>
        </w:rPr>
        <w:t>.</w:t>
      </w:r>
      <w:r>
        <w:rPr>
          <w:snapToGrid w:val="0"/>
        </w:rPr>
        <w:tab/>
        <w:t>Amendment of order</w:t>
      </w:r>
      <w:bookmarkEnd w:id="295"/>
      <w:bookmarkEnd w:id="296"/>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297" w:name="_Toc405453220"/>
      <w:bookmarkStart w:id="298" w:name="_Toc422303288"/>
      <w:r>
        <w:rPr>
          <w:rStyle w:val="CharSectno"/>
        </w:rPr>
        <w:t>82</w:t>
      </w:r>
      <w:r>
        <w:rPr>
          <w:snapToGrid w:val="0"/>
        </w:rPr>
        <w:t>.</w:t>
      </w:r>
      <w:r>
        <w:rPr>
          <w:snapToGrid w:val="0"/>
        </w:rPr>
        <w:tab/>
        <w:t>Breach of order, CEO may require offender to attend court</w:t>
      </w:r>
      <w:bookmarkEnd w:id="297"/>
      <w:bookmarkEnd w:id="298"/>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299" w:name="_Toc405453221"/>
      <w:bookmarkStart w:id="300" w:name="_Toc422303289"/>
      <w:r>
        <w:rPr>
          <w:rStyle w:val="CharSectno"/>
        </w:rPr>
        <w:t>83</w:t>
      </w:r>
      <w:r>
        <w:rPr>
          <w:snapToGrid w:val="0"/>
        </w:rPr>
        <w:t>.</w:t>
      </w:r>
      <w:r>
        <w:rPr>
          <w:snapToGrid w:val="0"/>
        </w:rPr>
        <w:tab/>
        <w:t>Breach of order, powers to deal with</w:t>
      </w:r>
      <w:bookmarkEnd w:id="299"/>
      <w:bookmarkEnd w:id="300"/>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 or</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w:t>
      </w:r>
      <w:r>
        <w:t>called the</w:t>
      </w:r>
      <w:r>
        <w:rPr>
          <w:b/>
          <w:i/>
          <w:snapToGrid w:val="0"/>
        </w:rPr>
        <w:t xml:space="preserve"> </w:t>
      </w:r>
      <w:r>
        <w:rPr>
          <w:rStyle w:val="CharDefText"/>
        </w:rPr>
        <w:t>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 and</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301" w:name="_Toc405453222"/>
      <w:bookmarkStart w:id="302" w:name="_Toc422303290"/>
      <w:r>
        <w:rPr>
          <w:rStyle w:val="CharSectno"/>
        </w:rPr>
        <w:t>84</w:t>
      </w:r>
      <w:r>
        <w:rPr>
          <w:snapToGrid w:val="0"/>
        </w:rPr>
        <w:t>.</w:t>
      </w:r>
      <w:r>
        <w:rPr>
          <w:snapToGrid w:val="0"/>
        </w:rPr>
        <w:tab/>
        <w:t>Breach of order by re</w:t>
      </w:r>
      <w:r>
        <w:rPr>
          <w:snapToGrid w:val="0"/>
        </w:rPr>
        <w:noBreakHyphen/>
        <w:t>offending, new order may be made</w:t>
      </w:r>
      <w:bookmarkEnd w:id="301"/>
      <w:bookmarkEnd w:id="302"/>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303" w:name="_Toc405453223"/>
      <w:bookmarkStart w:id="304" w:name="_Toc422303291"/>
      <w:r>
        <w:rPr>
          <w:rStyle w:val="CharSectno"/>
        </w:rPr>
        <w:t>85</w:t>
      </w:r>
      <w:r>
        <w:rPr>
          <w:snapToGrid w:val="0"/>
        </w:rPr>
        <w:t>.</w:t>
      </w:r>
      <w:r>
        <w:rPr>
          <w:snapToGrid w:val="0"/>
        </w:rPr>
        <w:tab/>
        <w:t>Discharge or fulfillment of order, effect of</w:t>
      </w:r>
      <w:bookmarkEnd w:id="303"/>
      <w:bookmarkEnd w:id="304"/>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305" w:name="_Toc405453224"/>
      <w:bookmarkStart w:id="306" w:name="_Toc422303292"/>
      <w:r>
        <w:rPr>
          <w:rStyle w:val="CharSectno"/>
        </w:rPr>
        <w:t>86</w:t>
      </w:r>
      <w:r>
        <w:rPr>
          <w:snapToGrid w:val="0"/>
        </w:rPr>
        <w:t>.</w:t>
      </w:r>
      <w:r>
        <w:rPr>
          <w:snapToGrid w:val="0"/>
        </w:rPr>
        <w:tab/>
        <w:t>Proof of identity in proceedings for breach of order</w:t>
      </w:r>
      <w:bookmarkEnd w:id="305"/>
      <w:bookmarkEnd w:id="306"/>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rPr>
          <w:snapToGrid w:val="0"/>
        </w:rPr>
      </w:pPr>
      <w:bookmarkStart w:id="307" w:name="_Toc405453225"/>
      <w:bookmarkStart w:id="308" w:name="_Toc422303293"/>
      <w:r>
        <w:rPr>
          <w:rStyle w:val="CharSectno"/>
        </w:rPr>
        <w:t>87</w:t>
      </w:r>
      <w:r>
        <w:rPr>
          <w:snapToGrid w:val="0"/>
        </w:rPr>
        <w:t>.</w:t>
      </w:r>
      <w:r>
        <w:rPr>
          <w:snapToGrid w:val="0"/>
        </w:rPr>
        <w:tab/>
        <w:t>Notice of court applications</w:t>
      </w:r>
      <w:bookmarkEnd w:id="307"/>
      <w:bookmarkEnd w:id="308"/>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rPr>
          <w:snapToGrid w:val="0"/>
        </w:rPr>
      </w:pPr>
      <w:bookmarkStart w:id="309" w:name="_Toc405453226"/>
      <w:bookmarkStart w:id="310" w:name="_Toc413336951"/>
      <w:bookmarkStart w:id="311" w:name="_Toc413337227"/>
      <w:bookmarkStart w:id="312" w:name="_Toc413337057"/>
      <w:bookmarkStart w:id="313" w:name="_Toc422303294"/>
      <w:r>
        <w:rPr>
          <w:snapToGrid w:val="0"/>
        </w:rPr>
        <w:t>Subdivision 1 — Attendance conditions</w:t>
      </w:r>
      <w:bookmarkEnd w:id="309"/>
      <w:bookmarkEnd w:id="310"/>
      <w:bookmarkEnd w:id="311"/>
      <w:bookmarkEnd w:id="312"/>
      <w:bookmarkEnd w:id="313"/>
      <w:r>
        <w:rPr>
          <w:snapToGrid w:val="0"/>
        </w:rPr>
        <w:t xml:space="preserve"> </w:t>
      </w:r>
    </w:p>
    <w:p>
      <w:pPr>
        <w:pStyle w:val="Heading5"/>
        <w:rPr>
          <w:snapToGrid w:val="0"/>
        </w:rPr>
      </w:pPr>
      <w:bookmarkStart w:id="314" w:name="_Toc405453227"/>
      <w:bookmarkStart w:id="315" w:name="_Toc422303295"/>
      <w:r>
        <w:rPr>
          <w:rStyle w:val="CharSectno"/>
        </w:rPr>
        <w:t>88</w:t>
      </w:r>
      <w:r>
        <w:rPr>
          <w:snapToGrid w:val="0"/>
        </w:rPr>
        <w:t>.</w:t>
      </w:r>
      <w:r>
        <w:rPr>
          <w:snapToGrid w:val="0"/>
        </w:rPr>
        <w:tab/>
        <w:t>Requirement to attend courses</w:t>
      </w:r>
      <w:bookmarkEnd w:id="314"/>
      <w:bookmarkEnd w:id="315"/>
      <w:r>
        <w:rPr>
          <w:snapToGrid w:val="0"/>
        </w:rPr>
        <w:t xml:space="preserve"> </w:t>
      </w:r>
    </w:p>
    <w:p>
      <w:pPr>
        <w:pStyle w:val="Subsection"/>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 or</w:t>
      </w:r>
    </w:p>
    <w:p>
      <w:pPr>
        <w:pStyle w:val="Indenta"/>
        <w:rPr>
          <w:snapToGrid w:val="0"/>
        </w:rPr>
      </w:pPr>
      <w:r>
        <w:rPr>
          <w:snapToGrid w:val="0"/>
        </w:rPr>
        <w:tab/>
        <w:t>(b)</w:t>
      </w:r>
      <w:r>
        <w:rPr>
          <w:snapToGrid w:val="0"/>
        </w:rPr>
        <w:tab/>
        <w:t>to attend at a place that is more than 30 km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rPr>
          <w:snapToGrid w:val="0"/>
        </w:rPr>
      </w:pPr>
      <w:bookmarkStart w:id="316" w:name="_Toc405453228"/>
      <w:bookmarkStart w:id="317" w:name="_Toc413336953"/>
      <w:bookmarkStart w:id="318" w:name="_Toc413337229"/>
      <w:bookmarkStart w:id="319" w:name="_Toc413337059"/>
      <w:bookmarkStart w:id="320" w:name="_Toc422303296"/>
      <w:r>
        <w:rPr>
          <w:snapToGrid w:val="0"/>
        </w:rPr>
        <w:t>Subdivision 2 — Community work conditions</w:t>
      </w:r>
      <w:bookmarkEnd w:id="316"/>
      <w:bookmarkEnd w:id="317"/>
      <w:bookmarkEnd w:id="318"/>
      <w:bookmarkEnd w:id="319"/>
      <w:bookmarkEnd w:id="320"/>
      <w:r>
        <w:rPr>
          <w:snapToGrid w:val="0"/>
        </w:rPr>
        <w:t xml:space="preserve"> </w:t>
      </w:r>
    </w:p>
    <w:p>
      <w:pPr>
        <w:pStyle w:val="Heading5"/>
        <w:rPr>
          <w:snapToGrid w:val="0"/>
        </w:rPr>
      </w:pPr>
      <w:bookmarkStart w:id="321" w:name="_Toc405453229"/>
      <w:bookmarkStart w:id="322" w:name="_Toc422303297"/>
      <w:r>
        <w:rPr>
          <w:rStyle w:val="CharSectno"/>
        </w:rPr>
        <w:t>89</w:t>
      </w:r>
      <w:r>
        <w:rPr>
          <w:snapToGrid w:val="0"/>
        </w:rPr>
        <w:t>.</w:t>
      </w:r>
      <w:r>
        <w:rPr>
          <w:snapToGrid w:val="0"/>
        </w:rPr>
        <w:tab/>
        <w:t>Requirement to perform unpaid work</w:t>
      </w:r>
      <w:bookmarkEnd w:id="321"/>
      <w:bookmarkEnd w:id="322"/>
      <w:r>
        <w:rPr>
          <w:snapToGrid w:val="0"/>
        </w:rPr>
        <w:t xml:space="preserve"> </w:t>
      </w:r>
    </w:p>
    <w:p>
      <w:pPr>
        <w:pStyle w:val="Subsection"/>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323" w:name="_Toc405453230"/>
      <w:bookmarkStart w:id="324" w:name="_Toc422303298"/>
      <w:r>
        <w:rPr>
          <w:rStyle w:val="CharSectno"/>
        </w:rPr>
        <w:t>90</w:t>
      </w:r>
      <w:r>
        <w:rPr>
          <w:snapToGrid w:val="0"/>
        </w:rPr>
        <w:t>.</w:t>
      </w:r>
      <w:r>
        <w:rPr>
          <w:snapToGrid w:val="0"/>
        </w:rPr>
        <w:tab/>
        <w:t>Conditions cannot be imposed on child under 12</w:t>
      </w:r>
      <w:bookmarkEnd w:id="323"/>
      <w:bookmarkEnd w:id="324"/>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325" w:name="_Toc405453231"/>
      <w:bookmarkStart w:id="326" w:name="_Toc422303299"/>
      <w:r>
        <w:rPr>
          <w:rStyle w:val="CharSectno"/>
        </w:rPr>
        <w:t>91</w:t>
      </w:r>
      <w:r>
        <w:rPr>
          <w:snapToGrid w:val="0"/>
        </w:rPr>
        <w:t>.</w:t>
      </w:r>
      <w:r>
        <w:rPr>
          <w:snapToGrid w:val="0"/>
        </w:rPr>
        <w:tab/>
        <w:t>Community work, minimum and maximum hours of</w:t>
      </w:r>
      <w:bookmarkEnd w:id="325"/>
      <w:bookmarkEnd w:id="326"/>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327" w:name="_Toc405453232"/>
      <w:bookmarkStart w:id="328" w:name="_Toc422303300"/>
      <w:r>
        <w:rPr>
          <w:rStyle w:val="CharSectno"/>
        </w:rPr>
        <w:t>92</w:t>
      </w:r>
      <w:r>
        <w:rPr>
          <w:snapToGrid w:val="0"/>
        </w:rPr>
        <w:t>.</w:t>
      </w:r>
      <w:r>
        <w:rPr>
          <w:snapToGrid w:val="0"/>
        </w:rPr>
        <w:tab/>
        <w:t>Offender to attend before Departmental officer</w:t>
      </w:r>
      <w:bookmarkEnd w:id="327"/>
      <w:bookmarkEnd w:id="328"/>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329" w:name="_Toc405453233"/>
      <w:bookmarkStart w:id="330" w:name="_Toc422303301"/>
      <w:r>
        <w:rPr>
          <w:rStyle w:val="CharSectno"/>
        </w:rPr>
        <w:t>93</w:t>
      </w:r>
      <w:r>
        <w:rPr>
          <w:snapToGrid w:val="0"/>
        </w:rPr>
        <w:t>.</w:t>
      </w:r>
      <w:r>
        <w:rPr>
          <w:snapToGrid w:val="0"/>
        </w:rPr>
        <w:tab/>
        <w:t>Performing the work</w:t>
      </w:r>
      <w:bookmarkEnd w:id="329"/>
      <w:bookmarkEnd w:id="330"/>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331" w:name="_Toc405453234"/>
      <w:bookmarkStart w:id="332" w:name="_Toc422303302"/>
      <w:r>
        <w:rPr>
          <w:rStyle w:val="CharSectno"/>
        </w:rPr>
        <w:t>94</w:t>
      </w:r>
      <w:r>
        <w:rPr>
          <w:snapToGrid w:val="0"/>
        </w:rPr>
        <w:t>.</w:t>
      </w:r>
      <w:r>
        <w:rPr>
          <w:snapToGrid w:val="0"/>
        </w:rPr>
        <w:tab/>
        <w:t>Regulations relating to community work conditions</w:t>
      </w:r>
      <w:bookmarkEnd w:id="331"/>
      <w:bookmarkEnd w:id="332"/>
      <w:r>
        <w:rPr>
          <w:snapToGrid w:val="0"/>
        </w:rPr>
        <w:t xml:space="preserve"> </w:t>
      </w:r>
    </w:p>
    <w:p>
      <w:pPr>
        <w:pStyle w:val="Subsection"/>
        <w:keepNext/>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rPr>
          <w:snapToGrid w:val="0"/>
        </w:rPr>
      </w:pPr>
      <w:bookmarkStart w:id="333" w:name="_Toc405453235"/>
      <w:bookmarkStart w:id="334" w:name="_Toc413336960"/>
      <w:bookmarkStart w:id="335" w:name="_Toc413337236"/>
      <w:bookmarkStart w:id="336" w:name="_Toc413337067"/>
      <w:bookmarkStart w:id="337" w:name="_Toc422303303"/>
      <w:r>
        <w:rPr>
          <w:snapToGrid w:val="0"/>
        </w:rPr>
        <w:t>Subdivision 3 — Supervision conditions</w:t>
      </w:r>
      <w:bookmarkEnd w:id="333"/>
      <w:bookmarkEnd w:id="334"/>
      <w:bookmarkEnd w:id="335"/>
      <w:bookmarkEnd w:id="336"/>
      <w:bookmarkEnd w:id="337"/>
      <w:r>
        <w:rPr>
          <w:snapToGrid w:val="0"/>
        </w:rPr>
        <w:t xml:space="preserve"> </w:t>
      </w:r>
    </w:p>
    <w:p>
      <w:pPr>
        <w:pStyle w:val="Heading5"/>
        <w:rPr>
          <w:snapToGrid w:val="0"/>
        </w:rPr>
      </w:pPr>
      <w:bookmarkStart w:id="338" w:name="_Toc405453236"/>
      <w:bookmarkStart w:id="339" w:name="_Toc422303304"/>
      <w:r>
        <w:rPr>
          <w:rStyle w:val="CharSectno"/>
        </w:rPr>
        <w:t>95</w:t>
      </w:r>
      <w:r>
        <w:rPr>
          <w:snapToGrid w:val="0"/>
        </w:rPr>
        <w:t>.</w:t>
      </w:r>
      <w:r>
        <w:rPr>
          <w:snapToGrid w:val="0"/>
        </w:rPr>
        <w:tab/>
        <w:t>Requirement to be supervised</w:t>
      </w:r>
      <w:bookmarkEnd w:id="338"/>
      <w:bookmarkEnd w:id="339"/>
      <w:r>
        <w:rPr>
          <w:snapToGrid w:val="0"/>
        </w:rPr>
        <w:t xml:space="preserve"> </w:t>
      </w:r>
    </w:p>
    <w:p>
      <w:pPr>
        <w:pStyle w:val="Subsection"/>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340" w:name="_Toc405453237"/>
      <w:bookmarkStart w:id="341" w:name="_Toc422303305"/>
      <w:r>
        <w:rPr>
          <w:rStyle w:val="CharSectno"/>
        </w:rPr>
        <w:t>96</w:t>
      </w:r>
      <w:r>
        <w:rPr>
          <w:snapToGrid w:val="0"/>
        </w:rPr>
        <w:t>.</w:t>
      </w:r>
      <w:r>
        <w:rPr>
          <w:snapToGrid w:val="0"/>
        </w:rPr>
        <w:tab/>
        <w:t>Duration of supervision</w:t>
      </w:r>
      <w:bookmarkEnd w:id="340"/>
      <w:bookmarkEnd w:id="341"/>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by No. 5 of 2008 s. 132(2).]</w:t>
      </w:r>
    </w:p>
    <w:p>
      <w:pPr>
        <w:pStyle w:val="Heading5"/>
        <w:rPr>
          <w:snapToGrid w:val="0"/>
        </w:rPr>
      </w:pPr>
      <w:bookmarkStart w:id="342" w:name="_Toc405453238"/>
      <w:bookmarkStart w:id="343" w:name="_Toc422303306"/>
      <w:r>
        <w:rPr>
          <w:rStyle w:val="CharSectno"/>
        </w:rPr>
        <w:t>97</w:t>
      </w:r>
      <w:r>
        <w:rPr>
          <w:snapToGrid w:val="0"/>
        </w:rPr>
        <w:t>.</w:t>
      </w:r>
      <w:r>
        <w:rPr>
          <w:snapToGrid w:val="0"/>
        </w:rPr>
        <w:tab/>
        <w:t>Changing duration of supervision</w:t>
      </w:r>
      <w:bookmarkEnd w:id="342"/>
      <w:bookmarkEnd w:id="343"/>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344" w:name="_Toc405453239"/>
      <w:bookmarkStart w:id="345" w:name="_Toc413336964"/>
      <w:bookmarkStart w:id="346" w:name="_Toc413337240"/>
      <w:bookmarkStart w:id="347" w:name="_Toc413337071"/>
      <w:bookmarkStart w:id="348" w:name="_Toc422303307"/>
      <w:r>
        <w:rPr>
          <w:rStyle w:val="CharDivNo"/>
        </w:rPr>
        <w:t>Division 7</w:t>
      </w:r>
      <w:r>
        <w:rPr>
          <w:snapToGrid w:val="0"/>
        </w:rPr>
        <w:t> — </w:t>
      </w:r>
      <w:r>
        <w:rPr>
          <w:rStyle w:val="CharDivText"/>
        </w:rPr>
        <w:t>Intensive youth supervision order</w:t>
      </w:r>
      <w:bookmarkEnd w:id="344"/>
      <w:bookmarkEnd w:id="345"/>
      <w:bookmarkEnd w:id="346"/>
      <w:bookmarkEnd w:id="347"/>
      <w:bookmarkEnd w:id="348"/>
      <w:r>
        <w:rPr>
          <w:rStyle w:val="CharDivText"/>
        </w:rPr>
        <w:t xml:space="preserve"> </w:t>
      </w:r>
    </w:p>
    <w:p>
      <w:pPr>
        <w:pStyle w:val="Heading5"/>
        <w:rPr>
          <w:snapToGrid w:val="0"/>
        </w:rPr>
      </w:pPr>
      <w:bookmarkStart w:id="349" w:name="_Toc405453240"/>
      <w:bookmarkStart w:id="350" w:name="_Toc422303308"/>
      <w:r>
        <w:rPr>
          <w:rStyle w:val="CharSectno"/>
        </w:rPr>
        <w:t>98</w:t>
      </w:r>
      <w:r>
        <w:rPr>
          <w:snapToGrid w:val="0"/>
        </w:rPr>
        <w:t>.</w:t>
      </w:r>
      <w:r>
        <w:rPr>
          <w:snapToGrid w:val="0"/>
        </w:rPr>
        <w:tab/>
        <w:t>Intensive youth supervision order, nature of</w:t>
      </w:r>
      <w:bookmarkEnd w:id="349"/>
      <w:bookmarkEnd w:id="350"/>
      <w:r>
        <w:rPr>
          <w:snapToGrid w:val="0"/>
        </w:rPr>
        <w:t xml:space="preserve"> </w:t>
      </w:r>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351" w:name="_Toc405453241"/>
      <w:bookmarkStart w:id="352" w:name="_Toc422303309"/>
      <w:r>
        <w:rPr>
          <w:rStyle w:val="CharSectno"/>
        </w:rPr>
        <w:t>99</w:t>
      </w:r>
      <w:r>
        <w:rPr>
          <w:snapToGrid w:val="0"/>
        </w:rPr>
        <w:t>.</w:t>
      </w:r>
      <w:r>
        <w:rPr>
          <w:snapToGrid w:val="0"/>
        </w:rPr>
        <w:tab/>
        <w:t>Order may be made with or without custodial sentence</w:t>
      </w:r>
      <w:bookmarkEnd w:id="351"/>
      <w:bookmarkEnd w:id="352"/>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spacing w:before="180"/>
        <w:rPr>
          <w:snapToGrid w:val="0"/>
        </w:rPr>
      </w:pPr>
      <w:bookmarkStart w:id="353" w:name="_Toc405453242"/>
      <w:bookmarkStart w:id="354" w:name="_Toc422303310"/>
      <w:r>
        <w:rPr>
          <w:rStyle w:val="CharSectno"/>
        </w:rPr>
        <w:t>100</w:t>
      </w:r>
      <w:r>
        <w:rPr>
          <w:snapToGrid w:val="0"/>
        </w:rPr>
        <w:t>.</w:t>
      </w:r>
      <w:r>
        <w:rPr>
          <w:snapToGrid w:val="0"/>
        </w:rPr>
        <w:tab/>
        <w:t>Order without custodial sentence</w:t>
      </w:r>
      <w:bookmarkEnd w:id="353"/>
      <w:bookmarkEnd w:id="354"/>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spacing w:before="180"/>
        <w:rPr>
          <w:snapToGrid w:val="0"/>
        </w:rPr>
      </w:pPr>
      <w:bookmarkStart w:id="355" w:name="_Toc405453243"/>
      <w:bookmarkStart w:id="356" w:name="_Toc422303311"/>
      <w:r>
        <w:rPr>
          <w:rStyle w:val="CharSectno"/>
        </w:rPr>
        <w:t>101</w:t>
      </w:r>
      <w:r>
        <w:rPr>
          <w:snapToGrid w:val="0"/>
        </w:rPr>
        <w:t>.</w:t>
      </w:r>
      <w:r>
        <w:rPr>
          <w:snapToGrid w:val="0"/>
        </w:rPr>
        <w:tab/>
        <w:t>Order with custodial sentence (conditional release order)</w:t>
      </w:r>
      <w:bookmarkEnd w:id="355"/>
      <w:bookmarkEnd w:id="356"/>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spacing w:before="120"/>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spacing w:before="120"/>
        <w:rPr>
          <w:snapToGrid w:val="0"/>
        </w:rPr>
      </w:pPr>
      <w:r>
        <w:rPr>
          <w:snapToGrid w:val="0"/>
        </w:rPr>
        <w:tab/>
        <w:t>(4)</w:t>
      </w:r>
      <w:r>
        <w:rPr>
          <w:snapToGrid w:val="0"/>
        </w:rPr>
        <w:tab/>
        <w:t>The offender only becomes liable to serve the term of detention, or a portion of it, if the order is cancelled.</w:t>
      </w:r>
    </w:p>
    <w:p>
      <w:pPr>
        <w:pStyle w:val="Heading5"/>
        <w:spacing w:before="180"/>
        <w:rPr>
          <w:snapToGrid w:val="0"/>
        </w:rPr>
      </w:pPr>
      <w:bookmarkStart w:id="357" w:name="_Toc405453244"/>
      <w:bookmarkStart w:id="358" w:name="_Toc422303312"/>
      <w:r>
        <w:rPr>
          <w:rStyle w:val="CharSectno"/>
        </w:rPr>
        <w:t>102</w:t>
      </w:r>
      <w:r>
        <w:rPr>
          <w:snapToGrid w:val="0"/>
        </w:rPr>
        <w:t>.</w:t>
      </w:r>
      <w:r>
        <w:rPr>
          <w:snapToGrid w:val="0"/>
        </w:rPr>
        <w:tab/>
        <w:t>Conditional release order to include agenda of conditions</w:t>
      </w:r>
      <w:bookmarkEnd w:id="357"/>
      <w:bookmarkEnd w:id="358"/>
      <w:r>
        <w:rPr>
          <w:snapToGrid w:val="0"/>
        </w:rPr>
        <w:t xml:space="preserve"> </w:t>
      </w:r>
    </w:p>
    <w:p>
      <w:pPr>
        <w:pStyle w:val="Subsection"/>
        <w:spacing w:before="140"/>
        <w:rPr>
          <w:snapToGrid w:val="0"/>
        </w:rPr>
      </w:pPr>
      <w:r>
        <w:rPr>
          <w:snapToGrid w:val="0"/>
        </w:rPr>
        <w:tab/>
        <w:t>(1)</w:t>
      </w:r>
      <w:r>
        <w:rPr>
          <w:snapToGrid w:val="0"/>
        </w:rPr>
        <w:tab/>
        <w:t>A conditional release order is required to have attached an agenda specifying the conditions that it imposes.</w:t>
      </w:r>
    </w:p>
    <w:p>
      <w:pPr>
        <w:pStyle w:val="Subsection"/>
        <w:spacing w:before="140"/>
        <w:rPr>
          <w:snapToGrid w:val="0"/>
        </w:rPr>
      </w:pPr>
      <w:r>
        <w:rPr>
          <w:snapToGrid w:val="0"/>
        </w:rPr>
        <w:tab/>
        <w:t>(2)</w:t>
      </w:r>
      <w:r>
        <w:rPr>
          <w:snapToGrid w:val="0"/>
        </w:rPr>
        <w:tab/>
        <w:t>The agenda attached to the order is to be considered a part of the order.</w:t>
      </w:r>
    </w:p>
    <w:p>
      <w:pPr>
        <w:pStyle w:val="Heading5"/>
        <w:spacing w:before="180"/>
        <w:rPr>
          <w:snapToGrid w:val="0"/>
        </w:rPr>
      </w:pPr>
      <w:bookmarkStart w:id="359" w:name="_Toc405453245"/>
      <w:bookmarkStart w:id="360" w:name="_Toc422303313"/>
      <w:r>
        <w:rPr>
          <w:rStyle w:val="CharSectno"/>
        </w:rPr>
        <w:t>103</w:t>
      </w:r>
      <w:r>
        <w:rPr>
          <w:snapToGrid w:val="0"/>
        </w:rPr>
        <w:t>.</w:t>
      </w:r>
      <w:r>
        <w:rPr>
          <w:snapToGrid w:val="0"/>
        </w:rPr>
        <w:tab/>
        <w:t>Offender must be suitable and consent</w:t>
      </w:r>
      <w:bookmarkEnd w:id="359"/>
      <w:bookmarkEnd w:id="360"/>
      <w:r>
        <w:rPr>
          <w:snapToGrid w:val="0"/>
        </w:rPr>
        <w:t xml:space="preserve"> </w:t>
      </w:r>
    </w:p>
    <w:p>
      <w:pPr>
        <w:pStyle w:val="Subsection"/>
        <w:spacing w:before="140"/>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spacing w:before="140"/>
        <w:rPr>
          <w:snapToGrid w:val="0"/>
        </w:rPr>
      </w:pPr>
      <w:r>
        <w:tab/>
      </w:r>
      <w:r>
        <w:rPr>
          <w:snapToGrid w:val="0"/>
        </w:rPr>
        <w:t>(2)</w:t>
      </w:r>
      <w:r>
        <w:rPr>
          <w:snapToGrid w:val="0"/>
        </w:rPr>
        <w:tab/>
        <w:t>The court cannot release an offender under this section unless the court has been given and considered a report under section 104.</w:t>
      </w:r>
    </w:p>
    <w:p>
      <w:pPr>
        <w:pStyle w:val="Subsection"/>
        <w:spacing w:before="140"/>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ind w:left="890" w:hanging="890"/>
      </w:pPr>
      <w:r>
        <w:tab/>
        <w:t>[Section 103 amended by No. 58 of 2004 s. 22.]</w:t>
      </w:r>
    </w:p>
    <w:p>
      <w:pPr>
        <w:pStyle w:val="Heading5"/>
        <w:spacing w:before="180"/>
        <w:rPr>
          <w:snapToGrid w:val="0"/>
        </w:rPr>
      </w:pPr>
      <w:bookmarkStart w:id="361" w:name="_Toc405453246"/>
      <w:bookmarkStart w:id="362" w:name="_Toc422303314"/>
      <w:r>
        <w:rPr>
          <w:rStyle w:val="CharSectno"/>
        </w:rPr>
        <w:t>104</w:t>
      </w:r>
      <w:r>
        <w:rPr>
          <w:snapToGrid w:val="0"/>
        </w:rPr>
        <w:t>.</w:t>
      </w:r>
      <w:r>
        <w:rPr>
          <w:snapToGrid w:val="0"/>
        </w:rPr>
        <w:tab/>
        <w:t>Agenda proposal required for suitable person</w:t>
      </w:r>
      <w:bookmarkEnd w:id="361"/>
      <w:bookmarkEnd w:id="362"/>
      <w:r>
        <w:rPr>
          <w:snapToGrid w:val="0"/>
        </w:rPr>
        <w:t xml:space="preserve"> </w:t>
      </w:r>
    </w:p>
    <w:p>
      <w:pPr>
        <w:pStyle w:val="Subsection"/>
        <w:spacing w:before="140"/>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keepNext w:val="0"/>
        <w:keepLines w:val="0"/>
        <w:spacing w:before="180"/>
        <w:rPr>
          <w:snapToGrid w:val="0"/>
        </w:rPr>
      </w:pPr>
      <w:bookmarkStart w:id="363" w:name="_Toc405453247"/>
      <w:bookmarkStart w:id="364" w:name="_Toc422303315"/>
      <w:r>
        <w:rPr>
          <w:rStyle w:val="CharSectno"/>
        </w:rPr>
        <w:t>105</w:t>
      </w:r>
      <w:r>
        <w:rPr>
          <w:snapToGrid w:val="0"/>
        </w:rPr>
        <w:t>.</w:t>
      </w:r>
      <w:r>
        <w:rPr>
          <w:snapToGrid w:val="0"/>
        </w:rPr>
        <w:tab/>
        <w:t>Conditional release order, duration of</w:t>
      </w:r>
      <w:bookmarkEnd w:id="363"/>
      <w:bookmarkEnd w:id="364"/>
      <w:r>
        <w:rPr>
          <w:snapToGrid w:val="0"/>
        </w:rPr>
        <w:t xml:space="preserve"> </w:t>
      </w:r>
    </w:p>
    <w:p>
      <w:pPr>
        <w:pStyle w:val="Subsection"/>
        <w:spacing w:before="140"/>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rPr>
          <w:snapToGrid w:val="0"/>
        </w:rPr>
      </w:pPr>
      <w:bookmarkStart w:id="365" w:name="_Toc405453248"/>
      <w:bookmarkStart w:id="366" w:name="_Toc422303316"/>
      <w:r>
        <w:rPr>
          <w:rStyle w:val="CharSectno"/>
        </w:rPr>
        <w:t>106</w:t>
      </w:r>
      <w:r>
        <w:rPr>
          <w:snapToGrid w:val="0"/>
        </w:rPr>
        <w:t>.</w:t>
      </w:r>
      <w:r>
        <w:rPr>
          <w:snapToGrid w:val="0"/>
        </w:rPr>
        <w:tab/>
        <w:t>Conditional release order may relate to several sentences</w:t>
      </w:r>
      <w:bookmarkEnd w:id="365"/>
      <w:bookmarkEnd w:id="366"/>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367" w:name="_Toc405453249"/>
      <w:bookmarkStart w:id="368" w:name="_Toc422303317"/>
      <w:r>
        <w:rPr>
          <w:rStyle w:val="CharSectno"/>
        </w:rPr>
        <w:t>107</w:t>
      </w:r>
      <w:r>
        <w:rPr>
          <w:snapToGrid w:val="0"/>
        </w:rPr>
        <w:t>.</w:t>
      </w:r>
      <w:r>
        <w:rPr>
          <w:snapToGrid w:val="0"/>
        </w:rPr>
        <w:tab/>
        <w:t>Conditional release not to exceed 12 months</w:t>
      </w:r>
      <w:bookmarkEnd w:id="367"/>
      <w:bookmarkEnd w:id="368"/>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369" w:name="_Toc405453250"/>
      <w:bookmarkStart w:id="370" w:name="_Toc422303318"/>
      <w:r>
        <w:rPr>
          <w:rStyle w:val="CharSectno"/>
        </w:rPr>
        <w:t>108</w:t>
      </w:r>
      <w:r>
        <w:rPr>
          <w:snapToGrid w:val="0"/>
        </w:rPr>
        <w:t>.</w:t>
      </w:r>
      <w:r>
        <w:rPr>
          <w:snapToGrid w:val="0"/>
        </w:rPr>
        <w:tab/>
        <w:t>Supervising officer</w:t>
      </w:r>
      <w:bookmarkEnd w:id="369"/>
      <w:bookmarkEnd w:id="370"/>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108. Modifications to be applied in order to give effect to Cross-border Justice Act 2008: section altered 1 Dec 2009. See endnote 1M.]</w:t>
      </w:r>
    </w:p>
    <w:p>
      <w:pPr>
        <w:pStyle w:val="Heading5"/>
        <w:rPr>
          <w:snapToGrid w:val="0"/>
        </w:rPr>
      </w:pPr>
      <w:bookmarkStart w:id="371" w:name="_Toc405453251"/>
      <w:bookmarkStart w:id="372" w:name="_Toc422303319"/>
      <w:r>
        <w:rPr>
          <w:rStyle w:val="CharSectno"/>
        </w:rPr>
        <w:t>109</w:t>
      </w:r>
      <w:r>
        <w:rPr>
          <w:snapToGrid w:val="0"/>
        </w:rPr>
        <w:t>.</w:t>
      </w:r>
      <w:r>
        <w:rPr>
          <w:snapToGrid w:val="0"/>
        </w:rPr>
        <w:tab/>
        <w:t>Conditional release order, implied conditions of</w:t>
      </w:r>
      <w:bookmarkEnd w:id="371"/>
      <w:bookmarkEnd w:id="372"/>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373" w:name="_Toc405453252"/>
      <w:bookmarkStart w:id="374" w:name="_Toc422303320"/>
      <w:r>
        <w:rPr>
          <w:rStyle w:val="CharSectno"/>
        </w:rPr>
        <w:t>109A</w:t>
      </w:r>
      <w:r>
        <w:rPr>
          <w:snapToGrid w:val="0"/>
        </w:rPr>
        <w:t>.</w:t>
      </w:r>
      <w:r>
        <w:rPr>
          <w:snapToGrid w:val="0"/>
        </w:rPr>
        <w:tab/>
        <w:t>Conditional release order: specified places</w:t>
      </w:r>
      <w:bookmarkEnd w:id="373"/>
      <w:bookmarkEnd w:id="374"/>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 xml:space="preserve">cannot be imposed so as to result in the requirement being in force for a continuous period that exceeds 6 months; </w:t>
      </w:r>
    </w:p>
    <w:p>
      <w:pPr>
        <w:pStyle w:val="Indenta"/>
        <w:rPr>
          <w:snapToGrid w:val="0"/>
        </w:rPr>
      </w:pPr>
      <w:r>
        <w:rPr>
          <w:snapToGrid w:val="0"/>
        </w:rPr>
        <w:tab/>
        <w:t>(b)</w:t>
      </w:r>
      <w:r>
        <w:rPr>
          <w:snapToGrid w:val="0"/>
        </w:rPr>
        <w:tab/>
        <w:t xml:space="preserve">cannot require an offender to remain at a place for periods that amount to less than 2 or more than 12 hours in any one day; </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spacing w:before="180"/>
        <w:rPr>
          <w:snapToGrid w:val="0"/>
        </w:rPr>
      </w:pPr>
      <w:bookmarkStart w:id="375" w:name="_Toc405453253"/>
      <w:bookmarkStart w:id="376" w:name="_Toc422303321"/>
      <w:r>
        <w:rPr>
          <w:rStyle w:val="CharSectno"/>
        </w:rPr>
        <w:t>109B</w:t>
      </w:r>
      <w:r>
        <w:rPr>
          <w:snapToGrid w:val="0"/>
        </w:rPr>
        <w:t>.</w:t>
      </w:r>
      <w:r>
        <w:rPr>
          <w:snapToGrid w:val="0"/>
        </w:rPr>
        <w:tab/>
        <w:t>Conditional release order: devices</w:t>
      </w:r>
      <w:bookmarkEnd w:id="375"/>
      <w:bookmarkEnd w:id="376"/>
    </w:p>
    <w:p>
      <w:pPr>
        <w:pStyle w:val="Subsection"/>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ind w:left="890" w:hanging="890"/>
      </w:pPr>
      <w:r>
        <w:tab/>
        <w:t>[Section 109B inserted by No. 58 of 2004 s. 23.]</w:t>
      </w:r>
    </w:p>
    <w:p>
      <w:pPr>
        <w:pStyle w:val="Heading5"/>
        <w:rPr>
          <w:snapToGrid w:val="0"/>
        </w:rPr>
      </w:pPr>
      <w:bookmarkStart w:id="377" w:name="_Toc405453254"/>
      <w:bookmarkStart w:id="378" w:name="_Toc422303322"/>
      <w:r>
        <w:rPr>
          <w:rStyle w:val="CharSectno"/>
        </w:rPr>
        <w:t>110</w:t>
      </w:r>
      <w:r>
        <w:rPr>
          <w:snapToGrid w:val="0"/>
        </w:rPr>
        <w:t>.</w:t>
      </w:r>
      <w:r>
        <w:rPr>
          <w:snapToGrid w:val="0"/>
        </w:rPr>
        <w:tab/>
        <w:t>Obligations under order may be suspended</w:t>
      </w:r>
      <w:bookmarkEnd w:id="377"/>
      <w:bookmarkEnd w:id="378"/>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spacing w:before="240"/>
        <w:rPr>
          <w:snapToGrid w:val="0"/>
        </w:rPr>
      </w:pPr>
      <w:bookmarkStart w:id="379" w:name="_Toc405453255"/>
      <w:bookmarkStart w:id="380" w:name="_Toc422303323"/>
      <w:r>
        <w:rPr>
          <w:rStyle w:val="CharSectno"/>
        </w:rPr>
        <w:t>111</w:t>
      </w:r>
      <w:r>
        <w:rPr>
          <w:snapToGrid w:val="0"/>
        </w:rPr>
        <w:t>.</w:t>
      </w:r>
      <w:r>
        <w:rPr>
          <w:snapToGrid w:val="0"/>
        </w:rPr>
        <w:tab/>
        <w:t>Amendment of order, extent of power</w:t>
      </w:r>
      <w:bookmarkEnd w:id="379"/>
      <w:bookmarkEnd w:id="380"/>
      <w:r>
        <w:rPr>
          <w:snapToGrid w:val="0"/>
        </w:rPr>
        <w:t xml:space="preserve"> </w:t>
      </w:r>
    </w:p>
    <w:p>
      <w:pPr>
        <w:pStyle w:val="Subsection"/>
        <w:keepNext/>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spacing w:before="120"/>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spacing w:before="240"/>
        <w:rPr>
          <w:snapToGrid w:val="0"/>
        </w:rPr>
      </w:pPr>
      <w:bookmarkStart w:id="381" w:name="_Toc405453256"/>
      <w:bookmarkStart w:id="382" w:name="_Toc422303324"/>
      <w:r>
        <w:rPr>
          <w:rStyle w:val="CharSectno"/>
        </w:rPr>
        <w:t>112</w:t>
      </w:r>
      <w:r>
        <w:rPr>
          <w:snapToGrid w:val="0"/>
        </w:rPr>
        <w:t>.</w:t>
      </w:r>
      <w:r>
        <w:rPr>
          <w:snapToGrid w:val="0"/>
        </w:rPr>
        <w:tab/>
        <w:t>Amendment or cancellation of order</w:t>
      </w:r>
      <w:bookmarkEnd w:id="381"/>
      <w:bookmarkEnd w:id="382"/>
      <w:r>
        <w:rPr>
          <w:snapToGrid w:val="0"/>
        </w:rPr>
        <w:t xml:space="preserve"> </w:t>
      </w:r>
    </w:p>
    <w:p>
      <w:pPr>
        <w:pStyle w:val="Subsection"/>
        <w:spacing w:before="120"/>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spacing w:before="120"/>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383" w:name="_Toc405453257"/>
      <w:bookmarkStart w:id="384" w:name="_Toc422303325"/>
      <w:r>
        <w:rPr>
          <w:rStyle w:val="CharSectno"/>
        </w:rPr>
        <w:t>113</w:t>
      </w:r>
      <w:r>
        <w:rPr>
          <w:snapToGrid w:val="0"/>
        </w:rPr>
        <w:t>.</w:t>
      </w:r>
      <w:r>
        <w:rPr>
          <w:snapToGrid w:val="0"/>
        </w:rPr>
        <w:tab/>
        <w:t>Breach of order, CEO may require offender to attend court</w:t>
      </w:r>
      <w:bookmarkEnd w:id="383"/>
      <w:bookmarkEnd w:id="384"/>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385" w:name="_Toc405453258"/>
      <w:bookmarkStart w:id="386" w:name="_Toc422303326"/>
      <w:r>
        <w:rPr>
          <w:rStyle w:val="CharSectno"/>
        </w:rPr>
        <w:t>114</w:t>
      </w:r>
      <w:r>
        <w:rPr>
          <w:snapToGrid w:val="0"/>
        </w:rPr>
        <w:t>.</w:t>
      </w:r>
      <w:r>
        <w:rPr>
          <w:snapToGrid w:val="0"/>
        </w:rPr>
        <w:tab/>
        <w:t>Breach of order, powers to deal with</w:t>
      </w:r>
      <w:bookmarkEnd w:id="385"/>
      <w:bookmarkEnd w:id="386"/>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 or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 or</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387" w:name="_Toc405453259"/>
      <w:bookmarkStart w:id="388" w:name="_Toc422303327"/>
      <w:r>
        <w:rPr>
          <w:rStyle w:val="CharSectno"/>
        </w:rPr>
        <w:t>115</w:t>
      </w:r>
      <w:r>
        <w:rPr>
          <w:snapToGrid w:val="0"/>
        </w:rPr>
        <w:t>.</w:t>
      </w:r>
      <w:r>
        <w:rPr>
          <w:snapToGrid w:val="0"/>
        </w:rPr>
        <w:tab/>
        <w:t>Conditional release order, effect of expiry of</w:t>
      </w:r>
      <w:bookmarkEnd w:id="387"/>
      <w:bookmarkEnd w:id="388"/>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r>
        <w:tab/>
        <w:t>[Section 115 amended by No. 58 of 2004 s. 25.]</w:t>
      </w:r>
    </w:p>
    <w:p>
      <w:pPr>
        <w:pStyle w:val="Heading5"/>
        <w:rPr>
          <w:snapToGrid w:val="0"/>
        </w:rPr>
      </w:pPr>
      <w:bookmarkStart w:id="389" w:name="_Toc405453260"/>
      <w:bookmarkStart w:id="390" w:name="_Toc422303328"/>
      <w:r>
        <w:rPr>
          <w:rStyle w:val="CharSectno"/>
        </w:rPr>
        <w:t>116</w:t>
      </w:r>
      <w:r>
        <w:rPr>
          <w:snapToGrid w:val="0"/>
        </w:rPr>
        <w:t>.</w:t>
      </w:r>
      <w:r>
        <w:rPr>
          <w:snapToGrid w:val="0"/>
        </w:rPr>
        <w:tab/>
        <w:t>Cancellation of conditional release order, effect of</w:t>
      </w:r>
      <w:bookmarkEnd w:id="389"/>
      <w:bookmarkEnd w:id="390"/>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pPr>
      <w:r>
        <w:tab/>
        <w:t xml:space="preserve">[Section 116 amended by No. 78 of 1995 s. 145.] </w:t>
      </w:r>
    </w:p>
    <w:p>
      <w:pPr>
        <w:pStyle w:val="Heading5"/>
        <w:spacing w:before="180"/>
        <w:rPr>
          <w:snapToGrid w:val="0"/>
        </w:rPr>
      </w:pPr>
      <w:bookmarkStart w:id="391" w:name="_Toc405453261"/>
      <w:bookmarkStart w:id="392" w:name="_Toc422303329"/>
      <w:r>
        <w:rPr>
          <w:rStyle w:val="CharSectno"/>
        </w:rPr>
        <w:t>117</w:t>
      </w:r>
      <w:r>
        <w:rPr>
          <w:snapToGrid w:val="0"/>
        </w:rPr>
        <w:t>.</w:t>
      </w:r>
      <w:r>
        <w:rPr>
          <w:snapToGrid w:val="0"/>
        </w:rPr>
        <w:tab/>
        <w:t>Notice of court applications</w:t>
      </w:r>
      <w:bookmarkEnd w:id="391"/>
      <w:bookmarkEnd w:id="392"/>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keepLines/>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spacing w:before="260"/>
        <w:rPr>
          <w:snapToGrid w:val="0"/>
        </w:rPr>
      </w:pPr>
      <w:bookmarkStart w:id="393" w:name="_Toc405453262"/>
      <w:bookmarkStart w:id="394" w:name="_Toc413336987"/>
      <w:bookmarkStart w:id="395" w:name="_Toc413337263"/>
      <w:bookmarkStart w:id="396" w:name="_Toc413337378"/>
      <w:bookmarkStart w:id="397" w:name="_Toc422303330"/>
      <w:r>
        <w:rPr>
          <w:rStyle w:val="CharDivNo"/>
        </w:rPr>
        <w:t>Division 8</w:t>
      </w:r>
      <w:r>
        <w:rPr>
          <w:snapToGrid w:val="0"/>
        </w:rPr>
        <w:t> — </w:t>
      </w:r>
      <w:r>
        <w:rPr>
          <w:rStyle w:val="CharDivText"/>
        </w:rPr>
        <w:t>Custodial sentence</w:t>
      </w:r>
      <w:bookmarkEnd w:id="393"/>
      <w:bookmarkEnd w:id="394"/>
      <w:bookmarkEnd w:id="395"/>
      <w:bookmarkEnd w:id="396"/>
      <w:bookmarkEnd w:id="397"/>
      <w:r>
        <w:rPr>
          <w:rStyle w:val="CharDivText"/>
        </w:rPr>
        <w:t xml:space="preserve"> </w:t>
      </w:r>
    </w:p>
    <w:p>
      <w:pPr>
        <w:pStyle w:val="Heading5"/>
        <w:spacing w:before="240"/>
        <w:rPr>
          <w:snapToGrid w:val="0"/>
        </w:rPr>
      </w:pPr>
      <w:bookmarkStart w:id="398" w:name="_Toc405453263"/>
      <w:bookmarkStart w:id="399" w:name="_Toc422303331"/>
      <w:r>
        <w:rPr>
          <w:rStyle w:val="CharSectno"/>
        </w:rPr>
        <w:t>118</w:t>
      </w:r>
      <w:r>
        <w:rPr>
          <w:snapToGrid w:val="0"/>
        </w:rPr>
        <w:t>.</w:t>
      </w:r>
      <w:r>
        <w:rPr>
          <w:snapToGrid w:val="0"/>
        </w:rPr>
        <w:tab/>
        <w:t>Offences punishable by imprisonment, options</w:t>
      </w:r>
      <w:bookmarkEnd w:id="398"/>
      <w:bookmarkEnd w:id="399"/>
      <w:r>
        <w:rPr>
          <w:snapToGrid w:val="0"/>
        </w:rPr>
        <w:t xml:space="preserve"> </w:t>
      </w:r>
    </w:p>
    <w:p>
      <w:pPr>
        <w:pStyle w:val="Subsection"/>
        <w:spacing w:before="180"/>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spacing w:before="180"/>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spacing w:before="180"/>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spacing w:before="180"/>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keepNext/>
        <w:keepLines/>
        <w:spacing w:before="180"/>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No. 5 of 2008 s. 132(3).] </w:t>
      </w:r>
    </w:p>
    <w:p>
      <w:pPr>
        <w:pStyle w:val="Heading5"/>
        <w:rPr>
          <w:snapToGrid w:val="0"/>
        </w:rPr>
      </w:pPr>
      <w:bookmarkStart w:id="400" w:name="_Toc405453264"/>
      <w:bookmarkStart w:id="401" w:name="_Toc422303332"/>
      <w:r>
        <w:rPr>
          <w:rStyle w:val="CharSectno"/>
        </w:rPr>
        <w:t>118A</w:t>
      </w:r>
      <w:r>
        <w:rPr>
          <w:snapToGrid w:val="0"/>
        </w:rPr>
        <w:t>.</w:t>
      </w:r>
      <w:r>
        <w:rPr>
          <w:snapToGrid w:val="0"/>
        </w:rPr>
        <w:tab/>
        <w:t>Where sentence of imprisonment to be served</w:t>
      </w:r>
      <w:bookmarkEnd w:id="400"/>
      <w:bookmarkEnd w:id="401"/>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402" w:name="_Toc405453265"/>
      <w:bookmarkStart w:id="403" w:name="_Toc422303333"/>
      <w:r>
        <w:rPr>
          <w:rStyle w:val="CharSectno"/>
        </w:rPr>
        <w:t>119</w:t>
      </w:r>
      <w:r>
        <w:t>.</w:t>
      </w:r>
      <w:r>
        <w:tab/>
        <w:t>Taking time on remand into account</w:t>
      </w:r>
      <w:bookmarkEnd w:id="402"/>
      <w:bookmarkEnd w:id="403"/>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pPr>
      <w:r>
        <w:tab/>
        <w:t>(b)</w:t>
      </w:r>
      <w:r>
        <w:tab/>
        <w:t>the court decides that that time should be taken into account,</w:t>
      </w:r>
    </w:p>
    <w:p>
      <w:pPr>
        <w:pStyle w:val="Subsection"/>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404" w:name="_Toc405453266"/>
      <w:bookmarkStart w:id="405" w:name="_Toc422303334"/>
      <w:r>
        <w:rPr>
          <w:rStyle w:val="CharSectno"/>
        </w:rPr>
        <w:t>119A</w:t>
      </w:r>
      <w:r>
        <w:t>.</w:t>
      </w:r>
      <w:r>
        <w:tab/>
        <w:t>Effect of not being in custody</w:t>
      </w:r>
      <w:bookmarkEnd w:id="404"/>
      <w:bookmarkEnd w:id="405"/>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406" w:name="_Toc405453267"/>
      <w:bookmarkStart w:id="407" w:name="_Toc422303335"/>
      <w:r>
        <w:rPr>
          <w:rStyle w:val="CharSectno"/>
        </w:rPr>
        <w:t>120</w:t>
      </w:r>
      <w:r>
        <w:rPr>
          <w:snapToGrid w:val="0"/>
        </w:rPr>
        <w:t>.</w:t>
      </w:r>
      <w:r>
        <w:rPr>
          <w:snapToGrid w:val="0"/>
        </w:rPr>
        <w:tab/>
        <w:t>Custodial sentence is sentence of last resort</w:t>
      </w:r>
      <w:bookmarkEnd w:id="406"/>
      <w:bookmarkEnd w:id="407"/>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 xml:space="preserve">A court that imposes on a young person a custodial sentence is to </w:t>
      </w:r>
      <w:r>
        <w:t>give written</w:t>
      </w:r>
      <w:r>
        <w:rPr>
          <w:snapToGrid w:val="0"/>
        </w:rPr>
        <w:t xml:space="preserve"> reasons why it considers that there is no other appropriate way for it to dispose of the matter.</w:t>
      </w:r>
    </w:p>
    <w:p>
      <w:pPr>
        <w:pStyle w:val="Subsection"/>
      </w:pPr>
      <w:r>
        <w:tab/>
        <w:t>(3)</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120 amended by No. 20 of 2013 s. 142.]</w:t>
      </w:r>
    </w:p>
    <w:p>
      <w:pPr>
        <w:pStyle w:val="Heading5"/>
        <w:rPr>
          <w:snapToGrid w:val="0"/>
        </w:rPr>
      </w:pPr>
      <w:bookmarkStart w:id="408" w:name="_Toc405453268"/>
      <w:bookmarkStart w:id="409" w:name="_Toc422303336"/>
      <w:r>
        <w:rPr>
          <w:rStyle w:val="CharSectno"/>
        </w:rPr>
        <w:t>121</w:t>
      </w:r>
      <w:r>
        <w:rPr>
          <w:snapToGrid w:val="0"/>
        </w:rPr>
        <w:t>.</w:t>
      </w:r>
      <w:r>
        <w:rPr>
          <w:snapToGrid w:val="0"/>
        </w:rPr>
        <w:tab/>
        <w:t>Minimum period before release from detention</w:t>
      </w:r>
      <w:bookmarkEnd w:id="408"/>
      <w:bookmarkEnd w:id="409"/>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object w:dxaOrig="1359"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25pt;height:30.75pt" o:ole="" fillcolor="window">
            <v:imagedata r:id="rId21" o:title=""/>
          </v:shape>
          <o:OLEObject Type="Embed" ProgID="Equation.3" ShapeID="_x0000_i1025" DrawAspect="Content" ObjectID="_1643800332" r:id="rId22"/>
        </w:object>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410" w:name="_Toc405453269"/>
      <w:bookmarkStart w:id="411" w:name="_Toc422303337"/>
      <w:r>
        <w:rPr>
          <w:rStyle w:val="CharSectno"/>
        </w:rPr>
        <w:t>122</w:t>
      </w:r>
      <w:r>
        <w:rPr>
          <w:snapToGrid w:val="0"/>
        </w:rPr>
        <w:t>.</w:t>
      </w:r>
      <w:r>
        <w:rPr>
          <w:snapToGrid w:val="0"/>
        </w:rPr>
        <w:tab/>
        <w:t>Aggregation of multiple sentences of detention</w:t>
      </w:r>
      <w:bookmarkEnd w:id="410"/>
      <w:bookmarkEnd w:id="411"/>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412" w:name="_Toc405453270"/>
      <w:bookmarkStart w:id="413" w:name="_Toc422303338"/>
      <w:r>
        <w:rPr>
          <w:rStyle w:val="CharSectno"/>
        </w:rPr>
        <w:t>123</w:t>
      </w:r>
      <w:r>
        <w:rPr>
          <w:snapToGrid w:val="0"/>
        </w:rPr>
        <w:t>.</w:t>
      </w:r>
      <w:r>
        <w:rPr>
          <w:snapToGrid w:val="0"/>
        </w:rPr>
        <w:tab/>
        <w:t>Cumulative sentences of detention, service of</w:t>
      </w:r>
      <w:bookmarkEnd w:id="412"/>
      <w:bookmarkEnd w:id="413"/>
      <w:r>
        <w:rPr>
          <w:snapToGrid w:val="0"/>
        </w:rPr>
        <w:t xml:space="preserve"> </w:t>
      </w:r>
    </w:p>
    <w:p>
      <w:pPr>
        <w:pStyle w:val="Subsection"/>
        <w:rPr>
          <w:snapToGrid w:val="0"/>
        </w:rPr>
      </w:pPr>
      <w:r>
        <w:rPr>
          <w:snapToGrid w:val="0"/>
        </w:rPr>
        <w:tab/>
        <w:t>(1)</w:t>
      </w:r>
      <w:r>
        <w:rPr>
          <w:snapToGrid w:val="0"/>
        </w:rPr>
        <w:tab/>
        <w:t xml:space="preserve">This section applies if a sentence of detention imposed on a person </w:t>
      </w:r>
      <w:r>
        <w:t>(the</w:t>
      </w:r>
      <w:r>
        <w:rPr>
          <w:snapToGrid w:val="0"/>
        </w:rPr>
        <w:t xml:space="preserve"> </w:t>
      </w:r>
      <w:r>
        <w:rPr>
          <w:rStyle w:val="CharDefText"/>
        </w:rPr>
        <w:t>second sentence</w:t>
      </w:r>
      <w:r>
        <w:rPr>
          <w:snapToGrid w:val="0"/>
        </w:rPr>
        <w:t xml:space="preserve">) is to be served cumulatively upon another sentence of </w:t>
      </w:r>
      <w:r>
        <w:t>detention (the</w:t>
      </w:r>
      <w:r>
        <w:rPr>
          <w:snapToGrid w:val="0"/>
        </w:rPr>
        <w:t xml:space="preserve"> </w:t>
      </w:r>
      <w:r>
        <w:rPr>
          <w:rStyle w:val="CharDefText"/>
        </w:rPr>
        <w:t>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rPr>
          <w:snapToGrid w:val="0"/>
        </w:rPr>
      </w:pPr>
      <w:bookmarkStart w:id="414" w:name="_Toc405453271"/>
      <w:bookmarkStart w:id="415" w:name="_Toc413336996"/>
      <w:bookmarkStart w:id="416" w:name="_Toc413337272"/>
      <w:bookmarkStart w:id="417" w:name="_Toc413337387"/>
      <w:bookmarkStart w:id="418" w:name="_Toc422303339"/>
      <w:r>
        <w:rPr>
          <w:rStyle w:val="CharDivNo"/>
        </w:rPr>
        <w:t>Division 9</w:t>
      </w:r>
      <w:r>
        <w:rPr>
          <w:snapToGrid w:val="0"/>
        </w:rPr>
        <w:t> — </w:t>
      </w:r>
      <w:r>
        <w:rPr>
          <w:rStyle w:val="CharDivText"/>
        </w:rPr>
        <w:t>Dealing with young person who repeatedly commits serious offences</w:t>
      </w:r>
      <w:bookmarkEnd w:id="414"/>
      <w:bookmarkEnd w:id="415"/>
      <w:bookmarkEnd w:id="416"/>
      <w:bookmarkEnd w:id="417"/>
      <w:bookmarkEnd w:id="418"/>
      <w:r>
        <w:rPr>
          <w:rStyle w:val="CharDivText"/>
        </w:rPr>
        <w:t xml:space="preserve"> </w:t>
      </w:r>
    </w:p>
    <w:p>
      <w:pPr>
        <w:pStyle w:val="Heading5"/>
        <w:rPr>
          <w:snapToGrid w:val="0"/>
        </w:rPr>
      </w:pPr>
      <w:bookmarkStart w:id="419" w:name="_Toc405453272"/>
      <w:bookmarkStart w:id="420" w:name="_Toc422303340"/>
      <w:r>
        <w:rPr>
          <w:rStyle w:val="CharSectno"/>
        </w:rPr>
        <w:t>124</w:t>
      </w:r>
      <w:r>
        <w:rPr>
          <w:snapToGrid w:val="0"/>
        </w:rPr>
        <w:t>.</w:t>
      </w:r>
      <w:r>
        <w:rPr>
          <w:snapToGrid w:val="0"/>
        </w:rPr>
        <w:tab/>
        <w:t>When this Division applies</w:t>
      </w:r>
      <w:bookmarkEnd w:id="419"/>
      <w:bookmarkEnd w:id="420"/>
      <w:r>
        <w:rPr>
          <w:snapToGrid w:val="0"/>
        </w:rPr>
        <w:t xml:space="preserve"> </w:t>
      </w:r>
    </w:p>
    <w:p>
      <w:pPr>
        <w:pStyle w:val="Subsection"/>
        <w:keepNext/>
        <w:rPr>
          <w:snapToGrid w:val="0"/>
        </w:rPr>
      </w:pPr>
      <w:r>
        <w:rPr>
          <w:snapToGrid w:val="0"/>
        </w:rPr>
        <w:tab/>
        <w:t>(1)</w:t>
      </w:r>
      <w:r>
        <w:rPr>
          <w:snapToGrid w:val="0"/>
        </w:rPr>
        <w:tab/>
        <w:t xml:space="preserve">This Division applies to the sentencing of the offender for a serious offence </w:t>
      </w:r>
      <w:r>
        <w:t>(the</w:t>
      </w:r>
      <w:r>
        <w:rPr>
          <w:snapToGrid w:val="0"/>
        </w:rPr>
        <w:t xml:space="preserve"> </w:t>
      </w:r>
      <w:r>
        <w:rPr>
          <w:rStyle w:val="CharDefText"/>
        </w:rPr>
        <w:t>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421" w:name="_Toc405453273"/>
      <w:bookmarkStart w:id="422" w:name="_Toc422303341"/>
      <w:r>
        <w:rPr>
          <w:rStyle w:val="CharSectno"/>
        </w:rPr>
        <w:t>125</w:t>
      </w:r>
      <w:r>
        <w:rPr>
          <w:snapToGrid w:val="0"/>
        </w:rPr>
        <w:t>.</w:t>
      </w:r>
      <w:r>
        <w:rPr>
          <w:snapToGrid w:val="0"/>
        </w:rPr>
        <w:tab/>
        <w:t>Protection of the community paramount</w:t>
      </w:r>
      <w:bookmarkEnd w:id="421"/>
      <w:bookmarkEnd w:id="422"/>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423" w:name="_Toc405453274"/>
      <w:bookmarkStart w:id="424" w:name="_Toc422303342"/>
      <w:r>
        <w:rPr>
          <w:rStyle w:val="CharSectno"/>
        </w:rPr>
        <w:t>126</w:t>
      </w:r>
      <w:r>
        <w:rPr>
          <w:snapToGrid w:val="0"/>
        </w:rPr>
        <w:t>.</w:t>
      </w:r>
      <w:r>
        <w:rPr>
          <w:snapToGrid w:val="0"/>
        </w:rPr>
        <w:tab/>
        <w:t>Special order, making of</w:t>
      </w:r>
      <w:bookmarkEnd w:id="423"/>
      <w:bookmarkEnd w:id="424"/>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rPr>
          <w:snapToGrid w:val="0"/>
        </w:rPr>
      </w:pPr>
      <w:bookmarkStart w:id="425" w:name="_Toc405453275"/>
      <w:bookmarkStart w:id="426" w:name="_Toc422303343"/>
      <w:r>
        <w:rPr>
          <w:rStyle w:val="CharSectno"/>
        </w:rPr>
        <w:t>127</w:t>
      </w:r>
      <w:r>
        <w:rPr>
          <w:snapToGrid w:val="0"/>
        </w:rPr>
        <w:t>.</w:t>
      </w:r>
      <w:r>
        <w:rPr>
          <w:snapToGrid w:val="0"/>
        </w:rPr>
        <w:tab/>
        <w:t>Special order, time of operation</w:t>
      </w:r>
      <w:bookmarkEnd w:id="425"/>
      <w:bookmarkEnd w:id="426"/>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427" w:name="_Toc405453276"/>
      <w:bookmarkStart w:id="428" w:name="_Toc422303344"/>
      <w:r>
        <w:rPr>
          <w:rStyle w:val="CharSectno"/>
        </w:rPr>
        <w:t>128</w:t>
      </w:r>
      <w:r>
        <w:rPr>
          <w:snapToGrid w:val="0"/>
        </w:rPr>
        <w:t>.</w:t>
      </w:r>
      <w:r>
        <w:rPr>
          <w:snapToGrid w:val="0"/>
        </w:rPr>
        <w:tab/>
        <w:t>Special order, effect of</w:t>
      </w:r>
      <w:bookmarkEnd w:id="427"/>
      <w:bookmarkEnd w:id="428"/>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429" w:name="_Toc405453277"/>
      <w:bookmarkStart w:id="430" w:name="_Toc422303345"/>
      <w:r>
        <w:rPr>
          <w:rStyle w:val="CharSectno"/>
        </w:rPr>
        <w:t>129</w:t>
      </w:r>
      <w:r>
        <w:rPr>
          <w:snapToGrid w:val="0"/>
        </w:rPr>
        <w:t>.</w:t>
      </w:r>
      <w:r>
        <w:rPr>
          <w:snapToGrid w:val="0"/>
        </w:rPr>
        <w:tab/>
        <w:t>Special order, application to discharge</w:t>
      </w:r>
      <w:bookmarkEnd w:id="429"/>
      <w:bookmarkEnd w:id="430"/>
      <w:r>
        <w:rPr>
          <w:snapToGrid w:val="0"/>
        </w:rPr>
        <w:t xml:space="preserve"> </w:t>
      </w:r>
    </w:p>
    <w:p>
      <w:pPr>
        <w:pStyle w:val="Subsection"/>
        <w:rPr>
          <w:snapToGrid w:val="0"/>
        </w:rPr>
      </w:pPr>
      <w:r>
        <w:rPr>
          <w:snapToGrid w:val="0"/>
        </w:rPr>
        <w:tab/>
        <w:t>(1)</w:t>
      </w:r>
      <w:r>
        <w:rPr>
          <w:snapToGrid w:val="0"/>
        </w:rPr>
        <w:tab/>
        <w:t>In this section</w:t>
      </w:r>
      <w:r>
        <w:t xml:space="preserve"> the</w:t>
      </w:r>
      <w:r>
        <w:rPr>
          <w:b/>
          <w:i/>
          <w:snapToGrid w:val="0"/>
        </w:rPr>
        <w:t xml:space="preserve"> </w:t>
      </w:r>
      <w:r>
        <w:rPr>
          <w:rStyle w:val="CharDefText"/>
        </w:rPr>
        <w:t>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431" w:name="_Toc405453278"/>
      <w:bookmarkStart w:id="432" w:name="_Toc422303346"/>
      <w:r>
        <w:rPr>
          <w:rStyle w:val="CharSectno"/>
        </w:rPr>
        <w:t>130</w:t>
      </w:r>
      <w:r>
        <w:rPr>
          <w:snapToGrid w:val="0"/>
        </w:rPr>
        <w:t>.</w:t>
      </w:r>
      <w:r>
        <w:rPr>
          <w:snapToGrid w:val="0"/>
        </w:rPr>
        <w:tab/>
        <w:t>Special order, effect of expiry of</w:t>
      </w:r>
      <w:bookmarkEnd w:id="431"/>
      <w:bookmarkEnd w:id="432"/>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433" w:name="_Toc405453279"/>
      <w:bookmarkStart w:id="434" w:name="_Toc413337004"/>
      <w:bookmarkStart w:id="435" w:name="_Toc413337280"/>
      <w:bookmarkStart w:id="436" w:name="_Toc413337395"/>
      <w:bookmarkStart w:id="437" w:name="_Toc422303347"/>
      <w:r>
        <w:rPr>
          <w:rStyle w:val="CharPartNo"/>
        </w:rPr>
        <w:t>Part 8</w:t>
      </w:r>
      <w:r>
        <w:t> — </w:t>
      </w:r>
      <w:r>
        <w:rPr>
          <w:rStyle w:val="CharPartText"/>
        </w:rPr>
        <w:t>Supervised release orders</w:t>
      </w:r>
      <w:bookmarkEnd w:id="433"/>
      <w:bookmarkEnd w:id="434"/>
      <w:bookmarkEnd w:id="435"/>
      <w:bookmarkEnd w:id="436"/>
      <w:bookmarkEnd w:id="437"/>
      <w:r>
        <w:rPr>
          <w:rStyle w:val="CharPartText"/>
        </w:rPr>
        <w:t xml:space="preserve"> </w:t>
      </w:r>
    </w:p>
    <w:p>
      <w:pPr>
        <w:pStyle w:val="Heading3"/>
        <w:rPr>
          <w:snapToGrid w:val="0"/>
        </w:rPr>
      </w:pPr>
      <w:bookmarkStart w:id="438" w:name="_Toc405453280"/>
      <w:bookmarkStart w:id="439" w:name="_Toc413337005"/>
      <w:bookmarkStart w:id="440" w:name="_Toc413337281"/>
      <w:bookmarkStart w:id="441" w:name="_Toc413337396"/>
      <w:bookmarkStart w:id="442" w:name="_Toc422303348"/>
      <w:r>
        <w:rPr>
          <w:rStyle w:val="CharDivNo"/>
        </w:rPr>
        <w:t>Division 1</w:t>
      </w:r>
      <w:r>
        <w:rPr>
          <w:snapToGrid w:val="0"/>
        </w:rPr>
        <w:t> — </w:t>
      </w:r>
      <w:r>
        <w:rPr>
          <w:rStyle w:val="CharDivText"/>
        </w:rPr>
        <w:t>Definitions</w:t>
      </w:r>
      <w:bookmarkEnd w:id="438"/>
      <w:bookmarkEnd w:id="439"/>
      <w:bookmarkEnd w:id="440"/>
      <w:bookmarkEnd w:id="441"/>
      <w:bookmarkEnd w:id="442"/>
      <w:r>
        <w:rPr>
          <w:rStyle w:val="CharDivText"/>
        </w:rPr>
        <w:t xml:space="preserve"> </w:t>
      </w:r>
    </w:p>
    <w:p>
      <w:pPr>
        <w:pStyle w:val="Heading5"/>
        <w:rPr>
          <w:snapToGrid w:val="0"/>
        </w:rPr>
      </w:pPr>
      <w:bookmarkStart w:id="443" w:name="_Toc405453281"/>
      <w:bookmarkStart w:id="444" w:name="_Toc422303349"/>
      <w:r>
        <w:rPr>
          <w:rStyle w:val="CharSectno"/>
        </w:rPr>
        <w:t>131</w:t>
      </w:r>
      <w:r>
        <w:rPr>
          <w:snapToGrid w:val="0"/>
        </w:rPr>
        <w:t>.</w:t>
      </w:r>
      <w:r>
        <w:rPr>
          <w:snapToGrid w:val="0"/>
        </w:rPr>
        <w:tab/>
        <w:t>Terms used</w:t>
      </w:r>
      <w:bookmarkEnd w:id="443"/>
      <w:bookmarkEnd w:id="444"/>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445" w:name="_Toc405453282"/>
      <w:bookmarkStart w:id="446" w:name="_Toc413337007"/>
      <w:bookmarkStart w:id="447" w:name="_Toc413337283"/>
      <w:bookmarkStart w:id="448" w:name="_Toc413337398"/>
      <w:bookmarkStart w:id="449" w:name="_Toc422303350"/>
      <w:r>
        <w:rPr>
          <w:rStyle w:val="CharDivNo"/>
        </w:rPr>
        <w:t>Division 2</w:t>
      </w:r>
      <w:r>
        <w:rPr>
          <w:snapToGrid w:val="0"/>
        </w:rPr>
        <w:t> — </w:t>
      </w:r>
      <w:r>
        <w:rPr>
          <w:rStyle w:val="CharDivText"/>
        </w:rPr>
        <w:t>The order</w:t>
      </w:r>
      <w:bookmarkEnd w:id="445"/>
      <w:bookmarkEnd w:id="446"/>
      <w:bookmarkEnd w:id="447"/>
      <w:bookmarkEnd w:id="448"/>
      <w:bookmarkEnd w:id="449"/>
      <w:r>
        <w:rPr>
          <w:rStyle w:val="CharDivText"/>
        </w:rPr>
        <w:t xml:space="preserve"> </w:t>
      </w:r>
    </w:p>
    <w:p>
      <w:pPr>
        <w:pStyle w:val="Heading5"/>
        <w:rPr>
          <w:snapToGrid w:val="0"/>
        </w:rPr>
      </w:pPr>
      <w:bookmarkStart w:id="450" w:name="_Toc405453283"/>
      <w:bookmarkStart w:id="451" w:name="_Toc422303351"/>
      <w:r>
        <w:rPr>
          <w:rStyle w:val="CharSectno"/>
        </w:rPr>
        <w:t>132</w:t>
      </w:r>
      <w:r>
        <w:rPr>
          <w:snapToGrid w:val="0"/>
        </w:rPr>
        <w:t>.</w:t>
      </w:r>
      <w:r>
        <w:rPr>
          <w:snapToGrid w:val="0"/>
        </w:rPr>
        <w:tab/>
        <w:t>Supervised release order, Board may make</w:t>
      </w:r>
      <w:bookmarkEnd w:id="450"/>
      <w:bookmarkEnd w:id="451"/>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452" w:name="_Toc405453284"/>
      <w:bookmarkStart w:id="453" w:name="_Toc422303352"/>
      <w:r>
        <w:rPr>
          <w:rStyle w:val="CharSectno"/>
        </w:rPr>
        <w:t>133</w:t>
      </w:r>
      <w:r>
        <w:rPr>
          <w:snapToGrid w:val="0"/>
        </w:rPr>
        <w:t>.</w:t>
      </w:r>
      <w:r>
        <w:rPr>
          <w:snapToGrid w:val="0"/>
        </w:rPr>
        <w:tab/>
        <w:t>Supervised release order, when can be made</w:t>
      </w:r>
      <w:bookmarkEnd w:id="452"/>
      <w:bookmarkEnd w:id="453"/>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 and</w:t>
      </w:r>
    </w:p>
    <w:p>
      <w:pPr>
        <w:pStyle w:val="Indenta"/>
        <w:rPr>
          <w:snapToGrid w:val="0"/>
        </w:rPr>
      </w:pPr>
      <w:r>
        <w:rPr>
          <w:snapToGrid w:val="0"/>
        </w:rPr>
        <w:tab/>
        <w:t>(b)</w:t>
      </w:r>
      <w:r>
        <w:rPr>
          <w:snapToGrid w:val="0"/>
        </w:rPr>
        <w:tab/>
        <w:t>the earliest release day has been reached; and</w:t>
      </w:r>
    </w:p>
    <w:p>
      <w:pPr>
        <w:pStyle w:val="Indenta"/>
      </w:pPr>
      <w:r>
        <w:tab/>
        <w:t>(ba)</w:t>
      </w:r>
      <w:r>
        <w:tab/>
        <w:t>the Board has considered any statement received from a victim of the offence in respect of which the detainee is in custody; and</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454" w:name="_Toc405453285"/>
      <w:bookmarkStart w:id="455" w:name="_Toc422303353"/>
      <w:r>
        <w:rPr>
          <w:rStyle w:val="CharSectno"/>
        </w:rPr>
        <w:t>134</w:t>
      </w:r>
      <w:r>
        <w:rPr>
          <w:snapToGrid w:val="0"/>
        </w:rPr>
        <w:t>.</w:t>
      </w:r>
      <w:r>
        <w:rPr>
          <w:snapToGrid w:val="0"/>
        </w:rPr>
        <w:tab/>
        <w:t>Duration of order</w:t>
      </w:r>
      <w:bookmarkEnd w:id="454"/>
      <w:bookmarkEnd w:id="455"/>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456" w:name="_Toc405453286"/>
      <w:bookmarkStart w:id="457" w:name="_Toc422303354"/>
      <w:r>
        <w:rPr>
          <w:rStyle w:val="CharSectno"/>
        </w:rPr>
        <w:t>135</w:t>
      </w:r>
      <w:r>
        <w:rPr>
          <w:snapToGrid w:val="0"/>
        </w:rPr>
        <w:t>.</w:t>
      </w:r>
      <w:r>
        <w:rPr>
          <w:snapToGrid w:val="0"/>
        </w:rPr>
        <w:tab/>
        <w:t>Order may relate to more than one sentence</w:t>
      </w:r>
      <w:bookmarkEnd w:id="456"/>
      <w:bookmarkEnd w:id="457"/>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458" w:name="_Toc405453287"/>
      <w:bookmarkStart w:id="459" w:name="_Toc422303355"/>
      <w:r>
        <w:rPr>
          <w:rStyle w:val="CharSectno"/>
        </w:rPr>
        <w:t>136</w:t>
      </w:r>
      <w:r>
        <w:rPr>
          <w:snapToGrid w:val="0"/>
        </w:rPr>
        <w:t>.</w:t>
      </w:r>
      <w:r>
        <w:rPr>
          <w:snapToGrid w:val="0"/>
        </w:rPr>
        <w:tab/>
        <w:t>Conditions implied in order</w:t>
      </w:r>
      <w:bookmarkEnd w:id="458"/>
      <w:bookmarkEnd w:id="459"/>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 and</w:t>
      </w:r>
    </w:p>
    <w:p>
      <w:pPr>
        <w:pStyle w:val="Indenta"/>
        <w:rPr>
          <w:snapToGrid w:val="0"/>
        </w:rPr>
      </w:pPr>
      <w:r>
        <w:rPr>
          <w:snapToGrid w:val="0"/>
        </w:rPr>
        <w:tab/>
        <w:t>(b)</w:t>
      </w:r>
      <w:r>
        <w:rPr>
          <w:snapToGrid w:val="0"/>
        </w:rPr>
        <w:tab/>
        <w:t>the offender is not to commit another offence and is to be of good behaviour; and</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460" w:name="_Toc405453288"/>
      <w:bookmarkStart w:id="461" w:name="_Toc422303356"/>
      <w:r>
        <w:rPr>
          <w:rStyle w:val="CharSectno"/>
        </w:rPr>
        <w:t>136A</w:t>
      </w:r>
      <w:r>
        <w:rPr>
          <w:snapToGrid w:val="0"/>
        </w:rPr>
        <w:t>.</w:t>
      </w:r>
      <w:r>
        <w:rPr>
          <w:snapToGrid w:val="0"/>
        </w:rPr>
        <w:tab/>
        <w:t>Express conditions: specified places</w:t>
      </w:r>
      <w:bookmarkEnd w:id="460"/>
      <w:bookmarkEnd w:id="461"/>
    </w:p>
    <w:p>
      <w:pPr>
        <w:pStyle w:val="Subsection"/>
        <w:spacing w:before="120"/>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spacing w:before="120"/>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spacing w:before="120"/>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462" w:name="_Toc405453289"/>
      <w:bookmarkStart w:id="463" w:name="_Toc422303357"/>
      <w:r>
        <w:rPr>
          <w:rStyle w:val="CharSectno"/>
        </w:rPr>
        <w:t>136B</w:t>
      </w:r>
      <w:r>
        <w:t>.</w:t>
      </w:r>
      <w:r>
        <w:tab/>
        <w:t>Express conditions: devices</w:t>
      </w:r>
      <w:bookmarkEnd w:id="462"/>
      <w:bookmarkEnd w:id="463"/>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464" w:name="_Toc405453290"/>
      <w:bookmarkStart w:id="465" w:name="_Toc422303358"/>
      <w:r>
        <w:rPr>
          <w:rStyle w:val="CharSectno"/>
        </w:rPr>
        <w:t>137</w:t>
      </w:r>
      <w:r>
        <w:rPr>
          <w:snapToGrid w:val="0"/>
        </w:rPr>
        <w:t>.</w:t>
      </w:r>
      <w:r>
        <w:rPr>
          <w:snapToGrid w:val="0"/>
        </w:rPr>
        <w:tab/>
        <w:t>Effect of proposed order to be explained to offender</w:t>
      </w:r>
      <w:bookmarkEnd w:id="464"/>
      <w:bookmarkEnd w:id="465"/>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466" w:name="_Toc405453291"/>
      <w:bookmarkStart w:id="467" w:name="_Toc422303359"/>
      <w:r>
        <w:rPr>
          <w:rStyle w:val="CharSectno"/>
        </w:rPr>
        <w:t>138</w:t>
      </w:r>
      <w:r>
        <w:rPr>
          <w:snapToGrid w:val="0"/>
        </w:rPr>
        <w:t>.</w:t>
      </w:r>
      <w:r>
        <w:rPr>
          <w:snapToGrid w:val="0"/>
        </w:rPr>
        <w:tab/>
        <w:t>Order to be provided in writing</w:t>
      </w:r>
      <w:bookmarkEnd w:id="466"/>
      <w:bookmarkEnd w:id="467"/>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468" w:name="_Toc405453292"/>
      <w:bookmarkStart w:id="469" w:name="_Toc422303360"/>
      <w:r>
        <w:rPr>
          <w:rStyle w:val="CharSectno"/>
        </w:rPr>
        <w:t>139</w:t>
      </w:r>
      <w:r>
        <w:rPr>
          <w:snapToGrid w:val="0"/>
        </w:rPr>
        <w:t>.</w:t>
      </w:r>
      <w:r>
        <w:rPr>
          <w:snapToGrid w:val="0"/>
        </w:rPr>
        <w:tab/>
        <w:t>Supervising officer</w:t>
      </w:r>
      <w:bookmarkEnd w:id="468"/>
      <w:bookmarkEnd w:id="469"/>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139. Modifications to be applied in order to give effect to Cross-border Justice Act 2008: section altered 1 Dec 2009. See endnote 1M.]</w:t>
      </w:r>
    </w:p>
    <w:p>
      <w:pPr>
        <w:pStyle w:val="Heading5"/>
        <w:rPr>
          <w:snapToGrid w:val="0"/>
        </w:rPr>
      </w:pPr>
      <w:bookmarkStart w:id="470" w:name="_Toc405453293"/>
      <w:bookmarkStart w:id="471" w:name="_Toc422303361"/>
      <w:r>
        <w:rPr>
          <w:rStyle w:val="CharSectno"/>
        </w:rPr>
        <w:t>140</w:t>
      </w:r>
      <w:r>
        <w:rPr>
          <w:snapToGrid w:val="0"/>
        </w:rPr>
        <w:t>.</w:t>
      </w:r>
      <w:r>
        <w:rPr>
          <w:snapToGrid w:val="0"/>
        </w:rPr>
        <w:tab/>
        <w:t>Obligations under order may be suspended</w:t>
      </w:r>
      <w:bookmarkEnd w:id="470"/>
      <w:bookmarkEnd w:id="471"/>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472" w:name="_Toc405453294"/>
      <w:bookmarkStart w:id="473" w:name="_Toc422303362"/>
      <w:r>
        <w:rPr>
          <w:rStyle w:val="CharSectno"/>
        </w:rPr>
        <w:t>141</w:t>
      </w:r>
      <w:r>
        <w:rPr>
          <w:snapToGrid w:val="0"/>
        </w:rPr>
        <w:t>.</w:t>
      </w:r>
      <w:r>
        <w:rPr>
          <w:snapToGrid w:val="0"/>
        </w:rPr>
        <w:tab/>
        <w:t>Amendment of order, extent of power</w:t>
      </w:r>
      <w:bookmarkEnd w:id="472"/>
      <w:bookmarkEnd w:id="473"/>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474" w:name="_Toc405453295"/>
      <w:bookmarkStart w:id="475" w:name="_Toc422303363"/>
      <w:r>
        <w:rPr>
          <w:rStyle w:val="CharSectno"/>
        </w:rPr>
        <w:t>142</w:t>
      </w:r>
      <w:r>
        <w:rPr>
          <w:snapToGrid w:val="0"/>
        </w:rPr>
        <w:t>.</w:t>
      </w:r>
      <w:r>
        <w:rPr>
          <w:snapToGrid w:val="0"/>
        </w:rPr>
        <w:tab/>
        <w:t>Amendment or cancellation of order</w:t>
      </w:r>
      <w:bookmarkEnd w:id="474"/>
      <w:bookmarkEnd w:id="475"/>
      <w:r>
        <w:rPr>
          <w:snapToGrid w:val="0"/>
        </w:rPr>
        <w:t xml:space="preserve"> </w:t>
      </w:r>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476" w:name="_Toc405453296"/>
      <w:bookmarkStart w:id="477" w:name="_Toc422303364"/>
      <w:r>
        <w:rPr>
          <w:rStyle w:val="CharSectno"/>
        </w:rPr>
        <w:t>143</w:t>
      </w:r>
      <w:r>
        <w:rPr>
          <w:snapToGrid w:val="0"/>
        </w:rPr>
        <w:t>.</w:t>
      </w:r>
      <w:r>
        <w:rPr>
          <w:snapToGrid w:val="0"/>
        </w:rPr>
        <w:tab/>
        <w:t>Cancellation of certain obligations after 6 months’ release</w:t>
      </w:r>
      <w:bookmarkEnd w:id="476"/>
      <w:bookmarkEnd w:id="477"/>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478" w:name="_Toc405453297"/>
      <w:bookmarkStart w:id="479" w:name="_Toc422303365"/>
      <w:r>
        <w:rPr>
          <w:rStyle w:val="CharSectno"/>
        </w:rPr>
        <w:t>144</w:t>
      </w:r>
      <w:r>
        <w:rPr>
          <w:snapToGrid w:val="0"/>
        </w:rPr>
        <w:t>.</w:t>
      </w:r>
      <w:r>
        <w:rPr>
          <w:snapToGrid w:val="0"/>
        </w:rPr>
        <w:tab/>
        <w:t>Breach of order other than by re</w:t>
      </w:r>
      <w:r>
        <w:rPr>
          <w:snapToGrid w:val="0"/>
        </w:rPr>
        <w:noBreakHyphen/>
        <w:t>offending, report to CEO</w:t>
      </w:r>
      <w:bookmarkEnd w:id="478"/>
      <w:bookmarkEnd w:id="479"/>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480" w:name="_Toc405453298"/>
      <w:bookmarkStart w:id="481" w:name="_Toc422303366"/>
      <w:r>
        <w:rPr>
          <w:rStyle w:val="CharSectno"/>
        </w:rPr>
        <w:t>145</w:t>
      </w:r>
      <w:r>
        <w:rPr>
          <w:snapToGrid w:val="0"/>
        </w:rPr>
        <w:t>.</w:t>
      </w:r>
      <w:r>
        <w:rPr>
          <w:snapToGrid w:val="0"/>
        </w:rPr>
        <w:tab/>
        <w:t>Courts to notify Board and CEO of re</w:t>
      </w:r>
      <w:r>
        <w:rPr>
          <w:snapToGrid w:val="0"/>
        </w:rPr>
        <w:noBreakHyphen/>
        <w:t>offending</w:t>
      </w:r>
      <w:bookmarkEnd w:id="480"/>
      <w:bookmarkEnd w:id="481"/>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 and</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482" w:name="_Toc405453299"/>
      <w:bookmarkStart w:id="483" w:name="_Toc422303367"/>
      <w:r>
        <w:rPr>
          <w:rStyle w:val="CharSectno"/>
        </w:rPr>
        <w:t>146</w:t>
      </w:r>
      <w:r>
        <w:rPr>
          <w:snapToGrid w:val="0"/>
        </w:rPr>
        <w:t>.</w:t>
      </w:r>
      <w:r>
        <w:rPr>
          <w:snapToGrid w:val="0"/>
        </w:rPr>
        <w:tab/>
        <w:t>Report to be provided when referring matter to Board</w:t>
      </w:r>
      <w:bookmarkEnd w:id="482"/>
      <w:bookmarkEnd w:id="483"/>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 and</w:t>
      </w:r>
    </w:p>
    <w:p>
      <w:pPr>
        <w:pStyle w:val="Indenta"/>
        <w:rPr>
          <w:snapToGrid w:val="0"/>
        </w:rPr>
      </w:pPr>
      <w:r>
        <w:rPr>
          <w:snapToGrid w:val="0"/>
        </w:rPr>
        <w:tab/>
        <w:t>(b)</w:t>
      </w:r>
      <w:r>
        <w:rPr>
          <w:snapToGrid w:val="0"/>
        </w:rPr>
        <w:tab/>
        <w:t>why the matter is referred to the Board; and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484" w:name="_Toc405453300"/>
      <w:bookmarkStart w:id="485" w:name="_Toc422303368"/>
      <w:r>
        <w:rPr>
          <w:rStyle w:val="CharSectno"/>
        </w:rPr>
        <w:t>147</w:t>
      </w:r>
      <w:r>
        <w:rPr>
          <w:snapToGrid w:val="0"/>
        </w:rPr>
        <w:t>.</w:t>
      </w:r>
      <w:r>
        <w:rPr>
          <w:snapToGrid w:val="0"/>
        </w:rPr>
        <w:tab/>
        <w:t>Breach of order, how Board may deal with</w:t>
      </w:r>
      <w:bookmarkEnd w:id="484"/>
      <w:bookmarkEnd w:id="485"/>
      <w:r>
        <w:rPr>
          <w:snapToGrid w:val="0"/>
        </w:rPr>
        <w:t xml:space="preserve"> </w:t>
      </w:r>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if the supervised release order has been suspended, confirm, vary, or remove the suspension; or</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486" w:name="_Toc405453301"/>
      <w:bookmarkStart w:id="487" w:name="_Toc422303369"/>
      <w:r>
        <w:rPr>
          <w:rStyle w:val="CharSectno"/>
        </w:rPr>
        <w:t>147A</w:t>
      </w:r>
      <w:r>
        <w:t>.</w:t>
      </w:r>
      <w:r>
        <w:tab/>
      </w:r>
      <w:r>
        <w:rPr>
          <w:snapToGrid w:val="0"/>
        </w:rPr>
        <w:t>Offending while on supervised release order: automatic cancellation</w:t>
      </w:r>
      <w:bookmarkEnd w:id="486"/>
      <w:bookmarkEnd w:id="487"/>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rPr>
          <w:snapToGrid w:val="0"/>
        </w:rPr>
      </w:pPr>
      <w:bookmarkStart w:id="488" w:name="_Toc405453302"/>
      <w:bookmarkStart w:id="489" w:name="_Toc422303370"/>
      <w:r>
        <w:rPr>
          <w:rStyle w:val="CharSectno"/>
        </w:rPr>
        <w:t>148</w:t>
      </w:r>
      <w:r>
        <w:rPr>
          <w:snapToGrid w:val="0"/>
        </w:rPr>
        <w:t>.</w:t>
      </w:r>
      <w:r>
        <w:rPr>
          <w:snapToGrid w:val="0"/>
        </w:rPr>
        <w:tab/>
        <w:t>Compliance with order, effect of</w:t>
      </w:r>
      <w:bookmarkEnd w:id="488"/>
      <w:bookmarkEnd w:id="489"/>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490" w:name="_Toc405453303"/>
      <w:bookmarkStart w:id="491" w:name="_Toc422303371"/>
      <w:r>
        <w:rPr>
          <w:rStyle w:val="CharSectno"/>
        </w:rPr>
        <w:t>149</w:t>
      </w:r>
      <w:r>
        <w:rPr>
          <w:snapToGrid w:val="0"/>
        </w:rPr>
        <w:t>.</w:t>
      </w:r>
      <w:r>
        <w:rPr>
          <w:snapToGrid w:val="0"/>
        </w:rPr>
        <w:tab/>
        <w:t>Suspension or cancellation of order, effect of</w:t>
      </w:r>
      <w:bookmarkEnd w:id="490"/>
      <w:bookmarkEnd w:id="491"/>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492" w:name="_Toc405453304"/>
      <w:bookmarkStart w:id="493" w:name="_Toc422303372"/>
      <w:r>
        <w:rPr>
          <w:rStyle w:val="CharSectno"/>
        </w:rPr>
        <w:t>150</w:t>
      </w:r>
      <w:r>
        <w:rPr>
          <w:snapToGrid w:val="0"/>
        </w:rPr>
        <w:t>.</w:t>
      </w:r>
      <w:r>
        <w:rPr>
          <w:snapToGrid w:val="0"/>
        </w:rPr>
        <w:tab/>
        <w:t>Cancellation of order after offender reaches 18</w:t>
      </w:r>
      <w:bookmarkEnd w:id="492"/>
      <w:bookmarkEnd w:id="493"/>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494" w:name="_Toc405453305"/>
      <w:bookmarkStart w:id="495" w:name="_Toc413337030"/>
      <w:bookmarkStart w:id="496" w:name="_Toc413337306"/>
      <w:bookmarkStart w:id="497" w:name="_Toc413337421"/>
      <w:bookmarkStart w:id="498" w:name="_Toc422303373"/>
      <w:r>
        <w:rPr>
          <w:rStyle w:val="CharDivNo"/>
        </w:rPr>
        <w:t>Division 3</w:t>
      </w:r>
      <w:r>
        <w:rPr>
          <w:snapToGrid w:val="0"/>
        </w:rPr>
        <w:t> — </w:t>
      </w:r>
      <w:r>
        <w:rPr>
          <w:rStyle w:val="CharDivText"/>
        </w:rPr>
        <w:t>The Supervised Release Review Board</w:t>
      </w:r>
      <w:bookmarkEnd w:id="494"/>
      <w:bookmarkEnd w:id="495"/>
      <w:bookmarkEnd w:id="496"/>
      <w:bookmarkEnd w:id="497"/>
      <w:bookmarkEnd w:id="498"/>
      <w:r>
        <w:rPr>
          <w:rStyle w:val="CharDivText"/>
        </w:rPr>
        <w:t xml:space="preserve"> </w:t>
      </w:r>
    </w:p>
    <w:p>
      <w:pPr>
        <w:pStyle w:val="Heading5"/>
        <w:rPr>
          <w:snapToGrid w:val="0"/>
        </w:rPr>
      </w:pPr>
      <w:bookmarkStart w:id="499" w:name="_Toc405453306"/>
      <w:bookmarkStart w:id="500" w:name="_Toc422303374"/>
      <w:r>
        <w:rPr>
          <w:rStyle w:val="CharSectno"/>
        </w:rPr>
        <w:t>151</w:t>
      </w:r>
      <w:r>
        <w:rPr>
          <w:snapToGrid w:val="0"/>
        </w:rPr>
        <w:t>.</w:t>
      </w:r>
      <w:r>
        <w:rPr>
          <w:snapToGrid w:val="0"/>
        </w:rPr>
        <w:tab/>
        <w:t>Board established</w:t>
      </w:r>
      <w:bookmarkEnd w:id="499"/>
      <w:bookmarkEnd w:id="500"/>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501" w:name="_Toc405453307"/>
      <w:bookmarkStart w:id="502" w:name="_Toc422303375"/>
      <w:r>
        <w:rPr>
          <w:rStyle w:val="CharSectno"/>
        </w:rPr>
        <w:t>152</w:t>
      </w:r>
      <w:r>
        <w:rPr>
          <w:snapToGrid w:val="0"/>
        </w:rPr>
        <w:t>.</w:t>
      </w:r>
      <w:r>
        <w:rPr>
          <w:snapToGrid w:val="0"/>
        </w:rPr>
        <w:tab/>
        <w:t>Board members</w:t>
      </w:r>
      <w:bookmarkEnd w:id="501"/>
      <w:bookmarkEnd w:id="502"/>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 and</w:t>
      </w:r>
    </w:p>
    <w:p>
      <w:pPr>
        <w:pStyle w:val="Indenta"/>
      </w:pPr>
      <w:r>
        <w:tab/>
        <w:t>(b)</w:t>
      </w:r>
      <w:r>
        <w:tab/>
        <w:t>2 persons appointed by the Governor under subsection (3)(a) and (b); and</w:t>
      </w:r>
    </w:p>
    <w:p>
      <w:pPr>
        <w:pStyle w:val="Indenta"/>
      </w:pPr>
      <w:r>
        <w:tab/>
        <w:t>(ba)</w:t>
      </w:r>
      <w:r>
        <w:tab/>
        <w:t>one person with an understanding of victims’ interests and concerns appointed by the Governor; and</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 No. 21 of 2008 s. 714(4).]</w:t>
      </w:r>
    </w:p>
    <w:p>
      <w:pPr>
        <w:pStyle w:val="Heading5"/>
        <w:rPr>
          <w:snapToGrid w:val="0"/>
        </w:rPr>
      </w:pPr>
      <w:bookmarkStart w:id="503" w:name="_Toc405453308"/>
      <w:bookmarkStart w:id="504" w:name="_Toc422303376"/>
      <w:r>
        <w:rPr>
          <w:rStyle w:val="CharSectno"/>
        </w:rPr>
        <w:t>153</w:t>
      </w:r>
      <w:r>
        <w:rPr>
          <w:snapToGrid w:val="0"/>
        </w:rPr>
        <w:t>.</w:t>
      </w:r>
      <w:r>
        <w:rPr>
          <w:snapToGrid w:val="0"/>
        </w:rPr>
        <w:tab/>
        <w:t>Term of office</w:t>
      </w:r>
      <w:bookmarkEnd w:id="503"/>
      <w:bookmarkEnd w:id="504"/>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505" w:name="_Toc405453309"/>
      <w:bookmarkStart w:id="506" w:name="_Toc422303377"/>
      <w:r>
        <w:rPr>
          <w:rStyle w:val="CharSectno"/>
        </w:rPr>
        <w:t>154</w:t>
      </w:r>
      <w:r>
        <w:rPr>
          <w:snapToGrid w:val="0"/>
        </w:rPr>
        <w:t>.</w:t>
      </w:r>
      <w:r>
        <w:rPr>
          <w:snapToGrid w:val="0"/>
        </w:rPr>
        <w:tab/>
        <w:t>Alternate members</w:t>
      </w:r>
      <w:bookmarkEnd w:id="505"/>
      <w:bookmarkEnd w:id="506"/>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507" w:name="_Toc405453310"/>
      <w:bookmarkStart w:id="508" w:name="_Toc422303378"/>
      <w:r>
        <w:rPr>
          <w:rStyle w:val="CharSectno"/>
        </w:rPr>
        <w:t>155</w:t>
      </w:r>
      <w:r>
        <w:rPr>
          <w:snapToGrid w:val="0"/>
        </w:rPr>
        <w:t>.</w:t>
      </w:r>
      <w:r>
        <w:rPr>
          <w:snapToGrid w:val="0"/>
        </w:rPr>
        <w:tab/>
        <w:t>Remuneration and allowances</w:t>
      </w:r>
      <w:bookmarkEnd w:id="507"/>
      <w:bookmarkEnd w:id="508"/>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509" w:name="_Toc405453311"/>
      <w:bookmarkStart w:id="510" w:name="_Toc422303379"/>
      <w:r>
        <w:rPr>
          <w:rStyle w:val="CharSectno"/>
        </w:rPr>
        <w:t>156</w:t>
      </w:r>
      <w:r>
        <w:rPr>
          <w:snapToGrid w:val="0"/>
        </w:rPr>
        <w:t>.</w:t>
      </w:r>
      <w:r>
        <w:rPr>
          <w:snapToGrid w:val="0"/>
        </w:rPr>
        <w:tab/>
        <w:t>Meetings</w:t>
      </w:r>
      <w:bookmarkEnd w:id="509"/>
      <w:bookmarkEnd w:id="510"/>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511" w:name="_Toc405453312"/>
      <w:bookmarkStart w:id="512" w:name="_Toc422303380"/>
      <w:r>
        <w:rPr>
          <w:rStyle w:val="CharSectno"/>
        </w:rPr>
        <w:t>157</w:t>
      </w:r>
      <w:r>
        <w:rPr>
          <w:snapToGrid w:val="0"/>
        </w:rPr>
        <w:t>.</w:t>
      </w:r>
      <w:r>
        <w:rPr>
          <w:snapToGrid w:val="0"/>
        </w:rPr>
        <w:tab/>
        <w:t>Quorum</w:t>
      </w:r>
      <w:bookmarkEnd w:id="511"/>
      <w:bookmarkEnd w:id="512"/>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w:t>
      </w:r>
      <w:r>
        <w:tab/>
        <w:t>deleted]</w:t>
      </w:r>
    </w:p>
    <w:p>
      <w:pPr>
        <w:pStyle w:val="Footnotesection"/>
      </w:pPr>
      <w:r>
        <w:tab/>
        <w:t>[Section 157 amended by No. 58 of 2004 s. 36.]</w:t>
      </w:r>
    </w:p>
    <w:p>
      <w:pPr>
        <w:pStyle w:val="Heading5"/>
        <w:rPr>
          <w:snapToGrid w:val="0"/>
        </w:rPr>
      </w:pPr>
      <w:bookmarkStart w:id="513" w:name="_Toc405453313"/>
      <w:bookmarkStart w:id="514" w:name="_Toc422303381"/>
      <w:r>
        <w:rPr>
          <w:rStyle w:val="CharSectno"/>
        </w:rPr>
        <w:t>158</w:t>
      </w:r>
      <w:r>
        <w:rPr>
          <w:snapToGrid w:val="0"/>
        </w:rPr>
        <w:t>.</w:t>
      </w:r>
      <w:r>
        <w:rPr>
          <w:snapToGrid w:val="0"/>
        </w:rPr>
        <w:tab/>
        <w:t>Presiding at meetings</w:t>
      </w:r>
      <w:bookmarkEnd w:id="513"/>
      <w:bookmarkEnd w:id="514"/>
      <w:r>
        <w:rPr>
          <w:snapToGrid w:val="0"/>
        </w:rPr>
        <w:t xml:space="preserve"> </w:t>
      </w:r>
    </w:p>
    <w:p>
      <w:pPr>
        <w:pStyle w:val="Subsection"/>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515" w:name="_Toc405453314"/>
      <w:bookmarkStart w:id="516" w:name="_Toc422303382"/>
      <w:r>
        <w:rPr>
          <w:rStyle w:val="CharSectno"/>
        </w:rPr>
        <w:t>159</w:t>
      </w:r>
      <w:r>
        <w:rPr>
          <w:snapToGrid w:val="0"/>
        </w:rPr>
        <w:t>.</w:t>
      </w:r>
      <w:r>
        <w:rPr>
          <w:snapToGrid w:val="0"/>
        </w:rPr>
        <w:tab/>
        <w:t>Board may request reports</w:t>
      </w:r>
      <w:bookmarkEnd w:id="515"/>
      <w:bookmarkEnd w:id="516"/>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517" w:name="_Toc405453315"/>
      <w:bookmarkStart w:id="518" w:name="_Toc422303383"/>
      <w:r>
        <w:rPr>
          <w:rStyle w:val="CharSectno"/>
        </w:rPr>
        <w:t>160</w:t>
      </w:r>
      <w:r>
        <w:rPr>
          <w:snapToGrid w:val="0"/>
        </w:rPr>
        <w:t>.</w:t>
      </w:r>
      <w:r>
        <w:rPr>
          <w:snapToGrid w:val="0"/>
        </w:rPr>
        <w:tab/>
        <w:t>Determination of questions</w:t>
      </w:r>
      <w:bookmarkEnd w:id="517"/>
      <w:bookmarkEnd w:id="518"/>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519" w:name="_Toc405453316"/>
      <w:bookmarkStart w:id="520" w:name="_Toc422303384"/>
      <w:r>
        <w:rPr>
          <w:rStyle w:val="CharSectno"/>
        </w:rPr>
        <w:t>161</w:t>
      </w:r>
      <w:r>
        <w:rPr>
          <w:snapToGrid w:val="0"/>
        </w:rPr>
        <w:t>.</w:t>
      </w:r>
      <w:r>
        <w:rPr>
          <w:snapToGrid w:val="0"/>
        </w:rPr>
        <w:tab/>
        <w:t>Procedure</w:t>
      </w:r>
      <w:bookmarkEnd w:id="519"/>
      <w:bookmarkEnd w:id="520"/>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Footnotesection"/>
      </w:pPr>
      <w:r>
        <w:tab/>
        <w:t>[Section 161. Modifications to be applied in order to give effect to Cross-border Justice Act 2008: section altered 1 Dec 2009. See endnote 1M.]</w:t>
      </w:r>
    </w:p>
    <w:p>
      <w:pPr>
        <w:pStyle w:val="Heading5"/>
        <w:rPr>
          <w:snapToGrid w:val="0"/>
        </w:rPr>
      </w:pPr>
      <w:bookmarkStart w:id="521" w:name="_Toc405453317"/>
      <w:bookmarkStart w:id="522" w:name="_Toc422303385"/>
      <w:r>
        <w:rPr>
          <w:rStyle w:val="CharSectno"/>
        </w:rPr>
        <w:t>162</w:t>
      </w:r>
      <w:r>
        <w:rPr>
          <w:snapToGrid w:val="0"/>
        </w:rPr>
        <w:t>.</w:t>
      </w:r>
      <w:r>
        <w:rPr>
          <w:snapToGrid w:val="0"/>
        </w:rPr>
        <w:tab/>
        <w:t>Board may reconsider its decision</w:t>
      </w:r>
      <w:bookmarkEnd w:id="521"/>
      <w:bookmarkEnd w:id="522"/>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523" w:name="_Toc405453318"/>
      <w:bookmarkStart w:id="524" w:name="_Toc422303386"/>
      <w:r>
        <w:rPr>
          <w:rStyle w:val="CharSectno"/>
        </w:rPr>
        <w:t>163</w:t>
      </w:r>
      <w:r>
        <w:rPr>
          <w:snapToGrid w:val="0"/>
        </w:rPr>
        <w:t>.</w:t>
      </w:r>
      <w:r>
        <w:rPr>
          <w:snapToGrid w:val="0"/>
        </w:rPr>
        <w:tab/>
        <w:t>Rules of natural justice excluded</w:t>
      </w:r>
      <w:bookmarkEnd w:id="523"/>
      <w:bookmarkEnd w:id="524"/>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525" w:name="_Toc405453319"/>
      <w:bookmarkStart w:id="526" w:name="_Toc422303387"/>
      <w:r>
        <w:rPr>
          <w:rStyle w:val="CharSectno"/>
        </w:rPr>
        <w:t>164</w:t>
      </w:r>
      <w:r>
        <w:rPr>
          <w:snapToGrid w:val="0"/>
        </w:rPr>
        <w:t>.</w:t>
      </w:r>
      <w:r>
        <w:rPr>
          <w:snapToGrid w:val="0"/>
        </w:rPr>
        <w:tab/>
        <w:t>Judicial notice of Board’s documents</w:t>
      </w:r>
      <w:bookmarkEnd w:id="525"/>
      <w:bookmarkEnd w:id="526"/>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527" w:name="_Toc405453320"/>
      <w:bookmarkStart w:id="528" w:name="_Toc422303388"/>
      <w:r>
        <w:rPr>
          <w:rStyle w:val="CharSectno"/>
        </w:rPr>
        <w:t>165</w:t>
      </w:r>
      <w:r>
        <w:rPr>
          <w:snapToGrid w:val="0"/>
        </w:rPr>
        <w:t>.</w:t>
      </w:r>
      <w:r>
        <w:rPr>
          <w:snapToGrid w:val="0"/>
        </w:rPr>
        <w:tab/>
        <w:t>Annual report</w:t>
      </w:r>
      <w:bookmarkEnd w:id="527"/>
      <w:bookmarkEnd w:id="528"/>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 and</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529" w:name="_Toc405453321"/>
      <w:bookmarkStart w:id="530" w:name="_Toc413337046"/>
      <w:bookmarkStart w:id="531" w:name="_Toc413337322"/>
      <w:bookmarkStart w:id="532" w:name="_Toc413337437"/>
      <w:bookmarkStart w:id="533" w:name="_Toc422303389"/>
      <w:r>
        <w:rPr>
          <w:rStyle w:val="CharPartNo"/>
        </w:rPr>
        <w:t>Part 9</w:t>
      </w:r>
      <w:r>
        <w:rPr>
          <w:rStyle w:val="CharDivNo"/>
        </w:rPr>
        <w:t> </w:t>
      </w:r>
      <w:r>
        <w:t>—</w:t>
      </w:r>
      <w:r>
        <w:rPr>
          <w:rStyle w:val="CharDivText"/>
        </w:rPr>
        <w:t> </w:t>
      </w:r>
      <w:r>
        <w:rPr>
          <w:rStyle w:val="CharPartText"/>
        </w:rPr>
        <w:t>Detention centres</w:t>
      </w:r>
      <w:bookmarkEnd w:id="529"/>
      <w:bookmarkEnd w:id="530"/>
      <w:bookmarkEnd w:id="531"/>
      <w:bookmarkEnd w:id="532"/>
      <w:bookmarkEnd w:id="533"/>
      <w:r>
        <w:rPr>
          <w:rStyle w:val="CharPartText"/>
        </w:rPr>
        <w:t xml:space="preserve"> </w:t>
      </w:r>
    </w:p>
    <w:p>
      <w:pPr>
        <w:pStyle w:val="Heading5"/>
      </w:pPr>
      <w:bookmarkStart w:id="534" w:name="_Toc405453322"/>
      <w:bookmarkStart w:id="535" w:name="_Toc422303390"/>
      <w:r>
        <w:rPr>
          <w:rStyle w:val="CharSectno"/>
        </w:rPr>
        <w:t>166</w:t>
      </w:r>
      <w:r>
        <w:t>.</w:t>
      </w:r>
      <w:r>
        <w:tab/>
        <w:t>Appointment of visiting justices</w:t>
      </w:r>
      <w:bookmarkEnd w:id="534"/>
      <w:bookmarkEnd w:id="535"/>
    </w:p>
    <w:p>
      <w:pPr>
        <w:pStyle w:val="Subsection"/>
      </w:pPr>
      <w:r>
        <w:tab/>
        <w:t>(1)</w:t>
      </w:r>
      <w:r>
        <w:tab/>
        <w:t>The Minister may, for every detention centre, appoint visitors to be known as visiting justices.</w:t>
      </w:r>
    </w:p>
    <w:p>
      <w:pPr>
        <w:pStyle w:val="Subsection"/>
      </w:pPr>
      <w:r>
        <w:tab/>
        <w:t>(2)</w:t>
      </w:r>
      <w:r>
        <w:tab/>
        <w:t xml:space="preserve">A visiting justice cannot carry out the duties of an independent detention centre visitor appointed under section 41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p>
      <w:pPr>
        <w:pStyle w:val="Ednotesection"/>
      </w:pPr>
      <w:r>
        <w:t>[</w:t>
      </w:r>
      <w:r>
        <w:rPr>
          <w:b/>
        </w:rPr>
        <w:t>167.</w:t>
      </w:r>
      <w:r>
        <w:tab/>
        <w:t>Deleted by No. 75 of 2003 s. 56(1).]</w:t>
      </w:r>
    </w:p>
    <w:p>
      <w:pPr>
        <w:pStyle w:val="Heading5"/>
        <w:rPr>
          <w:snapToGrid w:val="0"/>
        </w:rPr>
      </w:pPr>
      <w:bookmarkStart w:id="536" w:name="_Toc405453323"/>
      <w:bookmarkStart w:id="537" w:name="_Toc422303391"/>
      <w:r>
        <w:rPr>
          <w:rStyle w:val="CharSectno"/>
        </w:rPr>
        <w:t>168</w:t>
      </w:r>
      <w:r>
        <w:rPr>
          <w:snapToGrid w:val="0"/>
        </w:rPr>
        <w:t>.</w:t>
      </w:r>
      <w:r>
        <w:rPr>
          <w:snapToGrid w:val="0"/>
        </w:rPr>
        <w:tab/>
        <w:t>Visiting justices, functions of</w:t>
      </w:r>
      <w:bookmarkEnd w:id="536"/>
      <w:bookmarkEnd w:id="537"/>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538" w:name="_Toc405453324"/>
      <w:bookmarkStart w:id="539" w:name="_Toc422303392"/>
      <w:r>
        <w:rPr>
          <w:rStyle w:val="CharSectno"/>
        </w:rPr>
        <w:t>169</w:t>
      </w:r>
      <w:r>
        <w:rPr>
          <w:snapToGrid w:val="0"/>
        </w:rPr>
        <w:t>.</w:t>
      </w:r>
      <w:r>
        <w:rPr>
          <w:snapToGrid w:val="0"/>
        </w:rPr>
        <w:tab/>
        <w:t>Right of certain persons to enter detention centre</w:t>
      </w:r>
      <w:bookmarkEnd w:id="538"/>
      <w:bookmarkEnd w:id="539"/>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 or</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540" w:name="_Toc405453325"/>
      <w:bookmarkStart w:id="541" w:name="_Toc422303393"/>
      <w:r>
        <w:rPr>
          <w:rStyle w:val="CharSectno"/>
        </w:rPr>
        <w:t>169A</w:t>
      </w:r>
      <w:r>
        <w:t>.</w:t>
      </w:r>
      <w:r>
        <w:tab/>
      </w:r>
      <w:r>
        <w:rPr>
          <w:snapToGrid w:val="0"/>
        </w:rPr>
        <w:t>Investigation of an alleged incident at a detention centre</w:t>
      </w:r>
      <w:bookmarkEnd w:id="540"/>
      <w:bookmarkEnd w:id="541"/>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person who is appointed under section 11(1) or (1a) to — </w:t>
      </w:r>
    </w:p>
    <w:p>
      <w:pPr>
        <w:pStyle w:val="Indenta"/>
        <w:rPr>
          <w:snapToGrid w:val="0"/>
        </w:rPr>
      </w:pPr>
      <w:r>
        <w:tab/>
      </w:r>
      <w:r>
        <w:rPr>
          <w:snapToGrid w:val="0"/>
        </w:rPr>
        <w:t>(a)</w:t>
      </w:r>
      <w:r>
        <w:rPr>
          <w:snapToGrid w:val="0"/>
        </w:rPr>
        <w:tab/>
        <w:t>attend an interview at a time nominated by the authorised person; and</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person who is appointed under section 11(1) or (1a),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by No. 58 of 2004 s. 37.]</w:t>
      </w:r>
    </w:p>
    <w:p>
      <w:pPr>
        <w:pStyle w:val="Heading5"/>
        <w:rPr>
          <w:snapToGrid w:val="0"/>
        </w:rPr>
      </w:pPr>
      <w:bookmarkStart w:id="542" w:name="_Toc405453326"/>
      <w:bookmarkStart w:id="543" w:name="_Toc422303394"/>
      <w:r>
        <w:rPr>
          <w:rStyle w:val="CharSectno"/>
        </w:rPr>
        <w:t>170</w:t>
      </w:r>
      <w:r>
        <w:rPr>
          <w:snapToGrid w:val="0"/>
        </w:rPr>
        <w:t>.</w:t>
      </w:r>
      <w:r>
        <w:rPr>
          <w:snapToGrid w:val="0"/>
        </w:rPr>
        <w:tab/>
        <w:t>Detention offences</w:t>
      </w:r>
      <w:bookmarkEnd w:id="542"/>
      <w:bookmarkEnd w:id="543"/>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 or</w:t>
      </w:r>
    </w:p>
    <w:p>
      <w:pPr>
        <w:pStyle w:val="Indenta"/>
        <w:rPr>
          <w:snapToGrid w:val="0"/>
        </w:rPr>
      </w:pPr>
      <w:r>
        <w:rPr>
          <w:snapToGrid w:val="0"/>
        </w:rPr>
        <w:tab/>
        <w:t>(b)</w:t>
      </w:r>
      <w:r>
        <w:rPr>
          <w:snapToGrid w:val="0"/>
        </w:rPr>
        <w:tab/>
        <w:t>uses insulting or threatening language or behaves in an insulting or threatening manner; or</w:t>
      </w:r>
    </w:p>
    <w:p>
      <w:pPr>
        <w:pStyle w:val="Indenta"/>
        <w:rPr>
          <w:snapToGrid w:val="0"/>
        </w:rPr>
      </w:pPr>
      <w:r>
        <w:rPr>
          <w:snapToGrid w:val="0"/>
        </w:rPr>
        <w:tab/>
        <w:t>(c)</w:t>
      </w:r>
      <w:r>
        <w:rPr>
          <w:snapToGrid w:val="0"/>
        </w:rPr>
        <w:tab/>
        <w:t>prefers a false or frivolous complaint; or</w:t>
      </w:r>
    </w:p>
    <w:p>
      <w:pPr>
        <w:pStyle w:val="Indenta"/>
        <w:rPr>
          <w:snapToGrid w:val="0"/>
        </w:rPr>
      </w:pPr>
      <w:r>
        <w:rPr>
          <w:snapToGrid w:val="0"/>
        </w:rPr>
        <w:tab/>
        <w:t>(d)</w:t>
      </w:r>
      <w:r>
        <w:rPr>
          <w:snapToGrid w:val="0"/>
        </w:rPr>
        <w:tab/>
        <w:t>does any act or omission of insubordination or misconduct subversive of the order and good government of the detention centre; or</w:t>
      </w:r>
    </w:p>
    <w:p>
      <w:pPr>
        <w:pStyle w:val="Indenta"/>
        <w:rPr>
          <w:snapToGrid w:val="0"/>
        </w:rPr>
      </w:pPr>
      <w:r>
        <w:rPr>
          <w:snapToGrid w:val="0"/>
        </w:rPr>
        <w:tab/>
        <w:t>(e)</w:t>
      </w:r>
      <w:r>
        <w:rPr>
          <w:snapToGrid w:val="0"/>
        </w:rPr>
        <w:tab/>
        <w:t>breaches a condition or restriction of any leave of absence from a detention centre; or</w:t>
      </w:r>
    </w:p>
    <w:p>
      <w:pPr>
        <w:pStyle w:val="Indenta"/>
        <w:rPr>
          <w:snapToGrid w:val="0"/>
        </w:rPr>
      </w:pPr>
      <w:r>
        <w:rPr>
          <w:snapToGrid w:val="0"/>
        </w:rPr>
        <w:tab/>
        <w:t>(f)</w:t>
      </w:r>
      <w:r>
        <w:rPr>
          <w:snapToGrid w:val="0"/>
        </w:rPr>
        <w:tab/>
        <w:t>assaults a person; or</w:t>
      </w:r>
    </w:p>
    <w:p>
      <w:pPr>
        <w:pStyle w:val="Indenta"/>
        <w:rPr>
          <w:snapToGrid w:val="0"/>
        </w:rPr>
      </w:pPr>
      <w:r>
        <w:rPr>
          <w:snapToGrid w:val="0"/>
        </w:rPr>
        <w:tab/>
        <w:t>(g)</w:t>
      </w:r>
      <w:r>
        <w:rPr>
          <w:snapToGrid w:val="0"/>
        </w:rPr>
        <w:tab/>
        <w:t>escapes or prepares or attempts to escape from lawful custody; or</w:t>
      </w:r>
    </w:p>
    <w:p>
      <w:pPr>
        <w:pStyle w:val="Indenta"/>
        <w:rPr>
          <w:snapToGrid w:val="0"/>
        </w:rPr>
      </w:pPr>
      <w:r>
        <w:rPr>
          <w:snapToGrid w:val="0"/>
        </w:rPr>
        <w:tab/>
        <w:t>(h)</w:t>
      </w:r>
      <w:r>
        <w:rPr>
          <w:snapToGrid w:val="0"/>
        </w:rPr>
        <w:tab/>
        <w:t>is in possession of or under the influence of drugs not lawfully issued to the detainee or not taken as prescribed; or</w:t>
      </w:r>
    </w:p>
    <w:p>
      <w:pPr>
        <w:pStyle w:val="Indenta"/>
        <w:rPr>
          <w:snapToGrid w:val="0"/>
        </w:rPr>
      </w:pPr>
      <w:r>
        <w:rPr>
          <w:snapToGrid w:val="0"/>
        </w:rPr>
        <w:tab/>
        <w:t>(i)</w:t>
      </w:r>
      <w:r>
        <w:rPr>
          <w:snapToGrid w:val="0"/>
        </w:rPr>
        <w:tab/>
        <w:t>is, without the permission of the superintendent, in possession of glue containing toluene or another intoxicant; or</w:t>
      </w:r>
    </w:p>
    <w:p>
      <w:pPr>
        <w:pStyle w:val="Indenta"/>
        <w:rPr>
          <w:snapToGrid w:val="0"/>
        </w:rPr>
      </w:pPr>
      <w:r>
        <w:rPr>
          <w:snapToGrid w:val="0"/>
        </w:rPr>
        <w:tab/>
        <w:t>(j)</w:t>
      </w:r>
      <w:r>
        <w:rPr>
          <w:snapToGrid w:val="0"/>
        </w:rPr>
        <w:tab/>
        <w:t>does not submit for the purpose of having a body sample taken when required under this Act to do so; or</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 or</w:t>
      </w:r>
    </w:p>
    <w:p>
      <w:pPr>
        <w:pStyle w:val="Indenta"/>
        <w:rPr>
          <w:snapToGrid w:val="0"/>
        </w:rPr>
      </w:pPr>
      <w:r>
        <w:rPr>
          <w:snapToGrid w:val="0"/>
        </w:rPr>
        <w:tab/>
        <w:t>(k)</w:t>
      </w:r>
      <w:r>
        <w:rPr>
          <w:snapToGrid w:val="0"/>
        </w:rPr>
        <w:tab/>
        <w:t>is in possession of a weapon or a facsimile of a weapon; or</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544" w:name="_Toc405453327"/>
      <w:bookmarkStart w:id="545" w:name="_Toc422303395"/>
      <w:r>
        <w:rPr>
          <w:rStyle w:val="CharSectno"/>
        </w:rPr>
        <w:t>171</w:t>
      </w:r>
      <w:r>
        <w:rPr>
          <w:snapToGrid w:val="0"/>
        </w:rPr>
        <w:t>.</w:t>
      </w:r>
      <w:r>
        <w:rPr>
          <w:snapToGrid w:val="0"/>
        </w:rPr>
        <w:tab/>
        <w:t>Detention offence charge, procedure on</w:t>
      </w:r>
      <w:bookmarkEnd w:id="544"/>
      <w:bookmarkEnd w:id="545"/>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546" w:name="_Toc405453328"/>
      <w:bookmarkStart w:id="547" w:name="_Toc422303396"/>
      <w:r>
        <w:rPr>
          <w:rStyle w:val="CharSectno"/>
        </w:rPr>
        <w:t>172</w:t>
      </w:r>
      <w:r>
        <w:rPr>
          <w:snapToGrid w:val="0"/>
        </w:rPr>
        <w:t>.</w:t>
      </w:r>
      <w:r>
        <w:rPr>
          <w:snapToGrid w:val="0"/>
        </w:rPr>
        <w:tab/>
        <w:t>Visiting justice may deal with referred charges</w:t>
      </w:r>
      <w:bookmarkEnd w:id="546"/>
      <w:bookmarkEnd w:id="547"/>
      <w:r>
        <w:rPr>
          <w:snapToGrid w:val="0"/>
        </w:rPr>
        <w:t xml:space="preserve"> </w:t>
      </w:r>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548" w:name="_Toc405453329"/>
      <w:bookmarkStart w:id="549" w:name="_Toc422303397"/>
      <w:r>
        <w:rPr>
          <w:rStyle w:val="CharSectno"/>
        </w:rPr>
        <w:t>173</w:t>
      </w:r>
      <w:r>
        <w:rPr>
          <w:snapToGrid w:val="0"/>
        </w:rPr>
        <w:t>.</w:t>
      </w:r>
      <w:r>
        <w:rPr>
          <w:snapToGrid w:val="0"/>
        </w:rPr>
        <w:tab/>
        <w:t>Detention offences, dealing with</w:t>
      </w:r>
      <w:bookmarkEnd w:id="548"/>
      <w:bookmarkEnd w:id="549"/>
      <w:r>
        <w:rPr>
          <w:snapToGrid w:val="0"/>
        </w:rPr>
        <w:t xml:space="preserve"> </w:t>
      </w:r>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 or</w:t>
      </w:r>
    </w:p>
    <w:p>
      <w:pPr>
        <w:pStyle w:val="Indenta"/>
        <w:rPr>
          <w:snapToGrid w:val="0"/>
        </w:rPr>
      </w:pPr>
      <w:r>
        <w:rPr>
          <w:snapToGrid w:val="0"/>
        </w:rPr>
        <w:tab/>
        <w:t>(b)</w:t>
      </w:r>
      <w:r>
        <w:rPr>
          <w:snapToGrid w:val="0"/>
        </w:rPr>
        <w:tab/>
        <w:t>by reprimanding the detainee; or</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 or</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r>
      <w:r>
        <w:rPr>
          <w:snapToGrid w:val="0"/>
        </w:rPr>
        <w:tab/>
        <w:t>or</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550" w:name="_Toc405453330"/>
      <w:bookmarkStart w:id="551" w:name="_Toc422303398"/>
      <w:r>
        <w:rPr>
          <w:rStyle w:val="CharSectno"/>
        </w:rPr>
        <w:t>174</w:t>
      </w:r>
      <w:r>
        <w:rPr>
          <w:snapToGrid w:val="0"/>
        </w:rPr>
        <w:t>.</w:t>
      </w:r>
      <w:r>
        <w:rPr>
          <w:snapToGrid w:val="0"/>
        </w:rPr>
        <w:tab/>
        <w:t>Detention offence charges, hearing of</w:t>
      </w:r>
      <w:bookmarkEnd w:id="550"/>
      <w:bookmarkEnd w:id="551"/>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552" w:name="_Toc405453331"/>
      <w:bookmarkStart w:id="553" w:name="_Toc422303399"/>
      <w:r>
        <w:rPr>
          <w:rStyle w:val="CharSectno"/>
        </w:rPr>
        <w:t>175</w:t>
      </w:r>
      <w:r>
        <w:rPr>
          <w:snapToGrid w:val="0"/>
        </w:rPr>
        <w:t>.</w:t>
      </w:r>
      <w:r>
        <w:rPr>
          <w:snapToGrid w:val="0"/>
        </w:rPr>
        <w:tab/>
        <w:t>Visiting justice may direct prosecution for detention offence</w:t>
      </w:r>
      <w:bookmarkEnd w:id="552"/>
      <w:bookmarkEnd w:id="553"/>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554" w:name="_Toc405453332"/>
      <w:bookmarkStart w:id="555" w:name="_Toc422303400"/>
      <w:r>
        <w:rPr>
          <w:rStyle w:val="CharSectno"/>
        </w:rPr>
        <w:t>176</w:t>
      </w:r>
      <w:r>
        <w:rPr>
          <w:snapToGrid w:val="0"/>
        </w:rPr>
        <w:t>.</w:t>
      </w:r>
      <w:r>
        <w:rPr>
          <w:snapToGrid w:val="0"/>
        </w:rPr>
        <w:tab/>
        <w:t>Early discharge from detention</w:t>
      </w:r>
      <w:bookmarkEnd w:id="554"/>
      <w:bookmarkEnd w:id="555"/>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by No. 78 of 1995 s. 145.] </w:t>
      </w:r>
    </w:p>
    <w:p>
      <w:pPr>
        <w:pStyle w:val="Heading5"/>
        <w:rPr>
          <w:snapToGrid w:val="0"/>
        </w:rPr>
      </w:pPr>
      <w:bookmarkStart w:id="556" w:name="_Toc405453333"/>
      <w:bookmarkStart w:id="557" w:name="_Toc422303401"/>
      <w:r>
        <w:rPr>
          <w:rStyle w:val="CharSectno"/>
        </w:rPr>
        <w:t>178</w:t>
      </w:r>
      <w:r>
        <w:rPr>
          <w:snapToGrid w:val="0"/>
        </w:rPr>
        <w:t>.</w:t>
      </w:r>
      <w:r>
        <w:rPr>
          <w:snapToGrid w:val="0"/>
        </w:rPr>
        <w:tab/>
        <w:t>Transfer of offender from detention centre to prison</w:t>
      </w:r>
      <w:bookmarkEnd w:id="556"/>
      <w:bookmarkEnd w:id="557"/>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 or</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Footnotesection"/>
      </w:pPr>
      <w:r>
        <w:tab/>
        <w:t>[Section 178. Modifications to be applied in order to give effect to Cross-border Justice Act 2008: section altered 1 Dec 2009. See endnote 1M.]</w:t>
      </w:r>
    </w:p>
    <w:p>
      <w:pPr>
        <w:pStyle w:val="Heading5"/>
        <w:rPr>
          <w:snapToGrid w:val="0"/>
        </w:rPr>
      </w:pPr>
      <w:bookmarkStart w:id="558" w:name="_Toc405453334"/>
      <w:bookmarkStart w:id="559" w:name="_Toc422303402"/>
      <w:r>
        <w:rPr>
          <w:rStyle w:val="CharSectno"/>
        </w:rPr>
        <w:t>179</w:t>
      </w:r>
      <w:r>
        <w:rPr>
          <w:snapToGrid w:val="0"/>
        </w:rPr>
        <w:t>.</w:t>
      </w:r>
      <w:r>
        <w:rPr>
          <w:snapToGrid w:val="0"/>
        </w:rPr>
        <w:tab/>
        <w:t>Medical treatment, removal for</w:t>
      </w:r>
      <w:bookmarkEnd w:id="558"/>
      <w:bookmarkEnd w:id="559"/>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medical treatment</w:t>
      </w:r>
      <w:r>
        <w:t xml:space="preserve"> includes psychiatric treatment as defined in section 3 of the </w:t>
      </w:r>
      <w:r>
        <w:rPr>
          <w:i/>
        </w:rPr>
        <w:t>Mental Health Act 1996</w:t>
      </w:r>
      <w:r>
        <w:t>.</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by No. 69 of 1996 s. 94; No. 47 of 1999 s. 45; No. 22 of 2008 Sch. 3 cl. 55; No. 29 of 2008 s. 41(2); No. 35 of 2010 s. 166.]</w:t>
      </w:r>
    </w:p>
    <w:p>
      <w:pPr>
        <w:pStyle w:val="Heading5"/>
        <w:rPr>
          <w:snapToGrid w:val="0"/>
        </w:rPr>
      </w:pPr>
      <w:bookmarkStart w:id="560" w:name="_Toc405453335"/>
      <w:bookmarkStart w:id="561" w:name="_Toc422303403"/>
      <w:r>
        <w:rPr>
          <w:rStyle w:val="CharSectno"/>
        </w:rPr>
        <w:t>180</w:t>
      </w:r>
      <w:r>
        <w:rPr>
          <w:snapToGrid w:val="0"/>
        </w:rPr>
        <w:t>.</w:t>
      </w:r>
      <w:r>
        <w:rPr>
          <w:snapToGrid w:val="0"/>
        </w:rPr>
        <w:tab/>
        <w:t>Death of detainee, coroner to investigate</w:t>
      </w:r>
      <w:bookmarkEnd w:id="560"/>
      <w:bookmarkEnd w:id="561"/>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562" w:name="_Toc405453336"/>
      <w:bookmarkStart w:id="563" w:name="_Toc422303404"/>
      <w:r>
        <w:rPr>
          <w:rStyle w:val="CharSectno"/>
        </w:rPr>
        <w:t>181</w:t>
      </w:r>
      <w:r>
        <w:rPr>
          <w:snapToGrid w:val="0"/>
        </w:rPr>
        <w:t>.</w:t>
      </w:r>
      <w:r>
        <w:rPr>
          <w:snapToGrid w:val="0"/>
        </w:rPr>
        <w:tab/>
        <w:t>Rules for detention centres, CEO may make</w:t>
      </w:r>
      <w:bookmarkEnd w:id="562"/>
      <w:bookmarkEnd w:id="563"/>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r>
        <w:tab/>
        <w:t xml:space="preserve">[Section 181 amended by No. 58 of 2004 s. 40.] </w:t>
      </w:r>
    </w:p>
    <w:p>
      <w:pPr>
        <w:pStyle w:val="Heading2"/>
      </w:pPr>
      <w:bookmarkStart w:id="564" w:name="_Toc405453337"/>
      <w:bookmarkStart w:id="565" w:name="_Toc413337062"/>
      <w:bookmarkStart w:id="566" w:name="_Toc413337338"/>
      <w:bookmarkStart w:id="567" w:name="_Toc413337453"/>
      <w:bookmarkStart w:id="568" w:name="_Toc422303405"/>
      <w:r>
        <w:rPr>
          <w:rStyle w:val="CharPartNo"/>
        </w:rPr>
        <w:t>Part 10</w:t>
      </w:r>
      <w:r>
        <w:rPr>
          <w:rStyle w:val="CharDivNo"/>
        </w:rPr>
        <w:t> </w:t>
      </w:r>
      <w:r>
        <w:t>—</w:t>
      </w:r>
      <w:r>
        <w:rPr>
          <w:rStyle w:val="CharDivText"/>
        </w:rPr>
        <w:t> </w:t>
      </w:r>
      <w:r>
        <w:rPr>
          <w:rStyle w:val="CharPartText"/>
        </w:rPr>
        <w:t>Miscellaneous</w:t>
      </w:r>
      <w:bookmarkEnd w:id="564"/>
      <w:bookmarkEnd w:id="565"/>
      <w:bookmarkEnd w:id="566"/>
      <w:bookmarkEnd w:id="567"/>
      <w:bookmarkEnd w:id="568"/>
      <w:r>
        <w:rPr>
          <w:rStyle w:val="CharPartText"/>
        </w:rPr>
        <w:t xml:space="preserve"> </w:t>
      </w:r>
    </w:p>
    <w:p>
      <w:pPr>
        <w:pStyle w:val="Heading5"/>
        <w:rPr>
          <w:snapToGrid w:val="0"/>
        </w:rPr>
      </w:pPr>
      <w:bookmarkStart w:id="569" w:name="_Toc405453338"/>
      <w:bookmarkStart w:id="570" w:name="_Toc422303406"/>
      <w:r>
        <w:rPr>
          <w:rStyle w:val="CharSectno"/>
        </w:rPr>
        <w:t>182</w:t>
      </w:r>
      <w:r>
        <w:rPr>
          <w:snapToGrid w:val="0"/>
        </w:rPr>
        <w:t>.</w:t>
      </w:r>
      <w:r>
        <w:rPr>
          <w:snapToGrid w:val="0"/>
        </w:rPr>
        <w:tab/>
        <w:t>Protection from legal liability</w:t>
      </w:r>
      <w:bookmarkEnd w:id="569"/>
      <w:bookmarkEnd w:id="570"/>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571" w:name="_Toc405453339"/>
      <w:bookmarkStart w:id="572" w:name="_Toc422303407"/>
      <w:r>
        <w:rPr>
          <w:rStyle w:val="CharSectno"/>
        </w:rPr>
        <w:t>183</w:t>
      </w:r>
      <w:r>
        <w:rPr>
          <w:snapToGrid w:val="0"/>
        </w:rPr>
        <w:t>.</w:t>
      </w:r>
      <w:r>
        <w:rPr>
          <w:snapToGrid w:val="0"/>
        </w:rPr>
        <w:tab/>
        <w:t>Order to be defence to actions</w:t>
      </w:r>
      <w:bookmarkEnd w:id="571"/>
      <w:bookmarkEnd w:id="572"/>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573" w:name="_Toc405453340"/>
      <w:bookmarkStart w:id="574" w:name="_Toc422303408"/>
      <w:r>
        <w:rPr>
          <w:rStyle w:val="CharSectno"/>
        </w:rPr>
        <w:t>184</w:t>
      </w:r>
      <w:r>
        <w:rPr>
          <w:snapToGrid w:val="0"/>
        </w:rPr>
        <w:t>.</w:t>
      </w:r>
      <w:r>
        <w:rPr>
          <w:snapToGrid w:val="0"/>
        </w:rPr>
        <w:tab/>
        <w:t>CEO may give consent in relation to detainee</w:t>
      </w:r>
      <w:bookmarkEnd w:id="573"/>
      <w:bookmarkEnd w:id="574"/>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575" w:name="_Toc405453341"/>
      <w:bookmarkStart w:id="576" w:name="_Toc422303409"/>
      <w:r>
        <w:rPr>
          <w:rStyle w:val="CharSectno"/>
        </w:rPr>
        <w:t>185</w:t>
      </w:r>
      <w:r>
        <w:rPr>
          <w:snapToGrid w:val="0"/>
        </w:rPr>
        <w:t>.</w:t>
      </w:r>
      <w:r>
        <w:rPr>
          <w:snapToGrid w:val="0"/>
        </w:rPr>
        <w:tab/>
        <w:t>Minister may make certain payments</w:t>
      </w:r>
      <w:bookmarkEnd w:id="575"/>
      <w:bookmarkEnd w:id="576"/>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577" w:name="_Toc405453342"/>
      <w:bookmarkStart w:id="578" w:name="_Toc422303410"/>
      <w:r>
        <w:rPr>
          <w:rStyle w:val="CharSectno"/>
        </w:rPr>
        <w:t>186</w:t>
      </w:r>
      <w:r>
        <w:rPr>
          <w:snapToGrid w:val="0"/>
        </w:rPr>
        <w:t>.</w:t>
      </w:r>
      <w:r>
        <w:rPr>
          <w:snapToGrid w:val="0"/>
        </w:rPr>
        <w:tab/>
        <w:t>Officer of Department may conduct cases</w:t>
      </w:r>
      <w:bookmarkEnd w:id="577"/>
      <w:bookmarkEnd w:id="578"/>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579" w:name="_Toc405453343"/>
      <w:bookmarkStart w:id="580" w:name="_Toc422303411"/>
      <w:r>
        <w:rPr>
          <w:rStyle w:val="CharSectno"/>
        </w:rPr>
        <w:t>187</w:t>
      </w:r>
      <w:r>
        <w:rPr>
          <w:snapToGrid w:val="0"/>
        </w:rPr>
        <w:t>.</w:t>
      </w:r>
      <w:r>
        <w:rPr>
          <w:snapToGrid w:val="0"/>
        </w:rPr>
        <w:tab/>
        <w:t>Certificate of superintendent to be evidence</w:t>
      </w:r>
      <w:bookmarkEnd w:id="579"/>
      <w:bookmarkEnd w:id="580"/>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spacing w:before="120"/>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spacing w:before="180"/>
        <w:rPr>
          <w:snapToGrid w:val="0"/>
        </w:rPr>
      </w:pPr>
      <w:bookmarkStart w:id="581" w:name="_Toc405453344"/>
      <w:bookmarkStart w:id="582" w:name="_Toc422303412"/>
      <w:r>
        <w:rPr>
          <w:rStyle w:val="CharSectno"/>
        </w:rPr>
        <w:t>188</w:t>
      </w:r>
      <w:r>
        <w:rPr>
          <w:snapToGrid w:val="0"/>
        </w:rPr>
        <w:t>.</w:t>
      </w:r>
      <w:r>
        <w:rPr>
          <w:snapToGrid w:val="0"/>
        </w:rPr>
        <w:tab/>
        <w:t>Person having charge of detainee has legal custody</w:t>
      </w:r>
      <w:bookmarkEnd w:id="581"/>
      <w:bookmarkEnd w:id="582"/>
      <w:r>
        <w:rPr>
          <w:snapToGrid w:val="0"/>
        </w:rPr>
        <w:t xml:space="preserve"> </w:t>
      </w:r>
    </w:p>
    <w:p>
      <w:pPr>
        <w:pStyle w:val="Subsection"/>
        <w:spacing w:before="120"/>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The Criminal Code</w:t>
      </w:r>
      <w:r>
        <w:rPr>
          <w:snapToGrid w:val="0"/>
          <w:vertAlign w:val="superscript"/>
        </w:rPr>
        <w:t> 4</w:t>
      </w:r>
      <w:r>
        <w:rPr>
          <w:snapToGrid w:val="0"/>
        </w:rPr>
        <w:t>, whether on remand or otherwise.</w:t>
      </w:r>
    </w:p>
    <w:p>
      <w:pPr>
        <w:pStyle w:val="Subsection"/>
        <w:spacing w:before="120"/>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spacing w:before="120"/>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 or</w:t>
      </w:r>
    </w:p>
    <w:p>
      <w:pPr>
        <w:pStyle w:val="Indenta"/>
        <w:rPr>
          <w:snapToGrid w:val="0"/>
        </w:rPr>
      </w:pPr>
      <w:r>
        <w:rPr>
          <w:snapToGrid w:val="0"/>
        </w:rPr>
        <w:tab/>
        <w:t>(b)</w:t>
      </w:r>
      <w:r>
        <w:rPr>
          <w:snapToGrid w:val="0"/>
        </w:rPr>
        <w:tab/>
        <w:t>whilst attending or travelling, to or from a medical or dental practitioner or a hospital; or</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 or</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spacing w:before="180"/>
        <w:rPr>
          <w:snapToGrid w:val="0"/>
        </w:rPr>
      </w:pPr>
      <w:bookmarkStart w:id="583" w:name="_Toc405453345"/>
      <w:bookmarkStart w:id="584" w:name="_Toc422303413"/>
      <w:r>
        <w:rPr>
          <w:rStyle w:val="CharSectno"/>
        </w:rPr>
        <w:t>189</w:t>
      </w:r>
      <w:r>
        <w:rPr>
          <w:snapToGrid w:val="0"/>
        </w:rPr>
        <w:t>.</w:t>
      </w:r>
      <w:r>
        <w:rPr>
          <w:snapToGrid w:val="0"/>
        </w:rPr>
        <w:tab/>
        <w:t>Certain offenders to be regarded as not convicted</w:t>
      </w:r>
      <w:bookmarkEnd w:id="583"/>
      <w:bookmarkEnd w:id="584"/>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spacing w:before="140"/>
        <w:rPr>
          <w:snapToGrid w:val="0"/>
        </w:rPr>
      </w:pPr>
      <w:r>
        <w:rPr>
          <w:snapToGrid w:val="0"/>
        </w:rPr>
        <w:tab/>
      </w:r>
      <w:r>
        <w:rPr>
          <w:snapToGrid w:val="0"/>
        </w:rPr>
        <w:tab/>
        <w:t>the conviction is not to be regarded as a conviction for any purpose, except as provided in this section.</w:t>
      </w:r>
    </w:p>
    <w:p>
      <w:pPr>
        <w:pStyle w:val="Subsection"/>
        <w:spacing w:before="140"/>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spacing w:before="140"/>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spacing w:before="140"/>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snapToGrid w:val="0"/>
        </w:rPr>
        <w:t>Child Welfare Act 1947</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 or</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 or</w:t>
      </w:r>
    </w:p>
    <w:p>
      <w:pPr>
        <w:pStyle w:val="Indenta"/>
        <w:rPr>
          <w:snapToGrid w:val="0"/>
        </w:rPr>
      </w:pPr>
      <w:r>
        <w:rPr>
          <w:snapToGrid w:val="0"/>
        </w:rPr>
        <w:tab/>
        <w:t>(b)</w:t>
      </w:r>
      <w:r>
        <w:rPr>
          <w:snapToGrid w:val="0"/>
        </w:rPr>
        <w:tab/>
        <w:t>the revesting or restoration of any property in consequence of the conviction; or</w:t>
      </w:r>
    </w:p>
    <w:p>
      <w:pPr>
        <w:pStyle w:val="Indenta"/>
        <w:rPr>
          <w:snapToGrid w:val="0"/>
        </w:rPr>
      </w:pPr>
      <w:r>
        <w:rPr>
          <w:snapToGrid w:val="0"/>
        </w:rPr>
        <w:tab/>
        <w:t>(c)</w:t>
      </w:r>
      <w:r>
        <w:rPr>
          <w:snapToGrid w:val="0"/>
        </w:rPr>
        <w:tab/>
        <w:t xml:space="preserve">the right of a court to disqualify a person from holding or obtaining a driver’s licence </w:t>
      </w:r>
      <w:r>
        <w:t xml:space="preserve">as that term is defined in the </w:t>
      </w:r>
      <w:r>
        <w:rPr>
          <w:i/>
          <w:iCs/>
        </w:rPr>
        <w:t>Road Traffic (Administration) Act 2008</w:t>
      </w:r>
      <w:r>
        <w:t xml:space="preserve"> section 4; or</w:t>
      </w:r>
    </w:p>
    <w:p>
      <w:pPr>
        <w:pStyle w:val="Indenta"/>
        <w:rPr>
          <w:snapToGrid w:val="0"/>
        </w:rPr>
      </w:pPr>
      <w:r>
        <w:rPr>
          <w:snapToGrid w:val="0"/>
        </w:rPr>
        <w:tab/>
        <w:t>(d)</w:t>
      </w:r>
      <w:r>
        <w:rPr>
          <w:snapToGrid w:val="0"/>
        </w:rPr>
        <w:tab/>
        <w:t>any cancellation or disqualification that occurs by operation of any written law.</w:t>
      </w:r>
    </w:p>
    <w:p>
      <w:pPr>
        <w:pStyle w:val="Subsection"/>
        <w:spacing w:before="120"/>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spacing w:before="80"/>
        <w:ind w:left="890" w:hanging="890"/>
      </w:pPr>
      <w:r>
        <w:tab/>
        <w:t>[Section 189 amended by No. 29 of 2008 s. 41(3); No. 8 of 2012 s. 203.]</w:t>
      </w:r>
    </w:p>
    <w:p>
      <w:pPr>
        <w:pStyle w:val="Heading5"/>
        <w:rPr>
          <w:snapToGrid w:val="0"/>
        </w:rPr>
      </w:pPr>
      <w:bookmarkStart w:id="585" w:name="_Toc405453346"/>
      <w:bookmarkStart w:id="586" w:name="_Toc422303414"/>
      <w:r>
        <w:rPr>
          <w:rStyle w:val="CharSectno"/>
        </w:rPr>
        <w:t>190</w:t>
      </w:r>
      <w:r>
        <w:rPr>
          <w:snapToGrid w:val="0"/>
        </w:rPr>
        <w:t>.</w:t>
      </w:r>
      <w:r>
        <w:rPr>
          <w:snapToGrid w:val="0"/>
        </w:rPr>
        <w:tab/>
        <w:t>Disclosure of certain convictions</w:t>
      </w:r>
      <w:bookmarkEnd w:id="585"/>
      <w:bookmarkEnd w:id="586"/>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rPr>
          <w:snapToGrid w:val="0"/>
        </w:rPr>
      </w:pPr>
      <w:bookmarkStart w:id="587" w:name="_Toc405453347"/>
      <w:bookmarkStart w:id="588" w:name="_Toc422303415"/>
      <w:r>
        <w:rPr>
          <w:rStyle w:val="CharSectno"/>
        </w:rPr>
        <w:t>191</w:t>
      </w:r>
      <w:r>
        <w:rPr>
          <w:snapToGrid w:val="0"/>
        </w:rPr>
        <w:t>.</w:t>
      </w:r>
      <w:r>
        <w:rPr>
          <w:snapToGrid w:val="0"/>
        </w:rPr>
        <w:tab/>
        <w:t>Unlawfully communicating with detainee</w:t>
      </w:r>
      <w:bookmarkEnd w:id="587"/>
      <w:bookmarkEnd w:id="588"/>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rPr>
          <w:snapToGrid w:val="0"/>
        </w:rPr>
      </w:pPr>
      <w:bookmarkStart w:id="589" w:name="_Toc405453348"/>
      <w:bookmarkStart w:id="590" w:name="_Toc422303416"/>
      <w:r>
        <w:rPr>
          <w:rStyle w:val="CharSectno"/>
        </w:rPr>
        <w:t>192</w:t>
      </w:r>
      <w:r>
        <w:rPr>
          <w:snapToGrid w:val="0"/>
        </w:rPr>
        <w:t>.</w:t>
      </w:r>
      <w:r>
        <w:rPr>
          <w:snapToGrid w:val="0"/>
        </w:rPr>
        <w:tab/>
        <w:t>Unlawfully remaining in detention centre</w:t>
      </w:r>
      <w:bookmarkEnd w:id="589"/>
      <w:bookmarkEnd w:id="590"/>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rPr>
          <w:snapToGrid w:val="0"/>
        </w:rPr>
      </w:pPr>
      <w:bookmarkStart w:id="591" w:name="_Toc405453349"/>
      <w:bookmarkStart w:id="592" w:name="_Toc422303417"/>
      <w:r>
        <w:rPr>
          <w:rStyle w:val="CharSectno"/>
        </w:rPr>
        <w:t>193</w:t>
      </w:r>
      <w:r>
        <w:rPr>
          <w:snapToGrid w:val="0"/>
        </w:rPr>
        <w:t>.</w:t>
      </w:r>
      <w:r>
        <w:rPr>
          <w:snapToGrid w:val="0"/>
        </w:rPr>
        <w:tab/>
        <w:t>Escape from custody</w:t>
      </w:r>
      <w:bookmarkEnd w:id="591"/>
      <w:bookmarkEnd w:id="592"/>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593" w:name="_Toc405453350"/>
      <w:bookmarkStart w:id="594" w:name="_Toc422303418"/>
      <w:r>
        <w:rPr>
          <w:rStyle w:val="CharSectno"/>
        </w:rPr>
        <w:t>193A</w:t>
      </w:r>
      <w:r>
        <w:t>.</w:t>
      </w:r>
      <w:r>
        <w:tab/>
        <w:t>Arrest warrant may be issued if warrant of commitment in force</w:t>
      </w:r>
      <w:bookmarkEnd w:id="593"/>
      <w:bookmarkEnd w:id="594"/>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spacing w:before="180"/>
        <w:rPr>
          <w:snapToGrid w:val="0"/>
        </w:rPr>
      </w:pPr>
      <w:bookmarkStart w:id="595" w:name="_Toc405453351"/>
      <w:bookmarkStart w:id="596" w:name="_Toc422303419"/>
      <w:r>
        <w:rPr>
          <w:rStyle w:val="CharSectno"/>
        </w:rPr>
        <w:t>194</w:t>
      </w:r>
      <w:r>
        <w:rPr>
          <w:snapToGrid w:val="0"/>
        </w:rPr>
        <w:t>.</w:t>
      </w:r>
      <w:r>
        <w:rPr>
          <w:snapToGrid w:val="0"/>
        </w:rPr>
        <w:tab/>
        <w:t>Personating an officer</w:t>
      </w:r>
      <w:bookmarkEnd w:id="595"/>
      <w:bookmarkEnd w:id="596"/>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Footnotesection"/>
      </w:pPr>
      <w:r>
        <w:tab/>
        <w:t>[Section 194. Modifications to be applied in order to give effect to Cross-border Justice Act 2008: section altered 1 Dec 2009. See endnote 1M.]</w:t>
      </w:r>
    </w:p>
    <w:p>
      <w:pPr>
        <w:pStyle w:val="Heading5"/>
        <w:spacing w:before="180"/>
        <w:rPr>
          <w:snapToGrid w:val="0"/>
        </w:rPr>
      </w:pPr>
      <w:bookmarkStart w:id="597" w:name="_Toc405453352"/>
      <w:bookmarkStart w:id="598" w:name="_Toc422303420"/>
      <w:r>
        <w:rPr>
          <w:rStyle w:val="CharSectno"/>
        </w:rPr>
        <w:t>195</w:t>
      </w:r>
      <w:r>
        <w:rPr>
          <w:snapToGrid w:val="0"/>
        </w:rPr>
        <w:t>.</w:t>
      </w:r>
      <w:r>
        <w:rPr>
          <w:snapToGrid w:val="0"/>
        </w:rPr>
        <w:tab/>
        <w:t>General penalty</w:t>
      </w:r>
      <w:bookmarkEnd w:id="597"/>
      <w:bookmarkEnd w:id="598"/>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keepNext w:val="0"/>
        <w:keepLines w:val="0"/>
        <w:spacing w:before="180"/>
        <w:rPr>
          <w:snapToGrid w:val="0"/>
        </w:rPr>
      </w:pPr>
      <w:bookmarkStart w:id="599" w:name="_Toc405453353"/>
      <w:bookmarkStart w:id="600" w:name="_Toc422303421"/>
      <w:r>
        <w:rPr>
          <w:rStyle w:val="CharSectno"/>
        </w:rPr>
        <w:t>196</w:t>
      </w:r>
      <w:r>
        <w:rPr>
          <w:snapToGrid w:val="0"/>
        </w:rPr>
        <w:t>.</w:t>
      </w:r>
      <w:r>
        <w:rPr>
          <w:snapToGrid w:val="0"/>
        </w:rPr>
        <w:tab/>
        <w:t>Regulations</w:t>
      </w:r>
      <w:bookmarkEnd w:id="599"/>
      <w:bookmarkEnd w:id="60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 or</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 and</w:t>
      </w:r>
    </w:p>
    <w:p>
      <w:pPr>
        <w:pStyle w:val="Indenta"/>
      </w:pPr>
      <w:r>
        <w:tab/>
        <w:t>(b)</w:t>
      </w:r>
      <w:r>
        <w:tab/>
        <w:t>providing for items seized and retained following a search to be returned, confiscated or destroyed under particular circumstances; and</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to search a person entering or seeking to enter a detention centre, including a child; and</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 and</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r>
      <w:r>
        <w:tab/>
        <w:t>and</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601" w:name="_Toc405453354"/>
      <w:bookmarkStart w:id="602" w:name="_Toc422303422"/>
      <w:r>
        <w:rPr>
          <w:rStyle w:val="CharSectno"/>
        </w:rPr>
        <w:t>197</w:t>
      </w:r>
      <w:r>
        <w:t>.</w:t>
      </w:r>
      <w:r>
        <w:tab/>
      </w:r>
      <w:r>
        <w:rPr>
          <w:snapToGrid w:val="0"/>
        </w:rPr>
        <w:t>Delegation of prescribed functions</w:t>
      </w:r>
      <w:bookmarkEnd w:id="601"/>
      <w:bookmarkEnd w:id="602"/>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603" w:name="_Toc405453355"/>
      <w:bookmarkStart w:id="604" w:name="_Toc413337080"/>
      <w:bookmarkStart w:id="605" w:name="_Toc413337356"/>
      <w:bookmarkStart w:id="606" w:name="_Toc413337471"/>
      <w:bookmarkStart w:id="607" w:name="_Toc422303423"/>
      <w:r>
        <w:rPr>
          <w:rStyle w:val="CharPartNo"/>
        </w:rPr>
        <w:t>Part 11</w:t>
      </w:r>
      <w:r>
        <w:t> — </w:t>
      </w:r>
      <w:r>
        <w:rPr>
          <w:rStyle w:val="CharPartText"/>
        </w:rPr>
        <w:t>Amendment of certain other Acts and transitional provisions</w:t>
      </w:r>
      <w:bookmarkEnd w:id="603"/>
      <w:bookmarkEnd w:id="604"/>
      <w:bookmarkEnd w:id="605"/>
      <w:bookmarkEnd w:id="606"/>
      <w:bookmarkEnd w:id="607"/>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608" w:name="_Toc405453356"/>
      <w:bookmarkStart w:id="609" w:name="_Toc413337081"/>
      <w:bookmarkStart w:id="610" w:name="_Toc413337357"/>
      <w:bookmarkStart w:id="611" w:name="_Toc413337472"/>
      <w:bookmarkStart w:id="612" w:name="_Toc422303424"/>
      <w:r>
        <w:rPr>
          <w:rStyle w:val="CharDivNo"/>
        </w:rPr>
        <w:t>Division 3</w:t>
      </w:r>
      <w:r>
        <w:rPr>
          <w:snapToGrid w:val="0"/>
        </w:rPr>
        <w:t> — </w:t>
      </w:r>
      <w:r>
        <w:rPr>
          <w:rStyle w:val="CharDivText"/>
        </w:rPr>
        <w:t>Transitional provisions</w:t>
      </w:r>
      <w:bookmarkEnd w:id="608"/>
      <w:bookmarkEnd w:id="609"/>
      <w:bookmarkEnd w:id="610"/>
      <w:bookmarkEnd w:id="611"/>
      <w:bookmarkEnd w:id="612"/>
      <w:r>
        <w:rPr>
          <w:rStyle w:val="CharDivText"/>
        </w:rPr>
        <w:t xml:space="preserve"> </w:t>
      </w:r>
    </w:p>
    <w:p>
      <w:pPr>
        <w:pStyle w:val="Heading5"/>
        <w:rPr>
          <w:snapToGrid w:val="0"/>
        </w:rPr>
      </w:pPr>
      <w:bookmarkStart w:id="613" w:name="_Toc405453357"/>
      <w:bookmarkStart w:id="614" w:name="_Toc422303425"/>
      <w:r>
        <w:rPr>
          <w:rStyle w:val="CharSectno"/>
        </w:rPr>
        <w:t>231</w:t>
      </w:r>
      <w:r>
        <w:rPr>
          <w:snapToGrid w:val="0"/>
        </w:rPr>
        <w:t>.</w:t>
      </w:r>
      <w:r>
        <w:rPr>
          <w:snapToGrid w:val="0"/>
        </w:rPr>
        <w:tab/>
      </w:r>
      <w:r>
        <w:rPr>
          <w:i/>
          <w:snapToGrid w:val="0"/>
        </w:rPr>
        <w:t>Interpretation Act 1984</w:t>
      </w:r>
      <w:r>
        <w:rPr>
          <w:snapToGrid w:val="0"/>
        </w:rPr>
        <w:t xml:space="preserve"> applies</w:t>
      </w:r>
      <w:bookmarkEnd w:id="613"/>
      <w:bookmarkEnd w:id="614"/>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snapToGrid w:val="0"/>
        </w:rPr>
        <w:t>Child Welfare Act 1947</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615" w:name="_Toc405453358"/>
      <w:bookmarkStart w:id="616" w:name="_Toc422303426"/>
      <w:r>
        <w:rPr>
          <w:rStyle w:val="CharSectno"/>
        </w:rPr>
        <w:t>232</w:t>
      </w:r>
      <w:r>
        <w:rPr>
          <w:snapToGrid w:val="0"/>
        </w:rPr>
        <w:t>.</w:t>
      </w:r>
      <w:r>
        <w:rPr>
          <w:snapToGrid w:val="0"/>
        </w:rPr>
        <w:tab/>
        <w:t>Orders for past matters</w:t>
      </w:r>
      <w:bookmarkEnd w:id="615"/>
      <w:bookmarkEnd w:id="616"/>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 or</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617" w:name="_Toc405453359"/>
      <w:bookmarkStart w:id="618" w:name="_Toc422303427"/>
      <w:r>
        <w:rPr>
          <w:rStyle w:val="CharSectno"/>
        </w:rPr>
        <w:t>233</w:t>
      </w:r>
      <w:r>
        <w:rPr>
          <w:snapToGrid w:val="0"/>
        </w:rPr>
        <w:t>.</w:t>
      </w:r>
      <w:r>
        <w:rPr>
          <w:snapToGrid w:val="0"/>
        </w:rPr>
        <w:tab/>
        <w:t>Orders under former provisions</w:t>
      </w:r>
      <w:bookmarkEnd w:id="617"/>
      <w:bookmarkEnd w:id="618"/>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619" w:name="_Toc405453360"/>
      <w:bookmarkStart w:id="620" w:name="_Toc422303428"/>
      <w:r>
        <w:rPr>
          <w:rStyle w:val="CharSectno"/>
        </w:rPr>
        <w:t>234</w:t>
      </w:r>
      <w:r>
        <w:rPr>
          <w:snapToGrid w:val="0"/>
        </w:rPr>
        <w:t>.</w:t>
      </w:r>
      <w:r>
        <w:rPr>
          <w:snapToGrid w:val="0"/>
        </w:rPr>
        <w:tab/>
        <w:t xml:space="preserve">Detention centres under </w:t>
      </w:r>
      <w:r>
        <w:rPr>
          <w:i/>
          <w:snapToGrid w:val="0"/>
        </w:rPr>
        <w:t>Child Welfare Act 1947</w:t>
      </w:r>
      <w:bookmarkEnd w:id="619"/>
      <w:bookmarkEnd w:id="620"/>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621" w:name="_Toc405453361"/>
      <w:bookmarkStart w:id="622" w:name="_Toc422303429"/>
      <w:r>
        <w:rPr>
          <w:rStyle w:val="CharSectno"/>
        </w:rPr>
        <w:t>235</w:t>
      </w:r>
      <w:r>
        <w:rPr>
          <w:snapToGrid w:val="0"/>
        </w:rPr>
        <w:t>.</w:t>
      </w:r>
      <w:r>
        <w:rPr>
          <w:snapToGrid w:val="0"/>
        </w:rPr>
        <w:tab/>
        <w:t>Proceedings pending before children’s panels</w:t>
      </w:r>
      <w:bookmarkEnd w:id="621"/>
      <w:bookmarkEnd w:id="622"/>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pPr>
      <w:bookmarkStart w:id="623" w:name="_Toc405453362"/>
      <w:bookmarkStart w:id="624" w:name="_Toc413337087"/>
      <w:bookmarkStart w:id="625" w:name="_Toc413337363"/>
      <w:bookmarkStart w:id="626" w:name="_Toc413337478"/>
      <w:bookmarkStart w:id="627" w:name="_Toc422303430"/>
      <w:r>
        <w:rPr>
          <w:rStyle w:val="CharDivNo"/>
        </w:rPr>
        <w:t>Division 4</w:t>
      </w:r>
      <w:r>
        <w:rPr>
          <w:snapToGrid w:val="0"/>
        </w:rPr>
        <w:t> — </w:t>
      </w:r>
      <w:r>
        <w:rPr>
          <w:rStyle w:val="CharDivText"/>
        </w:rPr>
        <w:t>Miscellaneous</w:t>
      </w:r>
      <w:bookmarkEnd w:id="623"/>
      <w:bookmarkEnd w:id="624"/>
      <w:bookmarkEnd w:id="625"/>
      <w:bookmarkEnd w:id="626"/>
      <w:bookmarkEnd w:id="627"/>
    </w:p>
    <w:p>
      <w:pPr>
        <w:pStyle w:val="Ednotesection"/>
      </w:pPr>
      <w:r>
        <w:t>[</w:t>
      </w:r>
      <w:r>
        <w:rPr>
          <w:b/>
        </w:rPr>
        <w:t>236.</w:t>
      </w:r>
      <w:r>
        <w:rPr>
          <w:b/>
        </w:rPr>
        <w:tab/>
      </w:r>
      <w:r>
        <w:t>Omitted under the Reprints Act 1984 s. 7(4)(e).]</w:t>
      </w:r>
    </w:p>
    <w:p>
      <w:pPr>
        <w:pStyle w:val="Heading5"/>
        <w:rPr>
          <w:snapToGrid w:val="0"/>
        </w:rPr>
      </w:pPr>
      <w:bookmarkStart w:id="628" w:name="_Toc405453363"/>
      <w:bookmarkStart w:id="629" w:name="_Toc422303431"/>
      <w:r>
        <w:rPr>
          <w:rStyle w:val="CharSectno"/>
        </w:rPr>
        <w:t>237</w:t>
      </w:r>
      <w:r>
        <w:rPr>
          <w:snapToGrid w:val="0"/>
        </w:rPr>
        <w:t>.</w:t>
      </w:r>
      <w:r>
        <w:rPr>
          <w:snapToGrid w:val="0"/>
        </w:rPr>
        <w:tab/>
        <w:t>Review of Act</w:t>
      </w:r>
      <w:bookmarkEnd w:id="628"/>
      <w:bookmarkEnd w:id="629"/>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23"/>
          <w:headerReference w:type="default" r:id="rId24"/>
          <w:footerReference w:type="even" r:id="rId25"/>
          <w:footerReference w:type="default" r:id="rId26"/>
          <w:headerReference w:type="first" r:id="rId27"/>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630" w:name="_Toc405453364"/>
      <w:bookmarkStart w:id="631" w:name="_Toc413337089"/>
      <w:bookmarkStart w:id="632" w:name="_Toc413337365"/>
      <w:bookmarkStart w:id="633" w:name="_Toc413337480"/>
      <w:bookmarkStart w:id="634" w:name="_Toc422303432"/>
      <w:r>
        <w:rPr>
          <w:rStyle w:val="CharSchNo"/>
        </w:rPr>
        <w:t>Schedule 1</w:t>
      </w:r>
      <w:r>
        <w:t> — </w:t>
      </w:r>
      <w:r>
        <w:rPr>
          <w:rStyle w:val="CharSchText"/>
        </w:rPr>
        <w:t>Schedule 1 offences</w:t>
      </w:r>
      <w:bookmarkEnd w:id="630"/>
      <w:bookmarkEnd w:id="631"/>
      <w:bookmarkEnd w:id="632"/>
      <w:bookmarkEnd w:id="633"/>
      <w:bookmarkEnd w:id="634"/>
    </w:p>
    <w:p>
      <w:pPr>
        <w:pStyle w:val="yShoulderClause"/>
        <w:rPr>
          <w:snapToGrid w:val="0"/>
        </w:rPr>
      </w:pPr>
      <w:r>
        <w:rPr>
          <w:snapToGrid w:val="0"/>
        </w:rPr>
        <w:t>[s. 3, 22, 25 and 55]</w:t>
      </w:r>
    </w:p>
    <w:p>
      <w:pPr>
        <w:pStyle w:val="yFootnoteheading"/>
        <w:rPr>
          <w:b/>
          <w:snapToGrid w:val="0"/>
        </w:rPr>
      </w:pPr>
      <w:r>
        <w:tab/>
        <w:t>[Heading amended by No. 19 of 2010 s. 4.]</w:t>
      </w:r>
    </w:p>
    <w:p>
      <w:pPr>
        <w:pStyle w:val="yMiscellaneousHeading"/>
        <w:jc w:val="left"/>
        <w:outlineLvl w:val="0"/>
        <w:rPr>
          <w:b/>
          <w:snapToGrid w:val="0"/>
        </w:rPr>
      </w:pPr>
      <w:r>
        <w:rPr>
          <w:b/>
          <w:snapToGrid w:val="0"/>
        </w:rPr>
        <w:t>Offences —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57" w:hanging="357"/>
        <w:rPr>
          <w:b/>
          <w:snapToGrid w:val="0"/>
        </w:rPr>
      </w:pPr>
      <w:r>
        <w:rPr>
          <w:b/>
          <w:snapToGrid w:val="0"/>
        </w:rPr>
        <w:t>which cannot be referred to a juvenile justice team, and</w:t>
      </w:r>
    </w:p>
    <w:p>
      <w:pPr>
        <w:pStyle w:val="yMiscellaneousBody"/>
        <w:numPr>
          <w:ilvl w:val="0"/>
          <w:numId w:val="2"/>
        </w:numPr>
        <w:tabs>
          <w:tab w:val="clear" w:pos="720"/>
          <w:tab w:val="num" w:pos="360"/>
        </w:tabs>
        <w:spacing w:after="160"/>
        <w:ind w:left="357" w:hanging="357"/>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Failing to provide a breath sample, allow taking of a blood sample or provide a urine sample</w:t>
            </w:r>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bl>
    <w:p>
      <w:pPr>
        <w:pStyle w:val="yFootnotesection"/>
      </w:pPr>
      <w:r>
        <w:tab/>
        <w:t xml:space="preserve">[Schedule 1 amended by No. 82 of 1994 s. 13(6); No. 4 of 2004 s. 24 and 26; No. 58 of 2004 s. 44; No. 62 of 2004 s. 9(4); No. 6 of 2007 s. 23; No. 39 of 2007 s. 42; No. 29 of 2008 s. 41(4).] </w:t>
      </w:r>
    </w:p>
    <w:p>
      <w:pPr>
        <w:pStyle w:val="yScheduleHeading"/>
        <w:outlineLvl w:val="0"/>
      </w:pPr>
      <w:bookmarkStart w:id="635" w:name="_Toc405453365"/>
      <w:bookmarkStart w:id="636" w:name="_Toc413337090"/>
      <w:bookmarkStart w:id="637" w:name="_Toc413337366"/>
      <w:bookmarkStart w:id="638" w:name="_Toc413337481"/>
      <w:bookmarkStart w:id="639" w:name="_Toc422303433"/>
      <w:r>
        <w:rPr>
          <w:rStyle w:val="CharSchNo"/>
        </w:rPr>
        <w:t>Schedule 2</w:t>
      </w:r>
      <w:r>
        <w:t> — </w:t>
      </w:r>
      <w:r>
        <w:rPr>
          <w:rStyle w:val="CharSchText"/>
        </w:rPr>
        <w:t>Schedule 2 offences</w:t>
      </w:r>
      <w:bookmarkEnd w:id="635"/>
      <w:bookmarkEnd w:id="636"/>
      <w:bookmarkEnd w:id="637"/>
      <w:bookmarkEnd w:id="638"/>
      <w:bookmarkEnd w:id="639"/>
    </w:p>
    <w:p>
      <w:pPr>
        <w:pStyle w:val="yShoulderClause"/>
        <w:rPr>
          <w:snapToGrid w:val="0"/>
        </w:rPr>
      </w:pPr>
      <w:r>
        <w:rPr>
          <w:snapToGrid w:val="0"/>
        </w:rPr>
        <w:t>[s. 3, 22, 25, 55 and 124]</w:t>
      </w:r>
    </w:p>
    <w:p>
      <w:pPr>
        <w:pStyle w:val="yFootnoteheading"/>
        <w:rPr>
          <w:b/>
          <w:snapToGrid w:val="0"/>
        </w:rPr>
      </w:pPr>
      <w:r>
        <w:tab/>
        <w:t>[Heading amended by No. 19 of 2010 s. 4.]</w:t>
      </w:r>
    </w:p>
    <w:p>
      <w:pPr>
        <w:pStyle w:val="yMiscellaneousHeading"/>
        <w:jc w:val="left"/>
        <w:outlineLvl w:val="0"/>
        <w:rPr>
          <w:b/>
          <w:snapToGrid w:val="0"/>
        </w:rPr>
      </w:pPr>
      <w:r>
        <w:rPr>
          <w:b/>
          <w:snapToGrid w:val="0"/>
        </w:rPr>
        <w:t>Offences —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 and</w:t>
      </w:r>
    </w:p>
    <w:p>
      <w:pPr>
        <w:pStyle w:val="yMiscellaneousBody"/>
        <w:numPr>
          <w:ilvl w:val="0"/>
          <w:numId w:val="2"/>
        </w:numPr>
        <w:tabs>
          <w:tab w:val="clear" w:pos="720"/>
          <w:tab w:val="num" w:pos="360"/>
        </w:tabs>
        <w:spacing w:after="160"/>
        <w:ind w:left="357" w:hanging="357"/>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508"/>
        <w:gridCol w:w="4580"/>
      </w:tblGrid>
      <w:tr>
        <w:trPr>
          <w:tblHeader/>
        </w:trPr>
        <w:tc>
          <w:tcPr>
            <w:tcW w:w="2508" w:type="dxa"/>
            <w:tcBorders>
              <w:top w:val="single" w:sz="4" w:space="0" w:color="auto"/>
              <w:bottom w:val="single" w:sz="4" w:space="0" w:color="auto"/>
            </w:tcBorders>
          </w:tcPr>
          <w:p>
            <w:pPr>
              <w:pStyle w:val="yTable"/>
              <w:rPr>
                <w:b/>
              </w:rPr>
            </w:pPr>
            <w:r>
              <w:rPr>
                <w:b/>
              </w:rPr>
              <w:t>Enactment</w:t>
            </w:r>
          </w:p>
        </w:tc>
        <w:tc>
          <w:tcPr>
            <w:tcW w:w="4580"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508" w:type="dxa"/>
          </w:tcPr>
          <w:p>
            <w:pPr>
              <w:pStyle w:val="yTable"/>
              <w:ind w:left="142"/>
              <w:rPr>
                <w:szCs w:val="22"/>
              </w:rPr>
            </w:pPr>
            <w:r>
              <w:t>s. 221E(1)</w:t>
            </w:r>
          </w:p>
        </w:tc>
        <w:tc>
          <w:tcPr>
            <w:tcW w:w="4580" w:type="dxa"/>
          </w:tcPr>
          <w:p>
            <w:pPr>
              <w:pStyle w:val="yTable"/>
              <w:ind w:right="-283" w:hanging="425"/>
            </w:pPr>
            <w:r>
              <w:t>Participating in activities of criminal organisation</w:t>
            </w:r>
          </w:p>
        </w:tc>
      </w:tr>
      <w:tr>
        <w:tc>
          <w:tcPr>
            <w:tcW w:w="2508" w:type="dxa"/>
          </w:tcPr>
          <w:p>
            <w:pPr>
              <w:pStyle w:val="yTable"/>
              <w:ind w:left="142"/>
            </w:pPr>
            <w:r>
              <w:t>s. 221F(1)</w:t>
            </w:r>
          </w:p>
        </w:tc>
        <w:tc>
          <w:tcPr>
            <w:tcW w:w="4580" w:type="dxa"/>
          </w:tcPr>
          <w:p>
            <w:pPr>
              <w:pStyle w:val="yTable"/>
              <w:ind w:left="-441" w:right="-283" w:firstLine="16"/>
            </w:pPr>
            <w:r>
              <w:t>Instructing commission of offence for benefit of criminal organisation</w:t>
            </w:r>
          </w:p>
        </w:tc>
      </w:tr>
      <w:tr>
        <w:tc>
          <w:tcPr>
            <w:tcW w:w="2508" w:type="dxa"/>
          </w:tcPr>
          <w:p>
            <w:pPr>
              <w:pStyle w:val="yTable"/>
              <w:ind w:left="142"/>
              <w:rPr>
                <w:szCs w:val="22"/>
              </w:rPr>
            </w:pPr>
            <w:r>
              <w:rPr>
                <w:szCs w:val="22"/>
              </w:rPr>
              <w:t>s. 279</w:t>
            </w:r>
          </w:p>
        </w:tc>
        <w:tc>
          <w:tcPr>
            <w:tcW w:w="4580" w:type="dxa"/>
          </w:tcPr>
          <w:p>
            <w:pPr>
              <w:pStyle w:val="yTable"/>
              <w:ind w:right="-283" w:hanging="425"/>
            </w:pPr>
            <w:r>
              <w:t>Murder</w:t>
            </w:r>
          </w:p>
        </w:tc>
      </w:tr>
      <w:tr>
        <w:tc>
          <w:tcPr>
            <w:tcW w:w="2508" w:type="dxa"/>
          </w:tcPr>
          <w:p>
            <w:pPr>
              <w:pStyle w:val="yTable"/>
              <w:ind w:left="142"/>
              <w:rPr>
                <w:szCs w:val="22"/>
              </w:rPr>
            </w:pPr>
            <w:r>
              <w:rPr>
                <w:szCs w:val="22"/>
              </w:rPr>
              <w:t>s. 280</w:t>
            </w:r>
          </w:p>
        </w:tc>
        <w:tc>
          <w:tcPr>
            <w:tcW w:w="4580" w:type="dxa"/>
          </w:tcPr>
          <w:p>
            <w:pPr>
              <w:pStyle w:val="yTable"/>
              <w:ind w:right="-283" w:hanging="425"/>
            </w:pPr>
            <w:r>
              <w:t>Manslaughter</w:t>
            </w:r>
          </w:p>
        </w:tc>
      </w:tr>
      <w:tr>
        <w:tc>
          <w:tcPr>
            <w:tcW w:w="2508" w:type="dxa"/>
          </w:tcPr>
          <w:p>
            <w:pPr>
              <w:pStyle w:val="yTable"/>
              <w:ind w:left="142"/>
              <w:rPr>
                <w:szCs w:val="22"/>
              </w:rPr>
            </w:pPr>
            <w:r>
              <w:rPr>
                <w:szCs w:val="22"/>
              </w:rPr>
              <w:t>s. 281</w:t>
            </w:r>
          </w:p>
        </w:tc>
        <w:tc>
          <w:tcPr>
            <w:tcW w:w="4580" w:type="dxa"/>
          </w:tcPr>
          <w:p>
            <w:pPr>
              <w:pStyle w:val="yTable"/>
              <w:ind w:right="-283" w:hanging="425"/>
            </w:pPr>
            <w:r>
              <w:t>Unlawful assault causing death</w:t>
            </w:r>
          </w:p>
        </w:tc>
      </w:tr>
      <w:tr>
        <w:tc>
          <w:tcPr>
            <w:tcW w:w="2508" w:type="dxa"/>
          </w:tcPr>
          <w:p>
            <w:pPr>
              <w:pStyle w:val="yTable"/>
              <w:ind w:left="142"/>
              <w:rPr>
                <w:szCs w:val="22"/>
              </w:rPr>
            </w:pPr>
            <w:r>
              <w:rPr>
                <w:szCs w:val="22"/>
              </w:rPr>
              <w:t>s. 283</w:t>
            </w:r>
          </w:p>
        </w:tc>
        <w:tc>
          <w:tcPr>
            <w:tcW w:w="4580" w:type="dxa"/>
          </w:tcPr>
          <w:p>
            <w:pPr>
              <w:pStyle w:val="yTable"/>
              <w:ind w:right="-283" w:hanging="425"/>
            </w:pPr>
            <w:r>
              <w:t>Attempt to murder</w:t>
            </w:r>
          </w:p>
        </w:tc>
      </w:tr>
      <w:tr>
        <w:tc>
          <w:tcPr>
            <w:tcW w:w="2508" w:type="dxa"/>
          </w:tcPr>
          <w:p>
            <w:pPr>
              <w:pStyle w:val="yTable"/>
              <w:ind w:left="142"/>
              <w:rPr>
                <w:szCs w:val="22"/>
              </w:rPr>
            </w:pPr>
            <w:r>
              <w:rPr>
                <w:szCs w:val="22"/>
              </w:rPr>
              <w:t>s. 292</w:t>
            </w:r>
          </w:p>
        </w:tc>
        <w:tc>
          <w:tcPr>
            <w:tcW w:w="4580" w:type="dxa"/>
          </w:tcPr>
          <w:p>
            <w:pPr>
              <w:pStyle w:val="yTable"/>
              <w:ind w:right="-283" w:hanging="425"/>
            </w:pPr>
            <w:r>
              <w:t>Disabling in order to commit indictable offence</w:t>
            </w:r>
          </w:p>
        </w:tc>
      </w:tr>
      <w:tr>
        <w:tc>
          <w:tcPr>
            <w:tcW w:w="2508" w:type="dxa"/>
          </w:tcPr>
          <w:p>
            <w:pPr>
              <w:pStyle w:val="yTable"/>
              <w:ind w:left="142"/>
              <w:rPr>
                <w:szCs w:val="22"/>
              </w:rPr>
            </w:pPr>
            <w:r>
              <w:rPr>
                <w:szCs w:val="22"/>
              </w:rPr>
              <w:t>s. 294</w:t>
            </w:r>
          </w:p>
        </w:tc>
        <w:tc>
          <w:tcPr>
            <w:tcW w:w="4580" w:type="dxa"/>
          </w:tcPr>
          <w:p>
            <w:pPr>
              <w:pStyle w:val="yTable"/>
              <w:ind w:right="-283" w:hanging="425"/>
            </w:pPr>
            <w:r>
              <w:t>Acts intended to cause grievous bodily harm or to resist or prevent arrest</w:t>
            </w:r>
          </w:p>
        </w:tc>
      </w:tr>
      <w:tr>
        <w:tc>
          <w:tcPr>
            <w:tcW w:w="2508" w:type="dxa"/>
          </w:tcPr>
          <w:p>
            <w:pPr>
              <w:pStyle w:val="yTable"/>
              <w:ind w:left="142"/>
              <w:rPr>
                <w:szCs w:val="22"/>
              </w:rPr>
            </w:pPr>
            <w:r>
              <w:rPr>
                <w:szCs w:val="22"/>
              </w:rPr>
              <w:t>s. 297</w:t>
            </w:r>
          </w:p>
        </w:tc>
        <w:tc>
          <w:tcPr>
            <w:tcW w:w="4580" w:type="dxa"/>
          </w:tcPr>
          <w:p>
            <w:pPr>
              <w:pStyle w:val="yTable"/>
              <w:ind w:right="-283" w:hanging="425"/>
            </w:pPr>
            <w:r>
              <w:t>Grievous bodily harm</w:t>
            </w:r>
          </w:p>
        </w:tc>
      </w:tr>
      <w:tr>
        <w:tc>
          <w:tcPr>
            <w:tcW w:w="2508" w:type="dxa"/>
          </w:tcPr>
          <w:p>
            <w:pPr>
              <w:pStyle w:val="yTable"/>
              <w:ind w:left="142"/>
              <w:rPr>
                <w:szCs w:val="22"/>
              </w:rPr>
            </w:pPr>
            <w:r>
              <w:rPr>
                <w:szCs w:val="22"/>
              </w:rPr>
              <w:t>s. 301</w:t>
            </w:r>
          </w:p>
        </w:tc>
        <w:tc>
          <w:tcPr>
            <w:tcW w:w="4580" w:type="dxa"/>
          </w:tcPr>
          <w:p>
            <w:pPr>
              <w:pStyle w:val="yTable"/>
              <w:ind w:right="-283" w:hanging="425"/>
            </w:pPr>
            <w:r>
              <w:t>Wounding and similar acts</w:t>
            </w:r>
          </w:p>
        </w:tc>
      </w:tr>
      <w:tr>
        <w:tc>
          <w:tcPr>
            <w:tcW w:w="2508" w:type="dxa"/>
          </w:tcPr>
          <w:p>
            <w:pPr>
              <w:pStyle w:val="yTable"/>
              <w:ind w:left="142"/>
              <w:rPr>
                <w:szCs w:val="22"/>
              </w:rPr>
            </w:pPr>
            <w:r>
              <w:rPr>
                <w:szCs w:val="22"/>
              </w:rPr>
              <w:t>s. 304(2)</w:t>
            </w:r>
          </w:p>
        </w:tc>
        <w:tc>
          <w:tcPr>
            <w:tcW w:w="4580" w:type="dxa"/>
          </w:tcPr>
          <w:p>
            <w:pPr>
              <w:pStyle w:val="yTable"/>
              <w:ind w:right="-283" w:hanging="425"/>
            </w:pPr>
            <w:r>
              <w:t>Acts or omissions, with intent to harm, causing bodily harm or danger</w:t>
            </w:r>
          </w:p>
        </w:tc>
      </w:tr>
      <w:tr>
        <w:tc>
          <w:tcPr>
            <w:tcW w:w="2508" w:type="dxa"/>
          </w:tcPr>
          <w:p>
            <w:pPr>
              <w:pStyle w:val="yTable"/>
              <w:ind w:left="142"/>
              <w:rPr>
                <w:szCs w:val="22"/>
              </w:rPr>
            </w:pPr>
            <w:r>
              <w:rPr>
                <w:szCs w:val="22"/>
              </w:rPr>
              <w:t>s. 317</w:t>
            </w:r>
          </w:p>
        </w:tc>
        <w:tc>
          <w:tcPr>
            <w:tcW w:w="4580" w:type="dxa"/>
          </w:tcPr>
          <w:p>
            <w:pPr>
              <w:pStyle w:val="yTable"/>
              <w:ind w:right="-283" w:hanging="425"/>
            </w:pPr>
            <w:r>
              <w:t>Assault occasioning bodily harm</w:t>
            </w:r>
          </w:p>
        </w:tc>
      </w:tr>
      <w:tr>
        <w:tc>
          <w:tcPr>
            <w:tcW w:w="2508" w:type="dxa"/>
          </w:tcPr>
          <w:p>
            <w:pPr>
              <w:pStyle w:val="yTable"/>
              <w:ind w:left="142"/>
              <w:rPr>
                <w:szCs w:val="22"/>
              </w:rPr>
            </w:pPr>
            <w:r>
              <w:rPr>
                <w:szCs w:val="22"/>
              </w:rPr>
              <w:t>s. 317A(a)</w:t>
            </w:r>
          </w:p>
        </w:tc>
        <w:tc>
          <w:tcPr>
            <w:tcW w:w="4580" w:type="dxa"/>
          </w:tcPr>
          <w:p>
            <w:pPr>
              <w:pStyle w:val="yTable"/>
              <w:ind w:right="-283" w:hanging="425"/>
            </w:pPr>
            <w:r>
              <w:t>Assault with intent to commit or facilitate a crime</w:t>
            </w:r>
          </w:p>
        </w:tc>
      </w:tr>
      <w:tr>
        <w:tc>
          <w:tcPr>
            <w:tcW w:w="2508" w:type="dxa"/>
          </w:tcPr>
          <w:p>
            <w:pPr>
              <w:pStyle w:val="yTable"/>
              <w:ind w:left="142"/>
              <w:rPr>
                <w:szCs w:val="22"/>
              </w:rPr>
            </w:pPr>
            <w:r>
              <w:rPr>
                <w:szCs w:val="22"/>
              </w:rPr>
              <w:t>s. 317A(b)</w:t>
            </w:r>
          </w:p>
        </w:tc>
        <w:tc>
          <w:tcPr>
            <w:tcW w:w="4580" w:type="dxa"/>
          </w:tcPr>
          <w:p>
            <w:pPr>
              <w:pStyle w:val="yTable"/>
              <w:ind w:right="-283" w:hanging="425"/>
            </w:pPr>
            <w:r>
              <w:t>Assault with intent to do grievous bodily harm</w:t>
            </w:r>
          </w:p>
        </w:tc>
      </w:tr>
      <w:tr>
        <w:tc>
          <w:tcPr>
            <w:tcW w:w="2508" w:type="dxa"/>
          </w:tcPr>
          <w:p>
            <w:pPr>
              <w:pStyle w:val="yTable"/>
              <w:ind w:left="142"/>
              <w:rPr>
                <w:szCs w:val="22"/>
              </w:rPr>
            </w:pPr>
            <w:r>
              <w:rPr>
                <w:szCs w:val="22"/>
              </w:rPr>
              <w:t>s. 318</w:t>
            </w:r>
          </w:p>
        </w:tc>
        <w:tc>
          <w:tcPr>
            <w:tcW w:w="4580" w:type="dxa"/>
          </w:tcPr>
          <w:p>
            <w:pPr>
              <w:pStyle w:val="yTable"/>
              <w:ind w:right="-283" w:hanging="425"/>
            </w:pPr>
            <w:r>
              <w:t>Serious assaults</w:t>
            </w:r>
          </w:p>
        </w:tc>
      </w:tr>
      <w:tr>
        <w:tc>
          <w:tcPr>
            <w:tcW w:w="2508" w:type="dxa"/>
          </w:tcPr>
          <w:p>
            <w:pPr>
              <w:pStyle w:val="yTable"/>
              <w:ind w:left="142"/>
              <w:rPr>
                <w:szCs w:val="22"/>
              </w:rPr>
            </w:pPr>
            <w:r>
              <w:rPr>
                <w:szCs w:val="22"/>
              </w:rPr>
              <w:t>s. 323</w:t>
            </w:r>
          </w:p>
        </w:tc>
        <w:tc>
          <w:tcPr>
            <w:tcW w:w="4580" w:type="dxa"/>
          </w:tcPr>
          <w:p>
            <w:pPr>
              <w:pStyle w:val="yTable"/>
              <w:ind w:right="-283" w:hanging="425"/>
            </w:pPr>
            <w:r>
              <w:t>Indecent assault</w:t>
            </w:r>
          </w:p>
        </w:tc>
      </w:tr>
      <w:tr>
        <w:tc>
          <w:tcPr>
            <w:tcW w:w="2508" w:type="dxa"/>
          </w:tcPr>
          <w:p>
            <w:pPr>
              <w:pStyle w:val="yTable"/>
              <w:ind w:left="142"/>
              <w:rPr>
                <w:szCs w:val="22"/>
              </w:rPr>
            </w:pPr>
            <w:r>
              <w:rPr>
                <w:szCs w:val="22"/>
              </w:rPr>
              <w:t>s. 324</w:t>
            </w:r>
          </w:p>
        </w:tc>
        <w:tc>
          <w:tcPr>
            <w:tcW w:w="4580" w:type="dxa"/>
          </w:tcPr>
          <w:p>
            <w:pPr>
              <w:pStyle w:val="yTable"/>
              <w:ind w:right="-283" w:hanging="425"/>
            </w:pPr>
            <w:r>
              <w:t>Aggravated indecent assault</w:t>
            </w:r>
          </w:p>
        </w:tc>
      </w:tr>
      <w:tr>
        <w:tc>
          <w:tcPr>
            <w:tcW w:w="2508" w:type="dxa"/>
          </w:tcPr>
          <w:p>
            <w:pPr>
              <w:pStyle w:val="yTable"/>
              <w:ind w:left="142"/>
              <w:rPr>
                <w:szCs w:val="22"/>
              </w:rPr>
            </w:pPr>
            <w:r>
              <w:rPr>
                <w:szCs w:val="22"/>
              </w:rPr>
              <w:t>s. 325</w:t>
            </w:r>
          </w:p>
        </w:tc>
        <w:tc>
          <w:tcPr>
            <w:tcW w:w="4580" w:type="dxa"/>
          </w:tcPr>
          <w:p>
            <w:pPr>
              <w:pStyle w:val="yTable"/>
              <w:ind w:right="-283" w:hanging="425"/>
            </w:pPr>
            <w:r>
              <w:t>Sexual penetration without consent</w:t>
            </w:r>
          </w:p>
        </w:tc>
      </w:tr>
      <w:tr>
        <w:tc>
          <w:tcPr>
            <w:tcW w:w="2508" w:type="dxa"/>
          </w:tcPr>
          <w:p>
            <w:pPr>
              <w:pStyle w:val="yTable"/>
              <w:ind w:left="142"/>
              <w:rPr>
                <w:szCs w:val="22"/>
              </w:rPr>
            </w:pPr>
            <w:r>
              <w:rPr>
                <w:szCs w:val="22"/>
              </w:rPr>
              <w:t>s. 326</w:t>
            </w:r>
          </w:p>
        </w:tc>
        <w:tc>
          <w:tcPr>
            <w:tcW w:w="4580" w:type="dxa"/>
          </w:tcPr>
          <w:p>
            <w:pPr>
              <w:pStyle w:val="yTable"/>
              <w:ind w:right="-283"/>
              <w:rPr>
                <w:szCs w:val="22"/>
              </w:rPr>
            </w:pPr>
            <w:r>
              <w:rPr>
                <w:szCs w:val="22"/>
              </w:rPr>
              <w:t>Aggravated sexual penetration without consent</w:t>
            </w:r>
          </w:p>
        </w:tc>
      </w:tr>
      <w:tr>
        <w:tc>
          <w:tcPr>
            <w:tcW w:w="2508" w:type="dxa"/>
          </w:tcPr>
          <w:p>
            <w:pPr>
              <w:pStyle w:val="yTable"/>
              <w:ind w:left="142"/>
              <w:rPr>
                <w:szCs w:val="22"/>
              </w:rPr>
            </w:pPr>
            <w:r>
              <w:rPr>
                <w:szCs w:val="22"/>
              </w:rPr>
              <w:t>s. 331B</w:t>
            </w:r>
          </w:p>
        </w:tc>
        <w:tc>
          <w:tcPr>
            <w:tcW w:w="4580" w:type="dxa"/>
          </w:tcPr>
          <w:p>
            <w:pPr>
              <w:pStyle w:val="yTable"/>
              <w:ind w:right="-283" w:hanging="425"/>
            </w:pPr>
            <w:r>
              <w:t>Sexual servitude</w:t>
            </w:r>
          </w:p>
        </w:tc>
      </w:tr>
      <w:tr>
        <w:tc>
          <w:tcPr>
            <w:tcW w:w="2508" w:type="dxa"/>
          </w:tcPr>
          <w:p>
            <w:pPr>
              <w:pStyle w:val="yTable"/>
              <w:ind w:left="142"/>
              <w:rPr>
                <w:szCs w:val="22"/>
              </w:rPr>
            </w:pPr>
            <w:r>
              <w:rPr>
                <w:szCs w:val="22"/>
              </w:rPr>
              <w:t>s. 331C</w:t>
            </w:r>
          </w:p>
        </w:tc>
        <w:tc>
          <w:tcPr>
            <w:tcW w:w="4580" w:type="dxa"/>
          </w:tcPr>
          <w:p>
            <w:pPr>
              <w:pStyle w:val="yTable"/>
              <w:ind w:right="-283" w:hanging="425"/>
            </w:pPr>
            <w:r>
              <w:t>Conducting business involving sexual servitude</w:t>
            </w:r>
          </w:p>
        </w:tc>
      </w:tr>
      <w:tr>
        <w:trPr>
          <w:cantSplit/>
        </w:trPr>
        <w:tc>
          <w:tcPr>
            <w:tcW w:w="2508" w:type="dxa"/>
          </w:tcPr>
          <w:p>
            <w:pPr>
              <w:pStyle w:val="yTable"/>
              <w:ind w:left="142"/>
              <w:rPr>
                <w:szCs w:val="22"/>
              </w:rPr>
            </w:pPr>
            <w:r>
              <w:rPr>
                <w:szCs w:val="22"/>
              </w:rPr>
              <w:t>s. 331D</w:t>
            </w:r>
          </w:p>
        </w:tc>
        <w:tc>
          <w:tcPr>
            <w:tcW w:w="4580" w:type="dxa"/>
          </w:tcPr>
          <w:p>
            <w:pPr>
              <w:pStyle w:val="yTable"/>
              <w:ind w:right="-283" w:hanging="425"/>
            </w:pPr>
            <w:r>
              <w:t>Deceptive recruiting for commercial sexual services</w:t>
            </w:r>
          </w:p>
        </w:tc>
      </w:tr>
      <w:tr>
        <w:tc>
          <w:tcPr>
            <w:tcW w:w="2508" w:type="dxa"/>
          </w:tcPr>
          <w:p>
            <w:pPr>
              <w:pStyle w:val="yTable"/>
              <w:ind w:left="142"/>
              <w:rPr>
                <w:szCs w:val="22"/>
              </w:rPr>
            </w:pPr>
            <w:r>
              <w:rPr>
                <w:szCs w:val="22"/>
              </w:rPr>
              <w:t>s. 332</w:t>
            </w:r>
          </w:p>
        </w:tc>
        <w:tc>
          <w:tcPr>
            <w:tcW w:w="4580" w:type="dxa"/>
          </w:tcPr>
          <w:p>
            <w:pPr>
              <w:pStyle w:val="yTable"/>
              <w:ind w:right="-283" w:hanging="425"/>
            </w:pPr>
            <w:r>
              <w:t>Kidnapping</w:t>
            </w:r>
          </w:p>
        </w:tc>
      </w:tr>
      <w:tr>
        <w:tc>
          <w:tcPr>
            <w:tcW w:w="2508" w:type="dxa"/>
          </w:tcPr>
          <w:p>
            <w:pPr>
              <w:pStyle w:val="yTable"/>
              <w:ind w:left="142"/>
              <w:rPr>
                <w:szCs w:val="22"/>
              </w:rPr>
            </w:pPr>
            <w:r>
              <w:rPr>
                <w:szCs w:val="22"/>
              </w:rPr>
              <w:t>s. 333</w:t>
            </w:r>
          </w:p>
        </w:tc>
        <w:tc>
          <w:tcPr>
            <w:tcW w:w="4580" w:type="dxa"/>
          </w:tcPr>
          <w:p>
            <w:pPr>
              <w:pStyle w:val="yTable"/>
              <w:ind w:right="-283" w:hanging="425"/>
            </w:pPr>
            <w:r>
              <w:t>Deprivation of liberty</w:t>
            </w:r>
          </w:p>
        </w:tc>
      </w:tr>
      <w:tr>
        <w:tc>
          <w:tcPr>
            <w:tcW w:w="2508" w:type="dxa"/>
          </w:tcPr>
          <w:p>
            <w:pPr>
              <w:pStyle w:val="yTable"/>
              <w:ind w:left="142"/>
              <w:rPr>
                <w:szCs w:val="22"/>
              </w:rPr>
            </w:pPr>
            <w:r>
              <w:rPr>
                <w:szCs w:val="22"/>
              </w:rPr>
              <w:t>s. 378(2)</w:t>
            </w:r>
          </w:p>
        </w:tc>
        <w:tc>
          <w:tcPr>
            <w:tcW w:w="4580" w:type="dxa"/>
          </w:tcPr>
          <w:p>
            <w:pPr>
              <w:pStyle w:val="yTable"/>
              <w:ind w:right="-283" w:hanging="425"/>
            </w:pPr>
            <w:r>
              <w:t>Stealing a motor vehicle, aggravated by reckless or dangerous driving</w:t>
            </w:r>
          </w:p>
        </w:tc>
      </w:tr>
      <w:tr>
        <w:tc>
          <w:tcPr>
            <w:tcW w:w="2508" w:type="dxa"/>
          </w:tcPr>
          <w:p>
            <w:pPr>
              <w:pStyle w:val="yTable"/>
              <w:ind w:left="142"/>
              <w:rPr>
                <w:szCs w:val="22"/>
              </w:rPr>
            </w:pPr>
            <w:r>
              <w:rPr>
                <w:szCs w:val="22"/>
              </w:rPr>
              <w:t>s. 392</w:t>
            </w:r>
          </w:p>
        </w:tc>
        <w:tc>
          <w:tcPr>
            <w:tcW w:w="4580" w:type="dxa"/>
          </w:tcPr>
          <w:p>
            <w:pPr>
              <w:pStyle w:val="yTable"/>
              <w:ind w:right="-283" w:hanging="425"/>
            </w:pPr>
            <w:r>
              <w:t>Robbery</w:t>
            </w:r>
          </w:p>
        </w:tc>
      </w:tr>
      <w:tr>
        <w:tc>
          <w:tcPr>
            <w:tcW w:w="2508" w:type="dxa"/>
          </w:tcPr>
          <w:p>
            <w:pPr>
              <w:pStyle w:val="yTable"/>
              <w:ind w:left="142"/>
              <w:rPr>
                <w:szCs w:val="22"/>
              </w:rPr>
            </w:pPr>
            <w:r>
              <w:rPr>
                <w:szCs w:val="22"/>
              </w:rPr>
              <w:t>s. 393</w:t>
            </w:r>
          </w:p>
        </w:tc>
        <w:tc>
          <w:tcPr>
            <w:tcW w:w="4580" w:type="dxa"/>
          </w:tcPr>
          <w:p>
            <w:pPr>
              <w:pStyle w:val="yTable"/>
              <w:ind w:right="-283" w:hanging="425"/>
            </w:pPr>
            <w:r>
              <w:t>Assault with intent to rob</w:t>
            </w:r>
          </w:p>
        </w:tc>
      </w:tr>
      <w:tr>
        <w:tc>
          <w:tcPr>
            <w:tcW w:w="2508" w:type="dxa"/>
          </w:tcPr>
          <w:p>
            <w:pPr>
              <w:pStyle w:val="yTable"/>
              <w:ind w:left="142"/>
              <w:rPr>
                <w:szCs w:val="22"/>
              </w:rPr>
            </w:pPr>
            <w:r>
              <w:rPr>
                <w:szCs w:val="22"/>
              </w:rPr>
              <w:t>s. 444</w:t>
            </w:r>
          </w:p>
        </w:tc>
        <w:tc>
          <w:tcPr>
            <w:tcW w:w="4580" w:type="dxa"/>
          </w:tcPr>
          <w:p>
            <w:pPr>
              <w:pStyle w:val="yTable"/>
              <w:ind w:right="-283" w:hanging="425"/>
            </w:pPr>
            <w: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szCs w:val="22"/>
              </w:rPr>
            </w:pPr>
            <w:r>
              <w:rPr>
                <w:b/>
                <w:szCs w:val="22"/>
              </w:rPr>
              <w:t>2.</w:t>
            </w:r>
            <w:r>
              <w:rPr>
                <w:b/>
                <w:i/>
                <w:szCs w:val="22"/>
              </w:rPr>
              <w:tab/>
              <w:t>Bush Fires Act 1954</w:t>
            </w:r>
          </w:p>
        </w:tc>
      </w:tr>
      <w:tr>
        <w:tc>
          <w:tcPr>
            <w:tcW w:w="2508" w:type="dxa"/>
          </w:tcPr>
          <w:p>
            <w:pPr>
              <w:pStyle w:val="yTable"/>
              <w:ind w:left="142"/>
              <w:rPr>
                <w:szCs w:val="22"/>
              </w:rPr>
            </w:pPr>
            <w:r>
              <w:rPr>
                <w:szCs w:val="22"/>
              </w:rPr>
              <w:t>s. 32</w:t>
            </w:r>
          </w:p>
        </w:tc>
        <w:tc>
          <w:tcPr>
            <w:tcW w:w="4580" w:type="dxa"/>
          </w:tcPr>
          <w:p>
            <w:pPr>
              <w:pStyle w:val="yTable"/>
              <w:ind w:right="-283" w:hanging="425"/>
              <w:rPr>
                <w:szCs w:val="22"/>
              </w:rPr>
            </w:pPr>
            <w:r>
              <w:rPr>
                <w:szCs w:val="22"/>
              </w:rPr>
              <w:t xml:space="preserve">Wilfully lighting a fire or causing a fire to be lit </w:t>
            </w:r>
            <w:r>
              <w:t>under</w:t>
            </w:r>
            <w:r>
              <w:rPr>
                <w:szCs w:val="22"/>
              </w:rPr>
              <w:t xml:space="preserve">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szCs w:val="22"/>
              </w:rPr>
            </w:pPr>
            <w:r>
              <w:rPr>
                <w:b/>
                <w:szCs w:val="22"/>
              </w:rPr>
              <w:t>2AA.</w:t>
            </w:r>
            <w:r>
              <w:rPr>
                <w:b/>
                <w:i/>
                <w:szCs w:val="22"/>
              </w:rPr>
              <w:tab/>
            </w:r>
            <w:r>
              <w:rPr>
                <w:b/>
                <w:bCs/>
                <w:i/>
              </w:rPr>
              <w:t>Criminal Organisations Control Act 2012</w:t>
            </w:r>
          </w:p>
        </w:tc>
      </w:tr>
      <w:tr>
        <w:tc>
          <w:tcPr>
            <w:tcW w:w="2508" w:type="dxa"/>
          </w:tcPr>
          <w:p>
            <w:pPr>
              <w:pStyle w:val="yTable"/>
              <w:ind w:left="142"/>
              <w:rPr>
                <w:szCs w:val="22"/>
              </w:rPr>
            </w:pPr>
            <w:r>
              <w:t>s. 99(1)</w:t>
            </w:r>
          </w:p>
        </w:tc>
        <w:tc>
          <w:tcPr>
            <w:tcW w:w="4580" w:type="dxa"/>
          </w:tcPr>
          <w:p>
            <w:pPr>
              <w:pStyle w:val="yTable"/>
              <w:ind w:left="-441" w:right="-283" w:firstLine="16"/>
              <w:rPr>
                <w:szCs w:val="22"/>
              </w:rPr>
            </w:pPr>
            <w:r>
              <w:t>Association by controlled person with another controlled person</w:t>
            </w:r>
          </w:p>
        </w:tc>
      </w:tr>
      <w:tr>
        <w:tc>
          <w:tcPr>
            <w:tcW w:w="2508" w:type="dxa"/>
          </w:tcPr>
          <w:p>
            <w:pPr>
              <w:pStyle w:val="yTable"/>
              <w:ind w:left="142"/>
            </w:pPr>
            <w:r>
              <w:t>s. 99(3)</w:t>
            </w:r>
          </w:p>
        </w:tc>
        <w:tc>
          <w:tcPr>
            <w:tcW w:w="4580" w:type="dxa"/>
          </w:tcPr>
          <w:p>
            <w:pPr>
              <w:pStyle w:val="yTable"/>
              <w:ind w:left="-441" w:right="-283" w:firstLine="16"/>
            </w:pPr>
            <w:r>
              <w:t>Association by controlled person with another controlled person on 3 or more occasions within 3 month period</w:t>
            </w:r>
          </w:p>
        </w:tc>
      </w:tr>
      <w:tr>
        <w:tc>
          <w:tcPr>
            <w:tcW w:w="2508" w:type="dxa"/>
          </w:tcPr>
          <w:p>
            <w:pPr>
              <w:pStyle w:val="yTable"/>
              <w:ind w:left="142"/>
            </w:pPr>
            <w:r>
              <w:t>s. 102</w:t>
            </w:r>
          </w:p>
        </w:tc>
        <w:tc>
          <w:tcPr>
            <w:tcW w:w="4580" w:type="dxa"/>
          </w:tcPr>
          <w:p>
            <w:pPr>
              <w:pStyle w:val="yTable"/>
              <w:ind w:left="-441" w:right="-283" w:firstLine="16"/>
            </w:pPr>
            <w:r>
              <w:t>Offence for controlled person to get funds to, from or for declared criminal organisation</w:t>
            </w:r>
          </w:p>
        </w:tc>
      </w:tr>
      <w:tr>
        <w:tc>
          <w:tcPr>
            <w:tcW w:w="2508" w:type="dxa"/>
          </w:tcPr>
          <w:p>
            <w:pPr>
              <w:pStyle w:val="yTable"/>
              <w:ind w:left="142"/>
            </w:pPr>
            <w:r>
              <w:t>s. 103</w:t>
            </w:r>
          </w:p>
        </w:tc>
        <w:tc>
          <w:tcPr>
            <w:tcW w:w="4580" w:type="dxa"/>
          </w:tcPr>
          <w:p>
            <w:pPr>
              <w:pStyle w:val="yTable"/>
              <w:ind w:left="-441" w:right="-283" w:firstLine="16"/>
            </w:pPr>
            <w:r>
              <w:t>Other contravention of interim control order or control order</w:t>
            </w:r>
          </w:p>
        </w:tc>
      </w:tr>
      <w:tr>
        <w:tc>
          <w:tcPr>
            <w:tcW w:w="2508" w:type="dxa"/>
          </w:tcPr>
          <w:p>
            <w:pPr>
              <w:pStyle w:val="yTable"/>
              <w:ind w:left="142"/>
            </w:pPr>
            <w:r>
              <w:t>s. 106</w:t>
            </w:r>
          </w:p>
        </w:tc>
        <w:tc>
          <w:tcPr>
            <w:tcW w:w="4580" w:type="dxa"/>
          </w:tcPr>
          <w:p>
            <w:pPr>
              <w:pStyle w:val="yTable"/>
              <w:ind w:left="-441" w:right="-283" w:firstLine="16"/>
            </w:pPr>
            <w:r>
              <w:t>Recruiting members for declared criminal organisation</w:t>
            </w:r>
          </w:p>
        </w:tc>
      </w:tr>
      <w:tr>
        <w:tc>
          <w:tcPr>
            <w:tcW w:w="2508" w:type="dxa"/>
          </w:tcPr>
          <w:p>
            <w:pPr>
              <w:pStyle w:val="yTable"/>
              <w:ind w:left="142"/>
            </w:pPr>
            <w:r>
              <w:t>s. 107(2)</w:t>
            </w:r>
          </w:p>
        </w:tc>
        <w:tc>
          <w:tcPr>
            <w:tcW w:w="4580" w:type="dxa"/>
          </w:tcPr>
          <w:p>
            <w:pPr>
              <w:pStyle w:val="yTable"/>
              <w:ind w:left="-441" w:right="-283" w:firstLine="16"/>
            </w:pPr>
            <w:r>
              <w:t>Permitting premises to be habitually used as place of resort by members of declared criminal organisation</w:t>
            </w:r>
          </w:p>
        </w:tc>
      </w:tr>
      <w:tr>
        <w:tc>
          <w:tcPr>
            <w:tcW w:w="2508" w:type="dxa"/>
          </w:tcPr>
          <w:p>
            <w:pPr>
              <w:pStyle w:val="yTable"/>
              <w:ind w:left="142"/>
            </w:pPr>
            <w:r>
              <w:t>s. 107(3)</w:t>
            </w:r>
          </w:p>
        </w:tc>
        <w:tc>
          <w:tcPr>
            <w:tcW w:w="4580" w:type="dxa"/>
          </w:tcPr>
          <w:p>
            <w:pPr>
              <w:pStyle w:val="yTable"/>
              <w:ind w:left="-441" w:right="-283" w:firstLine="16"/>
            </w:pPr>
            <w:r>
              <w:t>Being knowingly concerned in the management of premises habitually used as place of resort by members of declared criminal organisation</w:t>
            </w:r>
          </w:p>
        </w:tc>
      </w:tr>
      <w:tr>
        <w:tblPrEx>
          <w:tblCellMar>
            <w:left w:w="108" w:type="dxa"/>
            <w:right w:w="108" w:type="dxa"/>
          </w:tblCellMar>
        </w:tblPrEx>
        <w:trPr>
          <w:cantSplit/>
        </w:trPr>
        <w:tc>
          <w:tcPr>
            <w:tcW w:w="7088" w:type="dxa"/>
            <w:gridSpan w:val="2"/>
          </w:tcPr>
          <w:p>
            <w:pPr>
              <w:pStyle w:val="yTable"/>
              <w:tabs>
                <w:tab w:val="left" w:pos="459"/>
              </w:tabs>
              <w:ind w:left="34"/>
              <w:rPr>
                <w:b/>
                <w:i/>
                <w:szCs w:val="22"/>
              </w:rPr>
            </w:pPr>
            <w:r>
              <w:rPr>
                <w:b/>
                <w:szCs w:val="22"/>
              </w:rPr>
              <w:t>2A.</w:t>
            </w:r>
            <w:r>
              <w:rPr>
                <w:b/>
                <w:i/>
                <w:szCs w:val="22"/>
              </w:rPr>
              <w:tab/>
              <w:t>Prostitution Act 2000</w:t>
            </w:r>
          </w:p>
        </w:tc>
      </w:tr>
      <w:tr>
        <w:tc>
          <w:tcPr>
            <w:tcW w:w="2508" w:type="dxa"/>
          </w:tcPr>
          <w:p>
            <w:pPr>
              <w:pStyle w:val="yTable"/>
              <w:ind w:left="142"/>
              <w:rPr>
                <w:szCs w:val="22"/>
              </w:rPr>
            </w:pPr>
            <w:r>
              <w:rPr>
                <w:szCs w:val="22"/>
              </w:rPr>
              <w:t>s. 7</w:t>
            </w:r>
          </w:p>
        </w:tc>
        <w:tc>
          <w:tcPr>
            <w:tcW w:w="4580" w:type="dxa"/>
          </w:tcPr>
          <w:p>
            <w:pPr>
              <w:pStyle w:val="yTable"/>
              <w:ind w:right="-283" w:hanging="425"/>
            </w:pPr>
            <w:r>
              <w:t>Seeking to induce person to act as prostitute</w:t>
            </w:r>
          </w:p>
        </w:tc>
      </w:tr>
      <w:tr>
        <w:tc>
          <w:tcPr>
            <w:tcW w:w="2508" w:type="dxa"/>
          </w:tcPr>
          <w:p>
            <w:pPr>
              <w:pStyle w:val="yTable"/>
              <w:ind w:left="142"/>
              <w:rPr>
                <w:szCs w:val="22"/>
              </w:rPr>
            </w:pPr>
            <w:r>
              <w:rPr>
                <w:szCs w:val="22"/>
              </w:rPr>
              <w:t>s. 16</w:t>
            </w:r>
          </w:p>
        </w:tc>
        <w:tc>
          <w:tcPr>
            <w:tcW w:w="4580" w:type="dxa"/>
          </w:tcPr>
          <w:p>
            <w:pPr>
              <w:pStyle w:val="yTable"/>
              <w:ind w:right="-283" w:hanging="425"/>
            </w:pPr>
            <w:r>
              <w:t>Causing, permitting, or seeking to induce child to act as prostitute</w:t>
            </w:r>
          </w:p>
        </w:tc>
      </w:tr>
      <w:tr>
        <w:tc>
          <w:tcPr>
            <w:tcW w:w="2508" w:type="dxa"/>
          </w:tcPr>
          <w:p>
            <w:pPr>
              <w:pStyle w:val="yTable"/>
              <w:ind w:left="142"/>
              <w:rPr>
                <w:szCs w:val="22"/>
              </w:rPr>
            </w:pPr>
            <w:r>
              <w:rPr>
                <w:szCs w:val="22"/>
              </w:rPr>
              <w:t>s. 17</w:t>
            </w:r>
          </w:p>
        </w:tc>
        <w:tc>
          <w:tcPr>
            <w:tcW w:w="4580" w:type="dxa"/>
          </w:tcPr>
          <w:p>
            <w:pPr>
              <w:pStyle w:val="yTable"/>
              <w:ind w:right="-283" w:hanging="425"/>
            </w:pPr>
            <w:r>
              <w:t>Obtaining payment for prostitution by a child</w:t>
            </w:r>
          </w:p>
        </w:tc>
      </w:tr>
      <w:tr>
        <w:tc>
          <w:tcPr>
            <w:tcW w:w="2508" w:type="dxa"/>
          </w:tcPr>
          <w:p>
            <w:pPr>
              <w:pStyle w:val="yTable"/>
              <w:ind w:left="142"/>
              <w:rPr>
                <w:szCs w:val="22"/>
              </w:rPr>
            </w:pPr>
            <w:r>
              <w:rPr>
                <w:szCs w:val="22"/>
              </w:rPr>
              <w:t>s. 18</w:t>
            </w:r>
          </w:p>
        </w:tc>
        <w:tc>
          <w:tcPr>
            <w:tcW w:w="4580" w:type="dxa"/>
          </w:tcPr>
          <w:p>
            <w:pPr>
              <w:pStyle w:val="yTable"/>
              <w:ind w:right="-283" w:hanging="425"/>
              <w:rPr>
                <w:szCs w:val="22"/>
              </w:rPr>
            </w:pPr>
            <w:r>
              <w:t>Agreement</w:t>
            </w:r>
            <w:r>
              <w:rPr>
                <w:szCs w:val="22"/>
              </w:rPr>
              <w:t xml:space="preserve">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szCs w:val="22"/>
              </w:rPr>
            </w:pPr>
            <w:r>
              <w:rPr>
                <w:b/>
                <w:szCs w:val="22"/>
              </w:rPr>
              <w:t>3.</w:t>
            </w:r>
            <w:r>
              <w:rPr>
                <w:b/>
                <w:i/>
                <w:szCs w:val="22"/>
              </w:rPr>
              <w:tab/>
              <w:t>Road Traffic Act 1974</w:t>
            </w:r>
          </w:p>
        </w:tc>
      </w:tr>
      <w:tr>
        <w:tc>
          <w:tcPr>
            <w:tcW w:w="2508" w:type="dxa"/>
          </w:tcPr>
          <w:p>
            <w:pPr>
              <w:pStyle w:val="yTable"/>
              <w:ind w:left="142"/>
              <w:rPr>
                <w:szCs w:val="22"/>
              </w:rPr>
            </w:pPr>
            <w:r>
              <w:rPr>
                <w:szCs w:val="22"/>
              </w:rPr>
              <w:t>s. 59</w:t>
            </w:r>
          </w:p>
        </w:tc>
        <w:tc>
          <w:tcPr>
            <w:tcW w:w="4580" w:type="dxa"/>
          </w:tcPr>
          <w:p>
            <w:pPr>
              <w:pStyle w:val="yTable"/>
              <w:ind w:right="-283" w:hanging="425"/>
            </w:pPr>
            <w:r>
              <w:t>Dangerous driving causing death, injury, etc.</w:t>
            </w:r>
          </w:p>
        </w:tc>
      </w:tr>
      <w:tr>
        <w:tc>
          <w:tcPr>
            <w:tcW w:w="2508" w:type="dxa"/>
          </w:tcPr>
          <w:p>
            <w:pPr>
              <w:pStyle w:val="yTable"/>
              <w:ind w:left="142"/>
              <w:rPr>
                <w:szCs w:val="22"/>
              </w:rPr>
            </w:pPr>
            <w:r>
              <w:rPr>
                <w:szCs w:val="22"/>
              </w:rPr>
              <w:t>s. 59A</w:t>
            </w:r>
          </w:p>
        </w:tc>
        <w:tc>
          <w:tcPr>
            <w:tcW w:w="4580" w:type="dxa"/>
          </w:tcPr>
          <w:p>
            <w:pPr>
              <w:pStyle w:val="yTable"/>
              <w:ind w:right="-283" w:hanging="425"/>
            </w:pPr>
            <w:r>
              <w:t>Dangerous driving causing bodily harm</w:t>
            </w:r>
          </w:p>
        </w:tc>
      </w:tr>
    </w:tbl>
    <w:p>
      <w:pPr>
        <w:pStyle w:val="yFootnotesection"/>
      </w:pPr>
      <w:r>
        <w:tab/>
        <w:t xml:space="preserve">[Schedule 2 amended by No. 82 of 1994 s. 13(6); No. 17 of 2000 s. 64; No. 23 of 2001 s. 10(4); No. 4 of 2004 s. 24 and 26; No. 58 of 2004 s. 45; No. 29 of 2008 s. 41(5); No. 49 of 2012 s. 182.] </w:t>
      </w:r>
    </w:p>
    <w:p>
      <w:pPr>
        <w:pStyle w:val="yScheduleHeading"/>
        <w:outlineLvl w:val="0"/>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yScheduleHeading"/>
        <w:outlineLvl w:val="0"/>
      </w:pPr>
      <w:bookmarkStart w:id="641" w:name="_Toc405453366"/>
      <w:bookmarkStart w:id="642" w:name="_Toc413337091"/>
      <w:bookmarkStart w:id="643" w:name="_Toc413337367"/>
      <w:bookmarkStart w:id="644" w:name="_Toc413337482"/>
      <w:bookmarkStart w:id="645" w:name="_Toc422303434"/>
      <w:r>
        <w:rPr>
          <w:rStyle w:val="CharSchNo"/>
        </w:rPr>
        <w:t>Schedule 3</w:t>
      </w:r>
      <w:r>
        <w:t> — </w:t>
      </w:r>
      <w:r>
        <w:rPr>
          <w:rStyle w:val="CharSchText"/>
        </w:rPr>
        <w:t>Adaptations for community work in default of payment</w:t>
      </w:r>
      <w:bookmarkEnd w:id="641"/>
      <w:bookmarkEnd w:id="642"/>
      <w:bookmarkEnd w:id="643"/>
      <w:bookmarkEnd w:id="644"/>
      <w:bookmarkEnd w:id="645"/>
    </w:p>
    <w:p>
      <w:pPr>
        <w:pStyle w:val="yShoulderClause"/>
        <w:rPr>
          <w:snapToGrid w:val="0"/>
        </w:rPr>
      </w:pPr>
      <w:r>
        <w:rPr>
          <w:snapToGrid w:val="0"/>
        </w:rPr>
        <w:t>[s. 61]</w:t>
      </w:r>
    </w:p>
    <w:p>
      <w:pPr>
        <w:pStyle w:val="yFootnoteheading"/>
        <w:rPr>
          <w:b/>
          <w:snapToGrid w:val="0"/>
        </w:rPr>
      </w:pPr>
      <w:r>
        <w:tab/>
        <w:t>[Heading amended by No. 19 of 2010 s. 4.]</w:t>
      </w:r>
    </w:p>
    <w:p>
      <w:pPr>
        <w:pStyle w:val="yHeading5"/>
        <w:outlineLvl w:val="0"/>
      </w:pPr>
      <w:bookmarkStart w:id="646" w:name="_Toc405453367"/>
      <w:bookmarkStart w:id="647" w:name="_Toc422303435"/>
      <w:r>
        <w:rPr>
          <w:rStyle w:val="CharSClsNo"/>
        </w:rPr>
        <w:t>1</w:t>
      </w:r>
      <w:r>
        <w:t>.</w:t>
      </w:r>
      <w:r>
        <w:tab/>
        <w:t>References to “offender”</w:t>
      </w:r>
      <w:bookmarkEnd w:id="646"/>
      <w:bookmarkEnd w:id="647"/>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648" w:name="_Toc405453368"/>
      <w:bookmarkStart w:id="649" w:name="_Toc422303436"/>
      <w:r>
        <w:rPr>
          <w:rStyle w:val="CharSClsNo"/>
        </w:rPr>
        <w:t>2</w:t>
      </w:r>
      <w:r>
        <w:t>.</w:t>
      </w:r>
      <w:r>
        <w:tab/>
        <w:t>Conditions</w:t>
      </w:r>
      <w:bookmarkEnd w:id="648"/>
      <w:bookmarkEnd w:id="649"/>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650" w:name="_Toc405453369"/>
      <w:bookmarkStart w:id="651" w:name="_Toc422303437"/>
      <w:r>
        <w:rPr>
          <w:rStyle w:val="CharSClsNo"/>
        </w:rPr>
        <w:t>3</w:t>
      </w:r>
      <w:r>
        <w:rPr>
          <w:snapToGrid w:val="0"/>
        </w:rPr>
        <w:t>.</w:t>
      </w:r>
      <w:r>
        <w:rPr>
          <w:snapToGrid w:val="0"/>
        </w:rPr>
        <w:tab/>
        <w:t>Duration of order</w:t>
      </w:r>
      <w:bookmarkEnd w:id="650"/>
      <w:bookmarkEnd w:id="651"/>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 or</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652" w:name="_Toc405453370"/>
      <w:bookmarkStart w:id="653" w:name="_Toc422303438"/>
      <w:r>
        <w:rPr>
          <w:rStyle w:val="CharSClsNo"/>
        </w:rPr>
        <w:t>4</w:t>
      </w:r>
      <w:r>
        <w:rPr>
          <w:snapToGrid w:val="0"/>
        </w:rPr>
        <w:t>.</w:t>
      </w:r>
      <w:r>
        <w:rPr>
          <w:snapToGrid w:val="0"/>
        </w:rPr>
        <w:tab/>
        <w:t>Powers of court in dealing with breach</w:t>
      </w:r>
      <w:bookmarkEnd w:id="652"/>
      <w:bookmarkEnd w:id="653"/>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654" w:name="_Toc405453371"/>
      <w:bookmarkStart w:id="655" w:name="_Toc422303439"/>
      <w:r>
        <w:rPr>
          <w:rStyle w:val="CharSClsNo"/>
        </w:rPr>
        <w:t>5</w:t>
      </w:r>
      <w:r>
        <w:rPr>
          <w:snapToGrid w:val="0"/>
        </w:rPr>
        <w:t>.</w:t>
      </w:r>
      <w:r>
        <w:rPr>
          <w:snapToGrid w:val="0"/>
        </w:rPr>
        <w:tab/>
        <w:t>Effect of partially performing work ordered in default of payment</w:t>
      </w:r>
      <w:bookmarkEnd w:id="654"/>
      <w:bookmarkEnd w:id="655"/>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0"/>
        <w:rPr>
          <w:snapToGrid w:val="0"/>
        </w:rPr>
      </w:pPr>
      <w:bookmarkStart w:id="656" w:name="_Toc405453372"/>
      <w:bookmarkStart w:id="657" w:name="_Toc422303440"/>
      <w:r>
        <w:rPr>
          <w:rStyle w:val="CharSClsNo"/>
        </w:rPr>
        <w:t>6</w:t>
      </w:r>
      <w:r>
        <w:rPr>
          <w:snapToGrid w:val="0"/>
        </w:rPr>
        <w:t>.</w:t>
      </w:r>
      <w:r>
        <w:rPr>
          <w:snapToGrid w:val="0"/>
        </w:rPr>
        <w:tab/>
        <w:t>Proof of identity</w:t>
      </w:r>
      <w:bookmarkEnd w:id="656"/>
      <w:bookmarkEnd w:id="657"/>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nHeading2"/>
        <w:outlineLvl w:val="0"/>
      </w:pPr>
      <w:bookmarkStart w:id="658" w:name="_Toc405453373"/>
      <w:bookmarkStart w:id="659" w:name="_Toc413337098"/>
      <w:bookmarkStart w:id="660" w:name="_Toc413337374"/>
      <w:bookmarkStart w:id="661" w:name="_Toc413337489"/>
      <w:bookmarkStart w:id="662" w:name="_Toc422303441"/>
      <w:r>
        <w:t>Notes</w:t>
      </w:r>
      <w:bookmarkEnd w:id="658"/>
      <w:bookmarkEnd w:id="659"/>
      <w:bookmarkEnd w:id="660"/>
      <w:bookmarkEnd w:id="661"/>
      <w:bookmarkEnd w:id="662"/>
    </w:p>
    <w:p>
      <w:pPr>
        <w:pStyle w:val="nSubsection"/>
        <w:rPr>
          <w:snapToGrid w:val="0"/>
        </w:rPr>
      </w:pPr>
      <w:r>
        <w:rPr>
          <w:snapToGrid w:val="0"/>
          <w:vertAlign w:val="superscript"/>
        </w:rPr>
        <w:t>1</w:t>
      </w:r>
      <w:r>
        <w:rPr>
          <w:snapToGrid w:val="0"/>
        </w:rPr>
        <w:tab/>
        <w:t xml:space="preserve">This is a compilation of the </w:t>
      </w:r>
      <w:r>
        <w:rPr>
          <w:i/>
        </w:rPr>
        <w:t>Young Offenders Act 1994</w:t>
      </w:r>
      <w:r>
        <w:rPr>
          <w:snapToGrid w:val="0"/>
        </w:rPr>
        <w:t xml:space="preserve"> and includes the amendments made by the other written laws referred to in the following table </w:t>
      </w:r>
      <w:r>
        <w:rPr>
          <w:snapToGrid w:val="0"/>
          <w:vertAlign w:val="superscript"/>
        </w:rPr>
        <w:t>1M, 1a, 6, 7, 8</w:t>
      </w:r>
      <w:r>
        <w:rPr>
          <w:snapToGrid w:val="0"/>
        </w:rPr>
        <w:t>. The table also contains information about any reprint.</w:t>
      </w:r>
    </w:p>
    <w:p>
      <w:pPr>
        <w:pStyle w:val="nHeading3"/>
      </w:pPr>
      <w:bookmarkStart w:id="663" w:name="_Toc405453374"/>
      <w:bookmarkStart w:id="664" w:name="_Toc422303442"/>
      <w:r>
        <w:t>Compilation table</w:t>
      </w:r>
      <w:bookmarkEnd w:id="663"/>
      <w:bookmarkEnd w:id="664"/>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Young Offenders Act 1994</w:t>
            </w:r>
          </w:p>
        </w:tc>
        <w:tc>
          <w:tcPr>
            <w:tcW w:w="1134" w:type="dxa"/>
            <w:tcBorders>
              <w:top w:val="single" w:sz="8" w:space="0" w:color="auto"/>
            </w:tcBorders>
          </w:tcPr>
          <w:p>
            <w:pPr>
              <w:pStyle w:val="nTable"/>
              <w:spacing w:after="40"/>
            </w:pPr>
            <w:r>
              <w:t>104 of 1994</w:t>
            </w:r>
          </w:p>
        </w:tc>
        <w:tc>
          <w:tcPr>
            <w:tcW w:w="1136" w:type="dxa"/>
            <w:tcBorders>
              <w:top w:val="single" w:sz="8" w:space="0" w:color="auto"/>
            </w:tcBorders>
          </w:tcPr>
          <w:p>
            <w:pPr>
              <w:pStyle w:val="nTable"/>
              <w:spacing w:after="40"/>
            </w:pPr>
            <w:r>
              <w:t>11 Jan 1995</w:t>
            </w:r>
          </w:p>
        </w:tc>
        <w:tc>
          <w:tcPr>
            <w:tcW w:w="2551" w:type="dxa"/>
            <w:tcBorders>
              <w:top w:val="single" w:sz="8" w:space="0" w:color="auto"/>
            </w:tcBorders>
          </w:tcPr>
          <w:p>
            <w:pPr>
              <w:pStyle w:val="nTable"/>
              <w:spacing w:after="40"/>
            </w:pPr>
            <w:r>
              <w:t xml:space="preserve">s. 1 and 2: 11 Jan 1995; </w:t>
            </w:r>
            <w:r>
              <w:br/>
              <w:t xml:space="preserve">Act other than s. 1 and 2: 13 Mar 1995 (see s. 2 and </w:t>
            </w:r>
            <w:r>
              <w:rPr>
                <w:i/>
              </w:rPr>
              <w:t>Gazette</w:t>
            </w:r>
            <w:r>
              <w:t xml:space="preserve"> 10 Mar 1995 p. 895)</w:t>
            </w:r>
          </w:p>
        </w:tc>
      </w:tr>
      <w:tr>
        <w:trPr>
          <w:cantSplit/>
        </w:trPr>
        <w:tc>
          <w:tcPr>
            <w:tcW w:w="2268" w:type="dxa"/>
          </w:tcPr>
          <w:p>
            <w:pPr>
              <w:pStyle w:val="nTable"/>
              <w:spacing w:after="40"/>
              <w:ind w:right="113"/>
            </w:pPr>
            <w:r>
              <w:rPr>
                <w:i/>
              </w:rPr>
              <w:t>Criminal Law Amendment Act 1994</w:t>
            </w:r>
            <w:r>
              <w:t xml:space="preserve"> s. 13(6) and 20</w:t>
            </w:r>
          </w:p>
        </w:tc>
        <w:tc>
          <w:tcPr>
            <w:tcW w:w="1134" w:type="dxa"/>
          </w:tcPr>
          <w:p>
            <w:pPr>
              <w:pStyle w:val="nTable"/>
              <w:spacing w:after="40"/>
            </w:pPr>
            <w:r>
              <w:t>82 of 1994</w:t>
            </w:r>
          </w:p>
        </w:tc>
        <w:tc>
          <w:tcPr>
            <w:tcW w:w="1136" w:type="dxa"/>
          </w:tcPr>
          <w:p>
            <w:pPr>
              <w:pStyle w:val="nTable"/>
              <w:spacing w:after="40"/>
            </w:pPr>
            <w:r>
              <w:t>23 Dec 1994</w:t>
            </w:r>
          </w:p>
        </w:tc>
        <w:tc>
          <w:tcPr>
            <w:tcW w:w="2551" w:type="dxa"/>
          </w:tcPr>
          <w:p>
            <w:pPr>
              <w:pStyle w:val="nTable"/>
              <w:spacing w:after="40"/>
            </w:pPr>
            <w:r>
              <w:t>s. 13(6): 20 Jan 1995 (see s. 2(3));</w:t>
            </w:r>
            <w:r>
              <w:br/>
              <w:t xml:space="preserve">s. 20: 13 Mar 1995 (see s. 2(4) </w:t>
            </w:r>
            <w:r>
              <w:rPr>
                <w:spacing w:val="-4"/>
              </w:rPr>
              <w:t xml:space="preserve">and </w:t>
            </w:r>
            <w:r>
              <w:rPr>
                <w:i/>
                <w:spacing w:val="-4"/>
              </w:rPr>
              <w:t>Gazette</w:t>
            </w:r>
            <w:r>
              <w:rPr>
                <w:spacing w:val="-4"/>
              </w:rPr>
              <w:t xml:space="preserve"> 10 Mar 1995 p. 895)</w:t>
            </w:r>
          </w:p>
        </w:tc>
      </w:tr>
      <w:tr>
        <w:trPr>
          <w:cantSplit/>
        </w:trPr>
        <w:tc>
          <w:tcPr>
            <w:tcW w:w="2268" w:type="dxa"/>
          </w:tcPr>
          <w:p>
            <w:pPr>
              <w:pStyle w:val="nTable"/>
              <w:spacing w:after="40"/>
              <w:ind w:right="113"/>
            </w:pPr>
            <w:r>
              <w:rPr>
                <w:i/>
              </w:rPr>
              <w:t>Acts Amendment (Fines, Penalties and Infringement Notices) Act 1994</w:t>
            </w:r>
            <w:r>
              <w:t xml:space="preserve"> Pt. 22</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11 Jan 1995 (see s. 2(2))</w:t>
            </w:r>
          </w:p>
        </w:tc>
      </w:tr>
      <w:tr>
        <w:trPr>
          <w:cantSplit/>
        </w:trPr>
        <w:tc>
          <w:tcPr>
            <w:tcW w:w="2268" w:type="dxa"/>
          </w:tcPr>
          <w:p>
            <w:pPr>
              <w:pStyle w:val="nTable"/>
              <w:spacing w:after="40"/>
              <w:ind w:right="113"/>
            </w:pPr>
            <w:r>
              <w:rPr>
                <w:i/>
              </w:rPr>
              <w:t>Sentencing (Consequential Provisions) Act 1995</w:t>
            </w:r>
            <w:r>
              <w:t xml:space="preserve"> Pt. 86</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Coroners Act 1996</w:t>
            </w:r>
            <w:r>
              <w:t xml:space="preserve"> s. 61</w:t>
            </w:r>
          </w:p>
        </w:tc>
        <w:tc>
          <w:tcPr>
            <w:tcW w:w="1134" w:type="dxa"/>
          </w:tcPr>
          <w:p>
            <w:pPr>
              <w:pStyle w:val="nTable"/>
              <w:spacing w:after="40"/>
            </w:pPr>
            <w:r>
              <w:t>2 of 1996</w:t>
            </w:r>
          </w:p>
        </w:tc>
        <w:tc>
          <w:tcPr>
            <w:tcW w:w="1136" w:type="dxa"/>
          </w:tcPr>
          <w:p>
            <w:pPr>
              <w:pStyle w:val="nTable"/>
              <w:spacing w:after="40"/>
            </w:pPr>
            <w:r>
              <w:t>24 May 1996</w:t>
            </w:r>
          </w:p>
        </w:tc>
        <w:tc>
          <w:tcPr>
            <w:tcW w:w="2551" w:type="dxa"/>
          </w:tcPr>
          <w:p>
            <w:pPr>
              <w:pStyle w:val="nTable"/>
              <w:spacing w:after="40"/>
            </w:pPr>
            <w:r>
              <w:t xml:space="preserve">7 Apr 1997 (see s. 2 and </w:t>
            </w:r>
            <w:r>
              <w:rPr>
                <w:i/>
              </w:rPr>
              <w:t>Gazette</w:t>
            </w:r>
            <w:r>
              <w:t xml:space="preserve"> 18 Mar 1997 p. 1529)</w:t>
            </w:r>
          </w:p>
        </w:tc>
      </w:tr>
      <w:tr>
        <w:trPr>
          <w:cantSplit/>
        </w:trPr>
        <w:tc>
          <w:tcPr>
            <w:tcW w:w="2268" w:type="dxa"/>
          </w:tcPr>
          <w:p>
            <w:pPr>
              <w:pStyle w:val="nTable"/>
              <w:spacing w:after="40"/>
              <w:ind w:right="113"/>
              <w:rPr>
                <w:i/>
              </w:rPr>
            </w:pPr>
            <w:r>
              <w:rPr>
                <w:i/>
              </w:rPr>
              <w:t xml:space="preserve">Mental Health (Consequential </w:t>
            </w:r>
            <w:r>
              <w:rPr>
                <w:i/>
                <w:spacing w:val="-4"/>
              </w:rPr>
              <w:t>Provisions) Act 1996</w:t>
            </w:r>
            <w:r>
              <w:rPr>
                <w:spacing w:val="-4"/>
              </w:rPr>
              <w:t xml:space="preserve"> Pt. 22</w:t>
            </w:r>
          </w:p>
        </w:tc>
        <w:tc>
          <w:tcPr>
            <w:tcW w:w="1134" w:type="dxa"/>
          </w:tcPr>
          <w:p>
            <w:pPr>
              <w:pStyle w:val="nTable"/>
              <w:spacing w:after="40"/>
            </w:pPr>
            <w:r>
              <w:t>69 of 1996</w:t>
            </w:r>
          </w:p>
        </w:tc>
        <w:tc>
          <w:tcPr>
            <w:tcW w:w="1136" w:type="dxa"/>
          </w:tcPr>
          <w:p>
            <w:pPr>
              <w:pStyle w:val="nTable"/>
              <w:spacing w:after="40"/>
            </w:pPr>
            <w:r>
              <w:t>13 Nov 1996</w:t>
            </w:r>
          </w:p>
        </w:tc>
        <w:tc>
          <w:tcPr>
            <w:tcW w:w="2551" w:type="dxa"/>
          </w:tcPr>
          <w:p>
            <w:pPr>
              <w:pStyle w:val="nTable"/>
              <w:spacing w:after="40"/>
            </w:pPr>
            <w:r>
              <w:t>13 Nov 1997 (see s. 2)</w:t>
            </w:r>
          </w:p>
        </w:tc>
      </w:tr>
      <w:tr>
        <w:trPr>
          <w:cantSplit/>
        </w:trPr>
        <w:tc>
          <w:tcPr>
            <w:tcW w:w="7089" w:type="dxa"/>
            <w:gridSpan w:val="4"/>
          </w:tcPr>
          <w:p>
            <w:pPr>
              <w:pStyle w:val="nTable"/>
              <w:spacing w:after="40"/>
            </w:pPr>
            <w:r>
              <w:rPr>
                <w:b/>
              </w:rPr>
              <w:t xml:space="preserve">Reprint of the </w:t>
            </w:r>
            <w:r>
              <w:rPr>
                <w:b/>
                <w:i/>
              </w:rPr>
              <w:t>Young Offenders Act 1994</w:t>
            </w:r>
            <w:r>
              <w:rPr>
                <w:b/>
              </w:rPr>
              <w:t xml:space="preserve"> as at 26 Nov 1996</w:t>
            </w:r>
            <w:r>
              <w:t xml:space="preserve"> (includes amendments listed above except those in the </w:t>
            </w:r>
            <w:r>
              <w:rPr>
                <w:i/>
              </w:rPr>
              <w:t xml:space="preserve">Coroners Act 1996 </w:t>
            </w:r>
            <w:r>
              <w:t>and the</w:t>
            </w:r>
            <w:r>
              <w:rPr>
                <w:i/>
              </w:rPr>
              <w:t xml:space="preserve"> Mental Health (Consequential Provisions) Act 1996</w:t>
            </w:r>
            <w:r>
              <w:t>)</w:t>
            </w:r>
            <w:r>
              <w:rPr>
                <w:i/>
              </w:rPr>
              <w:t xml:space="preserve"> </w:t>
            </w:r>
          </w:p>
        </w:tc>
      </w:tr>
      <w:tr>
        <w:trPr>
          <w:cantSplit/>
        </w:trPr>
        <w:tc>
          <w:tcPr>
            <w:tcW w:w="2268" w:type="dxa"/>
          </w:tcPr>
          <w:p>
            <w:pPr>
              <w:pStyle w:val="nTable"/>
              <w:spacing w:after="40"/>
              <w:ind w:right="113"/>
            </w:pPr>
            <w:r>
              <w:rPr>
                <w:i/>
              </w:rPr>
              <w:t>Criminal Law Amendment Act (No. 2) 1998</w:t>
            </w:r>
            <w:r>
              <w:t xml:space="preserve"> Pt. 7</w:t>
            </w:r>
          </w:p>
        </w:tc>
        <w:tc>
          <w:tcPr>
            <w:tcW w:w="1134" w:type="dxa"/>
          </w:tcPr>
          <w:p>
            <w:pPr>
              <w:pStyle w:val="nTable"/>
              <w:keepNext/>
              <w:spacing w:after="40"/>
            </w:pPr>
            <w:r>
              <w:t>29 of 1998</w:t>
            </w:r>
          </w:p>
        </w:tc>
        <w:tc>
          <w:tcPr>
            <w:tcW w:w="1136" w:type="dxa"/>
          </w:tcPr>
          <w:p>
            <w:pPr>
              <w:pStyle w:val="nTable"/>
              <w:keepNext/>
              <w:spacing w:after="40"/>
            </w:pPr>
            <w:r>
              <w:t>6 Jul 1998</w:t>
            </w:r>
          </w:p>
        </w:tc>
        <w:tc>
          <w:tcPr>
            <w:tcW w:w="2551" w:type="dxa"/>
          </w:tcPr>
          <w:p>
            <w:pPr>
              <w:pStyle w:val="nTable"/>
              <w:keepNext/>
              <w:spacing w:after="40"/>
            </w:pPr>
            <w:r>
              <w:t>3 Aug 1998</w:t>
            </w:r>
          </w:p>
        </w:tc>
      </w:tr>
      <w:tr>
        <w:trPr>
          <w:cantSplit/>
        </w:trPr>
        <w:tc>
          <w:tcPr>
            <w:tcW w:w="2268" w:type="dxa"/>
          </w:tcPr>
          <w:p>
            <w:pPr>
              <w:pStyle w:val="nTable"/>
              <w:spacing w:after="40"/>
              <w:ind w:right="113"/>
            </w:pPr>
            <w:r>
              <w:rPr>
                <w:i/>
              </w:rPr>
              <w:t>Police Amendment Act 1998</w:t>
            </w:r>
            <w:r>
              <w:t xml:space="preserve"> Pt. 3</w:t>
            </w:r>
          </w:p>
        </w:tc>
        <w:tc>
          <w:tcPr>
            <w:tcW w:w="1134" w:type="dxa"/>
          </w:tcPr>
          <w:p>
            <w:pPr>
              <w:pStyle w:val="nTable"/>
              <w:keepNext/>
              <w:spacing w:after="40"/>
            </w:pPr>
            <w:r>
              <w:t>47 of 1998</w:t>
            </w:r>
          </w:p>
        </w:tc>
        <w:tc>
          <w:tcPr>
            <w:tcW w:w="1136" w:type="dxa"/>
          </w:tcPr>
          <w:p>
            <w:pPr>
              <w:pStyle w:val="nTable"/>
              <w:keepNext/>
              <w:spacing w:after="40"/>
            </w:pPr>
            <w:r>
              <w:t>19 Nov 1998</w:t>
            </w:r>
          </w:p>
        </w:tc>
        <w:tc>
          <w:tcPr>
            <w:tcW w:w="2551" w:type="dxa"/>
          </w:tcPr>
          <w:p>
            <w:pPr>
              <w:pStyle w:val="nTable"/>
              <w:keepNext/>
              <w:spacing w:after="40"/>
            </w:pPr>
            <w:r>
              <w:t xml:space="preserve">5 Dec 1998 (see s. 2 and </w:t>
            </w:r>
            <w:r>
              <w:rPr>
                <w:i/>
              </w:rPr>
              <w:t>Gazette</w:t>
            </w:r>
            <w:r>
              <w:t xml:space="preserve"> 4 Dec 1998 p. 6447)</w:t>
            </w:r>
          </w:p>
        </w:tc>
      </w:tr>
      <w:tr>
        <w:trPr>
          <w:cantSplit/>
        </w:trPr>
        <w:tc>
          <w:tcPr>
            <w:tcW w:w="2268" w:type="dxa"/>
          </w:tcPr>
          <w:p>
            <w:pPr>
              <w:pStyle w:val="nTable"/>
              <w:spacing w:after="40"/>
              <w:ind w:right="113"/>
              <w:rPr>
                <w:i/>
              </w:rPr>
            </w:pPr>
            <w:r>
              <w:rPr>
                <w:i/>
              </w:rPr>
              <w:t>School Education Act 1999</w:t>
            </w:r>
            <w:r>
              <w:t xml:space="preserve"> s. 247</w:t>
            </w:r>
          </w:p>
        </w:tc>
        <w:tc>
          <w:tcPr>
            <w:tcW w:w="1134" w:type="dxa"/>
          </w:tcPr>
          <w:p>
            <w:pPr>
              <w:pStyle w:val="nTable"/>
              <w:keepNext/>
              <w:spacing w:after="40"/>
            </w:pPr>
            <w:r>
              <w:t>36 of 1999</w:t>
            </w:r>
          </w:p>
        </w:tc>
        <w:tc>
          <w:tcPr>
            <w:tcW w:w="1136" w:type="dxa"/>
          </w:tcPr>
          <w:p>
            <w:pPr>
              <w:pStyle w:val="nTable"/>
              <w:keepNext/>
              <w:spacing w:after="40"/>
            </w:pPr>
            <w:r>
              <w:t>2 Nov 1999</w:t>
            </w:r>
          </w:p>
        </w:tc>
        <w:tc>
          <w:tcPr>
            <w:tcW w:w="2551" w:type="dxa"/>
          </w:tcPr>
          <w:p>
            <w:pPr>
              <w:pStyle w:val="nTable"/>
              <w:keepNext/>
              <w:spacing w:after="40"/>
            </w:pPr>
            <w:r>
              <w:t xml:space="preserve">1 Jan 2001 (see s. 2 and </w:t>
            </w:r>
            <w:r>
              <w:rPr>
                <w:i/>
              </w:rPr>
              <w:t>Gazette</w:t>
            </w:r>
            <w:r>
              <w:t xml:space="preserve"> 29 Dec 2000 p. 7904)</w:t>
            </w:r>
          </w:p>
        </w:tc>
      </w:tr>
      <w:tr>
        <w:trPr>
          <w:cantSplit/>
        </w:trPr>
        <w:tc>
          <w:tcPr>
            <w:tcW w:w="2268" w:type="dxa"/>
          </w:tcPr>
          <w:p>
            <w:pPr>
              <w:pStyle w:val="nTable"/>
              <w:spacing w:after="40"/>
              <w:ind w:right="113"/>
              <w:rPr>
                <w:i/>
              </w:rPr>
            </w:pPr>
            <w:r>
              <w:rPr>
                <w:i/>
              </w:rPr>
              <w:t xml:space="preserve">Court Security and Custodial Services </w:t>
            </w:r>
            <w:r>
              <w:rPr>
                <w:i/>
                <w:spacing w:val="-2"/>
              </w:rPr>
              <w:t>(Consequential Provisions) Act 1999</w:t>
            </w:r>
            <w:r>
              <w:rPr>
                <w:spacing w:val="-2"/>
              </w:rPr>
              <w:t xml:space="preserve"> Pt. 12</w:t>
            </w:r>
          </w:p>
        </w:tc>
        <w:tc>
          <w:tcPr>
            <w:tcW w:w="1134" w:type="dxa"/>
          </w:tcPr>
          <w:p>
            <w:pPr>
              <w:pStyle w:val="nTable"/>
              <w:keepNext/>
              <w:keepLines/>
              <w:spacing w:after="40"/>
            </w:pPr>
            <w:r>
              <w:t>47 of 1999</w:t>
            </w:r>
          </w:p>
        </w:tc>
        <w:tc>
          <w:tcPr>
            <w:tcW w:w="1136" w:type="dxa"/>
          </w:tcPr>
          <w:p>
            <w:pPr>
              <w:pStyle w:val="nTable"/>
              <w:keepNext/>
              <w:keepLines/>
              <w:spacing w:after="40"/>
            </w:pPr>
            <w:r>
              <w:t>8 Dec 1999</w:t>
            </w:r>
          </w:p>
        </w:tc>
        <w:tc>
          <w:tcPr>
            <w:tcW w:w="2551" w:type="dxa"/>
          </w:tcPr>
          <w:p>
            <w:pPr>
              <w:pStyle w:val="nTable"/>
              <w:keepNext/>
              <w:keepLines/>
              <w:spacing w:after="40"/>
              <w:ind w:right="58"/>
            </w:pPr>
            <w:r>
              <w:t xml:space="preserve">18 Dec 1999 (see s. 2 and </w:t>
            </w:r>
            <w:r>
              <w:rPr>
                <w:i/>
              </w:rPr>
              <w:t>Gazette</w:t>
            </w:r>
            <w:r>
              <w:t xml:space="preserve"> 17 Dec 1999 p. 6175</w:t>
            </w:r>
            <w:r>
              <w:noBreakHyphen/>
              <w:t>6)</w:t>
            </w:r>
          </w:p>
        </w:tc>
      </w:tr>
      <w:tr>
        <w:trPr>
          <w:cantSplit/>
        </w:trPr>
        <w:tc>
          <w:tcPr>
            <w:tcW w:w="2268" w:type="dxa"/>
          </w:tcPr>
          <w:p>
            <w:pPr>
              <w:pStyle w:val="nTable"/>
              <w:spacing w:after="40"/>
              <w:ind w:right="113"/>
            </w:pPr>
            <w:r>
              <w:rPr>
                <w:i/>
              </w:rPr>
              <w:t>Prostitution Act 2000</w:t>
            </w:r>
            <w:r>
              <w:t xml:space="preserve"> s. 64</w:t>
            </w:r>
          </w:p>
        </w:tc>
        <w:tc>
          <w:tcPr>
            <w:tcW w:w="1134" w:type="dxa"/>
          </w:tcPr>
          <w:p>
            <w:pPr>
              <w:pStyle w:val="nTable"/>
              <w:keepNext/>
              <w:keepLines/>
              <w:spacing w:after="40"/>
            </w:pPr>
            <w:r>
              <w:t>17 of 2000</w:t>
            </w:r>
          </w:p>
        </w:tc>
        <w:tc>
          <w:tcPr>
            <w:tcW w:w="1136" w:type="dxa"/>
          </w:tcPr>
          <w:p>
            <w:pPr>
              <w:pStyle w:val="nTable"/>
              <w:keepNext/>
              <w:keepLines/>
              <w:spacing w:after="40"/>
            </w:pPr>
            <w:r>
              <w:t xml:space="preserve">22 Jun 2000 </w:t>
            </w:r>
          </w:p>
        </w:tc>
        <w:tc>
          <w:tcPr>
            <w:tcW w:w="2551" w:type="dxa"/>
          </w:tcPr>
          <w:p>
            <w:pPr>
              <w:pStyle w:val="nTable"/>
              <w:keepNext/>
              <w:keepLines/>
              <w:spacing w:after="40"/>
            </w:pPr>
            <w:r>
              <w:t xml:space="preserve">29 Jul 2000 (see s. 2 and </w:t>
            </w:r>
            <w:r>
              <w:rPr>
                <w:i/>
              </w:rPr>
              <w:t>Gazette</w:t>
            </w:r>
            <w:r>
              <w:t xml:space="preserve"> 28 Jul 2000 p. 3987)</w:t>
            </w:r>
          </w:p>
        </w:tc>
      </w:tr>
      <w:tr>
        <w:trPr>
          <w:cantSplit/>
        </w:trPr>
        <w:tc>
          <w:tcPr>
            <w:tcW w:w="2268" w:type="dxa"/>
          </w:tcPr>
          <w:p>
            <w:pPr>
              <w:pStyle w:val="nTable"/>
              <w:spacing w:after="40"/>
              <w:ind w:right="113"/>
            </w:pPr>
            <w:r>
              <w:rPr>
                <w:i/>
              </w:rPr>
              <w:t xml:space="preserve">Protective Custody Act 2000 </w:t>
            </w:r>
            <w:r>
              <w:t>s. 30</w:t>
            </w:r>
          </w:p>
        </w:tc>
        <w:tc>
          <w:tcPr>
            <w:tcW w:w="1134" w:type="dxa"/>
          </w:tcPr>
          <w:p>
            <w:pPr>
              <w:pStyle w:val="nTable"/>
              <w:keepNext/>
              <w:keepLines/>
              <w:spacing w:after="40"/>
            </w:pPr>
            <w:r>
              <w:t>50 of 2000</w:t>
            </w:r>
          </w:p>
        </w:tc>
        <w:tc>
          <w:tcPr>
            <w:tcW w:w="1136" w:type="dxa"/>
          </w:tcPr>
          <w:p>
            <w:pPr>
              <w:pStyle w:val="nTable"/>
              <w:keepNext/>
              <w:keepLines/>
              <w:spacing w:after="40"/>
            </w:pPr>
            <w:r>
              <w:t>28 Nov 2000</w:t>
            </w:r>
          </w:p>
        </w:tc>
        <w:tc>
          <w:tcPr>
            <w:tcW w:w="2551" w:type="dxa"/>
          </w:tcPr>
          <w:p>
            <w:pPr>
              <w:pStyle w:val="nTable"/>
              <w:keepNext/>
              <w:keepLines/>
              <w:spacing w:after="40"/>
            </w:pPr>
            <w:r>
              <w:t xml:space="preserve">1 Jan 2001 (see s. 2 and </w:t>
            </w:r>
            <w:r>
              <w:rPr>
                <w:i/>
              </w:rPr>
              <w:t>Gazette</w:t>
            </w:r>
            <w:r>
              <w:t xml:space="preserve"> 29 Dec 2000 p. 7903)</w:t>
            </w:r>
          </w:p>
        </w:tc>
      </w:tr>
      <w:tr>
        <w:trPr>
          <w:cantSplit/>
        </w:trPr>
        <w:tc>
          <w:tcPr>
            <w:tcW w:w="7089" w:type="dxa"/>
            <w:gridSpan w:val="4"/>
          </w:tcPr>
          <w:p>
            <w:pPr>
              <w:pStyle w:val="nTable"/>
              <w:spacing w:after="40"/>
            </w:pPr>
            <w:r>
              <w:rPr>
                <w:b/>
              </w:rPr>
              <w:t xml:space="preserve">Reprint of the </w:t>
            </w:r>
            <w:r>
              <w:rPr>
                <w:b/>
                <w:i/>
              </w:rPr>
              <w:t>Young Offenders Act 1994</w:t>
            </w:r>
            <w:r>
              <w:rPr>
                <w:b/>
              </w:rPr>
              <w:t xml:space="preserve"> as at 8 Dec 2000</w:t>
            </w:r>
            <w:r>
              <w:t xml:space="preserve"> (includes amendments listed above except those in the </w:t>
            </w:r>
            <w:r>
              <w:rPr>
                <w:i/>
              </w:rPr>
              <w:t xml:space="preserve">School Education Act 1999 </w:t>
            </w:r>
            <w:r>
              <w:t xml:space="preserve">and the </w:t>
            </w:r>
            <w:r>
              <w:rPr>
                <w:i/>
              </w:rPr>
              <w:t>Protective Custody Act 2000</w:t>
            </w:r>
            <w:r>
              <w:t>)</w:t>
            </w:r>
          </w:p>
        </w:tc>
      </w:tr>
      <w:tr>
        <w:trPr>
          <w:cantSplit/>
        </w:trPr>
        <w:tc>
          <w:tcPr>
            <w:tcW w:w="2268" w:type="dxa"/>
          </w:tcPr>
          <w:p>
            <w:pPr>
              <w:pStyle w:val="nTable"/>
              <w:spacing w:after="40"/>
              <w:ind w:right="113"/>
            </w:pPr>
            <w:r>
              <w:rPr>
                <w:i/>
              </w:rPr>
              <w:t>Criminal Law Amendment Act 2001</w:t>
            </w:r>
            <w:r>
              <w:t xml:space="preserve"> s. 10(4)</w:t>
            </w:r>
          </w:p>
        </w:tc>
        <w:tc>
          <w:tcPr>
            <w:tcW w:w="1134" w:type="dxa"/>
          </w:tcPr>
          <w:p>
            <w:pPr>
              <w:pStyle w:val="nTable"/>
              <w:keepNext/>
              <w:keepLines/>
              <w:spacing w:after="40"/>
            </w:pPr>
            <w:r>
              <w:t>23 of 2001</w:t>
            </w:r>
          </w:p>
        </w:tc>
        <w:tc>
          <w:tcPr>
            <w:tcW w:w="1136" w:type="dxa"/>
          </w:tcPr>
          <w:p>
            <w:pPr>
              <w:pStyle w:val="nTable"/>
              <w:keepNext/>
              <w:keepLines/>
              <w:spacing w:after="40"/>
            </w:pPr>
            <w:r>
              <w:t>26 Nov 2001</w:t>
            </w:r>
          </w:p>
        </w:tc>
        <w:tc>
          <w:tcPr>
            <w:tcW w:w="2551" w:type="dxa"/>
          </w:tcPr>
          <w:p>
            <w:pPr>
              <w:pStyle w:val="nTable"/>
              <w:keepNext/>
              <w:keepLines/>
              <w:spacing w:after="40"/>
            </w:pPr>
            <w:r>
              <w:t>24 Dec 2001</w:t>
            </w:r>
          </w:p>
        </w:tc>
      </w:tr>
      <w:tr>
        <w:trPr>
          <w:cantSplit/>
        </w:trPr>
        <w:tc>
          <w:tcPr>
            <w:tcW w:w="2268" w:type="dxa"/>
          </w:tcPr>
          <w:p>
            <w:pPr>
              <w:pStyle w:val="nTable"/>
              <w:spacing w:after="40"/>
              <w:ind w:right="113"/>
              <w:rPr>
                <w:i/>
              </w:rPr>
            </w:pPr>
            <w:r>
              <w:rPr>
                <w:i/>
              </w:rPr>
              <w:t xml:space="preserve">Sentencing Legislation Amendment and Repeal Act 2003 </w:t>
            </w:r>
            <w:r>
              <w:t>s. 29(3) and 104</w:t>
            </w:r>
          </w:p>
        </w:tc>
        <w:tc>
          <w:tcPr>
            <w:tcW w:w="1134" w:type="dxa"/>
          </w:tcPr>
          <w:p>
            <w:pPr>
              <w:pStyle w:val="nTable"/>
              <w:keepNext/>
              <w:keepLines/>
              <w:spacing w:after="40"/>
            </w:pPr>
            <w:r>
              <w:t>50 of 2003</w:t>
            </w:r>
          </w:p>
        </w:tc>
        <w:tc>
          <w:tcPr>
            <w:tcW w:w="1136" w:type="dxa"/>
          </w:tcPr>
          <w:p>
            <w:pPr>
              <w:pStyle w:val="nTable"/>
              <w:keepNext/>
              <w:keepLines/>
              <w:spacing w:after="40"/>
            </w:pPr>
            <w:r>
              <w:t>9 Jul 2003</w:t>
            </w:r>
          </w:p>
        </w:tc>
        <w:tc>
          <w:tcPr>
            <w:tcW w:w="2551" w:type="dxa"/>
          </w:tcPr>
          <w:p>
            <w:pPr>
              <w:pStyle w:val="nTable"/>
              <w:keepNext/>
              <w:keepLines/>
              <w:spacing w:after="40"/>
              <w:rPr>
                <w:rFonts w:ascii="Times" w:hAnsi="Times"/>
                <w:spacing w:val="-4"/>
              </w:rPr>
            </w:pPr>
            <w:r>
              <w:rPr>
                <w:rFonts w:ascii="Times" w:hAnsi="Times"/>
                <w:spacing w:val="-4"/>
              </w:rPr>
              <w:t xml:space="preserve">s. 29(3): 31 Aug 2003 (see s. 2 and </w:t>
            </w:r>
            <w:r>
              <w:rPr>
                <w:rFonts w:ascii="Times" w:hAnsi="Times"/>
                <w:i/>
                <w:spacing w:val="-4"/>
              </w:rPr>
              <w:t>Gazette</w:t>
            </w:r>
            <w:r>
              <w:rPr>
                <w:rFonts w:ascii="Times" w:hAnsi="Times"/>
                <w:spacing w:val="-4"/>
              </w:rPr>
              <w:t xml:space="preserve"> 29 Aug 2003 p. 3833);</w:t>
            </w:r>
            <w:r>
              <w:rPr>
                <w:rFonts w:ascii="Times" w:hAnsi="Times"/>
                <w:spacing w:val="-4"/>
              </w:rPr>
              <w:br/>
              <w:t>s. 104: 15</w:t>
            </w:r>
            <w:r>
              <w:rPr>
                <w:rFonts w:ascii="Times" w:hAnsi="Times"/>
                <w:i/>
                <w:spacing w:val="-4"/>
              </w:rPr>
              <w:t> </w:t>
            </w:r>
            <w:r>
              <w:rPr>
                <w:rFonts w:ascii="Times" w:hAnsi="Times"/>
                <w:spacing w:val="-4"/>
              </w:rPr>
              <w:t>May 2004 (see s. 2 and</w:t>
            </w:r>
            <w:r>
              <w:rPr>
                <w:rFonts w:ascii="Times" w:hAnsi="Times"/>
                <w:i/>
                <w:spacing w:val="-4"/>
              </w:rPr>
              <w:t xml:space="preserve"> Gazette </w:t>
            </w:r>
            <w:r>
              <w:rPr>
                <w:rFonts w:ascii="Times" w:hAnsi="Times"/>
                <w:spacing w:val="-4"/>
              </w:rPr>
              <w:t>14 May 2004 p. 1445)</w:t>
            </w:r>
          </w:p>
        </w:tc>
      </w:tr>
      <w:tr>
        <w:trPr>
          <w:cantSplit/>
        </w:trPr>
        <w:tc>
          <w:tcPr>
            <w:tcW w:w="2268" w:type="dxa"/>
          </w:tcPr>
          <w:p>
            <w:pPr>
              <w:pStyle w:val="nTable"/>
              <w:spacing w:after="40"/>
              <w:ind w:right="113"/>
            </w:pPr>
            <w:r>
              <w:rPr>
                <w:i/>
              </w:rPr>
              <w:t>Acts Amendment and Repeal (Courts and Legal Practice) Act 2003</w:t>
            </w:r>
            <w:r>
              <w:t xml:space="preserve"> s. 73</w:t>
            </w:r>
          </w:p>
        </w:tc>
        <w:tc>
          <w:tcPr>
            <w:tcW w:w="1134" w:type="dxa"/>
          </w:tcPr>
          <w:p>
            <w:pPr>
              <w:pStyle w:val="nTable"/>
              <w:keepNext/>
              <w:keepLines/>
              <w:spacing w:after="40"/>
            </w:pPr>
            <w:r>
              <w:t>65 of 2003</w:t>
            </w:r>
          </w:p>
        </w:tc>
        <w:tc>
          <w:tcPr>
            <w:tcW w:w="1136" w:type="dxa"/>
          </w:tcPr>
          <w:p>
            <w:pPr>
              <w:pStyle w:val="nTable"/>
              <w:keepNext/>
              <w:keepLines/>
              <w:spacing w:after="40"/>
            </w:pPr>
            <w:r>
              <w:t>4 Dec 2003</w:t>
            </w:r>
          </w:p>
        </w:tc>
        <w:tc>
          <w:tcPr>
            <w:tcW w:w="2551" w:type="dxa"/>
          </w:tcPr>
          <w:p>
            <w:pPr>
              <w:pStyle w:val="nTable"/>
              <w:keepNext/>
              <w:keepLines/>
              <w:spacing w:after="40"/>
            </w:pPr>
            <w:r>
              <w:t xml:space="preserve">1 Jan 2004 (see s. 2 and </w:t>
            </w:r>
            <w:r>
              <w:rPr>
                <w:i/>
              </w:rPr>
              <w:t>Gazette</w:t>
            </w:r>
            <w:r>
              <w:t xml:space="preserve"> 30 Dec 2003 p. 5722)</w:t>
            </w:r>
          </w:p>
        </w:tc>
      </w:tr>
      <w:tr>
        <w:tc>
          <w:tcPr>
            <w:tcW w:w="2268" w:type="dxa"/>
          </w:tcPr>
          <w:p>
            <w:pPr>
              <w:pStyle w:val="nTable"/>
              <w:spacing w:after="40"/>
              <w:ind w:right="113"/>
              <w:rPr>
                <w:vertAlign w:val="superscript"/>
              </w:rPr>
            </w:pPr>
            <w:r>
              <w:rPr>
                <w:i/>
              </w:rPr>
              <w:t xml:space="preserve">Inspector of Custodial </w:t>
            </w:r>
            <w:r>
              <w:rPr>
                <w:i/>
                <w:spacing w:val="-2"/>
              </w:rPr>
              <w:t>Services Act 2003</w:t>
            </w:r>
            <w:r>
              <w:rPr>
                <w:spacing w:val="-2"/>
              </w:rPr>
              <w:t xml:space="preserve"> s. 56(1) </w:t>
            </w:r>
            <w:r>
              <w:rPr>
                <w:spacing w:val="-2"/>
                <w:vertAlign w:val="superscript"/>
              </w:rPr>
              <w:t>9</w:t>
            </w:r>
          </w:p>
        </w:tc>
        <w:tc>
          <w:tcPr>
            <w:tcW w:w="1134" w:type="dxa"/>
          </w:tcPr>
          <w:p>
            <w:pPr>
              <w:pStyle w:val="nTable"/>
              <w:keepNext/>
              <w:keepLines/>
              <w:spacing w:after="40"/>
            </w:pPr>
            <w:r>
              <w:t>75 of 2003</w:t>
            </w:r>
          </w:p>
        </w:tc>
        <w:tc>
          <w:tcPr>
            <w:tcW w:w="1136" w:type="dxa"/>
          </w:tcPr>
          <w:p>
            <w:pPr>
              <w:pStyle w:val="nTable"/>
              <w:keepNext/>
              <w:keepLines/>
              <w:spacing w:after="40"/>
            </w:pPr>
            <w:r>
              <w:t>15 Dec 2003</w:t>
            </w:r>
          </w:p>
        </w:tc>
        <w:tc>
          <w:tcPr>
            <w:tcW w:w="2551" w:type="dxa"/>
          </w:tcPr>
          <w:p>
            <w:pPr>
              <w:pStyle w:val="nTable"/>
              <w:keepNext/>
              <w:keepLines/>
              <w:spacing w:after="40"/>
            </w:pPr>
            <w:r>
              <w:t>15 Dec 2003 (see s. 2)</w:t>
            </w:r>
          </w:p>
        </w:tc>
      </w:tr>
      <w:tr>
        <w:trPr>
          <w:cantSplit/>
        </w:trPr>
        <w:tc>
          <w:tcPr>
            <w:tcW w:w="2268" w:type="dxa"/>
          </w:tcPr>
          <w:p>
            <w:pPr>
              <w:pStyle w:val="nTable"/>
              <w:spacing w:after="40"/>
              <w:ind w:right="113"/>
              <w:rPr>
                <w:vertAlign w:val="superscript"/>
              </w:rPr>
            </w:pPr>
            <w:r>
              <w:rPr>
                <w:i/>
              </w:rPr>
              <w:t xml:space="preserve">Criminal Code Amendment Act 2004 </w:t>
            </w:r>
            <w:r>
              <w:t>s. 24 and 26</w:t>
            </w:r>
          </w:p>
        </w:tc>
        <w:tc>
          <w:tcPr>
            <w:tcW w:w="1134" w:type="dxa"/>
          </w:tcPr>
          <w:p>
            <w:pPr>
              <w:pStyle w:val="nTable"/>
              <w:keepNext/>
              <w:keepLines/>
              <w:spacing w:after="40"/>
            </w:pPr>
            <w:r>
              <w:t>4 of 2004</w:t>
            </w:r>
          </w:p>
        </w:tc>
        <w:tc>
          <w:tcPr>
            <w:tcW w:w="1136" w:type="dxa"/>
          </w:tcPr>
          <w:p>
            <w:pPr>
              <w:pStyle w:val="nTable"/>
              <w:keepNext/>
              <w:keepLines/>
              <w:spacing w:after="40"/>
            </w:pPr>
            <w:r>
              <w:t>23 Apr 2004</w:t>
            </w:r>
          </w:p>
        </w:tc>
        <w:tc>
          <w:tcPr>
            <w:tcW w:w="2551" w:type="dxa"/>
          </w:tcPr>
          <w:p>
            <w:pPr>
              <w:pStyle w:val="nTable"/>
              <w:keepNext/>
              <w:keepLines/>
              <w:spacing w:after="40"/>
            </w:pPr>
            <w:r>
              <w:t>21 May 2004 (see s. 2)</w:t>
            </w:r>
          </w:p>
        </w:tc>
      </w:tr>
      <w:tr>
        <w:trPr>
          <w:cantSplit/>
        </w:trPr>
        <w:tc>
          <w:tcPr>
            <w:tcW w:w="2268" w:type="dxa"/>
          </w:tcPr>
          <w:p>
            <w:pPr>
              <w:pStyle w:val="nTable"/>
              <w:spacing w:after="40"/>
              <w:ind w:right="113"/>
              <w:rPr>
                <w:i/>
              </w:rPr>
            </w:pPr>
            <w:r>
              <w:rPr>
                <w:i/>
              </w:rPr>
              <w:t>Sentencing Legislation Amendment Act 2004</w:t>
            </w:r>
            <w:r>
              <w:t xml:space="preserve"> s. 17</w:t>
            </w:r>
            <w:r>
              <w:rPr>
                <w:i/>
              </w:rPr>
              <w:t xml:space="preserve"> </w:t>
            </w:r>
          </w:p>
        </w:tc>
        <w:tc>
          <w:tcPr>
            <w:tcW w:w="1134" w:type="dxa"/>
          </w:tcPr>
          <w:p>
            <w:pPr>
              <w:pStyle w:val="nTable"/>
              <w:keepNext/>
              <w:keepLines/>
              <w:spacing w:after="40"/>
            </w:pPr>
            <w:r>
              <w:t>27 of 2004</w:t>
            </w:r>
          </w:p>
        </w:tc>
        <w:tc>
          <w:tcPr>
            <w:tcW w:w="1136" w:type="dxa"/>
          </w:tcPr>
          <w:p>
            <w:pPr>
              <w:pStyle w:val="nTable"/>
              <w:keepNext/>
              <w:keepLines/>
              <w:spacing w:after="40"/>
            </w:pPr>
            <w:r>
              <w:t>14 Oct 2004</w:t>
            </w:r>
          </w:p>
        </w:tc>
        <w:tc>
          <w:tcPr>
            <w:tcW w:w="2551" w:type="dxa"/>
          </w:tcPr>
          <w:p>
            <w:pPr>
              <w:pStyle w:val="nTable"/>
              <w:keepNext/>
              <w:keepLines/>
              <w:spacing w:after="40"/>
            </w:pPr>
            <w:r>
              <w:t xml:space="preserve">31 May 2006 (see s. 2 and </w:t>
            </w:r>
            <w:r>
              <w:rPr>
                <w:i/>
              </w:rPr>
              <w:t>Gazette</w:t>
            </w:r>
            <w:r>
              <w:t xml:space="preserve"> 30 May 2006 p. 1965)</w:t>
            </w:r>
          </w:p>
        </w:tc>
      </w:tr>
      <w:tr>
        <w:trPr>
          <w:cantSplit/>
        </w:trPr>
        <w:tc>
          <w:tcPr>
            <w:tcW w:w="2268" w:type="dxa"/>
          </w:tcPr>
          <w:p>
            <w:pPr>
              <w:pStyle w:val="nTable"/>
              <w:spacing w:after="40"/>
              <w:ind w:right="113"/>
              <w:rPr>
                <w:i/>
              </w:rPr>
            </w:pPr>
            <w:r>
              <w:rPr>
                <w:i/>
                <w:snapToGrid w:val="0"/>
              </w:rPr>
              <w:t>Children and Community Services Act 2004</w:t>
            </w:r>
            <w:r>
              <w:rPr>
                <w:snapToGrid w:val="0"/>
              </w:rPr>
              <w:t xml:space="preserve"> s. 251</w:t>
            </w:r>
          </w:p>
        </w:tc>
        <w:tc>
          <w:tcPr>
            <w:tcW w:w="1134" w:type="dxa"/>
          </w:tcPr>
          <w:p>
            <w:pPr>
              <w:pStyle w:val="nTable"/>
              <w:keepNext/>
              <w:keepLines/>
              <w:spacing w:after="40"/>
            </w:pPr>
            <w:r>
              <w:rPr>
                <w:snapToGrid w:val="0"/>
              </w:rPr>
              <w:t>34 of 2004</w:t>
            </w:r>
          </w:p>
        </w:tc>
        <w:tc>
          <w:tcPr>
            <w:tcW w:w="1136" w:type="dxa"/>
          </w:tcPr>
          <w:p>
            <w:pPr>
              <w:pStyle w:val="nTable"/>
              <w:keepNext/>
              <w:keepLines/>
              <w:spacing w:after="40"/>
            </w:pPr>
            <w:r>
              <w:t>20 Oct 2004</w:t>
            </w:r>
          </w:p>
        </w:tc>
        <w:tc>
          <w:tcPr>
            <w:tcW w:w="2551" w:type="dxa"/>
          </w:tcPr>
          <w:p>
            <w:pPr>
              <w:pStyle w:val="nTable"/>
              <w:keepNext/>
              <w:keepLines/>
              <w:spacing w:after="40"/>
            </w:pPr>
            <w:r>
              <w:t xml:space="preserve">1 Mar 2006 (see s. 2 and </w:t>
            </w:r>
            <w:r>
              <w:rPr>
                <w:i/>
              </w:rPr>
              <w:t>Gazette</w:t>
            </w:r>
            <w:r>
              <w:t xml:space="preserve"> 14 Feb 2006 p. 695)</w:t>
            </w:r>
          </w:p>
        </w:tc>
      </w:tr>
      <w:tr>
        <w:trPr>
          <w:cantSplit/>
        </w:trPr>
        <w:tc>
          <w:tcPr>
            <w:tcW w:w="2268" w:type="dxa"/>
          </w:tcPr>
          <w:p>
            <w:pPr>
              <w:pStyle w:val="nTable"/>
              <w:spacing w:after="40"/>
              <w:rPr>
                <w:i/>
                <w:snapToGrid w:val="0"/>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6" w:type="dxa"/>
          </w:tcPr>
          <w:p>
            <w:pPr>
              <w:pStyle w:val="nTable"/>
              <w:spacing w:after="40"/>
            </w:pPr>
            <w:r>
              <w:t>9 Nov 2004</w:t>
            </w:r>
          </w:p>
        </w:tc>
        <w:tc>
          <w:tcPr>
            <w:tcW w:w="2551" w:type="dxa"/>
          </w:tcPr>
          <w:p>
            <w:pPr>
              <w:pStyle w:val="nTable"/>
              <w:spacing w:after="40"/>
              <w:rPr>
                <w:snapToGrid w:val="0"/>
              </w:rPr>
            </w:pPr>
            <w:r>
              <w:t xml:space="preserve">4 Jan 2005 (see s. 2 and </w:t>
            </w:r>
            <w:r>
              <w:rPr>
                <w:i/>
              </w:rPr>
              <w:t>Gazette</w:t>
            </w:r>
            <w:r>
              <w:t xml:space="preserve"> 31 Dec 2004 p. 7131)</w:t>
            </w:r>
          </w:p>
        </w:tc>
      </w:tr>
      <w:tr>
        <w:tc>
          <w:tcPr>
            <w:tcW w:w="2268" w:type="dxa"/>
          </w:tcPr>
          <w:p>
            <w:pPr>
              <w:pStyle w:val="nTable"/>
              <w:spacing w:after="40"/>
              <w:ind w:right="113"/>
            </w:pPr>
            <w:r>
              <w:rPr>
                <w:i/>
              </w:rPr>
              <w:t>Young Offenders Amendment Act 2004</w:t>
            </w:r>
            <w:r>
              <w:rPr>
                <w:vertAlign w:val="superscript"/>
              </w:rPr>
              <w:t xml:space="preserve"> 10</w:t>
            </w:r>
            <w:r>
              <w:t xml:space="preserve"> </w:t>
            </w:r>
          </w:p>
        </w:tc>
        <w:tc>
          <w:tcPr>
            <w:tcW w:w="1134" w:type="dxa"/>
          </w:tcPr>
          <w:p>
            <w:pPr>
              <w:pStyle w:val="nTable"/>
              <w:keepNext/>
              <w:keepLines/>
              <w:spacing w:after="40"/>
            </w:pPr>
            <w:r>
              <w:t>58 of 2004</w:t>
            </w:r>
          </w:p>
        </w:tc>
        <w:tc>
          <w:tcPr>
            <w:tcW w:w="1136" w:type="dxa"/>
          </w:tcPr>
          <w:p>
            <w:pPr>
              <w:pStyle w:val="nTable"/>
              <w:keepNext/>
              <w:keepLines/>
              <w:spacing w:after="40"/>
            </w:pPr>
            <w:r>
              <w:t>22 Nov 2004</w:t>
            </w:r>
          </w:p>
        </w:tc>
        <w:tc>
          <w:tcPr>
            <w:tcW w:w="2551" w:type="dxa"/>
          </w:tcPr>
          <w:p>
            <w:pPr>
              <w:pStyle w:val="nTable"/>
              <w:keepNext/>
              <w:keepLines/>
              <w:spacing w:after="40"/>
            </w:pPr>
            <w:r>
              <w:t xml:space="preserve">s. 1 and 2: 22 Nov 2004; </w:t>
            </w:r>
            <w:r>
              <w:br/>
            </w:r>
            <w:r>
              <w:rPr>
                <w:color w:val="000000"/>
              </w:rPr>
              <w:t xml:space="preserve">Act other than s. 1, 2, 6, 7 and 40 and Sch. 1: </w:t>
            </w:r>
            <w:r>
              <w:t xml:space="preserve">1 Jan 2005 (see s. 2 and </w:t>
            </w:r>
            <w:r>
              <w:rPr>
                <w:i/>
              </w:rPr>
              <w:t>Gazette</w:t>
            </w:r>
            <w:r>
              <w:t xml:space="preserve"> 31 Dec 2004 p. 7132);</w:t>
            </w:r>
            <w:r>
              <w:br/>
              <w:t xml:space="preserve">s. 6, 7 and 40 and Sch. 1: 1 Jul 2005 (see s. 2 and </w:t>
            </w:r>
            <w:r>
              <w:rPr>
                <w:i/>
              </w:rPr>
              <w:t>Gazette</w:t>
            </w:r>
            <w:r>
              <w:t xml:space="preserve"> 31 Dec 2004 p. 7132)</w:t>
            </w:r>
          </w:p>
        </w:tc>
      </w:tr>
      <w:tr>
        <w:trPr>
          <w:cantSplit/>
        </w:trPr>
        <w:tc>
          <w:tcPr>
            <w:tcW w:w="2268"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keepNext/>
              <w:keepLines/>
              <w:spacing w:after="40"/>
            </w:pPr>
            <w:r>
              <w:rPr>
                <w:snapToGrid w:val="0"/>
              </w:rPr>
              <w:t>59 of 2004</w:t>
            </w:r>
          </w:p>
        </w:tc>
        <w:tc>
          <w:tcPr>
            <w:tcW w:w="1136" w:type="dxa"/>
          </w:tcPr>
          <w:p>
            <w:pPr>
              <w:pStyle w:val="nTable"/>
              <w:keepNext/>
              <w:keepLines/>
              <w:spacing w:after="40"/>
            </w:pPr>
            <w:r>
              <w:t>23 Nov 2004</w:t>
            </w:r>
          </w:p>
        </w:tc>
        <w:tc>
          <w:tcPr>
            <w:tcW w:w="2551" w:type="dxa"/>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ind w:right="113"/>
              <w:rPr>
                <w:i/>
              </w:rPr>
            </w:pPr>
            <w:r>
              <w:rPr>
                <w:i/>
                <w:snapToGrid w:val="0"/>
              </w:rPr>
              <w:t>Misuse of Drugs Amendment Act 2004</w:t>
            </w:r>
            <w:r>
              <w:rPr>
                <w:snapToGrid w:val="0"/>
              </w:rPr>
              <w:t xml:space="preserve"> s. 9(4)</w:t>
            </w:r>
          </w:p>
        </w:tc>
        <w:tc>
          <w:tcPr>
            <w:tcW w:w="1134" w:type="dxa"/>
          </w:tcPr>
          <w:p>
            <w:pPr>
              <w:pStyle w:val="nTable"/>
              <w:keepNext/>
              <w:keepLines/>
              <w:spacing w:after="40"/>
            </w:pPr>
            <w:r>
              <w:rPr>
                <w:snapToGrid w:val="0"/>
              </w:rPr>
              <w:t>62 of 2004</w:t>
            </w:r>
          </w:p>
        </w:tc>
        <w:tc>
          <w:tcPr>
            <w:tcW w:w="1136" w:type="dxa"/>
          </w:tcPr>
          <w:p>
            <w:pPr>
              <w:pStyle w:val="nTable"/>
              <w:keepNext/>
              <w:keepLines/>
              <w:spacing w:after="40"/>
            </w:pPr>
            <w:r>
              <w:t>24 Nov 2004</w:t>
            </w:r>
          </w:p>
        </w:tc>
        <w:tc>
          <w:tcPr>
            <w:tcW w:w="2551" w:type="dxa"/>
          </w:tcPr>
          <w:p>
            <w:pPr>
              <w:pStyle w:val="nTable"/>
              <w:keepNext/>
              <w:keepLines/>
              <w:spacing w:after="40"/>
            </w:pPr>
            <w:r>
              <w:t xml:space="preserve">1 Jan 2005 (see s. 2 and </w:t>
            </w:r>
            <w:r>
              <w:rPr>
                <w:i/>
              </w:rPr>
              <w:t>Gazette</w:t>
            </w:r>
            <w:r>
              <w:t xml:space="preserve"> 10 Dec 2004 p. 5965)</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15, s. 80 and 82</w:t>
            </w:r>
          </w:p>
        </w:tc>
        <w:tc>
          <w:tcPr>
            <w:tcW w:w="1134" w:type="dxa"/>
          </w:tcPr>
          <w:p>
            <w:pPr>
              <w:pStyle w:val="nTable"/>
              <w:keepNext/>
              <w:keepLines/>
              <w:spacing w:after="40"/>
              <w:rPr>
                <w:snapToGrid w:val="0"/>
              </w:rPr>
            </w:pPr>
            <w:r>
              <w:rPr>
                <w:snapToGrid w:val="0"/>
              </w:rPr>
              <w:t>84 of 2004</w:t>
            </w:r>
          </w:p>
        </w:tc>
        <w:tc>
          <w:tcPr>
            <w:tcW w:w="1136" w:type="dxa"/>
          </w:tcPr>
          <w:p>
            <w:pPr>
              <w:pStyle w:val="nTable"/>
              <w:keepNext/>
              <w:keepLines/>
              <w:spacing w:after="40"/>
            </w:pPr>
            <w:r>
              <w:t>16 Dec 2004</w:t>
            </w:r>
          </w:p>
        </w:tc>
        <w:tc>
          <w:tcPr>
            <w:tcW w:w="2551" w:type="dxa"/>
          </w:tcPr>
          <w:p>
            <w:pPr>
              <w:pStyle w:val="nTable"/>
              <w:keepNext/>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9" w:type="dxa"/>
            <w:gridSpan w:val="4"/>
          </w:tcPr>
          <w:p>
            <w:pPr>
              <w:pStyle w:val="nTable"/>
              <w:tabs>
                <w:tab w:val="left" w:pos="5492"/>
              </w:tabs>
              <w:spacing w:after="40"/>
              <w:rPr>
                <w:snapToGrid w:val="0"/>
              </w:rPr>
            </w:pPr>
            <w:r>
              <w:rPr>
                <w:b/>
              </w:rPr>
              <w:t xml:space="preserve">Reprint 3: The </w:t>
            </w:r>
            <w:r>
              <w:rPr>
                <w:b/>
                <w:i/>
              </w:rPr>
              <w:t>Young Offenders Act 1994</w:t>
            </w:r>
            <w:r>
              <w:rPr>
                <w:b/>
              </w:rPr>
              <w:t xml:space="preserve"> as at 15 Jul 2005</w:t>
            </w:r>
            <w:r>
              <w:t xml:space="preserve"> (includes amendments listed above except those in </w:t>
            </w:r>
            <w:r>
              <w:rPr>
                <w:snapToGrid w:val="0"/>
              </w:rPr>
              <w:t xml:space="preserve">the </w:t>
            </w:r>
            <w:r>
              <w:rPr>
                <w:i/>
              </w:rPr>
              <w:t>Sentencing Legislation Amendment Act 2004</w:t>
            </w:r>
            <w:r>
              <w:t xml:space="preserve"> and the </w:t>
            </w:r>
            <w:r>
              <w:rPr>
                <w:i/>
                <w:snapToGrid w:val="0"/>
              </w:rPr>
              <w:t>Children and Community Services Act 2004</w:t>
            </w:r>
            <w:r>
              <w:t>)</w:t>
            </w:r>
          </w:p>
        </w:tc>
      </w:tr>
      <w:tr>
        <w:trPr>
          <w:cantSplit/>
        </w:trPr>
        <w:tc>
          <w:tcPr>
            <w:tcW w:w="2268" w:type="dxa"/>
          </w:tcPr>
          <w:p>
            <w:pPr>
              <w:pStyle w:val="nTable"/>
              <w:spacing w:after="40"/>
              <w:ind w:right="113"/>
              <w:rPr>
                <w:i/>
              </w:rPr>
            </w:pPr>
            <w:r>
              <w:rPr>
                <w:i/>
                <w:snapToGrid w:val="0"/>
              </w:rPr>
              <w:t xml:space="preserve">Parole and Sentencing Legislation Amendment Act 2006 </w:t>
            </w:r>
            <w:r>
              <w:rPr>
                <w:snapToGrid w:val="0"/>
              </w:rPr>
              <w:t>Pt. 5</w:t>
            </w:r>
          </w:p>
        </w:tc>
        <w:tc>
          <w:tcPr>
            <w:tcW w:w="1134" w:type="dxa"/>
          </w:tcPr>
          <w:p>
            <w:pPr>
              <w:pStyle w:val="nTable"/>
              <w:keepNext/>
              <w:keepLines/>
              <w:spacing w:after="40"/>
            </w:pPr>
            <w:r>
              <w:t>41 of 2006</w:t>
            </w:r>
          </w:p>
        </w:tc>
        <w:tc>
          <w:tcPr>
            <w:tcW w:w="1136" w:type="dxa"/>
          </w:tcPr>
          <w:p>
            <w:pPr>
              <w:pStyle w:val="nTable"/>
              <w:keepNext/>
              <w:keepLines/>
              <w:spacing w:after="40"/>
            </w:pPr>
            <w:r>
              <w:t>22 Sep 2006</w:t>
            </w:r>
          </w:p>
        </w:tc>
        <w:tc>
          <w:tcPr>
            <w:tcW w:w="2551" w:type="dxa"/>
          </w:tcPr>
          <w:p>
            <w:pPr>
              <w:pStyle w:val="nTable"/>
              <w:keepNext/>
              <w:keepLines/>
              <w:spacing w:after="40"/>
            </w:pPr>
            <w:r>
              <w:t xml:space="preserve">28 Jan 2007 (see s. 2 and </w:t>
            </w:r>
            <w:r>
              <w:rPr>
                <w:i/>
              </w:rPr>
              <w:t>Gazette</w:t>
            </w:r>
            <w:r>
              <w:t xml:space="preserve"> 29 Dec 2006 p. 5867)</w:t>
            </w:r>
          </w:p>
        </w:tc>
      </w:tr>
      <w:tr>
        <w:trPr>
          <w:cantSplit/>
        </w:trPr>
        <w:tc>
          <w:tcPr>
            <w:tcW w:w="2268" w:type="dxa"/>
          </w:tcPr>
          <w:p>
            <w:pPr>
              <w:pStyle w:val="nTable"/>
              <w:spacing w:after="40"/>
              <w:ind w:right="113"/>
              <w:rPr>
                <w:i/>
                <w:snapToGrid w:val="0"/>
              </w:rPr>
            </w:pPr>
            <w:r>
              <w:rPr>
                <w:i/>
                <w:snapToGrid w:val="0"/>
              </w:rPr>
              <w:t>Prisons and Sentencing Legislation Amendment Act 2006</w:t>
            </w:r>
            <w:r>
              <w:rPr>
                <w:snapToGrid w:val="0"/>
              </w:rPr>
              <w:t> Pt. 13</w:t>
            </w:r>
          </w:p>
        </w:tc>
        <w:tc>
          <w:tcPr>
            <w:tcW w:w="1134" w:type="dxa"/>
          </w:tcPr>
          <w:p>
            <w:pPr>
              <w:pStyle w:val="nTable"/>
              <w:keepNext/>
              <w:keepLines/>
              <w:spacing w:after="40"/>
            </w:pPr>
            <w:r>
              <w:rPr>
                <w:snapToGrid w:val="0"/>
              </w:rPr>
              <w:t>65 of 2006</w:t>
            </w:r>
          </w:p>
        </w:tc>
        <w:tc>
          <w:tcPr>
            <w:tcW w:w="1136" w:type="dxa"/>
          </w:tcPr>
          <w:p>
            <w:pPr>
              <w:pStyle w:val="nTable"/>
              <w:keepNext/>
              <w:keepLines/>
              <w:spacing w:after="40"/>
            </w:pPr>
            <w:r>
              <w:rPr>
                <w:snapToGrid w:val="0"/>
              </w:rPr>
              <w:t>8 Dec 2006</w:t>
            </w:r>
          </w:p>
        </w:tc>
        <w:tc>
          <w:tcPr>
            <w:tcW w:w="2551" w:type="dxa"/>
          </w:tcPr>
          <w:p>
            <w:pPr>
              <w:pStyle w:val="nTable"/>
              <w:keepNext/>
              <w:keepLines/>
              <w:spacing w:after="40"/>
            </w:pPr>
            <w:r>
              <w:rPr>
                <w:snapToGrid w:val="0"/>
                <w:spacing w:val="-2"/>
              </w:rPr>
              <w:t xml:space="preserve">4 Apr 2007 (see s. 2 and </w:t>
            </w:r>
            <w:r>
              <w:rPr>
                <w:i/>
                <w:snapToGrid w:val="0"/>
                <w:spacing w:val="-2"/>
              </w:rPr>
              <w:t>Gazette</w:t>
            </w:r>
            <w:r>
              <w:rPr>
                <w:snapToGrid w:val="0"/>
                <w:spacing w:val="-2"/>
              </w:rPr>
              <w:t xml:space="preserve"> 3 Apr 2007 p. 1491)</w:t>
            </w:r>
          </w:p>
        </w:tc>
      </w:tr>
      <w:tr>
        <w:trPr>
          <w:cantSplit/>
        </w:trPr>
        <w:tc>
          <w:tcPr>
            <w:tcW w:w="2268" w:type="dxa"/>
          </w:tcPr>
          <w:p>
            <w:pPr>
              <w:pStyle w:val="nTable"/>
              <w:spacing w:after="40"/>
              <w:ind w:right="113"/>
              <w:rPr>
                <w:iCs/>
                <w:snapToGrid w:val="0"/>
              </w:rPr>
            </w:pPr>
            <w:r>
              <w:rPr>
                <w:i/>
                <w:snapToGrid w:val="0"/>
              </w:rPr>
              <w:t>Road Traffic Amendment (Drugs) Act 2007</w:t>
            </w:r>
            <w:r>
              <w:rPr>
                <w:iCs/>
                <w:snapToGrid w:val="0"/>
              </w:rPr>
              <w:t xml:space="preserve"> Pt. 3</w:t>
            </w:r>
          </w:p>
        </w:tc>
        <w:tc>
          <w:tcPr>
            <w:tcW w:w="1134" w:type="dxa"/>
          </w:tcPr>
          <w:p>
            <w:pPr>
              <w:pStyle w:val="nTable"/>
              <w:keepNext/>
              <w:keepLines/>
              <w:spacing w:after="40"/>
              <w:rPr>
                <w:snapToGrid w:val="0"/>
              </w:rPr>
            </w:pPr>
            <w:r>
              <w:rPr>
                <w:snapToGrid w:val="0"/>
              </w:rPr>
              <w:t>6 of 2007</w:t>
            </w:r>
          </w:p>
        </w:tc>
        <w:tc>
          <w:tcPr>
            <w:tcW w:w="1136" w:type="dxa"/>
          </w:tcPr>
          <w:p>
            <w:pPr>
              <w:pStyle w:val="nTable"/>
              <w:keepNext/>
              <w:keepLines/>
              <w:spacing w:after="40"/>
              <w:rPr>
                <w:snapToGrid w:val="0"/>
              </w:rPr>
            </w:pPr>
            <w:r>
              <w:rPr>
                <w:snapToGrid w:val="0"/>
              </w:rPr>
              <w:t>23 May 2007</w:t>
            </w:r>
          </w:p>
        </w:tc>
        <w:tc>
          <w:tcPr>
            <w:tcW w:w="2551" w:type="dxa"/>
          </w:tcPr>
          <w:p>
            <w:pPr>
              <w:pStyle w:val="nTable"/>
              <w:keepNext/>
              <w:keepLines/>
              <w:spacing w:after="40"/>
              <w:rPr>
                <w:snapToGrid w:val="0"/>
                <w:spacing w:val="-2"/>
              </w:rPr>
            </w:pPr>
            <w:r>
              <w:rPr>
                <w:snapToGrid w:val="0"/>
                <w:spacing w:val="-2"/>
              </w:rPr>
              <w:t xml:space="preserve">12 Oct 2007 (see s. 2 and </w:t>
            </w:r>
            <w:r>
              <w:rPr>
                <w:i/>
                <w:iCs/>
                <w:snapToGrid w:val="0"/>
                <w:spacing w:val="-2"/>
              </w:rPr>
              <w:t>Gazette</w:t>
            </w:r>
            <w:r>
              <w:rPr>
                <w:snapToGrid w:val="0"/>
                <w:spacing w:val="-2"/>
              </w:rPr>
              <w:t xml:space="preserve"> 11 Oct 2007 p. 5475)</w:t>
            </w:r>
          </w:p>
        </w:tc>
      </w:tr>
      <w:tr>
        <w:trPr>
          <w:cantSplit/>
        </w:trPr>
        <w:tc>
          <w:tcPr>
            <w:tcW w:w="2268" w:type="dxa"/>
          </w:tcPr>
          <w:p>
            <w:pPr>
              <w:pStyle w:val="nTable"/>
              <w:spacing w:after="40"/>
              <w:ind w:right="113"/>
              <w:rPr>
                <w:iCs/>
                <w:snapToGrid w:val="0"/>
              </w:rPr>
            </w:pPr>
            <w:r>
              <w:rPr>
                <w:i/>
                <w:snapToGrid w:val="0"/>
              </w:rPr>
              <w:t>Road Traffic Amendment Act (No. 2) 2007</w:t>
            </w:r>
            <w:r>
              <w:rPr>
                <w:iCs/>
                <w:snapToGrid w:val="0"/>
              </w:rPr>
              <w:t xml:space="preserve"> Pt. 3</w:t>
            </w:r>
          </w:p>
        </w:tc>
        <w:tc>
          <w:tcPr>
            <w:tcW w:w="1134" w:type="dxa"/>
          </w:tcPr>
          <w:p>
            <w:pPr>
              <w:pStyle w:val="nTable"/>
              <w:keepNext/>
              <w:keepLines/>
              <w:spacing w:after="40"/>
              <w:rPr>
                <w:snapToGrid w:val="0"/>
              </w:rPr>
            </w:pPr>
            <w:r>
              <w:rPr>
                <w:snapToGrid w:val="0"/>
              </w:rPr>
              <w:t>39 of 2007</w:t>
            </w:r>
          </w:p>
        </w:tc>
        <w:tc>
          <w:tcPr>
            <w:tcW w:w="1136" w:type="dxa"/>
          </w:tcPr>
          <w:p>
            <w:pPr>
              <w:pStyle w:val="nTable"/>
              <w:keepNext/>
              <w:keepLines/>
              <w:spacing w:after="40"/>
              <w:rPr>
                <w:snapToGrid w:val="0"/>
              </w:rPr>
            </w:pPr>
            <w:r>
              <w:rPr>
                <w:snapToGrid w:val="0"/>
              </w:rPr>
              <w:t>21 Dec 2007</w:t>
            </w:r>
          </w:p>
        </w:tc>
        <w:tc>
          <w:tcPr>
            <w:tcW w:w="2551" w:type="dxa"/>
          </w:tcPr>
          <w:p>
            <w:pPr>
              <w:pStyle w:val="nTable"/>
              <w:keepNext/>
              <w:keepLines/>
              <w:spacing w:after="40"/>
              <w:rPr>
                <w:snapToGrid w:val="0"/>
                <w:spacing w:val="-2"/>
              </w:rPr>
            </w:pPr>
            <w:r>
              <w:rPr>
                <w:snapToGrid w:val="0"/>
                <w:spacing w:val="-2"/>
              </w:rPr>
              <w:t xml:space="preserve">15 Mar 2008 (see s. 2(k) and </w:t>
            </w:r>
            <w:r>
              <w:rPr>
                <w:i/>
                <w:iCs/>
                <w:snapToGrid w:val="0"/>
                <w:spacing w:val="-2"/>
              </w:rPr>
              <w:t>Gazette</w:t>
            </w:r>
            <w:r>
              <w:rPr>
                <w:snapToGrid w:val="0"/>
                <w:spacing w:val="-2"/>
              </w:rPr>
              <w:t xml:space="preserve"> 14 Mar 2008 p. 829)</w:t>
            </w:r>
          </w:p>
        </w:tc>
      </w:tr>
      <w:tr>
        <w:trPr>
          <w:cantSplit/>
        </w:trPr>
        <w:tc>
          <w:tcPr>
            <w:tcW w:w="2268" w:type="dxa"/>
          </w:tcPr>
          <w:p>
            <w:pPr>
              <w:pStyle w:val="nTable"/>
              <w:spacing w:after="40"/>
              <w:ind w:right="113"/>
              <w:rPr>
                <w:i/>
                <w:snapToGrid w:val="0"/>
              </w:rPr>
            </w:pPr>
            <w:r>
              <w:rPr>
                <w:i/>
                <w:iCs/>
              </w:rPr>
              <w:t>Acts Amendment (Justice) Act 2008</w:t>
            </w:r>
            <w:r>
              <w:t xml:space="preserve"> s. 132 </w:t>
            </w:r>
          </w:p>
        </w:tc>
        <w:tc>
          <w:tcPr>
            <w:tcW w:w="1134" w:type="dxa"/>
          </w:tcPr>
          <w:p>
            <w:pPr>
              <w:pStyle w:val="nTable"/>
              <w:keepNext/>
              <w:keepLines/>
              <w:spacing w:after="40"/>
              <w:rPr>
                <w:snapToGrid w:val="0"/>
              </w:rPr>
            </w:pPr>
            <w:r>
              <w:t>5 of 2008</w:t>
            </w:r>
          </w:p>
        </w:tc>
        <w:tc>
          <w:tcPr>
            <w:tcW w:w="1136" w:type="dxa"/>
          </w:tcPr>
          <w:p>
            <w:pPr>
              <w:pStyle w:val="nTable"/>
              <w:keepNext/>
              <w:keepLines/>
              <w:spacing w:after="40"/>
              <w:rPr>
                <w:snapToGrid w:val="0"/>
              </w:rPr>
            </w:pPr>
            <w:r>
              <w:t>31 Mar 2008</w:t>
            </w:r>
          </w:p>
        </w:tc>
        <w:tc>
          <w:tcPr>
            <w:tcW w:w="2551" w:type="dxa"/>
          </w:tcPr>
          <w:p>
            <w:pPr>
              <w:pStyle w:val="nTable"/>
              <w:keepNext/>
              <w:keepLines/>
              <w:spacing w:after="40"/>
              <w:rPr>
                <w:snapToGrid w:val="0"/>
                <w:spacing w:val="-2"/>
              </w:rPr>
            </w:pPr>
            <w:r>
              <w:rPr>
                <w:snapToGrid w:val="0"/>
              </w:rPr>
              <w:t xml:space="preserve">31 Jul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right="113"/>
              <w:rPr>
                <w:i/>
                <w:iCs/>
              </w:rPr>
            </w:pPr>
            <w:r>
              <w:rPr>
                <w:i/>
                <w:iCs/>
              </w:rPr>
              <w:t xml:space="preserve">Parental Support and Responsibility Act 2008 </w:t>
            </w:r>
            <w:r>
              <w:t>Pt. 7 Div. 2</w:t>
            </w:r>
          </w:p>
        </w:tc>
        <w:tc>
          <w:tcPr>
            <w:tcW w:w="1134" w:type="dxa"/>
          </w:tcPr>
          <w:p>
            <w:pPr>
              <w:pStyle w:val="nTable"/>
              <w:keepNext/>
              <w:keepLines/>
              <w:spacing w:after="40"/>
            </w:pPr>
            <w:r>
              <w:t>14 of 2008</w:t>
            </w:r>
          </w:p>
        </w:tc>
        <w:tc>
          <w:tcPr>
            <w:tcW w:w="1136" w:type="dxa"/>
          </w:tcPr>
          <w:p>
            <w:pPr>
              <w:pStyle w:val="nTable"/>
              <w:keepNext/>
              <w:keepLines/>
              <w:spacing w:after="40"/>
            </w:pPr>
            <w:r>
              <w:t>15 Apr 2008</w:t>
            </w:r>
          </w:p>
        </w:tc>
        <w:tc>
          <w:tcPr>
            <w:tcW w:w="2551" w:type="dxa"/>
          </w:tcPr>
          <w:p>
            <w:pPr>
              <w:pStyle w:val="nTable"/>
              <w:keepNext/>
              <w:keepLines/>
              <w:spacing w:after="40"/>
              <w:rPr>
                <w:snapToGrid w:val="0"/>
              </w:rPr>
            </w:pPr>
            <w:r>
              <w:rPr>
                <w:snapToGrid w:val="0"/>
              </w:rPr>
              <w:t xml:space="preserve">28 Mar 2009 (see s. 2 and </w:t>
            </w:r>
            <w:r>
              <w:rPr>
                <w:i/>
                <w:iCs/>
                <w:snapToGrid w:val="0"/>
              </w:rPr>
              <w:t>Gazette</w:t>
            </w:r>
            <w:r>
              <w:rPr>
                <w:snapToGrid w:val="0"/>
              </w:rPr>
              <w:t xml:space="preserve"> 27 Mar 2009 p. 917)</w:t>
            </w:r>
          </w:p>
        </w:tc>
      </w:tr>
      <w:tr>
        <w:trPr>
          <w:cantSplit/>
        </w:trPr>
        <w:tc>
          <w:tcPr>
            <w:tcW w:w="2268" w:type="dxa"/>
          </w:tcPr>
          <w:p>
            <w:pPr>
              <w:pStyle w:val="nTable"/>
              <w:spacing w:after="40"/>
              <w:ind w:right="113"/>
              <w:rPr>
                <w:i/>
                <w:iCs/>
              </w:rPr>
            </w:pPr>
            <w:r>
              <w:rPr>
                <w:i/>
                <w:iCs/>
                <w:snapToGrid w:val="0"/>
              </w:rPr>
              <w:t xml:space="preserve">Legal Profession Act 2008 </w:t>
            </w:r>
            <w:r>
              <w:rPr>
                <w:snapToGrid w:val="0"/>
              </w:rPr>
              <w:t>s. 714</w:t>
            </w:r>
          </w:p>
        </w:tc>
        <w:tc>
          <w:tcPr>
            <w:tcW w:w="1134" w:type="dxa"/>
          </w:tcPr>
          <w:p>
            <w:pPr>
              <w:pStyle w:val="nTable"/>
              <w:keepNext/>
              <w:keepLines/>
              <w:spacing w:after="40"/>
            </w:pPr>
            <w:r>
              <w:t>21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tcPr>
          <w:p>
            <w:pPr>
              <w:pStyle w:val="nTable"/>
              <w:spacing w:after="40"/>
              <w:ind w:right="113"/>
              <w:rPr>
                <w:i/>
                <w:iCs/>
              </w:rPr>
            </w:pPr>
            <w:r>
              <w:rPr>
                <w:i/>
                <w:snapToGrid w:val="0"/>
              </w:rPr>
              <w:t xml:space="preserve">Medical Practitioners Act 2008 </w:t>
            </w:r>
            <w:r>
              <w:rPr>
                <w:iCs/>
                <w:snapToGrid w:val="0"/>
              </w:rPr>
              <w:t>Sch. 3 cl. 55</w:t>
            </w:r>
          </w:p>
        </w:tc>
        <w:tc>
          <w:tcPr>
            <w:tcW w:w="1134" w:type="dxa"/>
          </w:tcPr>
          <w:p>
            <w:pPr>
              <w:pStyle w:val="nTable"/>
              <w:keepNext/>
              <w:keepLines/>
              <w:spacing w:after="40"/>
            </w:pPr>
            <w:r>
              <w:t>22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t xml:space="preserve">1 Dec 2008 (see s. 2 and </w:t>
            </w:r>
            <w:r>
              <w:rPr>
                <w:i/>
                <w:iCs/>
              </w:rPr>
              <w:t xml:space="preserve">Gazette </w:t>
            </w:r>
            <w:r>
              <w:t>25 Nov 2008 p. 4989)</w:t>
            </w:r>
          </w:p>
        </w:tc>
      </w:tr>
      <w:tr>
        <w:trPr>
          <w:cantSplit/>
        </w:trPr>
        <w:tc>
          <w:tcPr>
            <w:tcW w:w="2268" w:type="dxa"/>
          </w:tcPr>
          <w:p>
            <w:pPr>
              <w:pStyle w:val="nTable"/>
              <w:spacing w:after="40"/>
              <w:ind w:right="113"/>
              <w:rPr>
                <w:i/>
                <w:iCs/>
              </w:rPr>
            </w:pPr>
            <w:r>
              <w:rPr>
                <w:i/>
                <w:snapToGrid w:val="0"/>
              </w:rPr>
              <w:t>Criminal Law Amendment (Homicide) Act 2008</w:t>
            </w:r>
            <w:r>
              <w:rPr>
                <w:iCs/>
                <w:snapToGrid w:val="0"/>
              </w:rPr>
              <w:t xml:space="preserve"> s. 41</w:t>
            </w:r>
          </w:p>
        </w:tc>
        <w:tc>
          <w:tcPr>
            <w:tcW w:w="1134" w:type="dxa"/>
          </w:tcPr>
          <w:p>
            <w:pPr>
              <w:pStyle w:val="nTable"/>
              <w:keepNext/>
              <w:keepLines/>
              <w:spacing w:after="40"/>
            </w:pPr>
            <w:r>
              <w:t>29 of 2008</w:t>
            </w:r>
          </w:p>
        </w:tc>
        <w:tc>
          <w:tcPr>
            <w:tcW w:w="1136"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rPr>
                <w:snapToGrid w:val="0"/>
              </w:rPr>
            </w:pPr>
            <w:r>
              <w:rPr>
                <w:b/>
              </w:rPr>
              <w:t xml:space="preserve">Reprint 4: The </w:t>
            </w:r>
            <w:r>
              <w:rPr>
                <w:b/>
                <w:i/>
              </w:rPr>
              <w:t>Young Offenders Act 1994</w:t>
            </w:r>
            <w:r>
              <w:rPr>
                <w:b/>
              </w:rPr>
              <w:t xml:space="preserve"> as at 2 Jan 2009 </w:t>
            </w:r>
            <w:r>
              <w:t xml:space="preserve">(includes amendments listed above except those in the </w:t>
            </w:r>
            <w:r>
              <w:rPr>
                <w:i/>
                <w:iCs/>
                <w:snapToGrid w:val="0"/>
              </w:rPr>
              <w:t xml:space="preserve">Legal Profession Act 2008 </w:t>
            </w:r>
            <w:r>
              <w:rPr>
                <w:snapToGrid w:val="0"/>
              </w:rPr>
              <w:t xml:space="preserve">and the </w:t>
            </w:r>
            <w:r>
              <w:rPr>
                <w:i/>
                <w:iCs/>
              </w:rPr>
              <w:t>Parental Support and Responsibility Act 2008</w:t>
            </w:r>
            <w:r>
              <w:t>)</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51</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rPr>
              <w:t xml:space="preserve">Cannabis Law Reform Act 2010 </w:t>
            </w:r>
            <w:r>
              <w:t>Pt. 5</w:t>
            </w:r>
          </w:p>
        </w:tc>
        <w:tc>
          <w:tcPr>
            <w:tcW w:w="1134" w:type="dxa"/>
          </w:tcPr>
          <w:p>
            <w:pPr>
              <w:pStyle w:val="nTable"/>
              <w:spacing w:after="40"/>
              <w:rPr>
                <w:snapToGrid w:val="0"/>
              </w:rPr>
            </w:pPr>
            <w:r>
              <w:t>45 of 2010</w:t>
            </w:r>
          </w:p>
        </w:tc>
        <w:tc>
          <w:tcPr>
            <w:tcW w:w="1136" w:type="dxa"/>
          </w:tcPr>
          <w:p>
            <w:pPr>
              <w:pStyle w:val="nTable"/>
              <w:spacing w:after="40"/>
              <w:rPr>
                <w:snapToGrid w:val="0"/>
              </w:rPr>
            </w:pPr>
            <w:r>
              <w:t>28 Oct 2010</w:t>
            </w:r>
          </w:p>
        </w:tc>
        <w:tc>
          <w:tcPr>
            <w:tcW w:w="255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8" w:type="dxa"/>
            <w:shd w:val="clear" w:color="auto" w:fill="auto"/>
          </w:tcPr>
          <w:p>
            <w:pPr>
              <w:pStyle w:val="nTable"/>
              <w:spacing w:after="40"/>
              <w:ind w:right="113"/>
              <w:rPr>
                <w:snapToGrid w:val="0"/>
              </w:rPr>
            </w:pPr>
            <w:r>
              <w:rPr>
                <w:i/>
                <w:snapToGrid w:val="0"/>
              </w:rPr>
              <w:t>Young Offenders Legislation Amendment (Research Information) Act 2011</w:t>
            </w:r>
            <w:r>
              <w:rPr>
                <w:snapToGrid w:val="0"/>
              </w:rPr>
              <w:t xml:space="preserve"> Pt. 3</w:t>
            </w:r>
          </w:p>
        </w:tc>
        <w:tc>
          <w:tcPr>
            <w:tcW w:w="1134" w:type="dxa"/>
            <w:shd w:val="clear" w:color="auto" w:fill="auto"/>
          </w:tcPr>
          <w:p>
            <w:pPr>
              <w:pStyle w:val="nTable"/>
              <w:spacing w:after="40"/>
              <w:rPr>
                <w:snapToGrid w:val="0"/>
              </w:rPr>
            </w:pPr>
            <w:r>
              <w:rPr>
                <w:snapToGrid w:val="0"/>
              </w:rPr>
              <w:t>26 of 2011</w:t>
            </w:r>
          </w:p>
        </w:tc>
        <w:tc>
          <w:tcPr>
            <w:tcW w:w="1136"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12 Jul 2011 (see s. 2(b))</w:t>
            </w:r>
          </w:p>
        </w:tc>
      </w:tr>
      <w:tr>
        <w:trPr>
          <w:cantSplit/>
        </w:trPr>
        <w:tc>
          <w:tcPr>
            <w:tcW w:w="2268" w:type="dxa"/>
            <w:shd w:val="clear" w:color="auto" w:fill="auto"/>
          </w:tcPr>
          <w:p>
            <w:pPr>
              <w:pStyle w:val="nTable"/>
              <w:spacing w:after="40"/>
              <w:ind w:right="113"/>
              <w:rPr>
                <w:i/>
                <w:snapToGrid w:val="0"/>
              </w:rPr>
            </w:pPr>
            <w:r>
              <w:rPr>
                <w:i/>
                <w:iCs/>
                <w:snapToGrid w:val="0"/>
              </w:rPr>
              <w:t xml:space="preserve">Road Traffic Legislation Amendment Act 2012 </w:t>
            </w:r>
            <w:r>
              <w:rPr>
                <w:iCs/>
                <w:snapToGrid w:val="0"/>
              </w:rPr>
              <w:t>Pt. 4 Div. 54</w:t>
            </w:r>
          </w:p>
        </w:tc>
        <w:tc>
          <w:tcPr>
            <w:tcW w:w="1134" w:type="dxa"/>
            <w:shd w:val="clear" w:color="auto" w:fill="auto"/>
          </w:tcPr>
          <w:p>
            <w:pPr>
              <w:pStyle w:val="nTable"/>
              <w:spacing w:after="40"/>
              <w:rPr>
                <w:snapToGrid w:val="0"/>
              </w:rPr>
            </w:pPr>
            <w:r>
              <w:rPr>
                <w:snapToGrid w:val="0"/>
              </w:rPr>
              <w:t>8 of 2012</w:t>
            </w:r>
          </w:p>
        </w:tc>
        <w:tc>
          <w:tcPr>
            <w:tcW w:w="1136"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7089" w:type="dxa"/>
            <w:gridSpan w:val="4"/>
            <w:shd w:val="clear" w:color="auto" w:fill="auto"/>
          </w:tcPr>
          <w:p>
            <w:pPr>
              <w:pStyle w:val="nTable"/>
              <w:spacing w:after="40"/>
              <w:rPr>
                <w:snapToGrid w:val="0"/>
              </w:rPr>
            </w:pPr>
            <w:r>
              <w:rPr>
                <w:b/>
              </w:rPr>
              <w:t xml:space="preserve">Reprint 5: The </w:t>
            </w:r>
            <w:r>
              <w:rPr>
                <w:b/>
                <w:i/>
              </w:rPr>
              <w:t>Young Offenders Act 1994</w:t>
            </w:r>
            <w:r>
              <w:rPr>
                <w:b/>
              </w:rPr>
              <w:t xml:space="preserve"> as at 10 Aug 2012 </w:t>
            </w:r>
            <w:r>
              <w:t xml:space="preserve">(includes amendments listed above except those in the </w:t>
            </w:r>
            <w:r>
              <w:rPr>
                <w:i/>
                <w:snapToGrid w:val="0"/>
              </w:rPr>
              <w:t>Road Traffic Legislation Amendment Act 2012</w:t>
            </w:r>
            <w:r>
              <w:t>)</w:t>
            </w:r>
          </w:p>
        </w:tc>
      </w:tr>
      <w:tr>
        <w:trPr>
          <w:cantSplit/>
        </w:trPr>
        <w:tc>
          <w:tcPr>
            <w:tcW w:w="2268" w:type="dxa"/>
            <w:shd w:val="clear" w:color="auto" w:fill="auto"/>
          </w:tcPr>
          <w:p>
            <w:pPr>
              <w:pStyle w:val="nTable"/>
              <w:spacing w:after="40"/>
              <w:ind w:right="113"/>
              <w:rPr>
                <w:snapToGrid w:val="0"/>
              </w:rPr>
            </w:pPr>
            <w:r>
              <w:rPr>
                <w:i/>
                <w:iCs/>
                <w:snapToGrid w:val="0"/>
              </w:rPr>
              <w:t>Criminal Organisations Control Act 2012</w:t>
            </w:r>
            <w:r>
              <w:rPr>
                <w:iCs/>
                <w:snapToGrid w:val="0"/>
              </w:rPr>
              <w:t xml:space="preserve"> s. 182</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 xml:space="preserve">Gazette </w:t>
            </w:r>
            <w:r>
              <w:rPr>
                <w:snapToGrid w:val="0"/>
              </w:rPr>
              <w:t>1 Nov 2013 p. 4891)</w:t>
            </w:r>
          </w:p>
        </w:tc>
      </w:tr>
      <w:tr>
        <w:trPr>
          <w:cantSplit/>
        </w:trPr>
        <w:tc>
          <w:tcPr>
            <w:tcW w:w="2268" w:type="dxa"/>
            <w:shd w:val="clear" w:color="auto" w:fill="auto"/>
          </w:tcPr>
          <w:p>
            <w:pPr>
              <w:pStyle w:val="nTable"/>
              <w:spacing w:after="40"/>
              <w:ind w:right="113"/>
              <w:rPr>
                <w:i/>
                <w:iCs/>
                <w:snapToGrid w:val="0"/>
              </w:rPr>
            </w:pPr>
            <w:r>
              <w:rPr>
                <w:i/>
              </w:rPr>
              <w:t>Courts and Tribunals (Electronic Processes Facilitation) Act 2013</w:t>
            </w:r>
            <w:r>
              <w:t xml:space="preserve"> Pt. 3 Div. 21</w:t>
            </w:r>
            <w:r>
              <w:rPr>
                <w:vertAlign w:val="superscript"/>
              </w:rPr>
              <w:t> </w:t>
            </w:r>
            <w:r>
              <w:t>(other than s. 138 and 139)</w:t>
            </w:r>
          </w:p>
        </w:tc>
        <w:tc>
          <w:tcPr>
            <w:tcW w:w="1134" w:type="dxa"/>
            <w:shd w:val="clear" w:color="auto" w:fill="auto"/>
          </w:tcPr>
          <w:p>
            <w:pPr>
              <w:pStyle w:val="nTable"/>
              <w:spacing w:after="40"/>
              <w:rPr>
                <w:snapToGrid w:val="0"/>
              </w:rPr>
            </w:pPr>
            <w:r>
              <w:t>20 of 2013</w:t>
            </w:r>
          </w:p>
        </w:tc>
        <w:tc>
          <w:tcPr>
            <w:tcW w:w="1136" w:type="dxa"/>
            <w:shd w:val="clear" w:color="auto" w:fill="auto"/>
          </w:tcPr>
          <w:p>
            <w:pPr>
              <w:pStyle w:val="nTable"/>
              <w:spacing w:after="40"/>
            </w:pPr>
            <w:r>
              <w:t>4 Nov 2013</w:t>
            </w:r>
          </w:p>
        </w:tc>
        <w:tc>
          <w:tcPr>
            <w:tcW w:w="2551"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r>
              <w:rPr>
                <w:i/>
                <w:snapToGrid w:val="0"/>
              </w:rPr>
              <w:t>)</w:t>
            </w:r>
          </w:p>
        </w:tc>
      </w:tr>
      <w:tr>
        <w:trPr>
          <w:cantSplit/>
        </w:trPr>
        <w:tc>
          <w:tcPr>
            <w:tcW w:w="2268" w:type="dxa"/>
            <w:tcBorders>
              <w:bottom w:val="single" w:sz="4" w:space="0" w:color="auto"/>
            </w:tcBorders>
            <w:shd w:val="clear" w:color="auto" w:fill="auto"/>
          </w:tcPr>
          <w:p>
            <w:pPr>
              <w:pStyle w:val="nTable"/>
              <w:spacing w:after="40"/>
              <w:ind w:right="113"/>
              <w:rPr>
                <w:i/>
              </w:rPr>
            </w:pPr>
            <w:r>
              <w:rPr>
                <w:i/>
              </w:rPr>
              <w:t>Declared Places (Mentally Impaired Accused) Act 2015</w:t>
            </w:r>
            <w:r>
              <w:t xml:space="preserve"> s. 89</w:t>
            </w:r>
          </w:p>
        </w:tc>
        <w:tc>
          <w:tcPr>
            <w:tcW w:w="1134" w:type="dxa"/>
            <w:tcBorders>
              <w:bottom w:val="single" w:sz="4" w:space="0" w:color="auto"/>
            </w:tcBorders>
            <w:shd w:val="clear" w:color="auto" w:fill="auto"/>
          </w:tcPr>
          <w:p>
            <w:pPr>
              <w:pStyle w:val="nTable"/>
              <w:spacing w:after="40"/>
            </w:pPr>
            <w:r>
              <w:rPr>
                <w:snapToGrid w:val="0"/>
                <w:lang w:val="en-US"/>
              </w:rPr>
              <w:t>4 of 2015</w:t>
            </w:r>
          </w:p>
        </w:tc>
        <w:tc>
          <w:tcPr>
            <w:tcW w:w="1136" w:type="dxa"/>
            <w:tcBorders>
              <w:bottom w:val="single" w:sz="4" w:space="0" w:color="auto"/>
            </w:tcBorders>
            <w:shd w:val="clear" w:color="auto" w:fill="auto"/>
          </w:tcPr>
          <w:p>
            <w:pPr>
              <w:pStyle w:val="nTable"/>
              <w:spacing w:after="40"/>
            </w:pPr>
            <w:r>
              <w:t>3 Mar 2015</w:t>
            </w:r>
          </w:p>
        </w:tc>
        <w:tc>
          <w:tcPr>
            <w:tcW w:w="2551" w:type="dxa"/>
            <w:tcBorders>
              <w:bottom w:val="single" w:sz="4" w:space="0" w:color="auto"/>
            </w:tcBorders>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bl>
    <w:p>
      <w:pPr>
        <w:pStyle w:val="nSubsection"/>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65" w:name="_Toc405453375"/>
      <w:bookmarkStart w:id="666" w:name="_Toc422303443"/>
      <w:r>
        <w:rPr>
          <w:snapToGrid w:val="0"/>
        </w:rPr>
        <w:t>Provisions that have not come into operation</w:t>
      </w:r>
      <w:bookmarkEnd w:id="665"/>
      <w:bookmarkEnd w:id="666"/>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8"/>
        <w:gridCol w:w="1114"/>
        <w:gridCol w:w="16"/>
        <w:gridCol w:w="1114"/>
        <w:gridCol w:w="19"/>
        <w:gridCol w:w="2523"/>
        <w:gridCol w:w="45"/>
      </w:tblGrid>
      <w:tr>
        <w:trPr>
          <w:tblHeader/>
        </w:trPr>
        <w:tc>
          <w:tcPr>
            <w:tcW w:w="2258"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0"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3"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68"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58" w:type="dxa"/>
            <w:tcBorders>
              <w:top w:val="single" w:sz="8" w:space="0" w:color="auto"/>
              <w:bottom w:val="nil"/>
            </w:tcBorders>
          </w:tcPr>
          <w:p>
            <w:pPr>
              <w:pStyle w:val="nTable"/>
              <w:spacing w:after="40"/>
              <w:rPr>
                <w:vertAlign w:val="superscript"/>
              </w:rPr>
            </w:pPr>
            <w:r>
              <w:rPr>
                <w:i/>
                <w:iCs/>
              </w:rPr>
              <w:t xml:space="preserve">Prostitution Amendment Act 2008 </w:t>
            </w:r>
            <w:r>
              <w:t>s. 36 </w:t>
            </w:r>
            <w:r>
              <w:rPr>
                <w:vertAlign w:val="superscript"/>
              </w:rPr>
              <w:t>11</w:t>
            </w:r>
          </w:p>
        </w:tc>
        <w:tc>
          <w:tcPr>
            <w:tcW w:w="1130" w:type="dxa"/>
            <w:gridSpan w:val="2"/>
            <w:tcBorders>
              <w:top w:val="single" w:sz="8" w:space="0" w:color="auto"/>
              <w:bottom w:val="nil"/>
            </w:tcBorders>
          </w:tcPr>
          <w:p>
            <w:pPr>
              <w:pStyle w:val="nTable"/>
              <w:spacing w:after="40"/>
            </w:pPr>
            <w:r>
              <w:t>13 of 2008</w:t>
            </w:r>
          </w:p>
        </w:tc>
        <w:tc>
          <w:tcPr>
            <w:tcW w:w="1133" w:type="dxa"/>
            <w:gridSpan w:val="2"/>
            <w:tcBorders>
              <w:top w:val="single" w:sz="8" w:space="0" w:color="auto"/>
              <w:bottom w:val="nil"/>
            </w:tcBorders>
          </w:tcPr>
          <w:p>
            <w:pPr>
              <w:pStyle w:val="nTable"/>
              <w:spacing w:after="40"/>
            </w:pPr>
            <w:r>
              <w:t>14 Apr 2008</w:t>
            </w:r>
          </w:p>
        </w:tc>
        <w:tc>
          <w:tcPr>
            <w:tcW w:w="2568" w:type="dxa"/>
            <w:gridSpan w:val="2"/>
            <w:tcBorders>
              <w:top w:val="single" w:sz="8" w:space="0" w:color="auto"/>
              <w:bottom w:val="nil"/>
            </w:tcBorders>
          </w:tcPr>
          <w:p>
            <w:pPr>
              <w:pStyle w:val="nTable"/>
              <w:spacing w:after="40"/>
              <w:rPr>
                <w:snapToGrid w:val="0"/>
              </w:rPr>
            </w:pPr>
            <w:r>
              <w:rPr>
                <w:snapToGrid w:val="0"/>
              </w:rPr>
              <w:t>To be proclaimed (see s. 2(b))</w:t>
            </w:r>
          </w:p>
        </w:tc>
      </w:tr>
      <w:tr>
        <w:tc>
          <w:tcPr>
            <w:tcW w:w="2258" w:type="dxa"/>
            <w:tcBorders>
              <w:top w:val="nil"/>
              <w:bottom w:val="nil"/>
            </w:tcBorders>
            <w:shd w:val="clear" w:color="auto" w:fill="auto"/>
          </w:tcPr>
          <w:p>
            <w:pPr>
              <w:pStyle w:val="nTable"/>
              <w:keepNext/>
              <w:spacing w:after="40"/>
              <w:rPr>
                <w:i/>
                <w:iCs/>
                <w:snapToGrid w:val="0"/>
              </w:rPr>
            </w:pPr>
            <w:r>
              <w:rPr>
                <w:i/>
              </w:rPr>
              <w:t>Courts and Tribunals (Electronic Processes Facilitation) Act 2013</w:t>
            </w:r>
            <w:r>
              <w:t xml:space="preserve"> s. 138 and 139</w:t>
            </w:r>
            <w:r>
              <w:rPr>
                <w:vertAlign w:val="superscript"/>
              </w:rPr>
              <w:t> 13</w:t>
            </w:r>
          </w:p>
        </w:tc>
        <w:tc>
          <w:tcPr>
            <w:tcW w:w="1130" w:type="dxa"/>
            <w:gridSpan w:val="2"/>
            <w:tcBorders>
              <w:top w:val="nil"/>
              <w:bottom w:val="nil"/>
            </w:tcBorders>
            <w:shd w:val="clear" w:color="auto" w:fill="auto"/>
          </w:tcPr>
          <w:p>
            <w:pPr>
              <w:pStyle w:val="nTable"/>
              <w:keepNext/>
              <w:spacing w:after="40"/>
              <w:rPr>
                <w:snapToGrid w:val="0"/>
              </w:rPr>
            </w:pPr>
            <w:r>
              <w:t>20 of 2013</w:t>
            </w:r>
          </w:p>
        </w:tc>
        <w:tc>
          <w:tcPr>
            <w:tcW w:w="1133" w:type="dxa"/>
            <w:gridSpan w:val="2"/>
            <w:tcBorders>
              <w:top w:val="nil"/>
              <w:bottom w:val="nil"/>
            </w:tcBorders>
            <w:shd w:val="clear" w:color="auto" w:fill="auto"/>
          </w:tcPr>
          <w:p>
            <w:pPr>
              <w:pStyle w:val="nTable"/>
              <w:keepNext/>
              <w:spacing w:after="40"/>
            </w:pPr>
            <w:r>
              <w:t>4 Nov 2013</w:t>
            </w:r>
          </w:p>
        </w:tc>
        <w:tc>
          <w:tcPr>
            <w:tcW w:w="2568" w:type="dxa"/>
            <w:gridSpan w:val="2"/>
            <w:tcBorders>
              <w:top w:val="nil"/>
              <w:bottom w:val="nil"/>
            </w:tcBorders>
            <w:shd w:val="clear" w:color="auto" w:fill="auto"/>
          </w:tcPr>
          <w:p>
            <w:pPr>
              <w:pStyle w:val="nTable"/>
              <w:keepNext/>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45" w:type="dxa"/>
        </w:trPr>
        <w:tc>
          <w:tcPr>
            <w:tcW w:w="2258" w:type="dxa"/>
            <w:tcBorders>
              <w:top w:val="nil"/>
              <w:bottom w:val="nil"/>
            </w:tcBorders>
          </w:tcPr>
          <w:p>
            <w:pPr>
              <w:pStyle w:val="nTable"/>
              <w:spacing w:after="40"/>
              <w:rPr>
                <w:vertAlign w:val="superscript"/>
              </w:rPr>
            </w:pPr>
            <w:r>
              <w:rPr>
                <w:i/>
              </w:rPr>
              <w:t>Mental Health Legislation Amendment Act 2014</w:t>
            </w:r>
            <w:r>
              <w:t xml:space="preserve"> Pt. 4 Div. 4 Subdiv. 24 </w:t>
            </w:r>
            <w:r>
              <w:rPr>
                <w:vertAlign w:val="superscript"/>
              </w:rPr>
              <w:t>14</w:t>
            </w:r>
          </w:p>
        </w:tc>
        <w:tc>
          <w:tcPr>
            <w:tcW w:w="1114" w:type="dxa"/>
            <w:tcBorders>
              <w:top w:val="nil"/>
              <w:bottom w:val="nil"/>
            </w:tcBorders>
          </w:tcPr>
          <w:p>
            <w:pPr>
              <w:pStyle w:val="nTable"/>
              <w:spacing w:after="40"/>
              <w:rPr>
                <w:snapToGrid w:val="0"/>
              </w:rPr>
            </w:pPr>
            <w:r>
              <w:rPr>
                <w:snapToGrid w:val="0"/>
              </w:rPr>
              <w:t>25 of 2014</w:t>
            </w:r>
          </w:p>
        </w:tc>
        <w:tc>
          <w:tcPr>
            <w:tcW w:w="1130" w:type="dxa"/>
            <w:gridSpan w:val="2"/>
            <w:tcBorders>
              <w:top w:val="nil"/>
              <w:bottom w:val="nil"/>
            </w:tcBorders>
          </w:tcPr>
          <w:p>
            <w:pPr>
              <w:pStyle w:val="nTable"/>
              <w:spacing w:after="40"/>
              <w:rPr>
                <w:snapToGrid w:val="0"/>
              </w:rPr>
            </w:pPr>
            <w:r>
              <w:t>3 Nov 2014</w:t>
            </w:r>
          </w:p>
        </w:tc>
        <w:tc>
          <w:tcPr>
            <w:tcW w:w="2542" w:type="dxa"/>
            <w:gridSpan w:val="2"/>
            <w:tcBorders>
              <w:top w:val="nil"/>
              <w:bottom w:val="nil"/>
            </w:tcBorders>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45" w:type="dxa"/>
        </w:trPr>
        <w:tc>
          <w:tcPr>
            <w:tcW w:w="2258" w:type="dxa"/>
            <w:tcBorders>
              <w:top w:val="nil"/>
              <w:bottom w:val="single" w:sz="4" w:space="0" w:color="auto"/>
            </w:tcBorders>
          </w:tcPr>
          <w:p>
            <w:pPr>
              <w:pStyle w:val="nTable"/>
              <w:spacing w:after="40"/>
              <w:rPr>
                <w:vertAlign w:val="superscript"/>
              </w:rPr>
            </w:pPr>
            <w:r>
              <w:rPr>
                <w:i/>
              </w:rPr>
              <w:t>Custodial Legislation (Officers Discipline) Amendment Act 2014</w:t>
            </w:r>
            <w:r>
              <w:t xml:space="preserve"> Pt. 3 </w:t>
            </w:r>
            <w:r>
              <w:rPr>
                <w:vertAlign w:val="superscript"/>
              </w:rPr>
              <w:t>15</w:t>
            </w:r>
          </w:p>
        </w:tc>
        <w:tc>
          <w:tcPr>
            <w:tcW w:w="1114" w:type="dxa"/>
            <w:tcBorders>
              <w:top w:val="nil"/>
              <w:bottom w:val="single" w:sz="4" w:space="0" w:color="auto"/>
            </w:tcBorders>
          </w:tcPr>
          <w:p>
            <w:pPr>
              <w:pStyle w:val="nTable"/>
              <w:spacing w:after="40"/>
              <w:rPr>
                <w:snapToGrid w:val="0"/>
              </w:rPr>
            </w:pPr>
            <w:r>
              <w:rPr>
                <w:snapToGrid w:val="0"/>
              </w:rPr>
              <w:t>29 of 2014</w:t>
            </w:r>
          </w:p>
        </w:tc>
        <w:tc>
          <w:tcPr>
            <w:tcW w:w="1130" w:type="dxa"/>
            <w:gridSpan w:val="2"/>
            <w:tcBorders>
              <w:top w:val="nil"/>
              <w:bottom w:val="single" w:sz="4" w:space="0" w:color="auto"/>
            </w:tcBorders>
          </w:tcPr>
          <w:p>
            <w:pPr>
              <w:pStyle w:val="nTable"/>
              <w:spacing w:after="40"/>
            </w:pPr>
            <w:r>
              <w:t>3 Dec 2014</w:t>
            </w:r>
          </w:p>
        </w:tc>
        <w:tc>
          <w:tcPr>
            <w:tcW w:w="2542" w:type="dxa"/>
            <w:gridSpan w:val="2"/>
            <w:tcBorders>
              <w:top w:val="nil"/>
              <w:bottom w:val="single" w:sz="4" w:space="0" w:color="auto"/>
            </w:tcBorders>
          </w:tcPr>
          <w:p>
            <w:pPr>
              <w:pStyle w:val="nTable"/>
              <w:spacing w:after="40"/>
              <w:rPr>
                <w:snapToGrid w:val="0"/>
              </w:rPr>
            </w:pPr>
            <w:r>
              <w:rPr>
                <w:snapToGrid w:val="0"/>
              </w:rPr>
              <w:t>To be proclaimed (see s. 2(b))</w:t>
            </w:r>
          </w:p>
        </w:tc>
      </w:tr>
    </w:tbl>
    <w:p>
      <w:pPr>
        <w:pStyle w:val="nSubsection"/>
        <w:spacing w:before="240"/>
      </w:pPr>
      <w:r>
        <w:rPr>
          <w:vertAlign w:val="superscript"/>
        </w:rPr>
        <w:t>2</w:t>
      </w:r>
      <w:r>
        <w:tab/>
        <w:t xml:space="preserve">The provisions in this Act amending those Acts have been omitted under the </w:t>
      </w:r>
      <w:r>
        <w:rPr>
          <w:i/>
        </w:rPr>
        <w:t>Reprints Act 1984</w:t>
      </w:r>
      <w:r>
        <w:t xml:space="preserve"> s. 7(4)(e).</w:t>
      </w:r>
    </w:p>
    <w:p>
      <w:pPr>
        <w:pStyle w:val="nSubsection"/>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vertAlign w:val="superscript"/>
        </w:rPr>
      </w:pPr>
      <w:r>
        <w:rPr>
          <w:vertAlign w:val="superscript"/>
        </w:rPr>
        <w:t>5</w:t>
      </w:r>
      <w:r>
        <w:tab/>
      </w:r>
      <w:r>
        <w:rPr>
          <w:i/>
        </w:rPr>
        <w:t xml:space="preserve">The Criminal Code </w:t>
      </w:r>
      <w:r>
        <w:t xml:space="preserve">s. 390B was repealed by the </w:t>
      </w:r>
      <w:r>
        <w:rPr>
          <w:i/>
          <w:snapToGrid w:val="0"/>
        </w:rPr>
        <w:t>Criminal Law Amendment (Simple Offences) Act 2004</w:t>
      </w:r>
      <w:r>
        <w:rPr>
          <w:snapToGrid w:val="0"/>
        </w:rPr>
        <w:t xml:space="preserve"> s. 26. </w:t>
      </w:r>
    </w:p>
    <w:p>
      <w:pPr>
        <w:pStyle w:val="nSubsection"/>
      </w:pPr>
      <w:r>
        <w:rPr>
          <w:vertAlign w:val="superscript"/>
        </w:rPr>
        <w:t>6</w:t>
      </w:r>
      <w:r>
        <w:rPr>
          <w:vertAlign w:val="superscript"/>
        </w:rPr>
        <w:tab/>
      </w:r>
      <w:r>
        <w:t xml:space="preserve">The </w:t>
      </w:r>
      <w:r>
        <w:rPr>
          <w:i/>
        </w:rPr>
        <w:t>Criminal Law Amendment Act 1996</w:t>
      </w:r>
      <w:r>
        <w:t xml:space="preserve"> Pt. 6 did not come into operation and was repealed by the </w:t>
      </w:r>
      <w:r>
        <w:rPr>
          <w:i/>
        </w:rPr>
        <w:t>Criminal Law Amendment Act (No. 2) 1998</w:t>
      </w:r>
      <w:r>
        <w:t xml:space="preserve"> s. 7.</w:t>
      </w:r>
    </w:p>
    <w:p>
      <w:pPr>
        <w:pStyle w:val="nSubsection"/>
      </w:pPr>
      <w:r>
        <w:rPr>
          <w:vertAlign w:val="superscript"/>
        </w:rPr>
        <w:t>7</w:t>
      </w:r>
      <w:r>
        <w:rPr>
          <w:vertAlign w:val="superscript"/>
        </w:rPr>
        <w:tab/>
      </w:r>
      <w:r>
        <w:t xml:space="preserve">The </w:t>
      </w:r>
      <w:r>
        <w:rPr>
          <w:i/>
        </w:rPr>
        <w:t>Sentencing Legislation Amendment and Repeal Act 1999</w:t>
      </w:r>
      <w:r>
        <w:t xml:space="preserve"> s. 26 did not come into operation and was repealed by the </w:t>
      </w:r>
      <w:r>
        <w:rPr>
          <w:i/>
        </w:rPr>
        <w:t>Sentencing Legislation Amendment and Repeal Act 2003</w:t>
      </w:r>
      <w:r>
        <w:t xml:space="preserve"> s. 31.</w:t>
      </w:r>
    </w:p>
    <w:p>
      <w:pPr>
        <w:pStyle w:val="nSubsection"/>
      </w:pPr>
      <w:r>
        <w:rPr>
          <w:vertAlign w:val="superscript"/>
        </w:rPr>
        <w:t>8</w:t>
      </w:r>
      <w:r>
        <w:tab/>
        <w:t xml:space="preserve">The </w:t>
      </w:r>
      <w:r>
        <w:rPr>
          <w:i/>
        </w:rPr>
        <w:t xml:space="preserve">Sentencing Amendment Act 2000 </w:t>
      </w:r>
      <w:r>
        <w:t>Pt. 2 Div. 2</w:t>
      </w:r>
      <w:r>
        <w:rPr>
          <w:i/>
        </w:rPr>
        <w:t xml:space="preserve"> </w:t>
      </w:r>
      <w:r>
        <w:t xml:space="preserve">did not come into operation and was repealed by the </w:t>
      </w:r>
      <w:r>
        <w:rPr>
          <w:i/>
        </w:rPr>
        <w:t xml:space="preserve">Sentencing Legislation Amendment and Repeal Act 2003 </w:t>
      </w:r>
      <w:r>
        <w:t>s. 32.</w:t>
      </w:r>
    </w:p>
    <w:p>
      <w:pPr>
        <w:pStyle w:val="nSubsection"/>
        <w:keepNext/>
      </w:pPr>
      <w:r>
        <w:rPr>
          <w:vertAlign w:val="superscript"/>
        </w:rPr>
        <w:t>9</w:t>
      </w:r>
      <w:r>
        <w:tab/>
        <w:t xml:space="preserve">The </w:t>
      </w:r>
      <w:r>
        <w:rPr>
          <w:i/>
        </w:rPr>
        <w:t>Inspector of Custodial Services Act 2003</w:t>
      </w:r>
      <w:r>
        <w:t xml:space="preserve"> s. 56(1), which gives effect to Sch. 2, reads as follows:</w:t>
      </w:r>
    </w:p>
    <w:p>
      <w:pPr>
        <w:pStyle w:val="BlankOpen"/>
      </w:pPr>
    </w:p>
    <w:p>
      <w:pPr>
        <w:pStyle w:val="nzHeading5"/>
        <w:spacing w:before="60"/>
        <w:rPr>
          <w:rStyle w:val="CharSectno"/>
        </w:rPr>
      </w:pPr>
      <w:r>
        <w:rPr>
          <w:rStyle w:val="CharSectno"/>
        </w:rPr>
        <w:t>56.</w:t>
      </w:r>
      <w:r>
        <w:rPr>
          <w:rStyle w:val="CharSectno"/>
        </w:rPr>
        <w:tab/>
        <w:t>Consequential amendments to other Acts and regulations</w:t>
      </w:r>
    </w:p>
    <w:p>
      <w:pPr>
        <w:pStyle w:val="nzSubsection"/>
      </w:pPr>
      <w:r>
        <w:tab/>
        <w:t>(1)</w:t>
      </w:r>
      <w:r>
        <w:tab/>
        <w:t>Schedule 2 has effect.</w:t>
      </w:r>
    </w:p>
    <w:p>
      <w:pPr>
        <w:pStyle w:val="BlankClose"/>
      </w:pPr>
    </w:p>
    <w:p>
      <w:pPr>
        <w:pStyle w:val="nSubsection"/>
        <w:keepNext/>
      </w:pPr>
      <w:r>
        <w:rPr>
          <w:snapToGrid w:val="0"/>
        </w:rPr>
        <w:tab/>
        <w:t>Schedule 2 cl. 7(3) reads as follows:</w:t>
      </w:r>
    </w:p>
    <w:p>
      <w:pPr>
        <w:pStyle w:val="BlankOpen"/>
      </w:pPr>
    </w:p>
    <w:p>
      <w:pPr>
        <w:pStyle w:val="nzHeading2"/>
        <w:rPr>
          <w:rStyle w:val="CharSchNo"/>
        </w:rPr>
      </w:pPr>
      <w:r>
        <w:rPr>
          <w:rStyle w:val="CharSchNo"/>
        </w:rPr>
        <w:t>Schedule 2 — Consequential amendments to Acts and regulations</w:t>
      </w:r>
    </w:p>
    <w:p>
      <w:pPr>
        <w:pStyle w:val="yShoulderClause"/>
        <w:rPr>
          <w:sz w:val="20"/>
        </w:rPr>
      </w:pPr>
      <w:r>
        <w:rPr>
          <w:sz w:val="20"/>
        </w:rPr>
        <w:t>[s. 56]</w:t>
      </w:r>
    </w:p>
    <w:p>
      <w:pPr>
        <w:pStyle w:val="BlankOpen"/>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BlankClose"/>
      </w:pPr>
    </w:p>
    <w:p>
      <w:pPr>
        <w:pStyle w:val="nSubsection"/>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BlankOpen"/>
        <w:rPr>
          <w:snapToGrid w:val="0"/>
        </w:rPr>
      </w:pPr>
    </w:p>
    <w:p>
      <w:pPr>
        <w:pStyle w:val="nzHeading5"/>
        <w:rPr>
          <w:snapToGrid w:val="0"/>
        </w:rPr>
      </w:pPr>
      <w:r>
        <w:t>6.</w:t>
      </w:r>
      <w:r>
        <w:tab/>
        <w:t>Section 11 amended and transitional</w:t>
      </w:r>
    </w:p>
    <w:p>
      <w:pPr>
        <w:pStyle w:val="nzSubsection"/>
      </w:pPr>
      <w:r>
        <w:tab/>
        <w:t>(3)</w:t>
      </w:r>
      <w:r>
        <w:tab/>
        <w:t>Schedule 1 has effect.</w:t>
      </w:r>
    </w:p>
    <w:p>
      <w:pPr>
        <w:pStyle w:val="BlankClose"/>
      </w:pPr>
    </w:p>
    <w:p>
      <w:pPr>
        <w:pStyle w:val="nSubsection"/>
        <w:keepNext/>
      </w:pPr>
      <w:r>
        <w:tab/>
        <w:t>Schedule 1 reads as follows:</w:t>
      </w:r>
    </w:p>
    <w:p>
      <w:pPr>
        <w:pStyle w:val="BlankOpen"/>
      </w:pP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BlankClose"/>
      </w:pPr>
    </w:p>
    <w:p>
      <w:pPr>
        <w:pStyle w:val="nSubsection"/>
        <w:keepLines/>
        <w:spacing w:before="0"/>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36 </w:t>
      </w:r>
      <w:r>
        <w:rPr>
          <w:snapToGrid w:val="0"/>
        </w:rPr>
        <w:t>had not come into operation.  It reads as follows:</w:t>
      </w:r>
    </w:p>
    <w:p>
      <w:pPr>
        <w:pStyle w:val="BlankOpen"/>
      </w:pPr>
    </w:p>
    <w:p>
      <w:pPr>
        <w:pStyle w:val="nzHeading5"/>
      </w:pPr>
      <w:r>
        <w:rPr>
          <w:rStyle w:val="CharSectno"/>
        </w:rPr>
        <w:t>36</w:t>
      </w:r>
      <w:r>
        <w:t>.</w:t>
      </w:r>
      <w:r>
        <w:tab/>
      </w:r>
      <w:r>
        <w:rPr>
          <w:i/>
          <w:iCs/>
        </w:rPr>
        <w:t>Young Offenders Act 1994</w:t>
      </w:r>
      <w:r>
        <w:t xml:space="preserve"> amended</w:t>
      </w:r>
    </w:p>
    <w:p>
      <w:pPr>
        <w:pStyle w:val="nzSubsection"/>
      </w:pPr>
      <w:r>
        <w:tab/>
        <w:t>(1)</w:t>
      </w:r>
      <w:r>
        <w:tab/>
        <w:t xml:space="preserve">The amendments in this section are to the </w:t>
      </w:r>
      <w:r>
        <w:rPr>
          <w:i/>
          <w:iCs/>
        </w:rPr>
        <w:t>Young Offenders Act 1994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1525" w:type="dxa"/>
        <w:tblLook w:val="0000" w:firstRow="0" w:lastRow="0" w:firstColumn="0" w:lastColumn="0" w:noHBand="0" w:noVBand="0"/>
      </w:tblPr>
      <w:tblGrid>
        <w:gridCol w:w="806"/>
        <w:gridCol w:w="4981"/>
      </w:tblGrid>
      <w:tr>
        <w:trPr>
          <w:cantSplit/>
        </w:trPr>
        <w:tc>
          <w:tcPr>
            <w:tcW w:w="5787" w:type="dxa"/>
            <w:gridSpan w:val="2"/>
          </w:tcPr>
          <w:p>
            <w:pPr>
              <w:pStyle w:val="nzTable"/>
            </w:pPr>
            <w:r>
              <w:rPr>
                <w:b/>
                <w:bCs/>
              </w:rPr>
              <w:t>2A.</w:t>
            </w:r>
            <w:r>
              <w:rPr>
                <w:b/>
                <w:bCs/>
              </w:rPr>
              <w:tab/>
            </w:r>
            <w:r>
              <w:rPr>
                <w:b/>
                <w:bCs/>
                <w:i/>
                <w:iCs/>
              </w:rPr>
              <w:t>Sexual Services Act 2000</w:t>
            </w:r>
          </w:p>
        </w:tc>
      </w:tr>
      <w:tr>
        <w:tc>
          <w:tcPr>
            <w:tcW w:w="806" w:type="dxa"/>
          </w:tcPr>
          <w:p>
            <w:pPr>
              <w:pStyle w:val="nzTable"/>
            </w:pPr>
            <w:r>
              <w:t>s. 7</w:t>
            </w:r>
          </w:p>
        </w:tc>
        <w:tc>
          <w:tcPr>
            <w:tcW w:w="4981" w:type="dxa"/>
          </w:tcPr>
          <w:p>
            <w:pPr>
              <w:pStyle w:val="nzTable"/>
            </w:pPr>
            <w:r>
              <w:t>Seeking to induce person to act as a sex worker</w:t>
            </w:r>
          </w:p>
        </w:tc>
      </w:tr>
      <w:tr>
        <w:trPr>
          <w:cantSplit/>
        </w:trPr>
        <w:tc>
          <w:tcPr>
            <w:tcW w:w="806" w:type="dxa"/>
          </w:tcPr>
          <w:p>
            <w:pPr>
              <w:pStyle w:val="nzTable"/>
            </w:pPr>
            <w:r>
              <w:t>s. 16</w:t>
            </w:r>
          </w:p>
        </w:tc>
        <w:tc>
          <w:tcPr>
            <w:tcW w:w="4981" w:type="dxa"/>
          </w:tcPr>
          <w:p>
            <w:pPr>
              <w:pStyle w:val="nzTable"/>
              <w:keepNext/>
              <w:keepLines/>
            </w:pPr>
            <w:r>
              <w:t>Causing, permitting or seeking to induce a child to act as a sex worker</w:t>
            </w:r>
          </w:p>
        </w:tc>
      </w:tr>
      <w:tr>
        <w:tc>
          <w:tcPr>
            <w:tcW w:w="806" w:type="dxa"/>
          </w:tcPr>
          <w:p>
            <w:pPr>
              <w:pStyle w:val="nzTable"/>
              <w:keepNext/>
              <w:keepLines/>
            </w:pPr>
            <w:r>
              <w:t>s. 17</w:t>
            </w:r>
          </w:p>
        </w:tc>
        <w:tc>
          <w:tcPr>
            <w:tcW w:w="4981" w:type="dxa"/>
          </w:tcPr>
          <w:p>
            <w:pPr>
              <w:pStyle w:val="nzTable"/>
              <w:keepNext/>
              <w:keepLines/>
            </w:pPr>
            <w:r>
              <w:t>Obtaining payment for commercial sexual act by a child</w:t>
            </w:r>
          </w:p>
        </w:tc>
      </w:tr>
      <w:tr>
        <w:tc>
          <w:tcPr>
            <w:tcW w:w="806" w:type="dxa"/>
          </w:tcPr>
          <w:p>
            <w:pPr>
              <w:pStyle w:val="nzTable"/>
            </w:pPr>
            <w:r>
              <w:t>s. 18</w:t>
            </w:r>
          </w:p>
        </w:tc>
        <w:tc>
          <w:tcPr>
            <w:tcW w:w="4981" w:type="dxa"/>
          </w:tcPr>
          <w:p>
            <w:pPr>
              <w:pStyle w:val="nzTable"/>
            </w:pPr>
            <w:r>
              <w:t>Agreement for a child to act as a sex worker</w:t>
            </w:r>
          </w:p>
        </w:tc>
      </w:tr>
    </w:tbl>
    <w:p>
      <w:pPr>
        <w:pStyle w:val="MiscClose"/>
      </w:pPr>
      <w:r>
        <w:t xml:space="preserve">    ”.</w:t>
      </w:r>
    </w:p>
    <w:p>
      <w:pPr>
        <w:pStyle w:val="BlankClose"/>
      </w:pPr>
    </w:p>
    <w:p>
      <w:pPr>
        <w:pStyle w:val="nSubsection"/>
        <w:rPr>
          <w:snapToGrid w:val="0"/>
        </w:rPr>
      </w:pPr>
      <w:r>
        <w:rPr>
          <w:snapToGrid w:val="0"/>
          <w:vertAlign w:val="superscript"/>
        </w:rPr>
        <w:t>12</w:t>
      </w:r>
      <w:r>
        <w:rPr>
          <w:snapToGrid w:val="0"/>
          <w:vertAlign w:val="superscript"/>
        </w:rPr>
        <w:tab/>
      </w:r>
      <w:r>
        <w:rPr>
          <w:snapToGrid w:val="0"/>
        </w:rPr>
        <w:t>Footnote no longer applicable.</w:t>
      </w:r>
    </w:p>
    <w:p>
      <w:pPr>
        <w:pStyle w:val="nSubsection"/>
      </w:pPr>
      <w:r>
        <w:rPr>
          <w:snapToGrid w:val="0"/>
          <w:vertAlign w:val="superscript"/>
        </w:rPr>
        <w:t>13</w:t>
      </w:r>
      <w:r>
        <w:rPr>
          <w:snapToGrid w:val="0"/>
        </w:rPr>
        <w:tab/>
        <w:t xml:space="preserve">On </w:t>
      </w:r>
      <w:r>
        <w:t>the</w:t>
      </w:r>
      <w:r>
        <w:rPr>
          <w:snapToGrid w:val="0"/>
        </w:rPr>
        <w:t xml:space="preserve"> date as at which this compilation was prepared, the </w:t>
      </w:r>
      <w:r>
        <w:rPr>
          <w:i/>
          <w:snapToGrid w:val="0"/>
        </w:rPr>
        <w:t>Courts and Tribunals (Electronic Processes Facilitation) Act 2013</w:t>
      </w:r>
      <w:r>
        <w:rPr>
          <w:snapToGrid w:val="0"/>
        </w:rPr>
        <w:t xml:space="preserve"> s. 138 and 139 had not come into operation.  They read as follows:</w:t>
      </w:r>
    </w:p>
    <w:p>
      <w:pPr>
        <w:pStyle w:val="BlankClose"/>
        <w:suppressLineNumbers/>
      </w:pPr>
    </w:p>
    <w:p>
      <w:pPr>
        <w:pStyle w:val="nzHeading2"/>
      </w:pPr>
      <w:r>
        <w:rPr>
          <w:rStyle w:val="CharPartNo"/>
        </w:rPr>
        <w:t>Part 3</w:t>
      </w:r>
      <w:r>
        <w:t> — </w:t>
      </w:r>
      <w:r>
        <w:rPr>
          <w:rStyle w:val="CharPartText"/>
        </w:rPr>
        <w:t>Amendments to other Acts</w:t>
      </w:r>
    </w:p>
    <w:p>
      <w:pPr>
        <w:pStyle w:val="nzHeading3"/>
      </w:pPr>
      <w:r>
        <w:rPr>
          <w:rStyle w:val="CharDivNo"/>
        </w:rPr>
        <w:t>Division 21</w:t>
      </w:r>
      <w:r>
        <w:t> — </w:t>
      </w:r>
      <w:r>
        <w:rPr>
          <w:rStyle w:val="CharDivText"/>
          <w:i/>
        </w:rPr>
        <w:t>Young Offenders Act 1994</w:t>
      </w:r>
      <w:r>
        <w:rPr>
          <w:rStyle w:val="CharDivText"/>
        </w:rPr>
        <w:t xml:space="preserve"> amended</w:t>
      </w:r>
    </w:p>
    <w:p>
      <w:pPr>
        <w:pStyle w:val="BlankClose"/>
      </w:pPr>
    </w:p>
    <w:p>
      <w:pPr>
        <w:pStyle w:val="nzHeading5"/>
      </w:pPr>
      <w:r>
        <w:rPr>
          <w:rStyle w:val="CharSectno"/>
        </w:rPr>
        <w:t>138</w:t>
      </w:r>
      <w:r>
        <w:t>.</w:t>
      </w:r>
      <w:r>
        <w:tab/>
        <w:t>Section 43 amended</w:t>
      </w:r>
    </w:p>
    <w:p>
      <w:pPr>
        <w:pStyle w:val="nzSubsection"/>
      </w:pPr>
      <w:r>
        <w:tab/>
        <w:t>(1)</w:t>
      </w:r>
      <w:r>
        <w:tab/>
        <w:t>Delete section 43(5) and insert:</w:t>
      </w:r>
    </w:p>
    <w:p>
      <w:pPr>
        <w:pStyle w:val="BlankOpen"/>
      </w:pPr>
    </w:p>
    <w:p>
      <w:pPr>
        <w:pStyle w:val="nzSubsection"/>
      </w:pPr>
      <w:r>
        <w:tab/>
        <w:t>(5)</w:t>
      </w:r>
      <w:r>
        <w:tab/>
        <w:t xml:space="preserve">A copy of a notice to attend court issued to a young person is to be given to a person who is a responsible adult in one of the following ways — </w:t>
      </w:r>
    </w:p>
    <w:p>
      <w:pPr>
        <w:pStyle w:val="nzIndenta"/>
      </w:pPr>
      <w:r>
        <w:tab/>
        <w:t>(a)</w:t>
      </w:r>
      <w:r>
        <w:tab/>
        <w:t>by serving it personally on the responsible adult;</w:t>
      </w:r>
    </w:p>
    <w:p>
      <w:pPr>
        <w:pStyle w:val="nzIndenta"/>
      </w:pPr>
      <w:r>
        <w:tab/>
        <w:t>(b)</w:t>
      </w:r>
      <w:r>
        <w:tab/>
        <w:t>by giving it electronically to the responsible adult in accordance with the regulations;</w:t>
      </w:r>
    </w:p>
    <w:p>
      <w:pPr>
        <w:pStyle w:val="nzIndenta"/>
      </w:pPr>
      <w:r>
        <w:tab/>
        <w:t>(c)</w:t>
      </w:r>
      <w:r>
        <w:tab/>
        <w:t>by sending it by post to the address of the responsible adult.</w:t>
      </w:r>
    </w:p>
    <w:p>
      <w:pPr>
        <w:pStyle w:val="nzSubsection"/>
      </w:pPr>
      <w:r>
        <w:tab/>
        <w:t>(6A)</w:t>
      </w:r>
      <w:r>
        <w:tab/>
        <w:t xml:space="preserve">However, subsection (5) does not apply if, after reasonable enquiry — </w:t>
      </w:r>
    </w:p>
    <w:p>
      <w:pPr>
        <w:pStyle w:val="nzIndenta"/>
      </w:pPr>
      <w:r>
        <w:tab/>
        <w:t>(a)</w:t>
      </w:r>
      <w:r>
        <w:tab/>
        <w:t>neither the whereabouts nor the address of the responsible adult can be ascertained; and</w:t>
      </w:r>
    </w:p>
    <w:p>
      <w:pPr>
        <w:pStyle w:val="nzIndenta"/>
      </w:pPr>
      <w:r>
        <w:tab/>
        <w:t>(b)</w:t>
      </w:r>
      <w:r>
        <w:tab/>
        <w:t>a way of giving a copy of the notice electronically to the responsible adult in accordance with the regulations cannot be found.</w:t>
      </w:r>
    </w:p>
    <w:p>
      <w:pPr>
        <w:pStyle w:val="BlankClose"/>
      </w:pPr>
    </w:p>
    <w:p>
      <w:pPr>
        <w:pStyle w:val="nzSubsection"/>
      </w:pPr>
      <w:r>
        <w:tab/>
        <w:t>(2)</w:t>
      </w:r>
      <w:r>
        <w:tab/>
        <w:t>Delete section 43(6)(d) and insert:</w:t>
      </w:r>
    </w:p>
    <w:p>
      <w:pPr>
        <w:pStyle w:val="BlankOpen"/>
      </w:pPr>
    </w:p>
    <w:p>
      <w:pPr>
        <w:pStyle w:val="nzIndenta"/>
      </w:pPr>
      <w:r>
        <w:tab/>
        <w:t>(da)</w:t>
      </w:r>
      <w:r>
        <w:tab/>
        <w:t>the person electronically gave to a person who is a responsible adult a copy of a notice to attend court; or</w:t>
      </w:r>
    </w:p>
    <w:p>
      <w:pPr>
        <w:pStyle w:val="nzIndenta"/>
      </w:pPr>
      <w:r>
        <w:tab/>
        <w:t>(d)</w:t>
      </w:r>
      <w:r>
        <w:tab/>
        <w:t xml:space="preserve">after the person has made reasonable enquiry — </w:t>
      </w:r>
    </w:p>
    <w:p>
      <w:pPr>
        <w:pStyle w:val="nzIndenti"/>
      </w:pPr>
      <w:r>
        <w:tab/>
        <w:t>(i)</w:t>
      </w:r>
      <w:r>
        <w:tab/>
        <w:t>neither the whereabouts nor the address of a responsible adult could be ascertained; and</w:t>
      </w:r>
    </w:p>
    <w:p>
      <w:pPr>
        <w:pStyle w:val="nzIndenti"/>
      </w:pPr>
      <w:r>
        <w:tab/>
        <w:t>(ii)</w:t>
      </w:r>
      <w:r>
        <w:tab/>
        <w:t>a way of giving a copy of the notice electronically to a responsible adult in accordance with the regulations could not be found,</w:t>
      </w:r>
    </w:p>
    <w:p>
      <w:pPr>
        <w:pStyle w:val="BlankClose"/>
      </w:pPr>
    </w:p>
    <w:p>
      <w:pPr>
        <w:pStyle w:val="nzHeading5"/>
      </w:pPr>
      <w:r>
        <w:rPr>
          <w:rStyle w:val="CharSectno"/>
        </w:rPr>
        <w:t>139</w:t>
      </w:r>
      <w:r>
        <w:t>.</w:t>
      </w:r>
      <w:r>
        <w:tab/>
        <w:t>Section 45 amended</w:t>
      </w:r>
    </w:p>
    <w:p>
      <w:pPr>
        <w:pStyle w:val="nzSubsection"/>
      </w:pPr>
      <w:r>
        <w:tab/>
      </w:r>
      <w:r>
        <w:tab/>
        <w:t>In section 45(1) delete “personally on” and insert:</w:t>
      </w:r>
    </w:p>
    <w:p>
      <w:pPr>
        <w:pStyle w:val="BlankOpen"/>
      </w:pPr>
    </w:p>
    <w:p>
      <w:pPr>
        <w:pStyle w:val="nzSubsection"/>
      </w:pPr>
      <w:r>
        <w:tab/>
      </w:r>
      <w:r>
        <w:tab/>
        <w:t>(either personally, or electronically in accordance with the regulations) on a person who is a responsible adult,</w:t>
      </w:r>
    </w:p>
    <w:p>
      <w:pPr>
        <w:pStyle w:val="BlankClose"/>
      </w:pPr>
    </w:p>
    <w:p>
      <w:pPr>
        <w:pStyle w:val="BlankClose"/>
        <w:suppressLineNumbers/>
      </w:pPr>
    </w:p>
    <w:p>
      <w:pPr>
        <w:pStyle w:val="nSubsection"/>
        <w:keepNext/>
        <w:keepLines/>
        <w:rPr>
          <w:snapToGrid w:val="0"/>
        </w:rPr>
      </w:pPr>
      <w:r>
        <w:rPr>
          <w:snapToGrid w:val="0"/>
          <w:vertAlign w:val="superscript"/>
        </w:rPr>
        <w:t>14</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24</w:t>
      </w:r>
      <w:r>
        <w:rPr>
          <w:snapToGrid w:val="0"/>
        </w:rPr>
        <w:t xml:space="preserve"> had not come into operation.  It reads as follows:</w:t>
      </w:r>
    </w:p>
    <w:p>
      <w:pPr>
        <w:pStyle w:val="BlankOpen"/>
        <w:rPr>
          <w:rStyle w:val="CharPartText"/>
        </w:rPr>
      </w:pPr>
    </w:p>
    <w:p>
      <w:pPr>
        <w:pStyle w:val="nzHeading2"/>
        <w:rPr>
          <w:rStyle w:val="CharPartText"/>
          <w:b w:val="0"/>
          <w:sz w:val="18"/>
        </w:rPr>
      </w:pPr>
      <w:r>
        <w:rPr>
          <w:rStyle w:val="CharPartNo"/>
        </w:rPr>
        <w:t>Part 4</w:t>
      </w:r>
      <w:r>
        <w:t> — </w:t>
      </w:r>
      <w:r>
        <w:rPr>
          <w:rStyle w:val="CharPartText"/>
        </w:rPr>
        <w:t>Amendments to other Acts</w:t>
      </w:r>
    </w:p>
    <w:p>
      <w:pPr>
        <w:pStyle w:val="nzHeading3"/>
        <w:rPr>
          <w:rStyle w:val="CharPartText"/>
          <w:b w:val="0"/>
          <w:sz w:val="18"/>
        </w:rPr>
      </w:pPr>
      <w:r>
        <w:rPr>
          <w:rStyle w:val="CharDivNo"/>
        </w:rPr>
        <w:t>Division 4</w:t>
      </w:r>
      <w:r>
        <w:t> — </w:t>
      </w:r>
      <w:r>
        <w:rPr>
          <w:rStyle w:val="CharDivText"/>
        </w:rPr>
        <w:t>Other Acts amended</w:t>
      </w:r>
    </w:p>
    <w:p>
      <w:pPr>
        <w:pStyle w:val="nzHeading4"/>
      </w:pPr>
      <w:r>
        <w:t>Subdivision 24 — </w:t>
      </w:r>
      <w:r>
        <w:rPr>
          <w:i/>
        </w:rPr>
        <w:t>Young Offenders Act 1994</w:t>
      </w:r>
      <w:r>
        <w:t xml:space="preserve"> amended</w:t>
      </w:r>
    </w:p>
    <w:p>
      <w:pPr>
        <w:pStyle w:val="nzHeading5"/>
      </w:pPr>
      <w:r>
        <w:rPr>
          <w:rStyle w:val="CharSectno"/>
        </w:rPr>
        <w:t>89</w:t>
      </w:r>
      <w:r>
        <w:t>.</w:t>
      </w:r>
      <w:r>
        <w:tab/>
        <w:t>Act amended</w:t>
      </w:r>
    </w:p>
    <w:p>
      <w:pPr>
        <w:pStyle w:val="nzSubsection"/>
      </w:pPr>
      <w:r>
        <w:tab/>
      </w:r>
      <w:r>
        <w:tab/>
        <w:t xml:space="preserve">This Subdivision amends the </w:t>
      </w:r>
      <w:r>
        <w:rPr>
          <w:i/>
        </w:rPr>
        <w:t>Young Offenders Act 1994</w:t>
      </w:r>
      <w:r>
        <w:t>.</w:t>
      </w:r>
    </w:p>
    <w:p>
      <w:pPr>
        <w:pStyle w:val="nzHeading5"/>
      </w:pPr>
      <w:r>
        <w:rPr>
          <w:rStyle w:val="CharSectno"/>
        </w:rPr>
        <w:t>90</w:t>
      </w:r>
      <w:r>
        <w:t>.</w:t>
      </w:r>
      <w:r>
        <w:tab/>
        <w:t>Section 179 amended</w:t>
      </w:r>
    </w:p>
    <w:p>
      <w:pPr>
        <w:pStyle w:val="nzSubsection"/>
      </w:pPr>
      <w:r>
        <w:tab/>
      </w:r>
      <w:r>
        <w:tab/>
        <w:t xml:space="preserve">In section 179(1) delete the definition of </w:t>
      </w:r>
      <w:r>
        <w:rPr>
          <w:b/>
          <w:i/>
        </w:rPr>
        <w:t>medical treatment</w:t>
      </w:r>
      <w:r>
        <w:t xml:space="preserve"> and insert:</w:t>
      </w:r>
    </w:p>
    <w:p>
      <w:pPr>
        <w:pStyle w:val="BlankOpen"/>
        <w:tabs>
          <w:tab w:val="left" w:pos="2694"/>
        </w:tabs>
      </w:pPr>
    </w:p>
    <w:p>
      <w:pPr>
        <w:pStyle w:val="nzDefstart"/>
      </w:pPr>
      <w:r>
        <w:tab/>
      </w:r>
      <w:r>
        <w:rPr>
          <w:rStyle w:val="CharDefText"/>
        </w:rPr>
        <w:t>medical treatment</w:t>
      </w:r>
      <w:r>
        <w:t xml:space="preserve"> includes psychiatric treatment, which is treatment as defined in the </w:t>
      </w:r>
      <w:r>
        <w:rPr>
          <w:i/>
        </w:rPr>
        <w:t>Mental Health Act 2014</w:t>
      </w:r>
      <w:r>
        <w:t xml:space="preserve"> section 4.</w:t>
      </w:r>
    </w:p>
    <w:p>
      <w:pPr>
        <w:pStyle w:val="BlankClose"/>
        <w:tabs>
          <w:tab w:val="left" w:pos="2694"/>
        </w:tabs>
      </w:pPr>
    </w:p>
    <w:p>
      <w:pPr>
        <w:pStyle w:val="BlankClose"/>
        <w:tabs>
          <w:tab w:val="left" w:pos="2694"/>
        </w:tabs>
      </w:pPr>
    </w:p>
    <w:p>
      <w:pPr>
        <w:pStyle w:val="nSubsection"/>
        <w:keepNext/>
        <w:keepLines/>
        <w:rPr>
          <w:snapToGrid w:val="0"/>
        </w:rPr>
      </w:pPr>
      <w:r>
        <w:rPr>
          <w:snapToGrid w:val="0"/>
          <w:vertAlign w:val="superscript"/>
        </w:rPr>
        <w:t>15</w:t>
      </w:r>
      <w:r>
        <w:rPr>
          <w:snapToGrid w:val="0"/>
        </w:rPr>
        <w:tab/>
      </w:r>
      <w:r>
        <w:t xml:space="preserve">On the date as at which this compilation was prepared, </w:t>
      </w:r>
      <w:r>
        <w:rPr>
          <w:snapToGrid w:val="0"/>
        </w:rPr>
        <w:t xml:space="preserve">the </w:t>
      </w:r>
      <w:r>
        <w:rPr>
          <w:i/>
        </w:rPr>
        <w:t xml:space="preserve">Custodial Legislation (Officers Discipline) Amendment Act 2014 </w:t>
      </w:r>
      <w:r>
        <w:t>Pt. 3</w:t>
      </w:r>
      <w:r>
        <w:rPr>
          <w:snapToGrid w:val="0"/>
        </w:rPr>
        <w:t xml:space="preserve"> had not come into operation.  It reads as follows:</w:t>
      </w:r>
    </w:p>
    <w:p>
      <w:pPr>
        <w:pStyle w:val="BlankOpen"/>
        <w:rPr>
          <w:rStyle w:val="CharPartText"/>
        </w:rPr>
      </w:pPr>
    </w:p>
    <w:p>
      <w:pPr>
        <w:pStyle w:val="nzHeading2"/>
      </w:pPr>
      <w:bookmarkStart w:id="667" w:name="_Toc370987240"/>
      <w:bookmarkStart w:id="668" w:name="_Toc370987332"/>
      <w:bookmarkStart w:id="669" w:name="_Toc370987424"/>
      <w:bookmarkStart w:id="670" w:name="_Toc370987516"/>
      <w:bookmarkStart w:id="671" w:name="_Toc370987994"/>
      <w:bookmarkStart w:id="672" w:name="_Toc370988446"/>
      <w:bookmarkStart w:id="673" w:name="_Toc370988547"/>
      <w:bookmarkStart w:id="674" w:name="_Toc371347006"/>
      <w:bookmarkStart w:id="675" w:name="_Toc372281388"/>
      <w:bookmarkStart w:id="676" w:name="_Toc404765089"/>
      <w:bookmarkStart w:id="677" w:name="_Toc405375751"/>
      <w:r>
        <w:rPr>
          <w:rStyle w:val="CharPartNo"/>
        </w:rPr>
        <w:t>Part 3</w:t>
      </w:r>
      <w:r>
        <w:rPr>
          <w:rStyle w:val="CharDivNo"/>
        </w:rPr>
        <w:t> </w:t>
      </w:r>
      <w:r>
        <w:t>—</w:t>
      </w:r>
      <w:r>
        <w:rPr>
          <w:rStyle w:val="CharDivText"/>
        </w:rPr>
        <w:t> </w:t>
      </w:r>
      <w:r>
        <w:rPr>
          <w:rStyle w:val="CharPartText"/>
          <w:i/>
        </w:rPr>
        <w:t>Young Offenders Act 1994</w:t>
      </w:r>
      <w:r>
        <w:rPr>
          <w:rStyle w:val="CharPartText"/>
        </w:rPr>
        <w:t xml:space="preserve"> amended</w:t>
      </w:r>
      <w:bookmarkEnd w:id="667"/>
      <w:bookmarkEnd w:id="668"/>
      <w:bookmarkEnd w:id="669"/>
      <w:bookmarkEnd w:id="670"/>
      <w:bookmarkEnd w:id="671"/>
      <w:bookmarkEnd w:id="672"/>
      <w:bookmarkEnd w:id="673"/>
      <w:bookmarkEnd w:id="674"/>
      <w:bookmarkEnd w:id="675"/>
      <w:bookmarkEnd w:id="676"/>
      <w:bookmarkEnd w:id="677"/>
    </w:p>
    <w:p>
      <w:pPr>
        <w:pStyle w:val="nzHeading5"/>
      </w:pPr>
      <w:bookmarkStart w:id="678" w:name="_Toc404765090"/>
      <w:bookmarkStart w:id="679" w:name="_Toc405375752"/>
      <w:r>
        <w:rPr>
          <w:rStyle w:val="CharSectno"/>
        </w:rPr>
        <w:t>10</w:t>
      </w:r>
      <w:r>
        <w:t>.</w:t>
      </w:r>
      <w:r>
        <w:tab/>
        <w:t>Act amended</w:t>
      </w:r>
      <w:bookmarkEnd w:id="678"/>
      <w:bookmarkEnd w:id="679"/>
    </w:p>
    <w:p>
      <w:pPr>
        <w:pStyle w:val="nzSubsection"/>
      </w:pPr>
      <w:r>
        <w:tab/>
      </w:r>
      <w:r>
        <w:tab/>
        <w:t xml:space="preserve">This Part amends the </w:t>
      </w:r>
      <w:r>
        <w:rPr>
          <w:i/>
          <w:iCs/>
        </w:rPr>
        <w:t>Young Offenders Act 1994</w:t>
      </w:r>
      <w:r>
        <w:t>.</w:t>
      </w:r>
    </w:p>
    <w:p>
      <w:pPr>
        <w:pStyle w:val="nzHeading5"/>
      </w:pPr>
      <w:bookmarkStart w:id="680" w:name="_Toc404765091"/>
      <w:bookmarkStart w:id="681" w:name="_Toc405375753"/>
      <w:r>
        <w:rPr>
          <w:rStyle w:val="CharSectno"/>
        </w:rPr>
        <w:t>11</w:t>
      </w:r>
      <w:r>
        <w:t>.</w:t>
      </w:r>
      <w:r>
        <w:tab/>
        <w:t>Section 3 amended</w:t>
      </w:r>
      <w:bookmarkEnd w:id="680"/>
      <w:bookmarkEnd w:id="681"/>
    </w:p>
    <w:p>
      <w:pPr>
        <w:pStyle w:val="nzSubsection"/>
      </w:pPr>
      <w:r>
        <w:tab/>
      </w:r>
      <w:r>
        <w:tab/>
        <w:t>In section 3 insert in alphabetical order:</w:t>
      </w:r>
    </w:p>
    <w:p>
      <w:pPr>
        <w:pStyle w:val="BlankOpen"/>
      </w:pPr>
    </w:p>
    <w:p>
      <w:pPr>
        <w:pStyle w:val="nzDefstart"/>
      </w:pPr>
      <w:r>
        <w:tab/>
      </w:r>
      <w:r>
        <w:rPr>
          <w:rStyle w:val="CharDefText"/>
        </w:rPr>
        <w:t>custodial officer</w:t>
      </w:r>
      <w:r>
        <w:t xml:space="preserve"> means — </w:t>
      </w:r>
    </w:p>
    <w:p>
      <w:pPr>
        <w:pStyle w:val="nzDefpara"/>
      </w:pPr>
      <w:r>
        <w:tab/>
        <w:t>(a)</w:t>
      </w:r>
      <w:r>
        <w:tab/>
        <w:t>a superintendent, or other officer with custodial functions, appointed under section 11(1); or</w:t>
      </w:r>
    </w:p>
    <w:p>
      <w:pPr>
        <w:pStyle w:val="nzDefpara"/>
      </w:pPr>
      <w:r>
        <w:tab/>
        <w:t>(b)</w:t>
      </w:r>
      <w:r>
        <w:tab/>
        <w:t>a person who is appointed under section 11(1a)(a) as a custodial officer;</w:t>
      </w:r>
    </w:p>
    <w:p>
      <w:pPr>
        <w:pStyle w:val="nzDefstart"/>
      </w:pPr>
      <w:r>
        <w:tab/>
      </w:r>
      <w:r>
        <w:rPr>
          <w:rStyle w:val="CharDefText"/>
        </w:rPr>
        <w:t>remove</w:t>
      </w:r>
      <w:r>
        <w:t>, in relation to an officer or other person appointed under section 11(1), means terminate the employment of the officer or person;</w:t>
      </w:r>
    </w:p>
    <w:p>
      <w:pPr>
        <w:pStyle w:val="BlankClose"/>
      </w:pPr>
    </w:p>
    <w:p>
      <w:pPr>
        <w:pStyle w:val="nzHeading5"/>
      </w:pPr>
      <w:bookmarkStart w:id="682" w:name="_Toc404765092"/>
      <w:bookmarkStart w:id="683" w:name="_Toc405375754"/>
      <w:r>
        <w:rPr>
          <w:rStyle w:val="CharSectno"/>
        </w:rPr>
        <w:t>12</w:t>
      </w:r>
      <w:r>
        <w:t>.</w:t>
      </w:r>
      <w:r>
        <w:tab/>
        <w:t>Part 3 Division 1 heading replaced</w:t>
      </w:r>
      <w:bookmarkEnd w:id="682"/>
      <w:bookmarkEnd w:id="683"/>
    </w:p>
    <w:p>
      <w:pPr>
        <w:pStyle w:val="nzSubsection"/>
      </w:pPr>
      <w:r>
        <w:tab/>
      </w:r>
      <w:r>
        <w:tab/>
        <w:t>Delete the heading to Part 3 Division 1 and insert:</w:t>
      </w:r>
    </w:p>
    <w:p>
      <w:pPr>
        <w:pStyle w:val="BlankOpen"/>
      </w:pPr>
    </w:p>
    <w:p>
      <w:pPr>
        <w:pStyle w:val="nzHeading3"/>
      </w:pPr>
      <w:bookmarkStart w:id="684" w:name="_Toc370987244"/>
      <w:bookmarkStart w:id="685" w:name="_Toc370987336"/>
      <w:bookmarkStart w:id="686" w:name="_Toc370987428"/>
      <w:bookmarkStart w:id="687" w:name="_Toc370987520"/>
      <w:bookmarkStart w:id="688" w:name="_Toc370987998"/>
      <w:bookmarkStart w:id="689" w:name="_Toc370988450"/>
      <w:bookmarkStart w:id="690" w:name="_Toc370988551"/>
      <w:bookmarkStart w:id="691" w:name="_Toc371347010"/>
      <w:bookmarkStart w:id="692" w:name="_Toc372281392"/>
      <w:bookmarkStart w:id="693" w:name="_Toc404765093"/>
      <w:bookmarkStart w:id="694" w:name="_Toc405375755"/>
      <w:r>
        <w:t>Division 1 — Chief executive officer</w:t>
      </w:r>
      <w:bookmarkEnd w:id="684"/>
      <w:bookmarkEnd w:id="685"/>
      <w:bookmarkEnd w:id="686"/>
      <w:bookmarkEnd w:id="687"/>
      <w:bookmarkEnd w:id="688"/>
      <w:bookmarkEnd w:id="689"/>
      <w:bookmarkEnd w:id="690"/>
      <w:bookmarkEnd w:id="691"/>
      <w:bookmarkEnd w:id="692"/>
      <w:bookmarkEnd w:id="693"/>
      <w:bookmarkEnd w:id="694"/>
    </w:p>
    <w:p>
      <w:pPr>
        <w:pStyle w:val="BlankClose"/>
      </w:pPr>
    </w:p>
    <w:p>
      <w:pPr>
        <w:pStyle w:val="nzHeading5"/>
      </w:pPr>
      <w:bookmarkStart w:id="695" w:name="_Toc404765094"/>
      <w:bookmarkStart w:id="696" w:name="_Toc405375756"/>
      <w:r>
        <w:rPr>
          <w:rStyle w:val="CharSectno"/>
        </w:rPr>
        <w:t>13</w:t>
      </w:r>
      <w:r>
        <w:t>.</w:t>
      </w:r>
      <w:r>
        <w:tab/>
        <w:t>Part 3 Division 2 heading inserted</w:t>
      </w:r>
      <w:bookmarkEnd w:id="695"/>
      <w:bookmarkEnd w:id="696"/>
    </w:p>
    <w:p>
      <w:pPr>
        <w:pStyle w:val="nzSubsection"/>
      </w:pPr>
      <w:r>
        <w:tab/>
      </w:r>
      <w:r>
        <w:tab/>
        <w:t>After section 10 insert:</w:t>
      </w:r>
    </w:p>
    <w:p>
      <w:pPr>
        <w:pStyle w:val="BlankOpen"/>
        <w:keepNext w:val="0"/>
      </w:pPr>
    </w:p>
    <w:p>
      <w:pPr>
        <w:pStyle w:val="nzHeading3"/>
      </w:pPr>
      <w:bookmarkStart w:id="697" w:name="_Toc370987246"/>
      <w:bookmarkStart w:id="698" w:name="_Toc370987338"/>
      <w:bookmarkStart w:id="699" w:name="_Toc370987430"/>
      <w:bookmarkStart w:id="700" w:name="_Toc370987522"/>
      <w:bookmarkStart w:id="701" w:name="_Toc370988000"/>
      <w:bookmarkStart w:id="702" w:name="_Toc370988452"/>
      <w:bookmarkStart w:id="703" w:name="_Toc370988553"/>
      <w:bookmarkStart w:id="704" w:name="_Toc371347012"/>
      <w:bookmarkStart w:id="705" w:name="_Toc372281394"/>
      <w:bookmarkStart w:id="706" w:name="_Toc404765095"/>
      <w:bookmarkStart w:id="707" w:name="_Toc405375757"/>
      <w:r>
        <w:t>Division 2 — Other officers and employees</w:t>
      </w:r>
      <w:bookmarkEnd w:id="697"/>
      <w:bookmarkEnd w:id="698"/>
      <w:bookmarkEnd w:id="699"/>
      <w:bookmarkEnd w:id="700"/>
      <w:bookmarkEnd w:id="701"/>
      <w:bookmarkEnd w:id="702"/>
      <w:bookmarkEnd w:id="703"/>
      <w:bookmarkEnd w:id="704"/>
      <w:bookmarkEnd w:id="705"/>
      <w:bookmarkEnd w:id="706"/>
      <w:bookmarkEnd w:id="707"/>
    </w:p>
    <w:p>
      <w:pPr>
        <w:pStyle w:val="BlankClose"/>
      </w:pPr>
    </w:p>
    <w:p>
      <w:pPr>
        <w:pStyle w:val="nzHeading5"/>
      </w:pPr>
      <w:bookmarkStart w:id="708" w:name="_Toc404765096"/>
      <w:bookmarkStart w:id="709" w:name="_Toc405375758"/>
      <w:r>
        <w:rPr>
          <w:rStyle w:val="CharSectno"/>
        </w:rPr>
        <w:t>14</w:t>
      </w:r>
      <w:r>
        <w:t>.</w:t>
      </w:r>
      <w:r>
        <w:tab/>
        <w:t>Section 11 amended</w:t>
      </w:r>
      <w:bookmarkEnd w:id="708"/>
      <w:bookmarkEnd w:id="709"/>
    </w:p>
    <w:p>
      <w:pPr>
        <w:pStyle w:val="nzSubsection"/>
      </w:pPr>
      <w:r>
        <w:tab/>
        <w:t>(1)</w:t>
      </w:r>
      <w:r>
        <w:tab/>
        <w:t>In section 11(1a):</w:t>
      </w:r>
    </w:p>
    <w:p>
      <w:pPr>
        <w:pStyle w:val="nzIndenta"/>
      </w:pPr>
      <w:r>
        <w:tab/>
        <w:t>(a)</w:t>
      </w:r>
      <w:r>
        <w:tab/>
        <w:t>in paragraph (a) delete “functions (</w:t>
      </w:r>
      <w:r>
        <w:rPr>
          <w:b/>
          <w:i/>
        </w:rPr>
        <w:t>group workers</w:t>
      </w:r>
      <w:r>
        <w:t>);</w:t>
      </w:r>
      <w:r>
        <w:rPr>
          <w:b/>
        </w:rPr>
        <w:t xml:space="preserve"> </w:t>
      </w:r>
      <w:r>
        <w:t>and” and insert:</w:t>
      </w:r>
    </w:p>
    <w:p>
      <w:pPr>
        <w:pStyle w:val="BlankOpen"/>
      </w:pPr>
    </w:p>
    <w:p>
      <w:pPr>
        <w:pStyle w:val="nzIndenta"/>
      </w:pPr>
      <w:r>
        <w:tab/>
      </w:r>
      <w:r>
        <w:tab/>
        <w:t>functions; and</w:t>
      </w:r>
    </w:p>
    <w:p>
      <w:pPr>
        <w:pStyle w:val="BlankClose"/>
      </w:pPr>
    </w:p>
    <w:p>
      <w:pPr>
        <w:pStyle w:val="nzIndenta"/>
      </w:pPr>
      <w:r>
        <w:tab/>
        <w:t>(b)</w:t>
      </w:r>
      <w:r>
        <w:tab/>
        <w:t>delete “terminate the appointment o</w:t>
      </w:r>
      <w:r>
        <w:rPr>
          <w:spacing w:val="30"/>
        </w:rPr>
        <w:t>f”</w:t>
      </w:r>
      <w:r>
        <w:t xml:space="preserve"> and insert:</w:t>
      </w:r>
    </w:p>
    <w:p>
      <w:pPr>
        <w:pStyle w:val="BlankOpen"/>
      </w:pPr>
    </w:p>
    <w:p>
      <w:pPr>
        <w:pStyle w:val="nzIndenta"/>
      </w:pPr>
      <w:r>
        <w:tab/>
      </w:r>
      <w:r>
        <w:tab/>
        <w:t>remove</w:t>
      </w:r>
    </w:p>
    <w:p>
      <w:pPr>
        <w:pStyle w:val="BlankClose"/>
      </w:pPr>
    </w:p>
    <w:p>
      <w:pPr>
        <w:pStyle w:val="nzSubsection"/>
      </w:pPr>
      <w:r>
        <w:tab/>
        <w:t>(2)</w:t>
      </w:r>
      <w:r>
        <w:tab/>
        <w:t>Delete section 11(1b)(b) and insert:</w:t>
      </w:r>
    </w:p>
    <w:p>
      <w:pPr>
        <w:pStyle w:val="BlankOpen"/>
      </w:pPr>
    </w:p>
    <w:p>
      <w:pPr>
        <w:pStyle w:val="nzIndenta"/>
      </w:pPr>
      <w:r>
        <w:tab/>
        <w:t>(b)</w:t>
      </w:r>
      <w:r>
        <w:tab/>
        <w:t xml:space="preserve">may be subject to — </w:t>
      </w:r>
    </w:p>
    <w:p>
      <w:pPr>
        <w:pStyle w:val="nzIndenti"/>
      </w:pPr>
      <w:r>
        <w:tab/>
        <w:t>(i)</w:t>
      </w:r>
      <w:r>
        <w:tab/>
        <w:t>disciplinary proceedings provided for in the regulations; or</w:t>
      </w:r>
    </w:p>
    <w:p>
      <w:pPr>
        <w:pStyle w:val="nzIndenti"/>
      </w:pPr>
      <w:r>
        <w:tab/>
        <w:t>(ii)</w:t>
      </w:r>
      <w:r>
        <w:tab/>
        <w:t xml:space="preserve">if regulations are made under subsection (1C) — disciplinary proceedings under the </w:t>
      </w:r>
      <w:r>
        <w:rPr>
          <w:i/>
        </w:rPr>
        <w:t>Public Sector Management Act 1994</w:t>
      </w:r>
      <w:r>
        <w:t xml:space="preserve"> Part 5.</w:t>
      </w:r>
    </w:p>
    <w:p>
      <w:pPr>
        <w:pStyle w:val="BlankClose"/>
      </w:pPr>
    </w:p>
    <w:p>
      <w:pPr>
        <w:pStyle w:val="nzSubsection"/>
      </w:pPr>
      <w:r>
        <w:tab/>
        <w:t>(3)</w:t>
      </w:r>
      <w:r>
        <w:tab/>
        <w:t>After section 11(1b) insert:</w:t>
      </w:r>
    </w:p>
    <w:p>
      <w:pPr>
        <w:pStyle w:val="BlankOpen"/>
      </w:pPr>
    </w:p>
    <w:p>
      <w:pPr>
        <w:pStyle w:val="nzSubsection"/>
      </w:pPr>
      <w:r>
        <w:tab/>
        <w:t>(1C)</w:t>
      </w:r>
      <w:r>
        <w:tab/>
        <w:t xml:space="preserve">The regulations may prescribe custodial officers for the purposes of the </w:t>
      </w:r>
      <w:r>
        <w:rPr>
          <w:i/>
        </w:rPr>
        <w:t>Public Sector Management Act 1994</w:t>
      </w:r>
      <w:r>
        <w:t xml:space="preserve"> section 76(1)(b).</w:t>
      </w:r>
    </w:p>
    <w:p>
      <w:pPr>
        <w:pStyle w:val="BlankClose"/>
      </w:pPr>
    </w:p>
    <w:p>
      <w:pPr>
        <w:pStyle w:val="nzHeading5"/>
      </w:pPr>
      <w:bookmarkStart w:id="710" w:name="_Toc404765097"/>
      <w:bookmarkStart w:id="711" w:name="_Toc405375759"/>
      <w:r>
        <w:rPr>
          <w:rStyle w:val="CharSectno"/>
        </w:rPr>
        <w:t>15</w:t>
      </w:r>
      <w:r>
        <w:t>.</w:t>
      </w:r>
      <w:r>
        <w:tab/>
        <w:t>Section 11B amended</w:t>
      </w:r>
      <w:bookmarkEnd w:id="710"/>
      <w:bookmarkEnd w:id="711"/>
    </w:p>
    <w:p>
      <w:pPr>
        <w:pStyle w:val="nzSubsection"/>
      </w:pPr>
      <w:r>
        <w:tab/>
      </w:r>
      <w:r>
        <w:tab/>
        <w:t>In section 11B delete “person who is appointed under section 11(1) or (1a) as a”.</w:t>
      </w:r>
    </w:p>
    <w:p>
      <w:pPr>
        <w:pStyle w:val="nzNotesPerm"/>
      </w:pPr>
      <w:r>
        <w:tab/>
        <w:t>Note:</w:t>
      </w:r>
      <w:r>
        <w:tab/>
        <w:t>The heading to amended section 11B is to read:</w:t>
      </w:r>
    </w:p>
    <w:p>
      <w:pPr>
        <w:pStyle w:val="nzNotesPerm"/>
      </w:pPr>
      <w:r>
        <w:tab/>
      </w:r>
      <w:r>
        <w:tab/>
      </w:r>
      <w:r>
        <w:rPr>
          <w:b/>
        </w:rPr>
        <w:t>Powers and duties of custodial officers</w:t>
      </w:r>
    </w:p>
    <w:p>
      <w:pPr>
        <w:pStyle w:val="nzHeading5"/>
      </w:pPr>
      <w:bookmarkStart w:id="712" w:name="_Toc404765098"/>
      <w:bookmarkStart w:id="713" w:name="_Toc405375760"/>
      <w:r>
        <w:rPr>
          <w:rStyle w:val="CharSectno"/>
        </w:rPr>
        <w:t>16</w:t>
      </w:r>
      <w:r>
        <w:t>.</w:t>
      </w:r>
      <w:r>
        <w:tab/>
        <w:t>Part 3 Division 3 inserted</w:t>
      </w:r>
      <w:bookmarkEnd w:id="712"/>
      <w:bookmarkEnd w:id="713"/>
    </w:p>
    <w:p>
      <w:pPr>
        <w:pStyle w:val="nzSubsection"/>
      </w:pPr>
      <w:r>
        <w:tab/>
      </w:r>
      <w:r>
        <w:tab/>
        <w:t>After section 11B insert:</w:t>
      </w:r>
    </w:p>
    <w:p>
      <w:pPr>
        <w:pStyle w:val="BlankOpen"/>
      </w:pPr>
    </w:p>
    <w:p>
      <w:pPr>
        <w:pStyle w:val="nzHeading3"/>
      </w:pPr>
      <w:bookmarkStart w:id="714" w:name="_Toc370987250"/>
      <w:bookmarkStart w:id="715" w:name="_Toc370987342"/>
      <w:bookmarkStart w:id="716" w:name="_Toc370987434"/>
      <w:bookmarkStart w:id="717" w:name="_Toc370987526"/>
      <w:bookmarkStart w:id="718" w:name="_Toc370988004"/>
      <w:bookmarkStart w:id="719" w:name="_Toc370988456"/>
      <w:bookmarkStart w:id="720" w:name="_Toc370988557"/>
      <w:bookmarkStart w:id="721" w:name="_Toc371347016"/>
      <w:bookmarkStart w:id="722" w:name="_Toc372281398"/>
      <w:bookmarkStart w:id="723" w:name="_Toc404765099"/>
      <w:bookmarkStart w:id="724" w:name="_Toc405375761"/>
      <w:r>
        <w:t>Division 3 — Removal of custodial officers due to loss of confidence</w:t>
      </w:r>
      <w:bookmarkEnd w:id="714"/>
      <w:bookmarkEnd w:id="715"/>
      <w:bookmarkEnd w:id="716"/>
      <w:bookmarkEnd w:id="717"/>
      <w:bookmarkEnd w:id="718"/>
      <w:bookmarkEnd w:id="719"/>
      <w:bookmarkEnd w:id="720"/>
      <w:bookmarkEnd w:id="721"/>
      <w:bookmarkEnd w:id="722"/>
      <w:bookmarkEnd w:id="723"/>
      <w:bookmarkEnd w:id="724"/>
    </w:p>
    <w:p>
      <w:pPr>
        <w:pStyle w:val="nzHeading4"/>
      </w:pPr>
      <w:bookmarkStart w:id="725" w:name="_Toc370987251"/>
      <w:bookmarkStart w:id="726" w:name="_Toc370987343"/>
      <w:bookmarkStart w:id="727" w:name="_Toc370987435"/>
      <w:bookmarkStart w:id="728" w:name="_Toc370987527"/>
      <w:bookmarkStart w:id="729" w:name="_Toc370988005"/>
      <w:bookmarkStart w:id="730" w:name="_Toc370988457"/>
      <w:bookmarkStart w:id="731" w:name="_Toc370988558"/>
      <w:bookmarkStart w:id="732" w:name="_Toc371347017"/>
      <w:bookmarkStart w:id="733" w:name="_Toc372281399"/>
      <w:bookmarkStart w:id="734" w:name="_Toc404765100"/>
      <w:bookmarkStart w:id="735" w:name="_Toc405375762"/>
      <w:r>
        <w:t>Subdivision 1 — Preliminary</w:t>
      </w:r>
      <w:bookmarkEnd w:id="725"/>
      <w:bookmarkEnd w:id="726"/>
      <w:bookmarkEnd w:id="727"/>
      <w:bookmarkEnd w:id="728"/>
      <w:bookmarkEnd w:id="729"/>
      <w:bookmarkEnd w:id="730"/>
      <w:bookmarkEnd w:id="731"/>
      <w:bookmarkEnd w:id="732"/>
      <w:bookmarkEnd w:id="733"/>
      <w:bookmarkEnd w:id="734"/>
      <w:bookmarkEnd w:id="735"/>
    </w:p>
    <w:p>
      <w:pPr>
        <w:pStyle w:val="nzHeading5"/>
      </w:pPr>
      <w:bookmarkStart w:id="736" w:name="_Toc404765101"/>
      <w:bookmarkStart w:id="737" w:name="_Toc405375763"/>
      <w:r>
        <w:t>11CA.</w:t>
      </w:r>
      <w:r>
        <w:tab/>
        <w:t>Terms used</w:t>
      </w:r>
      <w:bookmarkEnd w:id="736"/>
      <w:bookmarkEnd w:id="737"/>
    </w:p>
    <w:p>
      <w:pPr>
        <w:pStyle w:val="nzSubsection"/>
      </w:pPr>
      <w:r>
        <w:tab/>
      </w:r>
      <w:r>
        <w:tab/>
        <w:t xml:space="preserve">In this Division, unless the contrary intention appears — </w:t>
      </w:r>
    </w:p>
    <w:p>
      <w:pPr>
        <w:pStyle w:val="nzDefstart"/>
      </w:pPr>
      <w:r>
        <w:tab/>
      </w:r>
      <w:r>
        <w:rPr>
          <w:rStyle w:val="CharDefText"/>
        </w:rPr>
        <w:t>appeal</w:t>
      </w:r>
      <w:r>
        <w:t xml:space="preserve"> means an appeal under section 11CH;</w:t>
      </w:r>
    </w:p>
    <w:p>
      <w:pPr>
        <w:pStyle w:val="nzDefstart"/>
      </w:pPr>
      <w:r>
        <w:tab/>
      </w:r>
      <w:r>
        <w:rPr>
          <w:rStyle w:val="CharDefText"/>
        </w:rPr>
        <w:t>appellant</w:t>
      </w:r>
      <w:r>
        <w:t xml:space="preserve"> means a person who institutes an appeal;</w:t>
      </w:r>
    </w:p>
    <w:p>
      <w:pPr>
        <w:pStyle w:val="nzDefstart"/>
      </w:pPr>
      <w:r>
        <w:tab/>
      </w:r>
      <w:r>
        <w:rPr>
          <w:rStyle w:val="CharDefText"/>
        </w:rPr>
        <w:t>Chief Commissioner</w:t>
      </w:r>
      <w:r>
        <w:t xml:space="preserve"> has the same meaning as in the </w:t>
      </w:r>
      <w:r>
        <w:rPr>
          <w:i/>
        </w:rPr>
        <w:t>Industrial Relations Act 1979</w:t>
      </w:r>
      <w:r>
        <w:t>;</w:t>
      </w:r>
    </w:p>
    <w:p>
      <w:pPr>
        <w:pStyle w:val="nzDefstart"/>
      </w:pPr>
      <w:r>
        <w:tab/>
      </w:r>
      <w:r>
        <w:rPr>
          <w:rStyle w:val="CharDefText"/>
        </w:rPr>
        <w:t>decision notice</w:t>
      </w:r>
      <w:r>
        <w:t xml:space="preserve"> has the meaning given in section 11CD(3)(b);</w:t>
      </w:r>
    </w:p>
    <w:p>
      <w:pPr>
        <w:pStyle w:val="nzDefstart"/>
      </w:pPr>
      <w:r>
        <w:tab/>
      </w:r>
      <w:r>
        <w:rPr>
          <w:rStyle w:val="CharDefText"/>
        </w:rPr>
        <w:t>industrial commissioner</w:t>
      </w:r>
      <w:r>
        <w:t xml:space="preserve"> means a commissioner as defined in the </w:t>
      </w:r>
      <w:r>
        <w:rPr>
          <w:i/>
        </w:rPr>
        <w:t>Industrial Relations Act 1979</w:t>
      </w:r>
      <w:r>
        <w:t xml:space="preserve"> section 7(1);</w:t>
      </w:r>
    </w:p>
    <w:p>
      <w:pPr>
        <w:pStyle w:val="nzDefstart"/>
      </w:pPr>
      <w:r>
        <w:tab/>
      </w:r>
      <w:r>
        <w:rPr>
          <w:rStyle w:val="CharDefText"/>
        </w:rPr>
        <w:t>maintenance payment</w:t>
      </w:r>
      <w:r>
        <w:t xml:space="preserve"> has the meaning given in section 11CE(1);</w:t>
      </w:r>
    </w:p>
    <w:p>
      <w:pPr>
        <w:pStyle w:val="nzDefstart"/>
      </w:pPr>
      <w:r>
        <w:tab/>
      </w:r>
      <w:r>
        <w:rPr>
          <w:rStyle w:val="CharDefText"/>
        </w:rPr>
        <w:t>maintenance period</w:t>
      </w:r>
      <w:r>
        <w:t xml:space="preserve"> has the meaning given in section 11CE(1);</w:t>
      </w:r>
    </w:p>
    <w:p>
      <w:pPr>
        <w:pStyle w:val="nzDefstart"/>
      </w:pPr>
      <w:r>
        <w:tab/>
      </w:r>
      <w:r>
        <w:rPr>
          <w:rStyle w:val="CharDefText"/>
        </w:rPr>
        <w:t>new evidence</w:t>
      </w:r>
      <w:r>
        <w:t xml:space="preserve">, on an appeal against the removal of a custodial officer, means evidence other than evidence of any of the following — </w:t>
      </w:r>
    </w:p>
    <w:p>
      <w:pPr>
        <w:pStyle w:val="nzDefpara"/>
      </w:pPr>
      <w:r>
        <w:tab/>
        <w:t>(a)</w:t>
      </w:r>
      <w:r>
        <w:tab/>
        <w:t>a document or other material that was examined and taken into account by the chief executive officer in making the removal decision;</w:t>
      </w:r>
    </w:p>
    <w:p>
      <w:pPr>
        <w:pStyle w:val="nzDefpara"/>
      </w:pPr>
      <w:r>
        <w:tab/>
        <w:t>(b)</w:t>
      </w:r>
      <w:r>
        <w:tab/>
        <w:t>the notice given under section 11CD(1);</w:t>
      </w:r>
    </w:p>
    <w:p>
      <w:pPr>
        <w:pStyle w:val="nzDefpara"/>
      </w:pPr>
      <w:r>
        <w:tab/>
        <w:t>(c)</w:t>
      </w:r>
      <w:r>
        <w:tab/>
        <w:t>a written submission made to the chief executive officer by the custodial officer under section 11CD(2);</w:t>
      </w:r>
    </w:p>
    <w:p>
      <w:pPr>
        <w:pStyle w:val="nzDefpara"/>
      </w:pPr>
      <w:r>
        <w:tab/>
        <w:t>(d)</w:t>
      </w:r>
      <w:r>
        <w:tab/>
        <w:t>a decision notice;</w:t>
      </w:r>
    </w:p>
    <w:p>
      <w:pPr>
        <w:pStyle w:val="nzDefpara"/>
      </w:pPr>
      <w:r>
        <w:tab/>
        <w:t>(e)</w:t>
      </w:r>
      <w:r>
        <w:tab/>
        <w:t>a notification of the removal;</w:t>
      </w:r>
    </w:p>
    <w:p>
      <w:pPr>
        <w:pStyle w:val="nzDefstart"/>
      </w:pPr>
      <w:r>
        <w:tab/>
      </w:r>
      <w:r>
        <w:rPr>
          <w:rStyle w:val="CharDefText"/>
        </w:rPr>
        <w:t>removal action</w:t>
      </w:r>
      <w:r>
        <w:t>, in relation to a custodial officer, means the removal of the custodial officer under section 11CC;</w:t>
      </w:r>
    </w:p>
    <w:p>
      <w:pPr>
        <w:pStyle w:val="nzDefstart"/>
      </w:pPr>
      <w:r>
        <w:tab/>
      </w:r>
      <w:r>
        <w:rPr>
          <w:rStyle w:val="CharDefText"/>
        </w:rPr>
        <w:t>removal decision</w:t>
      </w:r>
      <w:r>
        <w:t xml:space="preserve"> means a decision of the chief executive officer to take removal action;</w:t>
      </w:r>
    </w:p>
    <w:p>
      <w:pPr>
        <w:pStyle w:val="nzDefstart"/>
      </w:pPr>
      <w:r>
        <w:tab/>
      </w:r>
      <w:r>
        <w:rPr>
          <w:rStyle w:val="CharDefText"/>
        </w:rPr>
        <w:t>suitability to continue as a custodial officer</w:t>
      </w:r>
      <w:r>
        <w:t xml:space="preserve"> means suitability to continue as a custodial officer having regard to the officer’s integrity, honesty, competence, performance or conduct;</w:t>
      </w:r>
    </w:p>
    <w:p>
      <w:pPr>
        <w:pStyle w:val="nz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nzHeading4"/>
      </w:pPr>
      <w:bookmarkStart w:id="738" w:name="_Toc370987253"/>
      <w:bookmarkStart w:id="739" w:name="_Toc370987345"/>
      <w:bookmarkStart w:id="740" w:name="_Toc370987437"/>
      <w:bookmarkStart w:id="741" w:name="_Toc370987529"/>
      <w:bookmarkStart w:id="742" w:name="_Toc370988007"/>
      <w:bookmarkStart w:id="743" w:name="_Toc370988459"/>
      <w:bookmarkStart w:id="744" w:name="_Toc370988560"/>
      <w:bookmarkStart w:id="745" w:name="_Toc371347019"/>
      <w:bookmarkStart w:id="746" w:name="_Toc372281401"/>
      <w:bookmarkStart w:id="747" w:name="_Toc404765102"/>
      <w:bookmarkStart w:id="748" w:name="_Toc405375764"/>
      <w:r>
        <w:t>Subdivision 2 — Removal of custodial officers</w:t>
      </w:r>
      <w:bookmarkEnd w:id="738"/>
      <w:bookmarkEnd w:id="739"/>
      <w:bookmarkEnd w:id="740"/>
      <w:bookmarkEnd w:id="741"/>
      <w:bookmarkEnd w:id="742"/>
      <w:bookmarkEnd w:id="743"/>
      <w:bookmarkEnd w:id="744"/>
      <w:bookmarkEnd w:id="745"/>
      <w:bookmarkEnd w:id="746"/>
      <w:bookmarkEnd w:id="747"/>
      <w:bookmarkEnd w:id="748"/>
    </w:p>
    <w:p>
      <w:pPr>
        <w:pStyle w:val="nzHeading5"/>
      </w:pPr>
      <w:bookmarkStart w:id="749" w:name="_Toc404765103"/>
      <w:bookmarkStart w:id="750" w:name="_Toc405375765"/>
      <w:r>
        <w:t>11CB.</w:t>
      </w:r>
      <w:r>
        <w:tab/>
        <w:t>Application of Subdivision</w:t>
      </w:r>
      <w:bookmarkEnd w:id="749"/>
      <w:bookmarkEnd w:id="750"/>
    </w:p>
    <w:p>
      <w:pPr>
        <w:pStyle w:val="nzSubsection"/>
      </w:pPr>
      <w:r>
        <w:tab/>
        <w:t>(1)</w:t>
      </w:r>
      <w:r>
        <w:tab/>
        <w:t xml:space="preserve">This Subdivision applies if — </w:t>
      </w:r>
    </w:p>
    <w:p>
      <w:pPr>
        <w:pStyle w:val="nzIndenta"/>
      </w:pPr>
      <w:r>
        <w:tab/>
        <w:t>(a)</w:t>
      </w:r>
      <w:r>
        <w:tab/>
        <w:t>the chief executive officer does not have confidence in a custodial officer’s suitability to continue as a custodial officer; and</w:t>
      </w:r>
    </w:p>
    <w:p>
      <w:pPr>
        <w:pStyle w:val="nzIndenta"/>
      </w:pPr>
      <w:r>
        <w:tab/>
        <w:t>(b)</w:t>
      </w:r>
      <w:r>
        <w:tab/>
        <w:t xml:space="preserve">the chief executive officer — </w:t>
      </w:r>
    </w:p>
    <w:p>
      <w:pPr>
        <w:pStyle w:val="nzIndenti"/>
      </w:pPr>
      <w:r>
        <w:tab/>
        <w:t>(i)</w:t>
      </w:r>
      <w:r>
        <w:tab/>
        <w:t>decides not to take, or continue to take, disciplinary proceedings referred to in section 11(1b)(b) against a custodial officer; and</w:t>
      </w:r>
    </w:p>
    <w:p>
      <w:pPr>
        <w:pStyle w:val="nzIndenti"/>
      </w:pPr>
      <w:r>
        <w:tab/>
        <w:t>(ii)</w:t>
      </w:r>
      <w:r>
        <w:tab/>
        <w:t>decides instead to take removal action in relation to the custodial officer.</w:t>
      </w:r>
    </w:p>
    <w:p>
      <w:pPr>
        <w:pStyle w:val="nzSubsection"/>
      </w:pPr>
      <w:r>
        <w:tab/>
        <w:t>(2)</w:t>
      </w:r>
      <w:r>
        <w:tab/>
        <w:t xml:space="preserve">If regulations are made under section 11(1C), this Subdivision applies despite the </w:t>
      </w:r>
      <w:r>
        <w:rPr>
          <w:i/>
        </w:rPr>
        <w:t>Public Sector Management Act 1994</w:t>
      </w:r>
      <w:r>
        <w:t xml:space="preserve"> section 76(2).</w:t>
      </w:r>
    </w:p>
    <w:p>
      <w:pPr>
        <w:pStyle w:val="nzHeading5"/>
      </w:pPr>
      <w:bookmarkStart w:id="751" w:name="_Toc404765104"/>
      <w:bookmarkStart w:id="752" w:name="_Toc405375766"/>
      <w:r>
        <w:t>11CC.</w:t>
      </w:r>
      <w:r>
        <w:tab/>
        <w:t>Removal action</w:t>
      </w:r>
      <w:bookmarkEnd w:id="751"/>
      <w:bookmarkEnd w:id="752"/>
    </w:p>
    <w:p>
      <w:pPr>
        <w:pStyle w:val="nzSubsection"/>
      </w:pPr>
      <w:r>
        <w:tab/>
        <w:t>(1)</w:t>
      </w:r>
      <w:r>
        <w:tab/>
        <w:t>If the chief executive officer does not have confidence in a custodial officer’s suitability to continue as a custodial officer, the chief executive officer may remove the custodial officer.</w:t>
      </w:r>
    </w:p>
    <w:p>
      <w:pPr>
        <w:pStyle w:val="nzSubsection"/>
      </w:pPr>
      <w:r>
        <w:tab/>
        <w:t>(2)</w:t>
      </w:r>
      <w:r>
        <w:tab/>
        <w:t xml:space="preserve">Subsection (1) applies in addition to, and does not limit the operation of, the </w:t>
      </w:r>
      <w:r>
        <w:rPr>
          <w:i/>
        </w:rPr>
        <w:t>Public Sector Management Act 1994</w:t>
      </w:r>
      <w:r>
        <w:t>.</w:t>
      </w:r>
    </w:p>
    <w:p>
      <w:pPr>
        <w:pStyle w:val="nzSubsection"/>
      </w:pPr>
      <w:r>
        <w:tab/>
        <w:t>(3)</w:t>
      </w:r>
      <w:r>
        <w:tab/>
        <w:t>The chief executive officer may conduct any necessary investigation to determine a custodial officer’s suitability to continue as a custodial officer.</w:t>
      </w:r>
    </w:p>
    <w:p>
      <w:pPr>
        <w:pStyle w:val="nzSubsection"/>
      </w:pPr>
      <w:r>
        <w:tab/>
        <w:t>(4)</w:t>
      </w:r>
      <w:r>
        <w:tab/>
        <w:t xml:space="preserve">For the purpose of the investigation the chief executive officer may require the custodial officer to do all or any of the following — </w:t>
      </w:r>
    </w:p>
    <w:p>
      <w:pPr>
        <w:pStyle w:val="nzIndenta"/>
      </w:pPr>
      <w:r>
        <w:tab/>
        <w:t>(a)</w:t>
      </w:r>
      <w:r>
        <w:tab/>
        <w:t>provide the chief executive officer with any information or answer any question that the chief executive officer requires;</w:t>
      </w:r>
    </w:p>
    <w:p>
      <w:pPr>
        <w:pStyle w:val="nzIndenta"/>
      </w:pPr>
      <w:r>
        <w:tab/>
        <w:t>(b)</w:t>
      </w:r>
      <w:r>
        <w:tab/>
        <w:t>produce to the chief executive officer any document in the custody or under the control of the custodial officer.</w:t>
      </w:r>
    </w:p>
    <w:p>
      <w:pPr>
        <w:pStyle w:val="nzSubsection"/>
      </w:pPr>
      <w:r>
        <w:tab/>
        <w:t>(5)</w:t>
      </w:r>
      <w:r>
        <w:tab/>
        <w:t xml:space="preserve">The custodial officer is not excused from giving information, answering any question or producing a document when required to do so under subsection (4) on the ground that the information, answer or document might — </w:t>
      </w:r>
    </w:p>
    <w:p>
      <w:pPr>
        <w:pStyle w:val="nzIndenta"/>
      </w:pPr>
      <w:r>
        <w:tab/>
        <w:t>(a)</w:t>
      </w:r>
      <w:r>
        <w:tab/>
        <w:t xml:space="preserve">incriminate the custodial officer; or </w:t>
      </w:r>
    </w:p>
    <w:p>
      <w:pPr>
        <w:pStyle w:val="nzIndenta"/>
      </w:pPr>
      <w:r>
        <w:tab/>
        <w:t>(b)</w:t>
      </w:r>
      <w:r>
        <w:tab/>
        <w:t>render the custodial officer liable to a disciplinary measure under section 11 or removal under this Division.</w:t>
      </w:r>
    </w:p>
    <w:p>
      <w:pPr>
        <w:pStyle w:val="nzSubsection"/>
      </w:pPr>
      <w:r>
        <w:tab/>
        <w:t>(6)</w:t>
      </w:r>
      <w:r>
        <w:tab/>
        <w:t>The information, answer or document is not admissible in evidence against the custodial officer in any criminal proceedings except in proceedings for an offence under subsection (7).</w:t>
      </w:r>
    </w:p>
    <w:p>
      <w:pPr>
        <w:pStyle w:val="nzSubsection"/>
      </w:pPr>
      <w:r>
        <w:tab/>
        <w:t>(7)</w:t>
      </w:r>
      <w:r>
        <w:tab/>
        <w:t xml:space="preserve">A custodial officer must not, in response to a requirement under subsection (4) — </w:t>
      </w:r>
    </w:p>
    <w:p>
      <w:pPr>
        <w:pStyle w:val="nzIndenta"/>
      </w:pPr>
      <w:r>
        <w:tab/>
        <w:t>(a)</w:t>
      </w:r>
      <w:r>
        <w:tab/>
        <w:t>fail or refuse to provide the required information or answer or produce the required document; or</w:t>
      </w:r>
    </w:p>
    <w:p>
      <w:pPr>
        <w:pStyle w:val="nzIndenta"/>
      </w:pPr>
      <w:r>
        <w:tab/>
        <w:t>(b)</w:t>
      </w:r>
      <w:r>
        <w:tab/>
        <w:t>give information or an answer that is false or misleading in a material particular; or</w:t>
      </w:r>
    </w:p>
    <w:p>
      <w:pPr>
        <w:pStyle w:val="nzIndenta"/>
      </w:pPr>
      <w:r>
        <w:tab/>
        <w:t>(c)</w:t>
      </w:r>
      <w:r>
        <w:tab/>
        <w:t>produce a document that the custodial officer knows is false or misleading in a material particular —</w:t>
      </w:r>
    </w:p>
    <w:p>
      <w:pPr>
        <w:pStyle w:val="nzIndenti"/>
      </w:pPr>
      <w:r>
        <w:tab/>
        <w:t>(i)</w:t>
      </w:r>
      <w:r>
        <w:tab/>
        <w:t>without indicating that the document is false or misleading and, to the extent the custodial officer can, how the document is false or misleading; and</w:t>
      </w:r>
    </w:p>
    <w:p>
      <w:pPr>
        <w:pStyle w:val="nzIndenti"/>
      </w:pPr>
      <w:r>
        <w:tab/>
        <w:t>(ii)</w:t>
      </w:r>
      <w:r>
        <w:tab/>
        <w:t>if the custodial officer has, or can reasonably obtain, the correct information — without providing the correct information.</w:t>
      </w:r>
    </w:p>
    <w:p>
      <w:pPr>
        <w:pStyle w:val="nzPenstart"/>
      </w:pPr>
      <w:r>
        <w:tab/>
        <w:t>Penalty: a fine of $4 000 and imprisonment for 12 months.</w:t>
      </w:r>
    </w:p>
    <w:p>
      <w:pPr>
        <w:pStyle w:val="nzHeading5"/>
      </w:pPr>
      <w:bookmarkStart w:id="753" w:name="_Toc404765105"/>
      <w:bookmarkStart w:id="754" w:name="_Toc405375767"/>
      <w:r>
        <w:t>11CD.</w:t>
      </w:r>
      <w:r>
        <w:tab/>
        <w:t>Notice of loss of confidence</w:t>
      </w:r>
      <w:bookmarkEnd w:id="753"/>
      <w:bookmarkEnd w:id="754"/>
    </w:p>
    <w:p>
      <w:pPr>
        <w:pStyle w:val="nzSubsection"/>
      </w:pPr>
      <w:r>
        <w:tab/>
        <w:t>(1)</w:t>
      </w:r>
      <w:r>
        <w:tab/>
        <w:t>The chief executive officer may give the custodial officer a written notice setting out the grounds on which the chief executive officer does not have confidence in the custodial officer’s suitability to continue as a custodial officer.</w:t>
      </w:r>
    </w:p>
    <w:p>
      <w:pPr>
        <w:pStyle w:val="nzSubsection"/>
      </w:pPr>
      <w:r>
        <w:tab/>
        <w:t>(2)</w:t>
      </w:r>
      <w:r>
        <w:tab/>
        <w:t xml:space="preserve">The custodial officer may make written submissions to the chief executive officer in relation to the notice within the following period (the </w:t>
      </w:r>
      <w:r>
        <w:rPr>
          <w:rStyle w:val="CharDefText"/>
        </w:rPr>
        <w:t>submission period</w:t>
      </w:r>
      <w:r>
        <w:t xml:space="preserve">) — </w:t>
      </w:r>
    </w:p>
    <w:p>
      <w:pPr>
        <w:pStyle w:val="nzIndenta"/>
      </w:pPr>
      <w:r>
        <w:tab/>
        <w:t>(a)</w:t>
      </w:r>
      <w:r>
        <w:tab/>
        <w:t>21 days after the day on which the notice is given; or</w:t>
      </w:r>
    </w:p>
    <w:p>
      <w:pPr>
        <w:pStyle w:val="nzIndenta"/>
      </w:pPr>
      <w:r>
        <w:tab/>
        <w:t>(b)</w:t>
      </w:r>
      <w:r>
        <w:tab/>
        <w:t>any longer period after that day allowed by the chief executive officer.</w:t>
      </w:r>
    </w:p>
    <w:p>
      <w:pPr>
        <w:pStyle w:val="nzSubsection"/>
      </w:pPr>
      <w:r>
        <w:tab/>
        <w:t>(3)</w:t>
      </w:r>
      <w:r>
        <w:tab/>
        <w:t xml:space="preserve">After the submission period, the chief executive officer must — </w:t>
      </w:r>
    </w:p>
    <w:p>
      <w:pPr>
        <w:pStyle w:val="nzIndenta"/>
      </w:pPr>
      <w:r>
        <w:tab/>
        <w:t>(a)</w:t>
      </w:r>
      <w:r>
        <w:tab/>
        <w:t>decide whether or not to take removal action against the custodial officer; and</w:t>
      </w:r>
    </w:p>
    <w:p>
      <w:pPr>
        <w:pStyle w:val="nzIndenta"/>
      </w:pPr>
      <w:r>
        <w:tab/>
        <w:t>(b)</w:t>
      </w:r>
      <w:r>
        <w:tab/>
        <w:t xml:space="preserve">give the custodial officer written notice of the decision (the </w:t>
      </w:r>
      <w:r>
        <w:rPr>
          <w:rStyle w:val="CharDefText"/>
        </w:rPr>
        <w:t>decision notice</w:t>
      </w:r>
      <w:r>
        <w:t>).</w:t>
      </w:r>
    </w:p>
    <w:p>
      <w:pPr>
        <w:pStyle w:val="nzSubsection"/>
      </w:pPr>
      <w:r>
        <w:tab/>
        <w:t>(4)</w:t>
      </w:r>
      <w:r>
        <w:tab/>
        <w:t xml:space="preserve">The chief executive officer must not decide to take removal action against the custodial officer unless the chief executive officer — </w:t>
      </w:r>
    </w:p>
    <w:p>
      <w:pPr>
        <w:pStyle w:val="nzIndenta"/>
      </w:pPr>
      <w:r>
        <w:tab/>
        <w:t>(a)</w:t>
      </w:r>
      <w:r>
        <w:tab/>
        <w:t>has taken into account any written submissions received from the custodial officer during the submission period; and</w:t>
      </w:r>
    </w:p>
    <w:p>
      <w:pPr>
        <w:pStyle w:val="nzIndenta"/>
      </w:pPr>
      <w:r>
        <w:tab/>
        <w:t>(b)</w:t>
      </w:r>
      <w:r>
        <w:tab/>
        <w:t>still does not have confidence in a custodial officer’s suitability to continue as a custodial officer.</w:t>
      </w:r>
    </w:p>
    <w:p>
      <w:pPr>
        <w:pStyle w:val="nzSubsection"/>
      </w:pPr>
      <w:r>
        <w:tab/>
        <w:t>(5)</w:t>
      </w:r>
      <w:r>
        <w:tab/>
        <w:t>If the chief executive officer decides to take removal action against the custodial officer, the decision notice must contain the reasons for the decision.</w:t>
      </w:r>
    </w:p>
    <w:p>
      <w:pPr>
        <w:pStyle w:val="nzSubsection"/>
      </w:pPr>
      <w:r>
        <w:tab/>
        <w:t>(6)</w:t>
      </w:r>
      <w:r>
        <w:tab/>
        <w:t xml:space="preserve">Except as provided in the regulations, the chief executive officer must, within 7 days after giving the decision notice — </w:t>
      </w:r>
    </w:p>
    <w:p>
      <w:pPr>
        <w:pStyle w:val="nzIndenta"/>
      </w:pPr>
      <w:r>
        <w:tab/>
        <w:t>(a)</w:t>
      </w:r>
      <w:r>
        <w:tab/>
        <w:t xml:space="preserve">give to the custodial officer a copy of any documents that were considered by the chief executive officer in making the decision; and </w:t>
      </w:r>
    </w:p>
    <w:p>
      <w:pPr>
        <w:pStyle w:val="nzIndenta"/>
      </w:pPr>
      <w:r>
        <w:tab/>
        <w:t>(b)</w:t>
      </w:r>
      <w:r>
        <w:tab/>
        <w:t>make available to the custodial officer for inspection any other materials that were considered by the chief executive officer in making the decision.</w:t>
      </w:r>
    </w:p>
    <w:p>
      <w:pPr>
        <w:pStyle w:val="nzSubsection"/>
      </w:pPr>
      <w:r>
        <w:tab/>
        <w:t>(7)</w:t>
      </w:r>
      <w:r>
        <w:tab/>
        <w:t>The removal action may be carried out when the notice is given or at any time after that.</w:t>
      </w:r>
    </w:p>
    <w:p>
      <w:pPr>
        <w:pStyle w:val="nzHeading5"/>
      </w:pPr>
      <w:bookmarkStart w:id="755" w:name="_Toc404765106"/>
      <w:bookmarkStart w:id="756" w:name="_Toc405375768"/>
      <w:r>
        <w:t>11CE.</w:t>
      </w:r>
      <w:r>
        <w:tab/>
        <w:t>Maintenance payment</w:t>
      </w:r>
      <w:bookmarkEnd w:id="755"/>
      <w:bookmarkEnd w:id="756"/>
    </w:p>
    <w:p>
      <w:pPr>
        <w:pStyle w:val="nzSubsection"/>
      </w:pPr>
      <w:r>
        <w:tab/>
        <w:t>(1)</w:t>
      </w:r>
      <w:r>
        <w:tab/>
        <w:t xml:space="preserve">If a custodial officer is removed as a result of removal action, the custodial officer is entitled to receive a payment (a </w:t>
      </w:r>
      <w:r>
        <w:rPr>
          <w:rStyle w:val="CharDefText"/>
        </w:rPr>
        <w:t>maintenance payment</w:t>
      </w:r>
      <w:r>
        <w:t xml:space="preserve">) for the period of 28 days after the day on which the custodial officer is removed (the </w:t>
      </w:r>
      <w:r>
        <w:rPr>
          <w:rStyle w:val="CharDefText"/>
        </w:rPr>
        <w:t>maintenance period</w:t>
      </w:r>
      <w:r>
        <w:t>).</w:t>
      </w:r>
    </w:p>
    <w:p>
      <w:pPr>
        <w:pStyle w:val="nzSubsection"/>
      </w:pPr>
      <w:r>
        <w:tab/>
        <w:t>(2)</w:t>
      </w:r>
      <w:r>
        <w:tab/>
        <w:t>The Minister may, in exceptional circumstances, direct that a maintenance payment must be paid to the custodial officer for a specified period after the maintenance period.</w:t>
      </w:r>
    </w:p>
    <w:p>
      <w:pPr>
        <w:pStyle w:val="nzSubsection"/>
      </w:pPr>
      <w:r>
        <w:tab/>
        <w:t>(3)</w:t>
      </w:r>
      <w:r>
        <w:tab/>
        <w:t>For the purpose of subsection (2), the specified period is a period not exceeding 6 months specified by the Minister but in any event ending on the day any appeal is determined by the WAIRC.</w:t>
      </w:r>
    </w:p>
    <w:p>
      <w:pPr>
        <w:pStyle w:val="nzSubsection"/>
      </w:pPr>
      <w:r>
        <w:tab/>
        <w:t>(4)</w:t>
      </w:r>
      <w:r>
        <w:tab/>
        <w:t>Any maintenance payment must be determined on the basis of the salary of the custodial officer at the time of the removal.</w:t>
      </w:r>
    </w:p>
    <w:p>
      <w:pPr>
        <w:pStyle w:val="nzHeading5"/>
      </w:pPr>
      <w:bookmarkStart w:id="757" w:name="_Toc404765107"/>
      <w:bookmarkStart w:id="758" w:name="_Toc405375769"/>
      <w:r>
        <w:t>11CF.</w:t>
      </w:r>
      <w:r>
        <w:tab/>
        <w:t>Withdrawal of removal action and revocation of removal</w:t>
      </w:r>
      <w:bookmarkEnd w:id="757"/>
      <w:bookmarkEnd w:id="758"/>
    </w:p>
    <w:p>
      <w:pPr>
        <w:pStyle w:val="nzSubsection"/>
      </w:pPr>
      <w:r>
        <w:tab/>
        <w:t>(1)</w:t>
      </w:r>
      <w:r>
        <w:tab/>
        <w:t>If a custodial officer is removed as a result of removal action, the chief executive officer may, by notice in writing to the custodial officer, revoke the removal.</w:t>
      </w:r>
    </w:p>
    <w:p>
      <w:pPr>
        <w:pStyle w:val="nzSubsection"/>
      </w:pPr>
      <w:r>
        <w:tab/>
        <w:t>(2)</w:t>
      </w:r>
      <w:r>
        <w:tab/>
        <w:t>Subsection (1) applies even if an appeal has been instituted against the removal.</w:t>
      </w:r>
    </w:p>
    <w:p>
      <w:pPr>
        <w:pStyle w:val="nzSubsection"/>
      </w:pPr>
      <w:r>
        <w:tab/>
        <w:t>(3)</w:t>
      </w:r>
      <w:r>
        <w:tab/>
        <w:t>Despite any other enactment, if the removal is revoked under subsection (1), the removal is to be taken to be of no effect and to have never had any effect.</w:t>
      </w:r>
    </w:p>
    <w:p>
      <w:pPr>
        <w:pStyle w:val="nzSubsection"/>
      </w:pPr>
      <w:r>
        <w:tab/>
        <w:t>(4)</w:t>
      </w:r>
      <w:r>
        <w:tab/>
        <w:t>If the chief executive officer revokes the removal of a custodial officer under subsection (1), the custodial officer is not entitled to be paid his or her salary for any period the custodial officer received a maintenance payment.</w:t>
      </w:r>
    </w:p>
    <w:p>
      <w:pPr>
        <w:pStyle w:val="nzHeading5"/>
      </w:pPr>
      <w:bookmarkStart w:id="759" w:name="_Toc404765108"/>
      <w:bookmarkStart w:id="760" w:name="_Toc405375770"/>
      <w:r>
        <w:t>11CG.</w:t>
      </w:r>
      <w:r>
        <w:tab/>
        <w:t>Resignation of custodial officer who has been removed</w:t>
      </w:r>
      <w:bookmarkEnd w:id="759"/>
      <w:bookmarkEnd w:id="760"/>
    </w:p>
    <w:p>
      <w:pPr>
        <w:pStyle w:val="nzSubsection"/>
      </w:pPr>
      <w:r>
        <w:tab/>
        <w:t>(1)</w:t>
      </w:r>
      <w:r>
        <w:tab/>
        <w:t>Even if a custodial officer is removed as a result of removal action, the custodial officer may resign at any time before the end of the maintenance period.</w:t>
      </w:r>
    </w:p>
    <w:p>
      <w:pPr>
        <w:pStyle w:val="nzSubsection"/>
      </w:pPr>
      <w:r>
        <w:tab/>
        <w:t>(2)</w:t>
      </w:r>
      <w:r>
        <w:tab/>
        <w:t>Subsection (1) does not apply if an appeal has been instituted against the removal.</w:t>
      </w:r>
    </w:p>
    <w:p>
      <w:pPr>
        <w:pStyle w:val="nzSubsection"/>
      </w:pPr>
      <w:r>
        <w:tab/>
        <w:t>(3)</w:t>
      </w:r>
      <w:r>
        <w:tab/>
        <w:t>A resignation under subsection (1) takes effect at the end of the maintenance period.</w:t>
      </w:r>
    </w:p>
    <w:p>
      <w:pPr>
        <w:pStyle w:val="nzSubsection"/>
      </w:pPr>
      <w:r>
        <w:tab/>
        <w:t>(4)</w:t>
      </w:r>
      <w:r>
        <w:tab/>
        <w:t>Despite any other enactment, if a custodial officer resigns under subsection (1), the removal of the custodial officer is to be taken to be of no effect and to have never had any effect.</w:t>
      </w:r>
    </w:p>
    <w:p>
      <w:pPr>
        <w:pStyle w:val="nzHeading4"/>
      </w:pPr>
      <w:bookmarkStart w:id="761" w:name="_Toc370987260"/>
      <w:bookmarkStart w:id="762" w:name="_Toc370987352"/>
      <w:bookmarkStart w:id="763" w:name="_Toc370987444"/>
      <w:bookmarkStart w:id="764" w:name="_Toc370987536"/>
      <w:bookmarkStart w:id="765" w:name="_Toc370988014"/>
      <w:bookmarkStart w:id="766" w:name="_Toc370988466"/>
      <w:bookmarkStart w:id="767" w:name="_Toc370988567"/>
      <w:bookmarkStart w:id="768" w:name="_Toc371347026"/>
      <w:bookmarkStart w:id="769" w:name="_Toc372281408"/>
      <w:bookmarkStart w:id="770" w:name="_Toc404765109"/>
      <w:bookmarkStart w:id="771" w:name="_Toc405375771"/>
      <w:r>
        <w:t>Subdivision 3 — Appeal against removal of custodial officer</w:t>
      </w:r>
      <w:bookmarkEnd w:id="761"/>
      <w:bookmarkEnd w:id="762"/>
      <w:bookmarkEnd w:id="763"/>
      <w:bookmarkEnd w:id="764"/>
      <w:bookmarkEnd w:id="765"/>
      <w:bookmarkEnd w:id="766"/>
      <w:bookmarkEnd w:id="767"/>
      <w:bookmarkEnd w:id="768"/>
      <w:bookmarkEnd w:id="769"/>
      <w:bookmarkEnd w:id="770"/>
      <w:bookmarkEnd w:id="771"/>
    </w:p>
    <w:p>
      <w:pPr>
        <w:pStyle w:val="nzHeading5"/>
      </w:pPr>
      <w:bookmarkStart w:id="772" w:name="_Toc404765110"/>
      <w:bookmarkStart w:id="773" w:name="_Toc405375772"/>
      <w:r>
        <w:t>11CH.</w:t>
      </w:r>
      <w:r>
        <w:tab/>
        <w:t>Appeal right</w:t>
      </w:r>
      <w:bookmarkEnd w:id="772"/>
      <w:bookmarkEnd w:id="773"/>
    </w:p>
    <w:p>
      <w:pPr>
        <w:pStyle w:val="nzSubsection"/>
      </w:pPr>
      <w:r>
        <w:tab/>
        <w:t>(1)</w:t>
      </w:r>
      <w:r>
        <w:tab/>
        <w:t>If a custodial officer is removed as a result of removal action, the custodial officer may appeal to the WAIRC against the removal decision on the ground that it was harsh, oppressive or unfair.</w:t>
      </w:r>
    </w:p>
    <w:p>
      <w:pPr>
        <w:pStyle w:val="nzSubsection"/>
      </w:pPr>
      <w:r>
        <w:tab/>
        <w:t>(2)</w:t>
      </w:r>
      <w:r>
        <w:tab/>
        <w:t xml:space="preserve">The custodial officer may institute the appeal by a notice to the chief executive officer stating — </w:t>
      </w:r>
    </w:p>
    <w:p>
      <w:pPr>
        <w:pStyle w:val="nzIndenta"/>
      </w:pPr>
      <w:r>
        <w:tab/>
        <w:t>(a)</w:t>
      </w:r>
      <w:r>
        <w:tab/>
        <w:t>the reasons for the removal decision being harsh, oppressive or unfair; and</w:t>
      </w:r>
    </w:p>
    <w:p>
      <w:pPr>
        <w:pStyle w:val="nzIndenta"/>
      </w:pPr>
      <w:r>
        <w:tab/>
        <w:t>(b)</w:t>
      </w:r>
      <w:r>
        <w:tab/>
        <w:t>the nature of the relief sought.</w:t>
      </w:r>
    </w:p>
    <w:p>
      <w:pPr>
        <w:pStyle w:val="nzSubsection"/>
      </w:pPr>
      <w:r>
        <w:tab/>
        <w:t>(3)</w:t>
      </w:r>
      <w:r>
        <w:tab/>
        <w:t xml:space="preserve">The appeal cannot be instituted — </w:t>
      </w:r>
    </w:p>
    <w:p>
      <w:pPr>
        <w:pStyle w:val="nzIndenta"/>
      </w:pPr>
      <w:r>
        <w:tab/>
        <w:t>(a)</w:t>
      </w:r>
      <w:r>
        <w:tab/>
        <w:t>after the maintenance period; or</w:t>
      </w:r>
    </w:p>
    <w:p>
      <w:pPr>
        <w:pStyle w:val="nzIndenta"/>
      </w:pPr>
      <w:r>
        <w:tab/>
        <w:t>(b)</w:t>
      </w:r>
      <w:r>
        <w:tab/>
        <w:t>if the custodial officer has resigned under section 11CG(1).</w:t>
      </w:r>
    </w:p>
    <w:p>
      <w:pPr>
        <w:pStyle w:val="nzSubsection"/>
      </w:pPr>
      <w:r>
        <w:tab/>
        <w:t>(4)</w:t>
      </w:r>
      <w:r>
        <w:tab/>
        <w:t xml:space="preserve">For the purposes of proceedings relating to the appeal, the WAIRC is to be constituted by not less than 3 industrial Commissioners, at least one of whom must be — </w:t>
      </w:r>
    </w:p>
    <w:p>
      <w:pPr>
        <w:pStyle w:val="nzIndenta"/>
      </w:pPr>
      <w:r>
        <w:tab/>
        <w:t>(a)</w:t>
      </w:r>
      <w:r>
        <w:tab/>
        <w:t xml:space="preserve">the Chief Commissioner; or </w:t>
      </w:r>
    </w:p>
    <w:p>
      <w:pPr>
        <w:pStyle w:val="nzIndenta"/>
      </w:pPr>
      <w:r>
        <w:tab/>
        <w:t>(b)</w:t>
      </w:r>
      <w:r>
        <w:tab/>
        <w:t xml:space="preserve">the Senior Commissioner within the meaning of that term in the </w:t>
      </w:r>
      <w:r>
        <w:rPr>
          <w:i/>
        </w:rPr>
        <w:t>Industrial Relations Act 1979</w:t>
      </w:r>
      <w:r>
        <w:t>.</w:t>
      </w:r>
    </w:p>
    <w:p>
      <w:pPr>
        <w:pStyle w:val="nzSubsection"/>
      </w:pPr>
      <w:r>
        <w:tab/>
        <w:t>(5)</w:t>
      </w:r>
      <w:r>
        <w:tab/>
        <w:t>The only parties to the appeal are the custodial officer and the chief executive officer.</w:t>
      </w:r>
    </w:p>
    <w:p>
      <w:pPr>
        <w:pStyle w:val="nzSubsection"/>
      </w:pPr>
      <w:r>
        <w:tab/>
        <w:t>(6)</w:t>
      </w:r>
      <w:r>
        <w:tab/>
        <w:t>The custodial officer does not have any right of appeal against the removal decision other than under this section.</w:t>
      </w:r>
    </w:p>
    <w:p>
      <w:pPr>
        <w:pStyle w:val="nzHeading5"/>
      </w:pPr>
      <w:bookmarkStart w:id="774" w:name="_Toc404765111"/>
      <w:bookmarkStart w:id="775" w:name="_Toc405375773"/>
      <w:r>
        <w:t>11CI.</w:t>
      </w:r>
      <w:r>
        <w:tab/>
        <w:t>Proceedings on appeal</w:t>
      </w:r>
      <w:bookmarkEnd w:id="774"/>
      <w:bookmarkEnd w:id="775"/>
    </w:p>
    <w:p>
      <w:pPr>
        <w:pStyle w:val="nzSubsection"/>
      </w:pPr>
      <w:r>
        <w:tab/>
        <w:t>(1)</w:t>
      </w:r>
      <w:r>
        <w:tab/>
        <w:t xml:space="preserve">On the hearing of an appeal, the WAIRC must proceed in the following manner — </w:t>
      </w:r>
    </w:p>
    <w:p>
      <w:pPr>
        <w:pStyle w:val="nzIndenta"/>
      </w:pPr>
      <w:r>
        <w:tab/>
        <w:t>(a)</w:t>
      </w:r>
      <w:r>
        <w:tab/>
        <w:t>first, it must consider the chief executive officer’s reasons for the removal decision;</w:t>
      </w:r>
    </w:p>
    <w:p>
      <w:pPr>
        <w:pStyle w:val="nzIndenta"/>
      </w:pPr>
      <w:r>
        <w:tab/>
        <w:t>(b)</w:t>
      </w:r>
      <w:r>
        <w:tab/>
        <w:t>second, it must consider the case presented by the appellant as to why the removal decision was harsh, oppressive or unfair;</w:t>
      </w:r>
    </w:p>
    <w:p>
      <w:pPr>
        <w:pStyle w:val="nzIndenta"/>
      </w:pPr>
      <w:r>
        <w:tab/>
        <w:t>(c)</w:t>
      </w:r>
      <w:r>
        <w:tab/>
        <w:t>third, it must consider the case presented by the chief executive officer in answer to the appellant’s case.</w:t>
      </w:r>
    </w:p>
    <w:p>
      <w:pPr>
        <w:pStyle w:val="nzSubsection"/>
      </w:pPr>
      <w:r>
        <w:tab/>
        <w:t>(2)</w:t>
      </w:r>
      <w:r>
        <w:tab/>
        <w:t>The appellant has at all times the burden of establishing that the removal decision was harsh, oppressive or unfair.</w:t>
      </w:r>
    </w:p>
    <w:p>
      <w:pPr>
        <w:pStyle w:val="nzSubsection"/>
      </w:pPr>
      <w:r>
        <w:tab/>
        <w:t>(3)</w:t>
      </w:r>
      <w:r>
        <w:tab/>
        <w:t>Subsection (2) has effect despite any law or practice to the contrary.</w:t>
      </w:r>
    </w:p>
    <w:p>
      <w:pPr>
        <w:pStyle w:val="nzSubsection"/>
      </w:pPr>
      <w:r>
        <w:tab/>
        <w:t>(4)</w:t>
      </w:r>
      <w:r>
        <w:tab/>
        <w:t xml:space="preserve">Without limiting the matters to which the WAIRC is otherwise required or permitted to have regard in determining the appeal, it must have regard to — </w:t>
      </w:r>
    </w:p>
    <w:p>
      <w:pPr>
        <w:pStyle w:val="nzIndenta"/>
      </w:pPr>
      <w:r>
        <w:tab/>
        <w:t>(a)</w:t>
      </w:r>
      <w:r>
        <w:tab/>
        <w:t>the interests of the appellant; and</w:t>
      </w:r>
    </w:p>
    <w:p>
      <w:pPr>
        <w:pStyle w:val="nzIndenta"/>
      </w:pPr>
      <w:r>
        <w:tab/>
        <w:t>(b)</w:t>
      </w:r>
      <w:r>
        <w:tab/>
        <w:t xml:space="preserve">the public interest, which is to be taken to include — </w:t>
      </w:r>
    </w:p>
    <w:p>
      <w:pPr>
        <w:pStyle w:val="nzIndenti"/>
      </w:pPr>
      <w:r>
        <w:tab/>
        <w:t>(i)</w:t>
      </w:r>
      <w:r>
        <w:tab/>
        <w:t>the importance of maintaining public confidence in the integrity, honesty, conduct and standard of performance of custodial officers; and</w:t>
      </w:r>
    </w:p>
    <w:p>
      <w:pPr>
        <w:pStyle w:val="nzIndenti"/>
      </w:pPr>
      <w:r>
        <w:tab/>
        <w:t>(ii)</w:t>
      </w:r>
      <w:r>
        <w:tab/>
        <w:t>the special nature of the relationship between the chief executive officer and custodial officers.</w:t>
      </w:r>
    </w:p>
    <w:p>
      <w:pPr>
        <w:pStyle w:val="nzHeading5"/>
      </w:pPr>
      <w:bookmarkStart w:id="776" w:name="_Toc404765112"/>
      <w:bookmarkStart w:id="777" w:name="_Toc405375774"/>
      <w:r>
        <w:t>11CJ.</w:t>
      </w:r>
      <w:r>
        <w:tab/>
        <w:t>Leave to tender new evidence on appeal</w:t>
      </w:r>
      <w:bookmarkEnd w:id="776"/>
      <w:bookmarkEnd w:id="777"/>
    </w:p>
    <w:p>
      <w:pPr>
        <w:pStyle w:val="nzSubsection"/>
      </w:pPr>
      <w:r>
        <w:tab/>
        <w:t>(1)</w:t>
      </w:r>
      <w:r>
        <w:tab/>
        <w:t>New evidence cannot be tendered to the WAIRC during a hearing of an appeal unless the WAIRC grants leave under subsection (2) or (3).</w:t>
      </w:r>
    </w:p>
    <w:p>
      <w:pPr>
        <w:pStyle w:val="nzSubsection"/>
      </w:pPr>
      <w:r>
        <w:tab/>
        <w:t>(2)</w:t>
      </w:r>
      <w:r>
        <w:tab/>
        <w:t>The WAIRC may grant the chief executive officer leave to tender new evidence if —</w:t>
      </w:r>
    </w:p>
    <w:p>
      <w:pPr>
        <w:pStyle w:val="nzIndenta"/>
      </w:pPr>
      <w:r>
        <w:tab/>
        <w:t>(a)</w:t>
      </w:r>
      <w:r>
        <w:tab/>
        <w:t>the appellant consents; or</w:t>
      </w:r>
    </w:p>
    <w:p>
      <w:pPr>
        <w:pStyle w:val="nzIndenta"/>
      </w:pPr>
      <w:r>
        <w:tab/>
        <w:t>(b)</w:t>
      </w:r>
      <w:r>
        <w:tab/>
        <w:t>it is satisfied that it is in the interests of justice to do so.</w:t>
      </w:r>
    </w:p>
    <w:p>
      <w:pPr>
        <w:pStyle w:val="nzSubsection"/>
      </w:pPr>
      <w:r>
        <w:tab/>
        <w:t>(3)</w:t>
      </w:r>
      <w:r>
        <w:tab/>
        <w:t xml:space="preserve">The WAIRC may grant the appellant leave to tender new evidence if — </w:t>
      </w:r>
    </w:p>
    <w:p>
      <w:pPr>
        <w:pStyle w:val="nzIndenta"/>
      </w:pPr>
      <w:r>
        <w:tab/>
        <w:t>(a)</w:t>
      </w:r>
      <w:r>
        <w:tab/>
        <w:t>the chief executive officer consents; or</w:t>
      </w:r>
    </w:p>
    <w:p>
      <w:pPr>
        <w:pStyle w:val="nzIndenta"/>
      </w:pPr>
      <w:r>
        <w:tab/>
        <w:t>(b)</w:t>
      </w:r>
      <w:r>
        <w:tab/>
        <w:t xml:space="preserve">the WAIRC is satisfied that — </w:t>
      </w:r>
    </w:p>
    <w:p>
      <w:pPr>
        <w:pStyle w:val="nzIndenti"/>
      </w:pPr>
      <w:r>
        <w:tab/>
        <w:t>(i)</w:t>
      </w:r>
      <w:r>
        <w:tab/>
        <w:t>the appellant is likely to be able to use the new evidence to show that the chief executive officer has acted upon wrong or mistaken information; or</w:t>
      </w:r>
    </w:p>
    <w:p>
      <w:pPr>
        <w:pStyle w:val="nzIndenti"/>
      </w:pPr>
      <w:r>
        <w:tab/>
        <w:t>(ii)</w:t>
      </w:r>
      <w:r>
        <w:tab/>
        <w:t>the new evidence might materially have affected the chief executive officer’s removal decision; or</w:t>
      </w:r>
    </w:p>
    <w:p>
      <w:pPr>
        <w:pStyle w:val="nzIndenti"/>
      </w:pPr>
      <w:r>
        <w:tab/>
        <w:t>(iii)</w:t>
      </w:r>
      <w:r>
        <w:tab/>
        <w:t>it is in the interests of justice to do so.</w:t>
      </w:r>
    </w:p>
    <w:p>
      <w:pPr>
        <w:pStyle w:val="nzSubsection"/>
      </w:pPr>
      <w:r>
        <w:tab/>
        <w:t>(4)</w:t>
      </w:r>
      <w:r>
        <w:tab/>
        <w:t xml:space="preserve">In the exercise of its discretion under subsection (3), the WAIRC must have regard to — </w:t>
      </w:r>
    </w:p>
    <w:p>
      <w:pPr>
        <w:pStyle w:val="nzIndenta"/>
      </w:pPr>
      <w:r>
        <w:tab/>
        <w:t>(a)</w:t>
      </w:r>
      <w:r>
        <w:tab/>
        <w:t>whether or not the appellant was aware of the substance of the new evidence before the appellant’s removal; and</w:t>
      </w:r>
    </w:p>
    <w:p>
      <w:pPr>
        <w:pStyle w:val="nzIndenta"/>
      </w:pPr>
      <w:r>
        <w:tab/>
        <w:t>(b)</w:t>
      </w:r>
      <w:r>
        <w:tab/>
        <w:t>whether or not the substance of the new evidence was contained in a document to which the appellant had reasonable access before the appellant’s removal.</w:t>
      </w:r>
    </w:p>
    <w:p>
      <w:pPr>
        <w:pStyle w:val="nzHeading5"/>
      </w:pPr>
      <w:bookmarkStart w:id="778" w:name="_Toc404765113"/>
      <w:bookmarkStart w:id="779" w:name="_Toc405375775"/>
      <w:r>
        <w:t>11CK.</w:t>
      </w:r>
      <w:r>
        <w:tab/>
        <w:t>Opportunity to consider new evidence</w:t>
      </w:r>
      <w:bookmarkEnd w:id="778"/>
      <w:bookmarkEnd w:id="779"/>
    </w:p>
    <w:p>
      <w:pPr>
        <w:pStyle w:val="nzSubsection"/>
      </w:pPr>
      <w:r>
        <w:tab/>
        <w:t>(1)</w:t>
      </w:r>
      <w:r>
        <w:tab/>
        <w:t xml:space="preserve">If the chief executive officer is given leave to tender new evidence under section 11CJ(2) — </w:t>
      </w:r>
    </w:p>
    <w:p>
      <w:pPr>
        <w:pStyle w:val="nzIndenta"/>
      </w:pPr>
      <w:r>
        <w:tab/>
        <w:t>(a)</w:t>
      </w:r>
      <w:r>
        <w:tab/>
        <w:t xml:space="preserve">the WAIRC must give the appellant a reasonable opportunity to consider the new evidence; and </w:t>
      </w:r>
    </w:p>
    <w:p>
      <w:pPr>
        <w:pStyle w:val="nzIndenta"/>
      </w:pPr>
      <w:r>
        <w:tab/>
        <w:t>(b)</w:t>
      </w:r>
      <w:r>
        <w:tab/>
        <w:t>the appellant may, without the leave of the WAIRC, tender new evidence under this section in response to the new evidence tendered by the chief executive officer.</w:t>
      </w:r>
    </w:p>
    <w:p>
      <w:pPr>
        <w:pStyle w:val="nzSubsection"/>
      </w:pPr>
      <w:r>
        <w:tab/>
        <w:t>(2)</w:t>
      </w:r>
      <w:r>
        <w:tab/>
        <w:t>If the appellant is given leave to tender new evidence under section 11CJ(3), the WAIRC must give the chief executive officer a reasonable opportunity to consider the new evidence.</w:t>
      </w:r>
    </w:p>
    <w:p>
      <w:pPr>
        <w:pStyle w:val="nzHeading5"/>
      </w:pPr>
      <w:bookmarkStart w:id="780" w:name="_Toc404765114"/>
      <w:bookmarkStart w:id="781" w:name="_Toc405375776"/>
      <w:r>
        <w:t>11CL.</w:t>
      </w:r>
      <w:r>
        <w:tab/>
        <w:t>Revocation of removal after consideration of new evidence</w:t>
      </w:r>
      <w:bookmarkEnd w:id="780"/>
      <w:bookmarkEnd w:id="781"/>
    </w:p>
    <w:p>
      <w:pPr>
        <w:pStyle w:val="nzSubsection"/>
      </w:pPr>
      <w:r>
        <w:tab/>
        <w:t>(1)</w:t>
      </w:r>
      <w:r>
        <w:tab/>
        <w:t xml:space="preserve">If, having considered any new evidence, the chief executive officer revokes the removal under section 11CF(1) — </w:t>
      </w:r>
    </w:p>
    <w:p>
      <w:pPr>
        <w:pStyle w:val="nzIndenta"/>
      </w:pPr>
      <w:r>
        <w:tab/>
        <w:t>(a)</w:t>
      </w:r>
      <w:r>
        <w:tab/>
        <w:t xml:space="preserve">the chief executive officer must give the WAIRC notice of the revocation; and </w:t>
      </w:r>
    </w:p>
    <w:p>
      <w:pPr>
        <w:pStyle w:val="nzIndenta"/>
      </w:pPr>
      <w:r>
        <w:tab/>
        <w:t>(b)</w:t>
      </w:r>
      <w:r>
        <w:tab/>
        <w:t>the hearing of the appeal is discontinued when the WAIRC receives the notice.</w:t>
      </w:r>
    </w:p>
    <w:p>
      <w:pPr>
        <w:pStyle w:val="nzSubsection"/>
      </w:pPr>
      <w:r>
        <w:tab/>
        <w:t>(2)</w:t>
      </w:r>
      <w:r>
        <w:tab/>
        <w:t xml:space="preserve">If the chief executive officer does not give notice under subsection (1), the hearing of the appeal must continue but the chief executive officer may — </w:t>
      </w:r>
    </w:p>
    <w:p>
      <w:pPr>
        <w:pStyle w:val="nzIndenta"/>
      </w:pPr>
      <w:r>
        <w:tab/>
        <w:t>(a)</w:t>
      </w:r>
      <w:r>
        <w:tab/>
        <w:t>reformulate his or her reasons for not having confidence in the appellant’s suitability to continue as a custodial officer; and</w:t>
      </w:r>
    </w:p>
    <w:p>
      <w:pPr>
        <w:pStyle w:val="nzIndenta"/>
      </w:pPr>
      <w:r>
        <w:tab/>
        <w:t>(b)</w:t>
      </w:r>
      <w:r>
        <w:tab/>
        <w:t>without the leave of the WAIRC, tender new evidence under this section in response to the new evidence tendered by the appellant.</w:t>
      </w:r>
    </w:p>
    <w:p>
      <w:pPr>
        <w:pStyle w:val="nzSubsection"/>
      </w:pPr>
      <w:r>
        <w:tab/>
        <w:t>(3)</w:t>
      </w:r>
      <w:r>
        <w:tab/>
        <w:t>Reasons reformulated under subsection (2)(a) may differ from, or be additional to, the reasons given to the appellant in the decision notice.</w:t>
      </w:r>
    </w:p>
    <w:p>
      <w:pPr>
        <w:pStyle w:val="nzSubsection"/>
      </w:pPr>
      <w:r>
        <w:tab/>
        <w:t>(4)</w:t>
      </w:r>
      <w:r>
        <w:tab/>
        <w:t xml:space="preserve">If the chief executive officer reformulates reasons under subsection (2)(a) — </w:t>
      </w:r>
    </w:p>
    <w:p>
      <w:pPr>
        <w:pStyle w:val="nzIndenta"/>
      </w:pPr>
      <w:r>
        <w:tab/>
        <w:t>(a)</w:t>
      </w:r>
      <w:r>
        <w:tab/>
        <w:t>the chief executive officer must give the WAIRC and the appellant notice in writing of the reasons before the resumption of the hearing of the appeal; and</w:t>
      </w:r>
    </w:p>
    <w:p>
      <w:pPr>
        <w:pStyle w:val="nzIndenta"/>
      </w:pPr>
      <w:r>
        <w:tab/>
        <w:t>(b)</w:t>
      </w:r>
      <w:r>
        <w:tab/>
        <w:t>the WAIRC must consider the reasons as if they had been reasons given to the appellant in the decision notice.</w:t>
      </w:r>
    </w:p>
    <w:p>
      <w:pPr>
        <w:pStyle w:val="nzHeading5"/>
      </w:pPr>
      <w:bookmarkStart w:id="782" w:name="_Toc404765115"/>
      <w:bookmarkStart w:id="783" w:name="_Toc405375777"/>
      <w:r>
        <w:t>11CM.</w:t>
      </w:r>
      <w:r>
        <w:tab/>
        <w:t xml:space="preserve">Application of </w:t>
      </w:r>
      <w:r>
        <w:rPr>
          <w:i/>
        </w:rPr>
        <w:t>Industrial Relations Act 1979</w:t>
      </w:r>
      <w:r>
        <w:t xml:space="preserve"> to appeals</w:t>
      </w:r>
      <w:bookmarkEnd w:id="782"/>
      <w:bookmarkEnd w:id="783"/>
    </w:p>
    <w:p>
      <w:pPr>
        <w:pStyle w:val="nzSubsection"/>
      </w:pPr>
      <w:r>
        <w:tab/>
      </w:r>
      <w:r>
        <w:tab/>
        <w:t xml:space="preserve">The provisions of the </w:t>
      </w:r>
      <w:r>
        <w:rPr>
          <w:i/>
        </w:rPr>
        <w:t>Industrial Relations Act 1979</w:t>
      </w:r>
      <w:r>
        <w:t xml:space="preserve"> listed in the Table apply to, and in relation to, an appeal and its determination, subject to —</w:t>
      </w:r>
    </w:p>
    <w:p>
      <w:pPr>
        <w:pStyle w:val="nzIndenta"/>
      </w:pPr>
      <w:r>
        <w:tab/>
        <w:t>(a)</w:t>
      </w:r>
      <w:r>
        <w:tab/>
        <w:t>any specific modifications set out in the Table; and</w:t>
      </w:r>
    </w:p>
    <w:p>
      <w:pPr>
        <w:pStyle w:val="nzIndenta"/>
      </w:pPr>
      <w:r>
        <w:tab/>
        <w:t>(b)</w:t>
      </w:r>
      <w:r>
        <w:tab/>
        <w:t>all other necessary modifications.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685"/>
      </w:tblGrid>
      <w:tr>
        <w:trPr>
          <w:cantSplit/>
        </w:trPr>
        <w:tc>
          <w:tcPr>
            <w:tcW w:w="1843" w:type="dxa"/>
          </w:tcPr>
          <w:p>
            <w:pPr>
              <w:pStyle w:val="TableNAm"/>
              <w:rPr>
                <w:sz w:val="20"/>
              </w:rPr>
            </w:pPr>
            <w:r>
              <w:rPr>
                <w:sz w:val="20"/>
              </w:rPr>
              <w:t>s. 26(1)(a) and (b)</w:t>
            </w:r>
          </w:p>
        </w:tc>
        <w:tc>
          <w:tcPr>
            <w:tcW w:w="3685" w:type="dxa"/>
          </w:tcPr>
          <w:p>
            <w:pPr>
              <w:pStyle w:val="TableNAm"/>
              <w:rPr>
                <w:sz w:val="20"/>
              </w:rPr>
            </w:pPr>
          </w:p>
        </w:tc>
      </w:tr>
      <w:tr>
        <w:trPr>
          <w:cantSplit/>
        </w:trPr>
        <w:tc>
          <w:tcPr>
            <w:tcW w:w="1843" w:type="dxa"/>
          </w:tcPr>
          <w:p>
            <w:pPr>
              <w:pStyle w:val="TableNAm"/>
              <w:rPr>
                <w:sz w:val="20"/>
              </w:rPr>
            </w:pPr>
            <w:r>
              <w:rPr>
                <w:sz w:val="20"/>
              </w:rPr>
              <w:t>s. 26(3)</w:t>
            </w:r>
          </w:p>
        </w:tc>
        <w:tc>
          <w:tcPr>
            <w:tcW w:w="3685" w:type="dxa"/>
          </w:tcPr>
          <w:p>
            <w:pPr>
              <w:pStyle w:val="TableNAm"/>
              <w:rPr>
                <w:sz w:val="20"/>
              </w:rPr>
            </w:pPr>
          </w:p>
        </w:tc>
      </w:tr>
      <w:tr>
        <w:trPr>
          <w:cantSplit/>
        </w:trPr>
        <w:tc>
          <w:tcPr>
            <w:tcW w:w="1843" w:type="dxa"/>
          </w:tcPr>
          <w:p>
            <w:pPr>
              <w:pStyle w:val="TableNAm"/>
              <w:rPr>
                <w:sz w:val="20"/>
              </w:rPr>
            </w:pPr>
            <w:r>
              <w:rPr>
                <w:sz w:val="20"/>
              </w:rPr>
              <w:t>s. 27(1)(b), (c), (d), (e), (f), (h), (ha), (hb), (l), (m), (n), (o) and (v)</w:t>
            </w:r>
          </w:p>
        </w:tc>
        <w:tc>
          <w:tcPr>
            <w:tcW w:w="3685" w:type="dxa"/>
          </w:tcPr>
          <w:p>
            <w:pPr>
              <w:pStyle w:val="TableNAm"/>
              <w:rPr>
                <w:sz w:val="20"/>
              </w:rPr>
            </w:pPr>
          </w:p>
        </w:tc>
      </w:tr>
      <w:tr>
        <w:trPr>
          <w:cantSplit/>
        </w:trPr>
        <w:tc>
          <w:tcPr>
            <w:tcW w:w="1843" w:type="dxa"/>
          </w:tcPr>
          <w:p>
            <w:pPr>
              <w:pStyle w:val="TableNAm"/>
              <w:rPr>
                <w:sz w:val="20"/>
              </w:rPr>
            </w:pPr>
            <w:r>
              <w:rPr>
                <w:sz w:val="20"/>
              </w:rPr>
              <w:t>s. 27(1a)</w:t>
            </w:r>
          </w:p>
        </w:tc>
        <w:tc>
          <w:tcPr>
            <w:tcW w:w="3685" w:type="dxa"/>
          </w:tcPr>
          <w:p>
            <w:pPr>
              <w:pStyle w:val="TableNAm"/>
              <w:rPr>
                <w:sz w:val="20"/>
              </w:rPr>
            </w:pPr>
          </w:p>
        </w:tc>
      </w:tr>
      <w:tr>
        <w:trPr>
          <w:cantSplit/>
        </w:trPr>
        <w:tc>
          <w:tcPr>
            <w:tcW w:w="1843" w:type="dxa"/>
          </w:tcPr>
          <w:p>
            <w:pPr>
              <w:pStyle w:val="TableNAm"/>
              <w:rPr>
                <w:sz w:val="20"/>
              </w:rPr>
            </w:pPr>
            <w:r>
              <w:rPr>
                <w:sz w:val="20"/>
              </w:rPr>
              <w:t>s. 28</w:t>
            </w:r>
          </w:p>
        </w:tc>
        <w:tc>
          <w:tcPr>
            <w:tcW w:w="3685" w:type="dxa"/>
          </w:tcPr>
          <w:p>
            <w:pPr>
              <w:pStyle w:val="TableNAm"/>
              <w:rPr>
                <w:sz w:val="20"/>
              </w:rPr>
            </w:pPr>
            <w:r>
              <w:rPr>
                <w:sz w:val="20"/>
              </w:rPr>
              <w:t>The section applies only in relation to powers conferred by section 27 listed in this Table.</w:t>
            </w:r>
          </w:p>
        </w:tc>
      </w:tr>
      <w:tr>
        <w:trPr>
          <w:cantSplit/>
        </w:trPr>
        <w:tc>
          <w:tcPr>
            <w:tcW w:w="1843" w:type="dxa"/>
          </w:tcPr>
          <w:p>
            <w:pPr>
              <w:pStyle w:val="TableNAm"/>
              <w:rPr>
                <w:sz w:val="20"/>
              </w:rPr>
            </w:pPr>
            <w:r>
              <w:rPr>
                <w:sz w:val="20"/>
              </w:rPr>
              <w:t>s. 31(1)</w:t>
            </w:r>
          </w:p>
        </w:tc>
        <w:tc>
          <w:tcPr>
            <w:tcW w:w="3685" w:type="dxa"/>
          </w:tcPr>
          <w:p>
            <w:pPr>
              <w:pStyle w:val="TableNAm"/>
              <w:rPr>
                <w:sz w:val="20"/>
              </w:rPr>
            </w:pPr>
            <w:r>
              <w:rPr>
                <w:sz w:val="20"/>
              </w:rPr>
              <w:t>Paragraphs (b) and (c) do not apply but the subsection is to be read as if it contained the following paragraphs —</w:t>
            </w:r>
          </w:p>
          <w:p>
            <w:pPr>
              <w:pStyle w:val="TableNAm"/>
              <w:tabs>
                <w:tab w:val="clear" w:pos="567"/>
                <w:tab w:val="left" w:pos="317"/>
                <w:tab w:val="left" w:pos="884"/>
              </w:tabs>
              <w:ind w:left="884" w:hanging="884"/>
              <w:rPr>
                <w:sz w:val="20"/>
              </w:rPr>
            </w:pPr>
            <w:r>
              <w:rPr>
                <w:sz w:val="20"/>
              </w:rPr>
              <w:t>“</w:t>
            </w:r>
            <w:r>
              <w:rPr>
                <w:sz w:val="20"/>
              </w:rPr>
              <w:tab/>
              <w:t>(b)</w:t>
            </w:r>
            <w:r>
              <w:rPr>
                <w:sz w:val="20"/>
              </w:rPr>
              <w:tab/>
              <w:t>with the leave of the Commission, by an agent; or</w:t>
            </w:r>
          </w:p>
          <w:p>
            <w:pPr>
              <w:pStyle w:val="TableNAm"/>
              <w:tabs>
                <w:tab w:val="clear" w:pos="567"/>
                <w:tab w:val="left" w:pos="317"/>
                <w:tab w:val="left" w:pos="884"/>
              </w:tabs>
              <w:rPr>
                <w:sz w:val="20"/>
              </w:rPr>
            </w:pPr>
            <w:r>
              <w:rPr>
                <w:sz w:val="20"/>
              </w:rPr>
              <w:tab/>
              <w:t>(c)</w:t>
            </w:r>
            <w:r>
              <w:rPr>
                <w:sz w:val="20"/>
              </w:rPr>
              <w:tab/>
              <w:t>by a legal practitioner.  ”.</w:t>
            </w:r>
          </w:p>
        </w:tc>
      </w:tr>
      <w:tr>
        <w:trPr>
          <w:cantSplit/>
        </w:trPr>
        <w:tc>
          <w:tcPr>
            <w:tcW w:w="1843" w:type="dxa"/>
          </w:tcPr>
          <w:p>
            <w:pPr>
              <w:pStyle w:val="TableNAm"/>
              <w:rPr>
                <w:sz w:val="20"/>
              </w:rPr>
            </w:pPr>
            <w:r>
              <w:rPr>
                <w:sz w:val="20"/>
              </w:rPr>
              <w:t>s. 31(3)</w:t>
            </w:r>
          </w:p>
        </w:tc>
        <w:tc>
          <w:tcPr>
            <w:tcW w:w="3685" w:type="dxa"/>
          </w:tcPr>
          <w:p>
            <w:pPr>
              <w:pStyle w:val="TableNAm"/>
              <w:rPr>
                <w:sz w:val="20"/>
              </w:rPr>
            </w:pPr>
          </w:p>
        </w:tc>
      </w:tr>
      <w:tr>
        <w:trPr>
          <w:cantSplit/>
        </w:trPr>
        <w:tc>
          <w:tcPr>
            <w:tcW w:w="1843" w:type="dxa"/>
          </w:tcPr>
          <w:p>
            <w:pPr>
              <w:pStyle w:val="TableNAm"/>
              <w:rPr>
                <w:sz w:val="20"/>
              </w:rPr>
            </w:pPr>
            <w:r>
              <w:rPr>
                <w:sz w:val="20"/>
              </w:rPr>
              <w:t>s. 31(5)</w:t>
            </w:r>
          </w:p>
        </w:tc>
        <w:tc>
          <w:tcPr>
            <w:tcW w:w="3685" w:type="dxa"/>
          </w:tcPr>
          <w:p>
            <w:pPr>
              <w:pStyle w:val="TableNAm"/>
              <w:rPr>
                <w:sz w:val="20"/>
              </w:rPr>
            </w:pPr>
          </w:p>
        </w:tc>
      </w:tr>
      <w:tr>
        <w:trPr>
          <w:cantSplit/>
        </w:trPr>
        <w:tc>
          <w:tcPr>
            <w:tcW w:w="1843" w:type="dxa"/>
          </w:tcPr>
          <w:p>
            <w:pPr>
              <w:pStyle w:val="TableNAm"/>
              <w:rPr>
                <w:sz w:val="20"/>
              </w:rPr>
            </w:pPr>
            <w:r>
              <w:rPr>
                <w:sz w:val="20"/>
              </w:rPr>
              <w:t>s. 32</w:t>
            </w:r>
          </w:p>
        </w:tc>
        <w:tc>
          <w:tcPr>
            <w:tcW w:w="3685" w:type="dxa"/>
          </w:tcPr>
          <w:p>
            <w:pPr>
              <w:pStyle w:val="TableNAm"/>
              <w:rPr>
                <w:sz w:val="20"/>
              </w:rPr>
            </w:pPr>
            <w:r>
              <w:rPr>
                <w:sz w:val="20"/>
              </w:rPr>
              <w:t xml:space="preserve">Section 32(1) is to be read as if a reference to “Where an industrial matter has been referred to the Commission the Commission shall, unless it” were a reference to “Where the Commission is dealing with an appeal instituted under the </w:t>
            </w:r>
            <w:r>
              <w:rPr>
                <w:i/>
                <w:sz w:val="20"/>
              </w:rPr>
              <w:t>Young Offenders Act 1994</w:t>
            </w:r>
            <w:r>
              <w:rPr>
                <w:sz w:val="20"/>
              </w:rPr>
              <w:t xml:space="preserve"> section 11CH, a member of the Commission may recommend that the parties to the appeal, unless he or she”.</w:t>
            </w:r>
          </w:p>
          <w:p>
            <w:pPr>
              <w:pStyle w:val="TableNAm"/>
              <w:rPr>
                <w:sz w:val="20"/>
              </w:rPr>
            </w:pPr>
            <w:r>
              <w:rPr>
                <w:sz w:val="20"/>
              </w:rPr>
              <w:t>References to “the matter” and “an industrial matter” are to be read as if they were references to “the appeal”.</w:t>
            </w:r>
          </w:p>
        </w:tc>
      </w:tr>
      <w:tr>
        <w:trPr>
          <w:cantSplit/>
        </w:trPr>
        <w:tc>
          <w:tcPr>
            <w:tcW w:w="1843" w:type="dxa"/>
          </w:tcPr>
          <w:p>
            <w:pPr>
              <w:pStyle w:val="zTableNAm"/>
              <w:rPr>
                <w:sz w:val="20"/>
              </w:rPr>
            </w:pPr>
          </w:p>
        </w:tc>
        <w:tc>
          <w:tcPr>
            <w:tcW w:w="3685" w:type="dxa"/>
          </w:tcPr>
          <w:p>
            <w:pPr>
              <w:pStyle w:val="TableNAm"/>
              <w:rPr>
                <w:sz w:val="20"/>
              </w:rPr>
            </w:pPr>
            <w:r>
              <w:rPr>
                <w:sz w:val="20"/>
              </w:rPr>
              <w:t xml:space="preserve">For the purposes of subsections (2) and (3), </w:t>
            </w:r>
            <w:r>
              <w:rPr>
                <w:b/>
                <w:bCs/>
                <w:i/>
                <w:iCs/>
                <w:sz w:val="20"/>
              </w:rPr>
              <w:t>Commission</w:t>
            </w:r>
            <w:r>
              <w:rPr>
                <w:sz w:val="20"/>
              </w:rPr>
              <w:t xml:space="preserve"> does not include an industrial commissioner constituting the WAIRC to hear the appeal.</w:t>
            </w:r>
          </w:p>
          <w:p>
            <w:pPr>
              <w:pStyle w:val="TableNAm"/>
              <w:rPr>
                <w:sz w:val="20"/>
              </w:rPr>
            </w:pPr>
            <w:r>
              <w:rPr>
                <w:sz w:val="20"/>
              </w:rPr>
              <w:t>Subsections (4), (6), (7) and (8) do not apply.</w:t>
            </w:r>
          </w:p>
        </w:tc>
      </w:tr>
      <w:tr>
        <w:trPr>
          <w:cantSplit/>
        </w:trPr>
        <w:tc>
          <w:tcPr>
            <w:tcW w:w="1843" w:type="dxa"/>
          </w:tcPr>
          <w:p>
            <w:pPr>
              <w:pStyle w:val="TableNAm"/>
              <w:rPr>
                <w:sz w:val="20"/>
              </w:rPr>
            </w:pPr>
            <w:r>
              <w:rPr>
                <w:sz w:val="20"/>
              </w:rPr>
              <w:t>s. 33</w:t>
            </w:r>
          </w:p>
        </w:tc>
        <w:tc>
          <w:tcPr>
            <w:tcW w:w="3685" w:type="dxa"/>
          </w:tcPr>
          <w:p>
            <w:pPr>
              <w:pStyle w:val="TableNAm"/>
              <w:rPr>
                <w:sz w:val="20"/>
              </w:rPr>
            </w:pPr>
            <w:r>
              <w:rPr>
                <w:sz w:val="20"/>
              </w:rPr>
              <w:t>A summons must not be issued under section 33(1)(a) to the Governor.</w:t>
            </w:r>
          </w:p>
          <w:p>
            <w:pPr>
              <w:pStyle w:val="TableNAm"/>
              <w:rPr>
                <w:sz w:val="20"/>
              </w:rPr>
            </w:pPr>
            <w:r>
              <w:rPr>
                <w:sz w:val="20"/>
              </w:rPr>
              <w:t xml:space="preserve">A summons may be issued to the chief executive officer or the Minister but only at the direction of a commissioner appointed under the </w:t>
            </w:r>
            <w:r>
              <w:rPr>
                <w:i/>
                <w:sz w:val="20"/>
              </w:rPr>
              <w:t>Industrial Relations Act 1979</w:t>
            </w:r>
            <w:r>
              <w:rPr>
                <w:sz w:val="20"/>
              </w:rPr>
              <w:t xml:space="preserve"> if that commissioner is satisfied that there are extraordinary grounds for doing so.</w:t>
            </w:r>
          </w:p>
          <w:p>
            <w:pPr>
              <w:pStyle w:val="TableNAm"/>
              <w:rPr>
                <w:sz w:val="20"/>
              </w:rPr>
            </w:pPr>
            <w:r>
              <w:rPr>
                <w:sz w:val="20"/>
              </w:rPr>
              <w:t>A summons may not be issued to any other person except at the direction of a commissioner.</w:t>
            </w:r>
          </w:p>
        </w:tc>
      </w:tr>
      <w:tr>
        <w:trPr>
          <w:cantSplit/>
        </w:trPr>
        <w:tc>
          <w:tcPr>
            <w:tcW w:w="1843" w:type="dxa"/>
          </w:tcPr>
          <w:p>
            <w:pPr>
              <w:pStyle w:val="TableNAm"/>
              <w:rPr>
                <w:sz w:val="20"/>
              </w:rPr>
            </w:pPr>
            <w:r>
              <w:rPr>
                <w:sz w:val="20"/>
              </w:rPr>
              <w:t>s. 34</w:t>
            </w:r>
          </w:p>
        </w:tc>
        <w:tc>
          <w:tcPr>
            <w:tcW w:w="3685" w:type="dxa"/>
          </w:tcPr>
          <w:p>
            <w:pPr>
              <w:pStyle w:val="TableNAm"/>
              <w:rPr>
                <w:sz w:val="20"/>
              </w:rPr>
            </w:pPr>
            <w:r>
              <w:rPr>
                <w:sz w:val="20"/>
              </w:rPr>
              <w:t>A reference in subsection (1) to “an award, order, or declaration” is to be read as if it were a reference to “an order”.</w:t>
            </w:r>
          </w:p>
          <w:p>
            <w:pPr>
              <w:pStyle w:val="TableNAm"/>
              <w:rPr>
                <w:sz w:val="20"/>
              </w:rPr>
            </w:pPr>
            <w:r>
              <w:rPr>
                <w:sz w:val="20"/>
              </w:rPr>
              <w:t>A reference in subsection (3) to “the President, the Full Bench, or the Commission” is to be read as if it were a reference to “the Commission”.</w:t>
            </w:r>
          </w:p>
        </w:tc>
      </w:tr>
      <w:tr>
        <w:trPr>
          <w:cantSplit/>
        </w:trPr>
        <w:tc>
          <w:tcPr>
            <w:tcW w:w="1843" w:type="dxa"/>
          </w:tcPr>
          <w:p>
            <w:pPr>
              <w:pStyle w:val="zTableNAm"/>
              <w:rPr>
                <w:sz w:val="20"/>
              </w:rPr>
            </w:pPr>
          </w:p>
        </w:tc>
        <w:tc>
          <w:tcPr>
            <w:tcW w:w="3685" w:type="dxa"/>
          </w:tcPr>
          <w:p>
            <w:pPr>
              <w:pStyle w:val="TableNAm"/>
              <w:rPr>
                <w:sz w:val="20"/>
              </w:rPr>
            </w:pPr>
            <w:r>
              <w:rPr>
                <w:sz w:val="20"/>
              </w:rP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NAm"/>
              <w:rPr>
                <w:sz w:val="20"/>
              </w:rPr>
            </w:pPr>
            <w:r>
              <w:rPr>
                <w:sz w:val="20"/>
              </w:rPr>
              <w:t>s. 35</w:t>
            </w:r>
          </w:p>
        </w:tc>
        <w:tc>
          <w:tcPr>
            <w:tcW w:w="3685" w:type="dxa"/>
          </w:tcPr>
          <w:p>
            <w:pPr>
              <w:pStyle w:val="TableNAm"/>
              <w:rPr>
                <w:sz w:val="20"/>
              </w:rPr>
            </w:pPr>
          </w:p>
        </w:tc>
      </w:tr>
      <w:tr>
        <w:trPr>
          <w:cantSplit/>
        </w:trPr>
        <w:tc>
          <w:tcPr>
            <w:tcW w:w="1843" w:type="dxa"/>
          </w:tcPr>
          <w:p>
            <w:pPr>
              <w:pStyle w:val="TableNAm"/>
              <w:rPr>
                <w:sz w:val="20"/>
              </w:rPr>
            </w:pPr>
            <w:r>
              <w:rPr>
                <w:sz w:val="20"/>
              </w:rPr>
              <w:t>s. 36</w:t>
            </w:r>
          </w:p>
        </w:tc>
        <w:tc>
          <w:tcPr>
            <w:tcW w:w="3685" w:type="dxa"/>
          </w:tcPr>
          <w:p>
            <w:pPr>
              <w:pStyle w:val="TableNAm"/>
              <w:rPr>
                <w:sz w:val="20"/>
              </w:rPr>
            </w:pPr>
          </w:p>
        </w:tc>
      </w:tr>
      <w:tr>
        <w:trPr>
          <w:cantSplit/>
        </w:trPr>
        <w:tc>
          <w:tcPr>
            <w:tcW w:w="1843" w:type="dxa"/>
          </w:tcPr>
          <w:p>
            <w:pPr>
              <w:pStyle w:val="TableNAm"/>
              <w:rPr>
                <w:sz w:val="20"/>
              </w:rPr>
            </w:pPr>
            <w:r>
              <w:rPr>
                <w:sz w:val="20"/>
              </w:rPr>
              <w:t>s. 86</w:t>
            </w:r>
          </w:p>
        </w:tc>
        <w:tc>
          <w:tcPr>
            <w:tcW w:w="3685" w:type="dxa"/>
          </w:tcPr>
          <w:p>
            <w:pPr>
              <w:pStyle w:val="TableNAm"/>
              <w:rPr>
                <w:sz w:val="20"/>
              </w:rPr>
            </w:pPr>
            <w:r>
              <w:rPr>
                <w:sz w:val="20"/>
              </w:rPr>
              <w:t>The section does not apply in relation to costs and expenses, other than expenses of witnesses.</w:t>
            </w:r>
          </w:p>
        </w:tc>
      </w:tr>
      <w:tr>
        <w:trPr>
          <w:cantSplit/>
        </w:trPr>
        <w:tc>
          <w:tcPr>
            <w:tcW w:w="1843" w:type="dxa"/>
          </w:tcPr>
          <w:p>
            <w:pPr>
              <w:pStyle w:val="TableNAm"/>
              <w:rPr>
                <w:sz w:val="20"/>
              </w:rPr>
            </w:pPr>
            <w:r>
              <w:rPr>
                <w:sz w:val="20"/>
              </w:rPr>
              <w:t>s. 90</w:t>
            </w:r>
          </w:p>
        </w:tc>
        <w:tc>
          <w:tcPr>
            <w:tcW w:w="3685" w:type="dxa"/>
          </w:tcPr>
          <w:p>
            <w:pPr>
              <w:pStyle w:val="TableNAm"/>
              <w:rPr>
                <w:sz w:val="20"/>
              </w:rPr>
            </w:pPr>
            <w:r>
              <w:rPr>
                <w:sz w:val="20"/>
              </w:rPr>
              <w:t xml:space="preserve">A reference in subsection (1) to “any decision of the President, the Full Bench, or the Commission in Court Session” is to be read as if it were a reference to “a decision of the Commission under the </w:t>
            </w:r>
            <w:r>
              <w:rPr>
                <w:i/>
                <w:sz w:val="20"/>
              </w:rPr>
              <w:t>Young Offenders Act</w:t>
            </w:r>
            <w:r>
              <w:rPr>
                <w:b/>
                <w:i/>
                <w:sz w:val="20"/>
              </w:rPr>
              <w:t> </w:t>
            </w:r>
            <w:r>
              <w:rPr>
                <w:i/>
                <w:sz w:val="20"/>
              </w:rPr>
              <w:t>1994</w:t>
            </w:r>
            <w:r>
              <w:rPr>
                <w:sz w:val="20"/>
              </w:rPr>
              <w:t xml:space="preserve"> section 11CP”.</w:t>
            </w:r>
          </w:p>
        </w:tc>
      </w:tr>
    </w:tbl>
    <w:p>
      <w:pPr>
        <w:pStyle w:val="nzHeading5"/>
      </w:pPr>
      <w:bookmarkStart w:id="784" w:name="_Toc404765116"/>
      <w:bookmarkStart w:id="785" w:name="_Toc405375778"/>
      <w:r>
        <w:t>11CN.</w:t>
      </w:r>
      <w:r>
        <w:tab/>
        <w:t>Adjournment of appeal if appellant charged with offence</w:t>
      </w:r>
      <w:bookmarkEnd w:id="784"/>
      <w:bookmarkEnd w:id="785"/>
    </w:p>
    <w:p>
      <w:pPr>
        <w:pStyle w:val="nzSubsection"/>
      </w:pPr>
      <w:r>
        <w:tab/>
        <w:t>(1)</w:t>
      </w:r>
      <w:r>
        <w:tab/>
        <w:t>The chief executive officer or an appellant may apply to the WAIRC for an adjournment of the hearing of an appeal if the appellant has been —</w:t>
      </w:r>
    </w:p>
    <w:p>
      <w:pPr>
        <w:pStyle w:val="nzIndenta"/>
      </w:pPr>
      <w:r>
        <w:tab/>
        <w:t>(a)</w:t>
      </w:r>
      <w:r>
        <w:tab/>
        <w:t>charged with an offence relating to any matter, act or omission that was taken into account by the chief executive officer in deciding that he or she did not have confidence in the appellant’s suitability to continue as a custodial officer; and</w:t>
      </w:r>
    </w:p>
    <w:p>
      <w:pPr>
        <w:pStyle w:val="nzIndenta"/>
      </w:pPr>
      <w:r>
        <w:tab/>
        <w:t>(b)</w:t>
      </w:r>
      <w:r>
        <w:tab/>
        <w:t>the charge has not been finally determined by a court or otherwise disposed of.</w:t>
      </w:r>
    </w:p>
    <w:p>
      <w:pPr>
        <w:pStyle w:val="nzSubsection"/>
      </w:pPr>
      <w:r>
        <w:tab/>
        <w:t>(2)</w:t>
      </w:r>
      <w:r>
        <w:tab/>
        <w:t>If an adjournment application is made by the chief executive officer, the WAIRC may adjourn the hearing of the appeal if it considers that it is in the interests of justice to do so.</w:t>
      </w:r>
    </w:p>
    <w:p>
      <w:pPr>
        <w:pStyle w:val="nzSubsection"/>
      </w:pPr>
      <w:r>
        <w:tab/>
        <w:t>(3)</w:t>
      </w:r>
      <w:r>
        <w:tab/>
        <w:t>If an adjournment application is made by the appellant, the WAIRC must adjourn the hearing of the appeal for the period (not exceeding 12 months) requested by the appellant.</w:t>
      </w:r>
    </w:p>
    <w:p>
      <w:pPr>
        <w:pStyle w:val="nz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nzSubsection"/>
      </w:pPr>
      <w:r>
        <w:tab/>
        <w:t>(5)</w:t>
      </w:r>
      <w:r>
        <w:tab/>
        <w:t>Subsections (2) and (4) do not affect any other power of the WAIRC to grant an adjournment.</w:t>
      </w:r>
    </w:p>
    <w:p>
      <w:pPr>
        <w:pStyle w:val="nzHeading5"/>
      </w:pPr>
      <w:bookmarkStart w:id="786" w:name="_Toc404765117"/>
      <w:bookmarkStart w:id="787" w:name="_Toc405375779"/>
      <w:r>
        <w:t>11CO.</w:t>
      </w:r>
      <w:r>
        <w:tab/>
        <w:t>Resumption of appeal before end of adjournment</w:t>
      </w:r>
      <w:bookmarkEnd w:id="786"/>
      <w:bookmarkEnd w:id="787"/>
    </w:p>
    <w:p>
      <w:pPr>
        <w:pStyle w:val="nzSubsection"/>
      </w:pPr>
      <w:r>
        <w:tab/>
      </w:r>
      <w:r>
        <w:tab/>
        <w:t>If the charge is finally determined by a court or otherwise disposed of before the end of the period of an adjournment under section 11CN, the chief executive officer or the appellant may apply to the WAIRC for the hearing of the appeal to be resumed on a date specified by the WAIRC.</w:t>
      </w:r>
    </w:p>
    <w:p>
      <w:pPr>
        <w:pStyle w:val="nzHeading5"/>
      </w:pPr>
      <w:bookmarkStart w:id="788" w:name="_Toc404765118"/>
      <w:bookmarkStart w:id="789" w:name="_Toc405375780"/>
      <w:r>
        <w:t>11CP.</w:t>
      </w:r>
      <w:r>
        <w:tab/>
        <w:t>Decision by WAIRC</w:t>
      </w:r>
      <w:bookmarkEnd w:id="788"/>
      <w:bookmarkEnd w:id="789"/>
    </w:p>
    <w:p>
      <w:pPr>
        <w:pStyle w:val="nzSubsection"/>
      </w:pPr>
      <w:r>
        <w:tab/>
        <w:t>(1)</w:t>
      </w:r>
      <w:r>
        <w:tab/>
        <w:t>This section applies if the WAIRC decides on an appeal that the decision to take removal action relating to the appellant was harsh, oppressive or unfair.</w:t>
      </w:r>
    </w:p>
    <w:p>
      <w:pPr>
        <w:pStyle w:val="nzSubsection"/>
      </w:pPr>
      <w:r>
        <w:tab/>
        <w:t>(2)</w:t>
      </w:r>
      <w:r>
        <w:tab/>
        <w:t>The WAIRC may —</w:t>
      </w:r>
    </w:p>
    <w:p>
      <w:pPr>
        <w:pStyle w:val="nzIndenta"/>
      </w:pPr>
      <w:r>
        <w:tab/>
        <w:t>(a)</w:t>
      </w:r>
      <w:r>
        <w:tab/>
        <w:t>order that the appellant’s removal is, and is to be taken to have always been, of no effect; or</w:t>
      </w:r>
    </w:p>
    <w:p>
      <w:pPr>
        <w:pStyle w:val="nzIndenta"/>
      </w:pPr>
      <w:r>
        <w:tab/>
        <w:t>(b)</w:t>
      </w:r>
      <w:r>
        <w:tab/>
        <w:t>if it is impracticable to make an order under paragraph (a), order the chief executive officer to pay the appellant an amount of compensation for loss or injury caused by the removal.</w:t>
      </w:r>
    </w:p>
    <w:p>
      <w:pPr>
        <w:pStyle w:val="nzSubsection"/>
      </w:pPr>
      <w:r>
        <w:tab/>
        <w:t>(3)</w:t>
      </w:r>
      <w:r>
        <w:tab/>
        <w:t>In considering whether or not it is impracticable to make an order under subsection (2)(a), it is relevant to consider —</w:t>
      </w:r>
    </w:p>
    <w:p>
      <w:pPr>
        <w:pStyle w:val="nzIndenta"/>
      </w:pPr>
      <w:r>
        <w:tab/>
        <w:t>(a)</w:t>
      </w:r>
      <w:r>
        <w:tab/>
        <w:t>whether, at the time of the appellant’s removal, the position occupied by the appellant is vacant; and</w:t>
      </w:r>
    </w:p>
    <w:p>
      <w:pPr>
        <w:pStyle w:val="nzIndenta"/>
      </w:pPr>
      <w:r>
        <w:tab/>
        <w:t>(b)</w:t>
      </w:r>
      <w:r>
        <w:tab/>
        <w:t>whether there is another suitable vacant position in the Department.</w:t>
      </w:r>
    </w:p>
    <w:p>
      <w:pPr>
        <w:pStyle w:val="nzSubsection"/>
      </w:pPr>
      <w:r>
        <w:tab/>
        <w:t>(4)</w:t>
      </w:r>
      <w:r>
        <w:tab/>
        <w:t>If the WAIRC makes an order under subsection (2)(a), the appellant is not entitled to be paid his or her remuneration as a custodial officer for any period the appellant received a maintenance payment.</w:t>
      </w:r>
    </w:p>
    <w:p>
      <w:pPr>
        <w:pStyle w:val="nzSubsection"/>
      </w:pPr>
      <w:r>
        <w:tab/>
        <w:t>(5)</w:t>
      </w:r>
      <w:r>
        <w:tab/>
        <w:t>An order under this section may require that it be complied with within a specified time.</w:t>
      </w:r>
    </w:p>
    <w:p>
      <w:pPr>
        <w:pStyle w:val="nzHeading5"/>
      </w:pPr>
      <w:bookmarkStart w:id="790" w:name="_Toc404765119"/>
      <w:bookmarkStart w:id="791" w:name="_Toc405375781"/>
      <w:r>
        <w:t>11CQ.</w:t>
      </w:r>
      <w:r>
        <w:tab/>
        <w:t>Determining amount of compensation</w:t>
      </w:r>
      <w:bookmarkEnd w:id="790"/>
      <w:bookmarkEnd w:id="791"/>
    </w:p>
    <w:p>
      <w:pPr>
        <w:pStyle w:val="nzSubsection"/>
      </w:pPr>
      <w:r>
        <w:tab/>
        <w:t>(1)</w:t>
      </w:r>
      <w:r>
        <w:tab/>
        <w:t>An amount of compensation ordered under section 11CP(2)(b) must be determined in accordance with this section.</w:t>
      </w:r>
    </w:p>
    <w:p>
      <w:pPr>
        <w:pStyle w:val="nzSubsection"/>
      </w:pPr>
      <w:r>
        <w:tab/>
        <w:t>(2)</w:t>
      </w:r>
      <w:r>
        <w:tab/>
        <w:t xml:space="preserve">In determining the amount, the WAIRC must have regard to all of the following — </w:t>
      </w:r>
    </w:p>
    <w:p>
      <w:pPr>
        <w:pStyle w:val="nzIndenta"/>
      </w:pPr>
      <w:r>
        <w:tab/>
        <w:t>(a)</w:t>
      </w:r>
      <w:r>
        <w:tab/>
        <w:t>the efforts, if any, of the chief executive officer and the appellant to mitigate the loss suffered by the appellant as a result of the removal;</w:t>
      </w:r>
    </w:p>
    <w:p>
      <w:pPr>
        <w:pStyle w:val="nzIndenta"/>
      </w:pPr>
      <w:r>
        <w:tab/>
        <w:t>(b)</w:t>
      </w:r>
      <w:r>
        <w:tab/>
        <w:t>any maintenance payment received by the appellant;</w:t>
      </w:r>
    </w:p>
    <w:p>
      <w:pPr>
        <w:pStyle w:val="nz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nzIndenta"/>
      </w:pPr>
      <w:r>
        <w:tab/>
        <w:t>(d)</w:t>
      </w:r>
      <w:r>
        <w:tab/>
        <w:t>any other matter that the WAIRC considers relevant.</w:t>
      </w:r>
    </w:p>
    <w:p>
      <w:pPr>
        <w:pStyle w:val="nzSubsection"/>
      </w:pPr>
      <w:r>
        <w:tab/>
        <w:t>(3)</w:t>
      </w:r>
      <w:r>
        <w:tab/>
        <w:t>In determining the amount, the WAIRC may have regard to the average rate of remuneration as a custodial officer received by the appellant during any relevant period of service.</w:t>
      </w:r>
    </w:p>
    <w:p>
      <w:pPr>
        <w:pStyle w:val="nzSubsection"/>
      </w:pPr>
      <w:r>
        <w:tab/>
        <w:t>(4)</w:t>
      </w:r>
      <w:r>
        <w:tab/>
        <w:t>The amount must not exceed 12 months’ remuneration as a custodial officer.</w:t>
      </w:r>
    </w:p>
    <w:p>
      <w:pPr>
        <w:pStyle w:val="nzHeading5"/>
      </w:pPr>
      <w:bookmarkStart w:id="792" w:name="_Toc404765120"/>
      <w:bookmarkStart w:id="793" w:name="_Toc405375782"/>
      <w:r>
        <w:t>11CR.</w:t>
      </w:r>
      <w:r>
        <w:tab/>
        <w:t>Restriction on publication</w:t>
      </w:r>
      <w:bookmarkEnd w:id="792"/>
      <w:bookmarkEnd w:id="793"/>
    </w:p>
    <w:p>
      <w:pPr>
        <w:pStyle w:val="nzSubsection"/>
      </w:pPr>
      <w:r>
        <w:tab/>
        <w:t>(1)</w:t>
      </w:r>
      <w:r>
        <w:tab/>
        <w:t>If the WAIRC is satisfied that it is in the public interest, it may direct that any evidence given before it, or the contents of any document produced to it, on an appeal —</w:t>
      </w:r>
    </w:p>
    <w:p>
      <w:pPr>
        <w:pStyle w:val="nzIndenta"/>
      </w:pPr>
      <w:r>
        <w:tab/>
        <w:t>(a)</w:t>
      </w:r>
      <w:r>
        <w:tab/>
        <w:t>must not be published; or</w:t>
      </w:r>
    </w:p>
    <w:p>
      <w:pPr>
        <w:pStyle w:val="nzIndenta"/>
      </w:pPr>
      <w:r>
        <w:tab/>
        <w:t>(b)</w:t>
      </w:r>
      <w:r>
        <w:tab/>
        <w:t>must not be published except in a manner, and to persons, specified by the WAIRC.</w:t>
      </w:r>
    </w:p>
    <w:p>
      <w:pPr>
        <w:pStyle w:val="nzSubsection"/>
      </w:pPr>
      <w:r>
        <w:tab/>
        <w:t>(2)</w:t>
      </w:r>
      <w:r>
        <w:tab/>
        <w:t>A person must not contravene a direction given under this section.</w:t>
      </w:r>
    </w:p>
    <w:p>
      <w:pPr>
        <w:pStyle w:val="nzPenstart"/>
      </w:pPr>
      <w:r>
        <w:tab/>
        <w:t>Penalty: a fine of $4 000 and imprisonment for 12 months.</w:t>
      </w:r>
    </w:p>
    <w:p>
      <w:pPr>
        <w:pStyle w:val="nzHeading4"/>
      </w:pPr>
      <w:bookmarkStart w:id="794" w:name="_Toc370987272"/>
      <w:bookmarkStart w:id="795" w:name="_Toc370987364"/>
      <w:bookmarkStart w:id="796" w:name="_Toc370987456"/>
      <w:bookmarkStart w:id="797" w:name="_Toc370987548"/>
      <w:bookmarkStart w:id="798" w:name="_Toc370988026"/>
      <w:bookmarkStart w:id="799" w:name="_Toc370988478"/>
      <w:bookmarkStart w:id="800" w:name="_Toc370988579"/>
      <w:bookmarkStart w:id="801" w:name="_Toc371347038"/>
      <w:bookmarkStart w:id="802" w:name="_Toc372281420"/>
      <w:bookmarkStart w:id="803" w:name="_Toc404765121"/>
      <w:bookmarkStart w:id="804" w:name="_Toc405375783"/>
      <w:r>
        <w:t>Subdivision 4 — General</w:t>
      </w:r>
      <w:bookmarkEnd w:id="794"/>
      <w:bookmarkEnd w:id="795"/>
      <w:bookmarkEnd w:id="796"/>
      <w:bookmarkEnd w:id="797"/>
      <w:bookmarkEnd w:id="798"/>
      <w:bookmarkEnd w:id="799"/>
      <w:bookmarkEnd w:id="800"/>
      <w:bookmarkEnd w:id="801"/>
      <w:bookmarkEnd w:id="802"/>
      <w:bookmarkEnd w:id="803"/>
      <w:bookmarkEnd w:id="804"/>
    </w:p>
    <w:p>
      <w:pPr>
        <w:pStyle w:val="nzHeading5"/>
      </w:pPr>
      <w:bookmarkStart w:id="805" w:name="_Toc404765122"/>
      <w:bookmarkStart w:id="806" w:name="_Toc405375784"/>
      <w:r>
        <w:t>11CS.</w:t>
      </w:r>
      <w:r>
        <w:tab/>
        <w:t>Effect of charge for, or conviction or acquittal of, offence</w:t>
      </w:r>
      <w:bookmarkEnd w:id="805"/>
      <w:bookmarkEnd w:id="806"/>
    </w:p>
    <w:p>
      <w:pPr>
        <w:pStyle w:val="nzSubsection"/>
      </w:pPr>
      <w:r>
        <w:tab/>
      </w:r>
      <w:r>
        <w:tab/>
        <w:t>The chief executive officer can take removal action in relation to a custodial officer for a particular matter, act or omission even if the matter, act or omission is an element of an offence —</w:t>
      </w:r>
    </w:p>
    <w:p>
      <w:pPr>
        <w:pStyle w:val="nzIndenta"/>
      </w:pPr>
      <w:r>
        <w:tab/>
        <w:t>(a)</w:t>
      </w:r>
      <w:r>
        <w:tab/>
        <w:t>with which the custodial officer has been charged; or</w:t>
      </w:r>
    </w:p>
    <w:p>
      <w:pPr>
        <w:pStyle w:val="nzIndenta"/>
      </w:pPr>
      <w:r>
        <w:tab/>
        <w:t>(b)</w:t>
      </w:r>
      <w:r>
        <w:tab/>
        <w:t>of which the custodial officer has been convicted or acquitted.</w:t>
      </w:r>
    </w:p>
    <w:p>
      <w:pPr>
        <w:pStyle w:val="nzHeading5"/>
      </w:pPr>
      <w:bookmarkStart w:id="807" w:name="_Toc404765123"/>
      <w:bookmarkStart w:id="808" w:name="_Toc405375785"/>
      <w:r>
        <w:t>11CT.</w:t>
      </w:r>
      <w:r>
        <w:tab/>
        <w:t>Failure to comply with procedure</w:t>
      </w:r>
      <w:bookmarkEnd w:id="807"/>
      <w:bookmarkEnd w:id="808"/>
    </w:p>
    <w:p>
      <w:pPr>
        <w:pStyle w:val="nzSubsection"/>
      </w:pPr>
      <w:r>
        <w:tab/>
      </w:r>
      <w:r>
        <w:tab/>
        <w:t>An act or omission of the chief executive officer is not invalid, and cannot be called in question, if —</w:t>
      </w:r>
    </w:p>
    <w:p>
      <w:pPr>
        <w:pStyle w:val="nzIndenta"/>
      </w:pPr>
      <w:r>
        <w:tab/>
        <w:t>(a)</w:t>
      </w:r>
      <w:r>
        <w:tab/>
        <w:t>the act or omission comprises a failure to comply with procedure prescribed for the purposes of this Division; and</w:t>
      </w:r>
    </w:p>
    <w:p>
      <w:pPr>
        <w:pStyle w:val="nzIndenta"/>
      </w:pPr>
      <w:r>
        <w:tab/>
        <w:t>(b)</w:t>
      </w:r>
      <w:r>
        <w:tab/>
        <w:t>the failure is not substantive.</w:t>
      </w:r>
    </w:p>
    <w:p>
      <w:pPr>
        <w:pStyle w:val="nzHeading5"/>
      </w:pPr>
      <w:bookmarkStart w:id="809" w:name="_Toc404765124"/>
      <w:bookmarkStart w:id="810" w:name="_Toc405375786"/>
      <w:r>
        <w:t>11CU.</w:t>
      </w:r>
      <w:r>
        <w:tab/>
        <w:t>Transfer, standing down and leave of custodial officer</w:t>
      </w:r>
      <w:bookmarkEnd w:id="809"/>
      <w:bookmarkEnd w:id="810"/>
    </w:p>
    <w:p>
      <w:pPr>
        <w:pStyle w:val="nzSubsection"/>
      </w:pPr>
      <w:r>
        <w:tab/>
        <w:t>(1)</w:t>
      </w:r>
      <w:r>
        <w:tab/>
        <w:t xml:space="preserve">This Division does not derogate from the chief executive officer’s power to — </w:t>
      </w:r>
    </w:p>
    <w:p>
      <w:pPr>
        <w:pStyle w:val="nzIndenta"/>
      </w:pPr>
      <w:r>
        <w:tab/>
        <w:t>(a)</w:t>
      </w:r>
      <w:r>
        <w:tab/>
        <w:t>transfer a custodial officer; or</w:t>
      </w:r>
    </w:p>
    <w:p>
      <w:pPr>
        <w:pStyle w:val="nzIndenta"/>
      </w:pPr>
      <w:r>
        <w:tab/>
        <w:t>(b)</w:t>
      </w:r>
      <w:r>
        <w:tab/>
        <w:t>stand a custodial officer down from performing that custodial officer’s usual duties, with or without pay, until the custodial officer is directed by the chief executive officer to return to those duties; or</w:t>
      </w:r>
    </w:p>
    <w:p>
      <w:pPr>
        <w:pStyle w:val="nzIndenta"/>
      </w:pPr>
      <w:r>
        <w:tab/>
        <w:t>(c)</w:t>
      </w:r>
      <w:r>
        <w:tab/>
        <w:t>allocate duties to a custodial officer other than the custodial officer’s usual duties.</w:t>
      </w:r>
    </w:p>
    <w:p>
      <w:pPr>
        <w:pStyle w:val="nzSubsection"/>
      </w:pPr>
      <w:r>
        <w:tab/>
        <w:t>(2)</w:t>
      </w:r>
      <w:r>
        <w:tab/>
        <w:t>If the chief executive officer stands down a custodial officer in relation to whom removal action is being taken, the chief executive officer must review the decision to stand the custodial officer down every 60 days and advise the custodial officer in writing of the result of the review.</w:t>
      </w:r>
    </w:p>
    <w:p>
      <w:pPr>
        <w:pStyle w:val="nzSubsection"/>
      </w:pPr>
      <w:r>
        <w:tab/>
        <w:t>(3)</w:t>
      </w:r>
      <w:r>
        <w:tab/>
        <w:t>The chief executive officer must not direct a custodial officer in relation to whom removal action is being taken to take leave during the removal action unless the leave accrues during any period that the custodial officer is stood down from performing the custodial officer’s usual duties.</w:t>
      </w:r>
    </w:p>
    <w:p>
      <w:pPr>
        <w:pStyle w:val="nzHeading5"/>
      </w:pPr>
      <w:bookmarkStart w:id="811" w:name="_Toc404765125"/>
      <w:bookmarkStart w:id="812" w:name="_Toc405375787"/>
      <w:r>
        <w:t>11CV.</w:t>
      </w:r>
      <w:r>
        <w:tab/>
        <w:t>Review of Division</w:t>
      </w:r>
      <w:bookmarkEnd w:id="811"/>
      <w:bookmarkEnd w:id="812"/>
    </w:p>
    <w:p>
      <w:pPr>
        <w:pStyle w:val="nzSubsection"/>
      </w:pPr>
      <w:r>
        <w:tab/>
        <w:t>(1)</w:t>
      </w:r>
      <w:r>
        <w:tab/>
        <w:t xml:space="preserve">In this section — </w:t>
      </w:r>
    </w:p>
    <w:p>
      <w:pPr>
        <w:pStyle w:val="nzDefstart"/>
      </w:pPr>
      <w:r>
        <w:tab/>
      </w:r>
      <w:r>
        <w:rPr>
          <w:rStyle w:val="CharDefText"/>
        </w:rPr>
        <w:t>commencement day</w:t>
      </w:r>
      <w:r>
        <w:t xml:space="preserve"> means the day on which the </w:t>
      </w:r>
      <w:r>
        <w:rPr>
          <w:i/>
        </w:rPr>
        <w:t>Custodial Legislation (Officers Discipline) Amendment Act 2014</w:t>
      </w:r>
      <w:r>
        <w:t xml:space="preserve"> Part 3 comes into operation.</w:t>
      </w:r>
    </w:p>
    <w:p>
      <w:pPr>
        <w:pStyle w:val="nz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nzIndenta"/>
      </w:pPr>
      <w:r>
        <w:tab/>
        <w:t>(a)</w:t>
      </w:r>
      <w:r>
        <w:tab/>
        <w:t>the effectiveness of this Division; and</w:t>
      </w:r>
    </w:p>
    <w:p>
      <w:pPr>
        <w:pStyle w:val="nzIndenta"/>
      </w:pPr>
      <w:r>
        <w:tab/>
        <w:t>(b)</w:t>
      </w:r>
      <w:r>
        <w:tab/>
        <w:t>the need for the retention of the Division; and</w:t>
      </w:r>
    </w:p>
    <w:p>
      <w:pPr>
        <w:pStyle w:val="nzIndenta"/>
      </w:pPr>
      <w:r>
        <w:tab/>
        <w:t>(c)</w:t>
      </w:r>
      <w:r>
        <w:tab/>
        <w:t>any other matters that appear to the Minister to be relevant to the operation and effectiveness of this Division.</w:t>
      </w:r>
    </w:p>
    <w:p>
      <w:pPr>
        <w:pStyle w:val="nzSubsection"/>
      </w:pPr>
      <w:r>
        <w:tab/>
        <w:t>(3)</w:t>
      </w:r>
      <w:r>
        <w:tab/>
        <w:t>Without limiting subsection (2), in carrying out the review, the Minister must consult with and have regard to the views of the Chief Commissioner of the WAIRC, the chief executive officer and any union that has custodial officers as some or all of its members.</w:t>
      </w:r>
    </w:p>
    <w:p>
      <w:pPr>
        <w:pStyle w:val="nz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nzHeading5"/>
      </w:pPr>
      <w:bookmarkStart w:id="813" w:name="_Toc404765126"/>
      <w:bookmarkStart w:id="814" w:name="_Toc405375788"/>
      <w:r>
        <w:rPr>
          <w:rStyle w:val="CharSectno"/>
        </w:rPr>
        <w:t>17</w:t>
      </w:r>
      <w:r>
        <w:t>.</w:t>
      </w:r>
      <w:r>
        <w:tab/>
        <w:t>Part 3 Division 4 heading inserted</w:t>
      </w:r>
      <w:bookmarkEnd w:id="813"/>
      <w:bookmarkEnd w:id="814"/>
    </w:p>
    <w:p>
      <w:pPr>
        <w:pStyle w:val="nzSubsection"/>
      </w:pPr>
      <w:r>
        <w:tab/>
      </w:r>
      <w:r>
        <w:tab/>
        <w:t>Before section 11C insert:</w:t>
      </w:r>
    </w:p>
    <w:p>
      <w:pPr>
        <w:pStyle w:val="BlankOpen"/>
      </w:pPr>
    </w:p>
    <w:p>
      <w:pPr>
        <w:pStyle w:val="nzHeading3"/>
      </w:pPr>
      <w:bookmarkStart w:id="815" w:name="_Toc370987278"/>
      <w:bookmarkStart w:id="816" w:name="_Toc370987370"/>
      <w:bookmarkStart w:id="817" w:name="_Toc370987462"/>
      <w:bookmarkStart w:id="818" w:name="_Toc370987554"/>
      <w:bookmarkStart w:id="819" w:name="_Toc370988032"/>
      <w:bookmarkStart w:id="820" w:name="_Toc370988484"/>
      <w:bookmarkStart w:id="821" w:name="_Toc370988585"/>
      <w:bookmarkStart w:id="822" w:name="_Toc371347044"/>
      <w:bookmarkStart w:id="823" w:name="_Toc372281426"/>
      <w:bookmarkStart w:id="824" w:name="_Toc404765127"/>
      <w:bookmarkStart w:id="825" w:name="_Toc405375789"/>
      <w:r>
        <w:t>Division 4 — Management, control, security and wellbeing of young offenders</w:t>
      </w:r>
      <w:bookmarkEnd w:id="815"/>
      <w:bookmarkEnd w:id="816"/>
      <w:bookmarkEnd w:id="817"/>
      <w:bookmarkEnd w:id="818"/>
      <w:bookmarkEnd w:id="819"/>
      <w:bookmarkEnd w:id="820"/>
      <w:bookmarkEnd w:id="821"/>
      <w:bookmarkEnd w:id="822"/>
      <w:bookmarkEnd w:id="823"/>
      <w:bookmarkEnd w:id="824"/>
      <w:bookmarkEnd w:id="825"/>
    </w:p>
    <w:p>
      <w:pPr>
        <w:pStyle w:val="BlankClose"/>
      </w:pPr>
    </w:p>
    <w:p>
      <w:pPr>
        <w:pStyle w:val="nzHeading5"/>
      </w:pPr>
      <w:bookmarkStart w:id="826" w:name="_Toc404765128"/>
      <w:bookmarkStart w:id="827" w:name="_Toc405375790"/>
      <w:r>
        <w:rPr>
          <w:rStyle w:val="CharSectno"/>
        </w:rPr>
        <w:t>18</w:t>
      </w:r>
      <w:r>
        <w:t>.</w:t>
      </w:r>
      <w:r>
        <w:tab/>
        <w:t>Section 11C amended</w:t>
      </w:r>
      <w:bookmarkEnd w:id="826"/>
      <w:bookmarkEnd w:id="827"/>
    </w:p>
    <w:p>
      <w:pPr>
        <w:pStyle w:val="nzSubsection"/>
      </w:pPr>
      <w:r>
        <w:tab/>
      </w:r>
      <w:r>
        <w:tab/>
        <w:t>In section 11C(1) and (2) delete “person who is appointed under section 11(1) or (1a) as a”.</w:t>
      </w:r>
    </w:p>
    <w:p>
      <w:pPr>
        <w:pStyle w:val="nzHeading5"/>
      </w:pPr>
      <w:bookmarkStart w:id="828" w:name="_Toc404765129"/>
      <w:bookmarkStart w:id="829" w:name="_Toc405375791"/>
      <w:r>
        <w:rPr>
          <w:rStyle w:val="CharSectno"/>
        </w:rPr>
        <w:t>19</w:t>
      </w:r>
      <w:r>
        <w:t>.</w:t>
      </w:r>
      <w:r>
        <w:tab/>
        <w:t>Section 11E amended</w:t>
      </w:r>
      <w:bookmarkEnd w:id="828"/>
      <w:bookmarkEnd w:id="829"/>
    </w:p>
    <w:p>
      <w:pPr>
        <w:pStyle w:val="nzSubsection"/>
      </w:pPr>
      <w:r>
        <w:tab/>
        <w:t>(1)</w:t>
      </w:r>
      <w:r>
        <w:tab/>
        <w:t>In section 11E(2) delete “officer appointed under section 11(1) or (1a),” and insert:</w:t>
      </w:r>
    </w:p>
    <w:p>
      <w:pPr>
        <w:pStyle w:val="BlankOpen"/>
      </w:pPr>
    </w:p>
    <w:p>
      <w:pPr>
        <w:pStyle w:val="nzSubsection"/>
      </w:pPr>
      <w:r>
        <w:tab/>
      </w:r>
      <w:r>
        <w:tab/>
        <w:t xml:space="preserve">officer, </w:t>
      </w:r>
    </w:p>
    <w:p>
      <w:pPr>
        <w:pStyle w:val="BlankClose"/>
      </w:pPr>
    </w:p>
    <w:p>
      <w:pPr>
        <w:pStyle w:val="nzSubsection"/>
      </w:pPr>
      <w:r>
        <w:tab/>
        <w:t>(2)</w:t>
      </w:r>
      <w:r>
        <w:tab/>
        <w:t>In section 11E(3) delete “appointed under section 11(1) or (1a)”.</w:t>
      </w:r>
    </w:p>
    <w:p>
      <w:pPr>
        <w:pStyle w:val="nzHeading5"/>
      </w:pPr>
      <w:bookmarkStart w:id="830" w:name="_Toc404765130"/>
      <w:bookmarkStart w:id="831" w:name="_Toc405375792"/>
      <w:r>
        <w:rPr>
          <w:rStyle w:val="CharSectno"/>
        </w:rPr>
        <w:t>20</w:t>
      </w:r>
      <w:r>
        <w:t>.</w:t>
      </w:r>
      <w:r>
        <w:tab/>
        <w:t>Section 11F amended</w:t>
      </w:r>
      <w:bookmarkEnd w:id="830"/>
      <w:bookmarkEnd w:id="831"/>
    </w:p>
    <w:p>
      <w:pPr>
        <w:pStyle w:val="nzSubsection"/>
      </w:pPr>
      <w:r>
        <w:tab/>
      </w:r>
      <w:r>
        <w:tab/>
        <w:t>In section 11F(2) delete “officer appointed under section 11(1) or (1a),” and insert:</w:t>
      </w:r>
    </w:p>
    <w:p>
      <w:pPr>
        <w:pStyle w:val="BlankOpen"/>
      </w:pPr>
    </w:p>
    <w:p>
      <w:pPr>
        <w:pStyle w:val="nzSubsection"/>
      </w:pPr>
      <w:r>
        <w:tab/>
      </w:r>
      <w:r>
        <w:tab/>
        <w:t>officer,</w:t>
      </w:r>
    </w:p>
    <w:p>
      <w:pPr>
        <w:pStyle w:val="BlankClose"/>
      </w:pPr>
    </w:p>
    <w:p>
      <w:pPr>
        <w:pStyle w:val="nzHeading5"/>
      </w:pPr>
      <w:bookmarkStart w:id="832" w:name="_Toc404765131"/>
      <w:bookmarkStart w:id="833" w:name="_Toc405375793"/>
      <w:r>
        <w:rPr>
          <w:rStyle w:val="CharSectno"/>
        </w:rPr>
        <w:t>21</w:t>
      </w:r>
      <w:r>
        <w:t>.</w:t>
      </w:r>
      <w:r>
        <w:tab/>
        <w:t>Part 3 Division 2 heading replaced</w:t>
      </w:r>
      <w:bookmarkEnd w:id="832"/>
      <w:bookmarkEnd w:id="833"/>
    </w:p>
    <w:p>
      <w:pPr>
        <w:pStyle w:val="nzSubsection"/>
      </w:pPr>
      <w:r>
        <w:tab/>
      </w:r>
      <w:r>
        <w:tab/>
        <w:t>Delete the heading to Part 3 Division 2 and insert:</w:t>
      </w:r>
    </w:p>
    <w:p>
      <w:pPr>
        <w:pStyle w:val="BlankOpen"/>
      </w:pPr>
    </w:p>
    <w:p>
      <w:pPr>
        <w:pStyle w:val="nzHeading3"/>
      </w:pPr>
      <w:bookmarkStart w:id="834" w:name="_Toc370987283"/>
      <w:bookmarkStart w:id="835" w:name="_Toc370987375"/>
      <w:bookmarkStart w:id="836" w:name="_Toc370987467"/>
      <w:bookmarkStart w:id="837" w:name="_Toc370987559"/>
      <w:bookmarkStart w:id="838" w:name="_Toc370988037"/>
      <w:bookmarkStart w:id="839" w:name="_Toc370988489"/>
      <w:bookmarkStart w:id="840" w:name="_Toc370988590"/>
      <w:bookmarkStart w:id="841" w:name="_Toc371347049"/>
      <w:bookmarkStart w:id="842" w:name="_Toc372281431"/>
      <w:bookmarkStart w:id="843" w:name="_Toc404765132"/>
      <w:bookmarkStart w:id="844" w:name="_Toc405375794"/>
      <w:r>
        <w:t>Division 5 — Arrangements with councils of Aboriginal communities</w:t>
      </w:r>
      <w:bookmarkEnd w:id="834"/>
      <w:bookmarkEnd w:id="835"/>
      <w:bookmarkEnd w:id="836"/>
      <w:bookmarkEnd w:id="837"/>
      <w:bookmarkEnd w:id="838"/>
      <w:bookmarkEnd w:id="839"/>
      <w:bookmarkEnd w:id="840"/>
      <w:bookmarkEnd w:id="841"/>
      <w:bookmarkEnd w:id="842"/>
      <w:bookmarkEnd w:id="843"/>
      <w:bookmarkEnd w:id="844"/>
    </w:p>
    <w:p>
      <w:pPr>
        <w:pStyle w:val="BlankClose"/>
      </w:pPr>
    </w:p>
    <w:p>
      <w:pPr>
        <w:pStyle w:val="nzHeading5"/>
      </w:pPr>
      <w:bookmarkStart w:id="845" w:name="_Toc404765133"/>
      <w:bookmarkStart w:id="846" w:name="_Toc405375795"/>
      <w:r>
        <w:rPr>
          <w:rStyle w:val="CharSectno"/>
        </w:rPr>
        <w:t>22</w:t>
      </w:r>
      <w:r>
        <w:t>.</w:t>
      </w:r>
      <w:r>
        <w:tab/>
        <w:t>Section 169A amended</w:t>
      </w:r>
      <w:bookmarkEnd w:id="845"/>
      <w:bookmarkEnd w:id="846"/>
    </w:p>
    <w:p>
      <w:pPr>
        <w:pStyle w:val="nzSubsection"/>
      </w:pPr>
      <w:r>
        <w:tab/>
        <w:t>(1)</w:t>
      </w:r>
      <w:r>
        <w:tab/>
        <w:t>In section 169A(4) delete “person who is appointed under section 11(1) or (1a)” and insert:</w:t>
      </w:r>
    </w:p>
    <w:p>
      <w:pPr>
        <w:pStyle w:val="BlankOpen"/>
      </w:pPr>
    </w:p>
    <w:p>
      <w:pPr>
        <w:pStyle w:val="nzSubsection"/>
      </w:pPr>
      <w:r>
        <w:tab/>
      </w:r>
      <w:r>
        <w:tab/>
        <w:t>custodial officer</w:t>
      </w:r>
    </w:p>
    <w:p>
      <w:pPr>
        <w:pStyle w:val="BlankClose"/>
      </w:pPr>
    </w:p>
    <w:p>
      <w:pPr>
        <w:pStyle w:val="nzSubsection"/>
      </w:pPr>
      <w:r>
        <w:tab/>
        <w:t>(2)</w:t>
      </w:r>
      <w:r>
        <w:tab/>
        <w:t>In section 169A(5) delete “person who is appointed under section 11(1) or (1a),” and insert:</w:t>
      </w:r>
    </w:p>
    <w:p>
      <w:pPr>
        <w:pStyle w:val="BlankOpen"/>
      </w:pPr>
    </w:p>
    <w:p>
      <w:pPr>
        <w:pStyle w:val="nzSubsection"/>
      </w:pPr>
      <w:r>
        <w:tab/>
      </w:r>
      <w:r>
        <w:tab/>
        <w:t>custodial officer</w:t>
      </w:r>
    </w:p>
    <w:p>
      <w:pPr>
        <w:pStyle w:val="BlankClose"/>
      </w:pPr>
    </w:p>
    <w:p>
      <w:pPr>
        <w:pStyle w:val="BlankClose"/>
      </w:pPr>
    </w:p>
    <w:p/>
    <w:p>
      <w:pPr>
        <w:sectPr>
          <w:headerReference w:type="even" r:id="rId34"/>
          <w:headerReference w:type="default" r:id="rId35"/>
          <w:headerReference w:type="first" r:id="rId36"/>
          <w:pgSz w:w="11907" w:h="16840" w:code="9"/>
          <w:pgMar w:top="2376" w:right="2405" w:bottom="3542" w:left="2405" w:header="706" w:footer="3380" w:gutter="0"/>
          <w:cols w:space="720"/>
          <w:noEndnote/>
          <w:docGrid w:linePitch="326"/>
        </w:sectPr>
      </w:pPr>
    </w:p>
    <w:p>
      <w:pPr>
        <w:pStyle w:val="nHeading2"/>
        <w:rPr>
          <w:sz w:val="28"/>
        </w:rPr>
      </w:pPr>
      <w:bookmarkStart w:id="848" w:name="_Toc413337377"/>
      <w:bookmarkStart w:id="849" w:name="_Toc413337492"/>
      <w:bookmarkStart w:id="850" w:name="_Toc422303444"/>
      <w:r>
        <w:rPr>
          <w:sz w:val="28"/>
        </w:rPr>
        <w:t>Defined terms</w:t>
      </w:r>
      <w:bookmarkEnd w:id="848"/>
      <w:bookmarkEnd w:id="849"/>
      <w:bookmarkEnd w:id="85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community</w:t>
      </w:r>
      <w:r>
        <w:tab/>
        <w:t>3</w:t>
      </w:r>
    </w:p>
    <w:p>
      <w:pPr>
        <w:pStyle w:val="DefinedTerms"/>
      </w:pPr>
      <w:r>
        <w:t>appointed person or body</w:t>
      </w:r>
      <w:r>
        <w:tab/>
        <w:t>15A(3c)</w:t>
      </w:r>
    </w:p>
    <w:p>
      <w:pPr>
        <w:pStyle w:val="DefinedTerms"/>
      </w:pPr>
      <w:r>
        <w:t>appropriate person</w:t>
      </w:r>
      <w:r>
        <w:tab/>
        <w:t>23B(3)</w:t>
      </w:r>
    </w:p>
    <w:p>
      <w:pPr>
        <w:pStyle w:val="DefinedTerms"/>
      </w:pPr>
      <w:r>
        <w:t>approved</w:t>
      </w:r>
      <w:r>
        <w:tab/>
        <w:t>35</w:t>
      </w:r>
    </w:p>
    <w:p>
      <w:pPr>
        <w:pStyle w:val="DefinedTerms"/>
      </w:pPr>
      <w:r>
        <w:t>attendance conditions</w:t>
      </w:r>
      <w:r>
        <w:tab/>
        <w:t>3</w:t>
      </w:r>
    </w:p>
    <w:p>
      <w:pPr>
        <w:pStyle w:val="DefinedTerms"/>
      </w:pPr>
      <w:r>
        <w:t>authorised officer</w:t>
      </w:r>
      <w:r>
        <w:tab/>
        <w:t>15A(3c)</w:t>
      </w:r>
    </w:p>
    <w:p>
      <w:pPr>
        <w:pStyle w:val="DefinedTerms"/>
      </w:pPr>
      <w:r>
        <w:t>authorised person</w:t>
      </w:r>
      <w:r>
        <w:tab/>
        <w:t>169A(7)</w:t>
      </w:r>
    </w:p>
    <w:p>
      <w:pPr>
        <w:pStyle w:val="DefinedTerms"/>
      </w:pPr>
      <w:r>
        <w:t>Board</w:t>
      </w:r>
      <w:r>
        <w:tab/>
        <w:t>131</w:t>
      </w:r>
    </w:p>
    <w:p>
      <w:pPr>
        <w:pStyle w:val="DefinedTerms"/>
      </w:pPr>
      <w:r>
        <w:t>body sample</w:t>
      </w:r>
      <w:r>
        <w:tab/>
        <w:t>3</w:t>
      </w:r>
    </w:p>
    <w:p>
      <w:pPr>
        <w:pStyle w:val="DefinedTerms"/>
      </w:pPr>
      <w:r>
        <w:t>CEO (child welfare)</w:t>
      </w:r>
      <w:r>
        <w:tab/>
        <w:t>15A(2)</w:t>
      </w:r>
    </w:p>
    <w:p>
      <w:pPr>
        <w:pStyle w:val="DefinedTerms"/>
      </w:pPr>
      <w:r>
        <w:t>chief executive officer</w:t>
      </w:r>
      <w:r>
        <w:tab/>
        <w:t>3</w:t>
      </w:r>
    </w:p>
    <w:p>
      <w:pPr>
        <w:pStyle w:val="DefinedTerms"/>
      </w:pPr>
      <w:r>
        <w:t>child</w:t>
      </w:r>
      <w:r>
        <w:tab/>
        <w:t>15A(3c)</w:t>
      </w:r>
    </w:p>
    <w:p>
      <w:pPr>
        <w:pStyle w:val="DefinedTerms"/>
      </w:pPr>
      <w:r>
        <w:t>community work conditions</w:t>
      </w:r>
      <w:r>
        <w:tab/>
        <w:t>3</w:t>
      </w:r>
    </w:p>
    <w:p>
      <w:pPr>
        <w:pStyle w:val="DefinedTerms"/>
      </w:pPr>
      <w:r>
        <w:t>community work order</w:t>
      </w:r>
      <w:r>
        <w:tab/>
        <w:t>63</w:t>
      </w:r>
    </w:p>
    <w:p>
      <w:pPr>
        <w:pStyle w:val="DefinedTerms"/>
      </w:pPr>
      <w:r>
        <w:t>conditional release order</w:t>
      </w:r>
      <w:r>
        <w:tab/>
        <w:t>3</w:t>
      </w:r>
    </w:p>
    <w:p>
      <w:pPr>
        <w:pStyle w:val="DefinedTerms"/>
      </w:pPr>
      <w:r>
        <w:t>contractor</w:t>
      </w:r>
      <w:r>
        <w:tab/>
        <w:t>16(1)</w:t>
      </w:r>
    </w:p>
    <w:p>
      <w:pPr>
        <w:pStyle w:val="DefinedTerms"/>
      </w:pPr>
      <w:r>
        <w:t>Coordinator</w:t>
      </w:r>
      <w:r>
        <w:tab/>
        <w:t>35</w:t>
      </w:r>
    </w:p>
    <w:p>
      <w:pPr>
        <w:pStyle w:val="DefinedTerms"/>
      </w:pPr>
      <w:r>
        <w:t>council</w:t>
      </w:r>
      <w:r>
        <w:tab/>
        <w:t>17A</w:t>
      </w:r>
    </w:p>
    <w:p>
      <w:pPr>
        <w:pStyle w:val="DefinedTerms"/>
      </w:pPr>
      <w:r>
        <w:t>court</w:t>
      </w:r>
      <w:r>
        <w:tab/>
        <w:t>3</w:t>
      </w:r>
    </w:p>
    <w:p>
      <w:pPr>
        <w:pStyle w:val="DefinedTerms"/>
      </w:pPr>
      <w:r>
        <w:t>current offence</w:t>
      </w:r>
      <w:r>
        <w:tab/>
        <w:t>124(1)</w:t>
      </w:r>
    </w:p>
    <w:p>
      <w:pPr>
        <w:pStyle w:val="DefinedTerms"/>
      </w:pPr>
      <w:r>
        <w:t>defaulter</w:t>
      </w:r>
      <w:r>
        <w:tab/>
        <w:t>65A(1)</w:t>
      </w:r>
    </w:p>
    <w:p>
      <w:pPr>
        <w:pStyle w:val="DefinedTerms"/>
      </w:pPr>
      <w:r>
        <w:t>Department</w:t>
      </w:r>
      <w:r>
        <w:tab/>
        <w:t>3</w:t>
      </w:r>
    </w:p>
    <w:p>
      <w:pPr>
        <w:pStyle w:val="DefinedTerms"/>
      </w:pPr>
      <w:r>
        <w:t>detainee</w:t>
      </w:r>
      <w:r>
        <w:tab/>
        <w:t>3, 188(1)</w:t>
      </w:r>
    </w:p>
    <w:p>
      <w:pPr>
        <w:pStyle w:val="DefinedTerms"/>
      </w:pPr>
      <w:r>
        <w:t>detention</w:t>
      </w:r>
      <w:r>
        <w:tab/>
        <w:t>3</w:t>
      </w:r>
    </w:p>
    <w:p>
      <w:pPr>
        <w:pStyle w:val="DefinedTerms"/>
      </w:pPr>
      <w:r>
        <w:t>detention centre</w:t>
      </w:r>
      <w:r>
        <w:tab/>
        <w:t>3</w:t>
      </w:r>
    </w:p>
    <w:p>
      <w:pPr>
        <w:pStyle w:val="DefinedTerms"/>
      </w:pPr>
      <w:r>
        <w:t>detention order</w:t>
      </w:r>
      <w:r>
        <w:tab/>
        <w:t>63</w:t>
      </w:r>
    </w:p>
    <w:p>
      <w:pPr>
        <w:pStyle w:val="DefinedTerms"/>
      </w:pPr>
      <w:r>
        <w:t>earliest release day</w:t>
      </w:r>
      <w:r>
        <w:tab/>
        <w:t>3</w:t>
      </w:r>
    </w:p>
    <w:p>
      <w:pPr>
        <w:pStyle w:val="DefinedTerms"/>
      </w:pPr>
      <w:r>
        <w:t>exempt responsible adult</w:t>
      </w:r>
      <w:r>
        <w:tab/>
        <w:t>3</w:t>
      </w:r>
    </w:p>
    <w:p>
      <w:pPr>
        <w:pStyle w:val="DefinedTerms"/>
      </w:pPr>
      <w:r>
        <w:t>fine</w:t>
      </w:r>
      <w:r>
        <w:tab/>
        <w:t>63</w:t>
      </w:r>
    </w:p>
    <w:p>
      <w:pPr>
        <w:pStyle w:val="DefinedTerms"/>
      </w:pPr>
      <w:r>
        <w:t>first sentence</w:t>
      </w:r>
      <w:r>
        <w:tab/>
        <w:t>123(1)</w:t>
      </w:r>
    </w:p>
    <w:p>
      <w:pPr>
        <w:pStyle w:val="DefinedTerms"/>
      </w:pPr>
      <w:r>
        <w:t>former provisions</w:t>
      </w:r>
      <w:r>
        <w:tab/>
        <w:t>234(1), 235(1)</w:t>
      </w:r>
    </w:p>
    <w:p>
      <w:pPr>
        <w:pStyle w:val="DefinedTerms"/>
      </w:pPr>
      <w:r>
        <w:t>general principles of juvenile justice</w:t>
      </w:r>
      <w:r>
        <w:tab/>
        <w:t>3</w:t>
      </w:r>
    </w:p>
    <w:p>
      <w:pPr>
        <w:pStyle w:val="DefinedTerms"/>
      </w:pPr>
      <w:r>
        <w:t>group workers</w:t>
      </w:r>
      <w:r>
        <w:tab/>
        <w:t>11(1a)</w:t>
      </w:r>
    </w:p>
    <w:p>
      <w:pPr>
        <w:pStyle w:val="DefinedTerms"/>
      </w:pPr>
      <w:r>
        <w:t>imprisonment</w:t>
      </w:r>
      <w:r>
        <w:tab/>
        <w:t>3</w:t>
      </w:r>
    </w:p>
    <w:p>
      <w:pPr>
        <w:pStyle w:val="DefinedTerms"/>
      </w:pPr>
      <w:r>
        <w:t>independent young person</w:t>
      </w:r>
      <w:r>
        <w:tab/>
        <w:t>3</w:t>
      </w:r>
    </w:p>
    <w:p>
      <w:pPr>
        <w:pStyle w:val="DefinedTerms"/>
      </w:pPr>
      <w:r>
        <w:t>infringement notice</w:t>
      </w:r>
      <w:r>
        <w:tab/>
        <w:t>25(3)</w:t>
      </w:r>
    </w:p>
    <w:p>
      <w:pPr>
        <w:pStyle w:val="DefinedTerms"/>
      </w:pPr>
      <w:r>
        <w:t>intensive youth supervision order</w:t>
      </w:r>
      <w:r>
        <w:tab/>
        <w:t>3</w:t>
      </w:r>
    </w:p>
    <w:p>
      <w:pPr>
        <w:pStyle w:val="DefinedTerms"/>
      </w:pPr>
      <w:r>
        <w:t>lawyer</w:t>
      </w:r>
      <w:r>
        <w:tab/>
        <w:t>37A(1)</w:t>
      </w:r>
    </w:p>
    <w:p>
      <w:pPr>
        <w:pStyle w:val="DefinedTerms"/>
      </w:pPr>
      <w:r>
        <w:t>lock</w:t>
      </w:r>
      <w:r>
        <w:noBreakHyphen/>
        <w:t>up</w:t>
      </w:r>
      <w:r>
        <w:tab/>
        <w:t>3</w:t>
      </w:r>
    </w:p>
    <w:p>
      <w:pPr>
        <w:pStyle w:val="DefinedTerms"/>
      </w:pPr>
      <w:r>
        <w:t>medical officer</w:t>
      </w:r>
      <w:r>
        <w:tab/>
        <w:t>179(1)</w:t>
      </w:r>
    </w:p>
    <w:p>
      <w:pPr>
        <w:pStyle w:val="DefinedTerms"/>
      </w:pPr>
      <w:r>
        <w:t>medical treatment</w:t>
      </w:r>
      <w:r>
        <w:tab/>
        <w:t>179(1)</w:t>
      </w:r>
    </w:p>
    <w:p>
      <w:pPr>
        <w:pStyle w:val="DefinedTerms"/>
      </w:pPr>
      <w:r>
        <w:t>monitor</w:t>
      </w:r>
      <w:r>
        <w:tab/>
        <w:t>17A</w:t>
      </w:r>
    </w:p>
    <w:p>
      <w:pPr>
        <w:pStyle w:val="DefinedTerms"/>
      </w:pPr>
      <w:r>
        <w:t>notice to attend court</w:t>
      </w:r>
      <w:r>
        <w:tab/>
        <w:t>3</w:t>
      </w:r>
    </w:p>
    <w:p>
      <w:pPr>
        <w:pStyle w:val="DefinedTerms"/>
      </w:pPr>
      <w:r>
        <w:t>offender</w:t>
      </w:r>
      <w:r>
        <w:tab/>
        <w:t>50(1), 50A(1), 50B(1)</w:t>
      </w:r>
    </w:p>
    <w:p>
      <w:pPr>
        <w:pStyle w:val="DefinedTerms"/>
      </w:pPr>
      <w:r>
        <w:t>original offence</w:t>
      </w:r>
      <w:r>
        <w:tab/>
        <w:t>83(2)</w:t>
      </w:r>
    </w:p>
    <w:p>
      <w:pPr>
        <w:pStyle w:val="DefinedTerms"/>
      </w:pPr>
      <w:r>
        <w:t>party</w:t>
      </w:r>
      <w:r>
        <w:tab/>
        <w:t>32(3)</w:t>
      </w:r>
    </w:p>
    <w:p>
      <w:pPr>
        <w:pStyle w:val="DefinedTerms"/>
      </w:pPr>
      <w:r>
        <w:t>proceedings for or in respect of a responsible parenting order</w:t>
      </w:r>
      <w:r>
        <w:tab/>
        <w:t>15A(3c)</w:t>
      </w:r>
    </w:p>
    <w:p>
      <w:pPr>
        <w:pStyle w:val="DefinedTerms"/>
      </w:pPr>
      <w:r>
        <w:t>public authority</w:t>
      </w:r>
      <w:r>
        <w:tab/>
        <w:t>16(1)</w:t>
      </w:r>
    </w:p>
    <w:p>
      <w:pPr>
        <w:pStyle w:val="DefinedTerms"/>
      </w:pPr>
      <w:r>
        <w:t>registrar of the court</w:t>
      </w:r>
      <w:r>
        <w:tab/>
        <w:t>3</w:t>
      </w:r>
    </w:p>
    <w:p>
      <w:pPr>
        <w:pStyle w:val="DefinedTerms"/>
      </w:pPr>
      <w:r>
        <w:t>relevant day</w:t>
      </w:r>
      <w:r>
        <w:tab/>
        <w:t>127(1)</w:t>
      </w:r>
    </w:p>
    <w:p>
      <w:pPr>
        <w:pStyle w:val="DefinedTerms"/>
      </w:pPr>
      <w:r>
        <w:t>relevant information</w:t>
      </w:r>
      <w:r>
        <w:tab/>
        <w:t>16(1)</w:t>
      </w:r>
    </w:p>
    <w:p>
      <w:pPr>
        <w:pStyle w:val="DefinedTerms"/>
      </w:pPr>
      <w:r>
        <w:t>research</w:t>
      </w:r>
      <w:r>
        <w:tab/>
        <w:t>16(1)</w:t>
      </w:r>
    </w:p>
    <w:p>
      <w:pPr>
        <w:pStyle w:val="DefinedTerms"/>
      </w:pPr>
      <w:r>
        <w:t>responsible adult</w:t>
      </w:r>
      <w:r>
        <w:tab/>
        <w:t>3, 58(1)</w:t>
      </w:r>
    </w:p>
    <w:p>
      <w:pPr>
        <w:pStyle w:val="DefinedTerms"/>
      </w:pPr>
      <w:r>
        <w:t>Schedule 1 offence</w:t>
      </w:r>
      <w:r>
        <w:tab/>
        <w:t>3</w:t>
      </w:r>
    </w:p>
    <w:p>
      <w:pPr>
        <w:pStyle w:val="DefinedTerms"/>
      </w:pPr>
      <w:r>
        <w:t>Schedule 2 offence</w:t>
      </w:r>
      <w:r>
        <w:tab/>
        <w:t>3</w:t>
      </w:r>
    </w:p>
    <w:p>
      <w:pPr>
        <w:pStyle w:val="DefinedTerms"/>
      </w:pPr>
      <w:r>
        <w:t>second sentence</w:t>
      </w:r>
      <w:r>
        <w:tab/>
        <w:t>123(1)</w:t>
      </w:r>
    </w:p>
    <w:p>
      <w:pPr>
        <w:pStyle w:val="DefinedTerms"/>
      </w:pPr>
      <w:r>
        <w:t>Secretary</w:t>
      </w:r>
      <w:r>
        <w:tab/>
        <w:t>131</w:t>
      </w:r>
    </w:p>
    <w:p>
      <w:pPr>
        <w:pStyle w:val="DefinedTerms"/>
      </w:pPr>
      <w:r>
        <w:t>sentence 1</w:t>
      </w:r>
      <w:r>
        <w:tab/>
        <w:t>124(1)</w:t>
      </w:r>
    </w:p>
    <w:p>
      <w:pPr>
        <w:pStyle w:val="DefinedTerms"/>
      </w:pPr>
      <w:r>
        <w:t>sentence 2</w:t>
      </w:r>
      <w:r>
        <w:tab/>
        <w:t>124(1)</w:t>
      </w:r>
    </w:p>
    <w:p>
      <w:pPr>
        <w:pStyle w:val="DefinedTerms"/>
      </w:pPr>
      <w:r>
        <w:t>sentencing court</w:t>
      </w:r>
      <w:r>
        <w:tab/>
        <w:t>129(1)</w:t>
      </w:r>
    </w:p>
    <w:p>
      <w:pPr>
        <w:pStyle w:val="DefinedTerms"/>
      </w:pPr>
      <w:r>
        <w:t>serious offence</w:t>
      </w:r>
      <w:r>
        <w:tab/>
        <w:t>124(3)</w:t>
      </w:r>
    </w:p>
    <w:p>
      <w:pPr>
        <w:pStyle w:val="DefinedTerms"/>
      </w:pPr>
      <w:r>
        <w:t>special order</w:t>
      </w:r>
      <w:r>
        <w:tab/>
        <w:t>3</w:t>
      </w:r>
    </w:p>
    <w:p>
      <w:pPr>
        <w:pStyle w:val="DefinedTerms"/>
      </w:pPr>
      <w:r>
        <w:t>superintendent</w:t>
      </w:r>
      <w:r>
        <w:tab/>
        <w:t>3</w:t>
      </w:r>
    </w:p>
    <w:p>
      <w:pPr>
        <w:pStyle w:val="DefinedTerms"/>
      </w:pPr>
      <w:r>
        <w:t>supervise</w:t>
      </w:r>
      <w:r>
        <w:tab/>
        <w:t>17A</w:t>
      </w:r>
    </w:p>
    <w:p>
      <w:pPr>
        <w:pStyle w:val="DefinedTerms"/>
      </w:pPr>
      <w:r>
        <w:t>supervised release order</w:t>
      </w:r>
      <w:r>
        <w:tab/>
        <w:t>3</w:t>
      </w:r>
    </w:p>
    <w:p>
      <w:pPr>
        <w:pStyle w:val="DefinedTerms"/>
      </w:pPr>
      <w:r>
        <w:t>supervision conditions</w:t>
      </w:r>
      <w:r>
        <w:tab/>
        <w:t>3</w:t>
      </w:r>
    </w:p>
    <w:p>
      <w:pPr>
        <w:pStyle w:val="DefinedTerms"/>
      </w:pPr>
      <w:r>
        <w:t>victim</w:t>
      </w:r>
      <w:r>
        <w:tab/>
        <w:t>31(1), 133(3)</w:t>
      </w:r>
    </w:p>
    <w:p>
      <w:pPr>
        <w:pStyle w:val="DefinedTerms"/>
      </w:pPr>
      <w:r>
        <w:t>welfare agency</w:t>
      </w:r>
      <w:r>
        <w:tab/>
        <w:t>15A(2)</w:t>
      </w:r>
    </w:p>
    <w:p>
      <w:pPr>
        <w:pStyle w:val="DefinedTerms"/>
      </w:pPr>
      <w:r>
        <w:t>work</w:t>
      </w:r>
      <w:r>
        <w:tab/>
        <w:t>3</w:t>
      </w:r>
    </w:p>
    <w:p>
      <w:pPr>
        <w:pStyle w:val="DefinedTerms"/>
      </w:pPr>
      <w:r>
        <w:t>written reasons</w:t>
      </w:r>
      <w:r>
        <w:tab/>
        <w:t>120(3)</w:t>
      </w:r>
    </w:p>
    <w:p>
      <w:pPr>
        <w:pStyle w:val="DefinedTerms"/>
      </w:pPr>
      <w:r>
        <w:t>young person</w:t>
      </w:r>
      <w:r>
        <w:tab/>
        <w:t>3</w:t>
      </w:r>
    </w:p>
    <w:p>
      <w:pPr>
        <w:pStyle w:val="DefinedTerms"/>
      </w:pPr>
      <w:r>
        <w:t>youth community based order</w:t>
      </w:r>
      <w:r>
        <w:tab/>
        <w:t>3</w:t>
      </w:r>
    </w:p>
    <w:p>
      <w:pPr>
        <w:pStyle w:val="DefinedTerms"/>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Jun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x</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Jun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ix</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178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05-j0-00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Jun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Jun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05-j0-00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177</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40" w:name="Schedule"/>
    <w:bookmarkEnd w:id="64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Schedule 2 offences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Schedule 2 offences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847" w:name="Compilation"/>
    <w:bookmarkEnd w:id="84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51" w:name="DefinedTerms"/>
    <w:bookmarkEnd w:id="851"/>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52" w:name="Coversheet"/>
    <w:bookmarkEnd w:id="85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FADB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CF638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92C2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3EBA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E4B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BA249C0"/>
    <w:multiLevelType w:val="multilevel"/>
    <w:tmpl w:val="FB9AD72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nsid w:val="22FF52EB"/>
    <w:multiLevelType w:val="multilevel"/>
    <w:tmpl w:val="F542B0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A5C9C1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79F73C7"/>
    <w:multiLevelType w:val="hybridMultilevel"/>
    <w:tmpl w:val="CC128D4C"/>
    <w:lvl w:ilvl="0" w:tplc="F858E684">
      <w:start w:val="1"/>
      <w:numFmt w:val="bullet"/>
      <w:lvlText w:val=""/>
      <w:lvlJc w:val="left"/>
      <w:pPr>
        <w:tabs>
          <w:tab w:val="num" w:pos="720"/>
        </w:tabs>
        <w:ind w:left="720" w:hanging="360"/>
      </w:pPr>
      <w:rPr>
        <w:rFonts w:ascii="Symbol" w:hAnsi="Symbol" w:hint="default"/>
      </w:rPr>
    </w:lvl>
    <w:lvl w:ilvl="1" w:tplc="D8FE4888" w:tentative="1">
      <w:start w:val="1"/>
      <w:numFmt w:val="bullet"/>
      <w:lvlText w:val="o"/>
      <w:lvlJc w:val="left"/>
      <w:pPr>
        <w:tabs>
          <w:tab w:val="num" w:pos="1440"/>
        </w:tabs>
        <w:ind w:left="1440" w:hanging="360"/>
      </w:pPr>
      <w:rPr>
        <w:rFonts w:ascii="Courier New" w:hAnsi="Courier New" w:hint="default"/>
      </w:rPr>
    </w:lvl>
    <w:lvl w:ilvl="2" w:tplc="17FC9782" w:tentative="1">
      <w:start w:val="1"/>
      <w:numFmt w:val="bullet"/>
      <w:lvlText w:val=""/>
      <w:lvlJc w:val="left"/>
      <w:pPr>
        <w:tabs>
          <w:tab w:val="num" w:pos="2160"/>
        </w:tabs>
        <w:ind w:left="2160" w:hanging="360"/>
      </w:pPr>
      <w:rPr>
        <w:rFonts w:ascii="Wingdings" w:hAnsi="Wingdings" w:hint="default"/>
      </w:rPr>
    </w:lvl>
    <w:lvl w:ilvl="3" w:tplc="FC760288" w:tentative="1">
      <w:start w:val="1"/>
      <w:numFmt w:val="bullet"/>
      <w:lvlText w:val=""/>
      <w:lvlJc w:val="left"/>
      <w:pPr>
        <w:tabs>
          <w:tab w:val="num" w:pos="2880"/>
        </w:tabs>
        <w:ind w:left="2880" w:hanging="360"/>
      </w:pPr>
      <w:rPr>
        <w:rFonts w:ascii="Symbol" w:hAnsi="Symbol" w:hint="default"/>
      </w:rPr>
    </w:lvl>
    <w:lvl w:ilvl="4" w:tplc="5B4ABDA4" w:tentative="1">
      <w:start w:val="1"/>
      <w:numFmt w:val="bullet"/>
      <w:lvlText w:val="o"/>
      <w:lvlJc w:val="left"/>
      <w:pPr>
        <w:tabs>
          <w:tab w:val="num" w:pos="3600"/>
        </w:tabs>
        <w:ind w:left="3600" w:hanging="360"/>
      </w:pPr>
      <w:rPr>
        <w:rFonts w:ascii="Courier New" w:hAnsi="Courier New" w:hint="default"/>
      </w:rPr>
    </w:lvl>
    <w:lvl w:ilvl="5" w:tplc="D042F5BA" w:tentative="1">
      <w:start w:val="1"/>
      <w:numFmt w:val="bullet"/>
      <w:lvlText w:val=""/>
      <w:lvlJc w:val="left"/>
      <w:pPr>
        <w:tabs>
          <w:tab w:val="num" w:pos="4320"/>
        </w:tabs>
        <w:ind w:left="4320" w:hanging="360"/>
      </w:pPr>
      <w:rPr>
        <w:rFonts w:ascii="Wingdings" w:hAnsi="Wingdings" w:hint="default"/>
      </w:rPr>
    </w:lvl>
    <w:lvl w:ilvl="6" w:tplc="9D0EC3C0" w:tentative="1">
      <w:start w:val="1"/>
      <w:numFmt w:val="bullet"/>
      <w:lvlText w:val=""/>
      <w:lvlJc w:val="left"/>
      <w:pPr>
        <w:tabs>
          <w:tab w:val="num" w:pos="5040"/>
        </w:tabs>
        <w:ind w:left="5040" w:hanging="360"/>
      </w:pPr>
      <w:rPr>
        <w:rFonts w:ascii="Symbol" w:hAnsi="Symbol" w:hint="default"/>
      </w:rPr>
    </w:lvl>
    <w:lvl w:ilvl="7" w:tplc="2716D0B8" w:tentative="1">
      <w:start w:val="1"/>
      <w:numFmt w:val="bullet"/>
      <w:lvlText w:val="o"/>
      <w:lvlJc w:val="left"/>
      <w:pPr>
        <w:tabs>
          <w:tab w:val="num" w:pos="5760"/>
        </w:tabs>
        <w:ind w:left="5760" w:hanging="360"/>
      </w:pPr>
      <w:rPr>
        <w:rFonts w:ascii="Courier New" w:hAnsi="Courier New" w:hint="default"/>
      </w:rPr>
    </w:lvl>
    <w:lvl w:ilvl="8" w:tplc="A6081DD0" w:tentative="1">
      <w:start w:val="1"/>
      <w:numFmt w:val="bullet"/>
      <w:lvlText w:val=""/>
      <w:lvlJc w:val="left"/>
      <w:pPr>
        <w:tabs>
          <w:tab w:val="num" w:pos="6480"/>
        </w:tabs>
        <w:ind w:left="6480" w:hanging="360"/>
      </w:pPr>
      <w:rPr>
        <w:rFonts w:ascii="Wingdings" w:hAnsi="Wingdings" w:hint="default"/>
      </w:r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31"/>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0"/>
  </w:num>
  <w:num w:numId="15">
    <w:abstractNumId w:val="22"/>
  </w:num>
  <w:num w:numId="16">
    <w:abstractNumId w:val="26"/>
  </w:num>
  <w:num w:numId="17">
    <w:abstractNumId w:val="28"/>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04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5163720"/>
    <w:docVar w:name="WAFER_20140114105255" w:val="RemoveTocBookmarks,RemoveUnusedBookmarks,RemoveLanguageTags,UsedStyles,ResetPageSize,UpdateArrangement"/>
    <w:docVar w:name="WAFER_20140114105255_GUID" w:val="29cbcde7-9b77-4de9-a0a1-24674fecfd84"/>
    <w:docVar w:name="WAFER_20140114110603" w:val="RemoveTocBookmarks,RunningHeaders"/>
    <w:docVar w:name="WAFER_20140114110603_GUID" w:val="aba6ea1c-4290-4ef4-8d05-99eed9a06064"/>
    <w:docVar w:name="WAFER_20141104172112" w:val="RemoveTocBookmarks,RemoveUnusedBookmarks,RemoveLanguageTags,UsedStyles,ResetPageSize"/>
    <w:docVar w:name="WAFER_20141104172112_GUID" w:val="354c51a4-13e1-4e6e-b596-f911029d80b6"/>
    <w:docVar w:name="WAFER_20141203140935" w:val="RemoveTocBookmarks,RemoveUnusedBookmarks,RemoveLanguageTags,UsedStyles,ResetPageSize,UpdateArrangement"/>
    <w:docVar w:name="WAFER_20141203140935_GUID" w:val="cb16592c-6793-4131-be6e-3239bfa36602"/>
    <w:docVar w:name="WAFER_20150305163645" w:val="ResetPageSize,UpdateArrangement,UpdateNTable"/>
    <w:docVar w:name="WAFER_20150305163645_GUID" w:val="6b691a77-bfe7-48c7-be81-685701402095"/>
    <w:docVar w:name="WAFER_20150305163720" w:val="ResetPageSize,UpdateArrangement,UpdateNTable"/>
    <w:docVar w:name="WAFER_20150305163720_GUID" w:val="6f393aae-88ef-4238-814f-a06d24592a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604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zTHeadingNAm">
    <w:name w:val="zTHeadingNAm"/>
    <w:basedOn w:val="Normal"/>
    <w:pPr>
      <w:keepNext/>
      <w:spacing w:before="160" w:after="60" w:line="260" w:lineRule="atLeast"/>
      <w:ind w:left="1446" w:right="142"/>
      <w:jc w:val="center"/>
    </w:pPr>
    <w:rPr>
      <w:b/>
      <w:bCs/>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zTHeadingNAm">
    <w:name w:val="zTHeadingNAm"/>
    <w:basedOn w:val="Normal"/>
    <w:pPr>
      <w:keepNext/>
      <w:spacing w:before="160" w:after="60" w:line="260" w:lineRule="atLeast"/>
      <w:ind w:left="1446" w:right="142"/>
      <w:jc w:val="center"/>
    </w:pPr>
    <w:rPr>
      <w:b/>
      <w:bCs/>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5.xml"/><Relationship Id="rId42"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3.png"/><Relationship Id="rId44"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190</Pages>
  <Words>48045</Words>
  <Characters>225813</Characters>
  <Application>Microsoft Office Word</Application>
  <DocSecurity>0</DocSecurity>
  <Lines>6103</Lines>
  <Paragraphs>3556</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270302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1994 - 05-j0-00</dc:title>
  <dc:subject/>
  <dc:creator/>
  <cp:keywords/>
  <dc:description/>
  <cp:lastModifiedBy>svcMRProcess</cp:lastModifiedBy>
  <cp:revision>4</cp:revision>
  <cp:lastPrinted>2012-08-17T02:43:00Z</cp:lastPrinted>
  <dcterms:created xsi:type="dcterms:W3CDTF">2020-02-21T06:26:00Z</dcterms:created>
  <dcterms:modified xsi:type="dcterms:W3CDTF">2020-02-21T06:26:00Z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DocumentType">
    <vt:lpwstr>Act</vt:lpwstr>
  </property>
  <property fmtid="{D5CDD505-2E9C-101B-9397-08002B2CF9AE}" pid="4" name="OwlsUID">
    <vt:i4>922</vt:i4>
  </property>
  <property fmtid="{D5CDD505-2E9C-101B-9397-08002B2CF9AE}" pid="5" name="ThisVersion">
    <vt:lpwstr>04-m0-00</vt:lpwstr>
  </property>
  <property fmtid="{D5CDD505-2E9C-101B-9397-08002B2CF9AE}" pid="6" name="ReprintedAsAt">
    <vt:filetime>2012-08-09T16:00:00Z</vt:filetime>
  </property>
  <property fmtid="{D5CDD505-2E9C-101B-9397-08002B2CF9AE}" pid="7" name="ReprintNo">
    <vt:lpwstr>5</vt:lpwstr>
  </property>
  <property fmtid="{D5CDD505-2E9C-101B-9397-08002B2CF9AE}" pid="8" name="AsAtDate">
    <vt:lpwstr>17 Jun 2015</vt:lpwstr>
  </property>
  <property fmtid="{D5CDD505-2E9C-101B-9397-08002B2CF9AE}" pid="9" name="Suffix">
    <vt:lpwstr>05-j0-00</vt:lpwstr>
  </property>
  <property fmtid="{D5CDD505-2E9C-101B-9397-08002B2CF9AE}" pid="10" name="CommencementDate">
    <vt:lpwstr>20150617</vt:lpwstr>
  </property>
</Properties>
</file>