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21.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Strata Titles Act 1985</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NameofActRegPage1"/>
      </w:pPr>
      <w:r>
        <w:fldChar w:fldCharType="begin"/>
      </w:r>
      <w:r>
        <w:instrText xml:space="preserve"> STYLEREF "Name Of Act/Reg"</w:instrText>
      </w:r>
      <w:r>
        <w:fldChar w:fldCharType="separate"/>
      </w:r>
      <w:r>
        <w:rPr>
          <w:noProof/>
        </w:rPr>
        <w:t>Strata Titles Act 1985</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_Toc476927182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_Toc476927183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Terms used</w:t>
      </w:r>
      <w:r>
        <w:tab/>
      </w:r>
      <w:r>
        <w:fldChar w:fldCharType="begin"/>
      </w:r>
      <w:r>
        <w:instrText xml:space="preserve"> PAGEREF _Toc476927184 \h </w:instrText>
      </w:r>
      <w:r>
        <w:fldChar w:fldCharType="separate"/>
      </w:r>
      <w:r>
        <w:t>2</w:t>
      </w:r>
      <w:r>
        <w:fldChar w:fldCharType="end"/>
      </w:r>
    </w:p>
    <w:p>
      <w:pPr>
        <w:pStyle w:val="TOC8"/>
        <w:rPr>
          <w:rFonts w:asciiTheme="minorHAnsi" w:eastAsiaTheme="minorEastAsia" w:hAnsiTheme="minorHAnsi" w:cstheme="minorBidi"/>
          <w:szCs w:val="22"/>
        </w:rPr>
      </w:pPr>
      <w:r>
        <w:t>3A</w:t>
      </w:r>
      <w:r>
        <w:rPr>
          <w:snapToGrid w:val="0"/>
        </w:rPr>
        <w:t>.</w:t>
      </w:r>
      <w:r>
        <w:rPr>
          <w:snapToGrid w:val="0"/>
        </w:rPr>
        <w:tab/>
        <w:t>Single tier strata schemes to which s. 3AB applies</w:t>
      </w:r>
      <w:r>
        <w:tab/>
      </w:r>
      <w:r>
        <w:fldChar w:fldCharType="begin"/>
      </w:r>
      <w:r>
        <w:instrText xml:space="preserve"> PAGEREF _Toc476927185 \h </w:instrText>
      </w:r>
      <w:r>
        <w:fldChar w:fldCharType="separate"/>
      </w:r>
      <w:r>
        <w:t>10</w:t>
      </w:r>
      <w:r>
        <w:fldChar w:fldCharType="end"/>
      </w:r>
    </w:p>
    <w:p>
      <w:pPr>
        <w:pStyle w:val="TOC8"/>
        <w:rPr>
          <w:rFonts w:asciiTheme="minorHAnsi" w:eastAsiaTheme="minorEastAsia" w:hAnsiTheme="minorHAnsi" w:cstheme="minorBidi"/>
          <w:szCs w:val="22"/>
        </w:rPr>
      </w:pPr>
      <w:r>
        <w:t>3AB</w:t>
      </w:r>
      <w:r>
        <w:rPr>
          <w:snapToGrid w:val="0"/>
        </w:rPr>
        <w:t>.</w:t>
      </w:r>
      <w:r>
        <w:rPr>
          <w:snapToGrid w:val="0"/>
        </w:rPr>
        <w:tab/>
        <w:t>Alternative boundaries for lots in single tier strata schemes</w:t>
      </w:r>
      <w:r>
        <w:tab/>
      </w:r>
      <w:r>
        <w:fldChar w:fldCharType="begin"/>
      </w:r>
      <w:r>
        <w:instrText xml:space="preserve"> PAGEREF _Toc476927186 \h </w:instrText>
      </w:r>
      <w:r>
        <w:fldChar w:fldCharType="separate"/>
      </w:r>
      <w:r>
        <w:t>11</w:t>
      </w:r>
      <w:r>
        <w:fldChar w:fldCharType="end"/>
      </w:r>
    </w:p>
    <w:p>
      <w:pPr>
        <w:pStyle w:val="TOC8"/>
        <w:rPr>
          <w:rFonts w:asciiTheme="minorHAnsi" w:eastAsiaTheme="minorEastAsia" w:hAnsiTheme="minorHAnsi" w:cstheme="minorBidi"/>
          <w:szCs w:val="22"/>
        </w:rPr>
      </w:pPr>
      <w:r>
        <w:t>3AC</w:t>
      </w:r>
      <w:r>
        <w:rPr>
          <w:snapToGrid w:val="0"/>
        </w:rPr>
        <w:t>.</w:t>
      </w:r>
      <w:r>
        <w:rPr>
          <w:snapToGrid w:val="0"/>
        </w:rPr>
        <w:tab/>
        <w:t>R</w:t>
      </w:r>
      <w:r>
        <w:t>esolution without dissent</w:t>
      </w:r>
      <w:r>
        <w:tab/>
      </w:r>
      <w:r>
        <w:fldChar w:fldCharType="begin"/>
      </w:r>
      <w:r>
        <w:instrText xml:space="preserve"> PAGEREF _Toc476927187 \h </w:instrText>
      </w:r>
      <w:r>
        <w:fldChar w:fldCharType="separate"/>
      </w:r>
      <w:r>
        <w:t>12</w:t>
      </w:r>
      <w:r>
        <w:fldChar w:fldCharType="end"/>
      </w:r>
    </w:p>
    <w:p>
      <w:pPr>
        <w:pStyle w:val="TOC8"/>
        <w:rPr>
          <w:rFonts w:asciiTheme="minorHAnsi" w:eastAsiaTheme="minorEastAsia" w:hAnsiTheme="minorHAnsi" w:cstheme="minorBidi"/>
          <w:szCs w:val="22"/>
        </w:rPr>
      </w:pPr>
      <w:r>
        <w:t>3B</w:t>
      </w:r>
      <w:r>
        <w:rPr>
          <w:snapToGrid w:val="0"/>
        </w:rPr>
        <w:t>.</w:t>
      </w:r>
      <w:r>
        <w:rPr>
          <w:snapToGrid w:val="0"/>
        </w:rPr>
        <w:tab/>
        <w:t>Special resolution of strata company</w:t>
      </w:r>
      <w:r>
        <w:tab/>
      </w:r>
      <w:r>
        <w:fldChar w:fldCharType="begin"/>
      </w:r>
      <w:r>
        <w:instrText xml:space="preserve"> PAGEREF _Toc476927188 \h </w:instrText>
      </w:r>
      <w:r>
        <w:fldChar w:fldCharType="separate"/>
      </w:r>
      <w:r>
        <w:t>13</w:t>
      </w:r>
      <w:r>
        <w:fldChar w:fldCharType="end"/>
      </w:r>
    </w:p>
    <w:p>
      <w:pPr>
        <w:pStyle w:val="TOC8"/>
        <w:rPr>
          <w:rFonts w:asciiTheme="minorHAnsi" w:eastAsiaTheme="minorEastAsia" w:hAnsiTheme="minorHAnsi" w:cstheme="minorBidi"/>
          <w:szCs w:val="22"/>
        </w:rPr>
      </w:pPr>
      <w:r>
        <w:t>3C</w:t>
      </w:r>
      <w:r>
        <w:rPr>
          <w:snapToGrid w:val="0"/>
        </w:rPr>
        <w:t>.</w:t>
      </w:r>
      <w:r>
        <w:rPr>
          <w:snapToGrid w:val="0"/>
        </w:rPr>
        <w:tab/>
        <w:t>Supplementary provisions to s. 3AC and 3B</w:t>
      </w:r>
      <w:r>
        <w:tab/>
      </w:r>
      <w:r>
        <w:fldChar w:fldCharType="begin"/>
      </w:r>
      <w:r>
        <w:instrText xml:space="preserve"> PAGEREF _Toc476927189 \h </w:instrText>
      </w:r>
      <w:r>
        <w:fldChar w:fldCharType="separate"/>
      </w:r>
      <w:r>
        <w:t>15</w:t>
      </w:r>
      <w:r>
        <w:fldChar w:fldCharType="end"/>
      </w:r>
    </w:p>
    <w:p>
      <w:pPr>
        <w:pStyle w:val="TOC8"/>
        <w:rPr>
          <w:rFonts w:asciiTheme="minorHAnsi" w:eastAsiaTheme="minorEastAsia" w:hAnsiTheme="minorHAnsi" w:cstheme="minorBidi"/>
          <w:szCs w:val="22"/>
        </w:rPr>
      </w:pPr>
      <w:r>
        <w:t>3CA</w:t>
      </w:r>
      <w:r>
        <w:rPr>
          <w:snapToGrid w:val="0"/>
        </w:rPr>
        <w:t>.</w:t>
      </w:r>
      <w:r>
        <w:rPr>
          <w:snapToGrid w:val="0"/>
        </w:rPr>
        <w:tab/>
        <w:t>Certain resolutions deemed to be resolutions without dissent or special resolutions</w:t>
      </w:r>
      <w:r>
        <w:tab/>
      </w:r>
      <w:r>
        <w:fldChar w:fldCharType="begin"/>
      </w:r>
      <w:r>
        <w:instrText xml:space="preserve"> PAGEREF _Toc476927190 \h </w:instrText>
      </w:r>
      <w:r>
        <w:fldChar w:fldCharType="separate"/>
      </w:r>
      <w:r>
        <w:t>16</w:t>
      </w:r>
      <w:r>
        <w:fldChar w:fldCharType="end"/>
      </w:r>
    </w:p>
    <w:p>
      <w:pPr>
        <w:pStyle w:val="TOC8"/>
        <w:rPr>
          <w:rFonts w:asciiTheme="minorHAnsi" w:eastAsiaTheme="minorEastAsia" w:hAnsiTheme="minorHAnsi" w:cstheme="minorBidi"/>
          <w:szCs w:val="22"/>
        </w:rPr>
      </w:pPr>
      <w:r>
        <w:t>3D</w:t>
      </w:r>
      <w:r>
        <w:rPr>
          <w:snapToGrid w:val="0"/>
        </w:rPr>
        <w:t>.</w:t>
      </w:r>
      <w:r>
        <w:rPr>
          <w:snapToGrid w:val="0"/>
        </w:rPr>
        <w:tab/>
        <w:t>Unfinancial proprietors may vote in certain cases</w:t>
      </w:r>
      <w:r>
        <w:tab/>
      </w:r>
      <w:r>
        <w:fldChar w:fldCharType="begin"/>
      </w:r>
      <w:r>
        <w:instrText xml:space="preserve"> PAGEREF _Toc476927191 \h </w:instrText>
      </w:r>
      <w:r>
        <w:fldChar w:fldCharType="separate"/>
      </w:r>
      <w:r>
        <w:t>17</w:t>
      </w:r>
      <w:r>
        <w:fldChar w:fldCharType="end"/>
      </w:r>
    </w:p>
    <w:p>
      <w:pPr>
        <w:pStyle w:val="TOC2"/>
        <w:tabs>
          <w:tab w:val="right" w:leader="dot" w:pos="7077"/>
        </w:tabs>
        <w:rPr>
          <w:rFonts w:asciiTheme="minorHAnsi" w:eastAsiaTheme="minorEastAsia" w:hAnsiTheme="minorHAnsi" w:cstheme="minorBidi"/>
          <w:b w:val="0"/>
          <w:sz w:val="22"/>
          <w:szCs w:val="22"/>
        </w:rPr>
      </w:pPr>
      <w:r>
        <w:t>Part II — Strata schemes and survey</w:t>
      </w:r>
      <w:r>
        <w:noBreakHyphen/>
        <w:t>strata schemes</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Creation of lots and common property</w:t>
      </w:r>
    </w:p>
    <w:p>
      <w:pPr>
        <w:pStyle w:val="TOC8"/>
        <w:rPr>
          <w:rFonts w:asciiTheme="minorHAnsi" w:eastAsiaTheme="minorEastAsia" w:hAnsiTheme="minorHAnsi" w:cstheme="minorBidi"/>
          <w:szCs w:val="22"/>
        </w:rPr>
      </w:pPr>
      <w:r>
        <w:t>4</w:t>
      </w:r>
      <w:r>
        <w:rPr>
          <w:snapToGrid w:val="0"/>
        </w:rPr>
        <w:t>.</w:t>
      </w:r>
      <w:r>
        <w:rPr>
          <w:snapToGrid w:val="0"/>
        </w:rPr>
        <w:tab/>
        <w:t>Subdivision into lots and common property</w:t>
      </w:r>
      <w:r>
        <w:tab/>
      </w:r>
      <w:r>
        <w:fldChar w:fldCharType="begin"/>
      </w:r>
      <w:r>
        <w:instrText xml:space="preserve"> PAGEREF _Toc476927194 \h </w:instrText>
      </w:r>
      <w:r>
        <w:fldChar w:fldCharType="separate"/>
      </w:r>
      <w:r>
        <w:t>18</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Strata plan: requirements</w:t>
      </w:r>
      <w:r>
        <w:tab/>
      </w:r>
      <w:r>
        <w:fldChar w:fldCharType="begin"/>
      </w:r>
      <w:r>
        <w:instrText xml:space="preserve"> PAGEREF _Toc476927195 \h </w:instrText>
      </w:r>
      <w:r>
        <w:fldChar w:fldCharType="separate"/>
      </w:r>
      <w:r>
        <w:t>19</w:t>
      </w:r>
      <w:r>
        <w:fldChar w:fldCharType="end"/>
      </w:r>
    </w:p>
    <w:p>
      <w:pPr>
        <w:pStyle w:val="TOC8"/>
        <w:rPr>
          <w:rFonts w:asciiTheme="minorHAnsi" w:eastAsiaTheme="minorEastAsia" w:hAnsiTheme="minorHAnsi" w:cstheme="minorBidi"/>
          <w:szCs w:val="22"/>
        </w:rPr>
      </w:pPr>
      <w:r>
        <w:t>5A</w:t>
      </w:r>
      <w:r>
        <w:rPr>
          <w:snapToGrid w:val="0"/>
        </w:rPr>
        <w:t>.</w:t>
      </w:r>
      <w:r>
        <w:rPr>
          <w:snapToGrid w:val="0"/>
        </w:rPr>
        <w:tab/>
        <w:t>Survey</w:t>
      </w:r>
      <w:r>
        <w:rPr>
          <w:snapToGrid w:val="0"/>
        </w:rPr>
        <w:noBreakHyphen/>
        <w:t>strata plan: requirements</w:t>
      </w:r>
      <w:r>
        <w:tab/>
      </w:r>
      <w:r>
        <w:fldChar w:fldCharType="begin"/>
      </w:r>
      <w:r>
        <w:instrText xml:space="preserve"> PAGEREF _Toc476927196 \h </w:instrText>
      </w:r>
      <w:r>
        <w:fldChar w:fldCharType="separate"/>
      </w:r>
      <w:r>
        <w:t>20</w:t>
      </w:r>
      <w:r>
        <w:fldChar w:fldCharType="end"/>
      </w:r>
    </w:p>
    <w:p>
      <w:pPr>
        <w:pStyle w:val="TOC8"/>
        <w:rPr>
          <w:rFonts w:asciiTheme="minorHAnsi" w:eastAsiaTheme="minorEastAsia" w:hAnsiTheme="minorHAnsi" w:cstheme="minorBidi"/>
          <w:szCs w:val="22"/>
        </w:rPr>
      </w:pPr>
      <w:r>
        <w:t>5B</w:t>
      </w:r>
      <w:r>
        <w:rPr>
          <w:snapToGrid w:val="0"/>
        </w:rPr>
        <w:t>.</w:t>
      </w:r>
      <w:r>
        <w:rPr>
          <w:snapToGrid w:val="0"/>
        </w:rPr>
        <w:tab/>
        <w:t>Further provisions as to registration of plans</w:t>
      </w:r>
      <w:r>
        <w:tab/>
      </w:r>
      <w:r>
        <w:fldChar w:fldCharType="begin"/>
      </w:r>
      <w:r>
        <w:instrText xml:space="preserve"> PAGEREF _Toc476927197 \h </w:instrText>
      </w:r>
      <w:r>
        <w:fldChar w:fldCharType="separate"/>
      </w:r>
      <w:r>
        <w:t>21</w:t>
      </w:r>
      <w:r>
        <w:fldChar w:fldCharType="end"/>
      </w:r>
    </w:p>
    <w:p>
      <w:pPr>
        <w:pStyle w:val="TOC8"/>
        <w:rPr>
          <w:rFonts w:asciiTheme="minorHAnsi" w:eastAsiaTheme="minorEastAsia" w:hAnsiTheme="minorHAnsi" w:cstheme="minorBidi"/>
          <w:szCs w:val="22"/>
        </w:rPr>
      </w:pPr>
      <w:r>
        <w:t>5C</w:t>
      </w:r>
      <w:r>
        <w:rPr>
          <w:snapToGrid w:val="0"/>
        </w:rPr>
        <w:t>.</w:t>
      </w:r>
      <w:r>
        <w:rPr>
          <w:snapToGrid w:val="0"/>
        </w:rPr>
        <w:tab/>
        <w:t>Management statement setting out by</w:t>
      </w:r>
      <w:r>
        <w:rPr>
          <w:snapToGrid w:val="0"/>
        </w:rPr>
        <w:noBreakHyphen/>
        <w:t>laws may be registered</w:t>
      </w:r>
      <w:r>
        <w:tab/>
      </w:r>
      <w:r>
        <w:fldChar w:fldCharType="begin"/>
      </w:r>
      <w:r>
        <w:instrText xml:space="preserve"> PAGEREF _Toc476927198 \h </w:instrText>
      </w:r>
      <w:r>
        <w:fldChar w:fldCharType="separate"/>
      </w:r>
      <w:r>
        <w:t>22</w:t>
      </w:r>
      <w:r>
        <w:fldChar w:fldCharType="end"/>
      </w:r>
    </w:p>
    <w:p>
      <w:pPr>
        <w:pStyle w:val="TOC8"/>
        <w:rPr>
          <w:rFonts w:asciiTheme="minorHAnsi" w:eastAsiaTheme="minorEastAsia" w:hAnsiTheme="minorHAnsi" w:cstheme="minorBidi"/>
          <w:szCs w:val="22"/>
        </w:rPr>
      </w:pPr>
      <w:r>
        <w:t>5D</w:t>
      </w:r>
      <w:r>
        <w:rPr>
          <w:snapToGrid w:val="0"/>
        </w:rPr>
        <w:t>.</w:t>
      </w:r>
      <w:r>
        <w:rPr>
          <w:snapToGrid w:val="0"/>
        </w:rPr>
        <w:tab/>
        <w:t>Creation of easements by notation on survey</w:t>
      </w:r>
      <w:r>
        <w:rPr>
          <w:snapToGrid w:val="0"/>
        </w:rPr>
        <w:noBreakHyphen/>
        <w:t>strata plans</w:t>
      </w:r>
      <w:r>
        <w:tab/>
      </w:r>
      <w:r>
        <w:fldChar w:fldCharType="begin"/>
      </w:r>
      <w:r>
        <w:instrText xml:space="preserve"> PAGEREF _Toc476927199 \h </w:instrText>
      </w:r>
      <w:r>
        <w:fldChar w:fldCharType="separate"/>
      </w:r>
      <w:r>
        <w:t>23</w:t>
      </w:r>
      <w:r>
        <w:fldChar w:fldCharType="end"/>
      </w:r>
    </w:p>
    <w:p>
      <w:pPr>
        <w:pStyle w:val="TOC8"/>
        <w:rPr>
          <w:rFonts w:asciiTheme="minorHAnsi" w:eastAsiaTheme="minorEastAsia" w:hAnsiTheme="minorHAnsi" w:cstheme="minorBidi"/>
          <w:szCs w:val="22"/>
        </w:rPr>
      </w:pPr>
      <w:r>
        <w:t>5E</w:t>
      </w:r>
      <w:r>
        <w:rPr>
          <w:snapToGrid w:val="0"/>
        </w:rPr>
        <w:t>.</w:t>
      </w:r>
      <w:r>
        <w:rPr>
          <w:snapToGrid w:val="0"/>
        </w:rPr>
        <w:tab/>
        <w:t>Provision on plan etc. overrides regulations as to easements</w:t>
      </w:r>
      <w:r>
        <w:tab/>
      </w:r>
      <w:r>
        <w:fldChar w:fldCharType="begin"/>
      </w:r>
      <w:r>
        <w:instrText xml:space="preserve"> PAGEREF _Toc476927200 \h </w:instrText>
      </w:r>
      <w:r>
        <w:fldChar w:fldCharType="separate"/>
      </w:r>
      <w:r>
        <w:t>23</w:t>
      </w:r>
      <w:r>
        <w:fldChar w:fldCharType="end"/>
      </w:r>
    </w:p>
    <w:p>
      <w:pPr>
        <w:pStyle w:val="TOC8"/>
        <w:rPr>
          <w:rFonts w:asciiTheme="minorHAnsi" w:eastAsiaTheme="minorEastAsia" w:hAnsiTheme="minorHAnsi" w:cstheme="minorBidi"/>
          <w:szCs w:val="22"/>
        </w:rPr>
      </w:pPr>
      <w:r>
        <w:t>5F</w:t>
      </w:r>
      <w:r>
        <w:rPr>
          <w:snapToGrid w:val="0"/>
        </w:rPr>
        <w:t>.</w:t>
      </w:r>
      <w:r>
        <w:rPr>
          <w:snapToGrid w:val="0"/>
        </w:rPr>
        <w:tab/>
        <w:t>Variation or discharge of easements under s. 5D</w:t>
      </w:r>
      <w:r>
        <w:tab/>
      </w:r>
      <w:r>
        <w:fldChar w:fldCharType="begin"/>
      </w:r>
      <w:r>
        <w:instrText xml:space="preserve"> PAGEREF _Toc476927201 \h </w:instrText>
      </w:r>
      <w:r>
        <w:fldChar w:fldCharType="separate"/>
      </w:r>
      <w:r>
        <w:t>24</w:t>
      </w:r>
      <w:r>
        <w:fldChar w:fldCharType="end"/>
      </w:r>
    </w:p>
    <w:p>
      <w:pPr>
        <w:pStyle w:val="TOC8"/>
        <w:rPr>
          <w:rFonts w:asciiTheme="minorHAnsi" w:eastAsiaTheme="minorEastAsia" w:hAnsiTheme="minorHAnsi" w:cstheme="minorBidi"/>
          <w:szCs w:val="22"/>
        </w:rPr>
      </w:pPr>
      <w:r>
        <w:t>5G</w:t>
      </w:r>
      <w:r>
        <w:rPr>
          <w:snapToGrid w:val="0"/>
        </w:rPr>
        <w:t>.</w:t>
      </w:r>
      <w:r>
        <w:rPr>
          <w:snapToGrid w:val="0"/>
        </w:rPr>
        <w:tab/>
        <w:t>Easement where common ownership</w:t>
      </w:r>
      <w:r>
        <w:tab/>
      </w:r>
      <w:r>
        <w:fldChar w:fldCharType="begin"/>
      </w:r>
      <w:r>
        <w:instrText xml:space="preserve"> PAGEREF _Toc476927202 \h </w:instrText>
      </w:r>
      <w:r>
        <w:fldChar w:fldCharType="separate"/>
      </w:r>
      <w:r>
        <w:t>25</w:t>
      </w:r>
      <w:r>
        <w:fldChar w:fldCharType="end"/>
      </w:r>
    </w:p>
    <w:p>
      <w:pPr>
        <w:pStyle w:val="TOC8"/>
        <w:rPr>
          <w:rFonts w:asciiTheme="minorHAnsi" w:eastAsiaTheme="minorEastAsia" w:hAnsiTheme="minorHAnsi" w:cstheme="minorBidi"/>
          <w:szCs w:val="22"/>
        </w:rPr>
      </w:pPr>
      <w:r>
        <w:t>5H</w:t>
      </w:r>
      <w:r>
        <w:rPr>
          <w:snapToGrid w:val="0"/>
        </w:rPr>
        <w:t>.</w:t>
      </w:r>
      <w:r>
        <w:rPr>
          <w:snapToGrid w:val="0"/>
        </w:rPr>
        <w:tab/>
        <w:t>Regulations as to easements</w:t>
      </w:r>
      <w:r>
        <w:tab/>
      </w:r>
      <w:r>
        <w:fldChar w:fldCharType="begin"/>
      </w:r>
      <w:r>
        <w:instrText xml:space="preserve"> PAGEREF _Toc476927203 \h </w:instrText>
      </w:r>
      <w:r>
        <w:fldChar w:fldCharType="separate"/>
      </w:r>
      <w:r>
        <w:t>25</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Strata/survey</w:t>
      </w:r>
      <w:r>
        <w:rPr>
          <w:snapToGrid w:val="0"/>
        </w:rPr>
        <w:noBreakHyphen/>
        <w:t>strata plan may restrict use of parcel or part of parcel</w:t>
      </w:r>
      <w:r>
        <w:tab/>
      </w:r>
      <w:r>
        <w:fldChar w:fldCharType="begin"/>
      </w:r>
      <w:r>
        <w:instrText xml:space="preserve"> PAGEREF _Toc476927204 \h </w:instrText>
      </w:r>
      <w:r>
        <w:fldChar w:fldCharType="separate"/>
      </w:r>
      <w:r>
        <w:t>26</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Restrictions relating to retired persons</w:t>
      </w:r>
      <w:r>
        <w:tab/>
      </w:r>
      <w:r>
        <w:fldChar w:fldCharType="begin"/>
      </w:r>
      <w:r>
        <w:instrText xml:space="preserve"> PAGEREF _Toc476927205 \h </w:instrText>
      </w:r>
      <w:r>
        <w:fldChar w:fldCharType="separate"/>
      </w:r>
      <w:r>
        <w:t>27</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Structural erections, alterations and extensions restricted, strata schemes</w:t>
      </w:r>
      <w:r>
        <w:tab/>
      </w:r>
      <w:r>
        <w:fldChar w:fldCharType="begin"/>
      </w:r>
      <w:r>
        <w:instrText xml:space="preserve"> PAGEREF _Toc476927206 \h </w:instrText>
      </w:r>
      <w:r>
        <w:fldChar w:fldCharType="separate"/>
      </w:r>
      <w:r>
        <w:t>28</w:t>
      </w:r>
      <w:r>
        <w:fldChar w:fldCharType="end"/>
      </w:r>
    </w:p>
    <w:p>
      <w:pPr>
        <w:pStyle w:val="TOC8"/>
        <w:rPr>
          <w:rFonts w:asciiTheme="minorHAnsi" w:eastAsiaTheme="minorEastAsia" w:hAnsiTheme="minorHAnsi" w:cstheme="minorBidi"/>
          <w:szCs w:val="22"/>
        </w:rPr>
      </w:pPr>
      <w:r>
        <w:t>7A</w:t>
      </w:r>
      <w:r>
        <w:rPr>
          <w:snapToGrid w:val="0"/>
        </w:rPr>
        <w:t>.</w:t>
      </w:r>
      <w:r>
        <w:rPr>
          <w:snapToGrid w:val="0"/>
        </w:rPr>
        <w:tab/>
        <w:t>Structural erections, alterations and extensions restricted, survey</w:t>
      </w:r>
      <w:r>
        <w:rPr>
          <w:snapToGrid w:val="0"/>
        </w:rPr>
        <w:noBreakHyphen/>
        <w:t>strata schemes</w:t>
      </w:r>
      <w:r>
        <w:tab/>
      </w:r>
      <w:r>
        <w:fldChar w:fldCharType="begin"/>
      </w:r>
      <w:r>
        <w:instrText xml:space="preserve"> PAGEREF _Toc476927207 \h </w:instrText>
      </w:r>
      <w:r>
        <w:fldChar w:fldCharType="separate"/>
      </w:r>
      <w:r>
        <w:t>30</w:t>
      </w:r>
      <w:r>
        <w:fldChar w:fldCharType="end"/>
      </w:r>
    </w:p>
    <w:p>
      <w:pPr>
        <w:pStyle w:val="TOC8"/>
        <w:rPr>
          <w:rFonts w:asciiTheme="minorHAnsi" w:eastAsiaTheme="minorEastAsia" w:hAnsiTheme="minorHAnsi" w:cstheme="minorBidi"/>
          <w:szCs w:val="22"/>
        </w:rPr>
      </w:pPr>
      <w:r>
        <w:t>7B</w:t>
      </w:r>
      <w:r>
        <w:rPr>
          <w:snapToGrid w:val="0"/>
        </w:rPr>
        <w:t>.</w:t>
      </w:r>
      <w:r>
        <w:rPr>
          <w:snapToGrid w:val="0"/>
        </w:rPr>
        <w:tab/>
        <w:t>Further provisions as to approvals for purposes of s. 7 and 7A</w:t>
      </w:r>
      <w:r>
        <w:tab/>
      </w:r>
      <w:r>
        <w:fldChar w:fldCharType="begin"/>
      </w:r>
      <w:r>
        <w:instrText xml:space="preserve"> PAGEREF _Toc476927208 \h </w:instrText>
      </w:r>
      <w:r>
        <w:fldChar w:fldCharType="separate"/>
      </w:r>
      <w:r>
        <w:t>31</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Re</w:t>
      </w:r>
      <w:r>
        <w:rPr>
          <w:snapToGrid w:val="0"/>
        </w:rPr>
        <w:noBreakHyphen/>
        <w:t>subdivision within a scheme</w:t>
      </w:r>
      <w:r>
        <w:tab/>
      </w:r>
      <w:r>
        <w:fldChar w:fldCharType="begin"/>
      </w:r>
      <w:r>
        <w:instrText xml:space="preserve"> PAGEREF _Toc476927209 \h </w:instrText>
      </w:r>
      <w:r>
        <w:fldChar w:fldCharType="separate"/>
      </w:r>
      <w:r>
        <w:t>32</w:t>
      </w:r>
      <w:r>
        <w:fldChar w:fldCharType="end"/>
      </w:r>
    </w:p>
    <w:p>
      <w:pPr>
        <w:pStyle w:val="TOC8"/>
        <w:rPr>
          <w:rFonts w:asciiTheme="minorHAnsi" w:eastAsiaTheme="minorEastAsia" w:hAnsiTheme="minorHAnsi" w:cstheme="minorBidi"/>
          <w:szCs w:val="22"/>
        </w:rPr>
      </w:pPr>
      <w:r>
        <w:t>8A</w:t>
      </w:r>
      <w:r>
        <w:rPr>
          <w:snapToGrid w:val="0"/>
        </w:rPr>
        <w:t>.</w:t>
      </w:r>
      <w:r>
        <w:rPr>
          <w:snapToGrid w:val="0"/>
        </w:rPr>
        <w:tab/>
        <w:t>Requirements for plan of re</w:t>
      </w:r>
      <w:r>
        <w:rPr>
          <w:snapToGrid w:val="0"/>
        </w:rPr>
        <w:noBreakHyphen/>
        <w:t>subdivision</w:t>
      </w:r>
      <w:r>
        <w:tab/>
      </w:r>
      <w:r>
        <w:fldChar w:fldCharType="begin"/>
      </w:r>
      <w:r>
        <w:instrText xml:space="preserve"> PAGEREF _Toc476927210 \h </w:instrText>
      </w:r>
      <w:r>
        <w:fldChar w:fldCharType="separate"/>
      </w:r>
      <w:r>
        <w:t>33</w:t>
      </w:r>
      <w:r>
        <w:fldChar w:fldCharType="end"/>
      </w:r>
    </w:p>
    <w:p>
      <w:pPr>
        <w:pStyle w:val="TOC8"/>
        <w:rPr>
          <w:rFonts w:asciiTheme="minorHAnsi" w:eastAsiaTheme="minorEastAsia" w:hAnsiTheme="minorHAnsi" w:cstheme="minorBidi"/>
          <w:szCs w:val="22"/>
        </w:rPr>
      </w:pPr>
      <w:r>
        <w:t>8B</w:t>
      </w:r>
      <w:r>
        <w:rPr>
          <w:snapToGrid w:val="0"/>
        </w:rPr>
        <w:t>.</w:t>
      </w:r>
      <w:r>
        <w:rPr>
          <w:snapToGrid w:val="0"/>
        </w:rPr>
        <w:tab/>
        <w:t>Transfers etc. to give effect to plan</w:t>
      </w:r>
      <w:r>
        <w:tab/>
      </w:r>
      <w:r>
        <w:fldChar w:fldCharType="begin"/>
      </w:r>
      <w:r>
        <w:instrText xml:space="preserve"> PAGEREF _Toc476927211 \h </w:instrText>
      </w:r>
      <w:r>
        <w:fldChar w:fldCharType="separate"/>
      </w:r>
      <w:r>
        <w:t>35</w:t>
      </w:r>
      <w:r>
        <w:fldChar w:fldCharType="end"/>
      </w:r>
    </w:p>
    <w:p>
      <w:pPr>
        <w:pStyle w:val="TOC8"/>
        <w:rPr>
          <w:rFonts w:asciiTheme="minorHAnsi" w:eastAsiaTheme="minorEastAsia" w:hAnsiTheme="minorHAnsi" w:cstheme="minorBidi"/>
          <w:szCs w:val="22"/>
        </w:rPr>
      </w:pPr>
      <w:r>
        <w:t>8C</w:t>
      </w:r>
      <w:r>
        <w:rPr>
          <w:snapToGrid w:val="0"/>
        </w:rPr>
        <w:t>.</w:t>
      </w:r>
      <w:r>
        <w:rPr>
          <w:snapToGrid w:val="0"/>
        </w:rPr>
        <w:tab/>
        <w:t>Effect of registration of plan of re</w:t>
      </w:r>
      <w:r>
        <w:rPr>
          <w:snapToGrid w:val="0"/>
        </w:rPr>
        <w:noBreakHyphen/>
        <w:t>subdivision</w:t>
      </w:r>
      <w:r>
        <w:tab/>
      </w:r>
      <w:r>
        <w:fldChar w:fldCharType="begin"/>
      </w:r>
      <w:r>
        <w:instrText xml:space="preserve"> PAGEREF _Toc476927212 \h </w:instrText>
      </w:r>
      <w:r>
        <w:fldChar w:fldCharType="separate"/>
      </w:r>
      <w:r>
        <w:t>35</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Consolidation of lots</w:t>
      </w:r>
      <w:r>
        <w:tab/>
      </w:r>
      <w:r>
        <w:fldChar w:fldCharType="begin"/>
      </w:r>
      <w:r>
        <w:instrText xml:space="preserve"> PAGEREF _Toc476927213 \h </w:instrText>
      </w:r>
      <w:r>
        <w:fldChar w:fldCharType="separate"/>
      </w:r>
      <w:r>
        <w:t>36</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Conversion of lots into common property</w:t>
      </w:r>
      <w:r>
        <w:tab/>
      </w:r>
      <w:r>
        <w:fldChar w:fldCharType="begin"/>
      </w:r>
      <w:r>
        <w:instrText xml:space="preserve"> PAGEREF _Toc476927214 \h </w:instrText>
      </w:r>
      <w:r>
        <w:fldChar w:fldCharType="separate"/>
      </w:r>
      <w:r>
        <w:t>37</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Support and services</w:t>
      </w:r>
      <w:r>
        <w:tab/>
      </w:r>
      <w:r>
        <w:fldChar w:fldCharType="begin"/>
      </w:r>
      <w:r>
        <w:instrText xml:space="preserve"> PAGEREF _Toc476927215 \h </w:instrText>
      </w:r>
      <w:r>
        <w:fldChar w:fldCharType="separate"/>
      </w:r>
      <w:r>
        <w:t>38</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Shelter</w:t>
      </w:r>
      <w:r>
        <w:tab/>
      </w:r>
      <w:r>
        <w:fldChar w:fldCharType="begin"/>
      </w:r>
      <w:r>
        <w:instrText xml:space="preserve"> PAGEREF _Toc476927216 \h </w:instrText>
      </w:r>
      <w:r>
        <w:fldChar w:fldCharType="separate"/>
      </w:r>
      <w:r>
        <w:t>40</w:t>
      </w:r>
      <w:r>
        <w:fldChar w:fldCharType="end"/>
      </w:r>
    </w:p>
    <w:p>
      <w:pPr>
        <w:pStyle w:val="TOC8"/>
        <w:rPr>
          <w:rFonts w:asciiTheme="minorHAnsi" w:eastAsiaTheme="minorEastAsia" w:hAnsiTheme="minorHAnsi" w:cstheme="minorBidi"/>
          <w:szCs w:val="22"/>
        </w:rPr>
      </w:pPr>
      <w:r>
        <w:t>12A</w:t>
      </w:r>
      <w:r>
        <w:rPr>
          <w:snapToGrid w:val="0"/>
        </w:rPr>
        <w:t>.</w:t>
      </w:r>
      <w:r>
        <w:rPr>
          <w:snapToGrid w:val="0"/>
        </w:rPr>
        <w:tab/>
        <w:t>Access for maintenance where part of building intrudes into another lot</w:t>
      </w:r>
      <w:r>
        <w:tab/>
      </w:r>
      <w:r>
        <w:fldChar w:fldCharType="begin"/>
      </w:r>
      <w:r>
        <w:instrText xml:space="preserve"> PAGEREF _Toc476927217 \h </w:instrText>
      </w:r>
      <w:r>
        <w:fldChar w:fldCharType="separate"/>
      </w:r>
      <w:r>
        <w:t>40</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Ancillary rights</w:t>
      </w:r>
      <w:r>
        <w:tab/>
      </w:r>
      <w:r>
        <w:fldChar w:fldCharType="begin"/>
      </w:r>
      <w:r>
        <w:instrText xml:space="preserve"> PAGEREF _Toc476927218 \h </w:instrText>
      </w:r>
      <w:r>
        <w:fldChar w:fldCharType="separate"/>
      </w:r>
      <w:r>
        <w:t>41</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Unit entitlement of lots</w:t>
      </w:r>
      <w:r>
        <w:tab/>
      </w:r>
      <w:r>
        <w:fldChar w:fldCharType="begin"/>
      </w:r>
      <w:r>
        <w:instrText xml:space="preserve"> PAGEREF _Toc476927219 \h </w:instrText>
      </w:r>
      <w:r>
        <w:fldChar w:fldCharType="separate"/>
      </w:r>
      <w:r>
        <w:t>41</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Reallocation of unit entitlement by resolution without dissent (or unanimous resolution, in the case of a two</w:t>
      </w:r>
      <w:r>
        <w:rPr>
          <w:snapToGrid w:val="0"/>
        </w:rPr>
        <w:noBreakHyphen/>
        <w:t>lot scheme)</w:t>
      </w:r>
      <w:r>
        <w:tab/>
      </w:r>
      <w:r>
        <w:fldChar w:fldCharType="begin"/>
      </w:r>
      <w:r>
        <w:instrText xml:space="preserve"> PAGEREF _Toc476927220 \h </w:instrText>
      </w:r>
      <w:r>
        <w:fldChar w:fldCharType="separate"/>
      </w:r>
      <w:r>
        <w:t>42</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Reallocation of unit entitlement by SAT</w:t>
      </w:r>
      <w:r>
        <w:tab/>
      </w:r>
      <w:r>
        <w:fldChar w:fldCharType="begin"/>
      </w:r>
      <w:r>
        <w:instrText xml:space="preserve"> PAGEREF _Toc476927221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Common property</w:t>
      </w:r>
    </w:p>
    <w:p>
      <w:pPr>
        <w:pStyle w:val="TOC8"/>
        <w:rPr>
          <w:rFonts w:asciiTheme="minorHAnsi" w:eastAsiaTheme="minorEastAsia" w:hAnsiTheme="minorHAnsi" w:cstheme="minorBidi"/>
          <w:szCs w:val="22"/>
        </w:rPr>
      </w:pPr>
      <w:r>
        <w:t>17</w:t>
      </w:r>
      <w:r>
        <w:rPr>
          <w:snapToGrid w:val="0"/>
        </w:rPr>
        <w:t>.</w:t>
      </w:r>
      <w:r>
        <w:rPr>
          <w:snapToGrid w:val="0"/>
        </w:rPr>
        <w:tab/>
        <w:t>Ownership of common property</w:t>
      </w:r>
      <w:r>
        <w:tab/>
      </w:r>
      <w:r>
        <w:fldChar w:fldCharType="begin"/>
      </w:r>
      <w:r>
        <w:instrText xml:space="preserve"> PAGEREF _Toc476927223 \h </w:instrText>
      </w:r>
      <w:r>
        <w:fldChar w:fldCharType="separate"/>
      </w:r>
      <w:r>
        <w:t>45</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Acquisition of additional common property</w:t>
      </w:r>
      <w:r>
        <w:tab/>
      </w:r>
      <w:r>
        <w:fldChar w:fldCharType="begin"/>
      </w:r>
      <w:r>
        <w:instrText xml:space="preserve"> PAGEREF _Toc476927224 \h </w:instrText>
      </w:r>
      <w:r>
        <w:fldChar w:fldCharType="separate"/>
      </w:r>
      <w:r>
        <w:t>46</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Transfer or lease of common property</w:t>
      </w:r>
      <w:r>
        <w:tab/>
      </w:r>
      <w:r>
        <w:fldChar w:fldCharType="begin"/>
      </w:r>
      <w:r>
        <w:instrText xml:space="preserve"> PAGEREF _Toc476927225 \h </w:instrText>
      </w:r>
      <w:r>
        <w:fldChar w:fldCharType="separate"/>
      </w:r>
      <w:r>
        <w:t>48</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Creation of easements and covenants</w:t>
      </w:r>
      <w:r>
        <w:tab/>
      </w:r>
      <w:r>
        <w:fldChar w:fldCharType="begin"/>
      </w:r>
      <w:r>
        <w:instrText xml:space="preserve"> PAGEREF _Toc476927226 \h </w:instrText>
      </w:r>
      <w:r>
        <w:fldChar w:fldCharType="separate"/>
      </w:r>
      <w:r>
        <w:t>51</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Encroachments treated as common property</w:t>
      </w:r>
      <w:r>
        <w:tab/>
      </w:r>
      <w:r>
        <w:fldChar w:fldCharType="begin"/>
      </w:r>
      <w:r>
        <w:instrText xml:space="preserve"> PAGEREF _Toc476927227 \h </w:instrText>
      </w:r>
      <w:r>
        <w:fldChar w:fldCharType="separate"/>
      </w:r>
      <w:r>
        <w:t>52</w:t>
      </w:r>
      <w:r>
        <w:fldChar w:fldCharType="end"/>
      </w:r>
    </w:p>
    <w:p>
      <w:pPr>
        <w:pStyle w:val="TOC4"/>
        <w:tabs>
          <w:tab w:val="right" w:leader="dot" w:pos="7077"/>
        </w:tabs>
        <w:rPr>
          <w:rFonts w:asciiTheme="minorHAnsi" w:eastAsiaTheme="minorEastAsia" w:hAnsiTheme="minorHAnsi" w:cstheme="minorBidi"/>
          <w:b w:val="0"/>
          <w:szCs w:val="22"/>
        </w:rPr>
      </w:pPr>
      <w:r>
        <w:t>Division 2A</w:t>
      </w:r>
      <w:r>
        <w:rPr>
          <w:snapToGrid w:val="0"/>
        </w:rPr>
        <w:t> — </w:t>
      </w:r>
      <w:r>
        <w:t>Merger of common property into lots in certain strata schemes</w:t>
      </w:r>
    </w:p>
    <w:p>
      <w:pPr>
        <w:pStyle w:val="TOC6"/>
        <w:tabs>
          <w:tab w:val="right" w:leader="dot" w:pos="7077"/>
        </w:tabs>
        <w:rPr>
          <w:rFonts w:asciiTheme="minorHAnsi" w:eastAsiaTheme="minorEastAsia" w:hAnsiTheme="minorHAnsi" w:cstheme="minorBidi"/>
          <w:b w:val="0"/>
          <w:sz w:val="22"/>
          <w:szCs w:val="22"/>
        </w:rPr>
      </w:pPr>
      <w:r>
        <w:rPr>
          <w:snapToGrid w:val="0"/>
        </w:rPr>
        <w:t>Subdivision 1 — Preliminary</w:t>
      </w:r>
    </w:p>
    <w:p>
      <w:pPr>
        <w:pStyle w:val="TOC8"/>
        <w:rPr>
          <w:rFonts w:asciiTheme="minorHAnsi" w:eastAsiaTheme="minorEastAsia" w:hAnsiTheme="minorHAnsi" w:cstheme="minorBidi"/>
          <w:szCs w:val="22"/>
        </w:rPr>
      </w:pPr>
      <w:r>
        <w:t>21A</w:t>
      </w:r>
      <w:r>
        <w:rPr>
          <w:snapToGrid w:val="0"/>
        </w:rPr>
        <w:t>.</w:t>
      </w:r>
      <w:r>
        <w:rPr>
          <w:snapToGrid w:val="0"/>
        </w:rPr>
        <w:tab/>
        <w:t>Term used: existing small strata scheme</w:t>
      </w:r>
      <w:r>
        <w:tab/>
      </w:r>
      <w:r>
        <w:fldChar w:fldCharType="begin"/>
      </w:r>
      <w:r>
        <w:instrText xml:space="preserve"> PAGEREF _Toc476927230 \h </w:instrText>
      </w:r>
      <w:r>
        <w:fldChar w:fldCharType="separate"/>
      </w:r>
      <w:r>
        <w:t>53</w:t>
      </w:r>
      <w:r>
        <w:fldChar w:fldCharType="end"/>
      </w:r>
    </w:p>
    <w:p>
      <w:pPr>
        <w:pStyle w:val="TOC8"/>
        <w:rPr>
          <w:rFonts w:asciiTheme="minorHAnsi" w:eastAsiaTheme="minorEastAsia" w:hAnsiTheme="minorHAnsi" w:cstheme="minorBidi"/>
          <w:szCs w:val="22"/>
        </w:rPr>
      </w:pPr>
      <w:r>
        <w:t>21B</w:t>
      </w:r>
      <w:r>
        <w:rPr>
          <w:snapToGrid w:val="0"/>
        </w:rPr>
        <w:t>.</w:t>
      </w:r>
      <w:r>
        <w:rPr>
          <w:snapToGrid w:val="0"/>
        </w:rPr>
        <w:tab/>
        <w:t>Division only applies to single tier strata schemes</w:t>
      </w:r>
      <w:r>
        <w:tab/>
      </w:r>
      <w:r>
        <w:fldChar w:fldCharType="begin"/>
      </w:r>
      <w:r>
        <w:instrText xml:space="preserve"> PAGEREF _Toc476927231 \h </w:instrText>
      </w:r>
      <w:r>
        <w:fldChar w:fldCharType="separate"/>
      </w:r>
      <w:r>
        <w:t>53</w:t>
      </w:r>
      <w:r>
        <w:fldChar w:fldCharType="end"/>
      </w:r>
    </w:p>
    <w:p>
      <w:pPr>
        <w:pStyle w:val="TOC8"/>
        <w:rPr>
          <w:rFonts w:asciiTheme="minorHAnsi" w:eastAsiaTheme="minorEastAsia" w:hAnsiTheme="minorHAnsi" w:cstheme="minorBidi"/>
          <w:szCs w:val="22"/>
        </w:rPr>
      </w:pPr>
      <w:r>
        <w:t>21C</w:t>
      </w:r>
      <w:r>
        <w:rPr>
          <w:snapToGrid w:val="0"/>
        </w:rPr>
        <w:t>.</w:t>
      </w:r>
      <w:r>
        <w:rPr>
          <w:snapToGrid w:val="0"/>
        </w:rPr>
        <w:tab/>
        <w:t>Procedures cannot be invoked more than once</w:t>
      </w:r>
      <w:r>
        <w:tab/>
      </w:r>
      <w:r>
        <w:fldChar w:fldCharType="begin"/>
      </w:r>
      <w:r>
        <w:instrText xml:space="preserve"> PAGEREF _Toc476927232 \h </w:instrText>
      </w:r>
      <w:r>
        <w:fldChar w:fldCharType="separate"/>
      </w:r>
      <w:r>
        <w:t>53</w:t>
      </w:r>
      <w:r>
        <w:fldChar w:fldCharType="end"/>
      </w:r>
    </w:p>
    <w:p>
      <w:pPr>
        <w:pStyle w:val="TOC8"/>
        <w:rPr>
          <w:rFonts w:asciiTheme="minorHAnsi" w:eastAsiaTheme="minorEastAsia" w:hAnsiTheme="minorHAnsi" w:cstheme="minorBidi"/>
          <w:szCs w:val="22"/>
        </w:rPr>
      </w:pPr>
      <w:r>
        <w:t>21D</w:t>
      </w:r>
      <w:r>
        <w:rPr>
          <w:snapToGrid w:val="0"/>
        </w:rPr>
        <w:t>.</w:t>
      </w:r>
      <w:r>
        <w:rPr>
          <w:snapToGrid w:val="0"/>
        </w:rPr>
        <w:tab/>
        <w:t>Saving</w:t>
      </w:r>
      <w:r>
        <w:tab/>
      </w:r>
      <w:r>
        <w:fldChar w:fldCharType="begin"/>
      </w:r>
      <w:r>
        <w:instrText xml:space="preserve"> PAGEREF _Toc476927233 \h </w:instrText>
      </w:r>
      <w:r>
        <w:fldChar w:fldCharType="separate"/>
      </w:r>
      <w:r>
        <w:t>53</w:t>
      </w:r>
      <w:r>
        <w:fldChar w:fldCharType="end"/>
      </w:r>
    </w:p>
    <w:p>
      <w:pPr>
        <w:pStyle w:val="TOC6"/>
        <w:tabs>
          <w:tab w:val="right" w:leader="dot" w:pos="7077"/>
        </w:tabs>
        <w:rPr>
          <w:rFonts w:asciiTheme="minorHAnsi" w:eastAsiaTheme="minorEastAsia" w:hAnsiTheme="minorHAnsi" w:cstheme="minorBidi"/>
          <w:b w:val="0"/>
          <w:sz w:val="22"/>
          <w:szCs w:val="22"/>
        </w:rPr>
      </w:pPr>
      <w:r>
        <w:t>Subdivision 2 — Merger by resolution of buildings that are common property</w:t>
      </w:r>
    </w:p>
    <w:p>
      <w:pPr>
        <w:pStyle w:val="TOC8"/>
        <w:rPr>
          <w:rFonts w:asciiTheme="minorHAnsi" w:eastAsiaTheme="minorEastAsia" w:hAnsiTheme="minorHAnsi" w:cstheme="minorBidi"/>
          <w:szCs w:val="22"/>
        </w:rPr>
      </w:pPr>
      <w:r>
        <w:t>21E</w:t>
      </w:r>
      <w:r>
        <w:rPr>
          <w:snapToGrid w:val="0"/>
        </w:rPr>
        <w:t>.</w:t>
      </w:r>
      <w:r>
        <w:rPr>
          <w:snapToGrid w:val="0"/>
        </w:rPr>
        <w:tab/>
        <w:t>Application of this Subdivision</w:t>
      </w:r>
      <w:r>
        <w:tab/>
      </w:r>
      <w:r>
        <w:fldChar w:fldCharType="begin"/>
      </w:r>
      <w:r>
        <w:instrText xml:space="preserve"> PAGEREF _Toc476927235 \h </w:instrText>
      </w:r>
      <w:r>
        <w:fldChar w:fldCharType="separate"/>
      </w:r>
      <w:r>
        <w:t>54</w:t>
      </w:r>
      <w:r>
        <w:fldChar w:fldCharType="end"/>
      </w:r>
    </w:p>
    <w:p>
      <w:pPr>
        <w:pStyle w:val="TOC8"/>
        <w:rPr>
          <w:rFonts w:asciiTheme="minorHAnsi" w:eastAsiaTheme="minorEastAsia" w:hAnsiTheme="minorHAnsi" w:cstheme="minorBidi"/>
          <w:szCs w:val="22"/>
        </w:rPr>
      </w:pPr>
      <w:r>
        <w:t>21F</w:t>
      </w:r>
      <w:r>
        <w:rPr>
          <w:snapToGrid w:val="0"/>
        </w:rPr>
        <w:t>.</w:t>
      </w:r>
      <w:r>
        <w:rPr>
          <w:snapToGrid w:val="0"/>
        </w:rPr>
        <w:tab/>
        <w:t>Resolution by strata company</w:t>
      </w:r>
      <w:r>
        <w:tab/>
      </w:r>
      <w:r>
        <w:fldChar w:fldCharType="begin"/>
      </w:r>
      <w:r>
        <w:instrText xml:space="preserve"> PAGEREF _Toc476927236 \h </w:instrText>
      </w:r>
      <w:r>
        <w:fldChar w:fldCharType="separate"/>
      </w:r>
      <w:r>
        <w:t>54</w:t>
      </w:r>
      <w:r>
        <w:fldChar w:fldCharType="end"/>
      </w:r>
    </w:p>
    <w:p>
      <w:pPr>
        <w:pStyle w:val="TOC8"/>
        <w:rPr>
          <w:rFonts w:asciiTheme="minorHAnsi" w:eastAsiaTheme="minorEastAsia" w:hAnsiTheme="minorHAnsi" w:cstheme="minorBidi"/>
          <w:szCs w:val="22"/>
        </w:rPr>
      </w:pPr>
      <w:r>
        <w:t>21G</w:t>
      </w:r>
      <w:r>
        <w:rPr>
          <w:snapToGrid w:val="0"/>
        </w:rPr>
        <w:t>.</w:t>
      </w:r>
      <w:r>
        <w:rPr>
          <w:snapToGrid w:val="0"/>
        </w:rPr>
        <w:tab/>
        <w:t>Lodgement of notice of resolution for registration</w:t>
      </w:r>
      <w:r>
        <w:tab/>
      </w:r>
      <w:r>
        <w:fldChar w:fldCharType="begin"/>
      </w:r>
      <w:r>
        <w:instrText xml:space="preserve"> PAGEREF _Toc476927237 \h </w:instrText>
      </w:r>
      <w:r>
        <w:fldChar w:fldCharType="separate"/>
      </w:r>
      <w:r>
        <w:t>54</w:t>
      </w:r>
      <w:r>
        <w:fldChar w:fldCharType="end"/>
      </w:r>
    </w:p>
    <w:p>
      <w:pPr>
        <w:pStyle w:val="TOC8"/>
        <w:rPr>
          <w:rFonts w:asciiTheme="minorHAnsi" w:eastAsiaTheme="minorEastAsia" w:hAnsiTheme="minorHAnsi" w:cstheme="minorBidi"/>
          <w:szCs w:val="22"/>
        </w:rPr>
      </w:pPr>
      <w:r>
        <w:t>21H</w:t>
      </w:r>
      <w:r>
        <w:rPr>
          <w:snapToGrid w:val="0"/>
        </w:rPr>
        <w:t>.</w:t>
      </w:r>
      <w:r>
        <w:rPr>
          <w:snapToGrid w:val="0"/>
        </w:rPr>
        <w:tab/>
        <w:t>Registration of notice of resolution</w:t>
      </w:r>
      <w:r>
        <w:tab/>
      </w:r>
      <w:r>
        <w:fldChar w:fldCharType="begin"/>
      </w:r>
      <w:r>
        <w:instrText xml:space="preserve"> PAGEREF _Toc476927238 \h </w:instrText>
      </w:r>
      <w:r>
        <w:fldChar w:fldCharType="separate"/>
      </w:r>
      <w:r>
        <w:t>55</w:t>
      </w:r>
      <w:r>
        <w:fldChar w:fldCharType="end"/>
      </w:r>
    </w:p>
    <w:p>
      <w:pPr>
        <w:pStyle w:val="TOC8"/>
        <w:rPr>
          <w:rFonts w:asciiTheme="minorHAnsi" w:eastAsiaTheme="minorEastAsia" w:hAnsiTheme="minorHAnsi" w:cstheme="minorBidi"/>
          <w:szCs w:val="22"/>
        </w:rPr>
      </w:pPr>
      <w:r>
        <w:t>21I</w:t>
      </w:r>
      <w:r>
        <w:rPr>
          <w:snapToGrid w:val="0"/>
        </w:rPr>
        <w:t>.</w:t>
      </w:r>
      <w:r>
        <w:rPr>
          <w:snapToGrid w:val="0"/>
        </w:rPr>
        <w:tab/>
        <w:t>Effect of registration</w:t>
      </w:r>
      <w:r>
        <w:tab/>
      </w:r>
      <w:r>
        <w:fldChar w:fldCharType="begin"/>
      </w:r>
      <w:r>
        <w:instrText xml:space="preserve"> PAGEREF _Toc476927239 \h </w:instrText>
      </w:r>
      <w:r>
        <w:fldChar w:fldCharType="separate"/>
      </w:r>
      <w:r>
        <w:t>55</w:t>
      </w:r>
      <w:r>
        <w:fldChar w:fldCharType="end"/>
      </w:r>
    </w:p>
    <w:p>
      <w:pPr>
        <w:pStyle w:val="TOC8"/>
        <w:rPr>
          <w:rFonts w:asciiTheme="minorHAnsi" w:eastAsiaTheme="minorEastAsia" w:hAnsiTheme="minorHAnsi" w:cstheme="minorBidi"/>
          <w:szCs w:val="22"/>
        </w:rPr>
      </w:pPr>
      <w:r>
        <w:t>21J</w:t>
      </w:r>
      <w:r>
        <w:rPr>
          <w:snapToGrid w:val="0"/>
        </w:rPr>
        <w:t>.</w:t>
      </w:r>
      <w:r>
        <w:rPr>
          <w:snapToGrid w:val="0"/>
        </w:rPr>
        <w:tab/>
        <w:t>Registrar of Titles to amend strata plan</w:t>
      </w:r>
      <w:r>
        <w:tab/>
      </w:r>
      <w:r>
        <w:fldChar w:fldCharType="begin"/>
      </w:r>
      <w:r>
        <w:instrText xml:space="preserve"> PAGEREF _Toc476927240 \h </w:instrText>
      </w:r>
      <w:r>
        <w:fldChar w:fldCharType="separate"/>
      </w:r>
      <w:r>
        <w:t>56</w:t>
      </w:r>
      <w:r>
        <w:fldChar w:fldCharType="end"/>
      </w:r>
    </w:p>
    <w:p>
      <w:pPr>
        <w:pStyle w:val="TOC6"/>
        <w:tabs>
          <w:tab w:val="right" w:leader="dot" w:pos="7077"/>
        </w:tabs>
        <w:rPr>
          <w:rFonts w:asciiTheme="minorHAnsi" w:eastAsiaTheme="minorEastAsia" w:hAnsiTheme="minorHAnsi" w:cstheme="minorBidi"/>
          <w:b w:val="0"/>
          <w:sz w:val="22"/>
          <w:szCs w:val="22"/>
        </w:rPr>
      </w:pPr>
      <w:r>
        <w:t>Subdivision 3 — Automatic merger of buildings that are common property</w:t>
      </w:r>
    </w:p>
    <w:p>
      <w:pPr>
        <w:pStyle w:val="TOC8"/>
        <w:rPr>
          <w:rFonts w:asciiTheme="minorHAnsi" w:eastAsiaTheme="minorEastAsia" w:hAnsiTheme="minorHAnsi" w:cstheme="minorBidi"/>
          <w:szCs w:val="22"/>
        </w:rPr>
      </w:pPr>
      <w:r>
        <w:t>21K</w:t>
      </w:r>
      <w:r>
        <w:rPr>
          <w:snapToGrid w:val="0"/>
        </w:rPr>
        <w:t>.</w:t>
      </w:r>
      <w:r>
        <w:rPr>
          <w:snapToGrid w:val="0"/>
        </w:rPr>
        <w:tab/>
        <w:t>Terms used</w:t>
      </w:r>
      <w:r>
        <w:tab/>
      </w:r>
      <w:r>
        <w:fldChar w:fldCharType="begin"/>
      </w:r>
      <w:r>
        <w:instrText xml:space="preserve"> PAGEREF _Toc476927242 \h </w:instrText>
      </w:r>
      <w:r>
        <w:fldChar w:fldCharType="separate"/>
      </w:r>
      <w:r>
        <w:t>56</w:t>
      </w:r>
      <w:r>
        <w:fldChar w:fldCharType="end"/>
      </w:r>
    </w:p>
    <w:p>
      <w:pPr>
        <w:pStyle w:val="TOC8"/>
        <w:rPr>
          <w:rFonts w:asciiTheme="minorHAnsi" w:eastAsiaTheme="minorEastAsia" w:hAnsiTheme="minorHAnsi" w:cstheme="minorBidi"/>
          <w:szCs w:val="22"/>
        </w:rPr>
      </w:pPr>
      <w:r>
        <w:t>21L</w:t>
      </w:r>
      <w:r>
        <w:rPr>
          <w:snapToGrid w:val="0"/>
        </w:rPr>
        <w:t>.</w:t>
      </w:r>
      <w:r>
        <w:rPr>
          <w:snapToGrid w:val="0"/>
        </w:rPr>
        <w:tab/>
        <w:t>Application of this Subdivision</w:t>
      </w:r>
      <w:r>
        <w:tab/>
      </w:r>
      <w:r>
        <w:fldChar w:fldCharType="begin"/>
      </w:r>
      <w:r>
        <w:instrText xml:space="preserve"> PAGEREF _Toc476927243 \h </w:instrText>
      </w:r>
      <w:r>
        <w:fldChar w:fldCharType="separate"/>
      </w:r>
      <w:r>
        <w:t>56</w:t>
      </w:r>
      <w:r>
        <w:fldChar w:fldCharType="end"/>
      </w:r>
    </w:p>
    <w:p>
      <w:pPr>
        <w:pStyle w:val="TOC8"/>
        <w:rPr>
          <w:rFonts w:asciiTheme="minorHAnsi" w:eastAsiaTheme="minorEastAsia" w:hAnsiTheme="minorHAnsi" w:cstheme="minorBidi"/>
          <w:szCs w:val="22"/>
        </w:rPr>
      </w:pPr>
      <w:r>
        <w:t>21M</w:t>
      </w:r>
      <w:r>
        <w:rPr>
          <w:snapToGrid w:val="0"/>
        </w:rPr>
        <w:t>.</w:t>
      </w:r>
      <w:r>
        <w:rPr>
          <w:snapToGrid w:val="0"/>
        </w:rPr>
        <w:tab/>
        <w:t>Automatic application of lot boundaries under s. 3AB</w:t>
      </w:r>
      <w:r>
        <w:tab/>
      </w:r>
      <w:r>
        <w:fldChar w:fldCharType="begin"/>
      </w:r>
      <w:r>
        <w:instrText xml:space="preserve"> PAGEREF _Toc476927244 \h </w:instrText>
      </w:r>
      <w:r>
        <w:fldChar w:fldCharType="separate"/>
      </w:r>
      <w:r>
        <w:t>57</w:t>
      </w:r>
      <w:r>
        <w:fldChar w:fldCharType="end"/>
      </w:r>
    </w:p>
    <w:p>
      <w:pPr>
        <w:pStyle w:val="TOC8"/>
        <w:rPr>
          <w:rFonts w:asciiTheme="minorHAnsi" w:eastAsiaTheme="minorEastAsia" w:hAnsiTheme="minorHAnsi" w:cstheme="minorBidi"/>
          <w:szCs w:val="22"/>
        </w:rPr>
      </w:pPr>
      <w:r>
        <w:t>21N</w:t>
      </w:r>
      <w:r>
        <w:rPr>
          <w:snapToGrid w:val="0"/>
        </w:rPr>
        <w:t>.</w:t>
      </w:r>
      <w:r>
        <w:rPr>
          <w:snapToGrid w:val="0"/>
        </w:rPr>
        <w:tab/>
        <w:t>Plan to be noted</w:t>
      </w:r>
      <w:r>
        <w:tab/>
      </w:r>
      <w:r>
        <w:fldChar w:fldCharType="begin"/>
      </w:r>
      <w:r>
        <w:instrText xml:space="preserve"> PAGEREF _Toc476927245 \h </w:instrText>
      </w:r>
      <w:r>
        <w:fldChar w:fldCharType="separate"/>
      </w:r>
      <w:r>
        <w:t>57</w:t>
      </w:r>
      <w:r>
        <w:fldChar w:fldCharType="end"/>
      </w:r>
    </w:p>
    <w:p>
      <w:pPr>
        <w:pStyle w:val="TOC8"/>
        <w:rPr>
          <w:rFonts w:asciiTheme="minorHAnsi" w:eastAsiaTheme="minorEastAsia" w:hAnsiTheme="minorHAnsi" w:cstheme="minorBidi"/>
          <w:szCs w:val="22"/>
        </w:rPr>
      </w:pPr>
      <w:r>
        <w:t>21O</w:t>
      </w:r>
      <w:r>
        <w:rPr>
          <w:snapToGrid w:val="0"/>
        </w:rPr>
        <w:t>.</w:t>
      </w:r>
      <w:r>
        <w:rPr>
          <w:snapToGrid w:val="0"/>
        </w:rPr>
        <w:tab/>
        <w:t>Objection by proprietor</w:t>
      </w:r>
      <w:r>
        <w:tab/>
      </w:r>
      <w:r>
        <w:fldChar w:fldCharType="begin"/>
      </w:r>
      <w:r>
        <w:instrText xml:space="preserve"> PAGEREF _Toc476927246 \h </w:instrText>
      </w:r>
      <w:r>
        <w:fldChar w:fldCharType="separate"/>
      </w:r>
      <w:r>
        <w:t>57</w:t>
      </w:r>
      <w:r>
        <w:fldChar w:fldCharType="end"/>
      </w:r>
    </w:p>
    <w:p>
      <w:pPr>
        <w:pStyle w:val="TOC6"/>
        <w:tabs>
          <w:tab w:val="right" w:leader="dot" w:pos="7077"/>
        </w:tabs>
        <w:rPr>
          <w:rFonts w:asciiTheme="minorHAnsi" w:eastAsiaTheme="minorEastAsia" w:hAnsiTheme="minorHAnsi" w:cstheme="minorBidi"/>
          <w:b w:val="0"/>
          <w:sz w:val="22"/>
          <w:szCs w:val="22"/>
        </w:rPr>
      </w:pPr>
      <w:r>
        <w:t>Subdivision 4 — Merger by resolution of land that is common property</w:t>
      </w:r>
    </w:p>
    <w:p>
      <w:pPr>
        <w:pStyle w:val="TOC8"/>
        <w:rPr>
          <w:rFonts w:asciiTheme="minorHAnsi" w:eastAsiaTheme="minorEastAsia" w:hAnsiTheme="minorHAnsi" w:cstheme="minorBidi"/>
          <w:szCs w:val="22"/>
        </w:rPr>
      </w:pPr>
      <w:r>
        <w:t>21P</w:t>
      </w:r>
      <w:r>
        <w:rPr>
          <w:snapToGrid w:val="0"/>
        </w:rPr>
        <w:t>.</w:t>
      </w:r>
      <w:r>
        <w:rPr>
          <w:snapToGrid w:val="0"/>
        </w:rPr>
        <w:tab/>
        <w:t>Application of this Subdivision</w:t>
      </w:r>
      <w:r>
        <w:tab/>
      </w:r>
      <w:r>
        <w:fldChar w:fldCharType="begin"/>
      </w:r>
      <w:r>
        <w:instrText xml:space="preserve"> PAGEREF _Toc476927248 \h </w:instrText>
      </w:r>
      <w:r>
        <w:fldChar w:fldCharType="separate"/>
      </w:r>
      <w:r>
        <w:t>58</w:t>
      </w:r>
      <w:r>
        <w:fldChar w:fldCharType="end"/>
      </w:r>
    </w:p>
    <w:p>
      <w:pPr>
        <w:pStyle w:val="TOC8"/>
        <w:rPr>
          <w:rFonts w:asciiTheme="minorHAnsi" w:eastAsiaTheme="minorEastAsia" w:hAnsiTheme="minorHAnsi" w:cstheme="minorBidi"/>
          <w:szCs w:val="22"/>
        </w:rPr>
      </w:pPr>
      <w:r>
        <w:t>21Q</w:t>
      </w:r>
      <w:r>
        <w:rPr>
          <w:snapToGrid w:val="0"/>
        </w:rPr>
        <w:t>.</w:t>
      </w:r>
      <w:r>
        <w:rPr>
          <w:snapToGrid w:val="0"/>
        </w:rPr>
        <w:tab/>
        <w:t>Resolution by strata company</w:t>
      </w:r>
      <w:r>
        <w:tab/>
      </w:r>
      <w:r>
        <w:fldChar w:fldCharType="begin"/>
      </w:r>
      <w:r>
        <w:instrText xml:space="preserve"> PAGEREF _Toc476927249 \h </w:instrText>
      </w:r>
      <w:r>
        <w:fldChar w:fldCharType="separate"/>
      </w:r>
      <w:r>
        <w:t>58</w:t>
      </w:r>
      <w:r>
        <w:fldChar w:fldCharType="end"/>
      </w:r>
    </w:p>
    <w:p>
      <w:pPr>
        <w:pStyle w:val="TOC8"/>
        <w:rPr>
          <w:rFonts w:asciiTheme="minorHAnsi" w:eastAsiaTheme="minorEastAsia" w:hAnsiTheme="minorHAnsi" w:cstheme="minorBidi"/>
          <w:szCs w:val="22"/>
        </w:rPr>
      </w:pPr>
      <w:r>
        <w:t>21R</w:t>
      </w:r>
      <w:r>
        <w:rPr>
          <w:snapToGrid w:val="0"/>
        </w:rPr>
        <w:t>.</w:t>
      </w:r>
      <w:r>
        <w:rPr>
          <w:snapToGrid w:val="0"/>
        </w:rPr>
        <w:tab/>
        <w:t>Further provisions as to contents of resolution</w:t>
      </w:r>
      <w:r>
        <w:tab/>
      </w:r>
      <w:r>
        <w:fldChar w:fldCharType="begin"/>
      </w:r>
      <w:r>
        <w:instrText xml:space="preserve"> PAGEREF _Toc476927250 \h </w:instrText>
      </w:r>
      <w:r>
        <w:fldChar w:fldCharType="separate"/>
      </w:r>
      <w:r>
        <w:t>59</w:t>
      </w:r>
      <w:r>
        <w:fldChar w:fldCharType="end"/>
      </w:r>
    </w:p>
    <w:p>
      <w:pPr>
        <w:pStyle w:val="TOC8"/>
        <w:rPr>
          <w:rFonts w:asciiTheme="minorHAnsi" w:eastAsiaTheme="minorEastAsia" w:hAnsiTheme="minorHAnsi" w:cstheme="minorBidi"/>
          <w:szCs w:val="22"/>
        </w:rPr>
      </w:pPr>
      <w:r>
        <w:t>21S</w:t>
      </w:r>
      <w:r>
        <w:rPr>
          <w:snapToGrid w:val="0"/>
        </w:rPr>
        <w:t>.</w:t>
      </w:r>
      <w:r>
        <w:rPr>
          <w:snapToGrid w:val="0"/>
        </w:rPr>
        <w:tab/>
        <w:t>Notice of resolution may be lodged for registration</w:t>
      </w:r>
      <w:r>
        <w:tab/>
      </w:r>
      <w:r>
        <w:fldChar w:fldCharType="begin"/>
      </w:r>
      <w:r>
        <w:instrText xml:space="preserve"> PAGEREF _Toc476927251 \h </w:instrText>
      </w:r>
      <w:r>
        <w:fldChar w:fldCharType="separate"/>
      </w:r>
      <w:r>
        <w:t>59</w:t>
      </w:r>
      <w:r>
        <w:fldChar w:fldCharType="end"/>
      </w:r>
    </w:p>
    <w:p>
      <w:pPr>
        <w:pStyle w:val="TOC8"/>
        <w:rPr>
          <w:rFonts w:asciiTheme="minorHAnsi" w:eastAsiaTheme="minorEastAsia" w:hAnsiTheme="minorHAnsi" w:cstheme="minorBidi"/>
          <w:szCs w:val="22"/>
        </w:rPr>
      </w:pPr>
      <w:r>
        <w:t>21T</w:t>
      </w:r>
      <w:r>
        <w:rPr>
          <w:snapToGrid w:val="0"/>
        </w:rPr>
        <w:t>.</w:t>
      </w:r>
      <w:r>
        <w:rPr>
          <w:snapToGrid w:val="0"/>
        </w:rPr>
        <w:tab/>
        <w:t>Documents to accompany notice</w:t>
      </w:r>
      <w:r>
        <w:tab/>
      </w:r>
      <w:r>
        <w:fldChar w:fldCharType="begin"/>
      </w:r>
      <w:r>
        <w:instrText xml:space="preserve"> PAGEREF _Toc476927252 \h </w:instrText>
      </w:r>
      <w:r>
        <w:fldChar w:fldCharType="separate"/>
      </w:r>
      <w:r>
        <w:t>60</w:t>
      </w:r>
      <w:r>
        <w:fldChar w:fldCharType="end"/>
      </w:r>
    </w:p>
    <w:p>
      <w:pPr>
        <w:pStyle w:val="TOC8"/>
        <w:rPr>
          <w:rFonts w:asciiTheme="minorHAnsi" w:eastAsiaTheme="minorEastAsia" w:hAnsiTheme="minorHAnsi" w:cstheme="minorBidi"/>
          <w:szCs w:val="22"/>
        </w:rPr>
      </w:pPr>
      <w:r>
        <w:t>21U</w:t>
      </w:r>
      <w:r>
        <w:rPr>
          <w:snapToGrid w:val="0"/>
        </w:rPr>
        <w:t>.</w:t>
      </w:r>
      <w:r>
        <w:rPr>
          <w:snapToGrid w:val="0"/>
        </w:rPr>
        <w:tab/>
        <w:t>Certificate of licensed surveyor</w:t>
      </w:r>
      <w:r>
        <w:tab/>
      </w:r>
      <w:r>
        <w:fldChar w:fldCharType="begin"/>
      </w:r>
      <w:r>
        <w:instrText xml:space="preserve"> PAGEREF _Toc476927253 \h </w:instrText>
      </w:r>
      <w:r>
        <w:fldChar w:fldCharType="separate"/>
      </w:r>
      <w:r>
        <w:t>61</w:t>
      </w:r>
      <w:r>
        <w:fldChar w:fldCharType="end"/>
      </w:r>
    </w:p>
    <w:p>
      <w:pPr>
        <w:pStyle w:val="TOC8"/>
        <w:rPr>
          <w:rFonts w:asciiTheme="minorHAnsi" w:eastAsiaTheme="minorEastAsia" w:hAnsiTheme="minorHAnsi" w:cstheme="minorBidi"/>
          <w:szCs w:val="22"/>
        </w:rPr>
      </w:pPr>
      <w:r>
        <w:t>21V</w:t>
      </w:r>
      <w:r>
        <w:rPr>
          <w:snapToGrid w:val="0"/>
        </w:rPr>
        <w:t>.</w:t>
      </w:r>
      <w:r>
        <w:rPr>
          <w:snapToGrid w:val="0"/>
        </w:rPr>
        <w:tab/>
        <w:t>Transfers etc. to give effect to notice of resolution</w:t>
      </w:r>
      <w:r>
        <w:tab/>
      </w:r>
      <w:r>
        <w:fldChar w:fldCharType="begin"/>
      </w:r>
      <w:r>
        <w:instrText xml:space="preserve"> PAGEREF _Toc476927254 \h </w:instrText>
      </w:r>
      <w:r>
        <w:fldChar w:fldCharType="separate"/>
      </w:r>
      <w:r>
        <w:t>63</w:t>
      </w:r>
      <w:r>
        <w:fldChar w:fldCharType="end"/>
      </w:r>
    </w:p>
    <w:p>
      <w:pPr>
        <w:pStyle w:val="TOC8"/>
        <w:rPr>
          <w:rFonts w:asciiTheme="minorHAnsi" w:eastAsiaTheme="minorEastAsia" w:hAnsiTheme="minorHAnsi" w:cstheme="minorBidi"/>
          <w:szCs w:val="22"/>
        </w:rPr>
      </w:pPr>
      <w:r>
        <w:t>21W</w:t>
      </w:r>
      <w:r>
        <w:rPr>
          <w:snapToGrid w:val="0"/>
        </w:rPr>
        <w:t>.</w:t>
      </w:r>
      <w:r>
        <w:rPr>
          <w:snapToGrid w:val="0"/>
        </w:rPr>
        <w:tab/>
        <w:t>Creation of easements for parking etc.</w:t>
      </w:r>
      <w:r>
        <w:tab/>
      </w:r>
      <w:r>
        <w:fldChar w:fldCharType="begin"/>
      </w:r>
      <w:r>
        <w:instrText xml:space="preserve"> PAGEREF _Toc476927255 \h </w:instrText>
      </w:r>
      <w:r>
        <w:fldChar w:fldCharType="separate"/>
      </w:r>
      <w:r>
        <w:t>63</w:t>
      </w:r>
      <w:r>
        <w:fldChar w:fldCharType="end"/>
      </w:r>
    </w:p>
    <w:p>
      <w:pPr>
        <w:pStyle w:val="TOC8"/>
        <w:rPr>
          <w:rFonts w:asciiTheme="minorHAnsi" w:eastAsiaTheme="minorEastAsia" w:hAnsiTheme="minorHAnsi" w:cstheme="minorBidi"/>
          <w:szCs w:val="22"/>
        </w:rPr>
      </w:pPr>
      <w:r>
        <w:t>21X</w:t>
      </w:r>
      <w:r>
        <w:rPr>
          <w:snapToGrid w:val="0"/>
        </w:rPr>
        <w:t>.</w:t>
      </w:r>
      <w:r>
        <w:rPr>
          <w:snapToGrid w:val="0"/>
        </w:rPr>
        <w:tab/>
        <w:t>Registration of notice of resolution</w:t>
      </w:r>
      <w:r>
        <w:tab/>
      </w:r>
      <w:r>
        <w:fldChar w:fldCharType="begin"/>
      </w:r>
      <w:r>
        <w:instrText xml:space="preserve"> PAGEREF _Toc476927256 \h </w:instrText>
      </w:r>
      <w:r>
        <w:fldChar w:fldCharType="separate"/>
      </w:r>
      <w:r>
        <w:t>64</w:t>
      </w:r>
      <w:r>
        <w:fldChar w:fldCharType="end"/>
      </w:r>
    </w:p>
    <w:p>
      <w:pPr>
        <w:pStyle w:val="TOC8"/>
        <w:rPr>
          <w:rFonts w:asciiTheme="minorHAnsi" w:eastAsiaTheme="minorEastAsia" w:hAnsiTheme="minorHAnsi" w:cstheme="minorBidi"/>
          <w:szCs w:val="22"/>
        </w:rPr>
      </w:pPr>
      <w:r>
        <w:t>21Y</w:t>
      </w:r>
      <w:r>
        <w:rPr>
          <w:snapToGrid w:val="0"/>
        </w:rPr>
        <w:t>.</w:t>
      </w:r>
      <w:r>
        <w:rPr>
          <w:snapToGrid w:val="0"/>
        </w:rPr>
        <w:tab/>
        <w:t>Effect of registration</w:t>
      </w:r>
      <w:r>
        <w:tab/>
      </w:r>
      <w:r>
        <w:fldChar w:fldCharType="begin"/>
      </w:r>
      <w:r>
        <w:instrText xml:space="preserve"> PAGEREF _Toc476927257 \h </w:instrText>
      </w:r>
      <w:r>
        <w:fldChar w:fldCharType="separate"/>
      </w:r>
      <w:r>
        <w:t>64</w:t>
      </w:r>
      <w:r>
        <w:fldChar w:fldCharType="end"/>
      </w:r>
    </w:p>
    <w:p>
      <w:pPr>
        <w:pStyle w:val="TOC8"/>
        <w:rPr>
          <w:rFonts w:asciiTheme="minorHAnsi" w:eastAsiaTheme="minorEastAsia" w:hAnsiTheme="minorHAnsi" w:cstheme="minorBidi"/>
          <w:szCs w:val="22"/>
        </w:rPr>
      </w:pPr>
      <w:r>
        <w:t>21Z</w:t>
      </w:r>
      <w:r>
        <w:rPr>
          <w:snapToGrid w:val="0"/>
        </w:rPr>
        <w:t>.</w:t>
      </w:r>
      <w:r>
        <w:rPr>
          <w:snapToGrid w:val="0"/>
        </w:rPr>
        <w:tab/>
        <w:t>Registrar of Titles to make necessary amendments</w:t>
      </w:r>
      <w:r>
        <w:tab/>
      </w:r>
      <w:r>
        <w:fldChar w:fldCharType="begin"/>
      </w:r>
      <w:r>
        <w:instrText xml:space="preserve"> PAGEREF _Toc476927258 \h </w:instrText>
      </w:r>
      <w:r>
        <w:fldChar w:fldCharType="separate"/>
      </w:r>
      <w:r>
        <w:t>65</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Certificates and approvals</w:t>
      </w:r>
    </w:p>
    <w:p>
      <w:pPr>
        <w:pStyle w:val="TOC8"/>
        <w:rPr>
          <w:rFonts w:asciiTheme="minorHAnsi" w:eastAsiaTheme="minorEastAsia" w:hAnsiTheme="minorHAnsi" w:cstheme="minorBidi"/>
          <w:szCs w:val="22"/>
        </w:rPr>
      </w:pPr>
      <w:r>
        <w:t>22</w:t>
      </w:r>
      <w:r>
        <w:rPr>
          <w:snapToGrid w:val="0"/>
        </w:rPr>
        <w:t>.</w:t>
      </w:r>
      <w:r>
        <w:rPr>
          <w:snapToGrid w:val="0"/>
        </w:rPr>
        <w:tab/>
        <w:t>Certificate of licensed surveyor</w:t>
      </w:r>
      <w:r>
        <w:tab/>
      </w:r>
      <w:r>
        <w:fldChar w:fldCharType="begin"/>
      </w:r>
      <w:r>
        <w:instrText xml:space="preserve"> PAGEREF _Toc476927260 \h </w:instrText>
      </w:r>
      <w:r>
        <w:fldChar w:fldCharType="separate"/>
      </w:r>
      <w:r>
        <w:t>66</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Preliminary determinations by local government</w:t>
      </w:r>
      <w:r>
        <w:tab/>
      </w:r>
      <w:r>
        <w:fldChar w:fldCharType="begin"/>
      </w:r>
      <w:r>
        <w:instrText xml:space="preserve"> PAGEREF _Toc476927261 \h </w:instrText>
      </w:r>
      <w:r>
        <w:fldChar w:fldCharType="separate"/>
      </w:r>
      <w:r>
        <w:t>67</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Certificate of Commission</w:t>
      </w:r>
      <w:r>
        <w:tab/>
      </w:r>
      <w:r>
        <w:fldChar w:fldCharType="begin"/>
      </w:r>
      <w:r>
        <w:instrText xml:space="preserve"> PAGEREF _Toc476927262 \h </w:instrText>
      </w:r>
      <w:r>
        <w:fldChar w:fldCharType="separate"/>
      </w:r>
      <w:r>
        <w:t>68</w:t>
      </w:r>
      <w:r>
        <w:fldChar w:fldCharType="end"/>
      </w:r>
    </w:p>
    <w:p>
      <w:pPr>
        <w:pStyle w:val="TOC8"/>
        <w:rPr>
          <w:rFonts w:asciiTheme="minorHAnsi" w:eastAsiaTheme="minorEastAsia" w:hAnsiTheme="minorHAnsi" w:cstheme="minorBidi"/>
          <w:szCs w:val="22"/>
        </w:rPr>
      </w:pPr>
      <w:r>
        <w:t>25A</w:t>
      </w:r>
      <w:r>
        <w:rPr>
          <w:snapToGrid w:val="0"/>
        </w:rPr>
        <w:t>.</w:t>
      </w:r>
      <w:r>
        <w:rPr>
          <w:snapToGrid w:val="0"/>
        </w:rPr>
        <w:tab/>
        <w:t>Commission to refer plan to other bodies in certain cases</w:t>
      </w:r>
      <w:r>
        <w:tab/>
      </w:r>
      <w:r>
        <w:fldChar w:fldCharType="begin"/>
      </w:r>
      <w:r>
        <w:instrText xml:space="preserve"> PAGEREF _Toc476927263 \h </w:instrText>
      </w:r>
      <w:r>
        <w:fldChar w:fldCharType="separate"/>
      </w:r>
      <w:r>
        <w:t>70</w:t>
      </w:r>
      <w:r>
        <w:fldChar w:fldCharType="end"/>
      </w:r>
    </w:p>
    <w:p>
      <w:pPr>
        <w:pStyle w:val="TOC8"/>
        <w:rPr>
          <w:rFonts w:asciiTheme="minorHAnsi" w:eastAsiaTheme="minorEastAsia" w:hAnsiTheme="minorHAnsi" w:cstheme="minorBidi"/>
          <w:szCs w:val="22"/>
        </w:rPr>
      </w:pPr>
      <w:r>
        <w:t>25B</w:t>
      </w:r>
      <w:r>
        <w:rPr>
          <w:snapToGrid w:val="0"/>
        </w:rPr>
        <w:t>.</w:t>
      </w:r>
      <w:r>
        <w:rPr>
          <w:snapToGrid w:val="0"/>
        </w:rPr>
        <w:tab/>
        <w:t>Subdivision in survey</w:t>
      </w:r>
      <w:r>
        <w:rPr>
          <w:snapToGrid w:val="0"/>
        </w:rPr>
        <w:noBreakHyphen/>
        <w:t>strata scheme requires approval by Commission</w:t>
      </w:r>
      <w:r>
        <w:tab/>
      </w:r>
      <w:r>
        <w:fldChar w:fldCharType="begin"/>
      </w:r>
      <w:r>
        <w:instrText xml:space="preserve"> PAGEREF _Toc476927264 \h </w:instrText>
      </w:r>
      <w:r>
        <w:fldChar w:fldCharType="separate"/>
      </w:r>
      <w:r>
        <w:t>70</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Review of local government decision</w:t>
      </w:r>
      <w:r>
        <w:tab/>
      </w:r>
      <w:r>
        <w:fldChar w:fldCharType="begin"/>
      </w:r>
      <w:r>
        <w:instrText xml:space="preserve"> PAGEREF _Toc476927265 \h </w:instrText>
      </w:r>
      <w:r>
        <w:fldChar w:fldCharType="separate"/>
      </w:r>
      <w:r>
        <w:t>71</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Review of Commission decision</w:t>
      </w:r>
      <w:r>
        <w:tab/>
      </w:r>
      <w:r>
        <w:fldChar w:fldCharType="begin"/>
      </w:r>
      <w:r>
        <w:instrText xml:space="preserve"> PAGEREF _Toc476927266 \h </w:instrText>
      </w:r>
      <w:r>
        <w:fldChar w:fldCharType="separate"/>
      </w:r>
      <w:r>
        <w:t>73</w:t>
      </w:r>
      <w:r>
        <w:fldChar w:fldCharType="end"/>
      </w:r>
    </w:p>
    <w:p>
      <w:pPr>
        <w:pStyle w:val="TOC2"/>
        <w:tabs>
          <w:tab w:val="right" w:leader="dot" w:pos="7077"/>
        </w:tabs>
        <w:rPr>
          <w:rFonts w:asciiTheme="minorHAnsi" w:eastAsiaTheme="minorEastAsia" w:hAnsiTheme="minorHAnsi" w:cstheme="minorBidi"/>
          <w:b w:val="0"/>
          <w:sz w:val="22"/>
          <w:szCs w:val="22"/>
        </w:rPr>
      </w:pPr>
      <w:r>
        <w:t>Part III — Variation, termination and conversion of schemes</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Variation of schemes</w:t>
      </w:r>
    </w:p>
    <w:p>
      <w:pPr>
        <w:pStyle w:val="TOC8"/>
        <w:rPr>
          <w:rFonts w:asciiTheme="minorHAnsi" w:eastAsiaTheme="minorEastAsia" w:hAnsiTheme="minorHAnsi" w:cstheme="minorBidi"/>
          <w:szCs w:val="22"/>
        </w:rPr>
      </w:pPr>
      <w:r>
        <w:t>28</w:t>
      </w:r>
      <w:r>
        <w:rPr>
          <w:snapToGrid w:val="0"/>
        </w:rPr>
        <w:t>.</w:t>
      </w:r>
      <w:r>
        <w:rPr>
          <w:snapToGrid w:val="0"/>
        </w:rPr>
        <w:tab/>
        <w:t>Variation of strata scheme upon damage or destruction of building</w:t>
      </w:r>
      <w:r>
        <w:tab/>
      </w:r>
      <w:r>
        <w:fldChar w:fldCharType="begin"/>
      </w:r>
      <w:r>
        <w:instrText xml:space="preserve"> PAGEREF _Toc476927269 \h </w:instrText>
      </w:r>
      <w:r>
        <w:fldChar w:fldCharType="separate"/>
      </w:r>
      <w:r>
        <w:t>75</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Variation of strata scheme upon taking</w:t>
      </w:r>
      <w:r>
        <w:tab/>
      </w:r>
      <w:r>
        <w:fldChar w:fldCharType="begin"/>
      </w:r>
      <w:r>
        <w:instrText xml:space="preserve"> PAGEREF _Toc476927270 \h </w:instrText>
      </w:r>
      <w:r>
        <w:fldChar w:fldCharType="separate"/>
      </w:r>
      <w:r>
        <w:t>77</w:t>
      </w:r>
      <w:r>
        <w:fldChar w:fldCharType="end"/>
      </w:r>
    </w:p>
    <w:p>
      <w:pPr>
        <w:pStyle w:val="TOC8"/>
        <w:rPr>
          <w:rFonts w:asciiTheme="minorHAnsi" w:eastAsiaTheme="minorEastAsia" w:hAnsiTheme="minorHAnsi" w:cstheme="minorBidi"/>
          <w:szCs w:val="22"/>
        </w:rPr>
      </w:pPr>
      <w:r>
        <w:t>29A</w:t>
      </w:r>
      <w:r>
        <w:rPr>
          <w:snapToGrid w:val="0"/>
        </w:rPr>
        <w:t>.</w:t>
      </w:r>
      <w:r>
        <w:rPr>
          <w:snapToGrid w:val="0"/>
        </w:rPr>
        <w:tab/>
        <w:t>Variation of survey</w:t>
      </w:r>
      <w:r>
        <w:rPr>
          <w:snapToGrid w:val="0"/>
        </w:rPr>
        <w:noBreakHyphen/>
        <w:t>strata scheme on resumption</w:t>
      </w:r>
      <w:r>
        <w:tab/>
      </w:r>
      <w:r>
        <w:fldChar w:fldCharType="begin"/>
      </w:r>
      <w:r>
        <w:instrText xml:space="preserve"> PAGEREF _Toc476927271 \h </w:instrText>
      </w:r>
      <w:r>
        <w:fldChar w:fldCharType="separate"/>
      </w:r>
      <w:r>
        <w:t>77</w:t>
      </w:r>
      <w:r>
        <w:fldChar w:fldCharType="end"/>
      </w:r>
    </w:p>
    <w:p>
      <w:pPr>
        <w:pStyle w:val="TOC8"/>
        <w:rPr>
          <w:rFonts w:asciiTheme="minorHAnsi" w:eastAsiaTheme="minorEastAsia" w:hAnsiTheme="minorHAnsi" w:cstheme="minorBidi"/>
          <w:szCs w:val="22"/>
        </w:rPr>
      </w:pPr>
      <w:r>
        <w:t>29B</w:t>
      </w:r>
      <w:r>
        <w:rPr>
          <w:snapToGrid w:val="0"/>
        </w:rPr>
        <w:t>.</w:t>
      </w:r>
      <w:r>
        <w:rPr>
          <w:snapToGrid w:val="0"/>
        </w:rPr>
        <w:tab/>
        <w:t>Lodgement of documents with Registrar following partial taking in strata scheme</w:t>
      </w:r>
      <w:r>
        <w:tab/>
      </w:r>
      <w:r>
        <w:fldChar w:fldCharType="begin"/>
      </w:r>
      <w:r>
        <w:instrText xml:space="preserve"> PAGEREF _Toc476927272 \h </w:instrText>
      </w:r>
      <w:r>
        <w:fldChar w:fldCharType="separate"/>
      </w:r>
      <w:r>
        <w:t>79</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Termination of schemes</w:t>
      </w:r>
    </w:p>
    <w:p>
      <w:pPr>
        <w:pStyle w:val="TOC8"/>
        <w:rPr>
          <w:rFonts w:asciiTheme="minorHAnsi" w:eastAsiaTheme="minorEastAsia" w:hAnsiTheme="minorHAnsi" w:cstheme="minorBidi"/>
          <w:szCs w:val="22"/>
        </w:rPr>
      </w:pPr>
      <w:r>
        <w:t>29C</w:t>
      </w:r>
      <w:r>
        <w:rPr>
          <w:snapToGrid w:val="0"/>
        </w:rPr>
        <w:t>.</w:t>
      </w:r>
      <w:r>
        <w:rPr>
          <w:snapToGrid w:val="0"/>
        </w:rPr>
        <w:tab/>
        <w:t>Termination of scheme by resumption</w:t>
      </w:r>
      <w:r>
        <w:tab/>
      </w:r>
      <w:r>
        <w:fldChar w:fldCharType="begin"/>
      </w:r>
      <w:r>
        <w:instrText xml:space="preserve"> PAGEREF _Toc476927274 \h </w:instrText>
      </w:r>
      <w:r>
        <w:fldChar w:fldCharType="separate"/>
      </w:r>
      <w:r>
        <w:t>80</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Termination of strata scheme by unanimous resolution</w:t>
      </w:r>
      <w:r>
        <w:tab/>
      </w:r>
      <w:r>
        <w:fldChar w:fldCharType="begin"/>
      </w:r>
      <w:r>
        <w:instrText xml:space="preserve"> PAGEREF _Toc476927275 \h </w:instrText>
      </w:r>
      <w:r>
        <w:fldChar w:fldCharType="separate"/>
      </w:r>
      <w:r>
        <w:t>80</w:t>
      </w:r>
      <w:r>
        <w:fldChar w:fldCharType="end"/>
      </w:r>
    </w:p>
    <w:p>
      <w:pPr>
        <w:pStyle w:val="TOC8"/>
        <w:rPr>
          <w:rFonts w:asciiTheme="minorHAnsi" w:eastAsiaTheme="minorEastAsia" w:hAnsiTheme="minorHAnsi" w:cstheme="minorBidi"/>
          <w:szCs w:val="22"/>
        </w:rPr>
      </w:pPr>
      <w:r>
        <w:t>30A</w:t>
      </w:r>
      <w:r>
        <w:rPr>
          <w:snapToGrid w:val="0"/>
        </w:rPr>
        <w:t>.</w:t>
      </w:r>
      <w:r>
        <w:rPr>
          <w:snapToGrid w:val="0"/>
        </w:rPr>
        <w:tab/>
        <w:t>Termination of survey</w:t>
      </w:r>
      <w:r>
        <w:rPr>
          <w:snapToGrid w:val="0"/>
        </w:rPr>
        <w:noBreakHyphen/>
        <w:t>strata scheme by unanimous resolution</w:t>
      </w:r>
      <w:r>
        <w:tab/>
      </w:r>
      <w:r>
        <w:fldChar w:fldCharType="begin"/>
      </w:r>
      <w:r>
        <w:instrText xml:space="preserve"> PAGEREF _Toc476927276 \h </w:instrText>
      </w:r>
      <w:r>
        <w:fldChar w:fldCharType="separate"/>
      </w:r>
      <w:r>
        <w:t>81</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Termination of scheme by order of District Court</w:t>
      </w:r>
      <w:r>
        <w:tab/>
      </w:r>
      <w:r>
        <w:fldChar w:fldCharType="begin"/>
      </w:r>
      <w:r>
        <w:instrText xml:space="preserve"> PAGEREF _Toc476927277 \h </w:instrText>
      </w:r>
      <w:r>
        <w:fldChar w:fldCharType="separate"/>
      </w:r>
      <w:r>
        <w:t>82</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Conversion of strata schemes to survey</w:t>
      </w:r>
      <w:r>
        <w:noBreakHyphen/>
        <w:t>strata schemes</w:t>
      </w:r>
    </w:p>
    <w:p>
      <w:pPr>
        <w:pStyle w:val="TOC8"/>
        <w:rPr>
          <w:rFonts w:asciiTheme="minorHAnsi" w:eastAsiaTheme="minorEastAsia" w:hAnsiTheme="minorHAnsi" w:cstheme="minorBidi"/>
          <w:szCs w:val="22"/>
        </w:rPr>
      </w:pPr>
      <w:r>
        <w:t>31A</w:t>
      </w:r>
      <w:r>
        <w:rPr>
          <w:snapToGrid w:val="0"/>
        </w:rPr>
        <w:t>.</w:t>
      </w:r>
      <w:r>
        <w:rPr>
          <w:snapToGrid w:val="0"/>
        </w:rPr>
        <w:tab/>
        <w:t>Division only applies to single tier strata schemes registered before 1 January 1998</w:t>
      </w:r>
      <w:r>
        <w:tab/>
      </w:r>
      <w:r>
        <w:fldChar w:fldCharType="begin"/>
      </w:r>
      <w:r>
        <w:instrText xml:space="preserve"> PAGEREF _Toc476927279 \h </w:instrText>
      </w:r>
      <w:r>
        <w:fldChar w:fldCharType="separate"/>
      </w:r>
      <w:r>
        <w:t>85</w:t>
      </w:r>
      <w:r>
        <w:fldChar w:fldCharType="end"/>
      </w:r>
    </w:p>
    <w:p>
      <w:pPr>
        <w:pStyle w:val="TOC8"/>
        <w:rPr>
          <w:rFonts w:asciiTheme="minorHAnsi" w:eastAsiaTheme="minorEastAsia" w:hAnsiTheme="minorHAnsi" w:cstheme="minorBidi"/>
          <w:szCs w:val="22"/>
        </w:rPr>
      </w:pPr>
      <w:r>
        <w:t>31B</w:t>
      </w:r>
      <w:r>
        <w:rPr>
          <w:snapToGrid w:val="0"/>
        </w:rPr>
        <w:t>.</w:t>
      </w:r>
      <w:r>
        <w:rPr>
          <w:snapToGrid w:val="0"/>
        </w:rPr>
        <w:tab/>
        <w:t>Saving</w:t>
      </w:r>
      <w:r>
        <w:tab/>
      </w:r>
      <w:r>
        <w:fldChar w:fldCharType="begin"/>
      </w:r>
      <w:r>
        <w:instrText xml:space="preserve"> PAGEREF _Toc476927280 \h </w:instrText>
      </w:r>
      <w:r>
        <w:fldChar w:fldCharType="separate"/>
      </w:r>
      <w:r>
        <w:t>85</w:t>
      </w:r>
      <w:r>
        <w:fldChar w:fldCharType="end"/>
      </w:r>
    </w:p>
    <w:p>
      <w:pPr>
        <w:pStyle w:val="TOC8"/>
        <w:rPr>
          <w:rFonts w:asciiTheme="minorHAnsi" w:eastAsiaTheme="minorEastAsia" w:hAnsiTheme="minorHAnsi" w:cstheme="minorBidi"/>
          <w:szCs w:val="22"/>
        </w:rPr>
      </w:pPr>
      <w:r>
        <w:t>31C</w:t>
      </w:r>
      <w:r>
        <w:rPr>
          <w:snapToGrid w:val="0"/>
        </w:rPr>
        <w:t>.</w:t>
      </w:r>
      <w:r>
        <w:rPr>
          <w:snapToGrid w:val="0"/>
        </w:rPr>
        <w:tab/>
        <w:t>Resolution by strata company</w:t>
      </w:r>
      <w:r>
        <w:tab/>
      </w:r>
      <w:r>
        <w:fldChar w:fldCharType="begin"/>
      </w:r>
      <w:r>
        <w:instrText xml:space="preserve"> PAGEREF _Toc476927281 \h </w:instrText>
      </w:r>
      <w:r>
        <w:fldChar w:fldCharType="separate"/>
      </w:r>
      <w:r>
        <w:t>85</w:t>
      </w:r>
      <w:r>
        <w:fldChar w:fldCharType="end"/>
      </w:r>
    </w:p>
    <w:p>
      <w:pPr>
        <w:pStyle w:val="TOC8"/>
        <w:rPr>
          <w:rFonts w:asciiTheme="minorHAnsi" w:eastAsiaTheme="minorEastAsia" w:hAnsiTheme="minorHAnsi" w:cstheme="minorBidi"/>
          <w:szCs w:val="22"/>
        </w:rPr>
      </w:pPr>
      <w:r>
        <w:t>31D</w:t>
      </w:r>
      <w:r>
        <w:rPr>
          <w:snapToGrid w:val="0"/>
        </w:rPr>
        <w:t>.</w:t>
      </w:r>
      <w:r>
        <w:rPr>
          <w:snapToGrid w:val="0"/>
        </w:rPr>
        <w:tab/>
        <w:t>Notice of resolution may be lodged for registration</w:t>
      </w:r>
      <w:r>
        <w:tab/>
      </w:r>
      <w:r>
        <w:fldChar w:fldCharType="begin"/>
      </w:r>
      <w:r>
        <w:instrText xml:space="preserve"> PAGEREF _Toc476927282 \h </w:instrText>
      </w:r>
      <w:r>
        <w:fldChar w:fldCharType="separate"/>
      </w:r>
      <w:r>
        <w:t>86</w:t>
      </w:r>
      <w:r>
        <w:fldChar w:fldCharType="end"/>
      </w:r>
    </w:p>
    <w:p>
      <w:pPr>
        <w:pStyle w:val="TOC8"/>
        <w:rPr>
          <w:rFonts w:asciiTheme="minorHAnsi" w:eastAsiaTheme="minorEastAsia" w:hAnsiTheme="minorHAnsi" w:cstheme="minorBidi"/>
          <w:szCs w:val="22"/>
        </w:rPr>
      </w:pPr>
      <w:r>
        <w:t>31E</w:t>
      </w:r>
      <w:r>
        <w:rPr>
          <w:snapToGrid w:val="0"/>
        </w:rPr>
        <w:t>.</w:t>
      </w:r>
      <w:r>
        <w:rPr>
          <w:snapToGrid w:val="0"/>
        </w:rPr>
        <w:tab/>
        <w:t>Documents to accompany notice</w:t>
      </w:r>
      <w:r>
        <w:tab/>
      </w:r>
      <w:r>
        <w:fldChar w:fldCharType="begin"/>
      </w:r>
      <w:r>
        <w:instrText xml:space="preserve"> PAGEREF _Toc476927283 \h </w:instrText>
      </w:r>
      <w:r>
        <w:fldChar w:fldCharType="separate"/>
      </w:r>
      <w:r>
        <w:t>86</w:t>
      </w:r>
      <w:r>
        <w:fldChar w:fldCharType="end"/>
      </w:r>
    </w:p>
    <w:p>
      <w:pPr>
        <w:pStyle w:val="TOC8"/>
        <w:rPr>
          <w:rFonts w:asciiTheme="minorHAnsi" w:eastAsiaTheme="minorEastAsia" w:hAnsiTheme="minorHAnsi" w:cstheme="minorBidi"/>
          <w:szCs w:val="22"/>
        </w:rPr>
      </w:pPr>
      <w:r>
        <w:t>31F</w:t>
      </w:r>
      <w:r>
        <w:rPr>
          <w:snapToGrid w:val="0"/>
        </w:rPr>
        <w:t>.</w:t>
      </w:r>
      <w:r>
        <w:rPr>
          <w:snapToGrid w:val="0"/>
        </w:rPr>
        <w:tab/>
        <w:t>Certificate of licensed surveyor</w:t>
      </w:r>
      <w:r>
        <w:tab/>
      </w:r>
      <w:r>
        <w:fldChar w:fldCharType="begin"/>
      </w:r>
      <w:r>
        <w:instrText xml:space="preserve"> PAGEREF _Toc476927284 \h </w:instrText>
      </w:r>
      <w:r>
        <w:fldChar w:fldCharType="separate"/>
      </w:r>
      <w:r>
        <w:t>87</w:t>
      </w:r>
      <w:r>
        <w:fldChar w:fldCharType="end"/>
      </w:r>
    </w:p>
    <w:p>
      <w:pPr>
        <w:pStyle w:val="TOC8"/>
        <w:rPr>
          <w:rFonts w:asciiTheme="minorHAnsi" w:eastAsiaTheme="minorEastAsia" w:hAnsiTheme="minorHAnsi" w:cstheme="minorBidi"/>
          <w:szCs w:val="22"/>
        </w:rPr>
      </w:pPr>
      <w:r>
        <w:t>31G</w:t>
      </w:r>
      <w:r>
        <w:rPr>
          <w:snapToGrid w:val="0"/>
        </w:rPr>
        <w:t>.</w:t>
      </w:r>
      <w:r>
        <w:rPr>
          <w:snapToGrid w:val="0"/>
        </w:rPr>
        <w:tab/>
        <w:t>Creation of easements</w:t>
      </w:r>
      <w:r>
        <w:tab/>
      </w:r>
      <w:r>
        <w:fldChar w:fldCharType="begin"/>
      </w:r>
      <w:r>
        <w:instrText xml:space="preserve"> PAGEREF _Toc476927285 \h </w:instrText>
      </w:r>
      <w:r>
        <w:fldChar w:fldCharType="separate"/>
      </w:r>
      <w:r>
        <w:t>89</w:t>
      </w:r>
      <w:r>
        <w:fldChar w:fldCharType="end"/>
      </w:r>
    </w:p>
    <w:p>
      <w:pPr>
        <w:pStyle w:val="TOC8"/>
        <w:rPr>
          <w:rFonts w:asciiTheme="minorHAnsi" w:eastAsiaTheme="minorEastAsia" w:hAnsiTheme="minorHAnsi" w:cstheme="minorBidi"/>
          <w:szCs w:val="22"/>
        </w:rPr>
      </w:pPr>
      <w:r>
        <w:t>31H</w:t>
      </w:r>
      <w:r>
        <w:rPr>
          <w:snapToGrid w:val="0"/>
        </w:rPr>
        <w:t>.</w:t>
      </w:r>
      <w:r>
        <w:rPr>
          <w:snapToGrid w:val="0"/>
        </w:rPr>
        <w:tab/>
        <w:t>Transfers etc. to give effect to resolution</w:t>
      </w:r>
      <w:r>
        <w:tab/>
      </w:r>
      <w:r>
        <w:fldChar w:fldCharType="begin"/>
      </w:r>
      <w:r>
        <w:instrText xml:space="preserve"> PAGEREF _Toc476927286 \h </w:instrText>
      </w:r>
      <w:r>
        <w:fldChar w:fldCharType="separate"/>
      </w:r>
      <w:r>
        <w:t>89</w:t>
      </w:r>
      <w:r>
        <w:fldChar w:fldCharType="end"/>
      </w:r>
    </w:p>
    <w:p>
      <w:pPr>
        <w:pStyle w:val="TOC8"/>
        <w:rPr>
          <w:rFonts w:asciiTheme="minorHAnsi" w:eastAsiaTheme="minorEastAsia" w:hAnsiTheme="minorHAnsi" w:cstheme="minorBidi"/>
          <w:szCs w:val="22"/>
        </w:rPr>
      </w:pPr>
      <w:r>
        <w:t>31I</w:t>
      </w:r>
      <w:r>
        <w:rPr>
          <w:snapToGrid w:val="0"/>
        </w:rPr>
        <w:t>.</w:t>
      </w:r>
      <w:r>
        <w:rPr>
          <w:snapToGrid w:val="0"/>
        </w:rPr>
        <w:tab/>
        <w:t>Registration of notice of resolution</w:t>
      </w:r>
      <w:r>
        <w:tab/>
      </w:r>
      <w:r>
        <w:fldChar w:fldCharType="begin"/>
      </w:r>
      <w:r>
        <w:instrText xml:space="preserve"> PAGEREF _Toc476927287 \h </w:instrText>
      </w:r>
      <w:r>
        <w:fldChar w:fldCharType="separate"/>
      </w:r>
      <w:r>
        <w:t>90</w:t>
      </w:r>
      <w:r>
        <w:fldChar w:fldCharType="end"/>
      </w:r>
    </w:p>
    <w:p>
      <w:pPr>
        <w:pStyle w:val="TOC8"/>
        <w:rPr>
          <w:rFonts w:asciiTheme="minorHAnsi" w:eastAsiaTheme="minorEastAsia" w:hAnsiTheme="minorHAnsi" w:cstheme="minorBidi"/>
          <w:szCs w:val="22"/>
        </w:rPr>
      </w:pPr>
      <w:r>
        <w:t>31J</w:t>
      </w:r>
      <w:r>
        <w:rPr>
          <w:snapToGrid w:val="0"/>
        </w:rPr>
        <w:t>.</w:t>
      </w:r>
      <w:r>
        <w:rPr>
          <w:snapToGrid w:val="0"/>
        </w:rPr>
        <w:tab/>
        <w:t>Effect of registration</w:t>
      </w:r>
      <w:r>
        <w:tab/>
      </w:r>
      <w:r>
        <w:fldChar w:fldCharType="begin"/>
      </w:r>
      <w:r>
        <w:instrText xml:space="preserve"> PAGEREF _Toc476927288 \h </w:instrText>
      </w:r>
      <w:r>
        <w:fldChar w:fldCharType="separate"/>
      </w:r>
      <w:r>
        <w:t>90</w:t>
      </w:r>
      <w:r>
        <w:fldChar w:fldCharType="end"/>
      </w:r>
    </w:p>
    <w:p>
      <w:pPr>
        <w:pStyle w:val="TOC8"/>
        <w:rPr>
          <w:rFonts w:asciiTheme="minorHAnsi" w:eastAsiaTheme="minorEastAsia" w:hAnsiTheme="minorHAnsi" w:cstheme="minorBidi"/>
          <w:szCs w:val="22"/>
        </w:rPr>
      </w:pPr>
      <w:r>
        <w:t>31K</w:t>
      </w:r>
      <w:r>
        <w:rPr>
          <w:snapToGrid w:val="0"/>
        </w:rPr>
        <w:t>.</w:t>
      </w:r>
      <w:r>
        <w:rPr>
          <w:snapToGrid w:val="0"/>
        </w:rPr>
        <w:tab/>
        <w:t>Registrar of Titles to make necessary amendments</w:t>
      </w:r>
      <w:r>
        <w:tab/>
      </w:r>
      <w:r>
        <w:fldChar w:fldCharType="begin"/>
      </w:r>
      <w:r>
        <w:instrText xml:space="preserve"> PAGEREF _Toc476927289 \h </w:instrText>
      </w:r>
      <w:r>
        <w:fldChar w:fldCharType="separate"/>
      </w:r>
      <w:r>
        <w:t>91</w:t>
      </w:r>
      <w:r>
        <w:fldChar w:fldCharType="end"/>
      </w:r>
    </w:p>
    <w:p>
      <w:pPr>
        <w:pStyle w:val="TOC2"/>
        <w:tabs>
          <w:tab w:val="right" w:leader="dot" w:pos="7077"/>
        </w:tabs>
        <w:rPr>
          <w:rFonts w:asciiTheme="minorHAnsi" w:eastAsiaTheme="minorEastAsia" w:hAnsiTheme="minorHAnsi" w:cstheme="minorBidi"/>
          <w:b w:val="0"/>
          <w:sz w:val="22"/>
          <w:szCs w:val="22"/>
        </w:rPr>
      </w:pPr>
      <w:r>
        <w:t>Part IV — Management</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Strata companies</w:t>
      </w:r>
    </w:p>
    <w:p>
      <w:pPr>
        <w:pStyle w:val="TOC8"/>
        <w:rPr>
          <w:rFonts w:asciiTheme="minorHAnsi" w:eastAsiaTheme="minorEastAsia" w:hAnsiTheme="minorHAnsi" w:cstheme="minorBidi"/>
          <w:szCs w:val="22"/>
        </w:rPr>
      </w:pPr>
      <w:r>
        <w:t>32</w:t>
      </w:r>
      <w:r>
        <w:rPr>
          <w:snapToGrid w:val="0"/>
        </w:rPr>
        <w:t>.</w:t>
      </w:r>
      <w:r>
        <w:rPr>
          <w:snapToGrid w:val="0"/>
        </w:rPr>
        <w:tab/>
        <w:t>Incorporation of proprietors</w:t>
      </w:r>
      <w:r>
        <w:tab/>
      </w:r>
      <w:r>
        <w:fldChar w:fldCharType="begin"/>
      </w:r>
      <w:r>
        <w:instrText xml:space="preserve"> PAGEREF _Toc476927292 \h </w:instrText>
      </w:r>
      <w:r>
        <w:fldChar w:fldCharType="separate"/>
      </w:r>
      <w:r>
        <w:t>92</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Strata company is representative of proprietors in proceedings</w:t>
      </w:r>
      <w:r>
        <w:tab/>
      </w:r>
      <w:r>
        <w:fldChar w:fldCharType="begin"/>
      </w:r>
      <w:r>
        <w:instrText xml:space="preserve"> PAGEREF _Toc476927293 \h </w:instrText>
      </w:r>
      <w:r>
        <w:fldChar w:fldCharType="separate"/>
      </w:r>
      <w:r>
        <w:t>93</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Contract formalities</w:t>
      </w:r>
      <w:r>
        <w:tab/>
      </w:r>
      <w:r>
        <w:fldChar w:fldCharType="begin"/>
      </w:r>
      <w:r>
        <w:instrText xml:space="preserve"> PAGEREF _Toc476927294 \h </w:instrText>
      </w:r>
      <w:r>
        <w:fldChar w:fldCharType="separate"/>
      </w:r>
      <w:r>
        <w:t>93</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Duties of strata companies</w:t>
      </w:r>
      <w:r>
        <w:tab/>
      </w:r>
      <w:r>
        <w:fldChar w:fldCharType="begin"/>
      </w:r>
      <w:r>
        <w:instrText xml:space="preserve"> PAGEREF _Toc476927295 \h </w:instrText>
      </w:r>
      <w:r>
        <w:fldChar w:fldCharType="separate"/>
      </w:r>
      <w:r>
        <w:t>94</w:t>
      </w:r>
      <w:r>
        <w:fldChar w:fldCharType="end"/>
      </w:r>
    </w:p>
    <w:p>
      <w:pPr>
        <w:pStyle w:val="TOC8"/>
        <w:rPr>
          <w:rFonts w:asciiTheme="minorHAnsi" w:eastAsiaTheme="minorEastAsia" w:hAnsiTheme="minorHAnsi" w:cstheme="minorBidi"/>
          <w:szCs w:val="22"/>
        </w:rPr>
      </w:pPr>
      <w:r>
        <w:t>35A</w:t>
      </w:r>
      <w:r>
        <w:rPr>
          <w:snapToGrid w:val="0"/>
        </w:rPr>
        <w:t>.</w:t>
      </w:r>
      <w:r>
        <w:rPr>
          <w:snapToGrid w:val="0"/>
        </w:rPr>
        <w:tab/>
        <w:t>Roll to be kept by strata company</w:t>
      </w:r>
      <w:r>
        <w:tab/>
      </w:r>
      <w:r>
        <w:fldChar w:fldCharType="begin"/>
      </w:r>
      <w:r>
        <w:instrText xml:space="preserve"> PAGEREF _Toc476927296 \h </w:instrText>
      </w:r>
      <w:r>
        <w:fldChar w:fldCharType="separate"/>
      </w:r>
      <w:r>
        <w:t>96</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Levy of contributions on proprietors</w:t>
      </w:r>
      <w:r>
        <w:tab/>
      </w:r>
      <w:r>
        <w:fldChar w:fldCharType="begin"/>
      </w:r>
      <w:r>
        <w:instrText xml:space="preserve"> PAGEREF _Toc476927297 \h </w:instrText>
      </w:r>
      <w:r>
        <w:fldChar w:fldCharType="separate"/>
      </w:r>
      <w:r>
        <w:t>97</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Certain provisions do not apply to companies for two</w:t>
      </w:r>
      <w:r>
        <w:rPr>
          <w:snapToGrid w:val="0"/>
        </w:rPr>
        <w:noBreakHyphen/>
        <w:t>lot schemes</w:t>
      </w:r>
      <w:r>
        <w:tab/>
      </w:r>
      <w:r>
        <w:fldChar w:fldCharType="begin"/>
      </w:r>
      <w:r>
        <w:instrText xml:space="preserve"> PAGEREF _Toc476927298 \h </w:instrText>
      </w:r>
      <w:r>
        <w:fldChar w:fldCharType="separate"/>
      </w:r>
      <w:r>
        <w:t>99</w:t>
      </w:r>
      <w:r>
        <w:fldChar w:fldCharType="end"/>
      </w:r>
    </w:p>
    <w:p>
      <w:pPr>
        <w:pStyle w:val="TOC8"/>
        <w:rPr>
          <w:rFonts w:asciiTheme="minorHAnsi" w:eastAsiaTheme="minorEastAsia" w:hAnsiTheme="minorHAnsi" w:cstheme="minorBidi"/>
          <w:szCs w:val="22"/>
        </w:rPr>
      </w:pPr>
      <w:r>
        <w:t>36B</w:t>
      </w:r>
      <w:r>
        <w:rPr>
          <w:snapToGrid w:val="0"/>
        </w:rPr>
        <w:t>.</w:t>
      </w:r>
      <w:r>
        <w:rPr>
          <w:snapToGrid w:val="0"/>
        </w:rPr>
        <w:tab/>
        <w:t>Certain provisions may be excluded for 3, 4 or 5 lot schemes</w:t>
      </w:r>
      <w:r>
        <w:tab/>
      </w:r>
      <w:r>
        <w:fldChar w:fldCharType="begin"/>
      </w:r>
      <w:r>
        <w:instrText xml:space="preserve"> PAGEREF _Toc476927299 \h </w:instrText>
      </w:r>
      <w:r>
        <w:fldChar w:fldCharType="separate"/>
      </w:r>
      <w:r>
        <w:t>100</w:t>
      </w:r>
      <w:r>
        <w:fldChar w:fldCharType="end"/>
      </w:r>
    </w:p>
    <w:p>
      <w:pPr>
        <w:pStyle w:val="TOC8"/>
        <w:rPr>
          <w:rFonts w:asciiTheme="minorHAnsi" w:eastAsiaTheme="minorEastAsia" w:hAnsiTheme="minorHAnsi" w:cstheme="minorBidi"/>
          <w:szCs w:val="22"/>
        </w:rPr>
      </w:pPr>
      <w:r>
        <w:t>37</w:t>
      </w:r>
      <w:r>
        <w:rPr>
          <w:snapToGrid w:val="0"/>
        </w:rPr>
        <w:t>.</w:t>
      </w:r>
      <w:r>
        <w:rPr>
          <w:snapToGrid w:val="0"/>
        </w:rPr>
        <w:tab/>
        <w:t>Powers of strata company</w:t>
      </w:r>
      <w:r>
        <w:tab/>
      </w:r>
      <w:r>
        <w:fldChar w:fldCharType="begin"/>
      </w:r>
      <w:r>
        <w:instrText xml:space="preserve"> PAGEREF _Toc476927300 \h </w:instrText>
      </w:r>
      <w:r>
        <w:fldChar w:fldCharType="separate"/>
      </w:r>
      <w:r>
        <w:t>101</w:t>
      </w:r>
      <w:r>
        <w:fldChar w:fldCharType="end"/>
      </w:r>
    </w:p>
    <w:p>
      <w:pPr>
        <w:pStyle w:val="TOC8"/>
        <w:rPr>
          <w:rFonts w:asciiTheme="minorHAnsi" w:eastAsiaTheme="minorEastAsia" w:hAnsiTheme="minorHAnsi" w:cstheme="minorBidi"/>
          <w:szCs w:val="22"/>
        </w:rPr>
      </w:pPr>
      <w:r>
        <w:t>38</w:t>
      </w:r>
      <w:r>
        <w:rPr>
          <w:snapToGrid w:val="0"/>
        </w:rPr>
        <w:t>.</w:t>
      </w:r>
      <w:r>
        <w:rPr>
          <w:snapToGrid w:val="0"/>
        </w:rPr>
        <w:tab/>
        <w:t>Power of strata company to carry out work</w:t>
      </w:r>
      <w:r>
        <w:tab/>
      </w:r>
      <w:r>
        <w:fldChar w:fldCharType="begin"/>
      </w:r>
      <w:r>
        <w:instrText xml:space="preserve"> PAGEREF _Toc476927301 \h </w:instrText>
      </w:r>
      <w:r>
        <w:fldChar w:fldCharType="separate"/>
      </w:r>
      <w:r>
        <w:t>102</w:t>
      </w:r>
      <w:r>
        <w:fldChar w:fldCharType="end"/>
      </w:r>
    </w:p>
    <w:p>
      <w:pPr>
        <w:pStyle w:val="TOC8"/>
        <w:rPr>
          <w:rFonts w:asciiTheme="minorHAnsi" w:eastAsiaTheme="minorEastAsia" w:hAnsiTheme="minorHAnsi" w:cstheme="minorBidi"/>
          <w:szCs w:val="22"/>
        </w:rPr>
      </w:pPr>
      <w:r>
        <w:t>39</w:t>
      </w:r>
      <w:r>
        <w:rPr>
          <w:snapToGrid w:val="0"/>
        </w:rPr>
        <w:t>.</w:t>
      </w:r>
      <w:r>
        <w:rPr>
          <w:snapToGrid w:val="0"/>
        </w:rPr>
        <w:tab/>
        <w:t>Power of strata company to enter</w:t>
      </w:r>
      <w:r>
        <w:tab/>
      </w:r>
      <w:r>
        <w:fldChar w:fldCharType="begin"/>
      </w:r>
      <w:r>
        <w:instrText xml:space="preserve"> PAGEREF _Toc476927302 \h </w:instrText>
      </w:r>
      <w:r>
        <w:fldChar w:fldCharType="separate"/>
      </w:r>
      <w:r>
        <w:t>103</w:t>
      </w:r>
      <w:r>
        <w:fldChar w:fldCharType="end"/>
      </w:r>
    </w:p>
    <w:p>
      <w:pPr>
        <w:pStyle w:val="TOC8"/>
        <w:rPr>
          <w:rFonts w:asciiTheme="minorHAnsi" w:eastAsiaTheme="minorEastAsia" w:hAnsiTheme="minorHAnsi" w:cstheme="minorBidi"/>
          <w:szCs w:val="22"/>
        </w:rPr>
      </w:pPr>
      <w:r>
        <w:t>39A</w:t>
      </w:r>
      <w:r>
        <w:rPr>
          <w:snapToGrid w:val="0"/>
        </w:rPr>
        <w:t>.</w:t>
      </w:r>
      <w:r>
        <w:rPr>
          <w:snapToGrid w:val="0"/>
        </w:rPr>
        <w:tab/>
        <w:t>Power to terminate certain contracts for services</w:t>
      </w:r>
      <w:r>
        <w:tab/>
      </w:r>
      <w:r>
        <w:fldChar w:fldCharType="begin"/>
      </w:r>
      <w:r>
        <w:instrText xml:space="preserve"> PAGEREF _Toc476927303 \h </w:instrText>
      </w:r>
      <w:r>
        <w:fldChar w:fldCharType="separate"/>
      </w:r>
      <w:r>
        <w:t>104</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Change of strata company’s address for service</w:t>
      </w:r>
      <w:r>
        <w:tab/>
      </w:r>
      <w:r>
        <w:fldChar w:fldCharType="begin"/>
      </w:r>
      <w:r>
        <w:instrText xml:space="preserve"> PAGEREF _Toc476927304 \h </w:instrText>
      </w:r>
      <w:r>
        <w:fldChar w:fldCharType="separate"/>
      </w:r>
      <w:r>
        <w:t>106</w:t>
      </w:r>
      <w:r>
        <w:fldChar w:fldCharType="end"/>
      </w:r>
    </w:p>
    <w:p>
      <w:pPr>
        <w:pStyle w:val="TOC8"/>
        <w:rPr>
          <w:rFonts w:asciiTheme="minorHAnsi" w:eastAsiaTheme="minorEastAsia" w:hAnsiTheme="minorHAnsi" w:cstheme="minorBidi"/>
          <w:szCs w:val="22"/>
        </w:rPr>
      </w:pPr>
      <w:r>
        <w:t>41</w:t>
      </w:r>
      <w:r>
        <w:rPr>
          <w:snapToGrid w:val="0"/>
        </w:rPr>
        <w:t>.</w:t>
      </w:r>
      <w:r>
        <w:rPr>
          <w:snapToGrid w:val="0"/>
        </w:rPr>
        <w:tab/>
        <w:t>Change of name of strata company</w:t>
      </w:r>
      <w:r>
        <w:tab/>
      </w:r>
      <w:r>
        <w:fldChar w:fldCharType="begin"/>
      </w:r>
      <w:r>
        <w:instrText xml:space="preserve"> PAGEREF _Toc476927305 \h </w:instrText>
      </w:r>
      <w:r>
        <w:fldChar w:fldCharType="separate"/>
      </w:r>
      <w:r>
        <w:t>106</w:t>
      </w:r>
      <w:r>
        <w:fldChar w:fldCharType="end"/>
      </w:r>
    </w:p>
    <w:p>
      <w:pPr>
        <w:pStyle w:val="TOC8"/>
        <w:rPr>
          <w:rFonts w:asciiTheme="minorHAnsi" w:eastAsiaTheme="minorEastAsia" w:hAnsiTheme="minorHAnsi" w:cstheme="minorBidi"/>
          <w:szCs w:val="22"/>
        </w:rPr>
      </w:pPr>
      <w:r>
        <w:t>42</w:t>
      </w:r>
      <w:r>
        <w:rPr>
          <w:snapToGrid w:val="0"/>
        </w:rPr>
        <w:t>.</w:t>
      </w:r>
      <w:r>
        <w:rPr>
          <w:snapToGrid w:val="0"/>
        </w:rPr>
        <w:tab/>
        <w:t>By</w:t>
      </w:r>
      <w:r>
        <w:rPr>
          <w:snapToGrid w:val="0"/>
        </w:rPr>
        <w:noBreakHyphen/>
        <w:t>laws</w:t>
      </w:r>
      <w:r>
        <w:tab/>
      </w:r>
      <w:r>
        <w:fldChar w:fldCharType="begin"/>
      </w:r>
      <w:r>
        <w:instrText xml:space="preserve"> PAGEREF _Toc476927306 \h </w:instrText>
      </w:r>
      <w:r>
        <w:fldChar w:fldCharType="separate"/>
      </w:r>
      <w:r>
        <w:t>107</w:t>
      </w:r>
      <w:r>
        <w:fldChar w:fldCharType="end"/>
      </w:r>
    </w:p>
    <w:p>
      <w:pPr>
        <w:pStyle w:val="TOC8"/>
        <w:rPr>
          <w:rFonts w:asciiTheme="minorHAnsi" w:eastAsiaTheme="minorEastAsia" w:hAnsiTheme="minorHAnsi" w:cstheme="minorBidi"/>
          <w:szCs w:val="22"/>
        </w:rPr>
      </w:pPr>
      <w:r>
        <w:t>42A</w:t>
      </w:r>
      <w:r>
        <w:rPr>
          <w:snapToGrid w:val="0"/>
        </w:rPr>
        <w:t>.</w:t>
      </w:r>
      <w:r>
        <w:rPr>
          <w:snapToGrid w:val="0"/>
        </w:rPr>
        <w:tab/>
        <w:t>By</w:t>
      </w:r>
      <w:r>
        <w:rPr>
          <w:snapToGrid w:val="0"/>
        </w:rPr>
        <w:noBreakHyphen/>
        <w:t>laws may provide for penalties</w:t>
      </w:r>
      <w:r>
        <w:tab/>
      </w:r>
      <w:r>
        <w:fldChar w:fldCharType="begin"/>
      </w:r>
      <w:r>
        <w:instrText xml:space="preserve"> PAGEREF _Toc476927307 \h </w:instrText>
      </w:r>
      <w:r>
        <w:fldChar w:fldCharType="separate"/>
      </w:r>
      <w:r>
        <w:t>112</w:t>
      </w:r>
      <w:r>
        <w:fldChar w:fldCharType="end"/>
      </w:r>
    </w:p>
    <w:p>
      <w:pPr>
        <w:pStyle w:val="TOC8"/>
        <w:rPr>
          <w:rFonts w:asciiTheme="minorHAnsi" w:eastAsiaTheme="minorEastAsia" w:hAnsiTheme="minorHAnsi" w:cstheme="minorBidi"/>
          <w:szCs w:val="22"/>
        </w:rPr>
      </w:pPr>
      <w:r>
        <w:t>42B</w:t>
      </w:r>
      <w:r>
        <w:rPr>
          <w:snapToGrid w:val="0"/>
        </w:rPr>
        <w:t>.</w:t>
      </w:r>
      <w:r>
        <w:rPr>
          <w:snapToGrid w:val="0"/>
        </w:rPr>
        <w:tab/>
        <w:t>By</w:t>
      </w:r>
      <w:r>
        <w:rPr>
          <w:snapToGrid w:val="0"/>
        </w:rPr>
        <w:noBreakHyphen/>
        <w:t>laws may provide for different basis for levying contributions</w:t>
      </w:r>
      <w:r>
        <w:tab/>
      </w:r>
      <w:r>
        <w:fldChar w:fldCharType="begin"/>
      </w:r>
      <w:r>
        <w:instrText xml:space="preserve"> PAGEREF _Toc476927308 \h </w:instrText>
      </w:r>
      <w:r>
        <w:fldChar w:fldCharType="separate"/>
      </w:r>
      <w:r>
        <w:t>112</w:t>
      </w:r>
      <w:r>
        <w:fldChar w:fldCharType="end"/>
      </w:r>
    </w:p>
    <w:p>
      <w:pPr>
        <w:pStyle w:val="TOC8"/>
        <w:rPr>
          <w:rFonts w:asciiTheme="minorHAnsi" w:eastAsiaTheme="minorEastAsia" w:hAnsiTheme="minorHAnsi" w:cstheme="minorBidi"/>
          <w:szCs w:val="22"/>
        </w:rPr>
      </w:pPr>
      <w:r>
        <w:t>42C</w:t>
      </w:r>
      <w:r>
        <w:rPr>
          <w:snapToGrid w:val="0"/>
        </w:rPr>
        <w:t>.</w:t>
      </w:r>
      <w:r>
        <w:rPr>
          <w:snapToGrid w:val="0"/>
        </w:rPr>
        <w:tab/>
        <w:t>Transitional provision</w:t>
      </w:r>
      <w:r>
        <w:tab/>
      </w:r>
      <w:r>
        <w:fldChar w:fldCharType="begin"/>
      </w:r>
      <w:r>
        <w:instrText xml:space="preserve"> PAGEREF _Toc476927309 \h </w:instrText>
      </w:r>
      <w:r>
        <w:fldChar w:fldCharType="separate"/>
      </w:r>
      <w:r>
        <w:t>112</w:t>
      </w:r>
      <w:r>
        <w:fldChar w:fldCharType="end"/>
      </w:r>
    </w:p>
    <w:p>
      <w:pPr>
        <w:pStyle w:val="TOC8"/>
        <w:rPr>
          <w:rFonts w:asciiTheme="minorHAnsi" w:eastAsiaTheme="minorEastAsia" w:hAnsiTheme="minorHAnsi" w:cstheme="minorBidi"/>
          <w:szCs w:val="22"/>
        </w:rPr>
      </w:pPr>
      <w:r>
        <w:t>43</w:t>
      </w:r>
      <w:r>
        <w:rPr>
          <w:snapToGrid w:val="0"/>
        </w:rPr>
        <w:t>.</w:t>
      </w:r>
      <w:r>
        <w:rPr>
          <w:snapToGrid w:val="0"/>
        </w:rPr>
        <w:tab/>
        <w:t>Supply of information and certificates by strata company</w:t>
      </w:r>
      <w:r>
        <w:tab/>
      </w:r>
      <w:r>
        <w:fldChar w:fldCharType="begin"/>
      </w:r>
      <w:r>
        <w:instrText xml:space="preserve"> PAGEREF _Toc476927310 \h </w:instrText>
      </w:r>
      <w:r>
        <w:fldChar w:fldCharType="separate"/>
      </w:r>
      <w:r>
        <w:t>113</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Councils</w:t>
      </w:r>
    </w:p>
    <w:p>
      <w:pPr>
        <w:pStyle w:val="TOC8"/>
        <w:rPr>
          <w:rFonts w:asciiTheme="minorHAnsi" w:eastAsiaTheme="minorEastAsia" w:hAnsiTheme="minorHAnsi" w:cstheme="minorBidi"/>
          <w:szCs w:val="22"/>
        </w:rPr>
      </w:pPr>
      <w:r>
        <w:t>44</w:t>
      </w:r>
      <w:r>
        <w:rPr>
          <w:snapToGrid w:val="0"/>
        </w:rPr>
        <w:t>.</w:t>
      </w:r>
      <w:r>
        <w:rPr>
          <w:snapToGrid w:val="0"/>
        </w:rPr>
        <w:tab/>
        <w:t>Functions of councils</w:t>
      </w:r>
      <w:r>
        <w:tab/>
      </w:r>
      <w:r>
        <w:fldChar w:fldCharType="begin"/>
      </w:r>
      <w:r>
        <w:instrText xml:space="preserve"> PAGEREF _Toc476927312 \h </w:instrText>
      </w:r>
      <w:r>
        <w:fldChar w:fldCharType="separate"/>
      </w:r>
      <w:r>
        <w:t>117</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Corporate body may be chairman, secretary, treasurer or council member</w:t>
      </w:r>
      <w:r>
        <w:tab/>
      </w:r>
      <w:r>
        <w:fldChar w:fldCharType="begin"/>
      </w:r>
      <w:r>
        <w:instrText xml:space="preserve"> PAGEREF _Toc476927313 \h </w:instrText>
      </w:r>
      <w:r>
        <w:fldChar w:fldCharType="separate"/>
      </w:r>
      <w:r>
        <w:t>117</w:t>
      </w:r>
      <w:r>
        <w:fldChar w:fldCharType="end"/>
      </w:r>
    </w:p>
    <w:p>
      <w:pPr>
        <w:pStyle w:val="TOC8"/>
        <w:rPr>
          <w:rFonts w:asciiTheme="minorHAnsi" w:eastAsiaTheme="minorEastAsia" w:hAnsiTheme="minorHAnsi" w:cstheme="minorBidi"/>
          <w:szCs w:val="22"/>
        </w:rPr>
      </w:pPr>
      <w:r>
        <w:t>46</w:t>
      </w:r>
      <w:r>
        <w:rPr>
          <w:snapToGrid w:val="0"/>
        </w:rPr>
        <w:t>.</w:t>
      </w:r>
      <w:r>
        <w:rPr>
          <w:snapToGrid w:val="0"/>
        </w:rPr>
        <w:tab/>
        <w:t>Performance of functions where no council or no quorum</w:t>
      </w:r>
      <w:r>
        <w:tab/>
      </w:r>
      <w:r>
        <w:fldChar w:fldCharType="begin"/>
      </w:r>
      <w:r>
        <w:instrText xml:space="preserve"> PAGEREF _Toc476927314 \h </w:instrText>
      </w:r>
      <w:r>
        <w:fldChar w:fldCharType="separate"/>
      </w:r>
      <w:r>
        <w:t>117</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Restrictions on powers of expenditure</w:t>
      </w:r>
      <w:r>
        <w:tab/>
      </w:r>
      <w:r>
        <w:fldChar w:fldCharType="begin"/>
      </w:r>
      <w:r>
        <w:instrText xml:space="preserve"> PAGEREF _Toc476927315 \h </w:instrText>
      </w:r>
      <w:r>
        <w:fldChar w:fldCharType="separate"/>
      </w:r>
      <w:r>
        <w:t>118</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Recovery of books and records by council</w:t>
      </w:r>
      <w:r>
        <w:tab/>
      </w:r>
      <w:r>
        <w:fldChar w:fldCharType="begin"/>
      </w:r>
      <w:r>
        <w:instrText xml:space="preserve"> PAGEREF _Toc476927316 \h </w:instrText>
      </w:r>
      <w:r>
        <w:fldChar w:fldCharType="separate"/>
      </w:r>
      <w:r>
        <w:t>119</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Meetings</w:t>
      </w:r>
    </w:p>
    <w:p>
      <w:pPr>
        <w:pStyle w:val="TOC8"/>
        <w:rPr>
          <w:rFonts w:asciiTheme="minorHAnsi" w:eastAsiaTheme="minorEastAsia" w:hAnsiTheme="minorHAnsi" w:cstheme="minorBidi"/>
          <w:szCs w:val="22"/>
        </w:rPr>
      </w:pPr>
      <w:r>
        <w:t>49</w:t>
      </w:r>
      <w:r>
        <w:rPr>
          <w:snapToGrid w:val="0"/>
        </w:rPr>
        <w:t>.</w:t>
      </w:r>
      <w:r>
        <w:rPr>
          <w:snapToGrid w:val="0"/>
        </w:rPr>
        <w:tab/>
        <w:t>First annual general meeting</w:t>
      </w:r>
      <w:r>
        <w:tab/>
      </w:r>
      <w:r>
        <w:fldChar w:fldCharType="begin"/>
      </w:r>
      <w:r>
        <w:instrText xml:space="preserve"> PAGEREF _Toc476927318 \h </w:instrText>
      </w:r>
      <w:r>
        <w:fldChar w:fldCharType="separate"/>
      </w:r>
      <w:r>
        <w:t>120</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Voting at meetings</w:t>
      </w:r>
      <w:r>
        <w:tab/>
      </w:r>
      <w:r>
        <w:fldChar w:fldCharType="begin"/>
      </w:r>
      <w:r>
        <w:instrText xml:space="preserve"> PAGEREF _Toc476927319 \h </w:instrText>
      </w:r>
      <w:r>
        <w:fldChar w:fldCharType="separate"/>
      </w:r>
      <w:r>
        <w:t>121</w:t>
      </w:r>
      <w:r>
        <w:fldChar w:fldCharType="end"/>
      </w:r>
    </w:p>
    <w:p>
      <w:pPr>
        <w:pStyle w:val="TOC8"/>
        <w:rPr>
          <w:rFonts w:asciiTheme="minorHAnsi" w:eastAsiaTheme="minorEastAsia" w:hAnsiTheme="minorHAnsi" w:cstheme="minorBidi"/>
          <w:szCs w:val="22"/>
        </w:rPr>
      </w:pPr>
      <w:r>
        <w:t>50A</w:t>
      </w:r>
      <w:r>
        <w:rPr>
          <w:snapToGrid w:val="0"/>
        </w:rPr>
        <w:t>.</w:t>
      </w:r>
      <w:r>
        <w:rPr>
          <w:snapToGrid w:val="0"/>
        </w:rPr>
        <w:tab/>
        <w:t>Disqualification from voting as proxy</w:t>
      </w:r>
      <w:r>
        <w:tab/>
      </w:r>
      <w:r>
        <w:fldChar w:fldCharType="begin"/>
      </w:r>
      <w:r>
        <w:instrText xml:space="preserve"> PAGEREF _Toc476927320 \h </w:instrText>
      </w:r>
      <w:r>
        <w:fldChar w:fldCharType="separate"/>
      </w:r>
      <w:r>
        <w:t>122</w:t>
      </w:r>
      <w:r>
        <w:fldChar w:fldCharType="end"/>
      </w:r>
    </w:p>
    <w:p>
      <w:pPr>
        <w:pStyle w:val="TOC8"/>
        <w:rPr>
          <w:rFonts w:asciiTheme="minorHAnsi" w:eastAsiaTheme="minorEastAsia" w:hAnsiTheme="minorHAnsi" w:cstheme="minorBidi"/>
          <w:szCs w:val="22"/>
        </w:rPr>
      </w:pPr>
      <w:r>
        <w:t>50B</w:t>
      </w:r>
      <w:r>
        <w:rPr>
          <w:snapToGrid w:val="0"/>
        </w:rPr>
        <w:t>.</w:t>
      </w:r>
      <w:r>
        <w:rPr>
          <w:snapToGrid w:val="0"/>
        </w:rPr>
        <w:tab/>
        <w:t>Quorum for meeting of strata company for two</w:t>
      </w:r>
      <w:r>
        <w:rPr>
          <w:snapToGrid w:val="0"/>
        </w:rPr>
        <w:noBreakHyphen/>
        <w:t>lot scheme</w:t>
      </w:r>
      <w:r>
        <w:tab/>
      </w:r>
      <w:r>
        <w:fldChar w:fldCharType="begin"/>
      </w:r>
      <w:r>
        <w:instrText xml:space="preserve"> PAGEREF _Toc476927321 \h </w:instrText>
      </w:r>
      <w:r>
        <w:fldChar w:fldCharType="separate"/>
      </w:r>
      <w:r>
        <w:t>124</w:t>
      </w:r>
      <w:r>
        <w:fldChar w:fldCharType="end"/>
      </w:r>
    </w:p>
    <w:p>
      <w:pPr>
        <w:pStyle w:val="TOC8"/>
        <w:rPr>
          <w:rFonts w:asciiTheme="minorHAnsi" w:eastAsiaTheme="minorEastAsia" w:hAnsiTheme="minorHAnsi" w:cstheme="minorBidi"/>
          <w:szCs w:val="22"/>
        </w:rPr>
      </w:pPr>
      <w:r>
        <w:t>51</w:t>
      </w:r>
      <w:r>
        <w:rPr>
          <w:snapToGrid w:val="0"/>
        </w:rPr>
        <w:t>.</w:t>
      </w:r>
      <w:r>
        <w:rPr>
          <w:snapToGrid w:val="0"/>
        </w:rPr>
        <w:tab/>
        <w:t>Relief where unanimous resolution or resolution without dissent required</w:t>
      </w:r>
      <w:r>
        <w:tab/>
      </w:r>
      <w:r>
        <w:fldChar w:fldCharType="begin"/>
      </w:r>
      <w:r>
        <w:instrText xml:space="preserve"> PAGEREF _Toc476927322 \h </w:instrText>
      </w:r>
      <w:r>
        <w:fldChar w:fldCharType="separate"/>
      </w:r>
      <w:r>
        <w:t>124</w:t>
      </w:r>
      <w:r>
        <w:fldChar w:fldCharType="end"/>
      </w:r>
    </w:p>
    <w:p>
      <w:pPr>
        <w:pStyle w:val="TOC8"/>
        <w:rPr>
          <w:rFonts w:asciiTheme="minorHAnsi" w:eastAsiaTheme="minorEastAsia" w:hAnsiTheme="minorHAnsi" w:cstheme="minorBidi"/>
          <w:szCs w:val="22"/>
        </w:rPr>
      </w:pPr>
      <w:r>
        <w:t>51A</w:t>
      </w:r>
      <w:r>
        <w:rPr>
          <w:snapToGrid w:val="0"/>
        </w:rPr>
        <w:t>.</w:t>
      </w:r>
      <w:r>
        <w:rPr>
          <w:snapToGrid w:val="0"/>
        </w:rPr>
        <w:tab/>
        <w:t>Relief where unanimous resolution required for two</w:t>
      </w:r>
      <w:r>
        <w:rPr>
          <w:snapToGrid w:val="0"/>
        </w:rPr>
        <w:noBreakHyphen/>
        <w:t>lot scheme</w:t>
      </w:r>
      <w:r>
        <w:tab/>
      </w:r>
      <w:r>
        <w:fldChar w:fldCharType="begin"/>
      </w:r>
      <w:r>
        <w:instrText xml:space="preserve"> PAGEREF _Toc476927323 \h </w:instrText>
      </w:r>
      <w:r>
        <w:fldChar w:fldCharType="separate"/>
      </w:r>
      <w:r>
        <w:t>125</w:t>
      </w:r>
      <w:r>
        <w:fldChar w:fldCharType="end"/>
      </w:r>
    </w:p>
    <w:p>
      <w:pPr>
        <w:pStyle w:val="TOC8"/>
        <w:rPr>
          <w:rFonts w:asciiTheme="minorHAnsi" w:eastAsiaTheme="minorEastAsia" w:hAnsiTheme="minorHAnsi" w:cstheme="minorBidi"/>
          <w:szCs w:val="22"/>
        </w:rPr>
      </w:pPr>
      <w:r>
        <w:t>52</w:t>
      </w:r>
      <w:r>
        <w:rPr>
          <w:snapToGrid w:val="0"/>
        </w:rPr>
        <w:t>.</w:t>
      </w:r>
      <w:r>
        <w:rPr>
          <w:snapToGrid w:val="0"/>
        </w:rPr>
        <w:tab/>
        <w:t>Performance of functions by proprietors in general meeting</w:t>
      </w:r>
      <w:r>
        <w:tab/>
      </w:r>
      <w:r>
        <w:fldChar w:fldCharType="begin"/>
      </w:r>
      <w:r>
        <w:instrText xml:space="preserve"> PAGEREF _Toc476927324 \h </w:instrText>
      </w:r>
      <w:r>
        <w:fldChar w:fldCharType="separate"/>
      </w:r>
      <w:r>
        <w:t>126</w:t>
      </w:r>
      <w:r>
        <w:fldChar w:fldCharType="end"/>
      </w:r>
    </w:p>
    <w:p>
      <w:pPr>
        <w:pStyle w:val="TOC4"/>
        <w:tabs>
          <w:tab w:val="right" w:leader="dot" w:pos="7077"/>
        </w:tabs>
        <w:rPr>
          <w:rFonts w:asciiTheme="minorHAnsi" w:eastAsiaTheme="minorEastAsia" w:hAnsiTheme="minorHAnsi" w:cstheme="minorBidi"/>
          <w:b w:val="0"/>
          <w:szCs w:val="22"/>
        </w:rPr>
      </w:pPr>
      <w:r>
        <w:t>Division 4</w:t>
      </w:r>
      <w:r>
        <w:rPr>
          <w:snapToGrid w:val="0"/>
        </w:rPr>
        <w:t> — </w:t>
      </w:r>
      <w:r>
        <w:t>Insurance</w:t>
      </w:r>
    </w:p>
    <w:p>
      <w:pPr>
        <w:pStyle w:val="TOC6"/>
        <w:tabs>
          <w:tab w:val="right" w:leader="dot" w:pos="7077"/>
        </w:tabs>
        <w:rPr>
          <w:rFonts w:asciiTheme="minorHAnsi" w:eastAsiaTheme="minorEastAsia" w:hAnsiTheme="minorHAnsi" w:cstheme="minorBidi"/>
          <w:b w:val="0"/>
          <w:sz w:val="22"/>
          <w:szCs w:val="22"/>
        </w:rPr>
      </w:pPr>
      <w:r>
        <w:t>Subdivision 1 — Preliminary</w:t>
      </w:r>
    </w:p>
    <w:p>
      <w:pPr>
        <w:pStyle w:val="TOC8"/>
        <w:rPr>
          <w:rFonts w:asciiTheme="minorHAnsi" w:eastAsiaTheme="minorEastAsia" w:hAnsiTheme="minorHAnsi" w:cstheme="minorBidi"/>
          <w:szCs w:val="22"/>
        </w:rPr>
      </w:pPr>
      <w:r>
        <w:t>53</w:t>
      </w:r>
      <w:r>
        <w:rPr>
          <w:snapToGrid w:val="0"/>
        </w:rPr>
        <w:t>.</w:t>
      </w:r>
      <w:r>
        <w:rPr>
          <w:snapToGrid w:val="0"/>
        </w:rPr>
        <w:tab/>
        <w:t>Terms used</w:t>
      </w:r>
      <w:r>
        <w:tab/>
      </w:r>
      <w:r>
        <w:fldChar w:fldCharType="begin"/>
      </w:r>
      <w:r>
        <w:instrText xml:space="preserve"> PAGEREF _Toc476927327 \h </w:instrText>
      </w:r>
      <w:r>
        <w:fldChar w:fldCharType="separate"/>
      </w:r>
      <w:r>
        <w:t>126</w:t>
      </w:r>
      <w:r>
        <w:fldChar w:fldCharType="end"/>
      </w:r>
    </w:p>
    <w:p>
      <w:pPr>
        <w:pStyle w:val="TOC6"/>
        <w:tabs>
          <w:tab w:val="right" w:leader="dot" w:pos="7077"/>
        </w:tabs>
        <w:rPr>
          <w:rFonts w:asciiTheme="minorHAnsi" w:eastAsiaTheme="minorEastAsia" w:hAnsiTheme="minorHAnsi" w:cstheme="minorBidi"/>
          <w:b w:val="0"/>
          <w:sz w:val="22"/>
          <w:szCs w:val="22"/>
        </w:rPr>
      </w:pPr>
      <w:r>
        <w:t>Subdivision 2 — Insurance in single tier strata schemes</w:t>
      </w:r>
    </w:p>
    <w:p>
      <w:pPr>
        <w:pStyle w:val="TOC8"/>
        <w:rPr>
          <w:rFonts w:asciiTheme="minorHAnsi" w:eastAsiaTheme="minorEastAsia" w:hAnsiTheme="minorHAnsi" w:cstheme="minorBidi"/>
          <w:szCs w:val="22"/>
        </w:rPr>
      </w:pPr>
      <w:r>
        <w:t>53A</w:t>
      </w:r>
      <w:r>
        <w:rPr>
          <w:snapToGrid w:val="0"/>
        </w:rPr>
        <w:t>.</w:t>
      </w:r>
      <w:r>
        <w:rPr>
          <w:snapToGrid w:val="0"/>
        </w:rPr>
        <w:tab/>
        <w:t>Application of this Subdivision</w:t>
      </w:r>
      <w:r>
        <w:tab/>
      </w:r>
      <w:r>
        <w:fldChar w:fldCharType="begin"/>
      </w:r>
      <w:r>
        <w:instrText xml:space="preserve"> PAGEREF _Toc476927329 \h </w:instrText>
      </w:r>
      <w:r>
        <w:fldChar w:fldCharType="separate"/>
      </w:r>
      <w:r>
        <w:t>127</w:t>
      </w:r>
      <w:r>
        <w:fldChar w:fldCharType="end"/>
      </w:r>
    </w:p>
    <w:p>
      <w:pPr>
        <w:pStyle w:val="TOC8"/>
        <w:rPr>
          <w:rFonts w:asciiTheme="minorHAnsi" w:eastAsiaTheme="minorEastAsia" w:hAnsiTheme="minorHAnsi" w:cstheme="minorBidi"/>
          <w:szCs w:val="22"/>
        </w:rPr>
      </w:pPr>
      <w:r>
        <w:t>53B</w:t>
      </w:r>
      <w:r>
        <w:rPr>
          <w:snapToGrid w:val="0"/>
        </w:rPr>
        <w:t>.</w:t>
      </w:r>
      <w:r>
        <w:rPr>
          <w:snapToGrid w:val="0"/>
        </w:rPr>
        <w:tab/>
        <w:t>Insurance for lots in single tier strata schemes</w:t>
      </w:r>
      <w:r>
        <w:tab/>
      </w:r>
      <w:r>
        <w:fldChar w:fldCharType="begin"/>
      </w:r>
      <w:r>
        <w:instrText xml:space="preserve"> PAGEREF _Toc476927330 \h </w:instrText>
      </w:r>
      <w:r>
        <w:fldChar w:fldCharType="separate"/>
      </w:r>
      <w:r>
        <w:t>128</w:t>
      </w:r>
      <w:r>
        <w:fldChar w:fldCharType="end"/>
      </w:r>
    </w:p>
    <w:p>
      <w:pPr>
        <w:pStyle w:val="TOC8"/>
        <w:rPr>
          <w:rFonts w:asciiTheme="minorHAnsi" w:eastAsiaTheme="minorEastAsia" w:hAnsiTheme="minorHAnsi" w:cstheme="minorBidi"/>
          <w:szCs w:val="22"/>
        </w:rPr>
      </w:pPr>
      <w:r>
        <w:t>53C</w:t>
      </w:r>
      <w:r>
        <w:rPr>
          <w:snapToGrid w:val="0"/>
        </w:rPr>
        <w:t>.</w:t>
      </w:r>
      <w:r>
        <w:rPr>
          <w:snapToGrid w:val="0"/>
        </w:rPr>
        <w:tab/>
        <w:t>Insurance for common property in single tier strata schemes</w:t>
      </w:r>
      <w:r>
        <w:tab/>
      </w:r>
      <w:r>
        <w:fldChar w:fldCharType="begin"/>
      </w:r>
      <w:r>
        <w:instrText xml:space="preserve"> PAGEREF _Toc476927331 \h </w:instrText>
      </w:r>
      <w:r>
        <w:fldChar w:fldCharType="separate"/>
      </w:r>
      <w:r>
        <w:t>128</w:t>
      </w:r>
      <w:r>
        <w:fldChar w:fldCharType="end"/>
      </w:r>
    </w:p>
    <w:p>
      <w:pPr>
        <w:pStyle w:val="TOC8"/>
        <w:rPr>
          <w:rFonts w:asciiTheme="minorHAnsi" w:eastAsiaTheme="minorEastAsia" w:hAnsiTheme="minorHAnsi" w:cstheme="minorBidi"/>
          <w:szCs w:val="22"/>
        </w:rPr>
      </w:pPr>
      <w:r>
        <w:t>53D</w:t>
      </w:r>
      <w:r>
        <w:rPr>
          <w:snapToGrid w:val="0"/>
        </w:rPr>
        <w:t>.</w:t>
      </w:r>
      <w:r>
        <w:rPr>
          <w:snapToGrid w:val="0"/>
        </w:rPr>
        <w:tab/>
        <w:t>Strata company’s obligations where it has an insurance function in single tier strata schemes</w:t>
      </w:r>
      <w:r>
        <w:tab/>
      </w:r>
      <w:r>
        <w:fldChar w:fldCharType="begin"/>
      </w:r>
      <w:r>
        <w:instrText xml:space="preserve"> PAGEREF _Toc476927332 \h </w:instrText>
      </w:r>
      <w:r>
        <w:fldChar w:fldCharType="separate"/>
      </w:r>
      <w:r>
        <w:t>130</w:t>
      </w:r>
      <w:r>
        <w:fldChar w:fldCharType="end"/>
      </w:r>
    </w:p>
    <w:p>
      <w:pPr>
        <w:pStyle w:val="TOC8"/>
        <w:rPr>
          <w:rFonts w:asciiTheme="minorHAnsi" w:eastAsiaTheme="minorEastAsia" w:hAnsiTheme="minorHAnsi" w:cstheme="minorBidi"/>
          <w:szCs w:val="22"/>
        </w:rPr>
      </w:pPr>
      <w:r>
        <w:t>53E</w:t>
      </w:r>
      <w:r>
        <w:rPr>
          <w:snapToGrid w:val="0"/>
        </w:rPr>
        <w:t>.</w:t>
      </w:r>
      <w:r>
        <w:rPr>
          <w:snapToGrid w:val="0"/>
        </w:rPr>
        <w:tab/>
        <w:t>Recovery of premium by strata company or proprietor where no administrative fund in single tier strata schemes</w:t>
      </w:r>
      <w:r>
        <w:tab/>
      </w:r>
      <w:r>
        <w:fldChar w:fldCharType="begin"/>
      </w:r>
      <w:r>
        <w:instrText xml:space="preserve"> PAGEREF _Toc476927333 \h </w:instrText>
      </w:r>
      <w:r>
        <w:fldChar w:fldCharType="separate"/>
      </w:r>
      <w:r>
        <w:t>131</w:t>
      </w:r>
      <w:r>
        <w:fldChar w:fldCharType="end"/>
      </w:r>
    </w:p>
    <w:p>
      <w:pPr>
        <w:pStyle w:val="TOC6"/>
        <w:tabs>
          <w:tab w:val="right" w:leader="dot" w:pos="7077"/>
        </w:tabs>
        <w:rPr>
          <w:rFonts w:asciiTheme="minorHAnsi" w:eastAsiaTheme="minorEastAsia" w:hAnsiTheme="minorHAnsi" w:cstheme="minorBidi"/>
          <w:b w:val="0"/>
          <w:sz w:val="22"/>
          <w:szCs w:val="22"/>
        </w:rPr>
      </w:pPr>
      <w:r>
        <w:t>Subdivision 3 — Insurance in schemes other than single tier strata schemes</w:t>
      </w:r>
    </w:p>
    <w:p>
      <w:pPr>
        <w:pStyle w:val="TOC8"/>
        <w:rPr>
          <w:rFonts w:asciiTheme="minorHAnsi" w:eastAsiaTheme="minorEastAsia" w:hAnsiTheme="minorHAnsi" w:cstheme="minorBidi"/>
          <w:szCs w:val="22"/>
        </w:rPr>
      </w:pPr>
      <w:r>
        <w:t>54</w:t>
      </w:r>
      <w:r>
        <w:rPr>
          <w:snapToGrid w:val="0"/>
        </w:rPr>
        <w:t>.</w:t>
      </w:r>
      <w:r>
        <w:rPr>
          <w:snapToGrid w:val="0"/>
        </w:rPr>
        <w:tab/>
        <w:t>Insurance of buildings and strata companies</w:t>
      </w:r>
      <w:r>
        <w:tab/>
      </w:r>
      <w:r>
        <w:fldChar w:fldCharType="begin"/>
      </w:r>
      <w:r>
        <w:instrText xml:space="preserve"> PAGEREF _Toc476927335 \h </w:instrText>
      </w:r>
      <w:r>
        <w:fldChar w:fldCharType="separate"/>
      </w:r>
      <w:r>
        <w:t>132</w:t>
      </w:r>
      <w:r>
        <w:fldChar w:fldCharType="end"/>
      </w:r>
    </w:p>
    <w:p>
      <w:pPr>
        <w:pStyle w:val="TOC6"/>
        <w:tabs>
          <w:tab w:val="right" w:leader="dot" w:pos="7077"/>
        </w:tabs>
        <w:rPr>
          <w:rFonts w:asciiTheme="minorHAnsi" w:eastAsiaTheme="minorEastAsia" w:hAnsiTheme="minorHAnsi" w:cstheme="minorBidi"/>
          <w:b w:val="0"/>
          <w:sz w:val="22"/>
          <w:szCs w:val="22"/>
        </w:rPr>
      </w:pPr>
      <w:r>
        <w:t>Subdivision 4 — Insurance provisions applicable to all schemes</w:t>
      </w:r>
    </w:p>
    <w:p>
      <w:pPr>
        <w:pStyle w:val="TOC8"/>
        <w:rPr>
          <w:rFonts w:asciiTheme="minorHAnsi" w:eastAsiaTheme="minorEastAsia" w:hAnsiTheme="minorHAnsi" w:cstheme="minorBidi"/>
          <w:szCs w:val="22"/>
        </w:rPr>
      </w:pPr>
      <w:r>
        <w:t>54A</w:t>
      </w:r>
      <w:r>
        <w:rPr>
          <w:snapToGrid w:val="0"/>
        </w:rPr>
        <w:t>.</w:t>
      </w:r>
      <w:r>
        <w:rPr>
          <w:snapToGrid w:val="0"/>
        </w:rPr>
        <w:tab/>
        <w:t>Where insurance cover refused, proprietor may be required to take action</w:t>
      </w:r>
      <w:r>
        <w:tab/>
      </w:r>
      <w:r>
        <w:fldChar w:fldCharType="begin"/>
      </w:r>
      <w:r>
        <w:instrText xml:space="preserve"> PAGEREF _Toc476927337 \h </w:instrText>
      </w:r>
      <w:r>
        <w:fldChar w:fldCharType="separate"/>
      </w:r>
      <w:r>
        <w:t>133</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Further insurance by strata company and actions by proprietor against strata company</w:t>
      </w:r>
      <w:r>
        <w:tab/>
      </w:r>
      <w:r>
        <w:fldChar w:fldCharType="begin"/>
      </w:r>
      <w:r>
        <w:instrText xml:space="preserve"> PAGEREF _Toc476927338 \h </w:instrText>
      </w:r>
      <w:r>
        <w:fldChar w:fldCharType="separate"/>
      </w:r>
      <w:r>
        <w:t>134</w:t>
      </w:r>
      <w:r>
        <w:fldChar w:fldCharType="end"/>
      </w:r>
    </w:p>
    <w:p>
      <w:pPr>
        <w:pStyle w:val="TOC8"/>
        <w:rPr>
          <w:rFonts w:asciiTheme="minorHAnsi" w:eastAsiaTheme="minorEastAsia" w:hAnsiTheme="minorHAnsi" w:cstheme="minorBidi"/>
          <w:szCs w:val="22"/>
        </w:rPr>
      </w:pPr>
      <w:r>
        <w:t>55A</w:t>
      </w:r>
      <w:r>
        <w:rPr>
          <w:snapToGrid w:val="0"/>
        </w:rPr>
        <w:t>.</w:t>
      </w:r>
      <w:r>
        <w:rPr>
          <w:snapToGrid w:val="0"/>
        </w:rPr>
        <w:tab/>
        <w:t>Proprietor liable for increased insurance premium in certain cases</w:t>
      </w:r>
      <w:r>
        <w:tab/>
      </w:r>
      <w:r>
        <w:fldChar w:fldCharType="begin"/>
      </w:r>
      <w:r>
        <w:instrText xml:space="preserve"> PAGEREF _Toc476927339 \h </w:instrText>
      </w:r>
      <w:r>
        <w:fldChar w:fldCharType="separate"/>
      </w:r>
      <w:r>
        <w:t>134</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Insurance by proprietor</w:t>
      </w:r>
      <w:r>
        <w:tab/>
      </w:r>
      <w:r>
        <w:fldChar w:fldCharType="begin"/>
      </w:r>
      <w:r>
        <w:instrText xml:space="preserve"> PAGEREF _Toc476927340 \h </w:instrText>
      </w:r>
      <w:r>
        <w:fldChar w:fldCharType="separate"/>
      </w:r>
      <w:r>
        <w:t>135</w:t>
      </w:r>
      <w:r>
        <w:fldChar w:fldCharType="end"/>
      </w:r>
    </w:p>
    <w:p>
      <w:pPr>
        <w:pStyle w:val="TOC8"/>
        <w:rPr>
          <w:rFonts w:asciiTheme="minorHAnsi" w:eastAsiaTheme="minorEastAsia" w:hAnsiTheme="minorHAnsi" w:cstheme="minorBidi"/>
          <w:szCs w:val="22"/>
        </w:rPr>
      </w:pPr>
      <w:r>
        <w:t>56A</w:t>
      </w:r>
      <w:r>
        <w:rPr>
          <w:snapToGrid w:val="0"/>
        </w:rPr>
        <w:t>.</w:t>
      </w:r>
      <w:r>
        <w:rPr>
          <w:snapToGrid w:val="0"/>
        </w:rPr>
        <w:tab/>
        <w:t>Proprietor may insure if strata company in default</w:t>
      </w:r>
      <w:r>
        <w:tab/>
      </w:r>
      <w:r>
        <w:fldChar w:fldCharType="begin"/>
      </w:r>
      <w:r>
        <w:instrText xml:space="preserve"> PAGEREF _Toc476927341 \h </w:instrText>
      </w:r>
      <w:r>
        <w:fldChar w:fldCharType="separate"/>
      </w:r>
      <w:r>
        <w:t>135</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Insurance of mortgaged lot</w:t>
      </w:r>
      <w:r>
        <w:tab/>
      </w:r>
      <w:r>
        <w:fldChar w:fldCharType="begin"/>
      </w:r>
      <w:r>
        <w:instrText xml:space="preserve"> PAGEREF _Toc476927342 \h </w:instrText>
      </w:r>
      <w:r>
        <w:fldChar w:fldCharType="separate"/>
      </w:r>
      <w:r>
        <w:t>135</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Insurable interest</w:t>
      </w:r>
      <w:r>
        <w:tab/>
      </w:r>
      <w:r>
        <w:fldChar w:fldCharType="begin"/>
      </w:r>
      <w:r>
        <w:instrText xml:space="preserve"> PAGEREF _Toc476927343 \h </w:instrText>
      </w:r>
      <w:r>
        <w:fldChar w:fldCharType="separate"/>
      </w:r>
      <w:r>
        <w:t>137</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Application of insurance moneys to rebuilding</w:t>
      </w:r>
      <w:r>
        <w:tab/>
      </w:r>
      <w:r>
        <w:fldChar w:fldCharType="begin"/>
      </w:r>
      <w:r>
        <w:instrText xml:space="preserve"> PAGEREF _Toc476927344 \h </w:instrText>
      </w:r>
      <w:r>
        <w:fldChar w:fldCharType="separate"/>
      </w:r>
      <w:r>
        <w:t>137</w:t>
      </w:r>
      <w:r>
        <w:fldChar w:fldCharType="end"/>
      </w:r>
    </w:p>
    <w:p>
      <w:pPr>
        <w:pStyle w:val="TOC4"/>
        <w:tabs>
          <w:tab w:val="right" w:leader="dot" w:pos="7077"/>
        </w:tabs>
        <w:rPr>
          <w:rFonts w:asciiTheme="minorHAnsi" w:eastAsiaTheme="minorEastAsia" w:hAnsiTheme="minorHAnsi" w:cstheme="minorBidi"/>
          <w:b w:val="0"/>
          <w:szCs w:val="22"/>
        </w:rPr>
      </w:pPr>
      <w:r>
        <w:t>Division 5</w:t>
      </w:r>
      <w:r>
        <w:rPr>
          <w:snapToGrid w:val="0"/>
        </w:rPr>
        <w:t> — </w:t>
      </w:r>
      <w:r>
        <w:t>Rates, taxes and charges</w:t>
      </w:r>
    </w:p>
    <w:p>
      <w:pPr>
        <w:pStyle w:val="TOC8"/>
        <w:rPr>
          <w:rFonts w:asciiTheme="minorHAnsi" w:eastAsiaTheme="minorEastAsia" w:hAnsiTheme="minorHAnsi" w:cstheme="minorBidi"/>
          <w:szCs w:val="22"/>
        </w:rPr>
      </w:pPr>
      <w:r>
        <w:t>60</w:t>
      </w:r>
      <w:r>
        <w:rPr>
          <w:snapToGrid w:val="0"/>
        </w:rPr>
        <w:t>.</w:t>
      </w:r>
      <w:r>
        <w:rPr>
          <w:snapToGrid w:val="0"/>
        </w:rPr>
        <w:tab/>
        <w:t>Delivery of plans to authorities</w:t>
      </w:r>
      <w:r>
        <w:tab/>
      </w:r>
      <w:r>
        <w:fldChar w:fldCharType="begin"/>
      </w:r>
      <w:r>
        <w:instrText xml:space="preserve"> PAGEREF _Toc476927346 \h </w:instrText>
      </w:r>
      <w:r>
        <w:fldChar w:fldCharType="separate"/>
      </w:r>
      <w:r>
        <w:t>137</w:t>
      </w:r>
      <w:r>
        <w:fldChar w:fldCharType="end"/>
      </w:r>
    </w:p>
    <w:p>
      <w:pPr>
        <w:pStyle w:val="TOC8"/>
        <w:rPr>
          <w:rFonts w:asciiTheme="minorHAnsi" w:eastAsiaTheme="minorEastAsia" w:hAnsiTheme="minorHAnsi" w:cstheme="minorBidi"/>
          <w:szCs w:val="22"/>
        </w:rPr>
      </w:pPr>
      <w:r>
        <w:t>61</w:t>
      </w:r>
      <w:r>
        <w:rPr>
          <w:snapToGrid w:val="0"/>
        </w:rPr>
        <w:t>.</w:t>
      </w:r>
      <w:r>
        <w:rPr>
          <w:snapToGrid w:val="0"/>
        </w:rPr>
        <w:tab/>
        <w:t>Particulars on plan to be conclusive for rating and taxing purposes</w:t>
      </w:r>
      <w:r>
        <w:tab/>
      </w:r>
      <w:r>
        <w:fldChar w:fldCharType="begin"/>
      </w:r>
      <w:r>
        <w:instrText xml:space="preserve"> PAGEREF _Toc476927347 \h </w:instrText>
      </w:r>
      <w:r>
        <w:fldChar w:fldCharType="separate"/>
      </w:r>
      <w:r>
        <w:t>138</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Rating on unimproved value</w:t>
      </w:r>
      <w:r>
        <w:tab/>
      </w:r>
      <w:r>
        <w:fldChar w:fldCharType="begin"/>
      </w:r>
      <w:r>
        <w:instrText xml:space="preserve"> PAGEREF _Toc476927348 \h </w:instrText>
      </w:r>
      <w:r>
        <w:fldChar w:fldCharType="separate"/>
      </w:r>
      <w:r>
        <w:t>138</w:t>
      </w:r>
      <w:r>
        <w:fldChar w:fldCharType="end"/>
      </w:r>
    </w:p>
    <w:p>
      <w:pPr>
        <w:pStyle w:val="TOC8"/>
        <w:rPr>
          <w:rFonts w:asciiTheme="minorHAnsi" w:eastAsiaTheme="minorEastAsia" w:hAnsiTheme="minorHAnsi" w:cstheme="minorBidi"/>
          <w:szCs w:val="22"/>
        </w:rPr>
      </w:pPr>
      <w:r>
        <w:t>62A</w:t>
      </w:r>
      <w:r>
        <w:rPr>
          <w:snapToGrid w:val="0"/>
        </w:rPr>
        <w:t>.</w:t>
      </w:r>
      <w:r>
        <w:rPr>
          <w:snapToGrid w:val="0"/>
        </w:rPr>
        <w:tab/>
        <w:t>Rating for survey</w:t>
      </w:r>
      <w:r>
        <w:rPr>
          <w:snapToGrid w:val="0"/>
        </w:rPr>
        <w:noBreakHyphen/>
        <w:t>strata schemes</w:t>
      </w:r>
      <w:r>
        <w:tab/>
      </w:r>
      <w:r>
        <w:fldChar w:fldCharType="begin"/>
      </w:r>
      <w:r>
        <w:instrText xml:space="preserve"> PAGEREF _Toc476927349 \h </w:instrText>
      </w:r>
      <w:r>
        <w:fldChar w:fldCharType="separate"/>
      </w:r>
      <w:r>
        <w:t>140</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Rating on gross rental value</w:t>
      </w:r>
      <w:r>
        <w:tab/>
      </w:r>
      <w:r>
        <w:fldChar w:fldCharType="begin"/>
      </w:r>
      <w:r>
        <w:instrText xml:space="preserve"> PAGEREF _Toc476927350 \h </w:instrText>
      </w:r>
      <w:r>
        <w:fldChar w:fldCharType="separate"/>
      </w:r>
      <w:r>
        <w:t>141</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Proprietor may seek a review of unimproved value of parcel</w:t>
      </w:r>
      <w:r>
        <w:tab/>
      </w:r>
      <w:r>
        <w:fldChar w:fldCharType="begin"/>
      </w:r>
      <w:r>
        <w:instrText xml:space="preserve"> PAGEREF _Toc476927351 \h </w:instrText>
      </w:r>
      <w:r>
        <w:fldChar w:fldCharType="separate"/>
      </w:r>
      <w:r>
        <w:t>141</w:t>
      </w:r>
      <w:r>
        <w:fldChar w:fldCharType="end"/>
      </w:r>
    </w:p>
    <w:p>
      <w:pPr>
        <w:pStyle w:val="TOC8"/>
        <w:rPr>
          <w:rFonts w:asciiTheme="minorHAnsi" w:eastAsiaTheme="minorEastAsia" w:hAnsiTheme="minorHAnsi" w:cstheme="minorBidi"/>
          <w:szCs w:val="22"/>
        </w:rPr>
      </w:pPr>
      <w:r>
        <w:t>65</w:t>
      </w:r>
      <w:r>
        <w:rPr>
          <w:snapToGrid w:val="0"/>
        </w:rPr>
        <w:t>.</w:t>
      </w:r>
      <w:r>
        <w:rPr>
          <w:snapToGrid w:val="0"/>
        </w:rPr>
        <w:tab/>
        <w:t>Land tax and metropolitan region improvement tax</w:t>
      </w:r>
      <w:r>
        <w:tab/>
      </w:r>
      <w:r>
        <w:fldChar w:fldCharType="begin"/>
      </w:r>
      <w:r>
        <w:instrText xml:space="preserve"> PAGEREF _Toc476927352 \h </w:instrText>
      </w:r>
      <w:r>
        <w:fldChar w:fldCharType="separate"/>
      </w:r>
      <w:r>
        <w:t>142</w:t>
      </w:r>
      <w:r>
        <w:fldChar w:fldCharType="end"/>
      </w:r>
    </w:p>
    <w:p>
      <w:pPr>
        <w:pStyle w:val="TOC8"/>
        <w:rPr>
          <w:rFonts w:asciiTheme="minorHAnsi" w:eastAsiaTheme="minorEastAsia" w:hAnsiTheme="minorHAnsi" w:cstheme="minorBidi"/>
          <w:szCs w:val="22"/>
        </w:rPr>
      </w:pPr>
      <w:r>
        <w:t>65A</w:t>
      </w:r>
      <w:r>
        <w:rPr>
          <w:snapToGrid w:val="0"/>
        </w:rPr>
        <w:t>.</w:t>
      </w:r>
      <w:r>
        <w:rPr>
          <w:snapToGrid w:val="0"/>
        </w:rPr>
        <w:tab/>
        <w:t>Land tax etc. for survey</w:t>
      </w:r>
      <w:r>
        <w:rPr>
          <w:snapToGrid w:val="0"/>
        </w:rPr>
        <w:noBreakHyphen/>
        <w:t>strata schemes</w:t>
      </w:r>
      <w:r>
        <w:tab/>
      </w:r>
      <w:r>
        <w:fldChar w:fldCharType="begin"/>
      </w:r>
      <w:r>
        <w:instrText xml:space="preserve"> PAGEREF _Toc476927353 \h </w:instrText>
      </w:r>
      <w:r>
        <w:fldChar w:fldCharType="separate"/>
      </w:r>
      <w:r>
        <w:t>143</w:t>
      </w:r>
      <w:r>
        <w:fldChar w:fldCharType="end"/>
      </w:r>
    </w:p>
    <w:p>
      <w:pPr>
        <w:pStyle w:val="TOC8"/>
        <w:rPr>
          <w:rFonts w:asciiTheme="minorHAnsi" w:eastAsiaTheme="minorEastAsia" w:hAnsiTheme="minorHAnsi" w:cstheme="minorBidi"/>
          <w:szCs w:val="22"/>
        </w:rPr>
      </w:pPr>
      <w:r>
        <w:t>66</w:t>
      </w:r>
      <w:r>
        <w:rPr>
          <w:snapToGrid w:val="0"/>
        </w:rPr>
        <w:t>.</w:t>
      </w:r>
      <w:r>
        <w:rPr>
          <w:snapToGrid w:val="0"/>
        </w:rPr>
        <w:tab/>
        <w:t>Charges for water supplied</w:t>
      </w:r>
      <w:r>
        <w:tab/>
      </w:r>
      <w:r>
        <w:fldChar w:fldCharType="begin"/>
      </w:r>
      <w:r>
        <w:instrText xml:space="preserve"> PAGEREF _Toc476927354 \h </w:instrText>
      </w:r>
      <w:r>
        <w:fldChar w:fldCharType="separate"/>
      </w:r>
      <w:r>
        <w:t>143</w:t>
      </w:r>
      <w:r>
        <w:fldChar w:fldCharType="end"/>
      </w:r>
    </w:p>
    <w:p>
      <w:pPr>
        <w:pStyle w:val="TOC8"/>
        <w:rPr>
          <w:rFonts w:asciiTheme="minorHAnsi" w:eastAsiaTheme="minorEastAsia" w:hAnsiTheme="minorHAnsi" w:cstheme="minorBidi"/>
          <w:szCs w:val="22"/>
        </w:rPr>
      </w:pPr>
      <w:r>
        <w:t>67.</w:t>
      </w:r>
      <w:r>
        <w:tab/>
        <w:t xml:space="preserve">Water service charges under the </w:t>
      </w:r>
      <w:r>
        <w:rPr>
          <w:i/>
          <w:iCs/>
        </w:rPr>
        <w:t>Water Services Act 2012</w:t>
      </w:r>
      <w:r>
        <w:tab/>
      </w:r>
      <w:r>
        <w:fldChar w:fldCharType="begin"/>
      </w:r>
      <w:r>
        <w:instrText xml:space="preserve"> PAGEREF _Toc476927355 \h </w:instrText>
      </w:r>
      <w:r>
        <w:fldChar w:fldCharType="separate"/>
      </w:r>
      <w:r>
        <w:t>143</w:t>
      </w:r>
      <w:r>
        <w:fldChar w:fldCharType="end"/>
      </w:r>
    </w:p>
    <w:p>
      <w:pPr>
        <w:pStyle w:val="TOC2"/>
        <w:tabs>
          <w:tab w:val="right" w:leader="dot" w:pos="7077"/>
        </w:tabs>
        <w:rPr>
          <w:rFonts w:asciiTheme="minorHAnsi" w:eastAsiaTheme="minorEastAsia" w:hAnsiTheme="minorHAnsi" w:cstheme="minorBidi"/>
          <w:b w:val="0"/>
          <w:sz w:val="22"/>
          <w:szCs w:val="22"/>
        </w:rPr>
      </w:pPr>
      <w:r>
        <w:t>Part V — Protection of purchasers</w:t>
      </w:r>
    </w:p>
    <w:p>
      <w:pPr>
        <w:pStyle w:val="TOC8"/>
        <w:rPr>
          <w:rFonts w:asciiTheme="minorHAnsi" w:eastAsiaTheme="minorEastAsia" w:hAnsiTheme="minorHAnsi" w:cstheme="minorBidi"/>
          <w:szCs w:val="22"/>
        </w:rPr>
      </w:pPr>
      <w:r>
        <w:t>68</w:t>
      </w:r>
      <w:r>
        <w:rPr>
          <w:snapToGrid w:val="0"/>
        </w:rPr>
        <w:t>.</w:t>
      </w:r>
      <w:r>
        <w:rPr>
          <w:snapToGrid w:val="0"/>
        </w:rPr>
        <w:tab/>
        <w:t>Terms used</w:t>
      </w:r>
      <w:r>
        <w:tab/>
      </w:r>
      <w:r>
        <w:fldChar w:fldCharType="begin"/>
      </w:r>
      <w:r>
        <w:instrText xml:space="preserve"> PAGEREF _Toc476927357 \h </w:instrText>
      </w:r>
      <w:r>
        <w:fldChar w:fldCharType="separate"/>
      </w:r>
      <w:r>
        <w:t>145</w:t>
      </w:r>
      <w:r>
        <w:fldChar w:fldCharType="end"/>
      </w:r>
    </w:p>
    <w:p>
      <w:pPr>
        <w:pStyle w:val="TOC8"/>
        <w:rPr>
          <w:rFonts w:asciiTheme="minorHAnsi" w:eastAsiaTheme="minorEastAsia" w:hAnsiTheme="minorHAnsi" w:cstheme="minorBidi"/>
          <w:szCs w:val="22"/>
        </w:rPr>
      </w:pPr>
      <w:r>
        <w:t>69</w:t>
      </w:r>
      <w:r>
        <w:rPr>
          <w:snapToGrid w:val="0"/>
        </w:rPr>
        <w:t>.</w:t>
      </w:r>
      <w:r>
        <w:rPr>
          <w:snapToGrid w:val="0"/>
        </w:rPr>
        <w:tab/>
        <w:t>Information to be given to purchaser</w:t>
      </w:r>
      <w:r>
        <w:tab/>
      </w:r>
      <w:r>
        <w:fldChar w:fldCharType="begin"/>
      </w:r>
      <w:r>
        <w:instrText xml:space="preserve"> PAGEREF _Toc476927358 \h </w:instrText>
      </w:r>
      <w:r>
        <w:fldChar w:fldCharType="separate"/>
      </w:r>
      <w:r>
        <w:t>145</w:t>
      </w:r>
      <w:r>
        <w:fldChar w:fldCharType="end"/>
      </w:r>
    </w:p>
    <w:p>
      <w:pPr>
        <w:pStyle w:val="TOC8"/>
        <w:rPr>
          <w:rFonts w:asciiTheme="minorHAnsi" w:eastAsiaTheme="minorEastAsia" w:hAnsiTheme="minorHAnsi" w:cstheme="minorBidi"/>
          <w:szCs w:val="22"/>
        </w:rPr>
      </w:pPr>
      <w:r>
        <w:t>69A</w:t>
      </w:r>
      <w:r>
        <w:rPr>
          <w:snapToGrid w:val="0"/>
        </w:rPr>
        <w:t>.</w:t>
      </w:r>
      <w:r>
        <w:rPr>
          <w:snapToGrid w:val="0"/>
        </w:rPr>
        <w:tab/>
        <w:t>Notifiable information, to be given by every vendor</w:t>
      </w:r>
      <w:r>
        <w:tab/>
      </w:r>
      <w:r>
        <w:fldChar w:fldCharType="begin"/>
      </w:r>
      <w:r>
        <w:instrText xml:space="preserve"> PAGEREF _Toc476927359 \h </w:instrText>
      </w:r>
      <w:r>
        <w:fldChar w:fldCharType="separate"/>
      </w:r>
      <w:r>
        <w:t>146</w:t>
      </w:r>
      <w:r>
        <w:fldChar w:fldCharType="end"/>
      </w:r>
    </w:p>
    <w:p>
      <w:pPr>
        <w:pStyle w:val="TOC8"/>
        <w:rPr>
          <w:rFonts w:asciiTheme="minorHAnsi" w:eastAsiaTheme="minorEastAsia" w:hAnsiTheme="minorHAnsi" w:cstheme="minorBidi"/>
          <w:szCs w:val="22"/>
        </w:rPr>
      </w:pPr>
      <w:r>
        <w:t>69B</w:t>
      </w:r>
      <w:r>
        <w:rPr>
          <w:snapToGrid w:val="0"/>
        </w:rPr>
        <w:t>.</w:t>
      </w:r>
      <w:r>
        <w:rPr>
          <w:snapToGrid w:val="0"/>
        </w:rPr>
        <w:tab/>
        <w:t>Notifiable information to be given by original proprietor in certain cases</w:t>
      </w:r>
      <w:r>
        <w:tab/>
      </w:r>
      <w:r>
        <w:fldChar w:fldCharType="begin"/>
      </w:r>
      <w:r>
        <w:instrText xml:space="preserve"> PAGEREF _Toc476927360 \h </w:instrText>
      </w:r>
      <w:r>
        <w:fldChar w:fldCharType="separate"/>
      </w:r>
      <w:r>
        <w:t>146</w:t>
      </w:r>
      <w:r>
        <w:fldChar w:fldCharType="end"/>
      </w:r>
    </w:p>
    <w:p>
      <w:pPr>
        <w:pStyle w:val="TOC8"/>
        <w:rPr>
          <w:rFonts w:asciiTheme="minorHAnsi" w:eastAsiaTheme="minorEastAsia" w:hAnsiTheme="minorHAnsi" w:cstheme="minorBidi"/>
          <w:szCs w:val="22"/>
        </w:rPr>
      </w:pPr>
      <w:r>
        <w:t>69C</w:t>
      </w:r>
      <w:r>
        <w:rPr>
          <w:snapToGrid w:val="0"/>
        </w:rPr>
        <w:t>.</w:t>
      </w:r>
      <w:r>
        <w:rPr>
          <w:snapToGrid w:val="0"/>
        </w:rPr>
        <w:tab/>
        <w:t>Vendor to inform purchaser of full particulars of notifiable variation</w:t>
      </w:r>
      <w:r>
        <w:tab/>
      </w:r>
      <w:r>
        <w:fldChar w:fldCharType="begin"/>
      </w:r>
      <w:r>
        <w:instrText xml:space="preserve"> PAGEREF _Toc476927361 \h </w:instrText>
      </w:r>
      <w:r>
        <w:fldChar w:fldCharType="separate"/>
      </w:r>
      <w:r>
        <w:t>148</w:t>
      </w:r>
      <w:r>
        <w:fldChar w:fldCharType="end"/>
      </w:r>
    </w:p>
    <w:p>
      <w:pPr>
        <w:pStyle w:val="TOC8"/>
        <w:rPr>
          <w:rFonts w:asciiTheme="minorHAnsi" w:eastAsiaTheme="minorEastAsia" w:hAnsiTheme="minorHAnsi" w:cstheme="minorBidi"/>
          <w:szCs w:val="22"/>
        </w:rPr>
      </w:pPr>
      <w:r>
        <w:t>69D</w:t>
      </w:r>
      <w:r>
        <w:rPr>
          <w:snapToGrid w:val="0"/>
        </w:rPr>
        <w:t>.</w:t>
      </w:r>
      <w:r>
        <w:rPr>
          <w:snapToGrid w:val="0"/>
        </w:rPr>
        <w:tab/>
        <w:t>When purchaser may avoid contract</w:t>
      </w:r>
      <w:r>
        <w:tab/>
      </w:r>
      <w:r>
        <w:fldChar w:fldCharType="begin"/>
      </w:r>
      <w:r>
        <w:instrText xml:space="preserve"> PAGEREF _Toc476927362 \h </w:instrText>
      </w:r>
      <w:r>
        <w:fldChar w:fldCharType="separate"/>
      </w:r>
      <w:r>
        <w:t>149</w:t>
      </w:r>
      <w:r>
        <w:fldChar w:fldCharType="end"/>
      </w:r>
    </w:p>
    <w:p>
      <w:pPr>
        <w:pStyle w:val="TOC8"/>
        <w:rPr>
          <w:rFonts w:asciiTheme="minorHAnsi" w:eastAsiaTheme="minorEastAsia" w:hAnsiTheme="minorHAnsi" w:cstheme="minorBidi"/>
          <w:szCs w:val="22"/>
        </w:rPr>
      </w:pPr>
      <w:r>
        <w:t>69E</w:t>
      </w:r>
      <w:r>
        <w:rPr>
          <w:snapToGrid w:val="0"/>
        </w:rPr>
        <w:t>.</w:t>
      </w:r>
      <w:r>
        <w:rPr>
          <w:snapToGrid w:val="0"/>
        </w:rPr>
        <w:tab/>
        <w:t>Effect of avoidance</w:t>
      </w:r>
      <w:r>
        <w:tab/>
      </w:r>
      <w:r>
        <w:fldChar w:fldCharType="begin"/>
      </w:r>
      <w:r>
        <w:instrText xml:space="preserve"> PAGEREF _Toc476927363 \h </w:instrText>
      </w:r>
      <w:r>
        <w:fldChar w:fldCharType="separate"/>
      </w:r>
      <w:r>
        <w:t>151</w:t>
      </w:r>
      <w:r>
        <w:fldChar w:fldCharType="end"/>
      </w:r>
    </w:p>
    <w:p>
      <w:pPr>
        <w:pStyle w:val="TOC8"/>
        <w:rPr>
          <w:rFonts w:asciiTheme="minorHAnsi" w:eastAsiaTheme="minorEastAsia" w:hAnsiTheme="minorHAnsi" w:cstheme="minorBidi"/>
          <w:szCs w:val="22"/>
        </w:rPr>
      </w:pPr>
      <w:r>
        <w:t>70</w:t>
      </w:r>
      <w:r>
        <w:rPr>
          <w:snapToGrid w:val="0"/>
        </w:rPr>
        <w:t>.</w:t>
      </w:r>
      <w:r>
        <w:rPr>
          <w:snapToGrid w:val="0"/>
        </w:rPr>
        <w:tab/>
        <w:t>Holding of deposit and other contract moneys when a lot is pre</w:t>
      </w:r>
      <w:r>
        <w:rPr>
          <w:snapToGrid w:val="0"/>
        </w:rPr>
        <w:noBreakHyphen/>
        <w:t>sold</w:t>
      </w:r>
      <w:r>
        <w:tab/>
      </w:r>
      <w:r>
        <w:fldChar w:fldCharType="begin"/>
      </w:r>
      <w:r>
        <w:instrText xml:space="preserve"> PAGEREF _Toc476927364 \h </w:instrText>
      </w:r>
      <w:r>
        <w:fldChar w:fldCharType="separate"/>
      </w:r>
      <w:r>
        <w:t>151</w:t>
      </w:r>
      <w:r>
        <w:fldChar w:fldCharType="end"/>
      </w:r>
    </w:p>
    <w:p>
      <w:pPr>
        <w:pStyle w:val="TOC8"/>
        <w:rPr>
          <w:rFonts w:asciiTheme="minorHAnsi" w:eastAsiaTheme="minorEastAsia" w:hAnsiTheme="minorHAnsi" w:cstheme="minorBidi"/>
          <w:szCs w:val="22"/>
        </w:rPr>
      </w:pPr>
      <w:r>
        <w:t>70A</w:t>
      </w:r>
      <w:r>
        <w:rPr>
          <w:snapToGrid w:val="0"/>
        </w:rPr>
        <w:t>.</w:t>
      </w:r>
      <w:r>
        <w:rPr>
          <w:snapToGrid w:val="0"/>
        </w:rPr>
        <w:tab/>
        <w:t>Contracting out prohibited</w:t>
      </w:r>
      <w:r>
        <w:tab/>
      </w:r>
      <w:r>
        <w:fldChar w:fldCharType="begin"/>
      </w:r>
      <w:r>
        <w:instrText xml:space="preserve"> PAGEREF _Toc476927365 \h </w:instrText>
      </w:r>
      <w:r>
        <w:fldChar w:fldCharType="separate"/>
      </w:r>
      <w:r>
        <w:t>153</w:t>
      </w:r>
      <w:r>
        <w:fldChar w:fldCharType="end"/>
      </w:r>
    </w:p>
    <w:p>
      <w:pPr>
        <w:pStyle w:val="TOC8"/>
        <w:rPr>
          <w:rFonts w:asciiTheme="minorHAnsi" w:eastAsiaTheme="minorEastAsia" w:hAnsiTheme="minorHAnsi" w:cstheme="minorBidi"/>
          <w:szCs w:val="22"/>
        </w:rPr>
      </w:pPr>
      <w:r>
        <w:t>70B</w:t>
      </w:r>
      <w:r>
        <w:rPr>
          <w:snapToGrid w:val="0"/>
        </w:rPr>
        <w:t>.</w:t>
      </w:r>
      <w:r>
        <w:rPr>
          <w:snapToGrid w:val="0"/>
        </w:rPr>
        <w:tab/>
        <w:t>Saving</w:t>
      </w:r>
      <w:r>
        <w:tab/>
      </w:r>
      <w:r>
        <w:fldChar w:fldCharType="begin"/>
      </w:r>
      <w:r>
        <w:instrText xml:space="preserve"> PAGEREF _Toc476927366 \h </w:instrText>
      </w:r>
      <w:r>
        <w:fldChar w:fldCharType="separate"/>
      </w:r>
      <w:r>
        <w:t>153</w:t>
      </w:r>
      <w:r>
        <w:fldChar w:fldCharType="end"/>
      </w:r>
    </w:p>
    <w:p>
      <w:pPr>
        <w:pStyle w:val="TOC2"/>
        <w:tabs>
          <w:tab w:val="right" w:leader="dot" w:pos="7077"/>
        </w:tabs>
        <w:rPr>
          <w:rFonts w:asciiTheme="minorHAnsi" w:eastAsiaTheme="minorEastAsia" w:hAnsiTheme="minorHAnsi" w:cstheme="minorBidi"/>
          <w:b w:val="0"/>
          <w:sz w:val="22"/>
          <w:szCs w:val="22"/>
        </w:rPr>
      </w:pPr>
      <w:r>
        <w:t>Part VI — Resolution of disputes</w:t>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Applications for orders</w:t>
      </w:r>
    </w:p>
    <w:p>
      <w:pPr>
        <w:pStyle w:val="TOC8"/>
        <w:rPr>
          <w:rFonts w:asciiTheme="minorHAnsi" w:eastAsiaTheme="minorEastAsia" w:hAnsiTheme="minorHAnsi" w:cstheme="minorBidi"/>
          <w:szCs w:val="22"/>
        </w:rPr>
      </w:pPr>
      <w:r>
        <w:t>77</w:t>
      </w:r>
      <w:r>
        <w:rPr>
          <w:snapToGrid w:val="0"/>
        </w:rPr>
        <w:t>.</w:t>
      </w:r>
      <w:r>
        <w:rPr>
          <w:snapToGrid w:val="0"/>
        </w:rPr>
        <w:tab/>
        <w:t>How applications are made</w:t>
      </w:r>
      <w:r>
        <w:tab/>
      </w:r>
      <w:r>
        <w:fldChar w:fldCharType="begin"/>
      </w:r>
      <w:r>
        <w:instrText xml:space="preserve"> PAGEREF _Toc476927369 \h </w:instrText>
      </w:r>
      <w:r>
        <w:fldChar w:fldCharType="separate"/>
      </w:r>
      <w:r>
        <w:t>154</w:t>
      </w:r>
      <w:r>
        <w:fldChar w:fldCharType="end"/>
      </w:r>
    </w:p>
    <w:p>
      <w:pPr>
        <w:pStyle w:val="TOC8"/>
        <w:rPr>
          <w:rFonts w:asciiTheme="minorHAnsi" w:eastAsiaTheme="minorEastAsia" w:hAnsiTheme="minorHAnsi" w:cstheme="minorBidi"/>
          <w:szCs w:val="22"/>
        </w:rPr>
      </w:pPr>
      <w:r>
        <w:t>77B</w:t>
      </w:r>
      <w:r>
        <w:rPr>
          <w:snapToGrid w:val="0"/>
        </w:rPr>
        <w:t>.</w:t>
      </w:r>
      <w:r>
        <w:rPr>
          <w:snapToGrid w:val="0"/>
        </w:rPr>
        <w:tab/>
        <w:t>Disputes procedures for scheme to be followed</w:t>
      </w:r>
      <w:r>
        <w:tab/>
      </w:r>
      <w:r>
        <w:fldChar w:fldCharType="begin"/>
      </w:r>
      <w:r>
        <w:instrText xml:space="preserve"> PAGEREF _Toc476927370 \h </w:instrText>
      </w:r>
      <w:r>
        <w:fldChar w:fldCharType="separate"/>
      </w:r>
      <w:r>
        <w:t>154</w:t>
      </w:r>
      <w:r>
        <w:fldChar w:fldCharType="end"/>
      </w:r>
    </w:p>
    <w:p>
      <w:pPr>
        <w:pStyle w:val="TOC8"/>
        <w:rPr>
          <w:rFonts w:asciiTheme="minorHAnsi" w:eastAsiaTheme="minorEastAsia" w:hAnsiTheme="minorHAnsi" w:cstheme="minorBidi"/>
          <w:szCs w:val="22"/>
        </w:rPr>
      </w:pPr>
      <w:r>
        <w:t>78</w:t>
      </w:r>
      <w:r>
        <w:rPr>
          <w:snapToGrid w:val="0"/>
        </w:rPr>
        <w:t>.</w:t>
      </w:r>
      <w:r>
        <w:rPr>
          <w:snapToGrid w:val="0"/>
        </w:rPr>
        <w:tab/>
        <w:t>SAT may inspect certain records</w:t>
      </w:r>
      <w:r>
        <w:tab/>
      </w:r>
      <w:r>
        <w:fldChar w:fldCharType="begin"/>
      </w:r>
      <w:r>
        <w:instrText xml:space="preserve"> PAGEREF _Toc476927371 \h </w:instrText>
      </w:r>
      <w:r>
        <w:fldChar w:fldCharType="separate"/>
      </w:r>
      <w:r>
        <w:t>154</w:t>
      </w:r>
      <w:r>
        <w:fldChar w:fldCharType="end"/>
      </w:r>
    </w:p>
    <w:p>
      <w:pPr>
        <w:pStyle w:val="TOC8"/>
        <w:rPr>
          <w:rFonts w:asciiTheme="minorHAnsi" w:eastAsiaTheme="minorEastAsia" w:hAnsiTheme="minorHAnsi" w:cstheme="minorBidi"/>
          <w:szCs w:val="22"/>
        </w:rPr>
      </w:pPr>
      <w:r>
        <w:t>79</w:t>
      </w:r>
      <w:r>
        <w:rPr>
          <w:snapToGrid w:val="0"/>
        </w:rPr>
        <w:t>.</w:t>
      </w:r>
      <w:r>
        <w:rPr>
          <w:snapToGrid w:val="0"/>
        </w:rPr>
        <w:tab/>
        <w:t>Notice of application to be given</w:t>
      </w:r>
      <w:r>
        <w:tab/>
      </w:r>
      <w:r>
        <w:fldChar w:fldCharType="begin"/>
      </w:r>
      <w:r>
        <w:instrText xml:space="preserve"> PAGEREF _Toc476927372 \h </w:instrText>
      </w:r>
      <w:r>
        <w:fldChar w:fldCharType="separate"/>
      </w:r>
      <w:r>
        <w:t>155</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Orders by State Administrative Tribunal</w:t>
      </w:r>
    </w:p>
    <w:p>
      <w:pPr>
        <w:pStyle w:val="TOC8"/>
        <w:rPr>
          <w:rFonts w:asciiTheme="minorHAnsi" w:eastAsiaTheme="minorEastAsia" w:hAnsiTheme="minorHAnsi" w:cstheme="minorBidi"/>
          <w:szCs w:val="22"/>
        </w:rPr>
      </w:pPr>
      <w:r>
        <w:t>81</w:t>
      </w:r>
      <w:r>
        <w:rPr>
          <w:snapToGrid w:val="0"/>
        </w:rPr>
        <w:t>.</w:t>
      </w:r>
      <w:r>
        <w:rPr>
          <w:snapToGrid w:val="0"/>
        </w:rPr>
        <w:tab/>
        <w:t>Orders under this Division</w:t>
      </w:r>
      <w:r>
        <w:tab/>
      </w:r>
      <w:r>
        <w:fldChar w:fldCharType="begin"/>
      </w:r>
      <w:r>
        <w:instrText xml:space="preserve"> PAGEREF _Toc476927374 \h </w:instrText>
      </w:r>
      <w:r>
        <w:fldChar w:fldCharType="separate"/>
      </w:r>
      <w:r>
        <w:t>155</w:t>
      </w:r>
      <w:r>
        <w:fldChar w:fldCharType="end"/>
      </w:r>
    </w:p>
    <w:p>
      <w:pPr>
        <w:pStyle w:val="TOC8"/>
        <w:rPr>
          <w:rFonts w:asciiTheme="minorHAnsi" w:eastAsiaTheme="minorEastAsia" w:hAnsiTheme="minorHAnsi" w:cstheme="minorBidi"/>
          <w:szCs w:val="22"/>
        </w:rPr>
      </w:pPr>
      <w:r>
        <w:t>82</w:t>
      </w:r>
      <w:r>
        <w:rPr>
          <w:snapToGrid w:val="0"/>
        </w:rPr>
        <w:t>.</w:t>
      </w:r>
      <w:r>
        <w:rPr>
          <w:snapToGrid w:val="0"/>
        </w:rPr>
        <w:tab/>
        <w:t>Interim orders</w:t>
      </w:r>
      <w:r>
        <w:tab/>
      </w:r>
      <w:r>
        <w:fldChar w:fldCharType="begin"/>
      </w:r>
      <w:r>
        <w:instrText xml:space="preserve"> PAGEREF _Toc476927375 \h </w:instrText>
      </w:r>
      <w:r>
        <w:fldChar w:fldCharType="separate"/>
      </w:r>
      <w:r>
        <w:t>157</w:t>
      </w:r>
      <w:r>
        <w:fldChar w:fldCharType="end"/>
      </w:r>
    </w:p>
    <w:p>
      <w:pPr>
        <w:pStyle w:val="TOC8"/>
        <w:rPr>
          <w:rFonts w:asciiTheme="minorHAnsi" w:eastAsiaTheme="minorEastAsia" w:hAnsiTheme="minorHAnsi" w:cstheme="minorBidi"/>
          <w:szCs w:val="22"/>
        </w:rPr>
      </w:pPr>
      <w:r>
        <w:t>83</w:t>
      </w:r>
      <w:r>
        <w:rPr>
          <w:snapToGrid w:val="0"/>
        </w:rPr>
        <w:t>.</w:t>
      </w:r>
      <w:r>
        <w:rPr>
          <w:snapToGrid w:val="0"/>
        </w:rPr>
        <w:tab/>
        <w:t>General powers of SAT to make orders</w:t>
      </w:r>
      <w:r>
        <w:tab/>
      </w:r>
      <w:r>
        <w:fldChar w:fldCharType="begin"/>
      </w:r>
      <w:r>
        <w:instrText xml:space="preserve"> PAGEREF _Toc476927376 \h </w:instrText>
      </w:r>
      <w:r>
        <w:fldChar w:fldCharType="separate"/>
      </w:r>
      <w:r>
        <w:t>158</w:t>
      </w:r>
      <w:r>
        <w:fldChar w:fldCharType="end"/>
      </w:r>
    </w:p>
    <w:p>
      <w:pPr>
        <w:pStyle w:val="TOC8"/>
        <w:rPr>
          <w:rFonts w:asciiTheme="minorHAnsi" w:eastAsiaTheme="minorEastAsia" w:hAnsiTheme="minorHAnsi" w:cstheme="minorBidi"/>
          <w:szCs w:val="22"/>
        </w:rPr>
      </w:pPr>
      <w:r>
        <w:t>84</w:t>
      </w:r>
      <w:r>
        <w:rPr>
          <w:snapToGrid w:val="0"/>
        </w:rPr>
        <w:t>.</w:t>
      </w:r>
      <w:r>
        <w:rPr>
          <w:snapToGrid w:val="0"/>
        </w:rPr>
        <w:tab/>
        <w:t>Further powers of SAT</w:t>
      </w:r>
      <w:r>
        <w:tab/>
      </w:r>
      <w:r>
        <w:fldChar w:fldCharType="begin"/>
      </w:r>
      <w:r>
        <w:instrText xml:space="preserve"> PAGEREF _Toc476927377 \h </w:instrText>
      </w:r>
      <w:r>
        <w:fldChar w:fldCharType="separate"/>
      </w:r>
      <w:r>
        <w:t>159</w:t>
      </w:r>
      <w:r>
        <w:fldChar w:fldCharType="end"/>
      </w:r>
    </w:p>
    <w:p>
      <w:pPr>
        <w:pStyle w:val="TOC8"/>
        <w:rPr>
          <w:rFonts w:asciiTheme="minorHAnsi" w:eastAsiaTheme="minorEastAsia" w:hAnsiTheme="minorHAnsi" w:cstheme="minorBidi"/>
          <w:szCs w:val="22"/>
        </w:rPr>
      </w:pPr>
      <w:r>
        <w:t>85</w:t>
      </w:r>
      <w:r>
        <w:rPr>
          <w:snapToGrid w:val="0"/>
        </w:rPr>
        <w:t>.</w:t>
      </w:r>
      <w:r>
        <w:rPr>
          <w:snapToGrid w:val="0"/>
        </w:rPr>
        <w:tab/>
        <w:t>Order with respect to certain consents affecting common property</w:t>
      </w:r>
      <w:r>
        <w:tab/>
      </w:r>
      <w:r>
        <w:fldChar w:fldCharType="begin"/>
      </w:r>
      <w:r>
        <w:instrText xml:space="preserve"> PAGEREF _Toc476927378 \h </w:instrText>
      </w:r>
      <w:r>
        <w:fldChar w:fldCharType="separate"/>
      </w:r>
      <w:r>
        <w:t>160</w:t>
      </w:r>
      <w:r>
        <w:fldChar w:fldCharType="end"/>
      </w:r>
    </w:p>
    <w:p>
      <w:pPr>
        <w:pStyle w:val="TOC8"/>
        <w:rPr>
          <w:rFonts w:asciiTheme="minorHAnsi" w:eastAsiaTheme="minorEastAsia" w:hAnsiTheme="minorHAnsi" w:cstheme="minorBidi"/>
          <w:szCs w:val="22"/>
        </w:rPr>
      </w:pPr>
      <w:r>
        <w:t>86</w:t>
      </w:r>
      <w:r>
        <w:rPr>
          <w:snapToGrid w:val="0"/>
        </w:rPr>
        <w:t>.</w:t>
      </w:r>
      <w:r>
        <w:rPr>
          <w:snapToGrid w:val="0"/>
        </w:rPr>
        <w:tab/>
        <w:t>Order with respect to acquisition of personal property</w:t>
      </w:r>
      <w:r>
        <w:tab/>
      </w:r>
      <w:r>
        <w:fldChar w:fldCharType="begin"/>
      </w:r>
      <w:r>
        <w:instrText xml:space="preserve"> PAGEREF _Toc476927379 \h </w:instrText>
      </w:r>
      <w:r>
        <w:fldChar w:fldCharType="separate"/>
      </w:r>
      <w:r>
        <w:t>160</w:t>
      </w:r>
      <w:r>
        <w:fldChar w:fldCharType="end"/>
      </w:r>
    </w:p>
    <w:p>
      <w:pPr>
        <w:pStyle w:val="TOC8"/>
        <w:rPr>
          <w:rFonts w:asciiTheme="minorHAnsi" w:eastAsiaTheme="minorEastAsia" w:hAnsiTheme="minorHAnsi" w:cstheme="minorBidi"/>
          <w:szCs w:val="22"/>
        </w:rPr>
      </w:pPr>
      <w:r>
        <w:t>87</w:t>
      </w:r>
      <w:r>
        <w:rPr>
          <w:snapToGrid w:val="0"/>
        </w:rPr>
        <w:t>.</w:t>
      </w:r>
      <w:r>
        <w:rPr>
          <w:snapToGrid w:val="0"/>
        </w:rPr>
        <w:tab/>
        <w:t>Order to acquire personal property</w:t>
      </w:r>
      <w:r>
        <w:tab/>
      </w:r>
      <w:r>
        <w:fldChar w:fldCharType="begin"/>
      </w:r>
      <w:r>
        <w:instrText xml:space="preserve"> PAGEREF _Toc476927380 \h </w:instrText>
      </w:r>
      <w:r>
        <w:fldChar w:fldCharType="separate"/>
      </w:r>
      <w:r>
        <w:t>161</w:t>
      </w:r>
      <w:r>
        <w:fldChar w:fldCharType="end"/>
      </w:r>
    </w:p>
    <w:p>
      <w:pPr>
        <w:pStyle w:val="TOC8"/>
        <w:rPr>
          <w:rFonts w:asciiTheme="minorHAnsi" w:eastAsiaTheme="minorEastAsia" w:hAnsiTheme="minorHAnsi" w:cstheme="minorBidi"/>
          <w:szCs w:val="22"/>
        </w:rPr>
      </w:pPr>
      <w:r>
        <w:t>88</w:t>
      </w:r>
      <w:r>
        <w:rPr>
          <w:snapToGrid w:val="0"/>
        </w:rPr>
        <w:t>.</w:t>
      </w:r>
      <w:r>
        <w:rPr>
          <w:snapToGrid w:val="0"/>
        </w:rPr>
        <w:tab/>
        <w:t>Order to make or pursue insurance claim</w:t>
      </w:r>
      <w:r>
        <w:tab/>
      </w:r>
      <w:r>
        <w:fldChar w:fldCharType="begin"/>
      </w:r>
      <w:r>
        <w:instrText xml:space="preserve"> PAGEREF _Toc476927381 \h </w:instrText>
      </w:r>
      <w:r>
        <w:fldChar w:fldCharType="separate"/>
      </w:r>
      <w:r>
        <w:t>161</w:t>
      </w:r>
      <w:r>
        <w:fldChar w:fldCharType="end"/>
      </w:r>
    </w:p>
    <w:p>
      <w:pPr>
        <w:pStyle w:val="TOC8"/>
        <w:rPr>
          <w:rFonts w:asciiTheme="minorHAnsi" w:eastAsiaTheme="minorEastAsia" w:hAnsiTheme="minorHAnsi" w:cstheme="minorBidi"/>
          <w:szCs w:val="22"/>
        </w:rPr>
      </w:pPr>
      <w:r>
        <w:t>89</w:t>
      </w:r>
      <w:r>
        <w:rPr>
          <w:snapToGrid w:val="0"/>
        </w:rPr>
        <w:t>.</w:t>
      </w:r>
      <w:r>
        <w:rPr>
          <w:snapToGrid w:val="0"/>
        </w:rPr>
        <w:tab/>
        <w:t>Order varying certain rates of interest</w:t>
      </w:r>
      <w:r>
        <w:tab/>
      </w:r>
      <w:r>
        <w:fldChar w:fldCharType="begin"/>
      </w:r>
      <w:r>
        <w:instrText xml:space="preserve"> PAGEREF _Toc476927382 \h </w:instrText>
      </w:r>
      <w:r>
        <w:fldChar w:fldCharType="separate"/>
      </w:r>
      <w:r>
        <w:t>161</w:t>
      </w:r>
      <w:r>
        <w:fldChar w:fldCharType="end"/>
      </w:r>
    </w:p>
    <w:p>
      <w:pPr>
        <w:pStyle w:val="TOC8"/>
        <w:rPr>
          <w:rFonts w:asciiTheme="minorHAnsi" w:eastAsiaTheme="minorEastAsia" w:hAnsiTheme="minorHAnsi" w:cstheme="minorBidi"/>
          <w:szCs w:val="22"/>
        </w:rPr>
      </w:pPr>
      <w:r>
        <w:t>90</w:t>
      </w:r>
      <w:r>
        <w:rPr>
          <w:snapToGrid w:val="0"/>
        </w:rPr>
        <w:t>.</w:t>
      </w:r>
      <w:r>
        <w:rPr>
          <w:snapToGrid w:val="0"/>
        </w:rPr>
        <w:tab/>
        <w:t>Order to supply information or documents</w:t>
      </w:r>
      <w:r>
        <w:tab/>
      </w:r>
      <w:r>
        <w:fldChar w:fldCharType="begin"/>
      </w:r>
      <w:r>
        <w:instrText xml:space="preserve"> PAGEREF _Toc476927383 \h </w:instrText>
      </w:r>
      <w:r>
        <w:fldChar w:fldCharType="separate"/>
      </w:r>
      <w:r>
        <w:t>162</w:t>
      </w:r>
      <w:r>
        <w:fldChar w:fldCharType="end"/>
      </w:r>
    </w:p>
    <w:p>
      <w:pPr>
        <w:pStyle w:val="TOC8"/>
        <w:rPr>
          <w:rFonts w:asciiTheme="minorHAnsi" w:eastAsiaTheme="minorEastAsia" w:hAnsiTheme="minorHAnsi" w:cstheme="minorBidi"/>
          <w:szCs w:val="22"/>
        </w:rPr>
      </w:pPr>
      <w:r>
        <w:t>91</w:t>
      </w:r>
      <w:r>
        <w:rPr>
          <w:snapToGrid w:val="0"/>
        </w:rPr>
        <w:t>.</w:t>
      </w:r>
      <w:r>
        <w:rPr>
          <w:snapToGrid w:val="0"/>
        </w:rPr>
        <w:tab/>
        <w:t>Order relating to animal kept contrary to by</w:t>
      </w:r>
      <w:r>
        <w:rPr>
          <w:snapToGrid w:val="0"/>
        </w:rPr>
        <w:noBreakHyphen/>
        <w:t>laws</w:t>
      </w:r>
      <w:r>
        <w:tab/>
      </w:r>
      <w:r>
        <w:fldChar w:fldCharType="begin"/>
      </w:r>
      <w:r>
        <w:instrText xml:space="preserve"> PAGEREF _Toc476927384 \h </w:instrText>
      </w:r>
      <w:r>
        <w:fldChar w:fldCharType="separate"/>
      </w:r>
      <w:r>
        <w:t>162</w:t>
      </w:r>
      <w:r>
        <w:fldChar w:fldCharType="end"/>
      </w:r>
    </w:p>
    <w:p>
      <w:pPr>
        <w:pStyle w:val="TOC8"/>
        <w:rPr>
          <w:rFonts w:asciiTheme="minorHAnsi" w:eastAsiaTheme="minorEastAsia" w:hAnsiTheme="minorHAnsi" w:cstheme="minorBidi"/>
          <w:szCs w:val="22"/>
        </w:rPr>
      </w:pPr>
      <w:r>
        <w:t>92</w:t>
      </w:r>
      <w:r>
        <w:rPr>
          <w:snapToGrid w:val="0"/>
        </w:rPr>
        <w:t>.</w:t>
      </w:r>
      <w:r>
        <w:rPr>
          <w:snapToGrid w:val="0"/>
        </w:rPr>
        <w:tab/>
        <w:t>Order relating to animal kept pursuant to by</w:t>
      </w:r>
      <w:r>
        <w:rPr>
          <w:snapToGrid w:val="0"/>
        </w:rPr>
        <w:noBreakHyphen/>
        <w:t>laws</w:t>
      </w:r>
      <w:r>
        <w:tab/>
      </w:r>
      <w:r>
        <w:fldChar w:fldCharType="begin"/>
      </w:r>
      <w:r>
        <w:instrText xml:space="preserve"> PAGEREF _Toc476927385 \h </w:instrText>
      </w:r>
      <w:r>
        <w:fldChar w:fldCharType="separate"/>
      </w:r>
      <w:r>
        <w:t>163</w:t>
      </w:r>
      <w:r>
        <w:fldChar w:fldCharType="end"/>
      </w:r>
    </w:p>
    <w:p>
      <w:pPr>
        <w:pStyle w:val="TOC8"/>
        <w:rPr>
          <w:rFonts w:asciiTheme="minorHAnsi" w:eastAsiaTheme="minorEastAsia" w:hAnsiTheme="minorHAnsi" w:cstheme="minorBidi"/>
          <w:szCs w:val="22"/>
        </w:rPr>
      </w:pPr>
      <w:r>
        <w:t>93</w:t>
      </w:r>
      <w:r>
        <w:rPr>
          <w:snapToGrid w:val="0"/>
        </w:rPr>
        <w:t>.</w:t>
      </w:r>
      <w:r>
        <w:rPr>
          <w:snapToGrid w:val="0"/>
        </w:rPr>
        <w:tab/>
        <w:t>Order relating to by</w:t>
      </w:r>
      <w:r>
        <w:rPr>
          <w:snapToGrid w:val="0"/>
        </w:rPr>
        <w:noBreakHyphen/>
        <w:t>laws</w:t>
      </w:r>
      <w:r>
        <w:tab/>
      </w:r>
      <w:r>
        <w:fldChar w:fldCharType="begin"/>
      </w:r>
      <w:r>
        <w:instrText xml:space="preserve"> PAGEREF _Toc476927386 \h </w:instrText>
      </w:r>
      <w:r>
        <w:fldChar w:fldCharType="separate"/>
      </w:r>
      <w:r>
        <w:t>163</w:t>
      </w:r>
      <w:r>
        <w:fldChar w:fldCharType="end"/>
      </w:r>
    </w:p>
    <w:p>
      <w:pPr>
        <w:pStyle w:val="TOC8"/>
        <w:rPr>
          <w:rFonts w:asciiTheme="minorHAnsi" w:eastAsiaTheme="minorEastAsia" w:hAnsiTheme="minorHAnsi" w:cstheme="minorBidi"/>
          <w:szCs w:val="22"/>
        </w:rPr>
      </w:pPr>
      <w:r>
        <w:t>94</w:t>
      </w:r>
      <w:r>
        <w:rPr>
          <w:snapToGrid w:val="0"/>
        </w:rPr>
        <w:t>.</w:t>
      </w:r>
      <w:r>
        <w:rPr>
          <w:snapToGrid w:val="0"/>
        </w:rPr>
        <w:tab/>
        <w:t>Order granting certain licence</w:t>
      </w:r>
      <w:r>
        <w:tab/>
      </w:r>
      <w:r>
        <w:fldChar w:fldCharType="begin"/>
      </w:r>
      <w:r>
        <w:instrText xml:space="preserve"> PAGEREF _Toc476927387 \h </w:instrText>
      </w:r>
      <w:r>
        <w:fldChar w:fldCharType="separate"/>
      </w:r>
      <w:r>
        <w:t>165</w:t>
      </w:r>
      <w:r>
        <w:fldChar w:fldCharType="end"/>
      </w:r>
    </w:p>
    <w:p>
      <w:pPr>
        <w:pStyle w:val="TOC8"/>
        <w:rPr>
          <w:rFonts w:asciiTheme="minorHAnsi" w:eastAsiaTheme="minorEastAsia" w:hAnsiTheme="minorHAnsi" w:cstheme="minorBidi"/>
          <w:szCs w:val="22"/>
        </w:rPr>
      </w:pPr>
      <w:r>
        <w:t>95</w:t>
      </w:r>
      <w:r>
        <w:rPr>
          <w:snapToGrid w:val="0"/>
        </w:rPr>
        <w:t>.</w:t>
      </w:r>
      <w:r>
        <w:rPr>
          <w:snapToGrid w:val="0"/>
        </w:rPr>
        <w:tab/>
        <w:t>SAT may make certain by</w:t>
      </w:r>
      <w:r>
        <w:rPr>
          <w:snapToGrid w:val="0"/>
        </w:rPr>
        <w:noBreakHyphen/>
        <w:t>laws</w:t>
      </w:r>
      <w:r>
        <w:tab/>
      </w:r>
      <w:r>
        <w:fldChar w:fldCharType="begin"/>
      </w:r>
      <w:r>
        <w:instrText xml:space="preserve"> PAGEREF _Toc476927388 \h </w:instrText>
      </w:r>
      <w:r>
        <w:fldChar w:fldCharType="separate"/>
      </w:r>
      <w:r>
        <w:t>165</w:t>
      </w:r>
      <w:r>
        <w:fldChar w:fldCharType="end"/>
      </w:r>
    </w:p>
    <w:p>
      <w:pPr>
        <w:pStyle w:val="TOC8"/>
        <w:rPr>
          <w:rFonts w:asciiTheme="minorHAnsi" w:eastAsiaTheme="minorEastAsia" w:hAnsiTheme="minorHAnsi" w:cstheme="minorBidi"/>
          <w:szCs w:val="22"/>
        </w:rPr>
      </w:pPr>
      <w:r>
        <w:t>97</w:t>
      </w:r>
      <w:r>
        <w:rPr>
          <w:snapToGrid w:val="0"/>
        </w:rPr>
        <w:t>.</w:t>
      </w:r>
      <w:r>
        <w:rPr>
          <w:snapToGrid w:val="0"/>
        </w:rPr>
        <w:tab/>
        <w:t>Power of SAT to invalidate a resolution or election</w:t>
      </w:r>
      <w:r>
        <w:tab/>
      </w:r>
      <w:r>
        <w:fldChar w:fldCharType="begin"/>
      </w:r>
      <w:r>
        <w:instrText xml:space="preserve"> PAGEREF _Toc476927389 \h </w:instrText>
      </w:r>
      <w:r>
        <w:fldChar w:fldCharType="separate"/>
      </w:r>
      <w:r>
        <w:t>166</w:t>
      </w:r>
      <w:r>
        <w:fldChar w:fldCharType="end"/>
      </w:r>
    </w:p>
    <w:p>
      <w:pPr>
        <w:pStyle w:val="TOC8"/>
        <w:rPr>
          <w:rFonts w:asciiTheme="minorHAnsi" w:eastAsiaTheme="minorEastAsia" w:hAnsiTheme="minorHAnsi" w:cstheme="minorBidi"/>
          <w:szCs w:val="22"/>
        </w:rPr>
      </w:pPr>
      <w:r>
        <w:t>98</w:t>
      </w:r>
      <w:r>
        <w:rPr>
          <w:snapToGrid w:val="0"/>
        </w:rPr>
        <w:t>.</w:t>
      </w:r>
      <w:r>
        <w:rPr>
          <w:snapToGrid w:val="0"/>
        </w:rPr>
        <w:tab/>
        <w:t>Order authorising application to SAT</w:t>
      </w:r>
      <w:r>
        <w:tab/>
      </w:r>
      <w:r>
        <w:fldChar w:fldCharType="begin"/>
      </w:r>
      <w:r>
        <w:instrText xml:space="preserve"> PAGEREF _Toc476927390 \h </w:instrText>
      </w:r>
      <w:r>
        <w:fldChar w:fldCharType="separate"/>
      </w:r>
      <w:r>
        <w:t>167</w:t>
      </w:r>
      <w:r>
        <w:fldChar w:fldCharType="end"/>
      </w:r>
    </w:p>
    <w:p>
      <w:pPr>
        <w:pStyle w:val="TOC8"/>
        <w:rPr>
          <w:rFonts w:asciiTheme="minorHAnsi" w:eastAsiaTheme="minorEastAsia" w:hAnsiTheme="minorHAnsi" w:cstheme="minorBidi"/>
          <w:szCs w:val="22"/>
        </w:rPr>
      </w:pPr>
      <w:r>
        <w:t>99</w:t>
      </w:r>
      <w:r>
        <w:rPr>
          <w:snapToGrid w:val="0"/>
        </w:rPr>
        <w:t>.</w:t>
      </w:r>
      <w:r>
        <w:rPr>
          <w:snapToGrid w:val="0"/>
        </w:rPr>
        <w:tab/>
        <w:t>Order for variation or manner of payment of contributions</w:t>
      </w:r>
      <w:r>
        <w:tab/>
      </w:r>
      <w:r>
        <w:fldChar w:fldCharType="begin"/>
      </w:r>
      <w:r>
        <w:instrText xml:space="preserve"> PAGEREF _Toc476927391 \h </w:instrText>
      </w:r>
      <w:r>
        <w:fldChar w:fldCharType="separate"/>
      </w:r>
      <w:r>
        <w:t>167</w:t>
      </w:r>
      <w:r>
        <w:fldChar w:fldCharType="end"/>
      </w:r>
    </w:p>
    <w:p>
      <w:pPr>
        <w:pStyle w:val="TOC8"/>
        <w:rPr>
          <w:rFonts w:asciiTheme="minorHAnsi" w:eastAsiaTheme="minorEastAsia" w:hAnsiTheme="minorHAnsi" w:cstheme="minorBidi"/>
          <w:szCs w:val="22"/>
        </w:rPr>
      </w:pPr>
      <w:r>
        <w:t>99A</w:t>
      </w:r>
      <w:r>
        <w:rPr>
          <w:snapToGrid w:val="0"/>
        </w:rPr>
        <w:t>.</w:t>
      </w:r>
      <w:r>
        <w:rPr>
          <w:snapToGrid w:val="0"/>
        </w:rPr>
        <w:tab/>
        <w:t>Order fixing different basis for levying contributions</w:t>
      </w:r>
      <w:r>
        <w:tab/>
      </w:r>
      <w:r>
        <w:fldChar w:fldCharType="begin"/>
      </w:r>
      <w:r>
        <w:instrText xml:space="preserve"> PAGEREF _Toc476927392 \h </w:instrText>
      </w:r>
      <w:r>
        <w:fldChar w:fldCharType="separate"/>
      </w:r>
      <w:r>
        <w:t>168</w:t>
      </w:r>
      <w:r>
        <w:fldChar w:fldCharType="end"/>
      </w:r>
    </w:p>
    <w:p>
      <w:pPr>
        <w:pStyle w:val="TOC8"/>
        <w:rPr>
          <w:rFonts w:asciiTheme="minorHAnsi" w:eastAsiaTheme="minorEastAsia" w:hAnsiTheme="minorHAnsi" w:cstheme="minorBidi"/>
          <w:szCs w:val="22"/>
        </w:rPr>
      </w:pPr>
      <w:r>
        <w:t>100</w:t>
      </w:r>
      <w:r>
        <w:rPr>
          <w:snapToGrid w:val="0"/>
        </w:rPr>
        <w:t>.</w:t>
      </w:r>
      <w:r>
        <w:rPr>
          <w:snapToGrid w:val="0"/>
        </w:rPr>
        <w:tab/>
        <w:t>Order where voting rights denied or due notice of item of business not given</w:t>
      </w:r>
      <w:r>
        <w:tab/>
      </w:r>
      <w:r>
        <w:fldChar w:fldCharType="begin"/>
      </w:r>
      <w:r>
        <w:instrText xml:space="preserve"> PAGEREF _Toc476927393 \h </w:instrText>
      </w:r>
      <w:r>
        <w:fldChar w:fldCharType="separate"/>
      </w:r>
      <w:r>
        <w:t>169</w:t>
      </w:r>
      <w:r>
        <w:fldChar w:fldCharType="end"/>
      </w:r>
    </w:p>
    <w:p>
      <w:pPr>
        <w:pStyle w:val="TOC8"/>
        <w:rPr>
          <w:rFonts w:asciiTheme="minorHAnsi" w:eastAsiaTheme="minorEastAsia" w:hAnsiTheme="minorHAnsi" w:cstheme="minorBidi"/>
          <w:szCs w:val="22"/>
        </w:rPr>
      </w:pPr>
      <w:r>
        <w:t>101</w:t>
      </w:r>
      <w:r>
        <w:rPr>
          <w:snapToGrid w:val="0"/>
        </w:rPr>
        <w:t>.</w:t>
      </w:r>
      <w:r>
        <w:rPr>
          <w:snapToGrid w:val="0"/>
        </w:rPr>
        <w:tab/>
        <w:t>Order varying amount of insurance to be provided</w:t>
      </w:r>
      <w:r>
        <w:tab/>
      </w:r>
      <w:r>
        <w:fldChar w:fldCharType="begin"/>
      </w:r>
      <w:r>
        <w:instrText xml:space="preserve"> PAGEREF _Toc476927394 \h </w:instrText>
      </w:r>
      <w:r>
        <w:fldChar w:fldCharType="separate"/>
      </w:r>
      <w:r>
        <w:t>170</w:t>
      </w:r>
      <w:r>
        <w:fldChar w:fldCharType="end"/>
      </w:r>
    </w:p>
    <w:p>
      <w:pPr>
        <w:pStyle w:val="TOC8"/>
        <w:rPr>
          <w:rFonts w:asciiTheme="minorHAnsi" w:eastAsiaTheme="minorEastAsia" w:hAnsiTheme="minorHAnsi" w:cstheme="minorBidi"/>
          <w:szCs w:val="22"/>
        </w:rPr>
      </w:pPr>
      <w:r>
        <w:t>102</w:t>
      </w:r>
      <w:r>
        <w:rPr>
          <w:snapToGrid w:val="0"/>
        </w:rPr>
        <w:t>.</w:t>
      </w:r>
      <w:r>
        <w:rPr>
          <w:snapToGrid w:val="0"/>
        </w:rPr>
        <w:tab/>
        <w:t>Order appointing administrator</w:t>
      </w:r>
      <w:r>
        <w:tab/>
      </w:r>
      <w:r>
        <w:fldChar w:fldCharType="begin"/>
      </w:r>
      <w:r>
        <w:instrText xml:space="preserve"> PAGEREF _Toc476927395 \h </w:instrText>
      </w:r>
      <w:r>
        <w:fldChar w:fldCharType="separate"/>
      </w:r>
      <w:r>
        <w:t>170</w:t>
      </w:r>
      <w:r>
        <w:fldChar w:fldCharType="end"/>
      </w:r>
    </w:p>
    <w:p>
      <w:pPr>
        <w:pStyle w:val="TOC8"/>
        <w:rPr>
          <w:rFonts w:asciiTheme="minorHAnsi" w:eastAsiaTheme="minorEastAsia" w:hAnsiTheme="minorHAnsi" w:cstheme="minorBidi"/>
          <w:szCs w:val="22"/>
        </w:rPr>
      </w:pPr>
      <w:r>
        <w:t>103</w:t>
      </w:r>
      <w:r>
        <w:rPr>
          <w:snapToGrid w:val="0"/>
        </w:rPr>
        <w:t>.</w:t>
      </w:r>
      <w:r>
        <w:rPr>
          <w:snapToGrid w:val="0"/>
        </w:rPr>
        <w:tab/>
        <w:t>Order calling first annual general meeting of strata company</w:t>
      </w:r>
      <w:r>
        <w:tab/>
      </w:r>
      <w:r>
        <w:fldChar w:fldCharType="begin"/>
      </w:r>
      <w:r>
        <w:instrText xml:space="preserve"> PAGEREF _Toc476927396 \h </w:instrText>
      </w:r>
      <w:r>
        <w:fldChar w:fldCharType="separate"/>
      </w:r>
      <w:r>
        <w:t>172</w:t>
      </w:r>
      <w:r>
        <w:fldChar w:fldCharType="end"/>
      </w:r>
    </w:p>
    <w:p>
      <w:pPr>
        <w:pStyle w:val="TOC8"/>
        <w:rPr>
          <w:rFonts w:asciiTheme="minorHAnsi" w:eastAsiaTheme="minorEastAsia" w:hAnsiTheme="minorHAnsi" w:cstheme="minorBidi"/>
          <w:szCs w:val="22"/>
        </w:rPr>
      </w:pPr>
      <w:r>
        <w:t>103A</w:t>
      </w:r>
      <w:r>
        <w:rPr>
          <w:snapToGrid w:val="0"/>
        </w:rPr>
        <w:t>.</w:t>
      </w:r>
      <w:r>
        <w:rPr>
          <w:snapToGrid w:val="0"/>
        </w:rPr>
        <w:tab/>
        <w:t>Order for compliance, despite s. 36A</w:t>
      </w:r>
      <w:r>
        <w:tab/>
      </w:r>
      <w:r>
        <w:fldChar w:fldCharType="begin"/>
      </w:r>
      <w:r>
        <w:instrText xml:space="preserve"> PAGEREF _Toc476927397 \h </w:instrText>
      </w:r>
      <w:r>
        <w:fldChar w:fldCharType="separate"/>
      </w:r>
      <w:r>
        <w:t>174</w:t>
      </w:r>
      <w:r>
        <w:fldChar w:fldCharType="end"/>
      </w:r>
    </w:p>
    <w:p>
      <w:pPr>
        <w:pStyle w:val="TOC8"/>
        <w:rPr>
          <w:rFonts w:asciiTheme="minorHAnsi" w:eastAsiaTheme="minorEastAsia" w:hAnsiTheme="minorHAnsi" w:cstheme="minorBidi"/>
          <w:szCs w:val="22"/>
        </w:rPr>
      </w:pPr>
      <w:r>
        <w:t>103B</w:t>
      </w:r>
      <w:r>
        <w:rPr>
          <w:snapToGrid w:val="0"/>
        </w:rPr>
        <w:t>.</w:t>
      </w:r>
      <w:r>
        <w:rPr>
          <w:snapToGrid w:val="0"/>
        </w:rPr>
        <w:tab/>
        <w:t>Order to enable quorum in two</w:t>
      </w:r>
      <w:r>
        <w:rPr>
          <w:snapToGrid w:val="0"/>
        </w:rPr>
        <w:noBreakHyphen/>
        <w:t>lot scheme</w:t>
      </w:r>
      <w:r>
        <w:tab/>
      </w:r>
      <w:r>
        <w:fldChar w:fldCharType="begin"/>
      </w:r>
      <w:r>
        <w:instrText xml:space="preserve"> PAGEREF _Toc476927398 \h </w:instrText>
      </w:r>
      <w:r>
        <w:fldChar w:fldCharType="separate"/>
      </w:r>
      <w:r>
        <w:t>175</w:t>
      </w:r>
      <w:r>
        <w:fldChar w:fldCharType="end"/>
      </w:r>
    </w:p>
    <w:p>
      <w:pPr>
        <w:pStyle w:val="TOC8"/>
        <w:rPr>
          <w:rFonts w:asciiTheme="minorHAnsi" w:eastAsiaTheme="minorEastAsia" w:hAnsiTheme="minorHAnsi" w:cstheme="minorBidi"/>
          <w:szCs w:val="22"/>
        </w:rPr>
      </w:pPr>
      <w:r>
        <w:t>103C</w:t>
      </w:r>
      <w:r>
        <w:rPr>
          <w:snapToGrid w:val="0"/>
        </w:rPr>
        <w:t>.</w:t>
      </w:r>
      <w:r>
        <w:rPr>
          <w:snapToGrid w:val="0"/>
        </w:rPr>
        <w:tab/>
        <w:t>Order making resolution for two</w:t>
      </w:r>
      <w:r>
        <w:rPr>
          <w:snapToGrid w:val="0"/>
        </w:rPr>
        <w:noBreakHyphen/>
        <w:t>lot scheme</w:t>
      </w:r>
      <w:r>
        <w:tab/>
      </w:r>
      <w:r>
        <w:fldChar w:fldCharType="begin"/>
      </w:r>
      <w:r>
        <w:instrText xml:space="preserve"> PAGEREF _Toc476927399 \h </w:instrText>
      </w:r>
      <w:r>
        <w:fldChar w:fldCharType="separate"/>
      </w:r>
      <w:r>
        <w:t>175</w:t>
      </w:r>
      <w:r>
        <w:fldChar w:fldCharType="end"/>
      </w:r>
    </w:p>
    <w:p>
      <w:pPr>
        <w:pStyle w:val="TOC8"/>
        <w:rPr>
          <w:rFonts w:asciiTheme="minorHAnsi" w:eastAsiaTheme="minorEastAsia" w:hAnsiTheme="minorHAnsi" w:cstheme="minorBidi"/>
          <w:szCs w:val="22"/>
        </w:rPr>
      </w:pPr>
      <w:r>
        <w:t>103D</w:t>
      </w:r>
      <w:r>
        <w:rPr>
          <w:snapToGrid w:val="0"/>
        </w:rPr>
        <w:t>.</w:t>
      </w:r>
      <w:r>
        <w:rPr>
          <w:snapToGrid w:val="0"/>
        </w:rPr>
        <w:tab/>
        <w:t>Order cancelling special resolution</w:t>
      </w:r>
      <w:r>
        <w:tab/>
      </w:r>
      <w:r>
        <w:fldChar w:fldCharType="begin"/>
      </w:r>
      <w:r>
        <w:instrText xml:space="preserve"> PAGEREF _Toc476927400 \h </w:instrText>
      </w:r>
      <w:r>
        <w:fldChar w:fldCharType="separate"/>
      </w:r>
      <w:r>
        <w:t>176</w:t>
      </w:r>
      <w:r>
        <w:fldChar w:fldCharType="end"/>
      </w:r>
    </w:p>
    <w:p>
      <w:pPr>
        <w:pStyle w:val="TOC8"/>
        <w:rPr>
          <w:rFonts w:asciiTheme="minorHAnsi" w:eastAsiaTheme="minorEastAsia" w:hAnsiTheme="minorHAnsi" w:cstheme="minorBidi"/>
          <w:szCs w:val="22"/>
        </w:rPr>
      </w:pPr>
      <w:r>
        <w:t>103E</w:t>
      </w:r>
      <w:r>
        <w:rPr>
          <w:snapToGrid w:val="0"/>
        </w:rPr>
        <w:t>.</w:t>
      </w:r>
      <w:r>
        <w:rPr>
          <w:snapToGrid w:val="0"/>
        </w:rPr>
        <w:tab/>
        <w:t>Order for termination of contract for services to strata company</w:t>
      </w:r>
      <w:r>
        <w:tab/>
      </w:r>
      <w:r>
        <w:fldChar w:fldCharType="begin"/>
      </w:r>
      <w:r>
        <w:instrText xml:space="preserve"> PAGEREF _Toc476927401 \h </w:instrText>
      </w:r>
      <w:r>
        <w:fldChar w:fldCharType="separate"/>
      </w:r>
      <w:r>
        <w:t>177</w:t>
      </w:r>
      <w:r>
        <w:fldChar w:fldCharType="end"/>
      </w:r>
    </w:p>
    <w:p>
      <w:pPr>
        <w:pStyle w:val="TOC8"/>
        <w:rPr>
          <w:rFonts w:asciiTheme="minorHAnsi" w:eastAsiaTheme="minorEastAsia" w:hAnsiTheme="minorHAnsi" w:cstheme="minorBidi"/>
          <w:szCs w:val="22"/>
        </w:rPr>
      </w:pPr>
      <w:r>
        <w:t>103F</w:t>
      </w:r>
      <w:r>
        <w:rPr>
          <w:snapToGrid w:val="0"/>
        </w:rPr>
        <w:t>.</w:t>
      </w:r>
      <w:r>
        <w:rPr>
          <w:snapToGrid w:val="0"/>
        </w:rPr>
        <w:tab/>
        <w:t>Order dispensing with approval under s. 7(2) or 7A(2)</w:t>
      </w:r>
      <w:r>
        <w:tab/>
      </w:r>
      <w:r>
        <w:fldChar w:fldCharType="begin"/>
      </w:r>
      <w:r>
        <w:instrText xml:space="preserve"> PAGEREF _Toc476927402 \h </w:instrText>
      </w:r>
      <w:r>
        <w:fldChar w:fldCharType="separate"/>
      </w:r>
      <w:r>
        <w:t>178</w:t>
      </w:r>
      <w:r>
        <w:fldChar w:fldCharType="end"/>
      </w:r>
    </w:p>
    <w:p>
      <w:pPr>
        <w:pStyle w:val="TOC8"/>
        <w:rPr>
          <w:rFonts w:asciiTheme="minorHAnsi" w:eastAsiaTheme="minorEastAsia" w:hAnsiTheme="minorHAnsi" w:cstheme="minorBidi"/>
          <w:szCs w:val="22"/>
        </w:rPr>
      </w:pPr>
      <w:r>
        <w:t>103G</w:t>
      </w:r>
      <w:r>
        <w:rPr>
          <w:snapToGrid w:val="0"/>
        </w:rPr>
        <w:t>.</w:t>
      </w:r>
      <w:r>
        <w:rPr>
          <w:snapToGrid w:val="0"/>
        </w:rPr>
        <w:tab/>
        <w:t>Order granting relief for breach of s. 7(2)</w:t>
      </w:r>
      <w:r>
        <w:tab/>
      </w:r>
      <w:r>
        <w:fldChar w:fldCharType="begin"/>
      </w:r>
      <w:r>
        <w:instrText xml:space="preserve"> PAGEREF _Toc476927403 \h </w:instrText>
      </w:r>
      <w:r>
        <w:fldChar w:fldCharType="separate"/>
      </w:r>
      <w:r>
        <w:t>179</w:t>
      </w:r>
      <w:r>
        <w:fldChar w:fldCharType="end"/>
      </w:r>
    </w:p>
    <w:p>
      <w:pPr>
        <w:pStyle w:val="TOC8"/>
        <w:rPr>
          <w:rFonts w:asciiTheme="minorHAnsi" w:eastAsiaTheme="minorEastAsia" w:hAnsiTheme="minorHAnsi" w:cstheme="minorBidi"/>
          <w:szCs w:val="22"/>
        </w:rPr>
      </w:pPr>
      <w:r>
        <w:t>103H</w:t>
      </w:r>
      <w:r>
        <w:rPr>
          <w:snapToGrid w:val="0"/>
        </w:rPr>
        <w:t>.</w:t>
      </w:r>
      <w:r>
        <w:rPr>
          <w:snapToGrid w:val="0"/>
        </w:rPr>
        <w:tab/>
        <w:t>Order for variation of unit entitlement</w:t>
      </w:r>
      <w:r>
        <w:tab/>
      </w:r>
      <w:r>
        <w:fldChar w:fldCharType="begin"/>
      </w:r>
      <w:r>
        <w:instrText xml:space="preserve"> PAGEREF _Toc476927404 \h </w:instrText>
      </w:r>
      <w:r>
        <w:fldChar w:fldCharType="separate"/>
      </w:r>
      <w:r>
        <w:t>179</w:t>
      </w:r>
      <w:r>
        <w:fldChar w:fldCharType="end"/>
      </w:r>
    </w:p>
    <w:p>
      <w:pPr>
        <w:pStyle w:val="TOC8"/>
        <w:rPr>
          <w:rFonts w:asciiTheme="minorHAnsi" w:eastAsiaTheme="minorEastAsia" w:hAnsiTheme="minorHAnsi" w:cstheme="minorBidi"/>
          <w:szCs w:val="22"/>
        </w:rPr>
      </w:pPr>
      <w:r>
        <w:t>103I</w:t>
      </w:r>
      <w:r>
        <w:rPr>
          <w:snapToGrid w:val="0"/>
        </w:rPr>
        <w:t>.</w:t>
      </w:r>
      <w:r>
        <w:rPr>
          <w:snapToGrid w:val="0"/>
        </w:rPr>
        <w:tab/>
        <w:t>Order for payment of penalty</w:t>
      </w:r>
      <w:r>
        <w:tab/>
      </w:r>
      <w:r>
        <w:fldChar w:fldCharType="begin"/>
      </w:r>
      <w:r>
        <w:instrText xml:space="preserve"> PAGEREF _Toc476927405 \h </w:instrText>
      </w:r>
      <w:r>
        <w:fldChar w:fldCharType="separate"/>
      </w:r>
      <w:r>
        <w:t>181</w:t>
      </w:r>
      <w:r>
        <w:fldChar w:fldCharType="end"/>
      </w:r>
    </w:p>
    <w:p>
      <w:pPr>
        <w:pStyle w:val="TOC8"/>
        <w:rPr>
          <w:rFonts w:asciiTheme="minorHAnsi" w:eastAsiaTheme="minorEastAsia" w:hAnsiTheme="minorHAnsi" w:cstheme="minorBidi"/>
          <w:szCs w:val="22"/>
        </w:rPr>
      </w:pPr>
      <w:r>
        <w:t>103J</w:t>
      </w:r>
      <w:r>
        <w:rPr>
          <w:snapToGrid w:val="0"/>
        </w:rPr>
        <w:t>.</w:t>
      </w:r>
      <w:r>
        <w:rPr>
          <w:snapToGrid w:val="0"/>
        </w:rPr>
        <w:tab/>
        <w:t>Order for exemption from s. 54 or 55(1)</w:t>
      </w:r>
      <w:r>
        <w:tab/>
      </w:r>
      <w:r>
        <w:fldChar w:fldCharType="begin"/>
      </w:r>
      <w:r>
        <w:instrText xml:space="preserve"> PAGEREF _Toc476927406 \h </w:instrText>
      </w:r>
      <w:r>
        <w:fldChar w:fldCharType="separate"/>
      </w:r>
      <w:r>
        <w:t>182</w:t>
      </w:r>
      <w:r>
        <w:fldChar w:fldCharType="end"/>
      </w:r>
    </w:p>
    <w:p>
      <w:pPr>
        <w:pStyle w:val="TOC8"/>
        <w:rPr>
          <w:rFonts w:asciiTheme="minorHAnsi" w:eastAsiaTheme="minorEastAsia" w:hAnsiTheme="minorHAnsi" w:cstheme="minorBidi"/>
          <w:szCs w:val="22"/>
        </w:rPr>
      </w:pPr>
      <w:r>
        <w:t>103K</w:t>
      </w:r>
      <w:r>
        <w:rPr>
          <w:snapToGrid w:val="0"/>
        </w:rPr>
        <w:t>.</w:t>
      </w:r>
      <w:r>
        <w:rPr>
          <w:snapToGrid w:val="0"/>
        </w:rPr>
        <w:tab/>
        <w:t>Order for compliance with s. 54A</w:t>
      </w:r>
      <w:r>
        <w:tab/>
      </w:r>
      <w:r>
        <w:fldChar w:fldCharType="begin"/>
      </w:r>
      <w:r>
        <w:instrText xml:space="preserve"> PAGEREF _Toc476927407 \h </w:instrText>
      </w:r>
      <w:r>
        <w:fldChar w:fldCharType="separate"/>
      </w:r>
      <w:r>
        <w:t>183</w:t>
      </w:r>
      <w:r>
        <w:fldChar w:fldCharType="end"/>
      </w:r>
    </w:p>
    <w:p>
      <w:pPr>
        <w:pStyle w:val="TOC8"/>
        <w:rPr>
          <w:rFonts w:asciiTheme="minorHAnsi" w:eastAsiaTheme="minorEastAsia" w:hAnsiTheme="minorHAnsi" w:cstheme="minorBidi"/>
          <w:szCs w:val="22"/>
        </w:rPr>
      </w:pPr>
      <w:r>
        <w:t>103L</w:t>
      </w:r>
      <w:r>
        <w:rPr>
          <w:snapToGrid w:val="0"/>
        </w:rPr>
        <w:t>.</w:t>
      </w:r>
      <w:r>
        <w:rPr>
          <w:snapToGrid w:val="0"/>
        </w:rPr>
        <w:tab/>
        <w:t>Order to contribute to insurance premium paid by proprietor</w:t>
      </w:r>
      <w:r>
        <w:tab/>
      </w:r>
      <w:r>
        <w:fldChar w:fldCharType="begin"/>
      </w:r>
      <w:r>
        <w:instrText xml:space="preserve"> PAGEREF _Toc476927408 \h </w:instrText>
      </w:r>
      <w:r>
        <w:fldChar w:fldCharType="separate"/>
      </w:r>
      <w:r>
        <w:t>184</w:t>
      </w:r>
      <w:r>
        <w:fldChar w:fldCharType="end"/>
      </w:r>
    </w:p>
    <w:p>
      <w:pPr>
        <w:pStyle w:val="TOC8"/>
        <w:rPr>
          <w:rFonts w:asciiTheme="minorHAnsi" w:eastAsiaTheme="minorEastAsia" w:hAnsiTheme="minorHAnsi" w:cstheme="minorBidi"/>
          <w:szCs w:val="22"/>
        </w:rPr>
      </w:pPr>
      <w:r>
        <w:t>103M</w:t>
      </w:r>
      <w:r>
        <w:rPr>
          <w:snapToGrid w:val="0"/>
        </w:rPr>
        <w:t>.</w:t>
      </w:r>
      <w:r>
        <w:rPr>
          <w:snapToGrid w:val="0"/>
        </w:rPr>
        <w:tab/>
        <w:t>Order as to resolution under s. 21F or 21Q</w:t>
      </w:r>
      <w:r>
        <w:tab/>
      </w:r>
      <w:r>
        <w:fldChar w:fldCharType="begin"/>
      </w:r>
      <w:r>
        <w:instrText xml:space="preserve"> PAGEREF _Toc476927409 \h </w:instrText>
      </w:r>
      <w:r>
        <w:fldChar w:fldCharType="separate"/>
      </w:r>
      <w:r>
        <w:t>185</w:t>
      </w:r>
      <w:r>
        <w:fldChar w:fldCharType="end"/>
      </w:r>
    </w:p>
    <w:p>
      <w:pPr>
        <w:pStyle w:val="TOC8"/>
        <w:rPr>
          <w:rFonts w:asciiTheme="minorHAnsi" w:eastAsiaTheme="minorEastAsia" w:hAnsiTheme="minorHAnsi" w:cstheme="minorBidi"/>
          <w:szCs w:val="22"/>
        </w:rPr>
      </w:pPr>
      <w:r>
        <w:t>103N</w:t>
      </w:r>
      <w:r>
        <w:rPr>
          <w:snapToGrid w:val="0"/>
        </w:rPr>
        <w:t>.</w:t>
      </w:r>
      <w:r>
        <w:rPr>
          <w:snapToGrid w:val="0"/>
        </w:rPr>
        <w:tab/>
        <w:t>Order for extension of period for reinstatement of building under s. 3AB(2)</w:t>
      </w:r>
      <w:r>
        <w:tab/>
      </w:r>
      <w:r>
        <w:fldChar w:fldCharType="begin"/>
      </w:r>
      <w:r>
        <w:instrText xml:space="preserve"> PAGEREF _Toc476927410 \h </w:instrText>
      </w:r>
      <w:r>
        <w:fldChar w:fldCharType="separate"/>
      </w:r>
      <w:r>
        <w:t>186</w:t>
      </w:r>
      <w:r>
        <w:fldChar w:fldCharType="end"/>
      </w:r>
    </w:p>
    <w:p>
      <w:pPr>
        <w:pStyle w:val="TOC8"/>
        <w:rPr>
          <w:rFonts w:asciiTheme="minorHAnsi" w:eastAsiaTheme="minorEastAsia" w:hAnsiTheme="minorHAnsi" w:cstheme="minorBidi"/>
          <w:szCs w:val="22"/>
        </w:rPr>
      </w:pPr>
      <w:r>
        <w:t>103O</w:t>
      </w:r>
      <w:r>
        <w:rPr>
          <w:snapToGrid w:val="0"/>
        </w:rPr>
        <w:t>.</w:t>
      </w:r>
      <w:r>
        <w:rPr>
          <w:snapToGrid w:val="0"/>
        </w:rPr>
        <w:tab/>
        <w:t>Order for extension of period for reinstatement of building under regulations</w:t>
      </w:r>
      <w:r>
        <w:tab/>
      </w:r>
      <w:r>
        <w:fldChar w:fldCharType="begin"/>
      </w:r>
      <w:r>
        <w:instrText xml:space="preserve"> PAGEREF _Toc476927411 \h </w:instrText>
      </w:r>
      <w:r>
        <w:fldChar w:fldCharType="separate"/>
      </w:r>
      <w:r>
        <w:t>186</w:t>
      </w:r>
      <w:r>
        <w:fldChar w:fldCharType="end"/>
      </w:r>
    </w:p>
    <w:p>
      <w:pPr>
        <w:pStyle w:val="TOC8"/>
        <w:rPr>
          <w:rFonts w:asciiTheme="minorHAnsi" w:eastAsiaTheme="minorEastAsia" w:hAnsiTheme="minorHAnsi" w:cstheme="minorBidi"/>
          <w:szCs w:val="22"/>
        </w:rPr>
      </w:pPr>
      <w:r>
        <w:t>103P</w:t>
      </w:r>
      <w:r>
        <w:rPr>
          <w:snapToGrid w:val="0"/>
        </w:rPr>
        <w:t>.</w:t>
      </w:r>
      <w:r>
        <w:rPr>
          <w:snapToGrid w:val="0"/>
        </w:rPr>
        <w:tab/>
        <w:t>Order reversing the effect of s. 21M</w:t>
      </w:r>
      <w:r>
        <w:tab/>
      </w:r>
      <w:r>
        <w:fldChar w:fldCharType="begin"/>
      </w:r>
      <w:r>
        <w:instrText xml:space="preserve"> PAGEREF _Toc476927412 \h </w:instrText>
      </w:r>
      <w:r>
        <w:fldChar w:fldCharType="separate"/>
      </w:r>
      <w:r>
        <w:t>187</w:t>
      </w:r>
      <w:r>
        <w:fldChar w:fldCharType="end"/>
      </w:r>
    </w:p>
    <w:p>
      <w:pPr>
        <w:pStyle w:val="TOC8"/>
        <w:rPr>
          <w:rFonts w:asciiTheme="minorHAnsi" w:eastAsiaTheme="minorEastAsia" w:hAnsiTheme="minorHAnsi" w:cstheme="minorBidi"/>
          <w:szCs w:val="22"/>
        </w:rPr>
      </w:pPr>
      <w:r>
        <w:t>103Q</w:t>
      </w:r>
      <w:r>
        <w:rPr>
          <w:snapToGrid w:val="0"/>
        </w:rPr>
        <w:t>.</w:t>
      </w:r>
      <w:r>
        <w:rPr>
          <w:snapToGrid w:val="0"/>
        </w:rPr>
        <w:tab/>
        <w:t>Order rectifying failure to give notice under s. 123A</w:t>
      </w:r>
      <w:r>
        <w:tab/>
      </w:r>
      <w:r>
        <w:fldChar w:fldCharType="begin"/>
      </w:r>
      <w:r>
        <w:instrText xml:space="preserve"> PAGEREF _Toc476927413 \h </w:instrText>
      </w:r>
      <w:r>
        <w:fldChar w:fldCharType="separate"/>
      </w:r>
      <w:r>
        <w:t>189</w:t>
      </w:r>
      <w:r>
        <w:fldChar w:fldCharType="end"/>
      </w:r>
    </w:p>
    <w:p>
      <w:pPr>
        <w:pStyle w:val="TOC8"/>
        <w:rPr>
          <w:rFonts w:asciiTheme="minorHAnsi" w:eastAsiaTheme="minorEastAsia" w:hAnsiTheme="minorHAnsi" w:cstheme="minorBidi"/>
          <w:szCs w:val="22"/>
        </w:rPr>
      </w:pPr>
      <w:r>
        <w:t>103R</w:t>
      </w:r>
      <w:r>
        <w:rPr>
          <w:snapToGrid w:val="0"/>
        </w:rPr>
        <w:t>.</w:t>
      </w:r>
      <w:r>
        <w:rPr>
          <w:snapToGrid w:val="0"/>
        </w:rPr>
        <w:tab/>
        <w:t>Order rectifying failure to give notice under s. 123C</w:t>
      </w:r>
      <w:r>
        <w:tab/>
      </w:r>
      <w:r>
        <w:fldChar w:fldCharType="begin"/>
      </w:r>
      <w:r>
        <w:instrText xml:space="preserve"> PAGEREF _Toc476927414 \h </w:instrText>
      </w:r>
      <w:r>
        <w:fldChar w:fldCharType="separate"/>
      </w:r>
      <w:r>
        <w:t>190</w:t>
      </w:r>
      <w:r>
        <w:fldChar w:fldCharType="end"/>
      </w:r>
    </w:p>
    <w:p>
      <w:pPr>
        <w:pStyle w:val="TOC8"/>
        <w:rPr>
          <w:rFonts w:asciiTheme="minorHAnsi" w:eastAsiaTheme="minorEastAsia" w:hAnsiTheme="minorHAnsi" w:cstheme="minorBidi"/>
          <w:szCs w:val="22"/>
        </w:rPr>
      </w:pPr>
      <w:r>
        <w:t>104</w:t>
      </w:r>
      <w:r>
        <w:rPr>
          <w:snapToGrid w:val="0"/>
        </w:rPr>
        <w:t>.</w:t>
      </w:r>
      <w:r>
        <w:rPr>
          <w:snapToGrid w:val="0"/>
        </w:rPr>
        <w:tab/>
        <w:t>Copy of order to be served</w:t>
      </w:r>
      <w:r>
        <w:tab/>
      </w:r>
      <w:r>
        <w:fldChar w:fldCharType="begin"/>
      </w:r>
      <w:r>
        <w:instrText xml:space="preserve"> PAGEREF _Toc476927415 \h </w:instrText>
      </w:r>
      <w:r>
        <w:fldChar w:fldCharType="separate"/>
      </w:r>
      <w:r>
        <w:t>191</w:t>
      </w:r>
      <w:r>
        <w:fldChar w:fldCharType="end"/>
      </w:r>
    </w:p>
    <w:p>
      <w:pPr>
        <w:pStyle w:val="TOC4"/>
        <w:tabs>
          <w:tab w:val="right" w:leader="dot" w:pos="7077"/>
        </w:tabs>
        <w:rPr>
          <w:rFonts w:asciiTheme="minorHAnsi" w:eastAsiaTheme="minorEastAsia" w:hAnsiTheme="minorHAnsi" w:cstheme="minorBidi"/>
          <w:b w:val="0"/>
          <w:szCs w:val="22"/>
        </w:rPr>
      </w:pPr>
      <w:r>
        <w:t>Division 4</w:t>
      </w:r>
      <w:r>
        <w:rPr>
          <w:snapToGrid w:val="0"/>
        </w:rPr>
        <w:t> — </w:t>
      </w:r>
      <w:r>
        <w:t>Appeals</w:t>
      </w:r>
    </w:p>
    <w:p>
      <w:pPr>
        <w:pStyle w:val="TOC8"/>
        <w:rPr>
          <w:rFonts w:asciiTheme="minorHAnsi" w:eastAsiaTheme="minorEastAsia" w:hAnsiTheme="minorHAnsi" w:cstheme="minorBidi"/>
          <w:szCs w:val="22"/>
        </w:rPr>
      </w:pPr>
      <w:r>
        <w:t>111</w:t>
      </w:r>
      <w:r>
        <w:rPr>
          <w:snapToGrid w:val="0"/>
        </w:rPr>
        <w:t>.</w:t>
      </w:r>
      <w:r>
        <w:rPr>
          <w:snapToGrid w:val="0"/>
        </w:rPr>
        <w:tab/>
        <w:t>Expenses of strata company on appeal</w:t>
      </w:r>
      <w:r>
        <w:tab/>
      </w:r>
      <w:r>
        <w:fldChar w:fldCharType="begin"/>
      </w:r>
      <w:r>
        <w:instrText xml:space="preserve"> PAGEREF _Toc476927417 \h </w:instrText>
      </w:r>
      <w:r>
        <w:fldChar w:fldCharType="separate"/>
      </w:r>
      <w:r>
        <w:t>192</w:t>
      </w:r>
      <w:r>
        <w:fldChar w:fldCharType="end"/>
      </w:r>
    </w:p>
    <w:p>
      <w:pPr>
        <w:pStyle w:val="TOC8"/>
        <w:rPr>
          <w:rFonts w:asciiTheme="minorHAnsi" w:eastAsiaTheme="minorEastAsia" w:hAnsiTheme="minorHAnsi" w:cstheme="minorBidi"/>
          <w:szCs w:val="22"/>
        </w:rPr>
      </w:pPr>
      <w:r>
        <w:t>113</w:t>
      </w:r>
      <w:r>
        <w:rPr>
          <w:snapToGrid w:val="0"/>
        </w:rPr>
        <w:t>.</w:t>
      </w:r>
      <w:r>
        <w:rPr>
          <w:snapToGrid w:val="0"/>
        </w:rPr>
        <w:tab/>
        <w:t>Copy of order to be served</w:t>
      </w:r>
      <w:r>
        <w:tab/>
      </w:r>
      <w:r>
        <w:fldChar w:fldCharType="begin"/>
      </w:r>
      <w:r>
        <w:instrText xml:space="preserve"> PAGEREF _Toc476927418 \h </w:instrText>
      </w:r>
      <w:r>
        <w:fldChar w:fldCharType="separate"/>
      </w:r>
      <w:r>
        <w:t>192</w:t>
      </w:r>
      <w:r>
        <w:fldChar w:fldCharType="end"/>
      </w:r>
    </w:p>
    <w:p>
      <w:pPr>
        <w:pStyle w:val="TOC4"/>
        <w:tabs>
          <w:tab w:val="right" w:leader="dot" w:pos="7077"/>
        </w:tabs>
        <w:rPr>
          <w:rFonts w:asciiTheme="minorHAnsi" w:eastAsiaTheme="minorEastAsia" w:hAnsiTheme="minorHAnsi" w:cstheme="minorBidi"/>
          <w:b w:val="0"/>
          <w:szCs w:val="22"/>
        </w:rPr>
      </w:pPr>
      <w:r>
        <w:t>Division 5</w:t>
      </w:r>
      <w:r>
        <w:rPr>
          <w:snapToGrid w:val="0"/>
        </w:rPr>
        <w:t> — </w:t>
      </w:r>
      <w:r>
        <w:t>Miscellaneous</w:t>
      </w:r>
    </w:p>
    <w:p>
      <w:pPr>
        <w:pStyle w:val="TOC8"/>
        <w:rPr>
          <w:rFonts w:asciiTheme="minorHAnsi" w:eastAsiaTheme="minorEastAsia" w:hAnsiTheme="minorHAnsi" w:cstheme="minorBidi"/>
          <w:szCs w:val="22"/>
        </w:rPr>
      </w:pPr>
      <w:r>
        <w:t>114</w:t>
      </w:r>
      <w:r>
        <w:rPr>
          <w:snapToGrid w:val="0"/>
        </w:rPr>
        <w:t>.</w:t>
      </w:r>
      <w:r>
        <w:rPr>
          <w:snapToGrid w:val="0"/>
        </w:rPr>
        <w:tab/>
        <w:t>Effect of certain orders</w:t>
      </w:r>
      <w:r>
        <w:tab/>
      </w:r>
      <w:r>
        <w:fldChar w:fldCharType="begin"/>
      </w:r>
      <w:r>
        <w:instrText xml:space="preserve"> PAGEREF _Toc476927420 \h </w:instrText>
      </w:r>
      <w:r>
        <w:fldChar w:fldCharType="separate"/>
      </w:r>
      <w:r>
        <w:t>193</w:t>
      </w:r>
      <w:r>
        <w:fldChar w:fldCharType="end"/>
      </w:r>
    </w:p>
    <w:p>
      <w:pPr>
        <w:pStyle w:val="TOC8"/>
        <w:rPr>
          <w:rFonts w:asciiTheme="minorHAnsi" w:eastAsiaTheme="minorEastAsia" w:hAnsiTheme="minorHAnsi" w:cstheme="minorBidi"/>
          <w:szCs w:val="22"/>
        </w:rPr>
      </w:pPr>
      <w:r>
        <w:t>115</w:t>
      </w:r>
      <w:r>
        <w:rPr>
          <w:snapToGrid w:val="0"/>
        </w:rPr>
        <w:t>.</w:t>
      </w:r>
      <w:r>
        <w:rPr>
          <w:snapToGrid w:val="0"/>
        </w:rPr>
        <w:tab/>
        <w:t>Recording of certain orders</w:t>
      </w:r>
      <w:r>
        <w:tab/>
      </w:r>
      <w:r>
        <w:fldChar w:fldCharType="begin"/>
      </w:r>
      <w:r>
        <w:instrText xml:space="preserve"> PAGEREF _Toc476927421 \h </w:instrText>
      </w:r>
      <w:r>
        <w:fldChar w:fldCharType="separate"/>
      </w:r>
      <w:r>
        <w:t>194</w:t>
      </w:r>
      <w:r>
        <w:fldChar w:fldCharType="end"/>
      </w:r>
    </w:p>
    <w:p>
      <w:pPr>
        <w:pStyle w:val="TOC8"/>
        <w:rPr>
          <w:rFonts w:asciiTheme="minorHAnsi" w:eastAsiaTheme="minorEastAsia" w:hAnsiTheme="minorHAnsi" w:cstheme="minorBidi"/>
          <w:szCs w:val="22"/>
        </w:rPr>
      </w:pPr>
      <w:r>
        <w:t>121</w:t>
      </w:r>
      <w:r>
        <w:rPr>
          <w:snapToGrid w:val="0"/>
        </w:rPr>
        <w:t>.</w:t>
      </w:r>
      <w:r>
        <w:rPr>
          <w:snapToGrid w:val="0"/>
        </w:rPr>
        <w:tab/>
        <w:t>SAT not to have jurisdiction where title to land in question</w:t>
      </w:r>
      <w:r>
        <w:tab/>
      </w:r>
      <w:r>
        <w:fldChar w:fldCharType="begin"/>
      </w:r>
      <w:r>
        <w:instrText xml:space="preserve"> PAGEREF _Toc476927422 \h </w:instrText>
      </w:r>
      <w:r>
        <w:fldChar w:fldCharType="separate"/>
      </w:r>
      <w:r>
        <w:t>194</w:t>
      </w:r>
      <w:r>
        <w:fldChar w:fldCharType="end"/>
      </w:r>
    </w:p>
    <w:p>
      <w:pPr>
        <w:pStyle w:val="TOC2"/>
        <w:tabs>
          <w:tab w:val="right" w:leader="dot" w:pos="7077"/>
        </w:tabs>
        <w:rPr>
          <w:rFonts w:asciiTheme="minorHAnsi" w:eastAsiaTheme="minorEastAsia" w:hAnsiTheme="minorHAnsi" w:cstheme="minorBidi"/>
          <w:b w:val="0"/>
          <w:sz w:val="22"/>
          <w:szCs w:val="22"/>
        </w:rPr>
      </w:pPr>
      <w:r>
        <w:t>Part VII — Miscellaneous</w:t>
      </w:r>
    </w:p>
    <w:p>
      <w:pPr>
        <w:pStyle w:val="TOC8"/>
        <w:rPr>
          <w:rFonts w:asciiTheme="minorHAnsi" w:eastAsiaTheme="minorEastAsia" w:hAnsiTheme="minorHAnsi" w:cstheme="minorBidi"/>
          <w:szCs w:val="22"/>
        </w:rPr>
      </w:pPr>
      <w:r>
        <w:t>122</w:t>
      </w:r>
      <w:r>
        <w:rPr>
          <w:snapToGrid w:val="0"/>
        </w:rPr>
        <w:t>.</w:t>
      </w:r>
      <w:r>
        <w:rPr>
          <w:snapToGrid w:val="0"/>
        </w:rPr>
        <w:tab/>
        <w:t>Other rights and remedies not affected by this Act</w:t>
      </w:r>
      <w:r>
        <w:tab/>
      </w:r>
      <w:r>
        <w:fldChar w:fldCharType="begin"/>
      </w:r>
      <w:r>
        <w:instrText xml:space="preserve"> PAGEREF _Toc476927424 \h </w:instrText>
      </w:r>
      <w:r>
        <w:fldChar w:fldCharType="separate"/>
      </w:r>
      <w:r>
        <w:t>196</w:t>
      </w:r>
      <w:r>
        <w:fldChar w:fldCharType="end"/>
      </w:r>
    </w:p>
    <w:p>
      <w:pPr>
        <w:pStyle w:val="TOC8"/>
        <w:rPr>
          <w:rFonts w:asciiTheme="minorHAnsi" w:eastAsiaTheme="minorEastAsia" w:hAnsiTheme="minorHAnsi" w:cstheme="minorBidi"/>
          <w:szCs w:val="22"/>
        </w:rPr>
      </w:pPr>
      <w:r>
        <w:t>122A</w:t>
      </w:r>
      <w:r>
        <w:rPr>
          <w:snapToGrid w:val="0"/>
        </w:rPr>
        <w:t>.</w:t>
      </w:r>
      <w:r>
        <w:rPr>
          <w:snapToGrid w:val="0"/>
        </w:rPr>
        <w:tab/>
        <w:t>Caravan and camping areas not to be subdivided</w:t>
      </w:r>
      <w:r>
        <w:tab/>
      </w:r>
      <w:r>
        <w:fldChar w:fldCharType="begin"/>
      </w:r>
      <w:r>
        <w:instrText xml:space="preserve"> PAGEREF _Toc476927425 \h </w:instrText>
      </w:r>
      <w:r>
        <w:fldChar w:fldCharType="separate"/>
      </w:r>
      <w:r>
        <w:t>196</w:t>
      </w:r>
      <w:r>
        <w:fldChar w:fldCharType="end"/>
      </w:r>
    </w:p>
    <w:p>
      <w:pPr>
        <w:pStyle w:val="TOC8"/>
        <w:rPr>
          <w:rFonts w:asciiTheme="minorHAnsi" w:eastAsiaTheme="minorEastAsia" w:hAnsiTheme="minorHAnsi" w:cstheme="minorBidi"/>
          <w:szCs w:val="22"/>
        </w:rPr>
      </w:pPr>
      <w:r>
        <w:t>123</w:t>
      </w:r>
      <w:r>
        <w:rPr>
          <w:snapToGrid w:val="0"/>
        </w:rPr>
        <w:t>.</w:t>
      </w:r>
      <w:r>
        <w:rPr>
          <w:snapToGrid w:val="0"/>
        </w:rPr>
        <w:tab/>
        <w:t>Dividing fences</w:t>
      </w:r>
      <w:r>
        <w:tab/>
      </w:r>
      <w:r>
        <w:fldChar w:fldCharType="begin"/>
      </w:r>
      <w:r>
        <w:instrText xml:space="preserve"> PAGEREF _Toc476927426 \h </w:instrText>
      </w:r>
      <w:r>
        <w:fldChar w:fldCharType="separate"/>
      </w:r>
      <w:r>
        <w:t>197</w:t>
      </w:r>
      <w:r>
        <w:fldChar w:fldCharType="end"/>
      </w:r>
    </w:p>
    <w:p>
      <w:pPr>
        <w:pStyle w:val="TOC8"/>
        <w:rPr>
          <w:rFonts w:asciiTheme="minorHAnsi" w:eastAsiaTheme="minorEastAsia" w:hAnsiTheme="minorHAnsi" w:cstheme="minorBidi"/>
          <w:szCs w:val="22"/>
        </w:rPr>
      </w:pPr>
      <w:r>
        <w:t>123A</w:t>
      </w:r>
      <w:r>
        <w:rPr>
          <w:snapToGrid w:val="0"/>
        </w:rPr>
        <w:t>.</w:t>
      </w:r>
      <w:r>
        <w:rPr>
          <w:snapToGrid w:val="0"/>
        </w:rPr>
        <w:tab/>
        <w:t>Transitional provision as to dividing fences</w:t>
      </w:r>
      <w:r>
        <w:tab/>
      </w:r>
      <w:r>
        <w:fldChar w:fldCharType="begin"/>
      </w:r>
      <w:r>
        <w:instrText xml:space="preserve"> PAGEREF _Toc476927427 \h </w:instrText>
      </w:r>
      <w:r>
        <w:fldChar w:fldCharType="separate"/>
      </w:r>
      <w:r>
        <w:t>197</w:t>
      </w:r>
      <w:r>
        <w:fldChar w:fldCharType="end"/>
      </w:r>
    </w:p>
    <w:p>
      <w:pPr>
        <w:pStyle w:val="TOC8"/>
        <w:rPr>
          <w:rFonts w:asciiTheme="minorHAnsi" w:eastAsiaTheme="minorEastAsia" w:hAnsiTheme="minorHAnsi" w:cstheme="minorBidi"/>
          <w:szCs w:val="22"/>
        </w:rPr>
      </w:pPr>
      <w:r>
        <w:t>123B</w:t>
      </w:r>
      <w:r>
        <w:rPr>
          <w:snapToGrid w:val="0"/>
        </w:rPr>
        <w:t>.</w:t>
      </w:r>
      <w:r>
        <w:rPr>
          <w:snapToGrid w:val="0"/>
        </w:rPr>
        <w:tab/>
        <w:t>Internal fencing</w:t>
      </w:r>
      <w:r>
        <w:tab/>
      </w:r>
      <w:r>
        <w:fldChar w:fldCharType="begin"/>
      </w:r>
      <w:r>
        <w:instrText xml:space="preserve"> PAGEREF _Toc476927428 \h </w:instrText>
      </w:r>
      <w:r>
        <w:fldChar w:fldCharType="separate"/>
      </w:r>
      <w:r>
        <w:t>199</w:t>
      </w:r>
      <w:r>
        <w:fldChar w:fldCharType="end"/>
      </w:r>
    </w:p>
    <w:p>
      <w:pPr>
        <w:pStyle w:val="TOC8"/>
        <w:rPr>
          <w:rFonts w:asciiTheme="minorHAnsi" w:eastAsiaTheme="minorEastAsia" w:hAnsiTheme="minorHAnsi" w:cstheme="minorBidi"/>
          <w:szCs w:val="22"/>
        </w:rPr>
      </w:pPr>
      <w:r>
        <w:t>123C</w:t>
      </w:r>
      <w:r>
        <w:rPr>
          <w:snapToGrid w:val="0"/>
        </w:rPr>
        <w:t>.</w:t>
      </w:r>
      <w:r>
        <w:rPr>
          <w:snapToGrid w:val="0"/>
        </w:rPr>
        <w:tab/>
        <w:t>Transitional provision as to internal fencing</w:t>
      </w:r>
      <w:r>
        <w:tab/>
      </w:r>
      <w:r>
        <w:fldChar w:fldCharType="begin"/>
      </w:r>
      <w:r>
        <w:instrText xml:space="preserve"> PAGEREF _Toc476927429 \h </w:instrText>
      </w:r>
      <w:r>
        <w:fldChar w:fldCharType="separate"/>
      </w:r>
      <w:r>
        <w:t>199</w:t>
      </w:r>
      <w:r>
        <w:fldChar w:fldCharType="end"/>
      </w:r>
    </w:p>
    <w:p>
      <w:pPr>
        <w:pStyle w:val="TOC8"/>
        <w:rPr>
          <w:rFonts w:asciiTheme="minorHAnsi" w:eastAsiaTheme="minorEastAsia" w:hAnsiTheme="minorHAnsi" w:cstheme="minorBidi"/>
          <w:szCs w:val="22"/>
        </w:rPr>
      </w:pPr>
      <w:r>
        <w:t>124</w:t>
      </w:r>
      <w:r>
        <w:rPr>
          <w:snapToGrid w:val="0"/>
        </w:rPr>
        <w:t>.</w:t>
      </w:r>
      <w:r>
        <w:rPr>
          <w:snapToGrid w:val="0"/>
        </w:rPr>
        <w:tab/>
        <w:t>Notice of application for order under s. 28, 29 or 31</w:t>
      </w:r>
      <w:r>
        <w:tab/>
      </w:r>
      <w:r>
        <w:fldChar w:fldCharType="begin"/>
      </w:r>
      <w:r>
        <w:instrText xml:space="preserve"> PAGEREF _Toc476927430 \h </w:instrText>
      </w:r>
      <w:r>
        <w:fldChar w:fldCharType="separate"/>
      </w:r>
      <w:r>
        <w:t>201</w:t>
      </w:r>
      <w:r>
        <w:fldChar w:fldCharType="end"/>
      </w:r>
    </w:p>
    <w:p>
      <w:pPr>
        <w:pStyle w:val="TOC8"/>
        <w:rPr>
          <w:rFonts w:asciiTheme="minorHAnsi" w:eastAsiaTheme="minorEastAsia" w:hAnsiTheme="minorHAnsi" w:cstheme="minorBidi"/>
          <w:szCs w:val="22"/>
        </w:rPr>
      </w:pPr>
      <w:r>
        <w:t>125</w:t>
      </w:r>
      <w:r>
        <w:rPr>
          <w:snapToGrid w:val="0"/>
        </w:rPr>
        <w:t>.</w:t>
      </w:r>
      <w:r>
        <w:rPr>
          <w:snapToGrid w:val="0"/>
        </w:rPr>
        <w:tab/>
        <w:t>Service of documents on strata company, proprietors and others</w:t>
      </w:r>
      <w:r>
        <w:tab/>
      </w:r>
      <w:r>
        <w:fldChar w:fldCharType="begin"/>
      </w:r>
      <w:r>
        <w:instrText xml:space="preserve"> PAGEREF _Toc476927431 \h </w:instrText>
      </w:r>
      <w:r>
        <w:fldChar w:fldCharType="separate"/>
      </w:r>
      <w:r>
        <w:t>201</w:t>
      </w:r>
      <w:r>
        <w:fldChar w:fldCharType="end"/>
      </w:r>
    </w:p>
    <w:p>
      <w:pPr>
        <w:pStyle w:val="TOC8"/>
        <w:rPr>
          <w:rFonts w:asciiTheme="minorHAnsi" w:eastAsiaTheme="minorEastAsia" w:hAnsiTheme="minorHAnsi" w:cstheme="minorBidi"/>
          <w:szCs w:val="22"/>
        </w:rPr>
      </w:pPr>
      <w:r>
        <w:t>126</w:t>
      </w:r>
      <w:r>
        <w:rPr>
          <w:snapToGrid w:val="0"/>
        </w:rPr>
        <w:t>.</w:t>
      </w:r>
      <w:r>
        <w:rPr>
          <w:snapToGrid w:val="0"/>
        </w:rPr>
        <w:tab/>
        <w:t>Powers of entry by public authority or local government</w:t>
      </w:r>
      <w:r>
        <w:tab/>
      </w:r>
      <w:r>
        <w:fldChar w:fldCharType="begin"/>
      </w:r>
      <w:r>
        <w:instrText xml:space="preserve"> PAGEREF _Toc476927432 \h </w:instrText>
      </w:r>
      <w:r>
        <w:fldChar w:fldCharType="separate"/>
      </w:r>
      <w:r>
        <w:t>203</w:t>
      </w:r>
      <w:r>
        <w:fldChar w:fldCharType="end"/>
      </w:r>
    </w:p>
    <w:p>
      <w:pPr>
        <w:pStyle w:val="TOC8"/>
        <w:rPr>
          <w:rFonts w:asciiTheme="minorHAnsi" w:eastAsiaTheme="minorEastAsia" w:hAnsiTheme="minorHAnsi" w:cstheme="minorBidi"/>
          <w:szCs w:val="22"/>
        </w:rPr>
      </w:pPr>
      <w:r>
        <w:t>127</w:t>
      </w:r>
      <w:r>
        <w:rPr>
          <w:snapToGrid w:val="0"/>
        </w:rPr>
        <w:t>.</w:t>
      </w:r>
      <w:r>
        <w:rPr>
          <w:snapToGrid w:val="0"/>
        </w:rPr>
        <w:tab/>
        <w:t>Service of orders by public authority or local government</w:t>
      </w:r>
      <w:r>
        <w:tab/>
      </w:r>
      <w:r>
        <w:fldChar w:fldCharType="begin"/>
      </w:r>
      <w:r>
        <w:instrText xml:space="preserve"> PAGEREF _Toc476927433 \h </w:instrText>
      </w:r>
      <w:r>
        <w:fldChar w:fldCharType="separate"/>
      </w:r>
      <w:r>
        <w:t>203</w:t>
      </w:r>
      <w:r>
        <w:fldChar w:fldCharType="end"/>
      </w:r>
    </w:p>
    <w:p>
      <w:pPr>
        <w:pStyle w:val="TOC8"/>
        <w:rPr>
          <w:rFonts w:asciiTheme="minorHAnsi" w:eastAsiaTheme="minorEastAsia" w:hAnsiTheme="minorHAnsi" w:cstheme="minorBidi"/>
          <w:szCs w:val="22"/>
        </w:rPr>
      </w:pPr>
      <w:r>
        <w:t>129</w:t>
      </w:r>
      <w:r>
        <w:rPr>
          <w:snapToGrid w:val="0"/>
        </w:rPr>
        <w:t>.</w:t>
      </w:r>
      <w:r>
        <w:rPr>
          <w:snapToGrid w:val="0"/>
        </w:rPr>
        <w:tab/>
        <w:t>Procedure upon application to District Court</w:t>
      </w:r>
      <w:r>
        <w:tab/>
      </w:r>
      <w:r>
        <w:fldChar w:fldCharType="begin"/>
      </w:r>
      <w:r>
        <w:instrText xml:space="preserve"> PAGEREF _Toc476927434 \h </w:instrText>
      </w:r>
      <w:r>
        <w:fldChar w:fldCharType="separate"/>
      </w:r>
      <w:r>
        <w:t>204</w:t>
      </w:r>
      <w:r>
        <w:fldChar w:fldCharType="end"/>
      </w:r>
    </w:p>
    <w:p>
      <w:pPr>
        <w:pStyle w:val="TOC8"/>
        <w:rPr>
          <w:rFonts w:asciiTheme="minorHAnsi" w:eastAsiaTheme="minorEastAsia" w:hAnsiTheme="minorHAnsi" w:cstheme="minorBidi"/>
          <w:szCs w:val="22"/>
        </w:rPr>
      </w:pPr>
      <w:r>
        <w:t>129A</w:t>
      </w:r>
      <w:r>
        <w:rPr>
          <w:snapToGrid w:val="0"/>
        </w:rPr>
        <w:t>.</w:t>
      </w:r>
      <w:r>
        <w:rPr>
          <w:snapToGrid w:val="0"/>
        </w:rPr>
        <w:tab/>
        <w:t>Correction of errors by Registrar</w:t>
      </w:r>
      <w:r>
        <w:tab/>
      </w:r>
      <w:r>
        <w:fldChar w:fldCharType="begin"/>
      </w:r>
      <w:r>
        <w:instrText xml:space="preserve"> PAGEREF _Toc476927435 \h </w:instrText>
      </w:r>
      <w:r>
        <w:fldChar w:fldCharType="separate"/>
      </w:r>
      <w:r>
        <w:t>204</w:t>
      </w:r>
      <w:r>
        <w:fldChar w:fldCharType="end"/>
      </w:r>
    </w:p>
    <w:p>
      <w:pPr>
        <w:pStyle w:val="TOC8"/>
        <w:rPr>
          <w:rFonts w:asciiTheme="minorHAnsi" w:eastAsiaTheme="minorEastAsia" w:hAnsiTheme="minorHAnsi" w:cstheme="minorBidi"/>
          <w:szCs w:val="22"/>
        </w:rPr>
      </w:pPr>
      <w:r>
        <w:t>129B.</w:t>
      </w:r>
      <w:r>
        <w:tab/>
        <w:t>Delegation by Commissioner of Titles</w:t>
      </w:r>
      <w:r>
        <w:tab/>
      </w:r>
      <w:r>
        <w:fldChar w:fldCharType="begin"/>
      </w:r>
      <w:r>
        <w:instrText xml:space="preserve"> PAGEREF _Toc476927436 \h </w:instrText>
      </w:r>
      <w:r>
        <w:fldChar w:fldCharType="separate"/>
      </w:r>
      <w:r>
        <w:t>205</w:t>
      </w:r>
      <w:r>
        <w:fldChar w:fldCharType="end"/>
      </w:r>
    </w:p>
    <w:p>
      <w:pPr>
        <w:pStyle w:val="TOC8"/>
        <w:rPr>
          <w:rFonts w:asciiTheme="minorHAnsi" w:eastAsiaTheme="minorEastAsia" w:hAnsiTheme="minorHAnsi" w:cstheme="minorBidi"/>
          <w:szCs w:val="22"/>
        </w:rPr>
      </w:pPr>
      <w:r>
        <w:t>129C.</w:t>
      </w:r>
      <w:r>
        <w:tab/>
        <w:t>Delegation by Registrar of Titles</w:t>
      </w:r>
      <w:r>
        <w:tab/>
      </w:r>
      <w:r>
        <w:fldChar w:fldCharType="begin"/>
      </w:r>
      <w:r>
        <w:instrText xml:space="preserve"> PAGEREF _Toc476927437 \h </w:instrText>
      </w:r>
      <w:r>
        <w:fldChar w:fldCharType="separate"/>
      </w:r>
      <w:r>
        <w:t>206</w:t>
      </w:r>
      <w:r>
        <w:fldChar w:fldCharType="end"/>
      </w:r>
    </w:p>
    <w:p>
      <w:pPr>
        <w:pStyle w:val="TOC8"/>
        <w:rPr>
          <w:rFonts w:asciiTheme="minorHAnsi" w:eastAsiaTheme="minorEastAsia" w:hAnsiTheme="minorHAnsi" w:cstheme="minorBidi"/>
          <w:szCs w:val="22"/>
        </w:rPr>
      </w:pPr>
      <w:r>
        <w:t>129D.</w:t>
      </w:r>
      <w:r>
        <w:tab/>
        <w:t>Money received by Registrar</w:t>
      </w:r>
      <w:r>
        <w:tab/>
      </w:r>
      <w:r>
        <w:fldChar w:fldCharType="begin"/>
      </w:r>
      <w:r>
        <w:instrText xml:space="preserve"> PAGEREF _Toc476927438 \h </w:instrText>
      </w:r>
      <w:r>
        <w:fldChar w:fldCharType="separate"/>
      </w:r>
      <w:r>
        <w:t>206</w:t>
      </w:r>
      <w:r>
        <w:fldChar w:fldCharType="end"/>
      </w:r>
    </w:p>
    <w:p>
      <w:pPr>
        <w:pStyle w:val="TOC8"/>
        <w:rPr>
          <w:rFonts w:asciiTheme="minorHAnsi" w:eastAsiaTheme="minorEastAsia" w:hAnsiTheme="minorHAnsi" w:cstheme="minorBidi"/>
          <w:szCs w:val="22"/>
        </w:rPr>
      </w:pPr>
      <w:r>
        <w:t>130</w:t>
      </w:r>
      <w:r>
        <w:rPr>
          <w:snapToGrid w:val="0"/>
        </w:rPr>
        <w:t>.</w:t>
      </w:r>
      <w:r>
        <w:rPr>
          <w:snapToGrid w:val="0"/>
        </w:rPr>
        <w:tab/>
        <w:t>Regulations</w:t>
      </w:r>
      <w:r>
        <w:tab/>
      </w:r>
      <w:r>
        <w:fldChar w:fldCharType="begin"/>
      </w:r>
      <w:r>
        <w:instrText xml:space="preserve"> PAGEREF _Toc476927439 \h </w:instrText>
      </w:r>
      <w:r>
        <w:fldChar w:fldCharType="separate"/>
      </w:r>
      <w:r>
        <w:t>207</w:t>
      </w:r>
      <w:r>
        <w:fldChar w:fldCharType="end"/>
      </w:r>
    </w:p>
    <w:p>
      <w:pPr>
        <w:pStyle w:val="TOC8"/>
        <w:rPr>
          <w:rFonts w:asciiTheme="minorHAnsi" w:eastAsiaTheme="minorEastAsia" w:hAnsiTheme="minorHAnsi" w:cstheme="minorBidi"/>
          <w:szCs w:val="22"/>
        </w:rPr>
      </w:pPr>
      <w:r>
        <w:t>131A.</w:t>
      </w:r>
      <w:r>
        <w:tab/>
        <w:t>Certain prescribed fees may exceed cost recovery</w:t>
      </w:r>
      <w:r>
        <w:tab/>
      </w:r>
      <w:r>
        <w:fldChar w:fldCharType="begin"/>
      </w:r>
      <w:r>
        <w:instrText xml:space="preserve"> PAGEREF _Toc476927440 \h </w:instrText>
      </w:r>
      <w:r>
        <w:fldChar w:fldCharType="separate"/>
      </w:r>
      <w:r>
        <w:t>208</w:t>
      </w:r>
      <w:r>
        <w:fldChar w:fldCharType="end"/>
      </w:r>
    </w:p>
    <w:p>
      <w:pPr>
        <w:pStyle w:val="TOC8"/>
        <w:rPr>
          <w:rFonts w:asciiTheme="minorHAnsi" w:eastAsiaTheme="minorEastAsia" w:hAnsiTheme="minorHAnsi" w:cstheme="minorBidi"/>
          <w:szCs w:val="22"/>
        </w:rPr>
      </w:pPr>
      <w:r>
        <w:t>131B.</w:t>
      </w:r>
      <w:r>
        <w:tab/>
        <w:t>Expiry of section 131A</w:t>
      </w:r>
      <w:r>
        <w:tab/>
      </w:r>
      <w:r>
        <w:fldChar w:fldCharType="begin"/>
      </w:r>
      <w:r>
        <w:instrText xml:space="preserve"> PAGEREF _Toc476927441 \h </w:instrText>
      </w:r>
      <w:r>
        <w:fldChar w:fldCharType="separate"/>
      </w:r>
      <w:r>
        <w:t>208</w:t>
      </w:r>
      <w:r>
        <w:fldChar w:fldCharType="end"/>
      </w:r>
    </w:p>
    <w:p>
      <w:pPr>
        <w:pStyle w:val="TOC8"/>
        <w:rPr>
          <w:rFonts w:asciiTheme="minorHAnsi" w:eastAsiaTheme="minorEastAsia" w:hAnsiTheme="minorHAnsi" w:cstheme="minorBidi"/>
          <w:szCs w:val="22"/>
        </w:rPr>
      </w:pPr>
      <w:r>
        <w:t>132</w:t>
      </w:r>
      <w:r>
        <w:rPr>
          <w:snapToGrid w:val="0"/>
        </w:rPr>
        <w:t>.</w:t>
      </w:r>
      <w:r>
        <w:rPr>
          <w:snapToGrid w:val="0"/>
        </w:rPr>
        <w:tab/>
        <w:t>Transitional and savings</w:t>
      </w:r>
      <w:r>
        <w:tab/>
      </w:r>
      <w:r>
        <w:fldChar w:fldCharType="begin"/>
      </w:r>
      <w:r>
        <w:instrText xml:space="preserve"> PAGEREF _Toc476927442 \h </w:instrText>
      </w:r>
      <w:r>
        <w:fldChar w:fldCharType="separate"/>
      </w:r>
      <w:r>
        <w:t>209</w:t>
      </w:r>
      <w:r>
        <w:fldChar w:fldCharType="end"/>
      </w:r>
    </w:p>
    <w:p>
      <w:pPr>
        <w:pStyle w:val="TOC2"/>
        <w:tabs>
          <w:tab w:val="right" w:leader="dot" w:pos="7077"/>
        </w:tabs>
        <w:rPr>
          <w:rFonts w:asciiTheme="minorHAnsi" w:eastAsiaTheme="minorEastAsia" w:hAnsiTheme="minorHAnsi" w:cstheme="minorBidi"/>
          <w:b w:val="0"/>
          <w:sz w:val="22"/>
          <w:szCs w:val="22"/>
        </w:rPr>
      </w:pPr>
      <w:r>
        <w:t>Part VIII</w:t>
      </w:r>
      <w:r>
        <w:rPr>
          <w:b w:val="0"/>
        </w:rPr>
        <w:t> </w:t>
      </w:r>
      <w:r>
        <w:t>—</w:t>
      </w:r>
      <w:r>
        <w:rPr>
          <w:b w:val="0"/>
        </w:rPr>
        <w:t> </w:t>
      </w:r>
      <w:r>
        <w:t>Transitional provisions for amendments made to this Act</w:t>
      </w:r>
    </w:p>
    <w:p>
      <w:pPr>
        <w:pStyle w:val="TOC8"/>
        <w:rPr>
          <w:rFonts w:asciiTheme="minorHAnsi" w:eastAsiaTheme="minorEastAsia" w:hAnsiTheme="minorHAnsi" w:cstheme="minorBidi"/>
          <w:szCs w:val="22"/>
        </w:rPr>
      </w:pPr>
      <w:r>
        <w:t xml:space="preserve">Division 1 — Transitional provisions arising from certain amendments made by the </w:t>
      </w:r>
      <w:r>
        <w:rPr>
          <w:i/>
        </w:rPr>
        <w:t>Building Act 2011</w:t>
      </w:r>
      <w:r>
        <w:tab/>
      </w:r>
      <w:r>
        <w:fldChar w:fldCharType="begin"/>
      </w:r>
      <w:r>
        <w:instrText xml:space="preserve"> PAGEREF _Toc476927444 \h </w:instrText>
      </w:r>
      <w:r>
        <w:fldChar w:fldCharType="separate"/>
      </w:r>
      <w:r>
        <w:t>210</w:t>
      </w:r>
      <w:r>
        <w:fldChar w:fldCharType="end"/>
      </w:r>
    </w:p>
    <w:p>
      <w:pPr>
        <w:pStyle w:val="TOC8"/>
        <w:rPr>
          <w:rFonts w:asciiTheme="minorHAnsi" w:eastAsiaTheme="minorEastAsia" w:hAnsiTheme="minorHAnsi" w:cstheme="minorBidi"/>
          <w:szCs w:val="22"/>
        </w:rPr>
      </w:pPr>
      <w:r>
        <w:t>133.</w:t>
      </w:r>
      <w:r>
        <w:tab/>
        <w:t>Terms used</w:t>
      </w:r>
      <w:r>
        <w:tab/>
      </w:r>
      <w:r>
        <w:fldChar w:fldCharType="begin"/>
      </w:r>
      <w:r>
        <w:instrText xml:space="preserve"> PAGEREF _Toc476927445 \h </w:instrText>
      </w:r>
      <w:r>
        <w:fldChar w:fldCharType="separate"/>
      </w:r>
      <w:r>
        <w:t>210</w:t>
      </w:r>
      <w:r>
        <w:fldChar w:fldCharType="end"/>
      </w:r>
    </w:p>
    <w:p>
      <w:pPr>
        <w:pStyle w:val="TOC8"/>
        <w:rPr>
          <w:rFonts w:asciiTheme="minorHAnsi" w:eastAsiaTheme="minorEastAsia" w:hAnsiTheme="minorHAnsi" w:cstheme="minorBidi"/>
          <w:szCs w:val="22"/>
        </w:rPr>
      </w:pPr>
      <w:r>
        <w:t>134.</w:t>
      </w:r>
      <w:r>
        <w:tab/>
        <w:t>Certificates of local government required by s. 5B(2)</w:t>
      </w:r>
      <w:r>
        <w:tab/>
      </w:r>
      <w:r>
        <w:fldChar w:fldCharType="begin"/>
      </w:r>
      <w:r>
        <w:instrText xml:space="preserve"> PAGEREF _Toc476927446 \h </w:instrText>
      </w:r>
      <w:r>
        <w:fldChar w:fldCharType="separate"/>
      </w:r>
      <w:r>
        <w:t>210</w:t>
      </w:r>
      <w:r>
        <w:fldChar w:fldCharType="end"/>
      </w:r>
    </w:p>
    <w:p>
      <w:pPr>
        <w:pStyle w:val="TOC8"/>
        <w:rPr>
          <w:rFonts w:asciiTheme="minorHAnsi" w:eastAsiaTheme="minorEastAsia" w:hAnsiTheme="minorHAnsi" w:cstheme="minorBidi"/>
          <w:szCs w:val="22"/>
        </w:rPr>
      </w:pPr>
      <w:r>
        <w:t>135.</w:t>
      </w:r>
      <w:r>
        <w:tab/>
        <w:t>Certificates of local government required by s. 8A(f)</w:t>
      </w:r>
      <w:r>
        <w:tab/>
      </w:r>
      <w:r>
        <w:fldChar w:fldCharType="begin"/>
      </w:r>
      <w:r>
        <w:instrText xml:space="preserve"> PAGEREF _Toc476927447 \h </w:instrText>
      </w:r>
      <w:r>
        <w:fldChar w:fldCharType="separate"/>
      </w:r>
      <w:r>
        <w:t>210</w:t>
      </w:r>
      <w:r>
        <w:fldChar w:fldCharType="end"/>
      </w:r>
    </w:p>
    <w:p>
      <w:pPr>
        <w:pStyle w:val="TOC8"/>
        <w:rPr>
          <w:rFonts w:asciiTheme="minorHAnsi" w:eastAsiaTheme="minorEastAsia" w:hAnsiTheme="minorHAnsi" w:cstheme="minorBidi"/>
          <w:szCs w:val="22"/>
        </w:rPr>
      </w:pPr>
      <w:r>
        <w:t>136.</w:t>
      </w:r>
      <w:r>
        <w:tab/>
        <w:t>Applications for certificates of local government and review of related decisions</w:t>
      </w:r>
      <w:r>
        <w:tab/>
      </w:r>
      <w:r>
        <w:fldChar w:fldCharType="begin"/>
      </w:r>
      <w:r>
        <w:instrText xml:space="preserve"> PAGEREF _Toc476927448 \h </w:instrText>
      </w:r>
      <w:r>
        <w:fldChar w:fldCharType="separate"/>
      </w:r>
      <w:r>
        <w:t>210</w:t>
      </w:r>
      <w:r>
        <w:fldChar w:fldCharType="end"/>
      </w:r>
    </w:p>
    <w:p>
      <w:pPr>
        <w:pStyle w:val="TOC2"/>
        <w:tabs>
          <w:tab w:val="right" w:leader="dot" w:pos="7077"/>
        </w:tabs>
        <w:rPr>
          <w:rFonts w:asciiTheme="minorHAnsi" w:eastAsiaTheme="minorEastAsia" w:hAnsiTheme="minorHAnsi" w:cstheme="minorBidi"/>
          <w:b w:val="0"/>
          <w:sz w:val="22"/>
          <w:szCs w:val="22"/>
        </w:rPr>
      </w:pPr>
      <w:r>
        <w:t>Schedule 1 — By-laws</w:t>
      </w:r>
    </w:p>
    <w:p>
      <w:pPr>
        <w:pStyle w:val="TOC8"/>
        <w:rPr>
          <w:rFonts w:asciiTheme="minorHAnsi" w:eastAsiaTheme="minorEastAsia" w:hAnsiTheme="minorHAnsi" w:cstheme="minorBidi"/>
          <w:szCs w:val="22"/>
        </w:rPr>
      </w:pPr>
      <w:r>
        <w:t>1</w:t>
      </w:r>
      <w:r>
        <w:rPr>
          <w:snapToGrid w:val="0"/>
        </w:rPr>
        <w:t>.</w:t>
      </w:r>
      <w:r>
        <w:rPr>
          <w:snapToGrid w:val="0"/>
        </w:rPr>
        <w:tab/>
        <w:t>Duties of proprietor, occupiers etc.</w:t>
      </w:r>
      <w:r>
        <w:tab/>
      </w:r>
      <w:r>
        <w:fldChar w:fldCharType="begin"/>
      </w:r>
      <w:r>
        <w:instrText xml:space="preserve"> PAGEREF _Toc476927450 \h </w:instrText>
      </w:r>
      <w:r>
        <w:fldChar w:fldCharType="separate"/>
      </w:r>
      <w:r>
        <w:t>212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Power of proprietor to decorate etc.</w:t>
      </w:r>
      <w:r>
        <w:tab/>
      </w:r>
      <w:r>
        <w:fldChar w:fldCharType="begin"/>
      </w:r>
      <w:r>
        <w:instrText xml:space="preserve"> PAGEREF _Toc476927451 \h </w:instrText>
      </w:r>
      <w:r>
        <w:fldChar w:fldCharType="separate"/>
      </w:r>
      <w:r>
        <w:t>213</w:t>
      </w:r>
      <w:r>
        <w:fldChar w:fldCharType="end"/>
      </w:r>
    </w:p>
    <w:p>
      <w:pPr>
        <w:pStyle w:val="TOC8"/>
        <w:rPr>
          <w:rFonts w:asciiTheme="minorHAnsi" w:eastAsiaTheme="minorEastAsia" w:hAnsiTheme="minorHAnsi" w:cstheme="minorBidi"/>
          <w:szCs w:val="22"/>
        </w:rPr>
      </w:pPr>
      <w:r>
        <w:rPr>
          <w:snapToGrid w:val="0"/>
        </w:rPr>
        <w:t>3.</w:t>
      </w:r>
      <w:r>
        <w:rPr>
          <w:snapToGrid w:val="0"/>
        </w:rPr>
        <w:tab/>
        <w:t>Power of strata company regarding submeters</w:t>
      </w:r>
      <w:r>
        <w:tab/>
      </w:r>
      <w:r>
        <w:fldChar w:fldCharType="begin"/>
      </w:r>
      <w:r>
        <w:instrText xml:space="preserve"> PAGEREF _Toc476927452 \h </w:instrText>
      </w:r>
      <w:r>
        <w:fldChar w:fldCharType="separate"/>
      </w:r>
      <w:r>
        <w:t>213</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Constitution of council</w:t>
      </w:r>
      <w:r>
        <w:tab/>
      </w:r>
      <w:r>
        <w:fldChar w:fldCharType="begin"/>
      </w:r>
      <w:r>
        <w:instrText xml:space="preserve"> PAGEREF _Toc476927453 \h </w:instrText>
      </w:r>
      <w:r>
        <w:fldChar w:fldCharType="separate"/>
      </w:r>
      <w:r>
        <w:t>214</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Election of council</w:t>
      </w:r>
      <w:r>
        <w:tab/>
      </w:r>
      <w:r>
        <w:fldChar w:fldCharType="begin"/>
      </w:r>
      <w:r>
        <w:instrText xml:space="preserve"> PAGEREF _Toc476927454 \h </w:instrText>
      </w:r>
      <w:r>
        <w:fldChar w:fldCharType="separate"/>
      </w:r>
      <w:r>
        <w:t>216</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Chairman, secretary and treasurer of council</w:t>
      </w:r>
      <w:r>
        <w:tab/>
      </w:r>
      <w:r>
        <w:fldChar w:fldCharType="begin"/>
      </w:r>
      <w:r>
        <w:instrText xml:space="preserve"> PAGEREF _Toc476927455 \h </w:instrText>
      </w:r>
      <w:r>
        <w:fldChar w:fldCharType="separate"/>
      </w:r>
      <w:r>
        <w:t>218</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Chairman, secretary and treasurer of strata company</w:t>
      </w:r>
      <w:r>
        <w:tab/>
      </w:r>
      <w:r>
        <w:fldChar w:fldCharType="begin"/>
      </w:r>
      <w:r>
        <w:instrText xml:space="preserve"> PAGEREF _Toc476927456 \h </w:instrText>
      </w:r>
      <w:r>
        <w:fldChar w:fldCharType="separate"/>
      </w:r>
      <w:r>
        <w:t>218</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Meetings of council</w:t>
      </w:r>
      <w:r>
        <w:tab/>
      </w:r>
      <w:r>
        <w:fldChar w:fldCharType="begin"/>
      </w:r>
      <w:r>
        <w:instrText xml:space="preserve"> PAGEREF _Toc476927457 \h </w:instrText>
      </w:r>
      <w:r>
        <w:fldChar w:fldCharType="separate"/>
      </w:r>
      <w:r>
        <w:t>219</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Powers and duties of secretary of strata company</w:t>
      </w:r>
      <w:r>
        <w:tab/>
      </w:r>
      <w:r>
        <w:fldChar w:fldCharType="begin"/>
      </w:r>
      <w:r>
        <w:instrText xml:space="preserve"> PAGEREF _Toc476927458 \h </w:instrText>
      </w:r>
      <w:r>
        <w:fldChar w:fldCharType="separate"/>
      </w:r>
      <w:r>
        <w:t>219</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Powers and duties of treasurer of strata company</w:t>
      </w:r>
      <w:r>
        <w:tab/>
      </w:r>
      <w:r>
        <w:fldChar w:fldCharType="begin"/>
      </w:r>
      <w:r>
        <w:instrText xml:space="preserve"> PAGEREF _Toc476927459 \h </w:instrText>
      </w:r>
      <w:r>
        <w:fldChar w:fldCharType="separate"/>
      </w:r>
      <w:r>
        <w:t>220</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General meetings of strata company</w:t>
      </w:r>
      <w:r>
        <w:tab/>
      </w:r>
      <w:r>
        <w:fldChar w:fldCharType="begin"/>
      </w:r>
      <w:r>
        <w:instrText xml:space="preserve"> PAGEREF _Toc476927460 \h </w:instrText>
      </w:r>
      <w:r>
        <w:fldChar w:fldCharType="separate"/>
      </w:r>
      <w:r>
        <w:t>220</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Proceedings at general meetings</w:t>
      </w:r>
      <w:r>
        <w:tab/>
      </w:r>
      <w:r>
        <w:fldChar w:fldCharType="begin"/>
      </w:r>
      <w:r>
        <w:instrText xml:space="preserve"> PAGEREF _Toc476927461 \h </w:instrText>
      </w:r>
      <w:r>
        <w:fldChar w:fldCharType="separate"/>
      </w:r>
      <w:r>
        <w:t>221</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Restriction on moving motion or nominating candidate</w:t>
      </w:r>
      <w:r>
        <w:tab/>
      </w:r>
      <w:r>
        <w:fldChar w:fldCharType="begin"/>
      </w:r>
      <w:r>
        <w:instrText xml:space="preserve"> PAGEREF _Toc476927462 \h </w:instrText>
      </w:r>
      <w:r>
        <w:fldChar w:fldCharType="separate"/>
      </w:r>
      <w:r>
        <w:t>223</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Votes of proprietors</w:t>
      </w:r>
      <w:r>
        <w:tab/>
      </w:r>
      <w:r>
        <w:fldChar w:fldCharType="begin"/>
      </w:r>
      <w:r>
        <w:instrText xml:space="preserve"> PAGEREF _Toc476927463 \h </w:instrText>
      </w:r>
      <w:r>
        <w:fldChar w:fldCharType="separate"/>
      </w:r>
      <w:r>
        <w:t>223</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r>
      <w:r>
        <w:t>Common</w:t>
      </w:r>
      <w:r>
        <w:rPr>
          <w:snapToGrid w:val="0"/>
        </w:rPr>
        <w:t xml:space="preserve"> seal</w:t>
      </w:r>
      <w:r>
        <w:tab/>
      </w:r>
      <w:r>
        <w:fldChar w:fldCharType="begin"/>
      </w:r>
      <w:r>
        <w:instrText xml:space="preserve"> PAGEREF _Toc476927464 \h </w:instrText>
      </w:r>
      <w:r>
        <w:fldChar w:fldCharType="separate"/>
      </w:r>
      <w:r>
        <w:t>224</w:t>
      </w:r>
      <w:r>
        <w:fldChar w:fldCharType="end"/>
      </w:r>
    </w:p>
    <w:p>
      <w:pPr>
        <w:pStyle w:val="TOC2"/>
        <w:tabs>
          <w:tab w:val="right" w:leader="dot" w:pos="7077"/>
        </w:tabs>
        <w:rPr>
          <w:rFonts w:asciiTheme="minorHAnsi" w:eastAsiaTheme="minorEastAsia" w:hAnsiTheme="minorHAnsi" w:cstheme="minorBidi"/>
          <w:b w:val="0"/>
          <w:sz w:val="22"/>
          <w:szCs w:val="22"/>
        </w:rPr>
      </w:pPr>
      <w:r>
        <w:t>Schedule 2 — Schedule 2 by-laws</w:t>
      </w:r>
    </w:p>
    <w:p>
      <w:pPr>
        <w:pStyle w:val="TOC8"/>
        <w:rPr>
          <w:rFonts w:asciiTheme="minorHAnsi" w:eastAsiaTheme="minorEastAsia" w:hAnsiTheme="minorHAnsi" w:cstheme="minorBidi"/>
          <w:szCs w:val="22"/>
        </w:rPr>
      </w:pPr>
      <w:r>
        <w:t>1</w:t>
      </w:r>
      <w:r>
        <w:rPr>
          <w:snapToGrid w:val="0"/>
        </w:rPr>
        <w:t>.</w:t>
      </w:r>
      <w:r>
        <w:rPr>
          <w:snapToGrid w:val="0"/>
        </w:rPr>
        <w:tab/>
        <w:t>Vehicles</w:t>
      </w:r>
      <w:r>
        <w:tab/>
      </w:r>
      <w:r>
        <w:fldChar w:fldCharType="begin"/>
      </w:r>
      <w:r>
        <w:instrText xml:space="preserve"> PAGEREF _Toc476927466 \h </w:instrText>
      </w:r>
      <w:r>
        <w:fldChar w:fldCharType="separate"/>
      </w:r>
      <w:r>
        <w:t>225</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Obstruction of common property</w:t>
      </w:r>
      <w:r>
        <w:tab/>
      </w:r>
      <w:r>
        <w:fldChar w:fldCharType="begin"/>
      </w:r>
      <w:r>
        <w:instrText xml:space="preserve"> PAGEREF _Toc476927467 \h </w:instrText>
      </w:r>
      <w:r>
        <w:fldChar w:fldCharType="separate"/>
      </w:r>
      <w:r>
        <w:t>225</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Damage to lawns etc. on common property</w:t>
      </w:r>
      <w:r>
        <w:tab/>
      </w:r>
      <w:r>
        <w:fldChar w:fldCharType="begin"/>
      </w:r>
      <w:r>
        <w:instrText xml:space="preserve"> PAGEREF _Toc476927468 \h </w:instrText>
      </w:r>
      <w:r>
        <w:fldChar w:fldCharType="separate"/>
      </w:r>
      <w:r>
        <w:t>225</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Behaviour of proprietors and occupiers</w:t>
      </w:r>
      <w:r>
        <w:tab/>
      </w:r>
      <w:r>
        <w:fldChar w:fldCharType="begin"/>
      </w:r>
      <w:r>
        <w:instrText xml:space="preserve"> PAGEREF _Toc476927469 \h </w:instrText>
      </w:r>
      <w:r>
        <w:fldChar w:fldCharType="separate"/>
      </w:r>
      <w:r>
        <w:t>225</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Children playing upon common property in building</w:t>
      </w:r>
      <w:r>
        <w:tab/>
      </w:r>
      <w:r>
        <w:fldChar w:fldCharType="begin"/>
      </w:r>
      <w:r>
        <w:instrText xml:space="preserve"> PAGEREF _Toc476927470 \h </w:instrText>
      </w:r>
      <w:r>
        <w:fldChar w:fldCharType="separate"/>
      </w:r>
      <w:r>
        <w:t>225</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Depositing rubbish etc. on common property</w:t>
      </w:r>
      <w:r>
        <w:tab/>
      </w:r>
      <w:r>
        <w:fldChar w:fldCharType="begin"/>
      </w:r>
      <w:r>
        <w:instrText xml:space="preserve"> PAGEREF _Toc476927471 \h </w:instrText>
      </w:r>
      <w:r>
        <w:fldChar w:fldCharType="separate"/>
      </w:r>
      <w:r>
        <w:t>226</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Drying of laundry items</w:t>
      </w:r>
      <w:r>
        <w:tab/>
      </w:r>
      <w:r>
        <w:fldChar w:fldCharType="begin"/>
      </w:r>
      <w:r>
        <w:instrText xml:space="preserve"> PAGEREF _Toc476927472 \h </w:instrText>
      </w:r>
      <w:r>
        <w:fldChar w:fldCharType="separate"/>
      </w:r>
      <w:r>
        <w:t>226</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Storage of inflammable liquids etc.</w:t>
      </w:r>
      <w:r>
        <w:tab/>
      </w:r>
      <w:r>
        <w:fldChar w:fldCharType="begin"/>
      </w:r>
      <w:r>
        <w:instrText xml:space="preserve"> PAGEREF _Toc476927473 \h </w:instrText>
      </w:r>
      <w:r>
        <w:fldChar w:fldCharType="separate"/>
      </w:r>
      <w:r>
        <w:t>226</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Moving furniture etc. on or through common property</w:t>
      </w:r>
      <w:r>
        <w:tab/>
      </w:r>
      <w:r>
        <w:fldChar w:fldCharType="begin"/>
      </w:r>
      <w:r>
        <w:instrText xml:space="preserve"> PAGEREF _Toc476927474 \h </w:instrText>
      </w:r>
      <w:r>
        <w:fldChar w:fldCharType="separate"/>
      </w:r>
      <w:r>
        <w:t>226</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Floor coverings</w:t>
      </w:r>
      <w:r>
        <w:tab/>
      </w:r>
      <w:r>
        <w:fldChar w:fldCharType="begin"/>
      </w:r>
      <w:r>
        <w:instrText xml:space="preserve"> PAGEREF _Toc476927475 \h </w:instrText>
      </w:r>
      <w:r>
        <w:fldChar w:fldCharType="separate"/>
      </w:r>
      <w:r>
        <w:t>227</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Garbage disposal</w:t>
      </w:r>
      <w:r>
        <w:tab/>
      </w:r>
      <w:r>
        <w:fldChar w:fldCharType="begin"/>
      </w:r>
      <w:r>
        <w:instrText xml:space="preserve"> PAGEREF _Toc476927476 \h </w:instrText>
      </w:r>
      <w:r>
        <w:fldChar w:fldCharType="separate"/>
      </w:r>
      <w:r>
        <w:t>227</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Additional duties of proprietors, occupiers etc.</w:t>
      </w:r>
      <w:r>
        <w:tab/>
      </w:r>
      <w:r>
        <w:fldChar w:fldCharType="begin"/>
      </w:r>
      <w:r>
        <w:instrText xml:space="preserve"> PAGEREF _Toc476927477 \h </w:instrText>
      </w:r>
      <w:r>
        <w:fldChar w:fldCharType="separate"/>
      </w:r>
      <w:r>
        <w:t>227</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Notice of alteration to lot</w:t>
      </w:r>
      <w:r>
        <w:tab/>
      </w:r>
      <w:r>
        <w:fldChar w:fldCharType="begin"/>
      </w:r>
      <w:r>
        <w:instrText xml:space="preserve"> PAGEREF _Toc476927478 \h </w:instrText>
      </w:r>
      <w:r>
        <w:fldChar w:fldCharType="separate"/>
      </w:r>
      <w:r>
        <w:t>228</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Appearance of lot</w:t>
      </w:r>
      <w:r>
        <w:tab/>
      </w:r>
      <w:r>
        <w:fldChar w:fldCharType="begin"/>
      </w:r>
      <w:r>
        <w:instrText xml:space="preserve"> PAGEREF _Toc476927479 \h </w:instrText>
      </w:r>
      <w:r>
        <w:fldChar w:fldCharType="separate"/>
      </w:r>
      <w:r>
        <w:t>228</w:t>
      </w:r>
      <w:r>
        <w:fldChar w:fldCharType="end"/>
      </w:r>
    </w:p>
    <w:p>
      <w:pPr>
        <w:pStyle w:val="TOC2"/>
        <w:tabs>
          <w:tab w:val="right" w:leader="dot" w:pos="7077"/>
        </w:tabs>
        <w:rPr>
          <w:rFonts w:asciiTheme="minorHAnsi" w:eastAsiaTheme="minorEastAsia" w:hAnsiTheme="minorHAnsi" w:cstheme="minorBidi"/>
          <w:b w:val="0"/>
          <w:sz w:val="22"/>
          <w:szCs w:val="22"/>
        </w:rPr>
      </w:pPr>
      <w:r>
        <w:t>Schedule 2A — Matters that may be provided for in management statement</w:t>
      </w:r>
    </w:p>
    <w:p>
      <w:pPr>
        <w:pStyle w:val="TOC2"/>
        <w:tabs>
          <w:tab w:val="right" w:leader="dot" w:pos="7077"/>
        </w:tabs>
        <w:rPr>
          <w:rFonts w:asciiTheme="minorHAnsi" w:eastAsiaTheme="minorEastAsia" w:hAnsiTheme="minorHAnsi" w:cstheme="minorBidi"/>
          <w:b w:val="0"/>
          <w:sz w:val="22"/>
          <w:szCs w:val="22"/>
        </w:rPr>
      </w:pPr>
      <w:r>
        <w:t>Schedule 3 — Transitional and savings provisions</w:t>
      </w:r>
    </w:p>
    <w:p>
      <w:pPr>
        <w:pStyle w:val="TOC8"/>
        <w:rPr>
          <w:rFonts w:asciiTheme="minorHAnsi" w:eastAsiaTheme="minorEastAsia" w:hAnsiTheme="minorHAnsi" w:cstheme="minorBidi"/>
          <w:szCs w:val="22"/>
        </w:rPr>
      </w:pPr>
      <w:r>
        <w:t>1</w:t>
      </w:r>
      <w:r>
        <w:rPr>
          <w:snapToGrid w:val="0"/>
        </w:rPr>
        <w:t>.</w:t>
      </w:r>
      <w:r>
        <w:rPr>
          <w:snapToGrid w:val="0"/>
        </w:rPr>
        <w:tab/>
        <w:t>Terms used</w:t>
      </w:r>
      <w:r>
        <w:tab/>
      </w:r>
      <w:r>
        <w:fldChar w:fldCharType="begin"/>
      </w:r>
      <w:r>
        <w:instrText xml:space="preserve"> PAGEREF _Toc476927482 \h </w:instrText>
      </w:r>
      <w:r>
        <w:fldChar w:fldCharType="separate"/>
      </w:r>
      <w:r>
        <w:t>231</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Registration of unregistered former strata plans</w:t>
      </w:r>
      <w:r>
        <w:tab/>
      </w:r>
      <w:r>
        <w:fldChar w:fldCharType="begin"/>
      </w:r>
      <w:r>
        <w:instrText xml:space="preserve"> PAGEREF _Toc476927483 \h </w:instrText>
      </w:r>
      <w:r>
        <w:fldChar w:fldCharType="separate"/>
      </w:r>
      <w:r>
        <w:t>232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Former lots and former common property to be derived lots and derived common property</w:t>
      </w:r>
      <w:r>
        <w:tab/>
      </w:r>
      <w:r>
        <w:fldChar w:fldCharType="begin"/>
      </w:r>
      <w:r>
        <w:instrText xml:space="preserve"> PAGEREF _Toc476927484 \h </w:instrText>
      </w:r>
      <w:r>
        <w:fldChar w:fldCharType="separate"/>
      </w:r>
      <w:r>
        <w:t>234</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Continuation of companies</w:t>
      </w:r>
      <w:r>
        <w:tab/>
      </w:r>
      <w:r>
        <w:fldChar w:fldCharType="begin"/>
      </w:r>
      <w:r>
        <w:instrText xml:space="preserve"> PAGEREF _Toc476927485 \h </w:instrText>
      </w:r>
      <w:r>
        <w:fldChar w:fldCharType="separate"/>
      </w:r>
      <w:r>
        <w:t>235</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Continuation of estates or interests in former lots and former common property and rights in former common property</w:t>
      </w:r>
      <w:r>
        <w:tab/>
      </w:r>
      <w:r>
        <w:fldChar w:fldCharType="begin"/>
      </w:r>
      <w:r>
        <w:instrText xml:space="preserve"> PAGEREF _Toc476927486 \h </w:instrText>
      </w:r>
      <w:r>
        <w:fldChar w:fldCharType="separate"/>
      </w:r>
      <w:r>
        <w:t>235</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Application of Act to former strata schemes, former parcels, derived lots and common property</w:t>
      </w:r>
      <w:r>
        <w:tab/>
      </w:r>
      <w:r>
        <w:fldChar w:fldCharType="begin"/>
      </w:r>
      <w:r>
        <w:instrText xml:space="preserve"> PAGEREF _Toc476927487 \h </w:instrText>
      </w:r>
      <w:r>
        <w:fldChar w:fldCharType="separate"/>
      </w:r>
      <w:r>
        <w:t>236</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Registration of transfers or leases of derived common property registrable under s. 10 of former Act</w:t>
      </w:r>
      <w:r>
        <w:tab/>
      </w:r>
      <w:r>
        <w:fldChar w:fldCharType="begin"/>
      </w:r>
      <w:r>
        <w:instrText xml:space="preserve"> PAGEREF _Toc476927488 \h </w:instrText>
      </w:r>
      <w:r>
        <w:fldChar w:fldCharType="separate"/>
      </w:r>
      <w:r>
        <w:t>236</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Reallocation of unit entitlement</w:t>
      </w:r>
      <w:r>
        <w:tab/>
      </w:r>
      <w:r>
        <w:fldChar w:fldCharType="begin"/>
      </w:r>
      <w:r>
        <w:instrText xml:space="preserve"> PAGEREF _Toc476927489 \h </w:instrText>
      </w:r>
      <w:r>
        <w:fldChar w:fldCharType="separate"/>
      </w:r>
      <w:r>
        <w:t>237</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General meetings of certain continued companies</w:t>
      </w:r>
      <w:r>
        <w:tab/>
      </w:r>
      <w:r>
        <w:fldChar w:fldCharType="begin"/>
      </w:r>
      <w:r>
        <w:instrText xml:space="preserve"> PAGEREF _Toc476927490 \h </w:instrText>
      </w:r>
      <w:r>
        <w:fldChar w:fldCharType="separate"/>
      </w:r>
      <w:r>
        <w:t>237</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Meetings of former companies held within 2 months after appointed day</w:t>
      </w:r>
      <w:r>
        <w:tab/>
      </w:r>
      <w:r>
        <w:fldChar w:fldCharType="begin"/>
      </w:r>
      <w:r>
        <w:instrText xml:space="preserve"> PAGEREF _Toc476927491 \h </w:instrText>
      </w:r>
      <w:r>
        <w:fldChar w:fldCharType="separate"/>
      </w:r>
      <w:r>
        <w:t>239</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Notices served by public or local government authority before appointed day</w:t>
      </w:r>
      <w:r>
        <w:tab/>
      </w:r>
      <w:r>
        <w:fldChar w:fldCharType="begin"/>
      </w:r>
      <w:r>
        <w:instrText xml:space="preserve"> PAGEREF _Toc476927492 \h </w:instrText>
      </w:r>
      <w:r>
        <w:fldChar w:fldCharType="separate"/>
      </w:r>
      <w:r>
        <w:t>239</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Effect of former by</w:t>
      </w:r>
      <w:r>
        <w:rPr>
          <w:snapToGrid w:val="0"/>
        </w:rPr>
        <w:noBreakHyphen/>
        <w:t>laws</w:t>
      </w:r>
      <w:r>
        <w:tab/>
      </w:r>
      <w:r>
        <w:fldChar w:fldCharType="begin"/>
      </w:r>
      <w:r>
        <w:instrText xml:space="preserve"> PAGEREF _Toc476927493 \h </w:instrText>
      </w:r>
      <w:r>
        <w:fldChar w:fldCharType="separate"/>
      </w:r>
      <w:r>
        <w:t>239</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Maintenance of exclusive use of, or special privileges in respect of, common property</w:t>
      </w:r>
      <w:r>
        <w:tab/>
      </w:r>
      <w:r>
        <w:fldChar w:fldCharType="begin"/>
      </w:r>
      <w:r>
        <w:instrText xml:space="preserve"> PAGEREF _Toc476927494 \h </w:instrText>
      </w:r>
      <w:r>
        <w:fldChar w:fldCharType="separate"/>
      </w:r>
      <w:r>
        <w:t>242</w:t>
      </w:r>
      <w:r>
        <w:fldChar w:fldCharType="end"/>
      </w:r>
    </w:p>
    <w:p>
      <w:pPr>
        <w:pStyle w:val="TOC8"/>
        <w:rPr>
          <w:rFonts w:asciiTheme="minorHAnsi" w:eastAsiaTheme="minorEastAsia" w:hAnsiTheme="minorHAnsi" w:cstheme="minorBidi"/>
          <w:szCs w:val="22"/>
        </w:rPr>
      </w:pPr>
      <w:r>
        <w:t>13A</w:t>
      </w:r>
      <w:r>
        <w:rPr>
          <w:snapToGrid w:val="0"/>
        </w:rPr>
        <w:t>.</w:t>
      </w:r>
      <w:r>
        <w:rPr>
          <w:snapToGrid w:val="0"/>
        </w:rPr>
        <w:tab/>
        <w:t>Exclusive use and privileges to lapse unless provided for by by</w:t>
      </w:r>
      <w:r>
        <w:rPr>
          <w:snapToGrid w:val="0"/>
        </w:rPr>
        <w:noBreakHyphen/>
        <w:t>law or SAT’s order</w:t>
      </w:r>
      <w:r>
        <w:tab/>
      </w:r>
      <w:r>
        <w:fldChar w:fldCharType="begin"/>
      </w:r>
      <w:r>
        <w:instrText xml:space="preserve"> PAGEREF _Toc476927495 \h </w:instrText>
      </w:r>
      <w:r>
        <w:fldChar w:fldCharType="separate"/>
      </w:r>
      <w:r>
        <w:t>242</w:t>
      </w:r>
      <w:r>
        <w:fldChar w:fldCharType="end"/>
      </w:r>
    </w:p>
    <w:p>
      <w:pPr>
        <w:pStyle w:val="TOC8"/>
        <w:rPr>
          <w:rFonts w:asciiTheme="minorHAnsi" w:eastAsiaTheme="minorEastAsia" w:hAnsiTheme="minorHAnsi" w:cstheme="minorBidi"/>
          <w:szCs w:val="22"/>
        </w:rPr>
      </w:pPr>
      <w:r>
        <w:t>13B</w:t>
      </w:r>
      <w:r>
        <w:rPr>
          <w:snapToGrid w:val="0"/>
        </w:rPr>
        <w:t>.</w:t>
      </w:r>
      <w:r>
        <w:rPr>
          <w:snapToGrid w:val="0"/>
        </w:rPr>
        <w:tab/>
        <w:t>Strata companies to notify proprietors of operation of cl. 13A</w:t>
      </w:r>
      <w:r>
        <w:tab/>
      </w:r>
      <w:r>
        <w:fldChar w:fldCharType="begin"/>
      </w:r>
      <w:r>
        <w:instrText xml:space="preserve"> PAGEREF _Toc476927496 \h </w:instrText>
      </w:r>
      <w:r>
        <w:fldChar w:fldCharType="separate"/>
      </w:r>
      <w:r>
        <w:t>244</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Recovery of contributions levied under former Acts</w:t>
      </w:r>
      <w:r>
        <w:tab/>
      </w:r>
      <w:r>
        <w:fldChar w:fldCharType="begin"/>
      </w:r>
      <w:r>
        <w:instrText xml:space="preserve"> PAGEREF _Toc476927497 \h </w:instrText>
      </w:r>
      <w:r>
        <w:fldChar w:fldCharType="separate"/>
      </w:r>
      <w:r>
        <w:t>245</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Modification of s. 35(1)(j) in relation to companies</w:t>
      </w:r>
      <w:r>
        <w:tab/>
      </w:r>
      <w:r>
        <w:fldChar w:fldCharType="begin"/>
      </w:r>
      <w:r>
        <w:instrText xml:space="preserve"> PAGEREF _Toc476927498 \h </w:instrText>
      </w:r>
      <w:r>
        <w:fldChar w:fldCharType="separate"/>
      </w:r>
      <w:r>
        <w:t>245</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Inspection of former records etc.</w:t>
      </w:r>
      <w:r>
        <w:tab/>
      </w:r>
      <w:r>
        <w:fldChar w:fldCharType="begin"/>
      </w:r>
      <w:r>
        <w:instrText xml:space="preserve"> PAGEREF _Toc476927499 \h </w:instrText>
      </w:r>
      <w:r>
        <w:fldChar w:fldCharType="separate"/>
      </w:r>
      <w:r>
        <w:t>245</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Administrative funds of continued companies</w:t>
      </w:r>
      <w:r>
        <w:tab/>
      </w:r>
      <w:r>
        <w:fldChar w:fldCharType="begin"/>
      </w:r>
      <w:r>
        <w:instrText xml:space="preserve"> PAGEREF _Toc476927500 \h </w:instrText>
      </w:r>
      <w:r>
        <w:fldChar w:fldCharType="separate"/>
      </w:r>
      <w:r>
        <w:t>246</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Modification of s. 43(1)(c) in relation to continued companies</w:t>
      </w:r>
      <w:r>
        <w:tab/>
      </w:r>
      <w:r>
        <w:fldChar w:fldCharType="begin"/>
      </w:r>
      <w:r>
        <w:instrText xml:space="preserve"> PAGEREF _Toc476927501 \h </w:instrText>
      </w:r>
      <w:r>
        <w:fldChar w:fldCharType="separate"/>
      </w:r>
      <w:r>
        <w:t>246</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Continuation of councils of former companies</w:t>
      </w:r>
      <w:r>
        <w:tab/>
      </w:r>
      <w:r>
        <w:fldChar w:fldCharType="begin"/>
      </w:r>
      <w:r>
        <w:instrText xml:space="preserve"> PAGEREF _Toc476927502 \h </w:instrText>
      </w:r>
      <w:r>
        <w:fldChar w:fldCharType="separate"/>
      </w:r>
      <w:r>
        <w:t>246</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Ope</w:t>
      </w:r>
      <w:r>
        <w:t>r</w:t>
      </w:r>
      <w:r>
        <w:rPr>
          <w:snapToGrid w:val="0"/>
        </w:rPr>
        <w:t>ation of by</w:t>
      </w:r>
      <w:r>
        <w:rPr>
          <w:snapToGrid w:val="0"/>
        </w:rPr>
        <w:noBreakHyphen/>
        <w:t>law 1, Part I of Sch. 1</w:t>
      </w:r>
      <w:r>
        <w:tab/>
      </w:r>
      <w:r>
        <w:fldChar w:fldCharType="begin"/>
      </w:r>
      <w:r>
        <w:instrText xml:space="preserve"> PAGEREF _Toc476927503 \h </w:instrText>
      </w:r>
      <w:r>
        <w:fldChar w:fldCharType="separate"/>
      </w:r>
      <w:r>
        <w:t>246</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r>
      <w:r>
        <w:t>Modification</w:t>
      </w:r>
      <w:r>
        <w:rPr>
          <w:snapToGrid w:val="0"/>
        </w:rPr>
        <w:t xml:space="preserve"> of Part IV Div. 4</w:t>
      </w:r>
      <w:r>
        <w:tab/>
      </w:r>
      <w:r>
        <w:fldChar w:fldCharType="begin"/>
      </w:r>
      <w:r>
        <w:instrText xml:space="preserve"> PAGEREF _Toc476927504 \h </w:instrText>
      </w:r>
      <w:r>
        <w:fldChar w:fldCharType="separate"/>
      </w:r>
      <w:r>
        <w:t>247</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Evidentiary effect under s. 61 of particulars furnished under s. 21(3) of former Act</w:t>
      </w:r>
      <w:r>
        <w:tab/>
      </w:r>
      <w:r>
        <w:fldChar w:fldCharType="begin"/>
      </w:r>
      <w:r>
        <w:instrText xml:space="preserve"> PAGEREF _Toc476927505 \h </w:instrText>
      </w:r>
      <w:r>
        <w:fldChar w:fldCharType="separate"/>
      </w:r>
      <w:r>
        <w:t>247</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Destruction of or damage to building under former Act</w:t>
      </w:r>
      <w:r>
        <w:tab/>
      </w:r>
      <w:r>
        <w:fldChar w:fldCharType="begin"/>
      </w:r>
      <w:r>
        <w:instrText xml:space="preserve"> PAGEREF _Toc476927506 \h </w:instrText>
      </w:r>
      <w:r>
        <w:fldChar w:fldCharType="separate"/>
      </w:r>
      <w:r>
        <w:t>248</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Administrators under former Act</w:t>
      </w:r>
      <w:r>
        <w:tab/>
      </w:r>
      <w:r>
        <w:fldChar w:fldCharType="begin"/>
      </w:r>
      <w:r>
        <w:instrText xml:space="preserve"> PAGEREF _Toc476927507 \h </w:instrText>
      </w:r>
      <w:r>
        <w:fldChar w:fldCharType="separate"/>
      </w:r>
      <w:r>
        <w:t>248</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Recovery of rates paid by company</w:t>
      </w:r>
      <w:r>
        <w:tab/>
      </w:r>
      <w:r>
        <w:fldChar w:fldCharType="begin"/>
      </w:r>
      <w:r>
        <w:instrText xml:space="preserve"> PAGEREF _Toc476927508 \h </w:instrText>
      </w:r>
      <w:r>
        <w:fldChar w:fldCharType="separate"/>
      </w:r>
      <w:r>
        <w:t>249</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Regulations — Transitional</w:t>
      </w:r>
      <w:r>
        <w:tab/>
      </w:r>
      <w:r>
        <w:fldChar w:fldCharType="begin"/>
      </w:r>
      <w:r>
        <w:instrText xml:space="preserve"> PAGEREF _Toc476927509 \h </w:instrText>
      </w:r>
      <w:r>
        <w:fldChar w:fldCharType="separate"/>
      </w:r>
      <w:r>
        <w:t>249</w:t>
      </w:r>
      <w:r>
        <w:fldChar w:fldCharType="end"/>
      </w:r>
    </w:p>
    <w:p>
      <w:pPr>
        <w:pStyle w:val="TOC2"/>
        <w:tabs>
          <w:tab w:val="right" w:leader="dot" w:pos="7077"/>
        </w:tabs>
        <w:rPr>
          <w:rFonts w:asciiTheme="minorHAnsi" w:eastAsiaTheme="minorEastAsia" w:hAnsiTheme="minorHAnsi" w:cstheme="minorBidi"/>
          <w:b w:val="0"/>
          <w:sz w:val="22"/>
          <w:szCs w:val="22"/>
        </w:rPr>
      </w:pPr>
      <w:r>
        <w:t>Schedule 4 — Transitional provisions for by</w:t>
      </w:r>
      <w:r>
        <w:noBreakHyphen/>
        <w:t>laws of strata companies other than companies to which Schedule 3 applies</w:t>
      </w:r>
    </w:p>
    <w:p>
      <w:pPr>
        <w:pStyle w:val="TOC8"/>
        <w:rPr>
          <w:rFonts w:asciiTheme="minorHAnsi" w:eastAsiaTheme="minorEastAsia" w:hAnsiTheme="minorHAnsi" w:cstheme="minorBidi"/>
          <w:szCs w:val="22"/>
        </w:rPr>
      </w:pPr>
      <w:r>
        <w:t>1</w:t>
      </w:r>
      <w:r>
        <w:rPr>
          <w:snapToGrid w:val="0"/>
        </w:rPr>
        <w:t>.</w:t>
      </w:r>
      <w:r>
        <w:rPr>
          <w:snapToGrid w:val="0"/>
        </w:rPr>
        <w:tab/>
        <w:t>Terms used</w:t>
      </w:r>
      <w:r>
        <w:tab/>
      </w:r>
      <w:r>
        <w:fldChar w:fldCharType="begin"/>
      </w:r>
      <w:r>
        <w:instrText xml:space="preserve"> PAGEREF _Toc476927511 \h </w:instrText>
      </w:r>
      <w:r>
        <w:fldChar w:fldCharType="separate"/>
      </w:r>
      <w:r>
        <w:t>250</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Transitional provisions</w:t>
      </w:r>
      <w:r>
        <w:tab/>
      </w:r>
      <w:r>
        <w:fldChar w:fldCharType="begin"/>
      </w:r>
      <w:r>
        <w:instrText xml:space="preserve"> PAGEREF _Toc476927512 \h </w:instrText>
      </w:r>
      <w:r>
        <w:fldChar w:fldCharType="separate"/>
      </w:r>
      <w:r>
        <w:t>250</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Compilation table</w:t>
      </w:r>
      <w:r>
        <w:tab/>
      </w:r>
      <w:r>
        <w:fldChar w:fldCharType="begin"/>
      </w:r>
      <w:r>
        <w:instrText xml:space="preserve"> PAGEREF _Toc476927514 \h </w:instrText>
      </w:r>
      <w:r>
        <w:fldChar w:fldCharType="separate"/>
      </w:r>
      <w:r>
        <w:t>252</w:t>
      </w:r>
      <w:r>
        <w:fldChar w:fldCharType="end"/>
      </w:r>
    </w:p>
    <w:p>
      <w:pPr>
        <w:pStyle w:val="TOC8"/>
        <w:rPr>
          <w:rFonts w:asciiTheme="minorHAnsi" w:eastAsiaTheme="minorEastAsia" w:hAnsiTheme="minorHAnsi" w:cstheme="minorBidi"/>
          <w:szCs w:val="22"/>
        </w:rPr>
      </w:pPr>
      <w:r>
        <w:rPr>
          <w:snapToGrid w:val="0"/>
        </w:rPr>
        <w:t>Provisions that have not come into operation</w:t>
      </w:r>
      <w:r>
        <w:tab/>
      </w:r>
      <w:r>
        <w:fldChar w:fldCharType="begin"/>
      </w:r>
      <w:r>
        <w:instrText xml:space="preserve"> PAGEREF _Toc476927515 \h </w:instrText>
      </w:r>
      <w:r>
        <w:fldChar w:fldCharType="separate"/>
      </w:r>
      <w:r>
        <w:t>256</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spacing w:before="12"/>
      </w:pPr>
      <w:r>
        <w:t>Western Australia</w:t>
      </w:r>
    </w:p>
    <w:p>
      <w:pPr>
        <w:pStyle w:val="NameofActReg"/>
        <w:spacing w:before="1400" w:after="1000"/>
      </w:pPr>
      <w:r>
        <w:t>Strata Titles Act 1985</w:t>
      </w:r>
    </w:p>
    <w:p>
      <w:pPr>
        <w:pStyle w:val="LongTitle"/>
        <w:rPr>
          <w:snapToGrid w:val="0"/>
        </w:rPr>
      </w:pPr>
      <w:r>
        <w:rPr>
          <w:snapToGrid w:val="0"/>
        </w:rPr>
        <w:t xml:space="preserve">An Act to facilitate the horizontal and vertical subdivision of land and the disposition of titles thereto, to provide for incidental and connected purposes and to repeal the </w:t>
      </w:r>
      <w:r>
        <w:rPr>
          <w:i/>
          <w:snapToGrid w:val="0"/>
        </w:rPr>
        <w:t>Strata Titles Act 1966</w:t>
      </w:r>
      <w:r>
        <w:rPr>
          <w:snapToGrid w:val="0"/>
        </w:rPr>
        <w:t>.</w:t>
      </w:r>
    </w:p>
    <w:p>
      <w:pPr>
        <w:pStyle w:val="Footnotelongtitle"/>
      </w:pPr>
      <w:r>
        <w:tab/>
        <w:t>[Long title amended by No. 58 of 1995 s. 4.]</w:t>
      </w:r>
    </w:p>
    <w:p>
      <w:pPr>
        <w:pStyle w:val="Heading2"/>
      </w:pPr>
      <w:bookmarkStart w:id="3" w:name="_Toc381880808"/>
      <w:bookmarkStart w:id="4" w:name="_Toc418081538"/>
      <w:bookmarkStart w:id="5" w:name="_Toc418081871"/>
      <w:bookmarkStart w:id="6" w:name="_Toc418087660"/>
      <w:bookmarkStart w:id="7" w:name="_Toc421012200"/>
      <w:bookmarkStart w:id="8" w:name="_Toc422408755"/>
      <w:bookmarkStart w:id="9" w:name="_Toc476927181"/>
      <w:r>
        <w:rPr>
          <w:rStyle w:val="CharPartNo"/>
        </w:rPr>
        <w:t>Part I</w:t>
      </w:r>
      <w:r>
        <w:rPr>
          <w:rStyle w:val="CharDivNo"/>
        </w:rPr>
        <w:t> </w:t>
      </w:r>
      <w:r>
        <w:t>—</w:t>
      </w:r>
      <w:r>
        <w:rPr>
          <w:rStyle w:val="CharDivText"/>
        </w:rPr>
        <w:t> </w:t>
      </w:r>
      <w:r>
        <w:rPr>
          <w:rStyle w:val="CharPartText"/>
        </w:rPr>
        <w:t>Preliminary</w:t>
      </w:r>
      <w:bookmarkEnd w:id="3"/>
      <w:bookmarkEnd w:id="4"/>
      <w:bookmarkEnd w:id="5"/>
      <w:bookmarkEnd w:id="6"/>
      <w:bookmarkEnd w:id="7"/>
      <w:bookmarkEnd w:id="8"/>
      <w:bookmarkEnd w:id="9"/>
    </w:p>
    <w:p>
      <w:pPr>
        <w:pStyle w:val="Heading5"/>
        <w:rPr>
          <w:snapToGrid w:val="0"/>
        </w:rPr>
      </w:pPr>
      <w:bookmarkStart w:id="10" w:name="_Toc381880809"/>
      <w:bookmarkStart w:id="11" w:name="_Toc476927182"/>
      <w:r>
        <w:rPr>
          <w:rStyle w:val="CharSectno"/>
        </w:rPr>
        <w:t>1</w:t>
      </w:r>
      <w:r>
        <w:rPr>
          <w:snapToGrid w:val="0"/>
        </w:rPr>
        <w:t>.</w:t>
      </w:r>
      <w:r>
        <w:rPr>
          <w:snapToGrid w:val="0"/>
        </w:rPr>
        <w:tab/>
        <w:t>Short title</w:t>
      </w:r>
      <w:bookmarkEnd w:id="10"/>
      <w:bookmarkEnd w:id="11"/>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12" w:name="_Toc381880810"/>
      <w:bookmarkStart w:id="13" w:name="_Toc476927183"/>
      <w:r>
        <w:rPr>
          <w:rStyle w:val="CharSectno"/>
        </w:rPr>
        <w:t>2</w:t>
      </w:r>
      <w:r>
        <w:rPr>
          <w:snapToGrid w:val="0"/>
        </w:rPr>
        <w:t>.</w:t>
      </w:r>
      <w:r>
        <w:rPr>
          <w:snapToGrid w:val="0"/>
        </w:rPr>
        <w:tab/>
        <w:t>Commencement</w:t>
      </w:r>
      <w:bookmarkEnd w:id="12"/>
      <w:bookmarkEnd w:id="13"/>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14" w:name="_Toc381880811"/>
      <w:bookmarkStart w:id="15" w:name="_Toc476927184"/>
      <w:r>
        <w:rPr>
          <w:rStyle w:val="CharSectno"/>
        </w:rPr>
        <w:t>3</w:t>
      </w:r>
      <w:r>
        <w:rPr>
          <w:snapToGrid w:val="0"/>
        </w:rPr>
        <w:t>.</w:t>
      </w:r>
      <w:r>
        <w:rPr>
          <w:snapToGrid w:val="0"/>
        </w:rPr>
        <w:tab/>
        <w:t>Terms used</w:t>
      </w:r>
      <w:bookmarkEnd w:id="14"/>
      <w:bookmarkEnd w:id="15"/>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administrator</w:t>
      </w:r>
      <w:r>
        <w:t xml:space="preserve"> means an administrator appointed by the State Administrative Tribunal under section 102;</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means a building or buildings shown on a strata plan;</w:t>
      </w:r>
    </w:p>
    <w:p>
      <w:pPr>
        <w:pStyle w:val="Defstart"/>
      </w:pPr>
      <w:r>
        <w:rPr>
          <w:b/>
        </w:rPr>
        <w:tab/>
      </w:r>
      <w:r>
        <w:rPr>
          <w:rStyle w:val="CharDefText"/>
        </w:rPr>
        <w:t>Commission</w:t>
      </w:r>
      <w:r>
        <w:t xml:space="preserve"> means Western Australian Planning Commission established under the </w:t>
      </w:r>
      <w:r>
        <w:rPr>
          <w:i/>
        </w:rPr>
        <w:t>Planning and Development Act 2005</w:t>
      </w:r>
      <w:r>
        <w:t>;</w:t>
      </w:r>
    </w:p>
    <w:p>
      <w:pPr>
        <w:pStyle w:val="Defstart"/>
        <w:keepNext/>
      </w:pPr>
      <w:r>
        <w:rPr>
          <w:b/>
        </w:rPr>
        <w:tab/>
      </w:r>
      <w:r>
        <w:rPr>
          <w:rStyle w:val="CharDefText"/>
        </w:rPr>
        <w:t>common property</w:t>
      </w:r>
      <w:r>
        <w:t xml:space="preserve"> means —</w:t>
      </w:r>
    </w:p>
    <w:p>
      <w:pPr>
        <w:pStyle w:val="Defpara"/>
        <w:rPr>
          <w:spacing w:val="-4"/>
        </w:rPr>
      </w:pPr>
      <w:r>
        <w:rPr>
          <w:spacing w:val="-4"/>
        </w:rPr>
        <w:tab/>
        <w:t>(a)</w:t>
      </w:r>
      <w:r>
        <w:rPr>
          <w:spacing w:val="-4"/>
        </w:rPr>
        <w:tab/>
        <w:t>so much of the land comprised in a strata plan as from time to time is not comprised in a lot shown on the plan; and</w:t>
      </w:r>
    </w:p>
    <w:p>
      <w:pPr>
        <w:pStyle w:val="Defpara"/>
      </w:pPr>
      <w:r>
        <w:tab/>
        <w:t>(b)</w:t>
      </w:r>
      <w:r>
        <w:tab/>
        <w:t xml:space="preserve">any </w:t>
      </w:r>
      <w:r>
        <w:rPr>
          <w:spacing w:val="-4"/>
        </w:rPr>
        <w:t>leasehold</w:t>
      </w:r>
      <w:r>
        <w:t xml:space="preserve"> interest acquired by a strata company under section 18; and</w:t>
      </w:r>
    </w:p>
    <w:p>
      <w:pPr>
        <w:pStyle w:val="Defpara"/>
      </w:pPr>
      <w:r>
        <w:tab/>
        <w:t>(c)</w:t>
      </w:r>
      <w:r>
        <w:tab/>
        <w:t>the lot or lots shown on a survey</w:t>
      </w:r>
      <w:r>
        <w:noBreakHyphen/>
        <w:t>strata plan as common property;</w:t>
      </w:r>
    </w:p>
    <w:p>
      <w:pPr>
        <w:pStyle w:val="Defstart"/>
      </w:pPr>
      <w:r>
        <w:rPr>
          <w:b/>
        </w:rPr>
        <w:tab/>
      </w:r>
      <w:r>
        <w:rPr>
          <w:rStyle w:val="CharDefText"/>
        </w:rPr>
        <w:t>council</w:t>
      </w:r>
      <w:r>
        <w:t xml:space="preserve"> means the council of a strata company constituted or deemed to have been constituted under this Act;</w:t>
      </w:r>
    </w:p>
    <w:p>
      <w:pPr>
        <w:pStyle w:val="Defstart"/>
      </w:pPr>
      <w:r>
        <w:rPr>
          <w:b/>
        </w:rPr>
        <w:tab/>
      </w:r>
      <w:r>
        <w:rPr>
          <w:rStyle w:val="CharDefText"/>
        </w:rPr>
        <w:t>floor</w:t>
      </w:r>
      <w:r>
        <w:t xml:space="preserve"> includes a stairway or ramp;</w:t>
      </w:r>
    </w:p>
    <w:p>
      <w:pPr>
        <w:pStyle w:val="Defstart"/>
        <w:rPr>
          <w:spacing w:val="-4"/>
        </w:rPr>
      </w:pPr>
      <w:r>
        <w:rPr>
          <w:b/>
          <w:spacing w:val="-4"/>
        </w:rPr>
        <w:tab/>
      </w:r>
      <w:r>
        <w:rPr>
          <w:rStyle w:val="CharDefText"/>
          <w:spacing w:val="-4"/>
        </w:rPr>
        <w:t>floor area</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pPr>
      <w:r>
        <w:rPr>
          <w:b/>
        </w:rPr>
        <w:tab/>
      </w:r>
      <w:r>
        <w:rPr>
          <w:rStyle w:val="CharDefText"/>
        </w:rPr>
        <w:t>floor plan</w:t>
      </w:r>
      <w:r>
        <w:t xml:space="preserve"> means a plan, consisting of one or more sheets, which —</w:t>
      </w:r>
    </w:p>
    <w:p>
      <w:pPr>
        <w:pStyle w:val="Defpara"/>
      </w:pPr>
      <w:r>
        <w:tab/>
        <w:t>(a)</w:t>
      </w:r>
      <w:r>
        <w:tab/>
        <w:t xml:space="preserve">defines by lines (in paragraph (c) referred to as </w:t>
      </w:r>
      <w:r>
        <w:rPr>
          <w:rStyle w:val="CharDefText"/>
        </w:rPr>
        <w:t>base lines</w:t>
      </w:r>
      <w:r>
        <w:t>) the base of each vertical boundary of every cubic space forming the whole of a proposed lot, or the whole of any part of a proposed lot, to which the plan relates; and</w:t>
      </w:r>
    </w:p>
    <w:p>
      <w:pPr>
        <w:pStyle w:val="Defpara"/>
      </w:pPr>
      <w:r>
        <w:tab/>
        <w:t>(b)</w:t>
      </w:r>
      <w:r>
        <w:tab/>
        <w:t>shows —</w:t>
      </w:r>
    </w:p>
    <w:p>
      <w:pPr>
        <w:pStyle w:val="Defsubpara"/>
        <w:keepLines w:val="0"/>
      </w:pPr>
      <w:r>
        <w:tab/>
        <w:t>(i)</w:t>
      </w:r>
      <w:r>
        <w:tab/>
        <w:t>the floor area of any such cubic space; and</w:t>
      </w:r>
    </w:p>
    <w:p>
      <w:pPr>
        <w:pStyle w:val="Defsubpara"/>
        <w:keepLines w:val="0"/>
      </w:pPr>
      <w:r>
        <w:tab/>
        <w:t>(ii)</w:t>
      </w:r>
      <w:r>
        <w:tab/>
        <w:t>where any such cubic space forms part only of a proposed lot, the aggregate of the floor areas of every cubic space that forms part of the proposed lot;</w:t>
      </w:r>
    </w:p>
    <w:p>
      <w:pPr>
        <w:pStyle w:val="Defpara"/>
      </w:pPr>
      <w:r>
        <w:tab/>
      </w:r>
      <w:r>
        <w:tab/>
        <w:t>and</w:t>
      </w:r>
    </w:p>
    <w:p>
      <w:pPr>
        <w:pStyle w:val="Defpara"/>
      </w:pPr>
      <w:r>
        <w:tab/>
        <w:t>(c)</w:t>
      </w:r>
      <w:r>
        <w:tab/>
        <w:t>where proposed lots or parts thereof to which the plan relates are superimposed on other proposed lots or parts thereof to which the plan relates —</w:t>
      </w:r>
    </w:p>
    <w:p>
      <w:pPr>
        <w:pStyle w:val="Defsubpara"/>
        <w:keepLines w:val="0"/>
      </w:pPr>
      <w:r>
        <w:tab/>
        <w:t>(i)</w:t>
      </w:r>
      <w:r>
        <w:tab/>
        <w:t>shows the base lines in respect of the proposed lots or parts thereof that are so superimposed separately from those in respect of the other proposed lots or parts thereof upon which they are superimposed; and</w:t>
      </w:r>
    </w:p>
    <w:p>
      <w:pPr>
        <w:pStyle w:val="Defsubpara"/>
      </w:pPr>
      <w:r>
        <w:tab/>
        <w:t>(ii)</w:t>
      </w:r>
      <w:r>
        <w:tab/>
        <w:t>specifies, by reference to floors or levels, the order in which that superimposition occurs;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r>
      <w:r>
        <w:rPr>
          <w:rStyle w:val="CharDefText"/>
        </w:rPr>
        <w:t>licensed surveyor</w:t>
      </w:r>
      <w:r>
        <w:t xml:space="preserve"> means a surveyor licensed under the </w:t>
      </w:r>
      <w:r>
        <w:rPr>
          <w:i/>
        </w:rPr>
        <w:t>Licensed Surveyors Act 1909</w:t>
      </w:r>
      <w:r>
        <w:t>;</w:t>
      </w:r>
    </w:p>
    <w:p>
      <w:pPr>
        <w:pStyle w:val="Defstart"/>
      </w:pPr>
      <w:r>
        <w:rPr>
          <w:b/>
        </w:rPr>
        <w:tab/>
      </w:r>
      <w:r>
        <w:rPr>
          <w:rStyle w:val="CharDefText"/>
        </w:rPr>
        <w:t>licensed valuer</w:t>
      </w:r>
      <w:r>
        <w:t xml:space="preserve"> means a licensed valuer licensed under the </w:t>
      </w:r>
      <w:r>
        <w:rPr>
          <w:i/>
        </w:rPr>
        <w:t>Land Valuers Licensing Act 1978</w:t>
      </w:r>
      <w:r>
        <w:t>;</w:t>
      </w:r>
    </w:p>
    <w:p>
      <w:pPr>
        <w:pStyle w:val="Defstart"/>
      </w:pPr>
      <w:r>
        <w:rPr>
          <w:b/>
        </w:rPr>
        <w:tab/>
      </w:r>
      <w:r>
        <w:rPr>
          <w:rStyle w:val="CharDefText"/>
        </w:rPr>
        <w:t>local government</w:t>
      </w:r>
      <w:r>
        <w:t xml:space="preserve"> means the local government of the district in which the parcel in question is situated;</w:t>
      </w:r>
    </w:p>
    <w:p>
      <w:pPr>
        <w:pStyle w:val="Defstart"/>
      </w:pPr>
      <w:r>
        <w:rPr>
          <w:b/>
        </w:rPr>
        <w:tab/>
      </w:r>
      <w:r>
        <w:rPr>
          <w:rStyle w:val="CharDefText"/>
        </w:rPr>
        <w:t>location plan</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r>
      <w:r>
        <w:rPr>
          <w:rStyle w:val="CharDefText"/>
        </w:rPr>
        <w:t>lot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w:t>
      </w:r>
    </w:p>
    <w:p>
      <w:pPr>
        <w:pStyle w:val="Defpara"/>
      </w:pPr>
      <w:r>
        <w:tab/>
        <w:t>(a)</w:t>
      </w:r>
      <w:r>
        <w:tab/>
        <w:t>the boundaries of the cubic space are fixed under section 3AB; or</w:t>
      </w:r>
    </w:p>
    <w:p>
      <w:pPr>
        <w:pStyle w:val="Defpara"/>
        <w:keepNext/>
      </w:pPr>
      <w:r>
        <w:tab/>
        <w:t>(b)</w:t>
      </w:r>
      <w:r>
        <w:tab/>
        <w:t>the boundaries are not so fixed and that structural cubic space —</w:t>
      </w:r>
    </w:p>
    <w:p>
      <w:pPr>
        <w:pStyle w:val="Defsubpara"/>
      </w:pPr>
      <w:r>
        <w:tab/>
        <w:t>(i)</w:t>
      </w:r>
      <w:r>
        <w:tab/>
        <w:t>has boundaries described in accordance with the regulations; and</w:t>
      </w:r>
    </w:p>
    <w:p>
      <w:pPr>
        <w:pStyle w:val="Defsubpara"/>
      </w:pPr>
      <w:r>
        <w:tab/>
        <w:t>(ii)</w:t>
      </w:r>
      <w:r>
        <w:tab/>
        <w:t>is shown in that floor plan as part of a lot;</w:t>
      </w:r>
    </w:p>
    <w:p>
      <w:pPr>
        <w:pStyle w:val="Defstart"/>
        <w:keepNext/>
      </w:pPr>
      <w:r>
        <w:rPr>
          <w:b/>
        </w:rPr>
        <w:tab/>
      </w:r>
      <w:r>
        <w:rPr>
          <w:rStyle w:val="CharDefText"/>
        </w:rPr>
        <w:t>lot</w:t>
      </w:r>
      <w:r>
        <w:t>, in relation to a survey</w:t>
      </w:r>
      <w:r>
        <w:noBreakHyphen/>
        <w:t>strata scheme, means land that is shown as a lot consisting of one or more parts on the plan for that scheme, but does not include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r>
      <w:r>
        <w:rPr>
          <w:rStyle w:val="CharDefText"/>
        </w:rPr>
        <w:t>mortgage</w:t>
      </w:r>
      <w:r>
        <w:t xml:space="preserve"> includes a charge for securing money or money’s worth;</w:t>
      </w:r>
    </w:p>
    <w:p>
      <w:pPr>
        <w:pStyle w:val="Defstart"/>
      </w:pPr>
      <w:r>
        <w:rPr>
          <w:b/>
        </w:rPr>
        <w:tab/>
      </w:r>
      <w:r>
        <w:rPr>
          <w:rStyle w:val="CharDefText"/>
        </w:rPr>
        <w:t>occupier</w:t>
      </w:r>
      <w:r>
        <w:t xml:space="preserve"> in relation to a lot, means a person in lawful occupation of that lot;</w:t>
      </w:r>
    </w:p>
    <w:p>
      <w:pPr>
        <w:pStyle w:val="Defstart"/>
      </w:pPr>
      <w:r>
        <w:tab/>
      </w:r>
      <w:r>
        <w:rPr>
          <w:rStyle w:val="CharDefText"/>
        </w:rPr>
        <w:t>open space</w:t>
      </w:r>
      <w:r>
        <w:t xml:space="preserve"> means the area of a lot that is not occupied by any building and is to be calculated in such manner as is prescribed;</w:t>
      </w:r>
    </w:p>
    <w:p>
      <w:pPr>
        <w:pStyle w:val="Defstart"/>
      </w:pPr>
      <w:r>
        <w:rPr>
          <w:b/>
        </w:rPr>
        <w:tab/>
      </w:r>
      <w:r>
        <w:rPr>
          <w:rStyle w:val="CharDefText"/>
        </w:rPr>
        <w:t>original proprietor</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r>
      <w:r>
        <w:rPr>
          <w:rStyle w:val="CharDefText"/>
        </w:rPr>
        <w:t>parcel</w:t>
      </w:r>
      <w:r>
        <w:t xml:space="preserve"> means the land comprised in a strata/survey</w:t>
      </w:r>
      <w:r>
        <w:noBreakHyphen/>
        <w:t>strata plan;</w:t>
      </w:r>
    </w:p>
    <w:p>
      <w:pPr>
        <w:pStyle w:val="Defstart"/>
      </w:pPr>
      <w:r>
        <w:rPr>
          <w:b/>
        </w:rPr>
        <w:tab/>
      </w:r>
      <w:r>
        <w:rPr>
          <w:rStyle w:val="CharDefText"/>
        </w:rPr>
        <w:t>permitted boundary deviation</w:t>
      </w:r>
      <w:r>
        <w:t xml:space="preserve"> for the purposes of the definition of </w:t>
      </w:r>
      <w:r>
        <w:rPr>
          <w:b/>
          <w:i/>
        </w:rPr>
        <w:t>single tier strata scheme</w:t>
      </w:r>
      <w:r>
        <w:t xml:space="preserve"> and other provisions, means a part of a lot that is above or below another lot in circumstances allowed by the regulations;</w:t>
      </w:r>
    </w:p>
    <w:p>
      <w:pPr>
        <w:pStyle w:val="Defstart"/>
        <w:keepNext/>
      </w:pPr>
      <w:r>
        <w:rPr>
          <w:b/>
        </w:rPr>
        <w:tab/>
      </w:r>
      <w:r>
        <w:rPr>
          <w:rStyle w:val="CharDefText"/>
        </w:rPr>
        <w:t>person concerned</w:t>
      </w:r>
      <w:r>
        <w:t xml:space="preserve"> means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r>
      <w:r>
        <w:rPr>
          <w:rStyle w:val="CharDefText"/>
        </w:rPr>
        <w:t>prescribed</w:t>
      </w:r>
      <w:r>
        <w:t xml:space="preserve"> means prescribed by regulations;</w:t>
      </w:r>
    </w:p>
    <w:p>
      <w:pPr>
        <w:pStyle w:val="Defstart"/>
      </w:pPr>
      <w:r>
        <w:rPr>
          <w:b/>
        </w:rPr>
        <w:tab/>
      </w:r>
      <w:r>
        <w:rPr>
          <w:rStyle w:val="CharDefText"/>
        </w:rPr>
        <w:t>proprietor</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r>
      <w:r>
        <w:rPr>
          <w:rStyle w:val="CharDefText"/>
        </w:rPr>
        <w:t>Register</w:t>
      </w:r>
      <w:r>
        <w:t xml:space="preserve"> has the meaning given by the </w:t>
      </w:r>
      <w:r>
        <w:rPr>
          <w:i/>
        </w:rPr>
        <w:t>Transfer of Land Act 1893</w:t>
      </w:r>
      <w:r>
        <w:t>;</w:t>
      </w:r>
    </w:p>
    <w:p>
      <w:pPr>
        <w:pStyle w:val="Defstart"/>
      </w:pPr>
      <w:r>
        <w:rPr>
          <w:b/>
        </w:rPr>
        <w:tab/>
      </w:r>
      <w:r>
        <w:rPr>
          <w:rStyle w:val="CharDefText"/>
        </w:rPr>
        <w:t>Registrar of Titles</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r>
      <w:r>
        <w:rPr>
          <w:rStyle w:val="CharDefText"/>
        </w:rPr>
        <w:t>resolution without dissent</w:t>
      </w:r>
      <w:r>
        <w:t xml:space="preserve"> means a resolution that complies with sections 3AC and 3C and also has the meaning given by section 3CA;</w:t>
      </w:r>
    </w:p>
    <w:p>
      <w:pPr>
        <w:pStyle w:val="Defstart"/>
      </w:pPr>
      <w:r>
        <w:rPr>
          <w:b/>
        </w:rPr>
        <w:tab/>
      </w:r>
      <w:r>
        <w:rPr>
          <w:rStyle w:val="CharDefText"/>
        </w:rPr>
        <w:t>re</w:t>
      </w:r>
      <w:r>
        <w:rPr>
          <w:rStyle w:val="CharDefText"/>
        </w:rPr>
        <w:noBreakHyphen/>
        <w:t>subdivision</w:t>
      </w:r>
      <w:r>
        <w:t xml:space="preserve"> has the meaning given by subsection (5) and section 8(1);</w:t>
      </w:r>
    </w:p>
    <w:p>
      <w:pPr>
        <w:pStyle w:val="Defstart"/>
      </w:pPr>
      <w:r>
        <w:rPr>
          <w:b/>
        </w:rPr>
        <w:tab/>
      </w:r>
      <w:r>
        <w:rPr>
          <w:rStyle w:val="CharDefText"/>
        </w:rPr>
        <w:t>scheme</w:t>
      </w:r>
      <w:r>
        <w:t xml:space="preserve"> means a strata scheme or a survey</w:t>
      </w:r>
      <w:r>
        <w:noBreakHyphen/>
        <w:t>strata scheme;</w:t>
      </w:r>
    </w:p>
    <w:p>
      <w:pPr>
        <w:pStyle w:val="Defstart"/>
        <w:keepNext/>
      </w:pPr>
      <w:r>
        <w:rPr>
          <w:b/>
        </w:rPr>
        <w:tab/>
      </w:r>
      <w:r>
        <w:rPr>
          <w:rStyle w:val="CharDefText"/>
        </w:rPr>
        <w:t>single tier strata scheme</w:t>
      </w:r>
      <w:r>
        <w:t xml:space="preserve"> means a strata scheme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r>
      <w:r>
        <w:rPr>
          <w:rStyle w:val="CharDefText"/>
        </w:rPr>
        <w:t>special resolution</w:t>
      </w:r>
      <w:r>
        <w:t xml:space="preserve"> means a resolution that complies with sections 3B and 3C and also has the meaning given by section 3CA;</w:t>
      </w:r>
    </w:p>
    <w:p>
      <w:pPr>
        <w:pStyle w:val="Defstart"/>
      </w:pPr>
      <w:r>
        <w:rPr>
          <w:b/>
        </w:rPr>
        <w:tab/>
      </w:r>
      <w:r>
        <w:rPr>
          <w:rStyle w:val="CharDefText"/>
        </w:rPr>
        <w:t>strata company</w:t>
      </w:r>
      <w:r>
        <w:t xml:space="preserve"> means a body corporate constituted under section 32 whether for a strata scheme or a survey</w:t>
      </w:r>
      <w:r>
        <w:noBreakHyphen/>
        <w:t>strata scheme;</w:t>
      </w:r>
    </w:p>
    <w:p>
      <w:pPr>
        <w:pStyle w:val="Defstart"/>
      </w:pPr>
      <w:r>
        <w:rPr>
          <w:b/>
        </w:rPr>
        <w:tab/>
      </w:r>
      <w:r>
        <w:rPr>
          <w:rStyle w:val="CharDefText"/>
        </w:rPr>
        <w:t>strata/survey</w:t>
      </w:r>
      <w:r>
        <w:rPr>
          <w:rStyle w:val="CharDefText"/>
        </w:rPr>
        <w:noBreakHyphen/>
        <w:t>strata plan</w:t>
      </w:r>
      <w:r>
        <w:t xml:space="preserve"> means a strata plan or a survey</w:t>
      </w:r>
      <w:r>
        <w:noBreakHyphen/>
        <w:t>strata plan;</w:t>
      </w:r>
    </w:p>
    <w:p>
      <w:pPr>
        <w:pStyle w:val="Defstart"/>
      </w:pPr>
      <w:r>
        <w:rPr>
          <w:b/>
        </w:rPr>
        <w:tab/>
      </w:r>
      <w:r>
        <w:rPr>
          <w:rStyle w:val="CharDefText"/>
        </w:rPr>
        <w:t>strata plan</w:t>
      </w:r>
      <w:r>
        <w:t xml:space="preserve"> has the meaning given by section 4(1a);</w:t>
      </w:r>
    </w:p>
    <w:p>
      <w:pPr>
        <w:pStyle w:val="Defstart"/>
        <w:keepNext/>
      </w:pPr>
      <w:r>
        <w:rPr>
          <w:b/>
        </w:rPr>
        <w:tab/>
      </w:r>
      <w:r>
        <w:rPr>
          <w:rStyle w:val="CharDefText"/>
        </w:rPr>
        <w:t>strata scheme</w:t>
      </w:r>
      <w:r>
        <w:t xml:space="preserve"> means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r>
      <w:r>
        <w:rPr>
          <w:rStyle w:val="CharDefText"/>
        </w:rPr>
        <w:t>structural cubic space</w:t>
      </w:r>
      <w:r>
        <w:t xml:space="preserve"> means —</w:t>
      </w:r>
    </w:p>
    <w:p>
      <w:pPr>
        <w:pStyle w:val="Defpara"/>
      </w:pPr>
      <w:r>
        <w:tab/>
        <w:t>(a)</w:t>
      </w:r>
      <w:r>
        <w:tab/>
        <w:t>cubic space occupied by a vertical structural member, not being a wall, of a building; and</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t>but, except where section 3AB applies, does not include any pipes, wires, cables or ducts that are for the exclusive use or enjoyment of one lot;</w:t>
      </w:r>
    </w:p>
    <w:p>
      <w:pPr>
        <w:pStyle w:val="Defstart"/>
      </w:pPr>
      <w:r>
        <w:rPr>
          <w:b/>
        </w:rPr>
        <w:tab/>
      </w:r>
      <w:r>
        <w:rPr>
          <w:rStyle w:val="CharDefText"/>
        </w:rPr>
        <w:t>survey</w:t>
      </w:r>
      <w:r>
        <w:rPr>
          <w:rStyle w:val="CharDefText"/>
        </w:rPr>
        <w:noBreakHyphen/>
        <w:t>strata plan</w:t>
      </w:r>
      <w:r>
        <w:t xml:space="preserve"> has the meaning given by section 4(1b);</w:t>
      </w:r>
    </w:p>
    <w:p>
      <w:pPr>
        <w:pStyle w:val="Defstart"/>
        <w:keepNext/>
      </w:pPr>
      <w:r>
        <w:rPr>
          <w:b/>
        </w:rPr>
        <w:tab/>
      </w:r>
      <w:r>
        <w:rPr>
          <w:rStyle w:val="CharDefText"/>
        </w:rPr>
        <w:t>survey</w:t>
      </w:r>
      <w:r>
        <w:rPr>
          <w:rStyle w:val="CharDefText"/>
        </w:rPr>
        <w:noBreakHyphen/>
        <w:t>strata scheme</w:t>
      </w:r>
      <w:r>
        <w:t xml:space="preserve"> means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rStyle w:val="CharDefText"/>
        </w:rPr>
        <w:t>take</w:t>
      </w:r>
      <w:r>
        <w:rPr>
          <w:snapToGrid/>
        </w:rPr>
        <w:t xml:space="preserve">, </w:t>
      </w:r>
      <w:r>
        <w:rPr>
          <w:rStyle w:val="CharDefText"/>
        </w:rPr>
        <w:t>taken</w:t>
      </w:r>
      <w:r>
        <w:t xml:space="preserve"> and </w:t>
      </w:r>
      <w:r>
        <w:rPr>
          <w:rStyle w:val="CharDefText"/>
        </w:rPr>
        <w:t>taking</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r>
      <w:r>
        <w:rPr>
          <w:rStyle w:val="CharDefText"/>
        </w:rPr>
        <w:t>two</w:t>
      </w:r>
      <w:r>
        <w:rPr>
          <w:rStyle w:val="CharDefText"/>
        </w:rPr>
        <w:noBreakHyphen/>
        <w:t>lot scheme</w:t>
      </w:r>
      <w:r>
        <w:t xml:space="preserve"> means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r>
      <w:r>
        <w:rPr>
          <w:rStyle w:val="CharDefText"/>
        </w:rPr>
        <w:t>unanimous resolution</w:t>
      </w:r>
      <w:r>
        <w:t xml:space="preserve"> means —</w:t>
      </w:r>
    </w:p>
    <w:p>
      <w:pPr>
        <w:pStyle w:val="Defpara"/>
        <w:keepNext/>
      </w:pPr>
      <w:r>
        <w:tab/>
        <w:t>(a)</w:t>
      </w:r>
      <w:r>
        <w:tab/>
        <w:t>a resolution that is passed unanimously at a duly convened general meeting of the strata company —</w:t>
      </w:r>
    </w:p>
    <w:p>
      <w:pPr>
        <w:pStyle w:val="Defsubpara"/>
      </w:pPr>
      <w:r>
        <w:tab/>
        <w:t>(i)</w:t>
      </w:r>
      <w:r>
        <w:tab/>
        <w:t>of which at least 14 days’ notice specifying the proposed resolution has been given; and</w:t>
      </w:r>
    </w:p>
    <w:p>
      <w:pPr>
        <w:pStyle w:val="Defsubpara"/>
        <w:rPr>
          <w:spacing w:val="-4"/>
        </w:rPr>
      </w:pPr>
      <w:r>
        <w:rPr>
          <w:spacing w:val="-4"/>
        </w:rPr>
        <w:tab/>
        <w:t>(ii)</w:t>
      </w:r>
      <w:r>
        <w:rPr>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r>
      <w:r>
        <w:rPr>
          <w:rStyle w:val="CharDefText"/>
        </w:rPr>
        <w:t>unit entitlement</w:t>
      </w:r>
      <w:r>
        <w:t xml:space="preserve"> in respect of a lot, means the unit entitlement of that lot shown on the schedule of unit entitlement registered with the Registrar of Titles;</w:t>
      </w:r>
    </w:p>
    <w:p>
      <w:pPr>
        <w:pStyle w:val="Defstart"/>
      </w:pPr>
      <w:r>
        <w:rPr>
          <w:b/>
        </w:rPr>
        <w:tab/>
      </w:r>
      <w:r>
        <w:rPr>
          <w:rStyle w:val="CharDefText"/>
        </w:rPr>
        <w:t>wall</w:t>
      </w:r>
      <w:r>
        <w:t xml:space="preserve"> includes a door, window or other structure dividing a lot from common property or from another lot.</w:t>
      </w:r>
    </w:p>
    <w:p>
      <w:pPr>
        <w:pStyle w:val="Subsection"/>
        <w:keepNext/>
        <w:rPr>
          <w:snapToGrid w:val="0"/>
        </w:rPr>
      </w:pPr>
      <w:r>
        <w:rPr>
          <w:snapToGrid w:val="0"/>
        </w:rPr>
        <w:tab/>
        <w:t>(2)</w:t>
      </w:r>
      <w:r>
        <w:rPr>
          <w:snapToGrid w:val="0"/>
        </w:rPr>
        <w:tab/>
        <w:t xml:space="preserve">Except where section 3AB applies, the boundaries of any cubic space referred to in paragraph (a) of the definition of </w:t>
      </w:r>
      <w:r>
        <w:rPr>
          <w:b/>
          <w:i/>
          <w:snapToGrid w:val="0"/>
        </w:rPr>
        <w:t>floor plan</w:t>
      </w:r>
      <w:r>
        <w:rPr>
          <w:snapToGrid w:val="0"/>
        </w:rPr>
        <w:t xml:space="preserve"> in subsection (1) —</w:t>
      </w:r>
    </w:p>
    <w:p>
      <w:pPr>
        <w:pStyle w:val="Indenta"/>
        <w:keepNext/>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w:t>
      </w:r>
    </w:p>
    <w:p>
      <w:pPr>
        <w:pStyle w:val="Indenta"/>
        <w:keepNext/>
        <w:spacing w:before="70"/>
        <w:rPr>
          <w:snapToGrid w:val="0"/>
        </w:rPr>
      </w:pPr>
      <w:r>
        <w:rPr>
          <w:snapToGrid w:val="0"/>
        </w:rPr>
        <w:tab/>
        <w:t>(a)</w:t>
      </w:r>
      <w:r>
        <w:rPr>
          <w:snapToGrid w:val="0"/>
        </w:rPr>
        <w:tab/>
        <w:t>a strata plan creates a boundary external to a building; or</w:t>
      </w:r>
    </w:p>
    <w:p>
      <w:pPr>
        <w:pStyle w:val="Indenta"/>
        <w:keepNext/>
        <w:spacing w:before="70"/>
        <w:rPr>
          <w:snapToGrid w:val="0"/>
        </w:rPr>
      </w:pPr>
      <w:r>
        <w:rPr>
          <w:snapToGrid w:val="0"/>
        </w:rPr>
        <w:tab/>
        <w:t>(b)</w:t>
      </w:r>
      <w:r>
        <w:rPr>
          <w:snapToGrid w:val="0"/>
        </w:rPr>
        <w:tab/>
        <w:t>other prescribed circumstances apply,</w:t>
      </w:r>
    </w:p>
    <w:p>
      <w:pPr>
        <w:pStyle w:val="Subsection"/>
        <w:spacing w:before="12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spacing w:before="60"/>
        <w:rPr>
          <w:snapToGrid w:val="0"/>
        </w:rPr>
      </w:pPr>
      <w:r>
        <w:rPr>
          <w:snapToGrid w:val="0"/>
        </w:rPr>
        <w:tab/>
        <w:t>(a)</w:t>
      </w:r>
      <w:r>
        <w:rPr>
          <w:snapToGrid w:val="0"/>
        </w:rPr>
        <w:tab/>
        <w:t>a wall that is not vertical; or</w:t>
      </w:r>
    </w:p>
    <w:p>
      <w:pPr>
        <w:pStyle w:val="Indenta"/>
        <w:keepNext/>
        <w:spacing w:before="60"/>
        <w:rPr>
          <w:snapToGrid w:val="0"/>
        </w:rPr>
      </w:pPr>
      <w:r>
        <w:rPr>
          <w:snapToGrid w:val="0"/>
        </w:rPr>
        <w:tab/>
        <w:t>(b)</w:t>
      </w:r>
      <w:r>
        <w:rPr>
          <w:snapToGrid w:val="0"/>
        </w:rPr>
        <w:tab/>
        <w:t>a floor or ceiling that is not horizontal,</w:t>
      </w:r>
    </w:p>
    <w:p>
      <w:pPr>
        <w:pStyle w:val="Subsection"/>
        <w:spacing w:before="120"/>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w:t>
      </w:r>
    </w:p>
    <w:p>
      <w:pPr>
        <w:pStyle w:val="Indenta"/>
        <w:spacing w:before="70"/>
        <w:rPr>
          <w:snapToGrid w:val="0"/>
        </w:rPr>
      </w:pPr>
      <w:r>
        <w:rPr>
          <w:snapToGrid w:val="0"/>
        </w:rPr>
        <w:tab/>
        <w:t>(a)</w:t>
      </w:r>
      <w:r>
        <w:rPr>
          <w:snapToGrid w:val="0"/>
        </w:rPr>
        <w:tab/>
        <w:t>one or more lots so as to create only 2 or more different lots; or</w:t>
      </w:r>
    </w:p>
    <w:p>
      <w:pPr>
        <w:pStyle w:val="Indenta"/>
        <w:spacing w:before="70"/>
        <w:rPr>
          <w:snapToGrid w:val="0"/>
        </w:rPr>
      </w:pPr>
      <w:r>
        <w:rPr>
          <w:snapToGrid w:val="0"/>
        </w:rPr>
        <w:tab/>
        <w:t>(b)</w:t>
      </w:r>
      <w:r>
        <w:rPr>
          <w:snapToGrid w:val="0"/>
        </w:rPr>
        <w:tab/>
        <w:t>one or more lots so to create one or more different lots and common property; or</w:t>
      </w:r>
    </w:p>
    <w:p>
      <w:pPr>
        <w:pStyle w:val="Indenta"/>
        <w:spacing w:before="70"/>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spacing w:before="70"/>
        <w:rPr>
          <w:snapToGrid w:val="0"/>
        </w:rPr>
      </w:pPr>
      <w:r>
        <w:rPr>
          <w:snapToGrid w:val="0"/>
        </w:rPr>
        <w:tab/>
        <w:t>(d)</w:t>
      </w:r>
      <w:r>
        <w:rPr>
          <w:snapToGrid w:val="0"/>
        </w:rPr>
        <w:tab/>
        <w:t>common property so as to create one or more lots,</w:t>
      </w:r>
    </w:p>
    <w:p>
      <w:pPr>
        <w:pStyle w:val="Subsection"/>
        <w:spacing w:before="120"/>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pPr>
      <w:r>
        <w:tab/>
        <w:t>[Section 3 amended by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w:t>
      </w:r>
    </w:p>
    <w:p>
      <w:pPr>
        <w:pStyle w:val="Heading5"/>
        <w:rPr>
          <w:snapToGrid w:val="0"/>
        </w:rPr>
      </w:pPr>
      <w:bookmarkStart w:id="16" w:name="_Toc381880812"/>
      <w:bookmarkStart w:id="17" w:name="_Toc476927185"/>
      <w:r>
        <w:rPr>
          <w:rStyle w:val="CharSectno"/>
        </w:rPr>
        <w:t>3A</w:t>
      </w:r>
      <w:r>
        <w:rPr>
          <w:snapToGrid w:val="0"/>
        </w:rPr>
        <w:t>.</w:t>
      </w:r>
      <w:r>
        <w:rPr>
          <w:snapToGrid w:val="0"/>
        </w:rPr>
        <w:tab/>
        <w:t>Single tier strata schemes to which s. 3AB applies</w:t>
      </w:r>
      <w:bookmarkEnd w:id="16"/>
      <w:bookmarkEnd w:id="17"/>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w:t>
      </w:r>
    </w:p>
    <w:p>
      <w:pPr>
        <w:pStyle w:val="Indenta"/>
        <w:rPr>
          <w:snapToGrid w:val="0"/>
        </w:rPr>
      </w:pPr>
      <w:r>
        <w:rPr>
          <w:snapToGrid w:val="0"/>
        </w:rPr>
        <w:tab/>
        <w:t>(a)</w:t>
      </w:r>
      <w:r>
        <w:rPr>
          <w:snapToGrid w:val="0"/>
        </w:rPr>
        <w:tab/>
      </w:r>
      <w:r>
        <w:t>for</w:t>
      </w:r>
      <w:r>
        <w:rPr>
          <w:snapToGrid w:val="0"/>
        </w:rPr>
        <w:t xml:space="preserve"> a scheme the strata plan for which is registered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and</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rPr>
          <w:snapToGrid w:val="0"/>
        </w:rPr>
      </w:pPr>
      <w:r>
        <w:rPr>
          <w:snapToGrid w:val="0"/>
        </w:rPr>
        <w:tab/>
        <w:t>(b)</w:t>
      </w:r>
      <w:r>
        <w:rPr>
          <w:snapToGrid w:val="0"/>
        </w:rPr>
        <w:tab/>
        <w:t>for a scheme in respect of which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rPr>
          <w:snapToGrid w:val="0"/>
        </w:rPr>
      </w:pPr>
      <w:r>
        <w:rPr>
          <w:snapToGrid w:val="0"/>
        </w:rPr>
        <w:tab/>
        <w:t>(c)</w:t>
      </w:r>
      <w:r>
        <w:rPr>
          <w:snapToGrid w:val="0"/>
        </w:rPr>
        <w:tab/>
        <w:t>for a scheme the strata plan for which is registered on or after 1 January 1998, except where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ind w:left="890" w:hanging="890"/>
      </w:pPr>
      <w:r>
        <w:tab/>
        <w:t>[Section 3A inserted by No. 61 of 1996 s. 6.]</w:t>
      </w:r>
    </w:p>
    <w:p>
      <w:pPr>
        <w:pStyle w:val="Heading5"/>
        <w:rPr>
          <w:snapToGrid w:val="0"/>
        </w:rPr>
      </w:pPr>
      <w:bookmarkStart w:id="18" w:name="_Toc381880813"/>
      <w:bookmarkStart w:id="19" w:name="_Toc476927186"/>
      <w:r>
        <w:rPr>
          <w:rStyle w:val="CharSectno"/>
        </w:rPr>
        <w:t>3AB</w:t>
      </w:r>
      <w:r>
        <w:rPr>
          <w:snapToGrid w:val="0"/>
        </w:rPr>
        <w:t>.</w:t>
      </w:r>
      <w:r>
        <w:rPr>
          <w:snapToGrid w:val="0"/>
        </w:rPr>
        <w:tab/>
        <w:t>Alternative boundaries for lots in single tier strata schemes</w:t>
      </w:r>
      <w:bookmarkEnd w:id="18"/>
      <w:bookmarkEnd w:id="19"/>
    </w:p>
    <w:p>
      <w:pPr>
        <w:pStyle w:val="Subsection"/>
        <w:rPr>
          <w:snapToGrid w:val="0"/>
        </w:rPr>
      </w:pPr>
      <w:r>
        <w:rPr>
          <w:snapToGrid w:val="0"/>
        </w:rPr>
        <w:tab/>
        <w:t>(1)</w:t>
      </w:r>
      <w:r>
        <w:rPr>
          <w:snapToGrid w:val="0"/>
        </w:rPr>
        <w:tab/>
        <w:t xml:space="preserve">Where this section applies the boundaries of any cubic space referred to in paragraph (a) of the definition of </w:t>
      </w:r>
      <w:r>
        <w:rPr>
          <w:b/>
          <w:i/>
          <w:snapToGrid w:val="0"/>
        </w:rPr>
        <w:t>floor plan</w:t>
      </w:r>
      <w:r>
        <w:rPr>
          <w:snapToGrid w:val="0"/>
        </w:rPr>
        <w:t xml:space="preserve"> in section 3(1) are, regardless of the exact location of the lines referred to in that paragraph —</w:t>
      </w:r>
    </w:p>
    <w:p>
      <w:pPr>
        <w:pStyle w:val="Indenta"/>
        <w:rPr>
          <w:snapToGrid w:val="0"/>
        </w:rPr>
      </w:pPr>
      <w:r>
        <w:rPr>
          <w:snapToGrid w:val="0"/>
        </w:rPr>
        <w:tab/>
        <w:t>(a)</w:t>
      </w:r>
      <w:r>
        <w:rPr>
          <w:snapToGrid w:val="0"/>
        </w:rPr>
        <w:tab/>
        <w:t>the external surfaces of the building occupying the area represented on that floor plan —</w:t>
      </w:r>
    </w:p>
    <w:p>
      <w:pPr>
        <w:pStyle w:val="Indenti"/>
        <w:rPr>
          <w:snapToGrid w:val="0"/>
        </w:rPr>
      </w:pPr>
      <w:r>
        <w:rPr>
          <w:snapToGrid w:val="0"/>
        </w:rPr>
        <w:tab/>
        <w:t>(i)</w:t>
      </w:r>
      <w:r>
        <w:rPr>
          <w:snapToGrid w:val="0"/>
        </w:rPr>
        <w:tab/>
        <w:t>including any thing that —</w:t>
      </w:r>
    </w:p>
    <w:p>
      <w:pPr>
        <w:pStyle w:val="IndentI0"/>
        <w:rPr>
          <w:snapToGrid w:val="0"/>
        </w:rPr>
      </w:pPr>
      <w:r>
        <w:rPr>
          <w:snapToGrid w:val="0"/>
        </w:rPr>
        <w:tab/>
        <w:t>(I)</w:t>
      </w:r>
      <w:r>
        <w:rPr>
          <w:snapToGrid w:val="0"/>
        </w:rPr>
        <w:tab/>
        <w:t>is attached to and projects from the building; and</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despite paragraph (a), where 2 lots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w:t>
      </w:r>
    </w:p>
    <w:p>
      <w:pPr>
        <w:pStyle w:val="Indenta"/>
        <w:rPr>
          <w:snapToGrid w:val="0"/>
        </w:rPr>
      </w:pPr>
      <w:r>
        <w:rPr>
          <w:snapToGrid w:val="0"/>
        </w:rPr>
        <w:tab/>
        <w:t>(a)</w:t>
      </w:r>
      <w:r>
        <w:rPr>
          <w:snapToGrid w:val="0"/>
        </w:rPr>
        <w:tab/>
        <w:t>the boundary of a lot is a part of a building that constitutes a permitted boundary deviation; and</w:t>
      </w:r>
    </w:p>
    <w:p>
      <w:pPr>
        <w:pStyle w:val="Indenta"/>
        <w:keepNext/>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spacing w:before="120"/>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w:t>
      </w:r>
    </w:p>
    <w:p>
      <w:pPr>
        <w:pStyle w:val="Indenta"/>
        <w:keepNext/>
        <w:spacing w:before="60"/>
        <w:rPr>
          <w:snapToGrid w:val="0"/>
        </w:rPr>
      </w:pPr>
      <w:r>
        <w:rPr>
          <w:snapToGrid w:val="0"/>
        </w:rPr>
        <w:tab/>
        <w:t>(a)</w:t>
      </w:r>
      <w:r>
        <w:rPr>
          <w:snapToGrid w:val="0"/>
        </w:rPr>
        <w:tab/>
        <w:t>displaces the operation of section 3(2)(a); but</w:t>
      </w:r>
    </w:p>
    <w:p>
      <w:pPr>
        <w:pStyle w:val="Indenta"/>
        <w:spacing w:before="60"/>
        <w:rPr>
          <w:snapToGrid w:val="0"/>
        </w:rPr>
      </w:pPr>
      <w:r>
        <w:rPr>
          <w:snapToGrid w:val="0"/>
        </w:rPr>
        <w:tab/>
        <w:t>(b)</w:t>
      </w:r>
      <w:r>
        <w:rPr>
          <w:snapToGrid w:val="0"/>
        </w:rPr>
        <w:tab/>
        <w:t>does not affect the operation of subsection (2)(b) of that section.</w:t>
      </w:r>
    </w:p>
    <w:p>
      <w:pPr>
        <w:pStyle w:val="Footnotesection"/>
        <w:spacing w:before="100"/>
        <w:ind w:left="890" w:hanging="890"/>
      </w:pPr>
      <w:r>
        <w:tab/>
        <w:t>[Section 3AB inserted by No. 61 of 1996 s. 6; amended by No. 55 of 2004 s. 1157.]</w:t>
      </w:r>
    </w:p>
    <w:p>
      <w:pPr>
        <w:pStyle w:val="Heading5"/>
        <w:rPr>
          <w:snapToGrid w:val="0"/>
        </w:rPr>
      </w:pPr>
      <w:bookmarkStart w:id="20" w:name="_Toc381880814"/>
      <w:bookmarkStart w:id="21" w:name="_Toc476927187"/>
      <w:r>
        <w:rPr>
          <w:rStyle w:val="CharSectno"/>
        </w:rPr>
        <w:t>3AC</w:t>
      </w:r>
      <w:r>
        <w:rPr>
          <w:snapToGrid w:val="0"/>
        </w:rPr>
        <w:t>.</w:t>
      </w:r>
      <w:r>
        <w:rPr>
          <w:snapToGrid w:val="0"/>
        </w:rPr>
        <w:tab/>
        <w:t>R</w:t>
      </w:r>
      <w:r>
        <w:t>esolution without dissent</w:t>
      </w:r>
      <w:bookmarkEnd w:id="20"/>
      <w:bookmarkEnd w:id="21"/>
    </w:p>
    <w:p>
      <w:pPr>
        <w:pStyle w:val="Subsection"/>
        <w:keepNext/>
      </w:pPr>
      <w:r>
        <w:tab/>
        <w:t>(1)</w:t>
      </w:r>
      <w:r>
        <w:tab/>
        <w:t>For the purposes of this Act a resolution without dissent is a resolution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w:t>
      </w:r>
    </w:p>
    <w:p>
      <w:pPr>
        <w:pStyle w:val="Indenti"/>
        <w:spacing w:before="60"/>
        <w:rPr>
          <w:snapToGrid w:val="0"/>
        </w:rPr>
      </w:pPr>
      <w:r>
        <w:rPr>
          <w:snapToGrid w:val="0"/>
        </w:rPr>
        <w:tab/>
        <w:t>(i)</w:t>
      </w:r>
      <w:r>
        <w:rPr>
          <w:snapToGrid w:val="0"/>
        </w:rPr>
        <w:tab/>
        <w:t>voting at the meeting either personally or by proxy; or</w:t>
      </w:r>
    </w:p>
    <w:p>
      <w:pPr>
        <w:pStyle w:val="Indenti"/>
        <w:spacing w:before="60"/>
        <w:rPr>
          <w:snapToGrid w:val="0"/>
        </w:rPr>
      </w:pPr>
      <w:r>
        <w:rPr>
          <w:snapToGrid w:val="0"/>
        </w:rPr>
        <w:tab/>
        <w:t>(ii)</w:t>
      </w:r>
      <w:r>
        <w:rPr>
          <w:snapToGrid w:val="0"/>
        </w:rPr>
        <w:tab/>
        <w:t>voting in accordance with subsection (2).</w:t>
      </w:r>
    </w:p>
    <w:p>
      <w:pPr>
        <w:pStyle w:val="Subsection"/>
      </w:pPr>
      <w:r>
        <w:tab/>
        <w:t>(2)</w:t>
      </w:r>
      <w:r>
        <w:tab/>
        <w:t>A person entitled to exercise the powers of voting conferred under this Act is also to be taken to vote —</w:t>
      </w:r>
    </w:p>
    <w:p>
      <w:pPr>
        <w:pStyle w:val="Indenta"/>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pPr>
      <w:r>
        <w:tab/>
        <w:t>(3)</w:t>
      </w:r>
      <w:r>
        <w:tab/>
      </w:r>
      <w:r>
        <w:rPr>
          <w:snapToGrid w:val="0"/>
        </w:rPr>
        <w:t>The</w:t>
      </w:r>
      <w:r>
        <w:t xml:space="preserve"> writing referred to in subsection (2)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[Section 3AC inserted as section 3A by No. 58 of 1995 s. 6; renumbered as section 3AC by No. 61 of 1996 s. 5.]</w:t>
      </w:r>
    </w:p>
    <w:p>
      <w:pPr>
        <w:pStyle w:val="Heading5"/>
        <w:rPr>
          <w:snapToGrid w:val="0"/>
        </w:rPr>
      </w:pPr>
      <w:bookmarkStart w:id="22" w:name="_Toc381880815"/>
      <w:bookmarkStart w:id="23" w:name="_Toc476927188"/>
      <w:r>
        <w:rPr>
          <w:rStyle w:val="CharSectno"/>
        </w:rPr>
        <w:t>3B</w:t>
      </w:r>
      <w:r>
        <w:rPr>
          <w:snapToGrid w:val="0"/>
        </w:rPr>
        <w:t>.</w:t>
      </w:r>
      <w:r>
        <w:rPr>
          <w:snapToGrid w:val="0"/>
        </w:rPr>
        <w:tab/>
        <w:t>Special resolution of strata company</w:t>
      </w:r>
      <w:bookmarkEnd w:id="22"/>
      <w:bookmarkEnd w:id="23"/>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w:t>
      </w:r>
    </w:p>
    <w:p>
      <w:pPr>
        <w:pStyle w:val="Indenta"/>
        <w:keepNext/>
        <w:rPr>
          <w:snapToGrid w:val="0"/>
        </w:rPr>
      </w:pPr>
      <w:r>
        <w:rPr>
          <w:snapToGrid w:val="0"/>
        </w:rPr>
        <w:tab/>
        <w:t>(a)</w:t>
      </w:r>
      <w:r>
        <w:rPr>
          <w:snapToGrid w:val="0"/>
        </w:rPr>
        <w:tab/>
        <w:t>it is supported by votes, within the meaning in subsections (4) and (5)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spacing w:before="60"/>
        <w:rPr>
          <w:snapToGrid w:val="0"/>
        </w:rPr>
      </w:pPr>
      <w:r>
        <w:rPr>
          <w:snapToGrid w:val="0"/>
        </w:rPr>
        <w:tab/>
        <w:t>(b)</w:t>
      </w:r>
      <w:r>
        <w:rPr>
          <w:snapToGrid w:val="0"/>
        </w:rPr>
        <w:tab/>
        <w:t>the votes, within the meaning in subsections (4) and (5), against the resolution —</w:t>
      </w:r>
    </w:p>
    <w:p>
      <w:pPr>
        <w:pStyle w:val="Indenti"/>
        <w:spacing w:before="60"/>
        <w:rPr>
          <w:snapToGrid w:val="0"/>
        </w:rPr>
      </w:pPr>
      <w:r>
        <w:rPr>
          <w:snapToGrid w:val="0"/>
        </w:rPr>
        <w:tab/>
        <w:t>(i)</w:t>
      </w:r>
      <w:r>
        <w:rPr>
          <w:snapToGrid w:val="0"/>
        </w:rPr>
        <w:tab/>
        <w:t>do not have a value of 25% or more of the aggregate unit entitlement of the lots in the scheme; or</w:t>
      </w:r>
    </w:p>
    <w:p>
      <w:pPr>
        <w:pStyle w:val="Indenti"/>
        <w:spacing w:before="60"/>
        <w:rPr>
          <w:snapToGrid w:val="0"/>
        </w:rPr>
      </w:pPr>
      <w:r>
        <w:rPr>
          <w:snapToGrid w:val="0"/>
        </w:rPr>
        <w:tab/>
        <w:t>(ii)</w:t>
      </w:r>
      <w:r>
        <w:rPr>
          <w:snapToGrid w:val="0"/>
        </w:rPr>
        <w:tab/>
        <w:t>are not cast by the proprietors of 25% or more of the lots in the scheme.</w:t>
      </w:r>
    </w:p>
    <w:p>
      <w:pPr>
        <w:pStyle w:val="Subsection"/>
        <w:spacing w:before="120"/>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w:t>
      </w:r>
    </w:p>
    <w:p>
      <w:pPr>
        <w:pStyle w:val="Indenta"/>
        <w:spacing w:before="60"/>
        <w:rPr>
          <w:snapToGrid w:val="0"/>
        </w:rPr>
      </w:pPr>
      <w:r>
        <w:rPr>
          <w:snapToGrid w:val="0"/>
        </w:rPr>
        <w:tab/>
        <w:t>(a)</w:t>
      </w:r>
      <w:r>
        <w:rPr>
          <w:snapToGrid w:val="0"/>
        </w:rPr>
        <w:tab/>
        <w:t>3 lots, the votes of the proprietors of not less than 2 of the lots; or</w:t>
      </w:r>
    </w:p>
    <w:p>
      <w:pPr>
        <w:pStyle w:val="Indenta"/>
        <w:spacing w:before="60"/>
        <w:rPr>
          <w:snapToGrid w:val="0"/>
        </w:rPr>
      </w:pPr>
      <w:r>
        <w:rPr>
          <w:snapToGrid w:val="0"/>
        </w:rPr>
        <w:tab/>
        <w:t>(b)</w:t>
      </w:r>
      <w:r>
        <w:rPr>
          <w:snapToGrid w:val="0"/>
        </w:rPr>
        <w:tab/>
        <w:t>4 lots, the votes of the proprietors of not less than 3 of the lots; or</w:t>
      </w:r>
    </w:p>
    <w:p>
      <w:pPr>
        <w:pStyle w:val="Indenta"/>
        <w:spacing w:before="60"/>
        <w:rPr>
          <w:snapToGrid w:val="0"/>
        </w:rPr>
      </w:pPr>
      <w:r>
        <w:rPr>
          <w:snapToGrid w:val="0"/>
        </w:rPr>
        <w:tab/>
        <w:t>(c)</w:t>
      </w:r>
      <w:r>
        <w:rPr>
          <w:snapToGrid w:val="0"/>
        </w:rPr>
        <w:tab/>
        <w:t>5 lots, the votes of the proprietors of not less than 4 of the lots,</w:t>
      </w:r>
    </w:p>
    <w:p>
      <w:pPr>
        <w:pStyle w:val="Subsection"/>
        <w:spacing w:before="100"/>
        <w:rPr>
          <w:snapToGrid w:val="0"/>
        </w:rPr>
      </w:pPr>
      <w:r>
        <w:rPr>
          <w:snapToGrid w:val="0"/>
        </w:rPr>
        <w:tab/>
      </w:r>
      <w:r>
        <w:rPr>
          <w:snapToGrid w:val="0"/>
        </w:rPr>
        <w:tab/>
        <w:t>and if those votes have a value of not less than 50% of the aggregate unit entitlement of the lots.</w:t>
      </w:r>
    </w:p>
    <w:p>
      <w:pPr>
        <w:pStyle w:val="Subsection"/>
        <w:spacing w:before="120"/>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spacing w:before="120"/>
        <w:rPr>
          <w:snapToGrid w:val="0"/>
        </w:rPr>
      </w:pPr>
      <w:r>
        <w:rPr>
          <w:snapToGrid w:val="0"/>
        </w:rPr>
        <w:tab/>
        <w:t>(5)</w:t>
      </w:r>
      <w:r>
        <w:rPr>
          <w:snapToGrid w:val="0"/>
        </w:rPr>
        <w:tab/>
        <w:t>Despite subsection (4), a person entitled to exercise the powers of voting conferred under this Act is also to be taken to vote —</w:t>
      </w:r>
    </w:p>
    <w:p>
      <w:pPr>
        <w:pStyle w:val="Indenta"/>
        <w:spacing w:before="60"/>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spacing w:before="10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w:t>
      </w:r>
    </w:p>
    <w:p>
      <w:pPr>
        <w:pStyle w:val="Indenta"/>
        <w:spacing w:before="70"/>
        <w:rPr>
          <w:snapToGrid w:val="0"/>
        </w:rPr>
      </w:pPr>
      <w:r>
        <w:rPr>
          <w:snapToGrid w:val="0"/>
        </w:rPr>
        <w:tab/>
        <w:t>(a)</w:t>
      </w:r>
      <w:r>
        <w:rPr>
          <w:snapToGrid w:val="0"/>
        </w:rPr>
        <w:tab/>
        <w:t>on the strata company; or</w:t>
      </w:r>
    </w:p>
    <w:p>
      <w:pPr>
        <w:pStyle w:val="Indenta"/>
        <w:spacing w:before="70"/>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w:t>
      </w:r>
    </w:p>
    <w:p>
      <w:pPr>
        <w:pStyle w:val="Indenta"/>
        <w:spacing w:before="70"/>
        <w:rPr>
          <w:snapToGrid w:val="0"/>
        </w:rPr>
      </w:pPr>
      <w:r>
        <w:rPr>
          <w:snapToGrid w:val="0"/>
        </w:rPr>
        <w:tab/>
        <w:t>(a)</w:t>
      </w:r>
      <w:r>
        <w:rPr>
          <w:snapToGrid w:val="0"/>
        </w:rPr>
        <w:tab/>
        <w:t>until the expiration of the period referred to in section 103D(2); or</w:t>
      </w:r>
    </w:p>
    <w:p>
      <w:pPr>
        <w:pStyle w:val="Indenta"/>
        <w:spacing w:before="70"/>
        <w:rPr>
          <w:snapToGrid w:val="0"/>
        </w:rPr>
      </w:pPr>
      <w:r>
        <w:rPr>
          <w:snapToGrid w:val="0"/>
        </w:rPr>
        <w:tab/>
        <w:t>(b)</w:t>
      </w:r>
      <w:r>
        <w:rPr>
          <w:snapToGrid w:val="0"/>
        </w:rPr>
        <w:tab/>
        <w:t>if an application is made for an order under that section, until the application is dismissed, or withdrawn; or</w:t>
      </w:r>
    </w:p>
    <w:p>
      <w:pPr>
        <w:pStyle w:val="Indenta"/>
        <w:spacing w:before="70"/>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rPr>
          <w:snapToGrid w:val="0"/>
        </w:rPr>
      </w:pPr>
      <w:r>
        <w:rPr>
          <w:snapToGrid w:val="0"/>
        </w:rPr>
        <w:tab/>
        <w:t>(8)</w:t>
      </w:r>
      <w:r>
        <w:rPr>
          <w:snapToGrid w:val="0"/>
        </w:rPr>
        <w:tab/>
        <w:t xml:space="preserve">In subsection (3)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pPr>
      <w:r>
        <w:tab/>
        <w:t>[Section 3B inserted by No. 58 of 1995 s. 6; amended by No. 55 of 2004 s. 1108 and 1156(3).]</w:t>
      </w:r>
    </w:p>
    <w:p>
      <w:pPr>
        <w:pStyle w:val="Heading5"/>
        <w:rPr>
          <w:snapToGrid w:val="0"/>
        </w:rPr>
      </w:pPr>
      <w:bookmarkStart w:id="24" w:name="_Toc381880816"/>
      <w:bookmarkStart w:id="25" w:name="_Toc476927189"/>
      <w:r>
        <w:rPr>
          <w:rStyle w:val="CharSectno"/>
        </w:rPr>
        <w:t>3C</w:t>
      </w:r>
      <w:r>
        <w:rPr>
          <w:snapToGrid w:val="0"/>
        </w:rPr>
        <w:t>.</w:t>
      </w:r>
      <w:r>
        <w:rPr>
          <w:snapToGrid w:val="0"/>
        </w:rPr>
        <w:tab/>
        <w:t>Supplementary provisions to s. 3AC and 3B</w:t>
      </w:r>
      <w:bookmarkEnd w:id="24"/>
      <w:bookmarkEnd w:id="25"/>
    </w:p>
    <w:p>
      <w:pPr>
        <w:pStyle w:val="Subsection"/>
        <w:keepNext/>
        <w:rPr>
          <w:snapToGrid w:val="0"/>
        </w:rPr>
      </w:pPr>
      <w:r>
        <w:rPr>
          <w:snapToGrid w:val="0"/>
        </w:rPr>
        <w:tab/>
        <w:t>(1)</w:t>
      </w:r>
      <w:r>
        <w:rPr>
          <w:snapToGrid w:val="0"/>
        </w:rPr>
        <w:tab/>
        <w:t>For the purposes of sections 3AC and 3B —</w:t>
      </w:r>
    </w:p>
    <w:p>
      <w:pPr>
        <w:pStyle w:val="Indenta"/>
        <w:spacing w:before="7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 and</w:t>
      </w:r>
    </w:p>
    <w:p>
      <w:pPr>
        <w:pStyle w:val="Indenta"/>
        <w:keepNext/>
        <w:spacing w:before="70"/>
        <w:rPr>
          <w:snapToGrid w:val="0"/>
        </w:rPr>
      </w:pPr>
      <w:r>
        <w:rPr>
          <w:snapToGrid w:val="0"/>
        </w:rPr>
        <w:tab/>
        <w:t>(b)</w:t>
      </w:r>
      <w:r>
        <w:rPr>
          <w:snapToGrid w:val="0"/>
        </w:rPr>
        <w:tab/>
        <w:t>a sufficient quorum is present if there are present at the meeting either personally or by proxy at the time when the resolution is voted on —</w:t>
      </w:r>
    </w:p>
    <w:p>
      <w:pPr>
        <w:pStyle w:val="Indenti"/>
        <w:spacing w:before="7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rPr>
          <w:snapToGrid w:val="0"/>
        </w:rPr>
      </w:pPr>
      <w:r>
        <w:rPr>
          <w:snapToGrid w:val="0"/>
        </w:rPr>
        <w:tab/>
        <w:t>(3)</w:t>
      </w:r>
      <w:r>
        <w:rPr>
          <w:snapToGrid w:val="0"/>
        </w:rPr>
        <w:tab/>
        <w:t>If subsection (2) is not complied with the amended resolution is of no effect.</w:t>
      </w:r>
    </w:p>
    <w:p>
      <w:pPr>
        <w:pStyle w:val="Subsection"/>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[Section 3C inserted by No. 58 of 1995 s. 6; amended by No. 61 of 1996 s. 5.]</w:t>
      </w:r>
    </w:p>
    <w:p>
      <w:pPr>
        <w:pStyle w:val="Heading5"/>
        <w:rPr>
          <w:snapToGrid w:val="0"/>
        </w:rPr>
      </w:pPr>
      <w:bookmarkStart w:id="26" w:name="_Toc381880817"/>
      <w:bookmarkStart w:id="27" w:name="_Toc476927190"/>
      <w:r>
        <w:rPr>
          <w:rStyle w:val="CharSectno"/>
        </w:rPr>
        <w:t>3CA</w:t>
      </w:r>
      <w:r>
        <w:rPr>
          <w:snapToGrid w:val="0"/>
        </w:rPr>
        <w:t>.</w:t>
      </w:r>
      <w:r>
        <w:rPr>
          <w:snapToGrid w:val="0"/>
        </w:rPr>
        <w:tab/>
        <w:t>Certain resolutions deemed to be resolutions without dissent or special resolutions</w:t>
      </w:r>
      <w:bookmarkEnd w:id="26"/>
      <w:bookmarkEnd w:id="27"/>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 or</w:t>
      </w:r>
    </w:p>
    <w:p>
      <w:pPr>
        <w:pStyle w:val="Indenta"/>
        <w:rPr>
          <w:snapToGrid w:val="0"/>
        </w:rPr>
      </w:pPr>
      <w:r>
        <w:rPr>
          <w:snapToGrid w:val="0"/>
        </w:rPr>
        <w:tab/>
        <w:t>(b)</w:t>
      </w:r>
      <w:r>
        <w:rPr>
          <w:snapToGrid w:val="0"/>
        </w:rPr>
        <w:tab/>
        <w:t>a resolution expressed to be a resolution without dissent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Where a resolution comes within subsection (1)(b), section 3C(2) and (3) do not apply.</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 or</w:t>
      </w:r>
    </w:p>
    <w:p>
      <w:pPr>
        <w:pStyle w:val="Indenta"/>
        <w:rPr>
          <w:snapToGrid w:val="0"/>
        </w:rPr>
      </w:pPr>
      <w:r>
        <w:rPr>
          <w:snapToGrid w:val="0"/>
        </w:rPr>
        <w:tab/>
        <w:t>(b)</w:t>
      </w:r>
      <w:r>
        <w:rPr>
          <w:snapToGrid w:val="0"/>
        </w:rPr>
        <w:tab/>
        <w:t>a resolution expressed to be a special resolution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Where a resolution comes within subsection (3)(b), section 3B(5), (6) and (7) do not apply.</w:t>
      </w:r>
    </w:p>
    <w:p>
      <w:pPr>
        <w:pStyle w:val="Footnotesection"/>
      </w:pPr>
      <w:r>
        <w:tab/>
        <w:t>[Section 3CA inserted by No. 61 of 1996 s. 7.]</w:t>
      </w:r>
    </w:p>
    <w:p>
      <w:pPr>
        <w:pStyle w:val="Heading5"/>
        <w:rPr>
          <w:snapToGrid w:val="0"/>
        </w:rPr>
      </w:pPr>
      <w:bookmarkStart w:id="28" w:name="_Toc381880818"/>
      <w:bookmarkStart w:id="29" w:name="_Toc476927191"/>
      <w:r>
        <w:rPr>
          <w:rStyle w:val="CharSectno"/>
        </w:rPr>
        <w:t>3D</w:t>
      </w:r>
      <w:r>
        <w:rPr>
          <w:snapToGrid w:val="0"/>
        </w:rPr>
        <w:t>.</w:t>
      </w:r>
      <w:r>
        <w:rPr>
          <w:snapToGrid w:val="0"/>
        </w:rPr>
        <w:tab/>
        <w:t>Unfinancial proprietors may vote in certain cases</w:t>
      </w:r>
      <w:bookmarkEnd w:id="28"/>
      <w:bookmarkEnd w:id="29"/>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[Section 3D inserted by No. 58 of 1995 s. 6.]</w:t>
      </w:r>
    </w:p>
    <w:p>
      <w:pPr>
        <w:pStyle w:val="Heading2"/>
      </w:pPr>
      <w:bookmarkStart w:id="30" w:name="_Toc381880819"/>
      <w:bookmarkStart w:id="31" w:name="_Toc418081549"/>
      <w:bookmarkStart w:id="32" w:name="_Toc418081882"/>
      <w:bookmarkStart w:id="33" w:name="_Toc418087671"/>
      <w:bookmarkStart w:id="34" w:name="_Toc421012211"/>
      <w:bookmarkStart w:id="35" w:name="_Toc422408766"/>
      <w:bookmarkStart w:id="36" w:name="_Toc476927192"/>
      <w:r>
        <w:rPr>
          <w:rStyle w:val="CharPartNo"/>
        </w:rPr>
        <w:t>Part II</w:t>
      </w:r>
      <w:r>
        <w:t> — </w:t>
      </w:r>
      <w:r>
        <w:rPr>
          <w:rStyle w:val="CharPartText"/>
        </w:rPr>
        <w:t>Strata schemes and survey</w:t>
      </w:r>
      <w:r>
        <w:rPr>
          <w:rStyle w:val="CharPartText"/>
        </w:rPr>
        <w:noBreakHyphen/>
        <w:t>strata schemes</w:t>
      </w:r>
      <w:bookmarkEnd w:id="30"/>
      <w:bookmarkEnd w:id="31"/>
      <w:bookmarkEnd w:id="32"/>
      <w:bookmarkEnd w:id="33"/>
      <w:bookmarkEnd w:id="34"/>
      <w:bookmarkEnd w:id="35"/>
      <w:bookmarkEnd w:id="36"/>
    </w:p>
    <w:p>
      <w:pPr>
        <w:pStyle w:val="Footnoteheading"/>
      </w:pPr>
      <w:r>
        <w:tab/>
        <w:t>[Heading inserted by No. 58 of 1995 s. 7.]</w:t>
      </w:r>
    </w:p>
    <w:p>
      <w:pPr>
        <w:pStyle w:val="Heading3"/>
        <w:spacing w:before="180"/>
      </w:pPr>
      <w:bookmarkStart w:id="37" w:name="_Toc381880820"/>
      <w:bookmarkStart w:id="38" w:name="_Toc418081550"/>
      <w:bookmarkStart w:id="39" w:name="_Toc418081883"/>
      <w:bookmarkStart w:id="40" w:name="_Toc418087672"/>
      <w:bookmarkStart w:id="41" w:name="_Toc421012212"/>
      <w:bookmarkStart w:id="42" w:name="_Toc422408767"/>
      <w:bookmarkStart w:id="43" w:name="_Toc476927193"/>
      <w:r>
        <w:rPr>
          <w:rStyle w:val="CharDivNo"/>
        </w:rPr>
        <w:t>Division 1</w:t>
      </w:r>
      <w:r>
        <w:rPr>
          <w:snapToGrid w:val="0"/>
        </w:rPr>
        <w:t> — </w:t>
      </w:r>
      <w:r>
        <w:rPr>
          <w:rStyle w:val="CharDivText"/>
        </w:rPr>
        <w:t>Creation of lots and common property</w:t>
      </w:r>
      <w:bookmarkEnd w:id="37"/>
      <w:bookmarkEnd w:id="38"/>
      <w:bookmarkEnd w:id="39"/>
      <w:bookmarkEnd w:id="40"/>
      <w:bookmarkEnd w:id="41"/>
      <w:bookmarkEnd w:id="42"/>
      <w:bookmarkEnd w:id="43"/>
    </w:p>
    <w:p>
      <w:pPr>
        <w:pStyle w:val="Heading5"/>
        <w:spacing w:before="180"/>
        <w:rPr>
          <w:snapToGrid w:val="0"/>
        </w:rPr>
      </w:pPr>
      <w:bookmarkStart w:id="44" w:name="_Toc381880821"/>
      <w:bookmarkStart w:id="45" w:name="_Toc476927194"/>
      <w:r>
        <w:rPr>
          <w:rStyle w:val="CharSectno"/>
        </w:rPr>
        <w:t>4</w:t>
      </w:r>
      <w:r>
        <w:rPr>
          <w:snapToGrid w:val="0"/>
        </w:rPr>
        <w:t>.</w:t>
      </w:r>
      <w:r>
        <w:rPr>
          <w:snapToGrid w:val="0"/>
        </w:rPr>
        <w:tab/>
        <w:t>Subdivision into lots and common property</w:t>
      </w:r>
      <w:bookmarkEnd w:id="44"/>
      <w:bookmarkEnd w:id="45"/>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w:t>
      </w:r>
    </w:p>
    <w:p>
      <w:pPr>
        <w:pStyle w:val="Indenta"/>
        <w:rPr>
          <w:snapToGrid w:val="0"/>
        </w:rPr>
      </w:pPr>
      <w:r>
        <w:rPr>
          <w:snapToGrid w:val="0"/>
        </w:rPr>
        <w:tab/>
        <w:t>(a)</w:t>
      </w:r>
      <w:r>
        <w:rPr>
          <w:snapToGrid w:val="0"/>
        </w:rPr>
        <w:tab/>
        <w:t>is described as such in its title or heading; and</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w:t>
      </w:r>
    </w:p>
    <w:p>
      <w:pPr>
        <w:pStyle w:val="Indenta"/>
        <w:rPr>
          <w:snapToGrid w:val="0"/>
        </w:rPr>
      </w:pPr>
      <w:r>
        <w:rPr>
          <w:snapToGrid w:val="0"/>
        </w:rPr>
        <w:tab/>
        <w:t>(a)</w:t>
      </w:r>
      <w:r>
        <w:rPr>
          <w:snapToGrid w:val="0"/>
        </w:rPr>
        <w:tab/>
        <w:t>is described as such in its title or heading; and</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5A,</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[Section 4 amended by No. 58 of 1995 s. 8 and 95; No. 61 of 1996 s. 8; No. 81 of 1996 s. 153(1).]</w:t>
      </w:r>
    </w:p>
    <w:p>
      <w:pPr>
        <w:pStyle w:val="Heading5"/>
        <w:rPr>
          <w:snapToGrid w:val="0"/>
        </w:rPr>
      </w:pPr>
      <w:bookmarkStart w:id="46" w:name="_Toc381880822"/>
      <w:bookmarkStart w:id="47" w:name="_Toc476927195"/>
      <w:r>
        <w:rPr>
          <w:rStyle w:val="CharSectno"/>
        </w:rPr>
        <w:t>5</w:t>
      </w:r>
      <w:r>
        <w:rPr>
          <w:snapToGrid w:val="0"/>
        </w:rPr>
        <w:t>.</w:t>
      </w:r>
      <w:r>
        <w:rPr>
          <w:snapToGrid w:val="0"/>
        </w:rPr>
        <w:tab/>
        <w:t>Strata plan: requirements</w:t>
      </w:r>
      <w:bookmarkEnd w:id="46"/>
      <w:bookmarkEnd w:id="47"/>
    </w:p>
    <w:p>
      <w:pPr>
        <w:pStyle w:val="Subsection"/>
        <w:rPr>
          <w:snapToGrid w:val="0"/>
        </w:rPr>
      </w:pPr>
      <w:r>
        <w:rPr>
          <w:snapToGrid w:val="0"/>
        </w:rPr>
        <w:tab/>
        <w:t>(1)</w:t>
      </w:r>
      <w:r>
        <w:rPr>
          <w:snapToGrid w:val="0"/>
        </w:rPr>
        <w:tab/>
        <w:t>A strata plan shall —</w:t>
      </w:r>
    </w:p>
    <w:p>
      <w:pPr>
        <w:pStyle w:val="Indenta"/>
        <w:rPr>
          <w:snapToGrid w:val="0"/>
        </w:rPr>
      </w:pPr>
      <w:r>
        <w:rPr>
          <w:snapToGrid w:val="0"/>
        </w:rPr>
        <w:tab/>
        <w:t>(a)</w:t>
      </w:r>
      <w:r>
        <w:rPr>
          <w:snapToGrid w:val="0"/>
        </w:rPr>
        <w:tab/>
        <w:t>consist of a location plan and a floor plan in respect of the parcel; and</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 and</w:t>
      </w:r>
    </w:p>
    <w:p>
      <w:pPr>
        <w:pStyle w:val="Indenta"/>
        <w:keepNext/>
        <w:spacing w:before="70"/>
        <w:rPr>
          <w:snapToGrid w:val="0"/>
        </w:rPr>
      </w:pPr>
      <w:r>
        <w:rPr>
          <w:snapToGrid w:val="0"/>
        </w:rPr>
        <w:tab/>
        <w:t>(b)</w:t>
      </w:r>
      <w:r>
        <w:rPr>
          <w:snapToGrid w:val="0"/>
        </w:rPr>
        <w:tab/>
        <w:t>bear a statement containing such particulars as may be necessary to identify the title to the parcel; and</w:t>
      </w:r>
    </w:p>
    <w:p>
      <w:pPr>
        <w:pStyle w:val="Indenta"/>
        <w:spacing w:before="70"/>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 and</w:t>
      </w:r>
    </w:p>
    <w:p>
      <w:pPr>
        <w:pStyle w:val="Indenta"/>
        <w:spacing w:before="70"/>
        <w:rPr>
          <w:snapToGrid w:val="0"/>
        </w:rPr>
      </w:pPr>
      <w:r>
        <w:rPr>
          <w:snapToGrid w:val="0"/>
        </w:rPr>
        <w:tab/>
        <w:t>(d)</w:t>
      </w:r>
      <w:r>
        <w:rPr>
          <w:snapToGrid w:val="0"/>
        </w:rPr>
        <w:tab/>
        <w:t>have endorsed on it the name of the scheme; and</w:t>
      </w:r>
    </w:p>
    <w:p>
      <w:pPr>
        <w:pStyle w:val="Indenta"/>
        <w:spacing w:before="70"/>
        <w:rPr>
          <w:snapToGrid w:val="0"/>
        </w:rPr>
      </w:pPr>
      <w:r>
        <w:rPr>
          <w:snapToGrid w:val="0"/>
        </w:rPr>
        <w:tab/>
        <w:t>(e)</w:t>
      </w:r>
      <w:r>
        <w:rPr>
          <w:snapToGrid w:val="0"/>
        </w:rPr>
        <w:tab/>
        <w:t>have endorsed on it the address of the parcel; and</w:t>
      </w:r>
    </w:p>
    <w:p>
      <w:pPr>
        <w:pStyle w:val="Indenta"/>
        <w:spacing w:before="70"/>
        <w:rPr>
          <w:snapToGrid w:val="0"/>
        </w:rPr>
      </w:pPr>
      <w:r>
        <w:rPr>
          <w:snapToGrid w:val="0"/>
        </w:rPr>
        <w:tab/>
        <w:t>(f)</w:t>
      </w:r>
      <w:r>
        <w:rPr>
          <w:snapToGrid w:val="0"/>
        </w:rPr>
        <w:tab/>
        <w:t>contain such other features as may be prescribed.</w:t>
      </w:r>
    </w:p>
    <w:p>
      <w:pPr>
        <w:pStyle w:val="Ednotesubsection"/>
      </w:pPr>
      <w:r>
        <w:tab/>
        <w:t>[(2)</w:t>
      </w:r>
      <w:r>
        <w:tab/>
        <w:t>deleted]</w:t>
      </w:r>
    </w:p>
    <w:p>
      <w:pPr>
        <w:pStyle w:val="Footnotesection"/>
        <w:spacing w:before="100"/>
      </w:pPr>
      <w:r>
        <w:tab/>
        <w:t>[Section 5 amended by No. 84 of 1994 s. 46; No. 58 of 1995 s. 9; No. 61 of 1996 s. 9.]</w:t>
      </w:r>
    </w:p>
    <w:p>
      <w:pPr>
        <w:pStyle w:val="Heading5"/>
        <w:rPr>
          <w:snapToGrid w:val="0"/>
        </w:rPr>
      </w:pPr>
      <w:bookmarkStart w:id="48" w:name="_Toc381880823"/>
      <w:bookmarkStart w:id="49" w:name="_Toc476927196"/>
      <w:r>
        <w:rPr>
          <w:rStyle w:val="CharSectno"/>
        </w:rPr>
        <w:t>5A</w:t>
      </w:r>
      <w:r>
        <w:rPr>
          <w:snapToGrid w:val="0"/>
        </w:rPr>
        <w:t>.</w:t>
      </w:r>
      <w:r>
        <w:rPr>
          <w:snapToGrid w:val="0"/>
        </w:rPr>
        <w:tab/>
        <w:t>Survey</w:t>
      </w:r>
      <w:r>
        <w:rPr>
          <w:snapToGrid w:val="0"/>
        </w:rPr>
        <w:noBreakHyphen/>
        <w:t>strata plan: requirements</w:t>
      </w:r>
      <w:bookmarkEnd w:id="48"/>
      <w:bookmarkEnd w:id="49"/>
    </w:p>
    <w:p>
      <w:pPr>
        <w:pStyle w:val="Subsection"/>
        <w:keepNext/>
        <w:rPr>
          <w:snapToGrid w:val="0"/>
        </w:rPr>
      </w:pPr>
      <w:r>
        <w:rPr>
          <w:snapToGrid w:val="0"/>
        </w:rPr>
        <w:tab/>
      </w:r>
      <w:r>
        <w:rPr>
          <w:snapToGrid w:val="0"/>
        </w:rPr>
        <w:tab/>
        <w:t>A survey</w:t>
      </w:r>
      <w:r>
        <w:rPr>
          <w:snapToGrid w:val="0"/>
        </w:rPr>
        <w:noBreakHyphen/>
        <w:t>strata plan shall —</w:t>
      </w:r>
    </w:p>
    <w:p>
      <w:pPr>
        <w:pStyle w:val="Indenta"/>
        <w:spacing w:before="70"/>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 and</w:t>
      </w:r>
    </w:p>
    <w:p>
      <w:pPr>
        <w:pStyle w:val="Indenta"/>
        <w:spacing w:before="70"/>
        <w:rPr>
          <w:snapToGrid w:val="0"/>
        </w:rPr>
      </w:pPr>
      <w:r>
        <w:rPr>
          <w:snapToGrid w:val="0"/>
        </w:rPr>
        <w:tab/>
        <w:t>(b)</w:t>
      </w:r>
      <w:r>
        <w:rPr>
          <w:snapToGrid w:val="0"/>
        </w:rPr>
        <w:tab/>
        <w:t>bear a statement containing such particulars as may be necessary to identify the title to such parcel; and</w:t>
      </w:r>
    </w:p>
    <w:p>
      <w:pPr>
        <w:pStyle w:val="Indenta"/>
        <w:spacing w:before="70"/>
        <w:rPr>
          <w:snapToGrid w:val="0"/>
        </w:rPr>
      </w:pPr>
      <w:r>
        <w:rPr>
          <w:snapToGrid w:val="0"/>
        </w:rPr>
        <w:tab/>
        <w:t>(c)</w:t>
      </w:r>
      <w:r>
        <w:rPr>
          <w:snapToGrid w:val="0"/>
        </w:rPr>
        <w:tab/>
        <w:t>show the area of each lot and of any common property; and</w:t>
      </w:r>
    </w:p>
    <w:p>
      <w:pPr>
        <w:pStyle w:val="Indenta"/>
        <w:spacing w:before="70"/>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 and</w:t>
      </w:r>
    </w:p>
    <w:p>
      <w:pPr>
        <w:pStyle w:val="Indenta"/>
        <w:spacing w:before="70"/>
        <w:rPr>
          <w:snapToGrid w:val="0"/>
        </w:rPr>
      </w:pPr>
      <w:r>
        <w:rPr>
          <w:snapToGrid w:val="0"/>
        </w:rPr>
        <w:tab/>
        <w:t>(e)</w:t>
      </w:r>
      <w:r>
        <w:rPr>
          <w:snapToGrid w:val="0"/>
        </w:rPr>
        <w:tab/>
        <w:t>have endorsed on it the name of the scheme; and</w:t>
      </w:r>
    </w:p>
    <w:p>
      <w:pPr>
        <w:pStyle w:val="Indenta"/>
        <w:spacing w:before="70"/>
        <w:rPr>
          <w:snapToGrid w:val="0"/>
        </w:rPr>
      </w:pPr>
      <w:r>
        <w:rPr>
          <w:snapToGrid w:val="0"/>
        </w:rPr>
        <w:tab/>
        <w:t>(f)</w:t>
      </w:r>
      <w:r>
        <w:rPr>
          <w:snapToGrid w:val="0"/>
        </w:rPr>
        <w:tab/>
        <w:t>have endorsed on it the address of the parcel; and</w:t>
      </w:r>
    </w:p>
    <w:p>
      <w:pPr>
        <w:pStyle w:val="Indenta"/>
        <w:spacing w:before="70"/>
        <w:rPr>
          <w:snapToGrid w:val="0"/>
        </w:rPr>
      </w:pPr>
      <w:r>
        <w:rPr>
          <w:snapToGrid w:val="0"/>
        </w:rPr>
        <w:tab/>
        <w:t>(g)</w:t>
      </w:r>
      <w:r>
        <w:rPr>
          <w:snapToGrid w:val="0"/>
        </w:rPr>
        <w:tab/>
        <w:t>contain such other features as may be prescribed.</w:t>
      </w:r>
    </w:p>
    <w:p>
      <w:pPr>
        <w:pStyle w:val="Footnotesection"/>
        <w:keepLines w:val="0"/>
        <w:spacing w:before="100"/>
      </w:pPr>
      <w:r>
        <w:tab/>
        <w:t>[Section 5A inserted by No. 58 of 1995 s. 10.]</w:t>
      </w:r>
    </w:p>
    <w:p>
      <w:pPr>
        <w:pStyle w:val="Heading5"/>
        <w:rPr>
          <w:snapToGrid w:val="0"/>
        </w:rPr>
      </w:pPr>
      <w:bookmarkStart w:id="50" w:name="_Toc381880824"/>
      <w:bookmarkStart w:id="51" w:name="_Toc476927197"/>
      <w:r>
        <w:rPr>
          <w:rStyle w:val="CharSectno"/>
        </w:rPr>
        <w:t>5B</w:t>
      </w:r>
      <w:r>
        <w:rPr>
          <w:snapToGrid w:val="0"/>
        </w:rPr>
        <w:t>.</w:t>
      </w:r>
      <w:r>
        <w:rPr>
          <w:snapToGrid w:val="0"/>
        </w:rPr>
        <w:tab/>
        <w:t>Further provisions as to registration of plans</w:t>
      </w:r>
      <w:bookmarkEnd w:id="50"/>
      <w:bookmarkEnd w:id="51"/>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w:t>
      </w:r>
    </w:p>
    <w:p>
      <w:pPr>
        <w:pStyle w:val="Indenta"/>
        <w:rPr>
          <w:snapToGrid w:val="0"/>
        </w:rPr>
      </w:pPr>
      <w:r>
        <w:rPr>
          <w:snapToGrid w:val="0"/>
        </w:rPr>
        <w:tab/>
        <w:t>(a)</w:t>
      </w:r>
      <w:r>
        <w:rPr>
          <w:snapToGrid w:val="0"/>
        </w:rPr>
        <w:tab/>
        <w:t>a licensed surveyor in accordance with section 22; and</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pPr>
      <w:r>
        <w:rPr>
          <w:snapToGrid w:val="0"/>
        </w:rPr>
        <w:tab/>
        <w:t>(2)</w:t>
      </w:r>
      <w:r>
        <w:rPr>
          <w:snapToGrid w:val="0"/>
        </w:rPr>
        <w:tab/>
        <w:t xml:space="preserve">A strata plan lodged for registration shall be accompanied </w:t>
      </w:r>
      <w:r>
        <w:t xml:space="preserve">by — </w:t>
      </w:r>
    </w:p>
    <w:p>
      <w:pPr>
        <w:pStyle w:val="Indenta"/>
        <w:rPr>
          <w:snapToGrid w:val="0"/>
        </w:rPr>
      </w:pPr>
      <w:r>
        <w:tab/>
        <w:t>(a)</w:t>
      </w:r>
      <w:r>
        <w:tab/>
      </w:r>
      <w:r>
        <w:rPr>
          <w:snapToGrid w:val="0"/>
        </w:rPr>
        <w:t xml:space="preserve">an occupancy permit granted under an application mentioned in the </w:t>
      </w:r>
      <w:r>
        <w:rPr>
          <w:i/>
          <w:iCs/>
          <w:snapToGrid w:val="0"/>
        </w:rPr>
        <w:t xml:space="preserve">Building Act 2011 </w:t>
      </w:r>
      <w:r>
        <w:rPr>
          <w:snapToGrid w:val="0"/>
        </w:rPr>
        <w:t>section 50(1)(a); or</w:t>
      </w:r>
    </w:p>
    <w:p>
      <w:pPr>
        <w:pStyle w:val="Indenta"/>
      </w:pPr>
      <w:r>
        <w:tab/>
        <w:t>(b)</w:t>
      </w:r>
      <w:r>
        <w:tab/>
        <w:t xml:space="preserve">a building approval certificate granted under an application mentioned in the </w:t>
      </w:r>
      <w:r>
        <w:rPr>
          <w:i/>
          <w:iCs/>
        </w:rPr>
        <w:t xml:space="preserve">Building Act 2011 </w:t>
      </w:r>
      <w:r>
        <w:t>section 50(1)(b).</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[Section 5B inserted by No. 58 of 1995 s. 10; amended by No. 57 of 1997 s. 115(1); No. 24 of 2011 s. 174(2).]</w:t>
      </w:r>
    </w:p>
    <w:p>
      <w:pPr>
        <w:pStyle w:val="Heading5"/>
        <w:keepLines w:val="0"/>
        <w:rPr>
          <w:snapToGrid w:val="0"/>
        </w:rPr>
      </w:pPr>
      <w:bookmarkStart w:id="52" w:name="_Toc381880825"/>
      <w:bookmarkStart w:id="53" w:name="_Toc476927198"/>
      <w:r>
        <w:rPr>
          <w:rStyle w:val="CharSectno"/>
        </w:rPr>
        <w:t>5C</w:t>
      </w:r>
      <w:r>
        <w:rPr>
          <w:snapToGrid w:val="0"/>
        </w:rPr>
        <w:t>.</w:t>
      </w:r>
      <w:r>
        <w:rPr>
          <w:snapToGrid w:val="0"/>
        </w:rPr>
        <w:tab/>
        <w:t>Management statement setting out by</w:t>
      </w:r>
      <w:r>
        <w:rPr>
          <w:snapToGrid w:val="0"/>
        </w:rPr>
        <w:noBreakHyphen/>
        <w:t>laws may be registered</w:t>
      </w:r>
      <w:bookmarkEnd w:id="52"/>
      <w:bookmarkEnd w:id="53"/>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deleted]</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[Section 5C inserted by No. 58 of 1995 s. 10; amended by No. 61 of 1996 s. 10.]</w:t>
      </w:r>
    </w:p>
    <w:p>
      <w:pPr>
        <w:pStyle w:val="Heading5"/>
        <w:rPr>
          <w:snapToGrid w:val="0"/>
        </w:rPr>
      </w:pPr>
      <w:bookmarkStart w:id="54" w:name="_Toc381880826"/>
      <w:bookmarkStart w:id="55" w:name="_Toc476927199"/>
      <w:r>
        <w:rPr>
          <w:rStyle w:val="CharSectno"/>
        </w:rPr>
        <w:t>5D</w:t>
      </w:r>
      <w:r>
        <w:rPr>
          <w:snapToGrid w:val="0"/>
        </w:rPr>
        <w:t>.</w:t>
      </w:r>
      <w:r>
        <w:rPr>
          <w:snapToGrid w:val="0"/>
        </w:rPr>
        <w:tab/>
        <w:t>Creation of easements by notation on survey</w:t>
      </w:r>
      <w:r>
        <w:rPr>
          <w:snapToGrid w:val="0"/>
        </w:rPr>
        <w:noBreakHyphen/>
        <w:t>strata plans</w:t>
      </w:r>
      <w:bookmarkEnd w:id="54"/>
      <w:bookmarkEnd w:id="55"/>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w:t>
      </w:r>
    </w:p>
    <w:p>
      <w:pPr>
        <w:pStyle w:val="Indenta"/>
        <w:rPr>
          <w:snapToGrid w:val="0"/>
        </w:rPr>
      </w:pPr>
      <w:r>
        <w:rPr>
          <w:snapToGrid w:val="0"/>
        </w:rPr>
        <w:tab/>
        <w:t>(a)</w:t>
      </w:r>
      <w:r>
        <w:rPr>
          <w:snapToGrid w:val="0"/>
        </w:rPr>
        <w:tab/>
        <w:t>of a kind prescribed by the regulations made for the purposes of section 5H; and</w:t>
      </w:r>
    </w:p>
    <w:p>
      <w:pPr>
        <w:pStyle w:val="Indenta"/>
        <w:rPr>
          <w:snapToGrid w:val="0"/>
        </w:rPr>
      </w:pPr>
      <w:r>
        <w:rPr>
          <w:snapToGrid w:val="0"/>
        </w:rPr>
        <w:tab/>
        <w:t>(b)</w:t>
      </w:r>
      <w:r>
        <w:rPr>
          <w:snapToGrid w:val="0"/>
        </w:rPr>
        <w:tab/>
        <w:t>having effect in favour of a lot (</w:t>
      </w:r>
      <w:r>
        <w:t xml:space="preserve">the </w:t>
      </w:r>
      <w:r>
        <w:rPr>
          <w:rStyle w:val="CharDefText"/>
        </w:rPr>
        <w:t>dominant lot</w:t>
      </w:r>
      <w:r>
        <w:rPr>
          <w:snapToGrid w:val="0"/>
        </w:rPr>
        <w:t>), and against another lot (</w:t>
      </w:r>
      <w:r>
        <w:t xml:space="preserve">the </w:t>
      </w:r>
      <w:r>
        <w:rPr>
          <w:rStyle w:val="CharDefText"/>
        </w:rPr>
        <w:t>servient lot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w:t>
      </w:r>
    </w:p>
    <w:p>
      <w:pPr>
        <w:pStyle w:val="Indenta"/>
        <w:rPr>
          <w:snapToGrid w:val="0"/>
        </w:rPr>
      </w:pPr>
      <w:r>
        <w:rPr>
          <w:snapToGrid w:val="0"/>
        </w:rPr>
        <w:tab/>
        <w:t>(a)</w:t>
      </w:r>
      <w:r>
        <w:rPr>
          <w:snapToGrid w:val="0"/>
        </w:rPr>
        <w:tab/>
        <w:t>the location of the easement; and</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[Section 5D inserted by No. 61 of 1996 s. 11.]</w:t>
      </w:r>
    </w:p>
    <w:p>
      <w:pPr>
        <w:pStyle w:val="Heading5"/>
        <w:rPr>
          <w:snapToGrid w:val="0"/>
        </w:rPr>
      </w:pPr>
      <w:bookmarkStart w:id="56" w:name="_Toc381880827"/>
      <w:bookmarkStart w:id="57" w:name="_Toc476927200"/>
      <w:r>
        <w:rPr>
          <w:rStyle w:val="CharSectno"/>
        </w:rPr>
        <w:t>5E</w:t>
      </w:r>
      <w:r>
        <w:rPr>
          <w:snapToGrid w:val="0"/>
        </w:rPr>
        <w:t>.</w:t>
      </w:r>
      <w:r>
        <w:rPr>
          <w:snapToGrid w:val="0"/>
        </w:rPr>
        <w:tab/>
        <w:t>Provision on plan etc. overrides regulations as to easements</w:t>
      </w:r>
      <w:bookmarkEnd w:id="56"/>
      <w:bookmarkEnd w:id="57"/>
    </w:p>
    <w:p>
      <w:pPr>
        <w:pStyle w:val="Subsection"/>
        <w:keepNext/>
        <w:rPr>
          <w:snapToGrid w:val="0"/>
        </w:rPr>
      </w:pPr>
      <w:r>
        <w:rPr>
          <w:snapToGrid w:val="0"/>
        </w:rPr>
        <w:tab/>
        <w:t>(1)</w:t>
      </w:r>
      <w:r>
        <w:rPr>
          <w:snapToGrid w:val="0"/>
        </w:rPr>
        <w:tab/>
        <w:t>To the extent allowed by the regulations provision may be made by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spacing w:before="100"/>
      </w:pPr>
      <w:r>
        <w:tab/>
        <w:t>[Section 5E inserted by No. 61 of 1996 s. 11.]</w:t>
      </w:r>
    </w:p>
    <w:p>
      <w:pPr>
        <w:pStyle w:val="Heading5"/>
        <w:rPr>
          <w:snapToGrid w:val="0"/>
        </w:rPr>
      </w:pPr>
      <w:bookmarkStart w:id="58" w:name="_Toc381880828"/>
      <w:bookmarkStart w:id="59" w:name="_Toc476927201"/>
      <w:r>
        <w:rPr>
          <w:rStyle w:val="CharSectno"/>
        </w:rPr>
        <w:t>5F</w:t>
      </w:r>
      <w:r>
        <w:rPr>
          <w:snapToGrid w:val="0"/>
        </w:rPr>
        <w:t>.</w:t>
      </w:r>
      <w:r>
        <w:rPr>
          <w:snapToGrid w:val="0"/>
        </w:rPr>
        <w:tab/>
        <w:t>Variation or discharge of easements under s. 5D</w:t>
      </w:r>
      <w:bookmarkEnd w:id="58"/>
      <w:bookmarkEnd w:id="59"/>
    </w:p>
    <w:p>
      <w:pPr>
        <w:pStyle w:val="Subsection"/>
        <w:keepNext/>
        <w:rPr>
          <w:snapToGrid w:val="0"/>
        </w:rPr>
      </w:pPr>
      <w:r>
        <w:rPr>
          <w:snapToGrid w:val="0"/>
        </w:rPr>
        <w:tab/>
        <w:t>(1)</w:t>
      </w:r>
      <w:r>
        <w:rPr>
          <w:snapToGrid w:val="0"/>
        </w:rPr>
        <w:tab/>
        <w:t>An easement under section 5D —</w:t>
      </w:r>
    </w:p>
    <w:p>
      <w:pPr>
        <w:pStyle w:val="Indenta"/>
        <w:spacing w:before="60"/>
        <w:rPr>
          <w:snapToGrid w:val="0"/>
        </w:rPr>
      </w:pPr>
      <w:r>
        <w:rPr>
          <w:snapToGrid w:val="0"/>
        </w:rPr>
        <w:tab/>
        <w:t>(a)</w:t>
      </w:r>
      <w:r>
        <w:rPr>
          <w:snapToGrid w:val="0"/>
        </w:rPr>
        <w:tab/>
        <w:t>is automatically discharged by the termination of the scheme in which it has effect;</w:t>
      </w:r>
    </w:p>
    <w:p>
      <w:pPr>
        <w:pStyle w:val="Indenta"/>
        <w:keepNext/>
        <w:spacing w:before="60"/>
        <w:rPr>
          <w:snapToGrid w:val="0"/>
        </w:rPr>
      </w:pPr>
      <w:r>
        <w:rPr>
          <w:snapToGrid w:val="0"/>
        </w:rPr>
        <w:tab/>
        <w:t>(b)</w:t>
      </w:r>
      <w:r>
        <w:rPr>
          <w:snapToGrid w:val="0"/>
        </w:rPr>
        <w:tab/>
        <w:t>may with the approval in writing of the Commission —</w:t>
      </w:r>
    </w:p>
    <w:p>
      <w:pPr>
        <w:pStyle w:val="Indenti"/>
        <w:spacing w:before="60"/>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spacing w:before="60"/>
        <w:rPr>
          <w:snapToGrid w:val="0"/>
        </w:rPr>
      </w:pPr>
      <w:r>
        <w:rPr>
          <w:snapToGrid w:val="0"/>
        </w:rPr>
        <w:tab/>
        <w:t>(ii)</w:t>
      </w:r>
      <w:r>
        <w:rPr>
          <w:snapToGrid w:val="0"/>
        </w:rPr>
        <w:tab/>
        <w:t>be discharged by instrument signed by each person who has a registered interest in, or is a caveator in respect of, the dominant lot.</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spacing w:before="100"/>
      </w:pPr>
      <w:r>
        <w:tab/>
        <w:t>[Section 5F inserted by No. 61 of 1996 s. 11.]</w:t>
      </w:r>
    </w:p>
    <w:p>
      <w:pPr>
        <w:pStyle w:val="Heading5"/>
        <w:rPr>
          <w:snapToGrid w:val="0"/>
        </w:rPr>
      </w:pPr>
      <w:bookmarkStart w:id="60" w:name="_Toc381880829"/>
      <w:bookmarkStart w:id="61" w:name="_Toc476927202"/>
      <w:r>
        <w:rPr>
          <w:rStyle w:val="CharSectno"/>
        </w:rPr>
        <w:t>5G</w:t>
      </w:r>
      <w:r>
        <w:rPr>
          <w:snapToGrid w:val="0"/>
        </w:rPr>
        <w:t>.</w:t>
      </w:r>
      <w:r>
        <w:rPr>
          <w:snapToGrid w:val="0"/>
        </w:rPr>
        <w:tab/>
        <w:t>Easement where common ownership</w:t>
      </w:r>
      <w:bookmarkEnd w:id="60"/>
      <w:bookmarkEnd w:id="61"/>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spacing w:before="100"/>
      </w:pPr>
      <w:r>
        <w:tab/>
        <w:t>[Section 5G inserted by No. 61 of 1996 s. 11.]</w:t>
      </w:r>
    </w:p>
    <w:p>
      <w:pPr>
        <w:pStyle w:val="Heading5"/>
        <w:rPr>
          <w:snapToGrid w:val="0"/>
        </w:rPr>
      </w:pPr>
      <w:bookmarkStart w:id="62" w:name="_Toc381880830"/>
      <w:bookmarkStart w:id="63" w:name="_Toc476927203"/>
      <w:r>
        <w:rPr>
          <w:rStyle w:val="CharSectno"/>
        </w:rPr>
        <w:t>5H</w:t>
      </w:r>
      <w:r>
        <w:rPr>
          <w:snapToGrid w:val="0"/>
        </w:rPr>
        <w:t>.</w:t>
      </w:r>
      <w:r>
        <w:rPr>
          <w:snapToGrid w:val="0"/>
        </w:rPr>
        <w:tab/>
        <w:t>Regulations as to easements</w:t>
      </w:r>
      <w:bookmarkEnd w:id="62"/>
      <w:bookmarkEnd w:id="63"/>
    </w:p>
    <w:p>
      <w:pPr>
        <w:pStyle w:val="Subsection"/>
        <w:rPr>
          <w:snapToGrid w:val="0"/>
        </w:rPr>
      </w:pPr>
      <w:r>
        <w:rPr>
          <w:snapToGrid w:val="0"/>
        </w:rPr>
        <w:tab/>
        <w:t>(1)</w:t>
      </w:r>
      <w:r>
        <w:rPr>
          <w:snapToGrid w:val="0"/>
        </w:rPr>
        <w:tab/>
        <w:t>The regulations may prescribe —</w:t>
      </w:r>
    </w:p>
    <w:p>
      <w:pPr>
        <w:pStyle w:val="Indenta"/>
        <w:spacing w:before="60"/>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w:t>
      </w:r>
    </w:p>
    <w:p>
      <w:pPr>
        <w:pStyle w:val="Indenta"/>
      </w:pPr>
      <w:r>
        <w:tab/>
        <w:t>(a)</w:t>
      </w:r>
      <w:r>
        <w:tab/>
        <w:t>liability for the costs of the upkeep of an area over which an easement is created; and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 and</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w:t>
      </w:r>
    </w:p>
    <w:p>
      <w:pPr>
        <w:pStyle w:val="Indenta"/>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[Section 5H inserted by No. 61 of 1996 s. 11.]</w:t>
      </w:r>
    </w:p>
    <w:p>
      <w:pPr>
        <w:pStyle w:val="Heading5"/>
        <w:keepLines w:val="0"/>
        <w:rPr>
          <w:snapToGrid w:val="0"/>
        </w:rPr>
      </w:pPr>
      <w:bookmarkStart w:id="64" w:name="_Toc381880831"/>
      <w:bookmarkStart w:id="65" w:name="_Toc476927204"/>
      <w:r>
        <w:rPr>
          <w:rStyle w:val="CharSectno"/>
        </w:rPr>
        <w:t>6</w:t>
      </w:r>
      <w:r>
        <w:rPr>
          <w:snapToGrid w:val="0"/>
        </w:rPr>
        <w:t>.</w:t>
      </w:r>
      <w:r>
        <w:rPr>
          <w:snapToGrid w:val="0"/>
        </w:rPr>
        <w:tab/>
        <w:t>Strata/survey</w:t>
      </w:r>
      <w:r>
        <w:rPr>
          <w:snapToGrid w:val="0"/>
        </w:rPr>
        <w:noBreakHyphen/>
        <w:t>strata plan may restrict use of parcel or part of parcel</w:t>
      </w:r>
      <w:bookmarkEnd w:id="64"/>
      <w:bookmarkEnd w:id="65"/>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[Section 6 amended by No. 84 of 1994 s. 46; No. 58 of 1995 s. 11 and 95; No. 57 of 1997 s. 115(1); No. 24 of 2000 s. 40(1) and (2).]</w:t>
      </w:r>
    </w:p>
    <w:p>
      <w:pPr>
        <w:pStyle w:val="Heading5"/>
        <w:rPr>
          <w:snapToGrid w:val="0"/>
        </w:rPr>
      </w:pPr>
      <w:bookmarkStart w:id="66" w:name="_Toc381880832"/>
      <w:bookmarkStart w:id="67" w:name="_Toc476927205"/>
      <w:r>
        <w:rPr>
          <w:rStyle w:val="CharSectno"/>
        </w:rPr>
        <w:t>6A</w:t>
      </w:r>
      <w:r>
        <w:rPr>
          <w:snapToGrid w:val="0"/>
        </w:rPr>
        <w:t>.</w:t>
      </w:r>
      <w:r>
        <w:rPr>
          <w:snapToGrid w:val="0"/>
        </w:rPr>
        <w:tab/>
        <w:t>Restrictions relating to retired persons</w:t>
      </w:r>
      <w:bookmarkEnd w:id="66"/>
      <w:bookmarkEnd w:id="67"/>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w:t>
      </w:r>
    </w:p>
    <w:p>
      <w:pPr>
        <w:pStyle w:val="Defstart"/>
      </w:pPr>
      <w:r>
        <w:rPr>
          <w:b/>
        </w:rPr>
        <w:tab/>
      </w:r>
      <w:r>
        <w:rPr>
          <w:rStyle w:val="CharDefText"/>
        </w:rPr>
        <w:t>retired person</w:t>
      </w:r>
      <w:r>
        <w:t xml:space="preserve"> means a person who has —</w:t>
      </w:r>
    </w:p>
    <w:p>
      <w:pPr>
        <w:pStyle w:val="Defpara"/>
        <w:spacing w:before="60"/>
      </w:pPr>
      <w:r>
        <w:tab/>
        <w:t>(a)</w:t>
      </w:r>
      <w:r>
        <w:tab/>
        <w:t>attained the age of 55 years; or</w:t>
      </w:r>
    </w:p>
    <w:p>
      <w:pPr>
        <w:pStyle w:val="Defpara"/>
        <w:spacing w:before="60"/>
      </w:pPr>
      <w:r>
        <w:tab/>
        <w:t>(b)</w:t>
      </w:r>
      <w:r>
        <w:tab/>
        <w:t>retired from full</w:t>
      </w:r>
      <w:r>
        <w:noBreakHyphen/>
        <w:t>time employment,</w:t>
      </w:r>
    </w:p>
    <w:p>
      <w:pPr>
        <w:pStyle w:val="Defstart"/>
        <w:spacing w:before="120"/>
      </w:pPr>
      <w:r>
        <w:tab/>
        <w:t>and is deemed to include a person who is or was the spouse or de facto partner of such a person.</w:t>
      </w:r>
    </w:p>
    <w:p>
      <w:pPr>
        <w:pStyle w:val="Footnotesection"/>
      </w:pPr>
      <w:r>
        <w:tab/>
        <w:t>[Section 6A inserted by No. 58 of 1995 s. 12; amended by No. 28 of 2003 s. 195.]</w:t>
      </w:r>
    </w:p>
    <w:p>
      <w:pPr>
        <w:pStyle w:val="Heading5"/>
        <w:rPr>
          <w:snapToGrid w:val="0"/>
        </w:rPr>
      </w:pPr>
      <w:bookmarkStart w:id="68" w:name="_Toc381880833"/>
      <w:bookmarkStart w:id="69" w:name="_Toc476927206"/>
      <w:r>
        <w:rPr>
          <w:rStyle w:val="CharSectno"/>
        </w:rPr>
        <w:t>7</w:t>
      </w:r>
      <w:r>
        <w:rPr>
          <w:snapToGrid w:val="0"/>
        </w:rPr>
        <w:t>.</w:t>
      </w:r>
      <w:r>
        <w:rPr>
          <w:snapToGrid w:val="0"/>
        </w:rPr>
        <w:tab/>
        <w:t>Structural erections, alterations and extensions restricted, strata schemes</w:t>
      </w:r>
      <w:bookmarkEnd w:id="68"/>
      <w:bookmarkEnd w:id="69"/>
    </w:p>
    <w:p>
      <w:pPr>
        <w:pStyle w:val="Subsection"/>
        <w:rPr>
          <w:snapToGrid w:val="0"/>
        </w:rPr>
      </w:pPr>
      <w:r>
        <w:rPr>
          <w:snapToGrid w:val="0"/>
        </w:rPr>
        <w:tab/>
        <w:t>(1)</w:t>
      </w:r>
      <w:r>
        <w:rPr>
          <w:snapToGrid w:val="0"/>
        </w:rPr>
        <w:tab/>
        <w:t>This section does not apply to —</w:t>
      </w:r>
    </w:p>
    <w:p>
      <w:pPr>
        <w:pStyle w:val="Indenta"/>
        <w:spacing w:before="60"/>
        <w:rPr>
          <w:snapToGrid w:val="0"/>
        </w:rPr>
      </w:pPr>
      <w:r>
        <w:rPr>
          <w:snapToGrid w:val="0"/>
        </w:rPr>
        <w:tab/>
        <w:t>(a)</w:t>
      </w:r>
      <w:r>
        <w:rPr>
          <w:snapToGrid w:val="0"/>
        </w:rPr>
        <w:tab/>
        <w:t>a lot in a survey</w:t>
      </w:r>
      <w:r>
        <w:rPr>
          <w:snapToGrid w:val="0"/>
        </w:rPr>
        <w:noBreakHyphen/>
        <w:t>strata scheme; or</w:t>
      </w:r>
    </w:p>
    <w:p>
      <w:pPr>
        <w:pStyle w:val="Indenta"/>
        <w:keepNext/>
        <w:spacing w:before="60"/>
        <w:rPr>
          <w:snapToGrid w:val="0"/>
        </w:rPr>
      </w:pPr>
      <w:r>
        <w:rPr>
          <w:snapToGrid w:val="0"/>
        </w:rPr>
        <w:tab/>
        <w:t>(b)</w:t>
      </w:r>
      <w:r>
        <w:rPr>
          <w:snapToGrid w:val="0"/>
        </w:rPr>
        <w:tab/>
        <w:t>the erection of, alteration to or extension of a structure on a lot in a strata scheme if —</w:t>
      </w:r>
    </w:p>
    <w:p>
      <w:pPr>
        <w:pStyle w:val="Indenti"/>
        <w:spacing w:before="60"/>
        <w:rPr>
          <w:snapToGrid w:val="0"/>
        </w:rPr>
      </w:pPr>
      <w:r>
        <w:rPr>
          <w:snapToGrid w:val="0"/>
        </w:rPr>
        <w:tab/>
        <w:t>(i)</w:t>
      </w:r>
      <w:r>
        <w:rPr>
          <w:snapToGrid w:val="0"/>
        </w:rPr>
        <w:tab/>
        <w:t>each proprietor of a lot in the scheme has in writing given approval to the erection, alteration or extension; and</w:t>
      </w:r>
    </w:p>
    <w:p>
      <w:pPr>
        <w:pStyle w:val="Indenti"/>
        <w:spacing w:before="60"/>
        <w:rPr>
          <w:snapToGrid w:val="0"/>
        </w:rPr>
      </w:pPr>
      <w:r>
        <w:rPr>
          <w:snapToGrid w:val="0"/>
        </w:rPr>
        <w:tab/>
        <w:t>(ii)</w:t>
      </w:r>
      <w:r>
        <w:rPr>
          <w:snapToGrid w:val="0"/>
        </w:rPr>
        <w:tab/>
        <w:t>that approval, if subject to conditions, is given by each proprietor subject to the same conditions; and</w:t>
      </w:r>
    </w:p>
    <w:p>
      <w:pPr>
        <w:pStyle w:val="Indenti"/>
        <w:spacing w:before="60"/>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w:t>
      </w:r>
    </w:p>
    <w:p>
      <w:pPr>
        <w:pStyle w:val="Indenta"/>
        <w:spacing w:before="60"/>
        <w:rPr>
          <w:snapToGrid w:val="0"/>
        </w:rPr>
      </w:pPr>
      <w:r>
        <w:rPr>
          <w:snapToGrid w:val="0"/>
        </w:rPr>
        <w:tab/>
        <w:t>(a)</w:t>
      </w:r>
      <w:r>
        <w:rPr>
          <w:snapToGrid w:val="0"/>
        </w:rPr>
        <w:tab/>
        <w:t>any structure to be erected; or</w:t>
      </w:r>
    </w:p>
    <w:p>
      <w:pPr>
        <w:pStyle w:val="Indenta"/>
        <w:spacing w:before="60"/>
        <w:rPr>
          <w:snapToGrid w:val="0"/>
        </w:rPr>
      </w:pPr>
      <w:r>
        <w:rPr>
          <w:snapToGrid w:val="0"/>
        </w:rPr>
        <w:tab/>
        <w:t>(b)</w:t>
      </w:r>
      <w:r>
        <w:rPr>
          <w:snapToGrid w:val="0"/>
        </w:rPr>
        <w:tab/>
        <w:t>any alteration of a structural kind to, or extension of, a structure,</w:t>
      </w:r>
    </w:p>
    <w:p>
      <w:pPr>
        <w:pStyle w:val="Subsection"/>
        <w:keepNext/>
        <w:spacing w:before="120"/>
        <w:rPr>
          <w:snapToGrid w:val="0"/>
        </w:rPr>
      </w:pPr>
      <w:r>
        <w:rPr>
          <w:snapToGrid w:val="0"/>
        </w:rPr>
        <w:tab/>
      </w:r>
      <w:r>
        <w:rPr>
          <w:snapToGrid w:val="0"/>
        </w:rPr>
        <w:tab/>
        <w:t>on his lot except —</w:t>
      </w:r>
    </w:p>
    <w:p>
      <w:pPr>
        <w:pStyle w:val="Indenta"/>
        <w:spacing w:before="60"/>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spacing w:before="60"/>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w:t>
      </w:r>
    </w:p>
    <w:p>
      <w:pPr>
        <w:pStyle w:val="Indenta"/>
        <w:spacing w:before="60"/>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 and</w:t>
      </w:r>
    </w:p>
    <w:p>
      <w:pPr>
        <w:pStyle w:val="Indenta"/>
        <w:spacing w:before="60"/>
        <w:rPr>
          <w:snapToGrid w:val="0"/>
        </w:rPr>
      </w:pPr>
      <w:r>
        <w:rPr>
          <w:snapToGrid w:val="0"/>
        </w:rPr>
        <w:tab/>
        <w:t>(b)</w:t>
      </w:r>
      <w:r>
        <w:rPr>
          <w:snapToGrid w:val="0"/>
        </w:rPr>
        <w:tab/>
        <w:t>the chairman of the general meeting shall before a vote is taken on the application read out the statement referred to in paragraph (a); and</w:t>
      </w:r>
    </w:p>
    <w:p>
      <w:pPr>
        <w:pStyle w:val="Indenta"/>
        <w:keepNext/>
        <w:spacing w:before="60"/>
        <w:rPr>
          <w:snapToGrid w:val="0"/>
        </w:rPr>
      </w:pPr>
      <w:r>
        <w:rPr>
          <w:snapToGrid w:val="0"/>
        </w:rPr>
        <w:tab/>
        <w:t>(c)</w:t>
      </w:r>
      <w:r>
        <w:rPr>
          <w:snapToGrid w:val="0"/>
        </w:rPr>
        <w:tab/>
        <w:t>a proprietor may vote —</w:t>
      </w:r>
    </w:p>
    <w:p>
      <w:pPr>
        <w:pStyle w:val="Indenti"/>
        <w:spacing w:before="60"/>
        <w:rPr>
          <w:snapToGrid w:val="0"/>
        </w:rPr>
      </w:pPr>
      <w:r>
        <w:rPr>
          <w:snapToGrid w:val="0"/>
        </w:rPr>
        <w:tab/>
        <w:t>(i)</w:t>
      </w:r>
      <w:r>
        <w:rPr>
          <w:snapToGrid w:val="0"/>
        </w:rPr>
        <w:tab/>
        <w:t>against a resolution to approve the application; or</w:t>
      </w:r>
    </w:p>
    <w:p>
      <w:pPr>
        <w:pStyle w:val="Indenti"/>
        <w:keepNext/>
        <w:spacing w:before="60"/>
        <w:rPr>
          <w:snapToGrid w:val="0"/>
        </w:rPr>
      </w:pPr>
      <w:r>
        <w:rPr>
          <w:snapToGrid w:val="0"/>
        </w:rPr>
        <w:tab/>
        <w:t>(ii)</w:t>
      </w:r>
      <w:r>
        <w:rPr>
          <w:snapToGrid w:val="0"/>
        </w:rPr>
        <w:tab/>
        <w:t>in support of a resolution to refuse approval of the application,</w:t>
      </w:r>
    </w:p>
    <w:p>
      <w:pPr>
        <w:pStyle w:val="Indenta"/>
        <w:spacing w:before="60"/>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 or</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 or</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may interfere with any easement created by section 11 or 12;</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rPr>
          <w:snapToGrid w:val="0"/>
        </w:rPr>
      </w:pPr>
      <w:r>
        <w:rPr>
          <w:snapToGrid w:val="0"/>
        </w:rPr>
        <w:tab/>
        <w:t>(6)</w:t>
      </w:r>
      <w:r>
        <w:rPr>
          <w:snapToGrid w:val="0"/>
        </w:rPr>
        <w:tab/>
        <w:t>In this section —</w:t>
      </w:r>
    </w:p>
    <w:p>
      <w:pPr>
        <w:pStyle w:val="Defstart"/>
      </w:pPr>
      <w:r>
        <w:rPr>
          <w:b/>
        </w:rPr>
        <w:tab/>
      </w:r>
      <w:r>
        <w:rPr>
          <w:rStyle w:val="CharDefText"/>
        </w:rPr>
        <w:t>structure</w:t>
      </w:r>
      <w:r>
        <w:t xml:space="preserve"> includes any prescribed improvement;</w:t>
      </w:r>
    </w:p>
    <w:p>
      <w:pPr>
        <w:pStyle w:val="Defstart"/>
      </w:pPr>
      <w:r>
        <w:rPr>
          <w:b/>
        </w:rPr>
        <w:tab/>
      </w:r>
      <w:r>
        <w:rPr>
          <w:rStyle w:val="CharDefText"/>
        </w:rPr>
        <w:t>vacant lot</w:t>
      </w:r>
      <w:r>
        <w:t xml:space="preserve"> means a lot that is wholly unimproved apart from having merged improvements within the meaning of that expression in the </w:t>
      </w:r>
      <w:r>
        <w:rPr>
          <w:i/>
        </w:rPr>
        <w:t>Valuation of Land Act 1978</w:t>
      </w:r>
      <w:r>
        <w:t>.</w:t>
      </w:r>
    </w:p>
    <w:p>
      <w:pPr>
        <w:pStyle w:val="Footnotesection"/>
      </w:pPr>
      <w:r>
        <w:tab/>
        <w:t>[Section 7 inserted by No. 58 of 1995 s. 13.]</w:t>
      </w:r>
    </w:p>
    <w:p>
      <w:pPr>
        <w:pStyle w:val="Heading5"/>
        <w:rPr>
          <w:snapToGrid w:val="0"/>
        </w:rPr>
      </w:pPr>
      <w:bookmarkStart w:id="70" w:name="_Toc381880834"/>
      <w:bookmarkStart w:id="71" w:name="_Toc476927207"/>
      <w:r>
        <w:rPr>
          <w:rStyle w:val="CharSectno"/>
        </w:rPr>
        <w:t>7A</w:t>
      </w:r>
      <w:r>
        <w:rPr>
          <w:snapToGrid w:val="0"/>
        </w:rPr>
        <w:t>.</w:t>
      </w:r>
      <w:r>
        <w:rPr>
          <w:snapToGrid w:val="0"/>
        </w:rPr>
        <w:tab/>
        <w:t>Structural erections, alterations and extensions restricted, survey</w:t>
      </w:r>
      <w:r>
        <w:rPr>
          <w:snapToGrid w:val="0"/>
        </w:rPr>
        <w:noBreakHyphen/>
        <w:t>strata schemes</w:t>
      </w:r>
      <w:bookmarkEnd w:id="70"/>
      <w:bookmarkEnd w:id="71"/>
    </w:p>
    <w:p>
      <w:pPr>
        <w:pStyle w:val="Subsection"/>
        <w:rPr>
          <w:snapToGrid w:val="0"/>
        </w:rPr>
      </w:pPr>
      <w:r>
        <w:rPr>
          <w:snapToGrid w:val="0"/>
        </w:rPr>
        <w:tab/>
        <w:t>(1)</w:t>
      </w:r>
      <w:r>
        <w:rPr>
          <w:snapToGrid w:val="0"/>
        </w:rPr>
        <w:tab/>
        <w:t>This section does not apply to a lot in a strata scheme.</w:t>
      </w:r>
    </w:p>
    <w:p>
      <w:pPr>
        <w:pStyle w:val="Subsection"/>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spacing w:before="120"/>
        <w:rPr>
          <w:snapToGrid w:val="0"/>
        </w:rPr>
      </w:pPr>
      <w:r>
        <w:rPr>
          <w:snapToGrid w:val="0"/>
        </w:rPr>
        <w:tab/>
      </w:r>
      <w:r>
        <w:rPr>
          <w:snapToGrid w:val="0"/>
        </w:rPr>
        <w:tab/>
        <w:t>on his lot if on completion of the work the structures on the lot will not conform to plot ratio restrictions or open space requirements for the lot, except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For the purposes of subsection (2) the plot ratio restrictions or open space requirements for a lot are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rPr>
          <w:snapToGrid w:val="0"/>
        </w:rPr>
      </w:pPr>
      <w:r>
        <w:rPr>
          <w:snapToGrid w:val="0"/>
        </w:rPr>
        <w:tab/>
        <w:t>(4)</w:t>
      </w:r>
      <w:r>
        <w:rPr>
          <w:snapToGrid w:val="0"/>
        </w:rPr>
        <w:tab/>
        <w:t>In this section —</w:t>
      </w:r>
    </w:p>
    <w:p>
      <w:pPr>
        <w:pStyle w:val="Defstart"/>
      </w:pPr>
      <w:r>
        <w:rPr>
          <w:b/>
        </w:rPr>
        <w:tab/>
      </w:r>
      <w:r>
        <w:rPr>
          <w:rStyle w:val="CharDefText"/>
        </w:rPr>
        <w:t>structure</w:t>
      </w:r>
      <w:r>
        <w:t xml:space="preserve"> includes any prescribed improvement.</w:t>
      </w:r>
    </w:p>
    <w:p>
      <w:pPr>
        <w:pStyle w:val="Footnotesection"/>
      </w:pPr>
      <w:r>
        <w:tab/>
        <w:t>[Section 7A inserted by No. 58 of 1995 s. 13.]</w:t>
      </w:r>
    </w:p>
    <w:p>
      <w:pPr>
        <w:pStyle w:val="Heading5"/>
        <w:rPr>
          <w:snapToGrid w:val="0"/>
        </w:rPr>
      </w:pPr>
      <w:bookmarkStart w:id="72" w:name="_Toc381880835"/>
      <w:bookmarkStart w:id="73" w:name="_Toc476927208"/>
      <w:r>
        <w:rPr>
          <w:rStyle w:val="CharSectno"/>
        </w:rPr>
        <w:t>7B</w:t>
      </w:r>
      <w:r>
        <w:rPr>
          <w:snapToGrid w:val="0"/>
        </w:rPr>
        <w:t>.</w:t>
      </w:r>
      <w:r>
        <w:rPr>
          <w:snapToGrid w:val="0"/>
        </w:rPr>
        <w:tab/>
        <w:t>Further provisions as to approvals for purposes of s. 7 and 7A</w:t>
      </w:r>
      <w:bookmarkEnd w:id="72"/>
      <w:bookmarkEnd w:id="73"/>
    </w:p>
    <w:p>
      <w:pPr>
        <w:pStyle w:val="Subsection"/>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t xml:space="preserve">the </w:t>
      </w:r>
      <w:r>
        <w:rPr>
          <w:rStyle w:val="CharDefText"/>
        </w:rPr>
        <w:t>allowed period</w:t>
      </w:r>
      <w:r>
        <w:rPr>
          <w:snapToGrid w:val="0"/>
        </w:rPr>
        <w:t>).</w:t>
      </w:r>
    </w:p>
    <w:p>
      <w:pPr>
        <w:pStyle w:val="Subsection"/>
        <w:rPr>
          <w:snapToGrid w:val="0"/>
        </w:rPr>
      </w:pPr>
      <w:r>
        <w:rPr>
          <w:snapToGrid w:val="0"/>
        </w:rPr>
        <w:tab/>
        <w:t>(3)</w:t>
      </w:r>
      <w:r>
        <w:rPr>
          <w:snapToGrid w:val="0"/>
        </w:rPr>
        <w:tab/>
        <w:t>If the council does not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Notice in writing of the decision on an application shall be given to the applicant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keepNext/>
        <w:keepLines/>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[Section 7B inserted by No. 58 of 1995 s. 13.]</w:t>
      </w:r>
    </w:p>
    <w:p>
      <w:pPr>
        <w:pStyle w:val="Heading5"/>
        <w:rPr>
          <w:snapToGrid w:val="0"/>
        </w:rPr>
      </w:pPr>
      <w:bookmarkStart w:id="74" w:name="_Toc381880836"/>
      <w:bookmarkStart w:id="75" w:name="_Toc476927209"/>
      <w:r>
        <w:rPr>
          <w:rStyle w:val="CharSectno"/>
        </w:rPr>
        <w:t>8</w:t>
      </w:r>
      <w:r>
        <w:rPr>
          <w:snapToGrid w:val="0"/>
        </w:rPr>
        <w:t>.</w:t>
      </w:r>
      <w:r>
        <w:rPr>
          <w:snapToGrid w:val="0"/>
        </w:rPr>
        <w:tab/>
        <w:t>Re</w:t>
      </w:r>
      <w:r>
        <w:rPr>
          <w:snapToGrid w:val="0"/>
        </w:rPr>
        <w:noBreakHyphen/>
        <w:t>subdivision within a scheme</w:t>
      </w:r>
      <w:bookmarkEnd w:id="74"/>
      <w:bookmarkEnd w:id="75"/>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[Section 8 inserted by No. 58 of 1995 s. 14.]</w:t>
      </w:r>
    </w:p>
    <w:p>
      <w:pPr>
        <w:pStyle w:val="Heading5"/>
        <w:rPr>
          <w:snapToGrid w:val="0"/>
        </w:rPr>
      </w:pPr>
      <w:bookmarkStart w:id="76" w:name="_Toc381880837"/>
      <w:bookmarkStart w:id="77" w:name="_Toc476927210"/>
      <w:r>
        <w:rPr>
          <w:rStyle w:val="CharSectno"/>
        </w:rPr>
        <w:t>8A</w:t>
      </w:r>
      <w:r>
        <w:rPr>
          <w:snapToGrid w:val="0"/>
        </w:rPr>
        <w:t>.</w:t>
      </w:r>
      <w:r>
        <w:rPr>
          <w:snapToGrid w:val="0"/>
        </w:rPr>
        <w:tab/>
        <w:t>Requirements for plan of re</w:t>
      </w:r>
      <w:r>
        <w:rPr>
          <w:snapToGrid w:val="0"/>
        </w:rPr>
        <w:noBreakHyphen/>
        <w:t>subdivision</w:t>
      </w:r>
      <w:bookmarkEnd w:id="76"/>
      <w:bookmarkEnd w:id="77"/>
    </w:p>
    <w:p>
      <w:pPr>
        <w:pStyle w:val="Subsection"/>
        <w:keepNext/>
        <w:rPr>
          <w:snapToGrid w:val="0"/>
        </w:rPr>
      </w:pPr>
      <w:r>
        <w:rPr>
          <w:snapToGrid w:val="0"/>
        </w:rPr>
        <w:tab/>
      </w:r>
      <w:r>
        <w:rPr>
          <w:snapToGrid w:val="0"/>
        </w:rPr>
        <w:tab/>
        <w:t>A plan of re</w:t>
      </w:r>
      <w:r>
        <w:rPr>
          <w:snapToGrid w:val="0"/>
        </w:rPr>
        <w:noBreakHyphen/>
        <w:t>subdivision shall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r>
      <w:r>
        <w:rPr>
          <w:snapToGrid w:val="0"/>
          <w:spacing w:val="-4"/>
        </w:rPr>
        <w:tab/>
        <w:t>and</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 and</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 and</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 and</w:t>
      </w:r>
    </w:p>
    <w:p>
      <w:pPr>
        <w:pStyle w:val="Indenta"/>
        <w:rPr>
          <w:snapToGrid w:val="0"/>
        </w:rPr>
      </w:pPr>
      <w:r>
        <w:rPr>
          <w:snapToGrid w:val="0"/>
        </w:rPr>
        <w:tab/>
        <w:t>(e)</w:t>
      </w:r>
      <w:r>
        <w:rPr>
          <w:snapToGrid w:val="0"/>
        </w:rPr>
        <w:tab/>
        <w:t>where paragraph (a)(ii)(II) applies, be accompanied by a certificate in the prescribed form given by a licensed surveyor; and</w:t>
      </w:r>
    </w:p>
    <w:p>
      <w:pPr>
        <w:pStyle w:val="Indenta"/>
      </w:pPr>
      <w:r>
        <w:rPr>
          <w:snapToGrid w:val="0"/>
        </w:rPr>
        <w:tab/>
        <w:t>(f)</w:t>
      </w:r>
      <w:r>
        <w:rPr>
          <w:snapToGrid w:val="0"/>
        </w:rPr>
        <w:tab/>
        <w:t>in the case of a re</w:t>
      </w:r>
      <w:r>
        <w:rPr>
          <w:snapToGrid w:val="0"/>
        </w:rPr>
        <w:noBreakHyphen/>
        <w:t xml:space="preserve">subdivision of a lot in a strata scheme, be accompanied </w:t>
      </w:r>
      <w:r>
        <w:t xml:space="preserve">by — </w:t>
      </w:r>
    </w:p>
    <w:p>
      <w:pPr>
        <w:pStyle w:val="Indenti"/>
        <w:rPr>
          <w:snapToGrid w:val="0"/>
        </w:rPr>
      </w:pPr>
      <w:r>
        <w:rPr>
          <w:snapToGrid w:val="0"/>
        </w:rPr>
        <w:tab/>
        <w:t>(i)</w:t>
      </w:r>
      <w:r>
        <w:rPr>
          <w:snapToGrid w:val="0"/>
        </w:rPr>
        <w:tab/>
        <w:t xml:space="preserve">an occupancy permit granted under an application mentioned in the </w:t>
      </w:r>
      <w:r>
        <w:rPr>
          <w:i/>
          <w:iCs/>
          <w:snapToGrid w:val="0"/>
        </w:rPr>
        <w:t xml:space="preserve">Building Act 2011 </w:t>
      </w:r>
      <w:r>
        <w:rPr>
          <w:snapToGrid w:val="0"/>
        </w:rPr>
        <w:t>section 50(2)(a); or</w:t>
      </w:r>
    </w:p>
    <w:p>
      <w:pPr>
        <w:pStyle w:val="Indenti"/>
        <w:rPr>
          <w:snapToGrid w:val="0"/>
        </w:rPr>
      </w:pPr>
      <w:r>
        <w:tab/>
        <w:t>(ii)</w:t>
      </w:r>
      <w:r>
        <w:tab/>
        <w:t xml:space="preserve">a building approval certificate granted under an application mentioned in the </w:t>
      </w:r>
      <w:r>
        <w:rPr>
          <w:i/>
          <w:iCs/>
        </w:rPr>
        <w:t xml:space="preserve">Building Act 2011 </w:t>
      </w:r>
      <w:r>
        <w:t>section </w:t>
      </w:r>
      <w:r>
        <w:rPr>
          <w:snapToGrid w:val="0"/>
        </w:rPr>
        <w:t>50(2)(b)</w:t>
      </w:r>
      <w:r>
        <w:t>;</w:t>
      </w:r>
    </w:p>
    <w:p>
      <w:pPr>
        <w:pStyle w:val="Indenta"/>
        <w:rPr>
          <w:snapToGrid w:val="0"/>
        </w:rPr>
      </w:pPr>
      <w:r>
        <w:rPr>
          <w:snapToGrid w:val="0"/>
        </w:rPr>
        <w:tab/>
      </w:r>
      <w:r>
        <w:rPr>
          <w:snapToGrid w:val="0"/>
        </w:rPr>
        <w:tab/>
        <w:t>and</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 and</w:t>
      </w:r>
    </w:p>
    <w:p>
      <w:pPr>
        <w:pStyle w:val="Indenta"/>
        <w:rPr>
          <w:snapToGrid w:val="0"/>
        </w:rPr>
      </w:pPr>
      <w:r>
        <w:rPr>
          <w:snapToGrid w:val="0"/>
        </w:rPr>
        <w:tab/>
        <w:t>(h)</w:t>
      </w:r>
      <w:r>
        <w:rPr>
          <w:snapToGrid w:val="0"/>
        </w:rPr>
        <w:tab/>
        <w:t>be accompanied by a certificate of a licensed valuer in accordance with section 14(2); and</w:t>
      </w:r>
    </w:p>
    <w:p>
      <w:pPr>
        <w:pStyle w:val="Indenta"/>
        <w:rPr>
          <w:snapToGrid w:val="0"/>
        </w:rPr>
      </w:pPr>
      <w:r>
        <w:rPr>
          <w:snapToGrid w:val="0"/>
        </w:rPr>
        <w:tab/>
        <w:t>(i)</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rPr>
          <w:snapToGrid w:val="0"/>
        </w:rPr>
      </w:pPr>
      <w:r>
        <w:rPr>
          <w:snapToGrid w:val="0"/>
        </w:rPr>
        <w:tab/>
        <w:t>(j)</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 No. 57 of 1997 s. 115(1); No. 24 of 2011 s. 174(3).]</w:t>
      </w:r>
    </w:p>
    <w:p>
      <w:pPr>
        <w:pStyle w:val="Heading5"/>
        <w:rPr>
          <w:snapToGrid w:val="0"/>
        </w:rPr>
      </w:pPr>
      <w:bookmarkStart w:id="78" w:name="_Toc381880838"/>
      <w:bookmarkStart w:id="79" w:name="_Toc476927211"/>
      <w:r>
        <w:rPr>
          <w:rStyle w:val="CharSectno"/>
        </w:rPr>
        <w:t>8B</w:t>
      </w:r>
      <w:r>
        <w:rPr>
          <w:snapToGrid w:val="0"/>
        </w:rPr>
        <w:t>.</w:t>
      </w:r>
      <w:r>
        <w:rPr>
          <w:snapToGrid w:val="0"/>
        </w:rPr>
        <w:tab/>
        <w:t>Transfers etc. to give effect to plan</w:t>
      </w:r>
      <w:bookmarkEnd w:id="78"/>
      <w:bookmarkEnd w:id="79"/>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[Section 8B inserted by No. 58 of 1995 s. 14.]</w:t>
      </w:r>
    </w:p>
    <w:p>
      <w:pPr>
        <w:pStyle w:val="Heading5"/>
        <w:rPr>
          <w:snapToGrid w:val="0"/>
        </w:rPr>
      </w:pPr>
      <w:bookmarkStart w:id="80" w:name="_Toc381880839"/>
      <w:bookmarkStart w:id="81" w:name="_Toc476927212"/>
      <w:r>
        <w:rPr>
          <w:rStyle w:val="CharSectno"/>
        </w:rPr>
        <w:t>8C</w:t>
      </w:r>
      <w:r>
        <w:rPr>
          <w:snapToGrid w:val="0"/>
        </w:rPr>
        <w:t>.</w:t>
      </w:r>
      <w:r>
        <w:rPr>
          <w:snapToGrid w:val="0"/>
        </w:rPr>
        <w:tab/>
        <w:t>Effect of registration of plan of re</w:t>
      </w:r>
      <w:r>
        <w:rPr>
          <w:snapToGrid w:val="0"/>
        </w:rPr>
        <w:noBreakHyphen/>
        <w:t>subdivision</w:t>
      </w:r>
      <w:bookmarkEnd w:id="80"/>
      <w:bookmarkEnd w:id="81"/>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w:t>
      </w:r>
    </w:p>
    <w:p>
      <w:pPr>
        <w:pStyle w:val="Indenta"/>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[Section 8C inserted by No. 58 of 1995 s. 14.]</w:t>
      </w:r>
    </w:p>
    <w:p>
      <w:pPr>
        <w:pStyle w:val="Heading5"/>
        <w:rPr>
          <w:snapToGrid w:val="0"/>
        </w:rPr>
      </w:pPr>
      <w:bookmarkStart w:id="82" w:name="_Toc381880840"/>
      <w:bookmarkStart w:id="83" w:name="_Toc476927213"/>
      <w:r>
        <w:rPr>
          <w:rStyle w:val="CharSectno"/>
        </w:rPr>
        <w:t>9</w:t>
      </w:r>
      <w:r>
        <w:rPr>
          <w:snapToGrid w:val="0"/>
        </w:rPr>
        <w:t>.</w:t>
      </w:r>
      <w:r>
        <w:rPr>
          <w:snapToGrid w:val="0"/>
        </w:rPr>
        <w:tab/>
        <w:t>Consolidation of lots</w:t>
      </w:r>
      <w:bookmarkEnd w:id="82"/>
      <w:bookmarkEnd w:id="83"/>
    </w:p>
    <w:p>
      <w:pPr>
        <w:pStyle w:val="Subsection"/>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rPr>
          <w:snapToGrid w:val="0"/>
        </w:rPr>
      </w:pPr>
      <w:r>
        <w:rPr>
          <w:snapToGrid w:val="0"/>
        </w:rPr>
        <w:tab/>
        <w:t>(3)</w:t>
      </w:r>
      <w:r>
        <w:rPr>
          <w:snapToGrid w:val="0"/>
        </w:rPr>
        <w:tab/>
        <w:t>A strata/survey</w:t>
      </w:r>
      <w:r>
        <w:rPr>
          <w:snapToGrid w:val="0"/>
        </w:rPr>
        <w:noBreakHyphen/>
        <w:t>strata plan of consolidation shall —</w:t>
      </w:r>
    </w:p>
    <w:p>
      <w:pPr>
        <w:pStyle w:val="Indenta"/>
        <w:spacing w:before="60"/>
        <w:rPr>
          <w:snapToGrid w:val="0"/>
        </w:rPr>
      </w:pPr>
      <w:r>
        <w:rPr>
          <w:snapToGrid w:val="0"/>
        </w:rPr>
        <w:tab/>
        <w:t>(a)</w:t>
      </w:r>
      <w:r>
        <w:rPr>
          <w:snapToGrid w:val="0"/>
        </w:rPr>
        <w:tab/>
        <w:t>where section 25(1) requires, be accompanied by a certificate of approval of the consolidation given by the Commission; and</w:t>
      </w:r>
    </w:p>
    <w:p>
      <w:pPr>
        <w:pStyle w:val="Indenta"/>
        <w:spacing w:before="60"/>
        <w:rPr>
          <w:snapToGrid w:val="0"/>
        </w:rPr>
      </w:pPr>
      <w:r>
        <w:rPr>
          <w:snapToGrid w:val="0"/>
        </w:rPr>
        <w:tab/>
        <w:t>(b)</w:t>
      </w:r>
      <w:r>
        <w:rPr>
          <w:snapToGrid w:val="0"/>
        </w:rPr>
        <w:tab/>
        <w:t>in the case of a consolidation of lots in a strata scheme, be accompanied by a certificate given by the local government certifying —</w:t>
      </w:r>
    </w:p>
    <w:p>
      <w:pPr>
        <w:pStyle w:val="Indenti"/>
        <w:spacing w:before="60"/>
        <w:rPr>
          <w:snapToGrid w:val="0"/>
        </w:rPr>
      </w:pPr>
      <w:r>
        <w:rPr>
          <w:snapToGrid w:val="0"/>
        </w:rPr>
        <w:tab/>
        <w:t>(i)</w:t>
      </w:r>
      <w:r>
        <w:rPr>
          <w:snapToGrid w:val="0"/>
        </w:rPr>
        <w:tab/>
        <w:t>that the local government consents to the consolidation; and</w:t>
      </w:r>
    </w:p>
    <w:p>
      <w:pPr>
        <w:pStyle w:val="Indenti"/>
        <w:spacing w:before="60"/>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spacing w:before="60"/>
        <w:rPr>
          <w:snapToGrid w:val="0"/>
        </w:rPr>
      </w:pPr>
      <w:r>
        <w:rPr>
          <w:snapToGrid w:val="0"/>
        </w:rPr>
        <w:tab/>
        <w:t>(iii)</w:t>
      </w:r>
      <w:r>
        <w:rPr>
          <w:snapToGrid w:val="0"/>
        </w:rPr>
        <w:tab/>
        <w:t>in a case where the Commission has granted approval subject to conditions under section 25, that the conditions attached to the approval of the Commission have been complied with;</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[Section 9 amended by No. 84 of 1994 s. 46; No. 58 of 1995 s. 15 and 95; No. 14 of 1996 s. 4.]</w:t>
      </w:r>
    </w:p>
    <w:p>
      <w:pPr>
        <w:pStyle w:val="Heading5"/>
        <w:rPr>
          <w:snapToGrid w:val="0"/>
        </w:rPr>
      </w:pPr>
      <w:bookmarkStart w:id="84" w:name="_Toc381880841"/>
      <w:bookmarkStart w:id="85" w:name="_Toc476927214"/>
      <w:r>
        <w:rPr>
          <w:rStyle w:val="CharSectno"/>
        </w:rPr>
        <w:t>10</w:t>
      </w:r>
      <w:r>
        <w:rPr>
          <w:snapToGrid w:val="0"/>
        </w:rPr>
        <w:t>.</w:t>
      </w:r>
      <w:r>
        <w:rPr>
          <w:snapToGrid w:val="0"/>
        </w:rPr>
        <w:tab/>
        <w:t>Conversion of lots into common property</w:t>
      </w:r>
      <w:bookmarkEnd w:id="84"/>
      <w:bookmarkEnd w:id="85"/>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w:t>
      </w:r>
    </w:p>
    <w:p>
      <w:pPr>
        <w:pStyle w:val="Indenta"/>
        <w:rPr>
          <w:snapToGrid w:val="0"/>
        </w:rPr>
      </w:pPr>
      <w:r>
        <w:rPr>
          <w:snapToGrid w:val="0"/>
        </w:rPr>
        <w:tab/>
        <w:t>(a)</w:t>
      </w:r>
      <w:r>
        <w:rPr>
          <w:snapToGrid w:val="0"/>
        </w:rPr>
        <w:tab/>
        <w:t>it is accompanied by a certificate given by the local government consenting to the conversion into common property effected by the transfer; and</w:t>
      </w:r>
    </w:p>
    <w:p>
      <w:pPr>
        <w:pStyle w:val="Indenta"/>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w:t>
      </w:r>
    </w:p>
    <w:p>
      <w:pPr>
        <w:pStyle w:val="Indenta"/>
        <w:rPr>
          <w:snapToGrid w:val="0"/>
        </w:rPr>
      </w:pPr>
      <w:r>
        <w:rPr>
          <w:snapToGrid w:val="0"/>
        </w:rPr>
        <w:tab/>
        <w:t>(a)</w:t>
      </w:r>
      <w:r>
        <w:rPr>
          <w:snapToGrid w:val="0"/>
        </w:rPr>
        <w:tab/>
        <w:t>amend the strata/survey</w:t>
      </w:r>
      <w:r>
        <w:rPr>
          <w:snapToGrid w:val="0"/>
        </w:rPr>
        <w:noBreakHyphen/>
        <w:t>strata plan in the prescribed manner; and</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10 amended by No. 58 of 1995 s. 92 and 95; No. 14 of 1996 s. 4; No. 81 of 1996 s. 153(1).]</w:t>
      </w:r>
    </w:p>
    <w:p>
      <w:pPr>
        <w:pStyle w:val="Heading5"/>
        <w:rPr>
          <w:snapToGrid w:val="0"/>
        </w:rPr>
      </w:pPr>
      <w:bookmarkStart w:id="86" w:name="_Toc381880842"/>
      <w:bookmarkStart w:id="87" w:name="_Toc476927215"/>
      <w:r>
        <w:rPr>
          <w:rStyle w:val="CharSectno"/>
        </w:rPr>
        <w:t>11</w:t>
      </w:r>
      <w:r>
        <w:rPr>
          <w:snapToGrid w:val="0"/>
        </w:rPr>
        <w:t>.</w:t>
      </w:r>
      <w:r>
        <w:rPr>
          <w:snapToGrid w:val="0"/>
        </w:rPr>
        <w:tab/>
        <w:t>Support and services</w:t>
      </w:r>
      <w:bookmarkEnd w:id="86"/>
      <w:bookmarkEnd w:id="87"/>
    </w:p>
    <w:p>
      <w:pPr>
        <w:pStyle w:val="Subsection"/>
        <w:rPr>
          <w:snapToGrid w:val="0"/>
        </w:rPr>
      </w:pPr>
      <w:r>
        <w:rPr>
          <w:snapToGrid w:val="0"/>
        </w:rPr>
        <w:tab/>
        <w:t>(1)</w:t>
      </w:r>
      <w:r>
        <w:rPr>
          <w:snapToGrid w:val="0"/>
        </w:rPr>
        <w:tab/>
        <w:t>In respect of each lot there shall be implied —</w:t>
      </w:r>
    </w:p>
    <w:p>
      <w:pPr>
        <w:pStyle w:val="Indenta"/>
        <w:keepNext/>
        <w:rPr>
          <w:snapToGrid w:val="0"/>
          <w:spacing w:val="-4"/>
        </w:rPr>
      </w:pPr>
      <w:r>
        <w:rPr>
          <w:snapToGrid w:val="0"/>
          <w:spacing w:val="-4"/>
        </w:rPr>
        <w:tab/>
        <w:t>(a)</w:t>
      </w:r>
      <w:r>
        <w:rPr>
          <w:snapToGrid w:val="0"/>
          <w:spacing w:val="-4"/>
        </w:rPr>
        <w:tab/>
        <w:t>in favour of the proprietor and as appurtenant to his lot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88" w:name="_Toc381880843"/>
      <w:bookmarkStart w:id="89" w:name="_Toc476927216"/>
      <w:r>
        <w:rPr>
          <w:rStyle w:val="CharSectno"/>
        </w:rPr>
        <w:t>12</w:t>
      </w:r>
      <w:r>
        <w:rPr>
          <w:snapToGrid w:val="0"/>
        </w:rPr>
        <w:t>.</w:t>
      </w:r>
      <w:r>
        <w:rPr>
          <w:snapToGrid w:val="0"/>
        </w:rPr>
        <w:tab/>
        <w:t>Shelter</w:t>
      </w:r>
      <w:bookmarkEnd w:id="88"/>
      <w:bookmarkEnd w:id="89"/>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[Section 12 amended by No. 58 of 1995 s. 16.]</w:t>
      </w:r>
    </w:p>
    <w:p>
      <w:pPr>
        <w:pStyle w:val="Heading5"/>
        <w:rPr>
          <w:snapToGrid w:val="0"/>
        </w:rPr>
      </w:pPr>
      <w:bookmarkStart w:id="90" w:name="_Toc381880844"/>
      <w:bookmarkStart w:id="91" w:name="_Toc476927217"/>
      <w:r>
        <w:rPr>
          <w:rStyle w:val="CharSectno"/>
        </w:rPr>
        <w:t>12A</w:t>
      </w:r>
      <w:r>
        <w:rPr>
          <w:snapToGrid w:val="0"/>
        </w:rPr>
        <w:t>.</w:t>
      </w:r>
      <w:r>
        <w:rPr>
          <w:snapToGrid w:val="0"/>
        </w:rPr>
        <w:tab/>
        <w:t>Access for maintenance where part of building intrudes into another lot</w:t>
      </w:r>
      <w:bookmarkEnd w:id="90"/>
      <w:bookmarkEnd w:id="91"/>
    </w:p>
    <w:p>
      <w:pPr>
        <w:pStyle w:val="Subsection"/>
        <w:keepNext/>
      </w:pPr>
      <w:r>
        <w:tab/>
        <w:t>(1)</w:t>
      </w:r>
      <w:r>
        <w:tab/>
        <w:t xml:space="preserve">Where </w:t>
      </w:r>
      <w:r>
        <w:rPr>
          <w:snapToGrid w:val="0"/>
        </w:rPr>
        <w:t>under</w:t>
      </w:r>
      <w:r>
        <w:t xml:space="preserve"> section 3AB(1) the boundary of a lot or part of a lot is the external surface of a part of a building and the part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keepNext/>
      </w:pPr>
      <w:r>
        <w:tab/>
        <w:t>(2)</w:t>
      </w:r>
      <w:r>
        <w:tab/>
        <w:t>The rights created by subsection (1) are an easement to which the other lot is subject.</w:t>
      </w:r>
    </w:p>
    <w:p>
      <w:pPr>
        <w:pStyle w:val="Footnotesection"/>
      </w:pPr>
      <w:r>
        <w:tab/>
        <w:t>[Section 12A inserted by No. 61 of 1996 s. 13.]</w:t>
      </w:r>
    </w:p>
    <w:p>
      <w:pPr>
        <w:pStyle w:val="Heading5"/>
        <w:rPr>
          <w:snapToGrid w:val="0"/>
        </w:rPr>
      </w:pPr>
      <w:bookmarkStart w:id="92" w:name="_Toc381880845"/>
      <w:bookmarkStart w:id="93" w:name="_Toc476927218"/>
      <w:r>
        <w:rPr>
          <w:rStyle w:val="CharSectno"/>
        </w:rPr>
        <w:t>13</w:t>
      </w:r>
      <w:r>
        <w:rPr>
          <w:snapToGrid w:val="0"/>
        </w:rPr>
        <w:t>.</w:t>
      </w:r>
      <w:r>
        <w:rPr>
          <w:snapToGrid w:val="0"/>
        </w:rPr>
        <w:tab/>
        <w:t>Ancillary rights</w:t>
      </w:r>
      <w:bookmarkEnd w:id="92"/>
      <w:bookmarkEnd w:id="93"/>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94" w:name="_Toc381880846"/>
      <w:bookmarkStart w:id="95" w:name="_Toc476927219"/>
      <w:r>
        <w:rPr>
          <w:rStyle w:val="CharSectno"/>
        </w:rPr>
        <w:t>14</w:t>
      </w:r>
      <w:r>
        <w:rPr>
          <w:snapToGrid w:val="0"/>
        </w:rPr>
        <w:t>.</w:t>
      </w:r>
      <w:r>
        <w:rPr>
          <w:snapToGrid w:val="0"/>
        </w:rPr>
        <w:tab/>
        <w:t>Unit entitlement of lots</w:t>
      </w:r>
      <w:bookmarkEnd w:id="94"/>
      <w:bookmarkEnd w:id="95"/>
    </w:p>
    <w:p>
      <w:pPr>
        <w:pStyle w:val="Subsection"/>
        <w:spacing w:before="120"/>
        <w:rPr>
          <w:snapToGrid w:val="0"/>
        </w:rPr>
      </w:pPr>
      <w:r>
        <w:rPr>
          <w:snapToGrid w:val="0"/>
        </w:rPr>
        <w:tab/>
        <w:t>(1)</w:t>
      </w:r>
      <w:r>
        <w:rPr>
          <w:snapToGrid w:val="0"/>
        </w:rPr>
        <w:tab/>
        <w:t>The unit entitlement of a lot, as stated in the schedule referred to in section 5, determines —</w:t>
      </w:r>
    </w:p>
    <w:p>
      <w:pPr>
        <w:pStyle w:val="Indenta"/>
        <w:rPr>
          <w:snapToGrid w:val="0"/>
        </w:rPr>
      </w:pPr>
      <w:r>
        <w:rPr>
          <w:snapToGrid w:val="0"/>
        </w:rPr>
        <w:tab/>
        <w:t>(a)</w:t>
      </w:r>
      <w:r>
        <w:rPr>
          <w:snapToGrid w:val="0"/>
        </w:rPr>
        <w:tab/>
        <w:t>the voting rights of a proprietor; and</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rStyle w:val="CharDefText"/>
        </w:rPr>
        <w:t>site value</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[Section 14 amended by No. 58 of 1995 s. 17 and 95; No. 61 of 1996 s. 14; No. 24 of 2000 s. 40(3).]</w:t>
      </w:r>
    </w:p>
    <w:p>
      <w:pPr>
        <w:pStyle w:val="Heading5"/>
        <w:rPr>
          <w:snapToGrid w:val="0"/>
        </w:rPr>
      </w:pPr>
      <w:bookmarkStart w:id="96" w:name="_Toc381880847"/>
      <w:bookmarkStart w:id="97" w:name="_Toc476927220"/>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96"/>
      <w:bookmarkEnd w:id="97"/>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 and</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deleted]</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w:t>
      </w:r>
    </w:p>
    <w:p>
      <w:pPr>
        <w:pStyle w:val="Defstart"/>
      </w:pPr>
      <w:r>
        <w:tab/>
      </w:r>
      <w:r>
        <w:rPr>
          <w:rStyle w:val="CharDefText"/>
        </w:rPr>
        <w:t>registered interest</w:t>
      </w:r>
      <w:r>
        <w:t xml:space="preserve"> includes a caveat in respect of a lot but excludes an order or other legal process issued in respect of a lot for the purposes of enforcing a judgment or fine;</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[Section 15 amended by No. 58 of 1995 s. 18, 92, 95 and 96; No. 59 of 2004 Sch. 1 cl. 150.]</w:t>
      </w:r>
    </w:p>
    <w:p>
      <w:pPr>
        <w:pStyle w:val="Heading5"/>
        <w:rPr>
          <w:snapToGrid w:val="0"/>
        </w:rPr>
      </w:pPr>
      <w:bookmarkStart w:id="98" w:name="_Toc381880848"/>
      <w:bookmarkStart w:id="99" w:name="_Toc476927221"/>
      <w:r>
        <w:rPr>
          <w:rStyle w:val="CharSectno"/>
        </w:rPr>
        <w:t>16</w:t>
      </w:r>
      <w:r>
        <w:rPr>
          <w:snapToGrid w:val="0"/>
        </w:rPr>
        <w:t>.</w:t>
      </w:r>
      <w:r>
        <w:rPr>
          <w:snapToGrid w:val="0"/>
        </w:rPr>
        <w:tab/>
        <w:t>Reallocation of unit entitlement by SAT</w:t>
      </w:r>
      <w:bookmarkEnd w:id="98"/>
      <w:bookmarkEnd w:id="99"/>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strata scheme, the site value within the meaning of that Act.</w:t>
      </w:r>
    </w:p>
    <w:p>
      <w:pPr>
        <w:pStyle w:val="Footnotesection"/>
      </w:pPr>
      <w:r>
        <w:tab/>
        <w:t>[Section 16 amended by No. 58 of 1995 s. 19, 95 and 96; No. 55 of 2004 s. 1109.]</w:t>
      </w:r>
    </w:p>
    <w:p>
      <w:pPr>
        <w:pStyle w:val="Heading3"/>
        <w:spacing w:before="300"/>
      </w:pPr>
      <w:bookmarkStart w:id="100" w:name="_Toc381880849"/>
      <w:bookmarkStart w:id="101" w:name="_Toc418081579"/>
      <w:bookmarkStart w:id="102" w:name="_Toc418081912"/>
      <w:bookmarkStart w:id="103" w:name="_Toc418087701"/>
      <w:bookmarkStart w:id="104" w:name="_Toc421012241"/>
      <w:bookmarkStart w:id="105" w:name="_Toc422408796"/>
      <w:bookmarkStart w:id="106" w:name="_Toc476927222"/>
      <w:r>
        <w:rPr>
          <w:rStyle w:val="CharDivNo"/>
        </w:rPr>
        <w:t>Division 2</w:t>
      </w:r>
      <w:r>
        <w:rPr>
          <w:snapToGrid w:val="0"/>
        </w:rPr>
        <w:t> — </w:t>
      </w:r>
      <w:r>
        <w:rPr>
          <w:rStyle w:val="CharDivText"/>
        </w:rPr>
        <w:t>Common property</w:t>
      </w:r>
      <w:bookmarkEnd w:id="100"/>
      <w:bookmarkEnd w:id="101"/>
      <w:bookmarkEnd w:id="102"/>
      <w:bookmarkEnd w:id="103"/>
      <w:bookmarkEnd w:id="104"/>
      <w:bookmarkEnd w:id="105"/>
      <w:bookmarkEnd w:id="106"/>
    </w:p>
    <w:p>
      <w:pPr>
        <w:pStyle w:val="Heading5"/>
        <w:rPr>
          <w:snapToGrid w:val="0"/>
        </w:rPr>
      </w:pPr>
      <w:bookmarkStart w:id="107" w:name="_Toc381880850"/>
      <w:bookmarkStart w:id="108" w:name="_Toc476927223"/>
      <w:r>
        <w:rPr>
          <w:rStyle w:val="CharSectno"/>
        </w:rPr>
        <w:t>17</w:t>
      </w:r>
      <w:r>
        <w:rPr>
          <w:snapToGrid w:val="0"/>
        </w:rPr>
        <w:t>.</w:t>
      </w:r>
      <w:r>
        <w:rPr>
          <w:snapToGrid w:val="0"/>
        </w:rPr>
        <w:tab/>
        <w:t>Ownership of common property</w:t>
      </w:r>
      <w:bookmarkEnd w:id="107"/>
      <w:bookmarkEnd w:id="108"/>
    </w:p>
    <w:p>
      <w:pPr>
        <w:pStyle w:val="Subsection"/>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[Section 17 amended by No. 58 of 1995 s. 96.]</w:t>
      </w:r>
    </w:p>
    <w:p>
      <w:pPr>
        <w:pStyle w:val="Heading5"/>
        <w:spacing w:before="240"/>
        <w:rPr>
          <w:snapToGrid w:val="0"/>
        </w:rPr>
      </w:pPr>
      <w:bookmarkStart w:id="109" w:name="_Toc381880851"/>
      <w:bookmarkStart w:id="110" w:name="_Toc476927224"/>
      <w:r>
        <w:rPr>
          <w:rStyle w:val="CharSectno"/>
        </w:rPr>
        <w:t>18</w:t>
      </w:r>
      <w:r>
        <w:rPr>
          <w:snapToGrid w:val="0"/>
        </w:rPr>
        <w:t>.</w:t>
      </w:r>
      <w:r>
        <w:rPr>
          <w:snapToGrid w:val="0"/>
        </w:rPr>
        <w:tab/>
        <w:t>Acquisition of additional common property</w:t>
      </w:r>
      <w:bookmarkEnd w:id="109"/>
      <w:bookmarkEnd w:id="110"/>
    </w:p>
    <w:p>
      <w:pPr>
        <w:pStyle w:val="Subsection"/>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rPr>
          <w:snapToGrid w:val="0"/>
        </w:rPr>
      </w:pPr>
      <w:r>
        <w:rPr>
          <w:snapToGrid w:val="0"/>
        </w:rPr>
        <w:tab/>
        <w:t>(2)</w:t>
      </w:r>
      <w:r>
        <w:rPr>
          <w:snapToGrid w:val="0"/>
        </w:rPr>
        <w:tab/>
        <w:t>A transfer or lease referred to in subsection (1) shall be accompanied by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rPr>
          <w:snapToGrid w:val="0"/>
        </w:rPr>
      </w:pPr>
      <w:r>
        <w:rPr>
          <w:snapToGrid w:val="0"/>
        </w:rPr>
        <w:tab/>
        <w:t>(4)</w:t>
      </w:r>
      <w:r>
        <w:rPr>
          <w:snapToGrid w:val="0"/>
        </w:rPr>
        <w:tab/>
        <w:t>Upon the registration of any such lease, transfer of a lease or sub</w:t>
      </w:r>
      <w:r>
        <w:rPr>
          <w:snapToGrid w:val="0"/>
        </w:rPr>
        <w:noBreakHyphen/>
        <w:t>lease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 and</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spacing w:before="200"/>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spacing w:before="200"/>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spacing w:before="140"/>
      </w:pPr>
      <w:r>
        <w:tab/>
        <w:t>[Section 18 amended by No. 58 of 1995 s. 20, 92 and 95; No. 60 of 2006 s. 160(3).]</w:t>
      </w:r>
    </w:p>
    <w:p>
      <w:pPr>
        <w:pStyle w:val="Heading5"/>
        <w:spacing w:before="300"/>
        <w:rPr>
          <w:snapToGrid w:val="0"/>
        </w:rPr>
      </w:pPr>
      <w:bookmarkStart w:id="111" w:name="_Toc381880852"/>
      <w:bookmarkStart w:id="112" w:name="_Toc476927225"/>
      <w:r>
        <w:rPr>
          <w:rStyle w:val="CharSectno"/>
        </w:rPr>
        <w:t>19</w:t>
      </w:r>
      <w:r>
        <w:rPr>
          <w:snapToGrid w:val="0"/>
        </w:rPr>
        <w:t>.</w:t>
      </w:r>
      <w:r>
        <w:rPr>
          <w:snapToGrid w:val="0"/>
        </w:rPr>
        <w:tab/>
        <w:t>Transfer or lease of common property</w:t>
      </w:r>
      <w:bookmarkEnd w:id="111"/>
      <w:bookmarkEnd w:id="112"/>
    </w:p>
    <w:p>
      <w:pPr>
        <w:pStyle w:val="Subsection"/>
        <w:keepNext/>
        <w:spacing w:before="200"/>
        <w:rPr>
          <w:snapToGrid w:val="0"/>
        </w:rPr>
      </w:pPr>
      <w:r>
        <w:rPr>
          <w:snapToGrid w:val="0"/>
        </w:rPr>
        <w:tab/>
        <w:t>(1)</w:t>
      </w:r>
      <w:r>
        <w:rPr>
          <w:snapToGrid w:val="0"/>
        </w:rPr>
        <w:tab/>
        <w:t>Except as otherwise provided in this section —</w:t>
      </w:r>
    </w:p>
    <w:p>
      <w:pPr>
        <w:pStyle w:val="Indenta"/>
        <w:spacing w:before="100"/>
        <w:rPr>
          <w:snapToGrid w:val="0"/>
        </w:rPr>
      </w:pPr>
      <w:r>
        <w:rPr>
          <w:snapToGrid w:val="0"/>
        </w:rPr>
        <w:tab/>
        <w:t>(a)</w:t>
      </w:r>
      <w:r>
        <w:rPr>
          <w:snapToGrid w:val="0"/>
        </w:rPr>
        <w:tab/>
        <w:t>no share in the common property may be disposed of except as appurtenant to the lot of the proprietor thereof; and</w:t>
      </w:r>
    </w:p>
    <w:p>
      <w:pPr>
        <w:pStyle w:val="Indenta"/>
        <w:spacing w:before="100"/>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spacing w:before="200"/>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spacing w:before="200"/>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spacing w:before="180"/>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spacing w:before="180"/>
        <w:rPr>
          <w:snapToGrid w:val="0"/>
        </w:rPr>
      </w:pPr>
      <w:r>
        <w:rPr>
          <w:snapToGrid w:val="0"/>
        </w:rPr>
        <w:tab/>
        <w:t>(5)</w:t>
      </w:r>
      <w:r>
        <w:rPr>
          <w:snapToGrid w:val="0"/>
        </w:rPr>
        <w:tab/>
        <w:t>Upon execution of a transfer or lease or sub</w:t>
      </w:r>
      <w:r>
        <w:rPr>
          <w:snapToGrid w:val="0"/>
        </w:rPr>
        <w:noBreakHyphen/>
        <w:t>lease in accordance with subsection (2) or (3)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spacing w:before="180"/>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spacing w:before="180"/>
        <w:rPr>
          <w:snapToGrid w:val="0"/>
        </w:rPr>
      </w:pPr>
      <w:r>
        <w:rPr>
          <w:snapToGrid w:val="0"/>
        </w:rPr>
        <w:tab/>
        <w:t>(7)</w:t>
      </w:r>
      <w:r>
        <w:rPr>
          <w:snapToGrid w:val="0"/>
        </w:rPr>
        <w:tab/>
        <w:t>In favour of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spacing w:before="120"/>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[Section 19 amended by No. 84 of 1994 s. 46; No. 58 of 1995 s. 21, 92 and 95; No. 14 of 1996 s. 4; No. 61 of 1996 s. 15; No. 81 of 1996 s. 153(1).]</w:t>
      </w:r>
    </w:p>
    <w:p>
      <w:pPr>
        <w:pStyle w:val="Heading5"/>
        <w:rPr>
          <w:snapToGrid w:val="0"/>
        </w:rPr>
      </w:pPr>
      <w:bookmarkStart w:id="113" w:name="_Toc381880853"/>
      <w:bookmarkStart w:id="114" w:name="_Toc476927226"/>
      <w:r>
        <w:rPr>
          <w:rStyle w:val="CharSectno"/>
        </w:rPr>
        <w:t>20</w:t>
      </w:r>
      <w:r>
        <w:rPr>
          <w:snapToGrid w:val="0"/>
        </w:rPr>
        <w:t>.</w:t>
      </w:r>
      <w:r>
        <w:rPr>
          <w:snapToGrid w:val="0"/>
        </w:rPr>
        <w:tab/>
        <w:t>Creation of easements and covenants</w:t>
      </w:r>
      <w:bookmarkEnd w:id="113"/>
      <w:bookmarkEnd w:id="114"/>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[Section 20 amended by No. 58 of 1995 s. 92.]</w:t>
      </w:r>
    </w:p>
    <w:p>
      <w:pPr>
        <w:pStyle w:val="Heading5"/>
        <w:spacing w:before="260"/>
        <w:rPr>
          <w:snapToGrid w:val="0"/>
        </w:rPr>
      </w:pPr>
      <w:bookmarkStart w:id="115" w:name="_Toc381880854"/>
      <w:bookmarkStart w:id="116" w:name="_Toc476927227"/>
      <w:r>
        <w:rPr>
          <w:rStyle w:val="CharSectno"/>
        </w:rPr>
        <w:t>21</w:t>
      </w:r>
      <w:r>
        <w:rPr>
          <w:snapToGrid w:val="0"/>
        </w:rPr>
        <w:t>.</w:t>
      </w:r>
      <w:r>
        <w:rPr>
          <w:snapToGrid w:val="0"/>
        </w:rPr>
        <w:tab/>
        <w:t>Encroachments treated as common property</w:t>
      </w:r>
      <w:bookmarkEnd w:id="115"/>
      <w:bookmarkEnd w:id="116"/>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[Section 21 amended by No. 58 of 1995 s. 22.]</w:t>
      </w:r>
    </w:p>
    <w:p>
      <w:pPr>
        <w:pStyle w:val="Heading3"/>
        <w:keepLines/>
      </w:pPr>
      <w:bookmarkStart w:id="117" w:name="_Toc381880855"/>
      <w:bookmarkStart w:id="118" w:name="_Toc418081585"/>
      <w:bookmarkStart w:id="119" w:name="_Toc418081918"/>
      <w:bookmarkStart w:id="120" w:name="_Toc418087707"/>
      <w:bookmarkStart w:id="121" w:name="_Toc421012247"/>
      <w:bookmarkStart w:id="122" w:name="_Toc422408802"/>
      <w:bookmarkStart w:id="123" w:name="_Toc476927228"/>
      <w:r>
        <w:rPr>
          <w:rStyle w:val="CharDivNo"/>
        </w:rPr>
        <w:t>Division 2A</w:t>
      </w:r>
      <w:r>
        <w:rPr>
          <w:snapToGrid w:val="0"/>
        </w:rPr>
        <w:t> — </w:t>
      </w:r>
      <w:r>
        <w:rPr>
          <w:rStyle w:val="CharDivText"/>
        </w:rPr>
        <w:t>Merger of common property into lots in certain strata schemes</w:t>
      </w:r>
      <w:bookmarkEnd w:id="117"/>
      <w:bookmarkEnd w:id="118"/>
      <w:bookmarkEnd w:id="119"/>
      <w:bookmarkEnd w:id="120"/>
      <w:bookmarkEnd w:id="121"/>
      <w:bookmarkEnd w:id="122"/>
      <w:bookmarkEnd w:id="123"/>
    </w:p>
    <w:p>
      <w:pPr>
        <w:pStyle w:val="Footnoteheading"/>
      </w:pPr>
      <w:r>
        <w:tab/>
        <w:t>[Heading inserted by No. 61 of 1996 s. 16.]</w:t>
      </w:r>
    </w:p>
    <w:p>
      <w:pPr>
        <w:pStyle w:val="Heading4"/>
        <w:keepLines/>
        <w:rPr>
          <w:snapToGrid w:val="0"/>
        </w:rPr>
      </w:pPr>
      <w:bookmarkStart w:id="124" w:name="_Toc381880856"/>
      <w:bookmarkStart w:id="125" w:name="_Toc418081586"/>
      <w:bookmarkStart w:id="126" w:name="_Toc418081919"/>
      <w:bookmarkStart w:id="127" w:name="_Toc418087708"/>
      <w:bookmarkStart w:id="128" w:name="_Toc421012248"/>
      <w:bookmarkStart w:id="129" w:name="_Toc422408803"/>
      <w:bookmarkStart w:id="130" w:name="_Toc476927229"/>
      <w:r>
        <w:rPr>
          <w:snapToGrid w:val="0"/>
        </w:rPr>
        <w:t>Subdivision 1 — Preliminary</w:t>
      </w:r>
      <w:bookmarkEnd w:id="124"/>
      <w:bookmarkEnd w:id="125"/>
      <w:bookmarkEnd w:id="126"/>
      <w:bookmarkEnd w:id="127"/>
      <w:bookmarkEnd w:id="128"/>
      <w:bookmarkEnd w:id="129"/>
      <w:bookmarkEnd w:id="130"/>
    </w:p>
    <w:p>
      <w:pPr>
        <w:pStyle w:val="Footnoteheading"/>
      </w:pPr>
      <w:r>
        <w:tab/>
        <w:t>[Heading inserted by No. 61 of 1996 s. 16.]</w:t>
      </w:r>
    </w:p>
    <w:p>
      <w:pPr>
        <w:pStyle w:val="Heading5"/>
        <w:rPr>
          <w:snapToGrid w:val="0"/>
        </w:rPr>
      </w:pPr>
      <w:bookmarkStart w:id="131" w:name="_Toc381880857"/>
      <w:bookmarkStart w:id="132" w:name="_Toc476927230"/>
      <w:r>
        <w:rPr>
          <w:rStyle w:val="CharSectno"/>
        </w:rPr>
        <w:t>21A</w:t>
      </w:r>
      <w:r>
        <w:rPr>
          <w:snapToGrid w:val="0"/>
        </w:rPr>
        <w:t>.</w:t>
      </w:r>
      <w:r>
        <w:rPr>
          <w:snapToGrid w:val="0"/>
        </w:rPr>
        <w:tab/>
        <w:t>Term used: existing small strata scheme</w:t>
      </w:r>
      <w:bookmarkEnd w:id="131"/>
      <w:bookmarkEnd w:id="132"/>
    </w:p>
    <w:p>
      <w:pPr>
        <w:pStyle w:val="Subsection"/>
        <w:keepNext/>
        <w:rPr>
          <w:snapToGrid w:val="0"/>
        </w:rPr>
      </w:pPr>
      <w:r>
        <w:rPr>
          <w:snapToGrid w:val="0"/>
        </w:rPr>
        <w:tab/>
      </w:r>
      <w:r>
        <w:rPr>
          <w:snapToGrid w:val="0"/>
        </w:rPr>
        <w:tab/>
        <w:t>In this Division —</w:t>
      </w:r>
    </w:p>
    <w:p>
      <w:pPr>
        <w:pStyle w:val="Defstart"/>
      </w:pPr>
      <w:r>
        <w:rPr>
          <w:b/>
        </w:rPr>
        <w:tab/>
      </w:r>
      <w:r>
        <w:rPr>
          <w:rStyle w:val="CharDefText"/>
        </w:rPr>
        <w:t>existing small strata scheme</w:t>
      </w:r>
      <w:r>
        <w:t xml:space="preserve"> means a strata scheme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t>but does not include a strata scheme the strata plan for which provides that section 3AB does not apply to the scheme.</w:t>
      </w:r>
    </w:p>
    <w:p>
      <w:pPr>
        <w:pStyle w:val="Footnotesection"/>
      </w:pPr>
      <w:r>
        <w:tab/>
        <w:t>[Section 21A inserted by No. 61 of 1996 s. 16.]</w:t>
      </w:r>
    </w:p>
    <w:p>
      <w:pPr>
        <w:pStyle w:val="Heading5"/>
        <w:rPr>
          <w:snapToGrid w:val="0"/>
        </w:rPr>
      </w:pPr>
      <w:bookmarkStart w:id="133" w:name="_Toc381880858"/>
      <w:bookmarkStart w:id="134" w:name="_Toc476927231"/>
      <w:r>
        <w:rPr>
          <w:rStyle w:val="CharSectno"/>
        </w:rPr>
        <w:t>21B</w:t>
      </w:r>
      <w:r>
        <w:rPr>
          <w:snapToGrid w:val="0"/>
        </w:rPr>
        <w:t>.</w:t>
      </w:r>
      <w:r>
        <w:rPr>
          <w:snapToGrid w:val="0"/>
        </w:rPr>
        <w:tab/>
        <w:t>Division only applies to single tier strata schemes</w:t>
      </w:r>
      <w:bookmarkEnd w:id="133"/>
      <w:bookmarkEnd w:id="134"/>
    </w:p>
    <w:p>
      <w:pPr>
        <w:pStyle w:val="Subsection"/>
        <w:keepNext/>
        <w:rPr>
          <w:snapToGrid w:val="0"/>
        </w:rPr>
      </w:pPr>
      <w:r>
        <w:rPr>
          <w:snapToGrid w:val="0"/>
        </w:rPr>
        <w:tab/>
      </w:r>
      <w:r>
        <w:rPr>
          <w:snapToGrid w:val="0"/>
        </w:rPr>
        <w:tab/>
        <w:t>This Division applies only to a single tier strata scheme.</w:t>
      </w:r>
    </w:p>
    <w:p>
      <w:pPr>
        <w:pStyle w:val="Footnotesection"/>
      </w:pPr>
      <w:r>
        <w:tab/>
        <w:t>[Section 21B inserted by No. 61 of 1996 s. 16.]</w:t>
      </w:r>
    </w:p>
    <w:p>
      <w:pPr>
        <w:pStyle w:val="Heading5"/>
        <w:rPr>
          <w:snapToGrid w:val="0"/>
        </w:rPr>
      </w:pPr>
      <w:bookmarkStart w:id="135" w:name="_Toc381880859"/>
      <w:bookmarkStart w:id="136" w:name="_Toc476927232"/>
      <w:r>
        <w:rPr>
          <w:rStyle w:val="CharSectno"/>
        </w:rPr>
        <w:t>21C</w:t>
      </w:r>
      <w:r>
        <w:rPr>
          <w:snapToGrid w:val="0"/>
        </w:rPr>
        <w:t>.</w:t>
      </w:r>
      <w:r>
        <w:rPr>
          <w:snapToGrid w:val="0"/>
        </w:rPr>
        <w:tab/>
        <w:t>Procedures cannot be invoked more than once</w:t>
      </w:r>
      <w:bookmarkEnd w:id="135"/>
      <w:bookmarkEnd w:id="136"/>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[Section 21C inserted by No. 61 of 1996 s. 16.]</w:t>
      </w:r>
    </w:p>
    <w:p>
      <w:pPr>
        <w:pStyle w:val="Heading5"/>
        <w:rPr>
          <w:snapToGrid w:val="0"/>
        </w:rPr>
      </w:pPr>
      <w:bookmarkStart w:id="137" w:name="_Toc381880860"/>
      <w:bookmarkStart w:id="138" w:name="_Toc476927233"/>
      <w:r>
        <w:rPr>
          <w:rStyle w:val="CharSectno"/>
        </w:rPr>
        <w:t>21D</w:t>
      </w:r>
      <w:r>
        <w:rPr>
          <w:snapToGrid w:val="0"/>
        </w:rPr>
        <w:t>.</w:t>
      </w:r>
      <w:r>
        <w:rPr>
          <w:snapToGrid w:val="0"/>
        </w:rPr>
        <w:tab/>
        <w:t>Saving</w:t>
      </w:r>
      <w:bookmarkEnd w:id="137"/>
      <w:bookmarkEnd w:id="138"/>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[Section 21D inserted by No. 61 of 1996 s. 16.]</w:t>
      </w:r>
    </w:p>
    <w:p>
      <w:pPr>
        <w:pStyle w:val="Heading4"/>
      </w:pPr>
      <w:bookmarkStart w:id="139" w:name="_Toc381880861"/>
      <w:bookmarkStart w:id="140" w:name="_Toc418081591"/>
      <w:bookmarkStart w:id="141" w:name="_Toc418081924"/>
      <w:bookmarkStart w:id="142" w:name="_Toc418087713"/>
      <w:bookmarkStart w:id="143" w:name="_Toc421012253"/>
      <w:bookmarkStart w:id="144" w:name="_Toc422408808"/>
      <w:bookmarkStart w:id="145" w:name="_Toc476927234"/>
      <w:r>
        <w:t>Subdivision 2 — Merger by resolution of buildings that are common property</w:t>
      </w:r>
      <w:bookmarkEnd w:id="139"/>
      <w:bookmarkEnd w:id="140"/>
      <w:bookmarkEnd w:id="141"/>
      <w:bookmarkEnd w:id="142"/>
      <w:bookmarkEnd w:id="143"/>
      <w:bookmarkEnd w:id="144"/>
      <w:bookmarkEnd w:id="145"/>
    </w:p>
    <w:p>
      <w:pPr>
        <w:pStyle w:val="Footnoteheading"/>
      </w:pPr>
      <w:r>
        <w:tab/>
        <w:t>[Heading inserted by No. 61 of 1996 s. 16.]</w:t>
      </w:r>
    </w:p>
    <w:p>
      <w:pPr>
        <w:pStyle w:val="Heading5"/>
        <w:rPr>
          <w:snapToGrid w:val="0"/>
        </w:rPr>
      </w:pPr>
      <w:bookmarkStart w:id="146" w:name="_Toc381880862"/>
      <w:bookmarkStart w:id="147" w:name="_Toc476927235"/>
      <w:r>
        <w:rPr>
          <w:rStyle w:val="CharSectno"/>
        </w:rPr>
        <w:t>21E</w:t>
      </w:r>
      <w:r>
        <w:rPr>
          <w:snapToGrid w:val="0"/>
        </w:rPr>
        <w:t>.</w:t>
      </w:r>
      <w:r>
        <w:rPr>
          <w:snapToGrid w:val="0"/>
        </w:rPr>
        <w:tab/>
        <w:t>Application of this Subdivision</w:t>
      </w:r>
      <w:bookmarkEnd w:id="146"/>
      <w:bookmarkEnd w:id="147"/>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21E inserted by No. 61 of 1996 s. 16.]</w:t>
      </w:r>
    </w:p>
    <w:p>
      <w:pPr>
        <w:pStyle w:val="Heading5"/>
        <w:rPr>
          <w:snapToGrid w:val="0"/>
        </w:rPr>
      </w:pPr>
      <w:bookmarkStart w:id="148" w:name="_Toc381880863"/>
      <w:bookmarkStart w:id="149" w:name="_Toc476927236"/>
      <w:r>
        <w:rPr>
          <w:rStyle w:val="CharSectno"/>
        </w:rPr>
        <w:t>21F</w:t>
      </w:r>
      <w:r>
        <w:rPr>
          <w:snapToGrid w:val="0"/>
        </w:rPr>
        <w:t>.</w:t>
      </w:r>
      <w:r>
        <w:rPr>
          <w:snapToGrid w:val="0"/>
        </w:rPr>
        <w:tab/>
        <w:t>Resolution by strata company</w:t>
      </w:r>
      <w:bookmarkEnd w:id="148"/>
      <w:bookmarkEnd w:id="149"/>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 or</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[Section 21F inserted by No. 61 of 1996 s. 16; amended by No. 55 of 2004 s. 1157.]</w:t>
      </w:r>
    </w:p>
    <w:p>
      <w:pPr>
        <w:pStyle w:val="Heading5"/>
        <w:rPr>
          <w:snapToGrid w:val="0"/>
        </w:rPr>
      </w:pPr>
      <w:bookmarkStart w:id="150" w:name="_Toc381880864"/>
      <w:bookmarkStart w:id="151" w:name="_Toc476927237"/>
      <w:r>
        <w:rPr>
          <w:rStyle w:val="CharSectno"/>
        </w:rPr>
        <w:t>21G</w:t>
      </w:r>
      <w:r>
        <w:rPr>
          <w:snapToGrid w:val="0"/>
        </w:rPr>
        <w:t>.</w:t>
      </w:r>
      <w:r>
        <w:rPr>
          <w:snapToGrid w:val="0"/>
        </w:rPr>
        <w:tab/>
        <w:t>Lodgement of notice of resolution for registration</w:t>
      </w:r>
      <w:bookmarkEnd w:id="150"/>
      <w:bookmarkEnd w:id="151"/>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w:t>
      </w:r>
    </w:p>
    <w:p>
      <w:pPr>
        <w:pStyle w:val="Indenta"/>
        <w:spacing w:before="60"/>
        <w:rPr>
          <w:snapToGrid w:val="0"/>
        </w:rPr>
      </w:pPr>
      <w:r>
        <w:rPr>
          <w:snapToGrid w:val="0"/>
        </w:rPr>
        <w:tab/>
        <w:t>(a)</w:t>
      </w:r>
      <w:r>
        <w:rPr>
          <w:snapToGrid w:val="0"/>
        </w:rPr>
        <w:tab/>
        <w:t>a notice of resolution in the prescribed form; and</w:t>
      </w:r>
    </w:p>
    <w:p>
      <w:pPr>
        <w:pStyle w:val="Indenta"/>
        <w:spacing w:before="60"/>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w:t>
      </w:r>
    </w:p>
    <w:p>
      <w:pPr>
        <w:pStyle w:val="Indenta"/>
        <w:spacing w:before="60"/>
        <w:rPr>
          <w:snapToGrid w:val="0"/>
        </w:rPr>
      </w:pPr>
      <w:r>
        <w:rPr>
          <w:snapToGrid w:val="0"/>
        </w:rPr>
        <w:tab/>
        <w:t>(a)</w:t>
      </w:r>
      <w:r>
        <w:rPr>
          <w:snapToGrid w:val="0"/>
        </w:rPr>
        <w:tab/>
        <w:t>in the case of an existing small strata scheme, by all of the proprietors of lots in the scheme; or</w:t>
      </w:r>
    </w:p>
    <w:p>
      <w:pPr>
        <w:pStyle w:val="Indenta"/>
        <w:spacing w:before="60"/>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w:t>
      </w:r>
    </w:p>
    <w:p>
      <w:pPr>
        <w:pStyle w:val="Indenta"/>
        <w:spacing w:before="60"/>
        <w:rPr>
          <w:snapToGrid w:val="0"/>
        </w:rPr>
      </w:pPr>
      <w:r>
        <w:rPr>
          <w:snapToGrid w:val="0"/>
        </w:rPr>
        <w:tab/>
        <w:t>(a)</w:t>
      </w:r>
      <w:r>
        <w:rPr>
          <w:snapToGrid w:val="0"/>
        </w:rPr>
        <w:tab/>
        <w:t>if it is lodged by the strata company, is to be signed under its seal; or</w:t>
      </w:r>
    </w:p>
    <w:p>
      <w:pPr>
        <w:pStyle w:val="Indenta"/>
        <w:spacing w:before="60"/>
        <w:rPr>
          <w:snapToGrid w:val="0"/>
        </w:rPr>
      </w:pPr>
      <w:r>
        <w:rPr>
          <w:snapToGrid w:val="0"/>
        </w:rPr>
        <w:tab/>
        <w:t>(b)</w:t>
      </w:r>
      <w:r>
        <w:rPr>
          <w:snapToGrid w:val="0"/>
        </w:rPr>
        <w:tab/>
        <w:t>if subsection (2)(a) or (b) applies, is to be signed by the proprietors or the proprietor lodging it.</w:t>
      </w:r>
    </w:p>
    <w:p>
      <w:pPr>
        <w:pStyle w:val="Footnotesection"/>
        <w:keepLines w:val="0"/>
        <w:spacing w:before="80"/>
      </w:pPr>
      <w:r>
        <w:tab/>
        <w:t>[Section 21G inserted by No. 61 of 1996 s. 16; amended by No. 55 of 2004 s. 1110.]</w:t>
      </w:r>
    </w:p>
    <w:p>
      <w:pPr>
        <w:pStyle w:val="Heading5"/>
        <w:keepLines w:val="0"/>
        <w:spacing w:before="180"/>
        <w:rPr>
          <w:snapToGrid w:val="0"/>
        </w:rPr>
      </w:pPr>
      <w:bookmarkStart w:id="152" w:name="_Toc381880865"/>
      <w:bookmarkStart w:id="153" w:name="_Toc476927238"/>
      <w:r>
        <w:rPr>
          <w:rStyle w:val="CharSectno"/>
        </w:rPr>
        <w:t>21H</w:t>
      </w:r>
      <w:r>
        <w:rPr>
          <w:snapToGrid w:val="0"/>
        </w:rPr>
        <w:t>.</w:t>
      </w:r>
      <w:r>
        <w:rPr>
          <w:snapToGrid w:val="0"/>
        </w:rPr>
        <w:tab/>
        <w:t>Registration of notice of resolution</w:t>
      </w:r>
      <w:bookmarkEnd w:id="152"/>
      <w:bookmarkEnd w:id="153"/>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spacing w:before="80"/>
      </w:pPr>
      <w:r>
        <w:tab/>
        <w:t>[Section 21H inserted by No. 61 of 1996 s. 16.]</w:t>
      </w:r>
    </w:p>
    <w:p>
      <w:pPr>
        <w:pStyle w:val="Heading5"/>
        <w:spacing w:before="180"/>
        <w:rPr>
          <w:snapToGrid w:val="0"/>
        </w:rPr>
      </w:pPr>
      <w:bookmarkStart w:id="154" w:name="_Toc381880866"/>
      <w:bookmarkStart w:id="155" w:name="_Toc476927239"/>
      <w:r>
        <w:rPr>
          <w:rStyle w:val="CharSectno"/>
        </w:rPr>
        <w:t>21I</w:t>
      </w:r>
      <w:r>
        <w:rPr>
          <w:snapToGrid w:val="0"/>
        </w:rPr>
        <w:t>.</w:t>
      </w:r>
      <w:r>
        <w:rPr>
          <w:snapToGrid w:val="0"/>
        </w:rPr>
        <w:tab/>
        <w:t>Effect of registration</w:t>
      </w:r>
      <w:bookmarkEnd w:id="154"/>
      <w:bookmarkEnd w:id="155"/>
    </w:p>
    <w:p>
      <w:pPr>
        <w:pStyle w:val="Subsection"/>
        <w:keepNext/>
        <w:spacing w:before="120"/>
      </w:pPr>
      <w:r>
        <w:tab/>
        <w:t>(1)</w:t>
      </w:r>
      <w:r>
        <w:tab/>
        <w:t>The effect of the registration of a notice of resolution is that without the need for any other documentation —</w:t>
      </w:r>
    </w:p>
    <w:p>
      <w:pPr>
        <w:pStyle w:val="Indenta"/>
        <w:spacing w:before="60"/>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w:t>
      </w:r>
    </w:p>
    <w:p>
      <w:pPr>
        <w:pStyle w:val="Indenti"/>
        <w:rPr>
          <w:snapToGrid w:val="0"/>
        </w:rPr>
      </w:pPr>
      <w:r>
        <w:rPr>
          <w:snapToGrid w:val="0"/>
        </w:rPr>
        <w:tab/>
        <w:t>(i)</w:t>
      </w:r>
      <w:r>
        <w:rPr>
          <w:snapToGrid w:val="0"/>
        </w:rPr>
        <w:tab/>
        <w:t>any encumbrance that was registered; or</w:t>
      </w:r>
    </w:p>
    <w:p>
      <w:pPr>
        <w:pStyle w:val="Indenti"/>
        <w:rPr>
          <w:snapToGrid w:val="0"/>
        </w:rPr>
      </w:pPr>
      <w:r>
        <w:rPr>
          <w:snapToGrid w:val="0"/>
        </w:rPr>
        <w:tab/>
        <w:t>(ii)</w:t>
      </w:r>
      <w:r>
        <w:rPr>
          <w:snapToGrid w:val="0"/>
        </w:rPr>
        <w:tab/>
        <w:t>caveat that was lodged,</w:t>
      </w:r>
    </w:p>
    <w:p>
      <w:pPr>
        <w:pStyle w:val="Indenta"/>
        <w:rPr>
          <w:snapToGrid w:val="0"/>
        </w:rPr>
      </w:pPr>
      <w:r>
        <w:rPr>
          <w:snapToGrid w:val="0"/>
        </w:rPr>
        <w:tab/>
      </w:r>
      <w:r>
        <w:rPr>
          <w:snapToGrid w:val="0"/>
        </w:rPr>
        <w:tab/>
        <w:t>with the Registrar of Titles against the lot before the registration.</w:t>
      </w:r>
    </w:p>
    <w:p>
      <w:pPr>
        <w:pStyle w:val="Subsection"/>
        <w:keepNext/>
      </w:pPr>
      <w:r>
        <w:tab/>
        <w:t>(2)</w:t>
      </w:r>
      <w:r>
        <w:tab/>
        <w:t>Any encumbrance or caveat referred to in subsection (1) is to be taken to be amended to give effect to that subsection.</w:t>
      </w:r>
    </w:p>
    <w:p>
      <w:pPr>
        <w:pStyle w:val="Footnotesection"/>
      </w:pPr>
      <w:r>
        <w:tab/>
        <w:t>[Section 21I inserted by No. 61 of 1996 s. 16.]</w:t>
      </w:r>
    </w:p>
    <w:p>
      <w:pPr>
        <w:pStyle w:val="Heading5"/>
        <w:rPr>
          <w:snapToGrid w:val="0"/>
        </w:rPr>
      </w:pPr>
      <w:bookmarkStart w:id="156" w:name="_Toc381880867"/>
      <w:bookmarkStart w:id="157" w:name="_Toc476927240"/>
      <w:r>
        <w:rPr>
          <w:rStyle w:val="CharSectno"/>
        </w:rPr>
        <w:t>21J</w:t>
      </w:r>
      <w:r>
        <w:rPr>
          <w:snapToGrid w:val="0"/>
        </w:rPr>
        <w:t>.</w:t>
      </w:r>
      <w:r>
        <w:rPr>
          <w:snapToGrid w:val="0"/>
        </w:rPr>
        <w:tab/>
        <w:t>Registrar of Titles to amend strata plan</w:t>
      </w:r>
      <w:bookmarkEnd w:id="156"/>
      <w:bookmarkEnd w:id="157"/>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[Section 21J inserted by No. 61 of 1996 s. 16.]</w:t>
      </w:r>
    </w:p>
    <w:p>
      <w:pPr>
        <w:pStyle w:val="Heading4"/>
        <w:spacing w:before="280"/>
      </w:pPr>
      <w:bookmarkStart w:id="158" w:name="_Toc381880868"/>
      <w:bookmarkStart w:id="159" w:name="_Toc418081598"/>
      <w:bookmarkStart w:id="160" w:name="_Toc418081931"/>
      <w:bookmarkStart w:id="161" w:name="_Toc418087720"/>
      <w:bookmarkStart w:id="162" w:name="_Toc421012260"/>
      <w:bookmarkStart w:id="163" w:name="_Toc422408815"/>
      <w:bookmarkStart w:id="164" w:name="_Toc476927241"/>
      <w:r>
        <w:t>Subdivision 3 — Automatic merger of buildings that are common property</w:t>
      </w:r>
      <w:bookmarkEnd w:id="158"/>
      <w:bookmarkEnd w:id="159"/>
      <w:bookmarkEnd w:id="160"/>
      <w:bookmarkEnd w:id="161"/>
      <w:bookmarkEnd w:id="162"/>
      <w:bookmarkEnd w:id="163"/>
      <w:bookmarkEnd w:id="164"/>
    </w:p>
    <w:p>
      <w:pPr>
        <w:pStyle w:val="Footnoteheading"/>
      </w:pPr>
      <w:r>
        <w:tab/>
        <w:t>[Heading inserted by No. 61 of 1996 s. 16.]</w:t>
      </w:r>
    </w:p>
    <w:p>
      <w:pPr>
        <w:pStyle w:val="Heading5"/>
        <w:keepNext w:val="0"/>
        <w:rPr>
          <w:snapToGrid w:val="0"/>
        </w:rPr>
      </w:pPr>
      <w:bookmarkStart w:id="165" w:name="_Toc381880869"/>
      <w:bookmarkStart w:id="166" w:name="_Toc476927242"/>
      <w:r>
        <w:rPr>
          <w:rStyle w:val="CharSectno"/>
        </w:rPr>
        <w:t>21K</w:t>
      </w:r>
      <w:r>
        <w:rPr>
          <w:snapToGrid w:val="0"/>
        </w:rPr>
        <w:t>.</w:t>
      </w:r>
      <w:r>
        <w:rPr>
          <w:snapToGrid w:val="0"/>
        </w:rPr>
        <w:tab/>
        <w:t>Terms used</w:t>
      </w:r>
      <w:bookmarkEnd w:id="165"/>
      <w:bookmarkEnd w:id="166"/>
    </w:p>
    <w:p>
      <w:pPr>
        <w:pStyle w:val="Subsection"/>
        <w:rPr>
          <w:snapToGrid w:val="0"/>
        </w:rPr>
      </w:pPr>
      <w:r>
        <w:rPr>
          <w:snapToGrid w:val="0"/>
        </w:rPr>
        <w:tab/>
      </w:r>
      <w:r>
        <w:rPr>
          <w:snapToGrid w:val="0"/>
        </w:rPr>
        <w:tab/>
        <w:t>In this Subdivision —</w:t>
      </w:r>
    </w:p>
    <w:p>
      <w:pPr>
        <w:pStyle w:val="Defstart"/>
        <w:keepNext/>
        <w:rPr>
          <w:spacing w:val="-4"/>
        </w:rPr>
      </w:pPr>
      <w:r>
        <w:rPr>
          <w:b/>
          <w:spacing w:val="-4"/>
        </w:rPr>
        <w:tab/>
      </w:r>
      <w:r>
        <w:rPr>
          <w:rStyle w:val="CharDefText"/>
          <w:spacing w:val="-4"/>
        </w:rPr>
        <w:t>change</w:t>
      </w:r>
      <w:r>
        <w:rPr>
          <w:rStyle w:val="CharDefText"/>
          <w:spacing w:val="-4"/>
        </w:rPr>
        <w:noBreakHyphen/>
        <w:t>over day</w:t>
      </w:r>
      <w:r>
        <w:rPr>
          <w:spacing w:val="-4"/>
        </w:rPr>
        <w:t xml:space="preserve"> means the day after the expiry of 6 months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r>
      <w:r>
        <w:rPr>
          <w:rStyle w:val="CharDefText"/>
          <w:spacing w:val="-4"/>
        </w:rPr>
        <w:t>commencement day</w:t>
      </w:r>
      <w:r>
        <w:rPr>
          <w:spacing w:val="-4"/>
        </w:rPr>
        <w:t xml:space="preserve"> means the day on which section 16 of the </w:t>
      </w:r>
      <w:r>
        <w:rPr>
          <w:i/>
          <w:spacing w:val="-4"/>
        </w:rPr>
        <w:t>Strata Titles Amendment Act 1996</w:t>
      </w:r>
      <w:r>
        <w:rPr>
          <w:spacing w:val="-4"/>
        </w:rPr>
        <w:t xml:space="preserve"> comes into operation</w:t>
      </w:r>
      <w:r>
        <w:rPr>
          <w:spacing w:val="-4"/>
          <w:vertAlign w:val="superscript"/>
        </w:rPr>
        <w:t> 1</w:t>
      </w:r>
      <w:r>
        <w:rPr>
          <w:spacing w:val="-4"/>
        </w:rPr>
        <w:t>.</w:t>
      </w:r>
    </w:p>
    <w:p>
      <w:pPr>
        <w:pStyle w:val="Footnotesection"/>
      </w:pPr>
      <w:r>
        <w:tab/>
        <w:t>[Section 21K inserted by No. 61 of 1996 s. 16.]</w:t>
      </w:r>
    </w:p>
    <w:p>
      <w:pPr>
        <w:pStyle w:val="Heading5"/>
        <w:rPr>
          <w:snapToGrid w:val="0"/>
        </w:rPr>
      </w:pPr>
      <w:bookmarkStart w:id="167" w:name="_Toc381880870"/>
      <w:bookmarkStart w:id="168" w:name="_Toc476927243"/>
      <w:r>
        <w:rPr>
          <w:rStyle w:val="CharSectno"/>
        </w:rPr>
        <w:t>21L</w:t>
      </w:r>
      <w:r>
        <w:rPr>
          <w:snapToGrid w:val="0"/>
        </w:rPr>
        <w:t>.</w:t>
      </w:r>
      <w:r>
        <w:rPr>
          <w:snapToGrid w:val="0"/>
        </w:rPr>
        <w:tab/>
        <w:t>Application of this Subdivision</w:t>
      </w:r>
      <w:bookmarkEnd w:id="167"/>
      <w:bookmarkEnd w:id="168"/>
    </w:p>
    <w:p>
      <w:pPr>
        <w:pStyle w:val="Subsection"/>
        <w:keepNext/>
        <w:rPr>
          <w:snapToGrid w:val="0"/>
        </w:rPr>
      </w:pPr>
      <w:r>
        <w:rPr>
          <w:snapToGrid w:val="0"/>
        </w:rPr>
        <w:tab/>
      </w:r>
      <w:r>
        <w:rPr>
          <w:snapToGrid w:val="0"/>
        </w:rPr>
        <w:tab/>
        <w:t>This Subdivision applies only to an existing small strata scheme.</w:t>
      </w:r>
    </w:p>
    <w:p>
      <w:pPr>
        <w:pStyle w:val="Footnotesection"/>
        <w:spacing w:before="100"/>
      </w:pPr>
      <w:r>
        <w:tab/>
        <w:t>[Section 21L inserted by No. 61 of 1996 s. 16.]</w:t>
      </w:r>
    </w:p>
    <w:p>
      <w:pPr>
        <w:pStyle w:val="Heading5"/>
        <w:rPr>
          <w:snapToGrid w:val="0"/>
        </w:rPr>
      </w:pPr>
      <w:bookmarkStart w:id="169" w:name="_Toc381880871"/>
      <w:bookmarkStart w:id="170" w:name="_Toc476927244"/>
      <w:r>
        <w:rPr>
          <w:rStyle w:val="CharSectno"/>
        </w:rPr>
        <w:t>21M</w:t>
      </w:r>
      <w:r>
        <w:rPr>
          <w:snapToGrid w:val="0"/>
        </w:rPr>
        <w:t>.</w:t>
      </w:r>
      <w:r>
        <w:rPr>
          <w:snapToGrid w:val="0"/>
        </w:rPr>
        <w:tab/>
        <w:t>Automatic application of lot boundaries under s. 3AB</w:t>
      </w:r>
      <w:bookmarkEnd w:id="169"/>
      <w:bookmarkEnd w:id="170"/>
    </w:p>
    <w:p>
      <w:pPr>
        <w:pStyle w:val="Subsection"/>
        <w:rPr>
          <w:snapToGrid w:val="0"/>
        </w:rPr>
      </w:pPr>
      <w:r>
        <w:rPr>
          <w:snapToGrid w:val="0"/>
        </w:rPr>
        <w:tab/>
      </w:r>
      <w:r>
        <w:rPr>
          <w:snapToGrid w:val="0"/>
        </w:rPr>
        <w:tab/>
        <w:t>If on the change</w:t>
      </w:r>
      <w:r>
        <w:rPr>
          <w:snapToGrid w:val="0"/>
        </w:rPr>
        <w:noBreakHyphen/>
        <w:t>over day —</w:t>
      </w:r>
    </w:p>
    <w:p>
      <w:pPr>
        <w:pStyle w:val="Indenta"/>
        <w:spacing w:before="60"/>
        <w:rPr>
          <w:snapToGrid w:val="0"/>
        </w:rPr>
      </w:pPr>
      <w:r>
        <w:rPr>
          <w:snapToGrid w:val="0"/>
        </w:rPr>
        <w:tab/>
        <w:t>(a)</w:t>
      </w:r>
      <w:r>
        <w:rPr>
          <w:snapToGrid w:val="0"/>
        </w:rPr>
        <w:tab/>
        <w:t>a notice of resolution has not been registered under section 21H; and</w:t>
      </w:r>
    </w:p>
    <w:p>
      <w:pPr>
        <w:pStyle w:val="Indenta"/>
        <w:spacing w:before="60"/>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w:t>
      </w:r>
    </w:p>
    <w:p>
      <w:pPr>
        <w:pStyle w:val="Indenta"/>
        <w:spacing w:before="60"/>
        <w:rPr>
          <w:snapToGrid w:val="0"/>
        </w:rPr>
      </w:pPr>
      <w:r>
        <w:rPr>
          <w:snapToGrid w:val="0"/>
        </w:rPr>
        <w:tab/>
        <w:t>(c)</w:t>
      </w:r>
      <w:r>
        <w:rPr>
          <w:snapToGrid w:val="0"/>
        </w:rPr>
        <w:tab/>
        <w:t>as if a notice of resolution had been registered under section 21H; and</w:t>
      </w:r>
    </w:p>
    <w:p>
      <w:pPr>
        <w:pStyle w:val="Indenta"/>
        <w:spacing w:before="60"/>
        <w:rPr>
          <w:snapToGrid w:val="0"/>
        </w:rPr>
      </w:pPr>
      <w:r>
        <w:rPr>
          <w:snapToGrid w:val="0"/>
        </w:rPr>
        <w:tab/>
        <w:t>(d)</w:t>
      </w:r>
      <w:r>
        <w:rPr>
          <w:snapToGrid w:val="0"/>
        </w:rPr>
        <w:tab/>
        <w:t>without the need for any documentation.</w:t>
      </w:r>
    </w:p>
    <w:p>
      <w:pPr>
        <w:pStyle w:val="Footnotesection"/>
        <w:spacing w:before="100"/>
      </w:pPr>
      <w:r>
        <w:tab/>
        <w:t>[Section 21M inserted by No. 61 of 1996 s. 16.]</w:t>
      </w:r>
    </w:p>
    <w:p>
      <w:pPr>
        <w:pStyle w:val="Heading5"/>
        <w:rPr>
          <w:snapToGrid w:val="0"/>
        </w:rPr>
      </w:pPr>
      <w:bookmarkStart w:id="171" w:name="_Toc381880872"/>
      <w:bookmarkStart w:id="172" w:name="_Toc476927245"/>
      <w:r>
        <w:rPr>
          <w:rStyle w:val="CharSectno"/>
        </w:rPr>
        <w:t>21N</w:t>
      </w:r>
      <w:r>
        <w:rPr>
          <w:snapToGrid w:val="0"/>
        </w:rPr>
        <w:t>.</w:t>
      </w:r>
      <w:r>
        <w:rPr>
          <w:snapToGrid w:val="0"/>
        </w:rPr>
        <w:tab/>
        <w:t>Plan to be noted</w:t>
      </w:r>
      <w:bookmarkEnd w:id="171"/>
      <w:bookmarkEnd w:id="172"/>
    </w:p>
    <w:p>
      <w:pPr>
        <w:pStyle w:val="Subsection"/>
        <w:rPr>
          <w:snapToGrid w:val="0"/>
        </w:rPr>
      </w:pPr>
      <w:r>
        <w:rPr>
          <w:snapToGrid w:val="0"/>
        </w:rPr>
        <w:tab/>
      </w:r>
      <w:r>
        <w:rPr>
          <w:snapToGrid w:val="0"/>
        </w:rPr>
        <w:tab/>
        <w:t>Where section 21M applies to a strata scheme the Registrar of Titles is to —</w:t>
      </w:r>
    </w:p>
    <w:p>
      <w:pPr>
        <w:pStyle w:val="Indenta"/>
        <w:spacing w:before="60"/>
        <w:rPr>
          <w:snapToGrid w:val="0"/>
        </w:rPr>
      </w:pPr>
      <w:r>
        <w:rPr>
          <w:snapToGrid w:val="0"/>
        </w:rPr>
        <w:tab/>
        <w:t>(a)</w:t>
      </w:r>
      <w:r>
        <w:rPr>
          <w:snapToGrid w:val="0"/>
        </w:rPr>
        <w:tab/>
        <w:t>record on the strata plan for the scheme the fact that that section applies to that scheme; and</w:t>
      </w:r>
    </w:p>
    <w:p>
      <w:pPr>
        <w:pStyle w:val="Indenta"/>
        <w:spacing w:before="60"/>
        <w:rPr>
          <w:snapToGrid w:val="0"/>
        </w:rPr>
      </w:pPr>
      <w:r>
        <w:rPr>
          <w:snapToGrid w:val="0"/>
        </w:rPr>
        <w:tab/>
        <w:t>(b)</w:t>
      </w:r>
      <w:r>
        <w:rPr>
          <w:snapToGrid w:val="0"/>
        </w:rPr>
        <w:tab/>
        <w:t>amend the strata plan in the prescribed manner to give effect to that section.</w:t>
      </w:r>
    </w:p>
    <w:p>
      <w:pPr>
        <w:pStyle w:val="Footnotesection"/>
        <w:keepLines w:val="0"/>
        <w:spacing w:before="100"/>
      </w:pPr>
      <w:r>
        <w:tab/>
        <w:t>[Section 21N inserted by No. 61 of 1996 s. 16.]</w:t>
      </w:r>
    </w:p>
    <w:p>
      <w:pPr>
        <w:pStyle w:val="Heading5"/>
        <w:rPr>
          <w:snapToGrid w:val="0"/>
        </w:rPr>
      </w:pPr>
      <w:bookmarkStart w:id="173" w:name="_Toc381880873"/>
      <w:bookmarkStart w:id="174" w:name="_Toc476927246"/>
      <w:r>
        <w:rPr>
          <w:rStyle w:val="CharSectno"/>
        </w:rPr>
        <w:t>21O</w:t>
      </w:r>
      <w:r>
        <w:rPr>
          <w:snapToGrid w:val="0"/>
        </w:rPr>
        <w:t>.</w:t>
      </w:r>
      <w:r>
        <w:rPr>
          <w:snapToGrid w:val="0"/>
        </w:rPr>
        <w:tab/>
        <w:t>Objection by proprietor</w:t>
      </w:r>
      <w:bookmarkEnd w:id="173"/>
      <w:bookmarkEnd w:id="174"/>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w:t>
      </w:r>
    </w:p>
    <w:p>
      <w:pPr>
        <w:pStyle w:val="Indenta"/>
        <w:spacing w:before="60"/>
        <w:rPr>
          <w:snapToGrid w:val="0"/>
        </w:rPr>
      </w:pPr>
      <w:r>
        <w:rPr>
          <w:snapToGrid w:val="0"/>
        </w:rPr>
        <w:tab/>
        <w:t>(a)</w:t>
      </w:r>
      <w:r>
        <w:rPr>
          <w:snapToGrid w:val="0"/>
        </w:rPr>
        <w:tab/>
        <w:t>is to be in the prescribed form; and</w:t>
      </w:r>
    </w:p>
    <w:p>
      <w:pPr>
        <w:pStyle w:val="Indenta"/>
        <w:spacing w:before="60"/>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[Section 21O inserted by No. 61 of 1996 s. 16.]</w:t>
      </w:r>
    </w:p>
    <w:p>
      <w:pPr>
        <w:pStyle w:val="Heading4"/>
      </w:pPr>
      <w:bookmarkStart w:id="175" w:name="_Toc381880874"/>
      <w:bookmarkStart w:id="176" w:name="_Toc418081604"/>
      <w:bookmarkStart w:id="177" w:name="_Toc418081937"/>
      <w:bookmarkStart w:id="178" w:name="_Toc418087726"/>
      <w:bookmarkStart w:id="179" w:name="_Toc421012266"/>
      <w:bookmarkStart w:id="180" w:name="_Toc422408821"/>
      <w:bookmarkStart w:id="181" w:name="_Toc476927247"/>
      <w:r>
        <w:t>Subdivision 4 — Merger by resolution of land that is common property</w:t>
      </w:r>
      <w:bookmarkEnd w:id="175"/>
      <w:bookmarkEnd w:id="176"/>
      <w:bookmarkEnd w:id="177"/>
      <w:bookmarkEnd w:id="178"/>
      <w:bookmarkEnd w:id="179"/>
      <w:bookmarkEnd w:id="180"/>
      <w:bookmarkEnd w:id="181"/>
    </w:p>
    <w:p>
      <w:pPr>
        <w:pStyle w:val="Footnoteheading"/>
      </w:pPr>
      <w:r>
        <w:tab/>
        <w:t>[Heading inserted by No. 61 of 1996 s. 16.]</w:t>
      </w:r>
    </w:p>
    <w:p>
      <w:pPr>
        <w:pStyle w:val="Heading5"/>
        <w:rPr>
          <w:snapToGrid w:val="0"/>
        </w:rPr>
      </w:pPr>
      <w:bookmarkStart w:id="182" w:name="_Toc381880875"/>
      <w:bookmarkStart w:id="183" w:name="_Toc476927248"/>
      <w:r>
        <w:rPr>
          <w:rStyle w:val="CharSectno"/>
        </w:rPr>
        <w:t>21P</w:t>
      </w:r>
      <w:r>
        <w:rPr>
          <w:snapToGrid w:val="0"/>
        </w:rPr>
        <w:t>.</w:t>
      </w:r>
      <w:r>
        <w:rPr>
          <w:snapToGrid w:val="0"/>
        </w:rPr>
        <w:tab/>
        <w:t>Application of this Subdivision</w:t>
      </w:r>
      <w:bookmarkEnd w:id="182"/>
      <w:bookmarkEnd w:id="183"/>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21P inserted by No. 61 of 1996 s. 16.]</w:t>
      </w:r>
    </w:p>
    <w:p>
      <w:pPr>
        <w:pStyle w:val="Heading5"/>
        <w:rPr>
          <w:snapToGrid w:val="0"/>
        </w:rPr>
      </w:pPr>
      <w:bookmarkStart w:id="184" w:name="_Toc381880876"/>
      <w:bookmarkStart w:id="185" w:name="_Toc476927249"/>
      <w:r>
        <w:rPr>
          <w:rStyle w:val="CharSectno"/>
        </w:rPr>
        <w:t>21Q</w:t>
      </w:r>
      <w:r>
        <w:rPr>
          <w:snapToGrid w:val="0"/>
        </w:rPr>
        <w:t>.</w:t>
      </w:r>
      <w:r>
        <w:rPr>
          <w:snapToGrid w:val="0"/>
        </w:rPr>
        <w:tab/>
        <w:t>Resolution by strata company</w:t>
      </w:r>
      <w:bookmarkEnd w:id="184"/>
      <w:bookmarkEnd w:id="185"/>
    </w:p>
    <w:p>
      <w:pPr>
        <w:pStyle w:val="Subsection"/>
        <w:keepNext/>
        <w:rPr>
          <w:snapToGrid w:val="0"/>
        </w:rPr>
      </w:pPr>
      <w:r>
        <w:rPr>
          <w:snapToGrid w:val="0"/>
        </w:rPr>
        <w:tab/>
        <w:t>(1)</w:t>
      </w:r>
      <w:r>
        <w:rPr>
          <w:snapToGrid w:val="0"/>
        </w:rPr>
        <w:tab/>
        <w:t>A strata company for a strata scheme may, in the prescribed form, resolve that the strata plan be amended in one or more of the following ways —</w:t>
      </w:r>
    </w:p>
    <w:p>
      <w:pPr>
        <w:pStyle w:val="Indenta"/>
        <w:rPr>
          <w:snapToGrid w:val="0"/>
        </w:rPr>
      </w:pPr>
      <w:r>
        <w:rPr>
          <w:snapToGrid w:val="0"/>
        </w:rPr>
        <w:tab/>
        <w:t>(a)</w:t>
      </w:r>
      <w:r>
        <w:rPr>
          <w:snapToGrid w:val="0"/>
        </w:rPr>
        <w:tab/>
        <w:t>to reflect any extension or alteration of a building shown on the plan;</w:t>
      </w:r>
    </w:p>
    <w:p>
      <w:pPr>
        <w:pStyle w:val="Indenta"/>
        <w:rPr>
          <w:snapToGrid w:val="0"/>
        </w:rPr>
      </w:pPr>
      <w:r>
        <w:rPr>
          <w:snapToGrid w:val="0"/>
        </w:rPr>
        <w:tab/>
        <w:t>(b)</w:t>
      </w:r>
      <w:r>
        <w:rPr>
          <w:snapToGrid w:val="0"/>
        </w:rPr>
        <w:tab/>
        <w:t>to include a building not shown on the plan;</w:t>
      </w:r>
    </w:p>
    <w:p>
      <w:pPr>
        <w:pStyle w:val="Indenta"/>
        <w:rPr>
          <w:snapToGrid w:val="0"/>
        </w:rPr>
      </w:pPr>
      <w:r>
        <w:rPr>
          <w:snapToGrid w:val="0"/>
        </w:rPr>
        <w:tab/>
        <w:t>(c)</w:t>
      </w:r>
      <w:r>
        <w:rPr>
          <w:snapToGrid w:val="0"/>
        </w:rPr>
        <w:tab/>
        <w:t>to merge land that is common property into a lot.</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 or</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rPr>
          <w:snapToGrid w:val="0"/>
        </w:rPr>
      </w:pPr>
      <w:r>
        <w:rPr>
          <w:snapToGrid w:val="0"/>
        </w:rPr>
        <w:tab/>
        <w:t>(3)</w:t>
      </w:r>
      <w:r>
        <w:rPr>
          <w:snapToGrid w:val="0"/>
        </w:rPr>
        <w:tab/>
        <w:t>A resolution cannot be passed under subsection (1) that would, on registration under section 21X of a notice of resolution, increase the number of lots in the scheme.</w:t>
      </w:r>
    </w:p>
    <w:p>
      <w:pPr>
        <w:pStyle w:val="Subsection"/>
        <w:keepNext/>
        <w:spacing w:before="14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00"/>
        <w:ind w:left="890" w:hanging="890"/>
      </w:pPr>
      <w:r>
        <w:tab/>
        <w:t>[Section 21Q inserted by No. 61 of 1996 s. 16; amended by No. 55 of 2004 s. 1157.]</w:t>
      </w:r>
    </w:p>
    <w:p>
      <w:pPr>
        <w:pStyle w:val="Heading5"/>
        <w:rPr>
          <w:snapToGrid w:val="0"/>
        </w:rPr>
      </w:pPr>
      <w:bookmarkStart w:id="186" w:name="_Toc381880877"/>
      <w:bookmarkStart w:id="187" w:name="_Toc476927250"/>
      <w:r>
        <w:rPr>
          <w:rStyle w:val="CharSectno"/>
        </w:rPr>
        <w:t>21R</w:t>
      </w:r>
      <w:r>
        <w:rPr>
          <w:snapToGrid w:val="0"/>
        </w:rPr>
        <w:t>.</w:t>
      </w:r>
      <w:r>
        <w:rPr>
          <w:snapToGrid w:val="0"/>
        </w:rPr>
        <w:tab/>
        <w:t>Further provisions as to contents of resolution</w:t>
      </w:r>
      <w:bookmarkEnd w:id="186"/>
      <w:bookmarkEnd w:id="187"/>
    </w:p>
    <w:p>
      <w:pPr>
        <w:pStyle w:val="Subsection"/>
        <w:keepNext/>
        <w:keepLines/>
        <w:spacing w:before="14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w:t>
      </w:r>
    </w:p>
    <w:p>
      <w:pPr>
        <w:pStyle w:val="Indenta"/>
        <w:keepNext/>
        <w:keepLines/>
        <w:spacing w:before="60"/>
        <w:rPr>
          <w:snapToGrid w:val="0"/>
        </w:rPr>
      </w:pPr>
      <w:r>
        <w:rPr>
          <w:snapToGrid w:val="0"/>
        </w:rPr>
        <w:tab/>
        <w:t>(a)</w:t>
      </w:r>
      <w:r>
        <w:rPr>
          <w:snapToGrid w:val="0"/>
        </w:rPr>
        <w:tab/>
        <w:t xml:space="preserve">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snapToGrid w:val="0"/>
        </w:rPr>
        <w:t>Local Government (Miscellaneous Provisions) Act 1960</w:t>
      </w:r>
      <w:r>
        <w:rPr>
          <w:snapToGrid w:val="0"/>
        </w:rPr>
        <w:t>; and</w:t>
      </w:r>
    </w:p>
    <w:p>
      <w:pPr>
        <w:pStyle w:val="Indenta"/>
        <w:spacing w:before="60"/>
        <w:rPr>
          <w:snapToGrid w:val="0"/>
        </w:rPr>
      </w:pPr>
      <w:r>
        <w:rPr>
          <w:snapToGrid w:val="0"/>
        </w:rPr>
        <w:tab/>
        <w:t>(b)</w:t>
      </w:r>
      <w:r>
        <w:rPr>
          <w:snapToGrid w:val="0"/>
        </w:rPr>
        <w:tab/>
        <w:t>has been approved by the strata company or all of the proprietors of lots in the scheme.</w:t>
      </w:r>
    </w:p>
    <w:p>
      <w:pPr>
        <w:pStyle w:val="Subsection"/>
        <w:spacing w:before="140"/>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spacing w:before="100"/>
      </w:pPr>
      <w:r>
        <w:tab/>
        <w:t>[Section 21R inserted by No. 61 of 1996 s. 16; amended by No. 24 of 2011 s. 174(4).]</w:t>
      </w:r>
    </w:p>
    <w:p>
      <w:pPr>
        <w:pStyle w:val="Heading5"/>
        <w:rPr>
          <w:snapToGrid w:val="0"/>
        </w:rPr>
      </w:pPr>
      <w:bookmarkStart w:id="188" w:name="_Toc381880878"/>
      <w:bookmarkStart w:id="189" w:name="_Toc476927251"/>
      <w:r>
        <w:rPr>
          <w:rStyle w:val="CharSectno"/>
        </w:rPr>
        <w:t>21S</w:t>
      </w:r>
      <w:r>
        <w:rPr>
          <w:snapToGrid w:val="0"/>
        </w:rPr>
        <w:t>.</w:t>
      </w:r>
      <w:r>
        <w:rPr>
          <w:snapToGrid w:val="0"/>
        </w:rPr>
        <w:tab/>
        <w:t>Notice of resolution may be lodged for registration</w:t>
      </w:r>
      <w:bookmarkEnd w:id="188"/>
      <w:bookmarkEnd w:id="189"/>
    </w:p>
    <w:p>
      <w:pPr>
        <w:pStyle w:val="Subsection"/>
        <w:spacing w:before="140"/>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spacing w:before="140"/>
        <w:rPr>
          <w:snapToGrid w:val="0"/>
        </w:rPr>
      </w:pPr>
      <w:r>
        <w:rPr>
          <w:snapToGrid w:val="0"/>
        </w:rPr>
        <w:tab/>
        <w:t>(2)</w:t>
      </w:r>
      <w:r>
        <w:rPr>
          <w:snapToGrid w:val="0"/>
        </w:rPr>
        <w:tab/>
        <w:t>The notice may be lodged in any case by the strata company or alternatively —</w:t>
      </w:r>
    </w:p>
    <w:p>
      <w:pPr>
        <w:pStyle w:val="Indenta"/>
        <w:spacing w:before="60"/>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w:t>
      </w:r>
    </w:p>
    <w:p>
      <w:pPr>
        <w:pStyle w:val="Indenta"/>
        <w:spacing w:before="100"/>
        <w:rPr>
          <w:snapToGrid w:val="0"/>
        </w:rPr>
      </w:pPr>
      <w:r>
        <w:rPr>
          <w:snapToGrid w:val="0"/>
        </w:rPr>
        <w:tab/>
        <w:t>(a)</w:t>
      </w:r>
      <w:r>
        <w:rPr>
          <w:snapToGrid w:val="0"/>
        </w:rPr>
        <w:tab/>
        <w:t>if it is lodged by the strata company, is to be signed under its seal; or</w:t>
      </w:r>
    </w:p>
    <w:p>
      <w:pPr>
        <w:pStyle w:val="Indenta"/>
        <w:spacing w:before="100"/>
        <w:rPr>
          <w:snapToGrid w:val="0"/>
        </w:rPr>
      </w:pPr>
      <w:r>
        <w:rPr>
          <w:snapToGrid w:val="0"/>
        </w:rPr>
        <w:tab/>
        <w:t>(b)</w:t>
      </w:r>
      <w:r>
        <w:rPr>
          <w:snapToGrid w:val="0"/>
        </w:rPr>
        <w:tab/>
        <w:t>if subsection (2)(a) or (b) applies, is to be signed by the proprietors or the proprietor lodging it.</w:t>
      </w:r>
    </w:p>
    <w:p>
      <w:pPr>
        <w:pStyle w:val="Footnotesection"/>
      </w:pPr>
      <w:r>
        <w:tab/>
        <w:t>[Section 21S inserted by No. 61 of 1996 s. 16.]</w:t>
      </w:r>
    </w:p>
    <w:p>
      <w:pPr>
        <w:pStyle w:val="Heading5"/>
        <w:rPr>
          <w:snapToGrid w:val="0"/>
        </w:rPr>
      </w:pPr>
      <w:bookmarkStart w:id="190" w:name="_Toc381880879"/>
      <w:bookmarkStart w:id="191" w:name="_Toc476927252"/>
      <w:r>
        <w:rPr>
          <w:rStyle w:val="CharSectno"/>
        </w:rPr>
        <w:t>21T</w:t>
      </w:r>
      <w:r>
        <w:rPr>
          <w:snapToGrid w:val="0"/>
        </w:rPr>
        <w:t>.</w:t>
      </w:r>
      <w:r>
        <w:rPr>
          <w:snapToGrid w:val="0"/>
        </w:rPr>
        <w:tab/>
        <w:t>Documents to accompany notice</w:t>
      </w:r>
      <w:bookmarkEnd w:id="190"/>
      <w:bookmarkEnd w:id="191"/>
    </w:p>
    <w:p>
      <w:pPr>
        <w:pStyle w:val="Subsection"/>
        <w:keepNext/>
        <w:rPr>
          <w:snapToGrid w:val="0"/>
        </w:rPr>
      </w:pPr>
      <w:r>
        <w:rPr>
          <w:snapToGrid w:val="0"/>
        </w:rPr>
        <w:tab/>
        <w:t>(1)</w:t>
      </w:r>
      <w:r>
        <w:rPr>
          <w:snapToGrid w:val="0"/>
        </w:rPr>
        <w:tab/>
        <w:t>The notice of resolution is to be accompanied by —</w:t>
      </w:r>
    </w:p>
    <w:p>
      <w:pPr>
        <w:pStyle w:val="Indenta"/>
        <w:spacing w:before="100"/>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spacing w:before="100"/>
        <w:rPr>
          <w:snapToGrid w:val="0"/>
        </w:rPr>
      </w:pPr>
      <w:r>
        <w:rPr>
          <w:snapToGrid w:val="0"/>
        </w:rPr>
        <w:tab/>
        <w:t>(b)</w:t>
      </w:r>
      <w:r>
        <w:rPr>
          <w:snapToGrid w:val="0"/>
        </w:rPr>
        <w:tab/>
        <w:t>unless subsection (2) applies, a sketch plan (</w:t>
      </w:r>
      <w:r>
        <w:t xml:space="preserve">the </w:t>
      </w:r>
      <w:r>
        <w:rPr>
          <w:rStyle w:val="CharDefText"/>
        </w:rPr>
        <w:t>sketch plan</w:t>
      </w:r>
      <w:r>
        <w:rPr>
          <w:snapToGrid w:val="0"/>
        </w:rPr>
        <w:t>) showing in the prescribed manner how the strata plan is to be amended —</w:t>
      </w:r>
    </w:p>
    <w:p>
      <w:pPr>
        <w:pStyle w:val="Indenti"/>
        <w:spacing w:before="100"/>
        <w:rPr>
          <w:snapToGrid w:val="0"/>
        </w:rPr>
      </w:pPr>
      <w:r>
        <w:rPr>
          <w:snapToGrid w:val="0"/>
        </w:rPr>
        <w:tab/>
        <w:t>(i)</w:t>
      </w:r>
      <w:r>
        <w:rPr>
          <w:snapToGrid w:val="0"/>
        </w:rPr>
        <w:tab/>
        <w:t>to show any extension or alteration of a building; or</w:t>
      </w:r>
    </w:p>
    <w:p>
      <w:pPr>
        <w:pStyle w:val="Indenti"/>
        <w:spacing w:before="100"/>
        <w:rPr>
          <w:snapToGrid w:val="0"/>
        </w:rPr>
      </w:pPr>
      <w:r>
        <w:rPr>
          <w:snapToGrid w:val="0"/>
        </w:rPr>
        <w:tab/>
        <w:t>(ii)</w:t>
      </w:r>
      <w:r>
        <w:rPr>
          <w:snapToGrid w:val="0"/>
        </w:rPr>
        <w:tab/>
        <w:t>to include a building not shown on the strata plan; or</w:t>
      </w:r>
    </w:p>
    <w:p>
      <w:pPr>
        <w:pStyle w:val="Indenti"/>
        <w:spacing w:before="100"/>
        <w:rPr>
          <w:snapToGrid w:val="0"/>
          <w:spacing w:val="-4"/>
        </w:rPr>
      </w:pPr>
      <w:r>
        <w:rPr>
          <w:snapToGrid w:val="0"/>
          <w:spacing w:val="-4"/>
        </w:rPr>
        <w:tab/>
        <w:t>(iii)</w:t>
      </w:r>
      <w:r>
        <w:rPr>
          <w:snapToGrid w:val="0"/>
          <w:spacing w:val="-4"/>
        </w:rPr>
        <w:tab/>
        <w:t>to merge land that is common property into a lot; or</w:t>
      </w:r>
    </w:p>
    <w:p>
      <w:pPr>
        <w:pStyle w:val="Indenti"/>
        <w:spacing w:before="100"/>
        <w:rPr>
          <w:snapToGrid w:val="0"/>
        </w:rPr>
      </w:pPr>
      <w:r>
        <w:rPr>
          <w:snapToGrid w:val="0"/>
        </w:rPr>
        <w:tab/>
        <w:t>(iv)</w:t>
      </w:r>
      <w:r>
        <w:rPr>
          <w:snapToGrid w:val="0"/>
        </w:rPr>
        <w:tab/>
        <w:t>to define any area that is to be subject to an easement under section 21W;</w:t>
      </w:r>
    </w:p>
    <w:p>
      <w:pPr>
        <w:pStyle w:val="Indenta"/>
        <w:spacing w:before="100"/>
        <w:rPr>
          <w:snapToGrid w:val="0"/>
        </w:rPr>
      </w:pPr>
      <w:r>
        <w:rPr>
          <w:snapToGrid w:val="0"/>
        </w:rPr>
        <w:tab/>
        <w:t>(c)</w:t>
      </w:r>
      <w:r>
        <w:rPr>
          <w:snapToGrid w:val="0"/>
        </w:rPr>
        <w:tab/>
        <w:t>unless subsection (2) applies, a certificate given by a licensed surveyor in accordance with section 21U;</w:t>
      </w:r>
    </w:p>
    <w:p>
      <w:pPr>
        <w:pStyle w:val="Indenta"/>
        <w:spacing w:before="100"/>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ind w:left="890" w:hanging="890"/>
      </w:pPr>
      <w:r>
        <w:tab/>
        <w:t>[Section 21T inserted by No. 61 of 1996 s. 16; amended by No. 55 of 2004 s. 1111.]</w:t>
      </w:r>
    </w:p>
    <w:p>
      <w:pPr>
        <w:pStyle w:val="Heading5"/>
        <w:rPr>
          <w:snapToGrid w:val="0"/>
        </w:rPr>
      </w:pPr>
      <w:bookmarkStart w:id="192" w:name="_Toc381880880"/>
      <w:bookmarkStart w:id="193" w:name="_Toc476927253"/>
      <w:r>
        <w:rPr>
          <w:rStyle w:val="CharSectno"/>
        </w:rPr>
        <w:t>21U</w:t>
      </w:r>
      <w:r>
        <w:rPr>
          <w:snapToGrid w:val="0"/>
        </w:rPr>
        <w:t>.</w:t>
      </w:r>
      <w:r>
        <w:rPr>
          <w:snapToGrid w:val="0"/>
        </w:rPr>
        <w:tab/>
        <w:t>Certificate of licensed surveyor</w:t>
      </w:r>
      <w:bookmarkEnd w:id="192"/>
      <w:bookmarkEnd w:id="193"/>
    </w:p>
    <w:p>
      <w:pPr>
        <w:pStyle w:val="Subsection"/>
        <w:rPr>
          <w:snapToGrid w:val="0"/>
        </w:rPr>
      </w:pPr>
      <w:r>
        <w:rPr>
          <w:snapToGrid w:val="0"/>
        </w:rPr>
        <w:tab/>
        <w:t>(1)</w:t>
      </w:r>
      <w:r>
        <w:rPr>
          <w:snapToGrid w:val="0"/>
        </w:rPr>
        <w:tab/>
        <w:t>The certificate of a licensed surveyor referred to in section 21T(1)(c) is to comply with —</w:t>
      </w:r>
    </w:p>
    <w:p>
      <w:pPr>
        <w:pStyle w:val="Indenta"/>
        <w:rPr>
          <w:snapToGrid w:val="0"/>
        </w:rPr>
      </w:pPr>
      <w:r>
        <w:rPr>
          <w:snapToGrid w:val="0"/>
        </w:rPr>
        <w:tab/>
        <w:t>(a)</w:t>
      </w:r>
      <w:r>
        <w:rPr>
          <w:snapToGrid w:val="0"/>
        </w:rPr>
        <w:tab/>
        <w:t>this section; and</w:t>
      </w:r>
    </w:p>
    <w:p>
      <w:pPr>
        <w:pStyle w:val="Indenta"/>
        <w:rPr>
          <w:snapToGrid w:val="0"/>
        </w:rPr>
      </w:pPr>
      <w:r>
        <w:rPr>
          <w:snapToGrid w:val="0"/>
        </w:rPr>
        <w:tab/>
        <w:t>(b)</w:t>
      </w:r>
      <w:r>
        <w:rPr>
          <w:snapToGrid w:val="0"/>
        </w:rPr>
        <w:tab/>
        <w:t>any requirement made by the regulations for the purposes of this section.</w:t>
      </w:r>
    </w:p>
    <w:p>
      <w:pPr>
        <w:pStyle w:val="Subsection"/>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rPr>
          <w:snapToGrid w:val="0"/>
        </w:rPr>
      </w:pPr>
      <w:r>
        <w:rPr>
          <w:snapToGrid w:val="0"/>
        </w:rPr>
        <w:tab/>
        <w:t>(a)</w:t>
      </w:r>
      <w:r>
        <w:rPr>
          <w:snapToGrid w:val="0"/>
        </w:rPr>
        <w:tab/>
        <w:t xml:space="preserve">the extension or alteration, or the building 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iCs/>
          <w:snapToGrid w:val="0"/>
        </w:rPr>
        <w:t>Local Government (Miscellaneous Provisions) Act 1960</w:t>
      </w:r>
      <w:r>
        <w:rPr>
          <w:snapToGrid w:val="0"/>
        </w:rPr>
        <w:t xml:space="preserve">; </w:t>
      </w:r>
      <w:r>
        <w:t>and</w:t>
      </w:r>
    </w:p>
    <w:p>
      <w:pPr>
        <w:pStyle w:val="Indenta"/>
        <w:keepNext/>
        <w:keepLines/>
        <w:rPr>
          <w:snapToGrid w:val="0"/>
        </w:rPr>
      </w:pPr>
      <w:r>
        <w:rPr>
          <w:snapToGrid w:val="0"/>
        </w:rPr>
        <w:tab/>
        <w:t>(b)</w:t>
      </w:r>
      <w:r>
        <w:rPr>
          <w:snapToGrid w:val="0"/>
        </w:rPr>
        <w:tab/>
        <w:t>any extension or alteration, or any building not shown on the plan, has been approved by —</w:t>
      </w:r>
    </w:p>
    <w:p>
      <w:pPr>
        <w:pStyle w:val="Indenti"/>
        <w:keepNext/>
        <w:rPr>
          <w:snapToGrid w:val="0"/>
        </w:rPr>
      </w:pPr>
      <w:r>
        <w:rPr>
          <w:snapToGrid w:val="0"/>
        </w:rPr>
        <w:tab/>
        <w:t>(i)</w:t>
      </w:r>
      <w:r>
        <w:rPr>
          <w:snapToGrid w:val="0"/>
        </w:rPr>
        <w:tab/>
        <w:t>the strata company; or</w:t>
      </w:r>
    </w:p>
    <w:p>
      <w:pPr>
        <w:pStyle w:val="Indenti"/>
        <w:rPr>
          <w:snapToGrid w:val="0"/>
        </w:rPr>
      </w:pPr>
      <w:r>
        <w:rPr>
          <w:snapToGrid w:val="0"/>
        </w:rPr>
        <w:tab/>
        <w:t>(ii)</w:t>
      </w:r>
      <w:r>
        <w:rPr>
          <w:snapToGrid w:val="0"/>
        </w:rPr>
        <w:tab/>
        <w:t xml:space="preserve">all of the proprietors of lots in the scheme; </w:t>
      </w:r>
    </w:p>
    <w:p>
      <w:pPr>
        <w:pStyle w:val="Indenta"/>
        <w:rPr>
          <w:snapToGrid w:val="0"/>
        </w:rPr>
      </w:pPr>
      <w:r>
        <w:rPr>
          <w:snapToGrid w:val="0"/>
        </w:rPr>
        <w:tab/>
      </w:r>
      <w:r>
        <w:rPr>
          <w:snapToGrid w:val="0"/>
        </w:rPr>
        <w:tab/>
      </w:r>
      <w:r>
        <w:t>and</w:t>
      </w:r>
    </w:p>
    <w:p>
      <w:pPr>
        <w:pStyle w:val="Indenta"/>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 xml:space="preserve">A certification under subsection (3) is to relate to matters prescribed for the purposes of subsection (4)(a) and not to other matters arising under the relevant local </w:t>
      </w:r>
      <w:r>
        <w:t>planning scheme or improvement scheme.</w:t>
      </w:r>
    </w:p>
    <w:p>
      <w:pPr>
        <w:pStyle w:val="Subsection"/>
        <w:keepNext/>
        <w:rPr>
          <w:snapToGrid w:val="0"/>
        </w:rPr>
      </w:pPr>
      <w:r>
        <w:rPr>
          <w:snapToGrid w:val="0"/>
        </w:rPr>
        <w:tab/>
        <w:t>(6)</w:t>
      </w:r>
      <w:r>
        <w:rPr>
          <w:snapToGrid w:val="0"/>
        </w:rPr>
        <w:tab/>
        <w:t>The surveyor is to certify in every case that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[Section 21U inserted by No. 61 of 1996 s. 16; amended by No. 38 of 2005 s. 15; No. 28 of 2010 s. 37(2) and (3); No. 24 of 2011 s. 174(5).]</w:t>
      </w:r>
    </w:p>
    <w:p>
      <w:pPr>
        <w:pStyle w:val="Heading5"/>
        <w:rPr>
          <w:snapToGrid w:val="0"/>
        </w:rPr>
      </w:pPr>
      <w:bookmarkStart w:id="194" w:name="_Toc381880881"/>
      <w:bookmarkStart w:id="195" w:name="_Toc476927254"/>
      <w:r>
        <w:rPr>
          <w:rStyle w:val="CharSectno"/>
        </w:rPr>
        <w:t>21V</w:t>
      </w:r>
      <w:r>
        <w:rPr>
          <w:snapToGrid w:val="0"/>
        </w:rPr>
        <w:t>.</w:t>
      </w:r>
      <w:r>
        <w:rPr>
          <w:snapToGrid w:val="0"/>
        </w:rPr>
        <w:tab/>
        <w:t>Transfers etc. to give effect to notice of resolution</w:t>
      </w:r>
      <w:bookmarkEnd w:id="194"/>
      <w:bookmarkEnd w:id="195"/>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a notice of resolution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spacing w:before="60"/>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21V inserted by No. 61 of 1996 s. 16; amended by No. 12 of 2008 Sch. 1 cl. 36(1).]</w:t>
      </w:r>
    </w:p>
    <w:p>
      <w:pPr>
        <w:pStyle w:val="Heading5"/>
        <w:rPr>
          <w:snapToGrid w:val="0"/>
        </w:rPr>
      </w:pPr>
      <w:bookmarkStart w:id="196" w:name="_Toc381880882"/>
      <w:bookmarkStart w:id="197" w:name="_Toc476927255"/>
      <w:r>
        <w:rPr>
          <w:rStyle w:val="CharSectno"/>
        </w:rPr>
        <w:t>21W</w:t>
      </w:r>
      <w:r>
        <w:rPr>
          <w:snapToGrid w:val="0"/>
        </w:rPr>
        <w:t>.</w:t>
      </w:r>
      <w:r>
        <w:rPr>
          <w:snapToGrid w:val="0"/>
        </w:rPr>
        <w:tab/>
        <w:t>Creation of easements for parking etc.</w:t>
      </w:r>
      <w:bookmarkEnd w:id="196"/>
      <w:bookmarkEnd w:id="197"/>
    </w:p>
    <w:p>
      <w:pPr>
        <w:pStyle w:val="Subsection"/>
        <w:keepNext/>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strata plan.</w:t>
      </w:r>
    </w:p>
    <w:p>
      <w:pPr>
        <w:pStyle w:val="Subsection"/>
        <w:keepNext/>
        <w:rPr>
          <w:snapToGrid w:val="0"/>
        </w:rPr>
      </w:pPr>
      <w:r>
        <w:rPr>
          <w:snapToGrid w:val="0"/>
        </w:rPr>
        <w:tab/>
        <w:t>(2)</w:t>
      </w:r>
      <w:r>
        <w:rPr>
          <w:snapToGrid w:val="0"/>
        </w:rPr>
        <w:tab/>
        <w:t>Section 5F also applies to the discharge or variation of an easement that is created under subsection (1).</w:t>
      </w:r>
    </w:p>
    <w:p>
      <w:pPr>
        <w:pStyle w:val="Subsection"/>
        <w:keepNext/>
        <w:rPr>
          <w:snapToGrid w:val="0"/>
        </w:rPr>
      </w:pPr>
      <w:r>
        <w:rPr>
          <w:snapToGrid w:val="0"/>
        </w:rPr>
        <w:tab/>
        <w:t>(3)</w:t>
      </w:r>
      <w:r>
        <w:rPr>
          <w:snapToGrid w:val="0"/>
        </w:rPr>
        <w:tab/>
        <w:t>If the sketch plan makes provision as mentioned in subsection (1), sections 5D and 5F apply for the purposes of this Subdivision with the following modifications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[Section 21W inserted by No. 61 of 1996 s. 16.]</w:t>
      </w:r>
    </w:p>
    <w:p>
      <w:pPr>
        <w:pStyle w:val="Heading5"/>
        <w:rPr>
          <w:snapToGrid w:val="0"/>
        </w:rPr>
      </w:pPr>
      <w:bookmarkStart w:id="198" w:name="_Toc381880883"/>
      <w:bookmarkStart w:id="199" w:name="_Toc476927256"/>
      <w:r>
        <w:rPr>
          <w:rStyle w:val="CharSectno"/>
        </w:rPr>
        <w:t>21X</w:t>
      </w:r>
      <w:r>
        <w:rPr>
          <w:snapToGrid w:val="0"/>
        </w:rPr>
        <w:t>.</w:t>
      </w:r>
      <w:r>
        <w:rPr>
          <w:snapToGrid w:val="0"/>
        </w:rPr>
        <w:tab/>
        <w:t>Registration of notice of resolution</w:t>
      </w:r>
      <w:bookmarkEnd w:id="198"/>
      <w:bookmarkEnd w:id="199"/>
    </w:p>
    <w:p>
      <w:pPr>
        <w:pStyle w:val="Subsection"/>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[Section 21X inserted by No. 61 of 1996 s. 16.]</w:t>
      </w:r>
    </w:p>
    <w:p>
      <w:pPr>
        <w:pStyle w:val="Heading5"/>
        <w:rPr>
          <w:snapToGrid w:val="0"/>
        </w:rPr>
      </w:pPr>
      <w:bookmarkStart w:id="200" w:name="_Toc381880884"/>
      <w:bookmarkStart w:id="201" w:name="_Toc476927257"/>
      <w:r>
        <w:rPr>
          <w:rStyle w:val="CharSectno"/>
        </w:rPr>
        <w:t>21Y</w:t>
      </w:r>
      <w:r>
        <w:rPr>
          <w:snapToGrid w:val="0"/>
        </w:rPr>
        <w:t>.</w:t>
      </w:r>
      <w:r>
        <w:rPr>
          <w:snapToGrid w:val="0"/>
        </w:rPr>
        <w:tab/>
        <w:t>Effect of registration</w:t>
      </w:r>
      <w:bookmarkEnd w:id="200"/>
      <w:bookmarkEnd w:id="201"/>
    </w:p>
    <w:p>
      <w:pPr>
        <w:pStyle w:val="Subsection"/>
        <w:keepNext/>
        <w:rPr>
          <w:snapToGrid w:val="0"/>
        </w:rPr>
      </w:pPr>
      <w:r>
        <w:rPr>
          <w:snapToGrid w:val="0"/>
        </w:rPr>
        <w:tab/>
        <w:t>(1)</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Indenta"/>
        <w:keepNext/>
        <w:rPr>
          <w:snapToGrid w:val="0"/>
        </w:rPr>
      </w:pPr>
      <w:r>
        <w:rPr>
          <w:snapToGrid w:val="0"/>
        </w:rPr>
        <w:tab/>
        <w:t>(b)</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[Section 21Y inserted by No. 61 of 1996 s. 16.]</w:t>
      </w:r>
    </w:p>
    <w:p>
      <w:pPr>
        <w:pStyle w:val="Heading5"/>
        <w:rPr>
          <w:snapToGrid w:val="0"/>
        </w:rPr>
      </w:pPr>
      <w:bookmarkStart w:id="202" w:name="_Toc381880885"/>
      <w:bookmarkStart w:id="203" w:name="_Toc476927258"/>
      <w:r>
        <w:rPr>
          <w:rStyle w:val="CharSectno"/>
        </w:rPr>
        <w:t>21Z</w:t>
      </w:r>
      <w:r>
        <w:rPr>
          <w:snapToGrid w:val="0"/>
        </w:rPr>
        <w:t>.</w:t>
      </w:r>
      <w:r>
        <w:rPr>
          <w:snapToGrid w:val="0"/>
        </w:rPr>
        <w:tab/>
        <w:t>Registrar of Titles to make necessary amendments</w:t>
      </w:r>
      <w:bookmarkEnd w:id="202"/>
      <w:bookmarkEnd w:id="203"/>
    </w:p>
    <w:p>
      <w:pPr>
        <w:pStyle w:val="Subsection"/>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[Section 21Z inserted by No. 61 of 1996 s. 16; amended by No. 60 of 2006 s. 160(4).]</w:t>
      </w:r>
    </w:p>
    <w:p>
      <w:pPr>
        <w:pStyle w:val="Heading3"/>
        <w:spacing w:before="220"/>
      </w:pPr>
      <w:bookmarkStart w:id="204" w:name="_Toc381880886"/>
      <w:bookmarkStart w:id="205" w:name="_Toc418081616"/>
      <w:bookmarkStart w:id="206" w:name="_Toc418081949"/>
      <w:bookmarkStart w:id="207" w:name="_Toc418087738"/>
      <w:bookmarkStart w:id="208" w:name="_Toc421012278"/>
      <w:bookmarkStart w:id="209" w:name="_Toc422408833"/>
      <w:bookmarkStart w:id="210" w:name="_Toc476927259"/>
      <w:r>
        <w:rPr>
          <w:rStyle w:val="CharDivNo"/>
        </w:rPr>
        <w:t>Division 3</w:t>
      </w:r>
      <w:r>
        <w:rPr>
          <w:snapToGrid w:val="0"/>
        </w:rPr>
        <w:t> — </w:t>
      </w:r>
      <w:r>
        <w:rPr>
          <w:rStyle w:val="CharDivText"/>
        </w:rPr>
        <w:t>Certificates and approvals</w:t>
      </w:r>
      <w:bookmarkEnd w:id="204"/>
      <w:bookmarkEnd w:id="205"/>
      <w:bookmarkEnd w:id="206"/>
      <w:bookmarkEnd w:id="207"/>
      <w:bookmarkEnd w:id="208"/>
      <w:bookmarkEnd w:id="209"/>
      <w:bookmarkEnd w:id="210"/>
    </w:p>
    <w:p>
      <w:pPr>
        <w:pStyle w:val="Heading5"/>
        <w:keepLines w:val="0"/>
        <w:rPr>
          <w:snapToGrid w:val="0"/>
        </w:rPr>
      </w:pPr>
      <w:bookmarkStart w:id="211" w:name="_Toc381880887"/>
      <w:bookmarkStart w:id="212" w:name="_Toc476927260"/>
      <w:r>
        <w:rPr>
          <w:rStyle w:val="CharSectno"/>
        </w:rPr>
        <w:t>22</w:t>
      </w:r>
      <w:r>
        <w:rPr>
          <w:snapToGrid w:val="0"/>
        </w:rPr>
        <w:t>.</w:t>
      </w:r>
      <w:r>
        <w:rPr>
          <w:snapToGrid w:val="0"/>
        </w:rPr>
        <w:tab/>
        <w:t>Certificate of licensed surveyor</w:t>
      </w:r>
      <w:bookmarkEnd w:id="211"/>
      <w:bookmarkEnd w:id="212"/>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w:t>
      </w:r>
    </w:p>
    <w:p>
      <w:pPr>
        <w:pStyle w:val="Indenti"/>
        <w:rPr>
          <w:snapToGrid w:val="0"/>
        </w:rPr>
      </w:pPr>
      <w:r>
        <w:rPr>
          <w:snapToGrid w:val="0"/>
        </w:rPr>
        <w:tab/>
        <w:t>(i)</w:t>
      </w:r>
      <w:r>
        <w:rPr>
          <w:snapToGrid w:val="0"/>
        </w:rPr>
        <w:tab/>
        <w:t>all lots shown on the plan are within the external surface boundaries of the parcel; and</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[Section 22 amended by No. 58 of 1995 s. 23.]</w:t>
      </w:r>
    </w:p>
    <w:p>
      <w:pPr>
        <w:pStyle w:val="Ednotesection"/>
      </w:pPr>
      <w:r>
        <w:t>[</w:t>
      </w:r>
      <w:r>
        <w:rPr>
          <w:b/>
        </w:rPr>
        <w:t>23.</w:t>
      </w:r>
      <w:r>
        <w:tab/>
        <w:t>Deleted by No. 24 of 2011 s. 174(6).]</w:t>
      </w:r>
    </w:p>
    <w:p>
      <w:pPr>
        <w:pStyle w:val="Heading5"/>
        <w:rPr>
          <w:snapToGrid w:val="0"/>
        </w:rPr>
      </w:pPr>
      <w:bookmarkStart w:id="213" w:name="_Toc381880888"/>
      <w:bookmarkStart w:id="214" w:name="_Toc476927261"/>
      <w:r>
        <w:rPr>
          <w:rStyle w:val="CharSectno"/>
        </w:rPr>
        <w:t>24</w:t>
      </w:r>
      <w:r>
        <w:rPr>
          <w:snapToGrid w:val="0"/>
        </w:rPr>
        <w:t>.</w:t>
      </w:r>
      <w:r>
        <w:rPr>
          <w:snapToGrid w:val="0"/>
        </w:rPr>
        <w:tab/>
        <w:t>Preliminary determinations by local government</w:t>
      </w:r>
      <w:bookmarkEnd w:id="213"/>
      <w:bookmarkEnd w:id="214"/>
    </w:p>
    <w:p>
      <w:pPr>
        <w:pStyle w:val="Ednotesubsection"/>
        <w:keepNext/>
      </w:pPr>
      <w:r>
        <w:tab/>
        <w:t>[(1)</w:t>
      </w:r>
      <w:r>
        <w:tab/>
        <w:t>deleted]</w:t>
      </w:r>
    </w:p>
    <w:p>
      <w:pPr>
        <w:pStyle w:val="Subsection"/>
      </w:pPr>
      <w:r>
        <w:rPr>
          <w:snapToGrid w:val="0"/>
        </w:rPr>
        <w:tab/>
        <w:t>(2)</w:t>
      </w:r>
      <w:r>
        <w:rPr>
          <w:snapToGrid w:val="0"/>
        </w:rPr>
        <w:tab/>
        <w:t xml:space="preserve">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w:t>
      </w:r>
      <w:r>
        <w:t xml:space="preserve">satisfied, in relation to the proposed development, that — </w:t>
      </w:r>
    </w:p>
    <w:p>
      <w:pPr>
        <w:pStyle w:val="Indenta"/>
        <w:spacing w:before="60"/>
        <w:rPr>
          <w:snapToGrid w:val="0"/>
        </w:rPr>
      </w:pPr>
      <w:r>
        <w:tab/>
        <w:t>(a)</w:t>
      </w:r>
      <w:r>
        <w:tab/>
      </w:r>
      <w:r>
        <w:rPr>
          <w:snapToGrid w:val="0"/>
        </w:rPr>
        <w:t>separate occupation of the proposed lots will not contravene the provisions of any</w:t>
      </w:r>
      <w:r>
        <w:t xml:space="preserve"> local planning scheme in force under the </w:t>
      </w:r>
      <w:r>
        <w:rPr>
          <w:i/>
        </w:rPr>
        <w:t>Planning and Development Act 2005</w:t>
      </w:r>
      <w:r>
        <w:rPr>
          <w:snapToGrid w:val="0"/>
        </w:rPr>
        <w:t>; and</w:t>
      </w:r>
    </w:p>
    <w:p>
      <w:pPr>
        <w:pStyle w:val="Indenta"/>
        <w:spacing w:before="60"/>
        <w:rPr>
          <w:snapToGrid w:val="0"/>
        </w:rPr>
      </w:pPr>
      <w:r>
        <w:tab/>
        <w:t>(b)</w:t>
      </w:r>
      <w:r>
        <w:tab/>
      </w:r>
      <w:r>
        <w:rPr>
          <w:snapToGrid w:val="0"/>
        </w:rPr>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spacing w:before="60"/>
        <w:rPr>
          <w:snapToGrid w:val="0"/>
        </w:rPr>
      </w:pPr>
      <w:r>
        <w:tab/>
        <w:t>(c)</w:t>
      </w:r>
      <w:r>
        <w:tab/>
      </w:r>
      <w:r>
        <w:rPr>
          <w:snapToGrid w:val="0"/>
        </w:rPr>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Footnotesection"/>
      </w:pPr>
      <w:r>
        <w:tab/>
        <w:t>[Section 24 amended by No. 58 of 1995 s. 25; No. 14 of 1996 s. 4; No. 57 of 1997 s. 115(1); No. 55 of 2004 s. 1113; No. 38 of 2005 s. 15; No. 24 of 2011 s. 174(7)</w:t>
      </w:r>
      <w:r>
        <w:noBreakHyphen/>
        <w:t>(9).]</w:t>
      </w:r>
    </w:p>
    <w:p>
      <w:pPr>
        <w:pStyle w:val="Heading5"/>
        <w:rPr>
          <w:snapToGrid w:val="0"/>
        </w:rPr>
      </w:pPr>
      <w:bookmarkStart w:id="215" w:name="_Toc381880889"/>
      <w:bookmarkStart w:id="216" w:name="_Toc476927262"/>
      <w:r>
        <w:rPr>
          <w:rStyle w:val="CharSectno"/>
        </w:rPr>
        <w:t>25</w:t>
      </w:r>
      <w:r>
        <w:rPr>
          <w:snapToGrid w:val="0"/>
        </w:rPr>
        <w:t>.</w:t>
      </w:r>
      <w:r>
        <w:rPr>
          <w:snapToGrid w:val="0"/>
        </w:rPr>
        <w:tab/>
        <w:t>Certificate of Commission</w:t>
      </w:r>
      <w:bookmarkEnd w:id="215"/>
      <w:bookmarkEnd w:id="216"/>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w:t>
      </w:r>
    </w:p>
    <w:p>
      <w:pPr>
        <w:pStyle w:val="Indenta"/>
        <w:rPr>
          <w:snapToGrid w:val="0"/>
        </w:rPr>
      </w:pPr>
      <w:r>
        <w:rPr>
          <w:snapToGrid w:val="0"/>
        </w:rPr>
        <w:tab/>
        <w:t>(a)</w:t>
      </w:r>
      <w:r>
        <w:rPr>
          <w:snapToGrid w:val="0"/>
        </w:rPr>
        <w:tab/>
        <w:t>a subdivision effected by the registration of a strata plan; or</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 or</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deleted]</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 xml:space="preserve"> applies.</w:t>
      </w:r>
    </w:p>
    <w:p>
      <w:pPr>
        <w:pStyle w:val="Footnotesection"/>
      </w:pPr>
      <w:r>
        <w:tab/>
        <w:t>[Section 25 amended by No. 97 of 1990 s. 30; No. 84 of 1994 s. 46; No. 58 of 1995 s. 261; No. 55 of 2004 s. 1114; No. 38 of 2005 s. 15.]</w:t>
      </w:r>
    </w:p>
    <w:p>
      <w:pPr>
        <w:pStyle w:val="Heading5"/>
        <w:spacing w:before="600"/>
        <w:rPr>
          <w:snapToGrid w:val="0"/>
        </w:rPr>
      </w:pPr>
      <w:bookmarkStart w:id="217" w:name="_Toc381880890"/>
      <w:bookmarkStart w:id="218" w:name="_Toc476927263"/>
      <w:r>
        <w:rPr>
          <w:rStyle w:val="CharSectno"/>
        </w:rPr>
        <w:t>25A</w:t>
      </w:r>
      <w:r>
        <w:rPr>
          <w:snapToGrid w:val="0"/>
        </w:rPr>
        <w:t>.</w:t>
      </w:r>
      <w:r>
        <w:rPr>
          <w:snapToGrid w:val="0"/>
        </w:rPr>
        <w:tab/>
        <w:t>Commission to refer plan to other bodies in certain cases</w:t>
      </w:r>
      <w:bookmarkEnd w:id="217"/>
      <w:bookmarkEnd w:id="218"/>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[Section 25A inserted by No. 58 of 1995 s. 27; amended by No. 55 of 2004 s. 1115; No. 38 of 2005 s. 15.]</w:t>
      </w:r>
    </w:p>
    <w:p>
      <w:pPr>
        <w:pStyle w:val="Heading5"/>
        <w:rPr>
          <w:snapToGrid w:val="0"/>
        </w:rPr>
      </w:pPr>
      <w:bookmarkStart w:id="219" w:name="_Toc381880891"/>
      <w:bookmarkStart w:id="220" w:name="_Toc476927264"/>
      <w:r>
        <w:rPr>
          <w:rStyle w:val="CharSectno"/>
        </w:rPr>
        <w:t>25B</w:t>
      </w:r>
      <w:r>
        <w:rPr>
          <w:snapToGrid w:val="0"/>
        </w:rPr>
        <w:t>.</w:t>
      </w:r>
      <w:r>
        <w:rPr>
          <w:snapToGrid w:val="0"/>
        </w:rPr>
        <w:tab/>
        <w:t>Subdivision in survey</w:t>
      </w:r>
      <w:r>
        <w:rPr>
          <w:snapToGrid w:val="0"/>
        </w:rPr>
        <w:noBreakHyphen/>
        <w:t>strata scheme requires approval by Commission</w:t>
      </w:r>
      <w:bookmarkEnd w:id="219"/>
      <w:bookmarkEnd w:id="220"/>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deleted]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ind w:left="890" w:hanging="890"/>
      </w:pPr>
      <w:r>
        <w:tab/>
        <w:t>[Section 25B inserted by No. 58 of 1995 s. 27; amended by No. 61 of 1996 s. 17; No. 24 of 2002 s. 28(2); No. 55 of 2004 s. 1116; No. 38 of 2005 s. 15.]</w:t>
      </w:r>
    </w:p>
    <w:p>
      <w:pPr>
        <w:pStyle w:val="Heading5"/>
        <w:rPr>
          <w:snapToGrid w:val="0"/>
        </w:rPr>
      </w:pPr>
      <w:bookmarkStart w:id="221" w:name="_Toc381880892"/>
      <w:bookmarkStart w:id="222" w:name="_Toc476927265"/>
      <w:r>
        <w:rPr>
          <w:rStyle w:val="CharSectno"/>
        </w:rPr>
        <w:t>26</w:t>
      </w:r>
      <w:r>
        <w:rPr>
          <w:snapToGrid w:val="0"/>
        </w:rPr>
        <w:t>.</w:t>
      </w:r>
      <w:r>
        <w:rPr>
          <w:snapToGrid w:val="0"/>
        </w:rPr>
        <w:tab/>
        <w:t>Review of local government decision</w:t>
      </w:r>
      <w:bookmarkEnd w:id="221"/>
      <w:bookmarkEnd w:id="222"/>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a local government for a certificate, determination or approval, as the case may be —</w:t>
      </w:r>
    </w:p>
    <w:p>
      <w:pPr>
        <w:pStyle w:val="Ednotepara"/>
        <w:spacing w:before="80"/>
      </w:pPr>
      <w:r>
        <w:tab/>
        <w:t>[(a)</w:t>
      </w:r>
      <w:r>
        <w:noBreakHyphen/>
        <w:t>(i)</w:t>
      </w:r>
      <w:r>
        <w:tab/>
        <w:t>deleted]</w:t>
      </w:r>
    </w:p>
    <w:p>
      <w:pPr>
        <w:pStyle w:val="Indenta"/>
        <w:rPr>
          <w:snapToGrid w:val="0"/>
        </w:rPr>
      </w:pPr>
      <w:r>
        <w:rPr>
          <w:snapToGrid w:val="0"/>
        </w:rPr>
        <w:tab/>
        <w:t>(j)</w:t>
      </w:r>
      <w:r>
        <w:rPr>
          <w:snapToGrid w:val="0"/>
        </w:rPr>
        <w:tab/>
        <w:t xml:space="preserve">under section 24(2) that </w:t>
      </w:r>
      <w:r>
        <w:t>the local government is satisfied as to the matters referred to in section 24(2)(a), (b) and (c) in relation to a proposed development; and</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 and</w:t>
      </w:r>
    </w:p>
    <w:p>
      <w:pPr>
        <w:pStyle w:val="Ednotepara"/>
        <w:spacing w:before="80"/>
      </w:pPr>
      <w:r>
        <w:tab/>
        <w:t>[(l)</w:t>
      </w:r>
      <w:r>
        <w:tab/>
        <w:t>deleted]</w:t>
      </w:r>
    </w:p>
    <w:p>
      <w:pPr>
        <w:pStyle w:val="Indenta"/>
        <w:rPr>
          <w:snapToGrid w:val="0"/>
        </w:rPr>
      </w:pPr>
      <w:r>
        <w:rPr>
          <w:snapToGrid w:val="0"/>
        </w:rPr>
        <w:tab/>
        <w:t>(m)</w:t>
      </w:r>
      <w:r>
        <w:rPr>
          <w:snapToGrid w:val="0"/>
        </w:rPr>
        <w:tab/>
        <w:t>as required in the case of an application for registration of a plan of consolidation for a strata scheme, under section 9(3)(b); and</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w:t>
      </w:r>
    </w:p>
    <w:p>
      <w:pPr>
        <w:pStyle w:val="Indenta"/>
        <w:rPr>
          <w:snapToGrid w:val="0"/>
        </w:rPr>
      </w:pPr>
      <w:r>
        <w:rPr>
          <w:snapToGrid w:val="0"/>
        </w:rPr>
        <w:tab/>
        <w:t>(a)</w:t>
      </w:r>
      <w:r>
        <w:rPr>
          <w:snapToGrid w:val="0"/>
        </w:rPr>
        <w:tab/>
        <w:t>specify the grounds of refusal; and</w:t>
      </w:r>
    </w:p>
    <w:p>
      <w:pPr>
        <w:pStyle w:val="Indenta"/>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w:t>
      </w:r>
    </w:p>
    <w:p>
      <w:pPr>
        <w:pStyle w:val="Indenta"/>
        <w:rPr>
          <w:snapToGrid w:val="0"/>
        </w:rPr>
      </w:pPr>
      <w:r>
        <w:rPr>
          <w:snapToGrid w:val="0"/>
        </w:rPr>
        <w:tab/>
        <w:t>(a)</w:t>
      </w:r>
      <w:r>
        <w:rPr>
          <w:snapToGrid w:val="0"/>
        </w:rPr>
        <w:tab/>
        <w:t>a refusal by a local government to approve an application; or</w:t>
      </w:r>
    </w:p>
    <w:p>
      <w:pPr>
        <w:pStyle w:val="Indenta"/>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w:t>
      </w:r>
    </w:p>
    <w:p>
      <w:pPr>
        <w:pStyle w:val="Indenta"/>
        <w:rPr>
          <w:snapToGrid w:val="0"/>
        </w:rPr>
      </w:pPr>
      <w:r>
        <w:rPr>
          <w:snapToGrid w:val="0"/>
        </w:rPr>
        <w:tab/>
        <w:t>(a)</w:t>
      </w:r>
      <w:r>
        <w:rPr>
          <w:snapToGrid w:val="0"/>
        </w:rPr>
        <w:tab/>
        <w:t>a refusal by a local government to approve of an application of the kind referred to in subsection </w:t>
      </w:r>
      <w:r>
        <w:t>(1)(j), (k),</w:t>
      </w:r>
      <w:r>
        <w:rPr>
          <w:snapToGrid w:val="0"/>
        </w:rPr>
        <w:t xml:space="preserve">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(9); No. 55 of 2004 s. 1117; No. 38 of 2005 s. 15; No. 24 of 2011 s. 174(10) and (11).]</w:t>
      </w:r>
    </w:p>
    <w:p>
      <w:pPr>
        <w:pStyle w:val="Heading5"/>
        <w:rPr>
          <w:snapToGrid w:val="0"/>
        </w:rPr>
      </w:pPr>
      <w:bookmarkStart w:id="223" w:name="_Toc381880893"/>
      <w:bookmarkStart w:id="224" w:name="_Toc476927266"/>
      <w:r>
        <w:rPr>
          <w:rStyle w:val="CharSectno"/>
        </w:rPr>
        <w:t>27</w:t>
      </w:r>
      <w:r>
        <w:rPr>
          <w:snapToGrid w:val="0"/>
        </w:rPr>
        <w:t>.</w:t>
      </w:r>
      <w:r>
        <w:rPr>
          <w:snapToGrid w:val="0"/>
        </w:rPr>
        <w:tab/>
        <w:t>Review of Commission decision</w:t>
      </w:r>
      <w:bookmarkEnd w:id="223"/>
      <w:bookmarkEnd w:id="224"/>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the Commission for approval or a certificate of approval, as the case may be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deleted]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(15); No. 74 of 2003 s. 112(4); No. 55 of 2004 s. 1118; No. 38 of 2005 s. 15.]</w:t>
      </w:r>
    </w:p>
    <w:p>
      <w:pPr>
        <w:pStyle w:val="Heading2"/>
      </w:pPr>
      <w:bookmarkStart w:id="225" w:name="_Toc381880894"/>
      <w:bookmarkStart w:id="226" w:name="_Toc418081624"/>
      <w:bookmarkStart w:id="227" w:name="_Toc418081957"/>
      <w:bookmarkStart w:id="228" w:name="_Toc418087746"/>
      <w:bookmarkStart w:id="229" w:name="_Toc421012286"/>
      <w:bookmarkStart w:id="230" w:name="_Toc422408841"/>
      <w:bookmarkStart w:id="231" w:name="_Toc476927267"/>
      <w:r>
        <w:rPr>
          <w:rStyle w:val="CharPartNo"/>
        </w:rPr>
        <w:t>Part III</w:t>
      </w:r>
      <w:r>
        <w:t> — </w:t>
      </w:r>
      <w:r>
        <w:rPr>
          <w:rStyle w:val="CharPartText"/>
        </w:rPr>
        <w:t>Variation, termination and conversion of schemes</w:t>
      </w:r>
      <w:bookmarkEnd w:id="225"/>
      <w:bookmarkEnd w:id="226"/>
      <w:bookmarkEnd w:id="227"/>
      <w:bookmarkEnd w:id="228"/>
      <w:bookmarkEnd w:id="229"/>
      <w:bookmarkEnd w:id="230"/>
      <w:bookmarkEnd w:id="231"/>
    </w:p>
    <w:p>
      <w:pPr>
        <w:pStyle w:val="Footnoteheading"/>
      </w:pPr>
      <w:r>
        <w:tab/>
        <w:t>[Heading amended by No. 61 of 1996 s. 18.]</w:t>
      </w:r>
    </w:p>
    <w:p>
      <w:pPr>
        <w:pStyle w:val="Heading3"/>
        <w:spacing w:before="180"/>
      </w:pPr>
      <w:bookmarkStart w:id="232" w:name="_Toc381880895"/>
      <w:bookmarkStart w:id="233" w:name="_Toc418081625"/>
      <w:bookmarkStart w:id="234" w:name="_Toc418081958"/>
      <w:bookmarkStart w:id="235" w:name="_Toc418087747"/>
      <w:bookmarkStart w:id="236" w:name="_Toc421012287"/>
      <w:bookmarkStart w:id="237" w:name="_Toc422408842"/>
      <w:bookmarkStart w:id="238" w:name="_Toc476927268"/>
      <w:r>
        <w:rPr>
          <w:rStyle w:val="CharDivNo"/>
        </w:rPr>
        <w:t>Division 1</w:t>
      </w:r>
      <w:r>
        <w:rPr>
          <w:snapToGrid w:val="0"/>
        </w:rPr>
        <w:t> — </w:t>
      </w:r>
      <w:r>
        <w:rPr>
          <w:rStyle w:val="CharDivText"/>
        </w:rPr>
        <w:t>Variation of schemes</w:t>
      </w:r>
      <w:bookmarkEnd w:id="232"/>
      <w:bookmarkEnd w:id="233"/>
      <w:bookmarkEnd w:id="234"/>
      <w:bookmarkEnd w:id="235"/>
      <w:bookmarkEnd w:id="236"/>
      <w:bookmarkEnd w:id="237"/>
      <w:bookmarkEnd w:id="238"/>
    </w:p>
    <w:p>
      <w:pPr>
        <w:pStyle w:val="Footnoteheading"/>
      </w:pPr>
      <w:r>
        <w:tab/>
        <w:t>[Heading inserted by No. 61 of 1996 s. 19.]</w:t>
      </w:r>
    </w:p>
    <w:p>
      <w:pPr>
        <w:pStyle w:val="Heading5"/>
        <w:spacing w:before="160"/>
        <w:rPr>
          <w:snapToGrid w:val="0"/>
        </w:rPr>
      </w:pPr>
      <w:bookmarkStart w:id="239" w:name="_Toc381880896"/>
      <w:bookmarkStart w:id="240" w:name="_Toc476927269"/>
      <w:r>
        <w:rPr>
          <w:rStyle w:val="CharSectno"/>
        </w:rPr>
        <w:t>28</w:t>
      </w:r>
      <w:r>
        <w:rPr>
          <w:snapToGrid w:val="0"/>
        </w:rPr>
        <w:t>.</w:t>
      </w:r>
      <w:r>
        <w:rPr>
          <w:snapToGrid w:val="0"/>
        </w:rPr>
        <w:tab/>
        <w:t>Variation of strata scheme upon damage or destruction of building</w:t>
      </w:r>
      <w:bookmarkEnd w:id="239"/>
      <w:bookmarkEnd w:id="240"/>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[Section 28 amended by No. 58 of 1995 s. 30 and 93(1); No. 74 of 2003 s. 112(5).]</w:t>
      </w:r>
    </w:p>
    <w:p>
      <w:pPr>
        <w:pStyle w:val="Heading5"/>
        <w:rPr>
          <w:snapToGrid w:val="0"/>
        </w:rPr>
      </w:pPr>
      <w:bookmarkStart w:id="241" w:name="_Toc381880897"/>
      <w:bookmarkStart w:id="242" w:name="_Toc476927270"/>
      <w:r>
        <w:rPr>
          <w:rStyle w:val="CharSectno"/>
        </w:rPr>
        <w:t>29</w:t>
      </w:r>
      <w:r>
        <w:rPr>
          <w:snapToGrid w:val="0"/>
        </w:rPr>
        <w:t>.</w:t>
      </w:r>
      <w:r>
        <w:rPr>
          <w:snapToGrid w:val="0"/>
        </w:rPr>
        <w:tab/>
        <w:t>Variation of strata scheme upon taking</w:t>
      </w:r>
      <w:bookmarkEnd w:id="241"/>
      <w:bookmarkEnd w:id="242"/>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 No. 74 of 2003 s. 112(5).]</w:t>
      </w:r>
    </w:p>
    <w:p>
      <w:pPr>
        <w:pStyle w:val="Heading5"/>
        <w:rPr>
          <w:snapToGrid w:val="0"/>
        </w:rPr>
      </w:pPr>
      <w:bookmarkStart w:id="243" w:name="_Toc381880898"/>
      <w:bookmarkStart w:id="244" w:name="_Toc476927271"/>
      <w:r>
        <w:rPr>
          <w:rStyle w:val="CharSectno"/>
        </w:rPr>
        <w:t>29A</w:t>
      </w:r>
      <w:r>
        <w:rPr>
          <w:snapToGrid w:val="0"/>
        </w:rPr>
        <w:t>.</w:t>
      </w:r>
      <w:r>
        <w:rPr>
          <w:snapToGrid w:val="0"/>
        </w:rPr>
        <w:tab/>
        <w:t>Variation of survey</w:t>
      </w:r>
      <w:r>
        <w:rPr>
          <w:snapToGrid w:val="0"/>
        </w:rPr>
        <w:noBreakHyphen/>
        <w:t>strata scheme on resumption</w:t>
      </w:r>
      <w:bookmarkEnd w:id="243"/>
      <w:bookmarkEnd w:id="244"/>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spacing w:before="60"/>
        <w:rPr>
          <w:snapToGrid w:val="0"/>
        </w:rPr>
      </w:pPr>
      <w:r>
        <w:rPr>
          <w:snapToGrid w:val="0"/>
        </w:rPr>
        <w:tab/>
        <w:t>(a)</w:t>
      </w:r>
      <w:r>
        <w:rPr>
          <w:snapToGrid w:val="0"/>
        </w:rPr>
        <w:tab/>
        <w:t>the substitution for the existing schedule of unit entitlement of a new schedule of unit entitlement; and</w:t>
      </w:r>
    </w:p>
    <w:p>
      <w:pPr>
        <w:pStyle w:val="Indenta"/>
        <w:spacing w:before="60"/>
        <w:rPr>
          <w:snapToGrid w:val="0"/>
        </w:rPr>
      </w:pPr>
      <w:r>
        <w:rPr>
          <w:snapToGrid w:val="0"/>
        </w:rPr>
        <w:tab/>
        <w:t>(b)</w:t>
      </w:r>
      <w:r>
        <w:rPr>
          <w:snapToGrid w:val="0"/>
        </w:rPr>
        <w:tab/>
        <w:t>the payment of moneys to or by the strata company or any one or more of the proprietors; and</w:t>
      </w:r>
    </w:p>
    <w:p>
      <w:pPr>
        <w:pStyle w:val="Indenta"/>
        <w:spacing w:before="60"/>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 and</w:t>
      </w:r>
    </w:p>
    <w:p>
      <w:pPr>
        <w:pStyle w:val="Indenta"/>
        <w:spacing w:before="60"/>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spacing w:before="60"/>
        <w:rPr>
          <w:snapToGrid w:val="0"/>
        </w:rPr>
      </w:pPr>
      <w:r>
        <w:rPr>
          <w:snapToGrid w:val="0"/>
        </w:rPr>
        <w:tab/>
        <w:t>(e)</w:t>
      </w:r>
      <w:r>
        <w:rPr>
          <w:snapToGrid w:val="0"/>
        </w:rPr>
        <w:tab/>
        <w:t>the imposition of such terms and conditions as the District Court thinks fit.</w:t>
      </w:r>
    </w:p>
    <w:p>
      <w:pPr>
        <w:pStyle w:val="Subsection"/>
        <w:spacing w:before="140"/>
        <w:rPr>
          <w:snapToGrid w:val="0"/>
        </w:rPr>
      </w:pPr>
      <w:r>
        <w:rPr>
          <w:snapToGrid w:val="0"/>
        </w:rPr>
        <w:tab/>
        <w:t>(3)</w:t>
      </w:r>
      <w:r>
        <w:rPr>
          <w:snapToGrid w:val="0"/>
        </w:rPr>
        <w:tab/>
        <w:t>The District Court may from time to time amend any order made under this section.</w:t>
      </w:r>
    </w:p>
    <w:p>
      <w:pPr>
        <w:pStyle w:val="Subsection"/>
        <w:spacing w:before="140"/>
        <w:rPr>
          <w:snapToGrid w:val="0"/>
        </w:rPr>
      </w:pPr>
      <w:r>
        <w:rPr>
          <w:snapToGrid w:val="0"/>
        </w:rPr>
        <w:tab/>
        <w:t>(4)</w:t>
      </w:r>
      <w:r>
        <w:rPr>
          <w:snapToGrid w:val="0"/>
        </w:rPr>
        <w:tab/>
        <w:t>Where the District Court is of the opinion that an order should not be made under this section —</w:t>
      </w:r>
    </w:p>
    <w:p>
      <w:pPr>
        <w:pStyle w:val="Indenta"/>
        <w:spacing w:before="60"/>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spacing w:before="60"/>
        <w:rPr>
          <w:snapToGrid w:val="0"/>
        </w:rPr>
      </w:pPr>
      <w:r>
        <w:rPr>
          <w:snapToGrid w:val="0"/>
        </w:rPr>
        <w:tab/>
        <w:t>(b)</w:t>
      </w:r>
      <w:r>
        <w:rPr>
          <w:snapToGrid w:val="0"/>
        </w:rPr>
        <w:tab/>
        <w:t>where it makes such a direction —</w:t>
      </w:r>
    </w:p>
    <w:p>
      <w:pPr>
        <w:pStyle w:val="Indenti"/>
        <w:spacing w:before="60"/>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spacing w:before="60"/>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14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spacing w:before="100"/>
      </w:pPr>
      <w:r>
        <w:tab/>
        <w:t>[Section 29A inserted by No. 58 of 1995 s. 32; amended by No. 74 of 2003 s. 112(6).]</w:t>
      </w:r>
    </w:p>
    <w:p>
      <w:pPr>
        <w:pStyle w:val="Heading5"/>
        <w:rPr>
          <w:snapToGrid w:val="0"/>
        </w:rPr>
      </w:pPr>
      <w:bookmarkStart w:id="245" w:name="_Toc381880899"/>
      <w:bookmarkStart w:id="246" w:name="_Toc476927272"/>
      <w:r>
        <w:rPr>
          <w:rStyle w:val="CharSectno"/>
        </w:rPr>
        <w:t>29B</w:t>
      </w:r>
      <w:r>
        <w:rPr>
          <w:snapToGrid w:val="0"/>
        </w:rPr>
        <w:t>.</w:t>
      </w:r>
      <w:r>
        <w:rPr>
          <w:snapToGrid w:val="0"/>
        </w:rPr>
        <w:tab/>
        <w:t>Lodgement of documents with Registrar following partial taking in strata scheme</w:t>
      </w:r>
      <w:bookmarkEnd w:id="245"/>
      <w:bookmarkEnd w:id="246"/>
    </w:p>
    <w:p>
      <w:pPr>
        <w:pStyle w:val="Subsection"/>
        <w:spacing w:before="140"/>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w:t>
      </w:r>
    </w:p>
    <w:p>
      <w:pPr>
        <w:pStyle w:val="Indenta"/>
        <w:spacing w:before="120"/>
        <w:rPr>
          <w:snapToGrid w:val="0"/>
        </w:rPr>
      </w:pPr>
      <w:r>
        <w:rPr>
          <w:snapToGrid w:val="0"/>
        </w:rPr>
        <w:tab/>
        <w:t>(a)</w:t>
      </w:r>
      <w:r>
        <w:rPr>
          <w:snapToGrid w:val="0"/>
        </w:rPr>
        <w:tab/>
        <w:t>define the boundaries of the balance of the lot that remains in the scheme after the taking and do so by reference to a floor plan; and</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(8).]</w:t>
      </w:r>
    </w:p>
    <w:p>
      <w:pPr>
        <w:pStyle w:val="Heading3"/>
        <w:keepLines/>
      </w:pPr>
      <w:bookmarkStart w:id="247" w:name="_Toc381880900"/>
      <w:bookmarkStart w:id="248" w:name="_Toc418081630"/>
      <w:bookmarkStart w:id="249" w:name="_Toc418081963"/>
      <w:bookmarkStart w:id="250" w:name="_Toc418087752"/>
      <w:bookmarkStart w:id="251" w:name="_Toc421012292"/>
      <w:bookmarkStart w:id="252" w:name="_Toc422408847"/>
      <w:bookmarkStart w:id="253" w:name="_Toc476927273"/>
      <w:r>
        <w:rPr>
          <w:rStyle w:val="CharDivNo"/>
        </w:rPr>
        <w:t>Division 2</w:t>
      </w:r>
      <w:r>
        <w:rPr>
          <w:snapToGrid w:val="0"/>
        </w:rPr>
        <w:t> — </w:t>
      </w:r>
      <w:r>
        <w:rPr>
          <w:rStyle w:val="CharDivText"/>
        </w:rPr>
        <w:t>Termination of schemes</w:t>
      </w:r>
      <w:bookmarkEnd w:id="247"/>
      <w:bookmarkEnd w:id="248"/>
      <w:bookmarkEnd w:id="249"/>
      <w:bookmarkEnd w:id="250"/>
      <w:bookmarkEnd w:id="251"/>
      <w:bookmarkEnd w:id="252"/>
      <w:bookmarkEnd w:id="253"/>
    </w:p>
    <w:p>
      <w:pPr>
        <w:pStyle w:val="Footnoteheading"/>
        <w:keepNext/>
      </w:pPr>
      <w:r>
        <w:tab/>
        <w:t>[Heading inserted by No. 61 of 1996 s. 20.]</w:t>
      </w:r>
    </w:p>
    <w:p>
      <w:pPr>
        <w:pStyle w:val="Heading5"/>
        <w:keepLines w:val="0"/>
        <w:rPr>
          <w:snapToGrid w:val="0"/>
        </w:rPr>
      </w:pPr>
      <w:bookmarkStart w:id="254" w:name="_Toc381880901"/>
      <w:bookmarkStart w:id="255" w:name="_Toc476927274"/>
      <w:r>
        <w:rPr>
          <w:rStyle w:val="CharSectno"/>
        </w:rPr>
        <w:t>29C</w:t>
      </w:r>
      <w:r>
        <w:rPr>
          <w:snapToGrid w:val="0"/>
        </w:rPr>
        <w:t>.</w:t>
      </w:r>
      <w:r>
        <w:rPr>
          <w:snapToGrid w:val="0"/>
        </w:rPr>
        <w:tab/>
        <w:t>Termination of scheme by resumption</w:t>
      </w:r>
      <w:bookmarkEnd w:id="254"/>
      <w:bookmarkEnd w:id="255"/>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(11).]</w:t>
      </w:r>
    </w:p>
    <w:p>
      <w:pPr>
        <w:pStyle w:val="Heading5"/>
        <w:rPr>
          <w:snapToGrid w:val="0"/>
        </w:rPr>
      </w:pPr>
      <w:bookmarkStart w:id="256" w:name="_Toc381880902"/>
      <w:bookmarkStart w:id="257" w:name="_Toc476927275"/>
      <w:r>
        <w:rPr>
          <w:rStyle w:val="CharSectno"/>
        </w:rPr>
        <w:t>30</w:t>
      </w:r>
      <w:r>
        <w:rPr>
          <w:snapToGrid w:val="0"/>
        </w:rPr>
        <w:t>.</w:t>
      </w:r>
      <w:r>
        <w:rPr>
          <w:snapToGrid w:val="0"/>
        </w:rPr>
        <w:tab/>
        <w:t>Termination of strata scheme by unanimous resolution</w:t>
      </w:r>
      <w:bookmarkEnd w:id="256"/>
      <w:bookmarkEnd w:id="257"/>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w:t>
      </w:r>
    </w:p>
    <w:p>
      <w:pPr>
        <w:pStyle w:val="Indenta"/>
        <w:spacing w:before="60"/>
        <w:rPr>
          <w:snapToGrid w:val="0"/>
        </w:rPr>
      </w:pPr>
      <w:r>
        <w:rPr>
          <w:snapToGrid w:val="0"/>
        </w:rPr>
        <w:tab/>
        <w:t>(a)</w:t>
      </w:r>
      <w:r>
        <w:rPr>
          <w:snapToGrid w:val="0"/>
        </w:rPr>
        <w:tab/>
        <w:t>the strata company shall execute the appropriate transfer; and</w:t>
      </w:r>
    </w:p>
    <w:p>
      <w:pPr>
        <w:pStyle w:val="Indenta"/>
        <w:spacing w:before="60"/>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[Section 30 amended by No. 58 of 1995 s. 33; No. 81 of 1996 s. 153(1).]</w:t>
      </w:r>
    </w:p>
    <w:p>
      <w:pPr>
        <w:pStyle w:val="Heading5"/>
        <w:rPr>
          <w:snapToGrid w:val="0"/>
        </w:rPr>
      </w:pPr>
      <w:bookmarkStart w:id="258" w:name="_Toc381880903"/>
      <w:bookmarkStart w:id="259" w:name="_Toc476927276"/>
      <w:r>
        <w:rPr>
          <w:rStyle w:val="CharSectno"/>
        </w:rPr>
        <w:t>30A</w:t>
      </w:r>
      <w:r>
        <w:rPr>
          <w:snapToGrid w:val="0"/>
        </w:rPr>
        <w:t>.</w:t>
      </w:r>
      <w:r>
        <w:rPr>
          <w:snapToGrid w:val="0"/>
        </w:rPr>
        <w:tab/>
        <w:t>Termination of survey</w:t>
      </w:r>
      <w:r>
        <w:rPr>
          <w:snapToGrid w:val="0"/>
        </w:rPr>
        <w:noBreakHyphen/>
        <w:t>strata scheme by unanimous resolution</w:t>
      </w:r>
      <w:bookmarkEnd w:id="258"/>
      <w:bookmarkEnd w:id="259"/>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rPr>
          <w:snapToGrid w:val="0"/>
        </w:rPr>
      </w:pPr>
      <w:r>
        <w:rPr>
          <w:snapToGrid w:val="0"/>
        </w:rPr>
        <w:tab/>
        <w:t>(5)</w:t>
      </w:r>
      <w:r>
        <w:rPr>
          <w:snapToGrid w:val="0"/>
        </w:rPr>
        <w:tab/>
        <w:t>On the transfer of common property as mentioned in subsection (4)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[Section 30A inserted by No. 58 of 1995 s. 34.]</w:t>
      </w:r>
    </w:p>
    <w:p>
      <w:pPr>
        <w:pStyle w:val="Heading5"/>
        <w:rPr>
          <w:snapToGrid w:val="0"/>
        </w:rPr>
      </w:pPr>
      <w:bookmarkStart w:id="260" w:name="_Toc381880904"/>
      <w:bookmarkStart w:id="261" w:name="_Toc476927277"/>
      <w:r>
        <w:rPr>
          <w:rStyle w:val="CharSectno"/>
        </w:rPr>
        <w:t>31</w:t>
      </w:r>
      <w:r>
        <w:rPr>
          <w:snapToGrid w:val="0"/>
        </w:rPr>
        <w:t>.</w:t>
      </w:r>
      <w:r>
        <w:rPr>
          <w:snapToGrid w:val="0"/>
        </w:rPr>
        <w:tab/>
        <w:t>Termination of scheme by order of District Court</w:t>
      </w:r>
      <w:bookmarkEnd w:id="260"/>
      <w:bookmarkEnd w:id="261"/>
    </w:p>
    <w:p>
      <w:pPr>
        <w:pStyle w:val="Subsection"/>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An order made under this section shall include directions for or with respect to the following matters —</w:t>
      </w:r>
    </w:p>
    <w:p>
      <w:pPr>
        <w:pStyle w:val="Indenta"/>
        <w:rPr>
          <w:snapToGrid w:val="0"/>
        </w:rPr>
      </w:pPr>
      <w:r>
        <w:rPr>
          <w:snapToGrid w:val="0"/>
        </w:rPr>
        <w:tab/>
        <w:t>(a)</w:t>
      </w:r>
      <w:r>
        <w:rPr>
          <w:snapToGrid w:val="0"/>
        </w:rPr>
        <w:tab/>
        <w:t>the sale or disposition of any property of the strata company; and</w:t>
      </w:r>
    </w:p>
    <w:p>
      <w:pPr>
        <w:pStyle w:val="Indenta"/>
        <w:rPr>
          <w:snapToGrid w:val="0"/>
        </w:rPr>
      </w:pPr>
      <w:r>
        <w:rPr>
          <w:snapToGrid w:val="0"/>
        </w:rPr>
        <w:tab/>
        <w:t>(b)</w:t>
      </w:r>
      <w:r>
        <w:rPr>
          <w:snapToGrid w:val="0"/>
        </w:rPr>
        <w:tab/>
        <w:t>the discharge of the liabilities of the strata company; and</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 and</w:t>
      </w:r>
    </w:p>
    <w:p>
      <w:pPr>
        <w:pStyle w:val="Indenta"/>
        <w:rPr>
          <w:snapToGrid w:val="0"/>
        </w:rPr>
      </w:pPr>
      <w:r>
        <w:rPr>
          <w:snapToGrid w:val="0"/>
        </w:rPr>
        <w:tab/>
        <w:t>(d)</w:t>
      </w:r>
      <w:r>
        <w:rPr>
          <w:snapToGrid w:val="0"/>
        </w:rPr>
        <w:tab/>
        <w:t>the distribution of the assets of the strata company and the proportionate entitlement of each person under that distribution; and</w:t>
      </w:r>
    </w:p>
    <w:p>
      <w:pPr>
        <w:pStyle w:val="Indenta"/>
        <w:rPr>
          <w:snapToGrid w:val="0"/>
        </w:rPr>
      </w:pPr>
      <w:r>
        <w:rPr>
          <w:snapToGrid w:val="0"/>
        </w:rPr>
        <w:tab/>
        <w:t>(e)</w:t>
      </w:r>
      <w:r>
        <w:rPr>
          <w:snapToGrid w:val="0"/>
        </w:rPr>
        <w:tab/>
        <w:t>the administration, powers, authorities, duties and functions of the strata company; and</w:t>
      </w:r>
    </w:p>
    <w:p>
      <w:pPr>
        <w:pStyle w:val="Indenta"/>
        <w:rPr>
          <w:snapToGrid w:val="0"/>
        </w:rPr>
      </w:pPr>
      <w:r>
        <w:rPr>
          <w:snapToGrid w:val="0"/>
        </w:rPr>
        <w:tab/>
        <w:t>(f)</w:t>
      </w:r>
      <w:r>
        <w:rPr>
          <w:snapToGrid w:val="0"/>
        </w:rPr>
        <w:tab/>
        <w:t>the voting power at meetings of the strata company of persons referred to in paragraph (c) or (d); and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rPr>
          <w:snapToGrid w:val="0"/>
        </w:rPr>
      </w:pPr>
      <w:r>
        <w:rPr>
          <w:snapToGrid w:val="0"/>
        </w:rPr>
        <w:tab/>
        <w:t>(5)</w:t>
      </w:r>
      <w:r>
        <w:rPr>
          <w:snapToGrid w:val="0"/>
        </w:rPr>
        <w:tab/>
        <w:t>The District Court may from time to time amend any order made under this section.</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rPr>
          <w:snapToGrid w:val="0"/>
        </w:rPr>
      </w:pPr>
      <w:r>
        <w:rPr>
          <w:snapToGrid w:val="0"/>
        </w:rPr>
        <w:tab/>
        <w:t>(10)</w:t>
      </w:r>
      <w:r>
        <w:rPr>
          <w:snapToGrid w:val="0"/>
        </w:rPr>
        <w:tab/>
        <w:t>On the making of an entry under subsection (9)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and 96.]</w:t>
      </w:r>
    </w:p>
    <w:p>
      <w:pPr>
        <w:pStyle w:val="Heading3"/>
        <w:keepLines/>
      </w:pPr>
      <w:bookmarkStart w:id="262" w:name="_Toc381880905"/>
      <w:bookmarkStart w:id="263" w:name="_Toc418081635"/>
      <w:bookmarkStart w:id="264" w:name="_Toc418081968"/>
      <w:bookmarkStart w:id="265" w:name="_Toc418087757"/>
      <w:bookmarkStart w:id="266" w:name="_Toc421012297"/>
      <w:bookmarkStart w:id="267" w:name="_Toc422408852"/>
      <w:bookmarkStart w:id="268" w:name="_Toc476927278"/>
      <w:r>
        <w:rPr>
          <w:rStyle w:val="CharDivNo"/>
        </w:rPr>
        <w:t>Division 3</w:t>
      </w:r>
      <w:r>
        <w:rPr>
          <w:snapToGrid w:val="0"/>
        </w:rPr>
        <w:t> — </w:t>
      </w:r>
      <w:r>
        <w:rPr>
          <w:rStyle w:val="CharDivText"/>
        </w:rPr>
        <w:t>Conversion of strata schemes to survey</w:t>
      </w:r>
      <w:r>
        <w:rPr>
          <w:rStyle w:val="CharDivText"/>
        </w:rPr>
        <w:noBreakHyphen/>
        <w:t>strata schemes</w:t>
      </w:r>
      <w:bookmarkEnd w:id="262"/>
      <w:bookmarkEnd w:id="263"/>
      <w:bookmarkEnd w:id="264"/>
      <w:bookmarkEnd w:id="265"/>
      <w:bookmarkEnd w:id="266"/>
      <w:bookmarkEnd w:id="267"/>
      <w:bookmarkEnd w:id="268"/>
    </w:p>
    <w:p>
      <w:pPr>
        <w:pStyle w:val="Footnoteheading"/>
      </w:pPr>
      <w:r>
        <w:tab/>
        <w:t>[Heading inserted by No. 61 of 1996 s. 21.]</w:t>
      </w:r>
    </w:p>
    <w:p>
      <w:pPr>
        <w:pStyle w:val="Heading5"/>
        <w:rPr>
          <w:snapToGrid w:val="0"/>
        </w:rPr>
      </w:pPr>
      <w:bookmarkStart w:id="269" w:name="_Toc381880906"/>
      <w:bookmarkStart w:id="270" w:name="_Toc476927279"/>
      <w:r>
        <w:rPr>
          <w:rStyle w:val="CharSectno"/>
        </w:rPr>
        <w:t>31A</w:t>
      </w:r>
      <w:r>
        <w:rPr>
          <w:snapToGrid w:val="0"/>
        </w:rPr>
        <w:t>.</w:t>
      </w:r>
      <w:r>
        <w:rPr>
          <w:snapToGrid w:val="0"/>
        </w:rPr>
        <w:tab/>
        <w:t>Division only applies to single tier strata schemes registered before 1 January 1998</w:t>
      </w:r>
      <w:bookmarkEnd w:id="269"/>
      <w:bookmarkEnd w:id="270"/>
    </w:p>
    <w:p>
      <w:pPr>
        <w:pStyle w:val="Subsection"/>
        <w:rPr>
          <w:snapToGrid w:val="0"/>
        </w:rPr>
      </w:pPr>
      <w:r>
        <w:rPr>
          <w:snapToGrid w:val="0"/>
        </w:rPr>
        <w:tab/>
      </w:r>
      <w:r>
        <w:rPr>
          <w:snapToGrid w:val="0"/>
        </w:rPr>
        <w:tab/>
        <w:t>This Division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[Section 31A inserted by No. 61 of 1996 s. 21.]</w:t>
      </w:r>
    </w:p>
    <w:p>
      <w:pPr>
        <w:pStyle w:val="Heading5"/>
        <w:rPr>
          <w:snapToGrid w:val="0"/>
        </w:rPr>
      </w:pPr>
      <w:bookmarkStart w:id="271" w:name="_Toc381880907"/>
      <w:bookmarkStart w:id="272" w:name="_Toc476927280"/>
      <w:r>
        <w:rPr>
          <w:rStyle w:val="CharSectno"/>
        </w:rPr>
        <w:t>31B</w:t>
      </w:r>
      <w:r>
        <w:rPr>
          <w:snapToGrid w:val="0"/>
        </w:rPr>
        <w:t>.</w:t>
      </w:r>
      <w:r>
        <w:rPr>
          <w:snapToGrid w:val="0"/>
        </w:rPr>
        <w:tab/>
        <w:t>Saving</w:t>
      </w:r>
      <w:bookmarkEnd w:id="271"/>
      <w:bookmarkEnd w:id="272"/>
    </w:p>
    <w:p>
      <w:pPr>
        <w:pStyle w:val="Subsection"/>
        <w:spacing w:before="140"/>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spacing w:before="100"/>
      </w:pPr>
      <w:r>
        <w:tab/>
        <w:t>[Section 31B inserted by No. 61 of 1996 s. 21.]</w:t>
      </w:r>
    </w:p>
    <w:p>
      <w:pPr>
        <w:pStyle w:val="Heading5"/>
        <w:rPr>
          <w:snapToGrid w:val="0"/>
        </w:rPr>
      </w:pPr>
      <w:bookmarkStart w:id="273" w:name="_Toc381880908"/>
      <w:bookmarkStart w:id="274" w:name="_Toc476927281"/>
      <w:r>
        <w:rPr>
          <w:rStyle w:val="CharSectno"/>
        </w:rPr>
        <w:t>31C</w:t>
      </w:r>
      <w:r>
        <w:rPr>
          <w:snapToGrid w:val="0"/>
        </w:rPr>
        <w:t>.</w:t>
      </w:r>
      <w:r>
        <w:rPr>
          <w:snapToGrid w:val="0"/>
        </w:rPr>
        <w:tab/>
        <w:t>Resolution by strata company</w:t>
      </w:r>
      <w:bookmarkEnd w:id="273"/>
      <w:bookmarkEnd w:id="274"/>
    </w:p>
    <w:p>
      <w:pPr>
        <w:pStyle w:val="Subsection"/>
        <w:spacing w:before="140"/>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spacing w:before="140"/>
        <w:rPr>
          <w:snapToGrid w:val="0"/>
        </w:rPr>
      </w:pPr>
      <w:r>
        <w:rPr>
          <w:snapToGrid w:val="0"/>
        </w:rPr>
        <w:tab/>
        <w:t>(2)</w:t>
      </w:r>
      <w:r>
        <w:rPr>
          <w:snapToGrid w:val="0"/>
        </w:rPr>
        <w:tab/>
        <w:t>The resolution is to specify any easement that is to be created in terms of section 31G.</w:t>
      </w:r>
    </w:p>
    <w:p>
      <w:pPr>
        <w:pStyle w:val="Subsection"/>
        <w:spacing w:before="140"/>
        <w:rPr>
          <w:snapToGrid w:val="0"/>
        </w:rPr>
      </w:pPr>
      <w:r>
        <w:rPr>
          <w:snapToGrid w:val="0"/>
        </w:rPr>
        <w:tab/>
        <w:t>(3)</w:t>
      </w:r>
      <w:r>
        <w:rPr>
          <w:snapToGrid w:val="0"/>
        </w:rPr>
        <w:tab/>
        <w:t>A resolution cannot be passed under subsection (1) that would, on registration under section 31I of a notice of resolution, increase the number of lots in the scheme.</w:t>
      </w:r>
    </w:p>
    <w:p>
      <w:pPr>
        <w:pStyle w:val="Subsection"/>
        <w:spacing w:before="140"/>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spacing w:before="100"/>
      </w:pPr>
      <w:r>
        <w:tab/>
        <w:t>[Section 31C inserted by No. 61 of 1996 s. 21.]</w:t>
      </w:r>
    </w:p>
    <w:p>
      <w:pPr>
        <w:pStyle w:val="Heading5"/>
        <w:rPr>
          <w:snapToGrid w:val="0"/>
        </w:rPr>
      </w:pPr>
      <w:bookmarkStart w:id="275" w:name="_Toc381880909"/>
      <w:bookmarkStart w:id="276" w:name="_Toc476927282"/>
      <w:r>
        <w:rPr>
          <w:rStyle w:val="CharSectno"/>
        </w:rPr>
        <w:t>31D</w:t>
      </w:r>
      <w:r>
        <w:rPr>
          <w:snapToGrid w:val="0"/>
        </w:rPr>
        <w:t>.</w:t>
      </w:r>
      <w:r>
        <w:rPr>
          <w:snapToGrid w:val="0"/>
        </w:rPr>
        <w:tab/>
        <w:t>Notice of resolution may be lodged for registration</w:t>
      </w:r>
      <w:bookmarkEnd w:id="275"/>
      <w:bookmarkEnd w:id="276"/>
    </w:p>
    <w:p>
      <w:pPr>
        <w:pStyle w:val="Subsection"/>
        <w:spacing w:before="140"/>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spacing w:before="140"/>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spacing w:before="140"/>
        <w:rPr>
          <w:snapToGrid w:val="0"/>
        </w:rPr>
      </w:pPr>
      <w:r>
        <w:rPr>
          <w:snapToGrid w:val="0"/>
        </w:rPr>
        <w:tab/>
        <w:t>(3)</w:t>
      </w:r>
      <w:r>
        <w:rPr>
          <w:snapToGrid w:val="0"/>
        </w:rPr>
        <w:tab/>
        <w:t>The notice of resolution —</w:t>
      </w:r>
    </w:p>
    <w:p>
      <w:pPr>
        <w:pStyle w:val="Indenta"/>
        <w:spacing w:before="60"/>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[Section 31D inserted by No. 61 of 1996 s. 21.]</w:t>
      </w:r>
    </w:p>
    <w:p>
      <w:pPr>
        <w:pStyle w:val="Heading5"/>
        <w:rPr>
          <w:snapToGrid w:val="0"/>
        </w:rPr>
      </w:pPr>
      <w:bookmarkStart w:id="277" w:name="_Toc381880910"/>
      <w:bookmarkStart w:id="278" w:name="_Toc476927283"/>
      <w:r>
        <w:rPr>
          <w:rStyle w:val="CharSectno"/>
        </w:rPr>
        <w:t>31E</w:t>
      </w:r>
      <w:r>
        <w:rPr>
          <w:snapToGrid w:val="0"/>
        </w:rPr>
        <w:t>.</w:t>
      </w:r>
      <w:r>
        <w:rPr>
          <w:snapToGrid w:val="0"/>
        </w:rPr>
        <w:tab/>
        <w:t>Documents to accompany notice</w:t>
      </w:r>
      <w:bookmarkEnd w:id="277"/>
      <w:bookmarkEnd w:id="278"/>
    </w:p>
    <w:p>
      <w:pPr>
        <w:pStyle w:val="Subsection"/>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a survey</w:t>
      </w:r>
      <w:r>
        <w:rPr>
          <w:snapToGrid w:val="0"/>
        </w:rPr>
        <w:noBreakHyphen/>
        <w:t>strata plan in respect of the parcel —</w:t>
      </w:r>
    </w:p>
    <w:p>
      <w:pPr>
        <w:pStyle w:val="Indenti"/>
        <w:rPr>
          <w:snapToGrid w:val="0"/>
        </w:rPr>
      </w:pPr>
      <w:r>
        <w:rPr>
          <w:snapToGrid w:val="0"/>
        </w:rPr>
        <w:tab/>
        <w:t>(i)</w:t>
      </w:r>
      <w:r>
        <w:rPr>
          <w:snapToGrid w:val="0"/>
        </w:rPr>
        <w:tab/>
        <w:t>showing in the prescribed manner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 and</w:t>
      </w:r>
    </w:p>
    <w:p>
      <w:pPr>
        <w:pStyle w:val="Indenti"/>
        <w:rPr>
          <w:snapToGrid w:val="0"/>
        </w:rPr>
      </w:pPr>
      <w:r>
        <w:rPr>
          <w:snapToGrid w:val="0"/>
        </w:rPr>
        <w:tab/>
        <w:t>(ii)</w:t>
      </w:r>
      <w:r>
        <w:rPr>
          <w:snapToGrid w:val="0"/>
        </w:rPr>
        <w:tab/>
        <w:t>bearing a statement containing such particulars as may be necessary to identify the title to the parcel; and</w:t>
      </w:r>
    </w:p>
    <w:p>
      <w:pPr>
        <w:pStyle w:val="Indenti"/>
        <w:rPr>
          <w:snapToGrid w:val="0"/>
        </w:rPr>
      </w:pPr>
      <w:r>
        <w:rPr>
          <w:snapToGrid w:val="0"/>
        </w:rPr>
        <w:tab/>
        <w:t>(iii)</w:t>
      </w:r>
      <w:r>
        <w:rPr>
          <w:snapToGrid w:val="0"/>
        </w:rPr>
        <w:tab/>
        <w:t>showing the area of each lot and of any common property; and</w:t>
      </w:r>
    </w:p>
    <w:p>
      <w:pPr>
        <w:pStyle w:val="Indenti"/>
        <w:keepNext/>
        <w:rPr>
          <w:snapToGrid w:val="0"/>
        </w:rPr>
      </w:pPr>
      <w:r>
        <w:rPr>
          <w:snapToGrid w:val="0"/>
        </w:rPr>
        <w:tab/>
        <w:t>(iv)</w:t>
      </w:r>
      <w:r>
        <w:rPr>
          <w:snapToGrid w:val="0"/>
        </w:rPr>
        <w:tab/>
        <w:t>having endorsed on it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(b)</w:t>
      </w:r>
      <w:r>
        <w:rPr>
          <w:snapToGrid w:val="0"/>
        </w:rPr>
        <w:tab/>
        <w:t>a certificate given by a licensed surveyor in accordance with section 31F; and</w:t>
      </w:r>
    </w:p>
    <w:p>
      <w:pPr>
        <w:pStyle w:val="Indenta"/>
        <w:spacing w:before="60"/>
        <w:rPr>
          <w:snapToGrid w:val="0"/>
        </w:rPr>
      </w:pPr>
      <w:r>
        <w:rPr>
          <w:snapToGrid w:val="0"/>
        </w:rPr>
        <w:tab/>
        <w:t>(c)</w:t>
      </w:r>
      <w:r>
        <w:rPr>
          <w:snapToGrid w:val="0"/>
        </w:rPr>
        <w:tab/>
        <w:t>a schedule specifying, in a whole number —</w:t>
      </w:r>
    </w:p>
    <w:p>
      <w:pPr>
        <w:pStyle w:val="Indenti"/>
        <w:rPr>
          <w:snapToGrid w:val="0"/>
        </w:rPr>
      </w:pPr>
      <w:r>
        <w:rPr>
          <w:snapToGrid w:val="0"/>
        </w:rPr>
        <w:tab/>
        <w:t>(i)</w:t>
      </w:r>
      <w:r>
        <w:rPr>
          <w:snapToGrid w:val="0"/>
        </w:rPr>
        <w:tab/>
        <w:t>the proposed unit entitlement in respect of each lot; and</w:t>
      </w:r>
    </w:p>
    <w:p>
      <w:pPr>
        <w:pStyle w:val="Indenti"/>
        <w:rPr>
          <w:snapToGrid w:val="0"/>
        </w:rPr>
      </w:pPr>
      <w:r>
        <w:rPr>
          <w:snapToGrid w:val="0"/>
        </w:rPr>
        <w:tab/>
        <w:t>(ii)</w:t>
      </w:r>
      <w:r>
        <w:rPr>
          <w:snapToGrid w:val="0"/>
        </w:rPr>
        <w:tab/>
        <w:t>the aggregate unit entitlement;</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a certificate, in the prescribed form, given by a licensed valuer in accordance with section 14(2); and</w:t>
      </w:r>
    </w:p>
    <w:p>
      <w:pPr>
        <w:pStyle w:val="Indenta"/>
        <w:rPr>
          <w:snapToGrid w:val="0"/>
        </w:rPr>
      </w:pPr>
      <w:r>
        <w:rPr>
          <w:snapToGrid w:val="0"/>
        </w:rPr>
        <w:tab/>
        <w:t>(e)</w:t>
      </w:r>
      <w:r>
        <w:rPr>
          <w:snapToGrid w:val="0"/>
        </w:rPr>
        <w:tab/>
        <w:t>a certificate given by every person, other than a proprietor,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[Section 31E inserted by No. 61 of 1996 s. 21.]</w:t>
      </w:r>
    </w:p>
    <w:p>
      <w:pPr>
        <w:pStyle w:val="Heading5"/>
        <w:keepNext w:val="0"/>
        <w:keepLines w:val="0"/>
        <w:rPr>
          <w:snapToGrid w:val="0"/>
        </w:rPr>
      </w:pPr>
      <w:bookmarkStart w:id="279" w:name="_Toc381880911"/>
      <w:bookmarkStart w:id="280" w:name="_Toc476927284"/>
      <w:r>
        <w:rPr>
          <w:rStyle w:val="CharSectno"/>
        </w:rPr>
        <w:t>31F</w:t>
      </w:r>
      <w:r>
        <w:rPr>
          <w:snapToGrid w:val="0"/>
        </w:rPr>
        <w:t>.</w:t>
      </w:r>
      <w:r>
        <w:rPr>
          <w:snapToGrid w:val="0"/>
        </w:rPr>
        <w:tab/>
        <w:t>Certificate of licensed surveyor</w:t>
      </w:r>
      <w:bookmarkEnd w:id="279"/>
      <w:bookmarkEnd w:id="280"/>
    </w:p>
    <w:p>
      <w:pPr>
        <w:pStyle w:val="Subsection"/>
        <w:rPr>
          <w:snapToGrid w:val="0"/>
        </w:rPr>
      </w:pPr>
      <w:r>
        <w:rPr>
          <w:snapToGrid w:val="0"/>
        </w:rPr>
        <w:tab/>
        <w:t>(1)</w:t>
      </w:r>
      <w:r>
        <w:rPr>
          <w:snapToGrid w:val="0"/>
        </w:rPr>
        <w:tab/>
        <w:t>The certificate of a licensed surveyor referred to in section 31E(1)(b) is to comply with —</w:t>
      </w:r>
    </w:p>
    <w:p>
      <w:pPr>
        <w:pStyle w:val="Indenta"/>
        <w:rPr>
          <w:snapToGrid w:val="0"/>
        </w:rPr>
      </w:pPr>
      <w:r>
        <w:rPr>
          <w:snapToGrid w:val="0"/>
        </w:rPr>
        <w:tab/>
        <w:t>(a)</w:t>
      </w:r>
      <w:r>
        <w:rPr>
          <w:snapToGrid w:val="0"/>
        </w:rPr>
        <w:tab/>
        <w:t>this section; and</w:t>
      </w:r>
    </w:p>
    <w:p>
      <w:pPr>
        <w:pStyle w:val="Indenta"/>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w:t>
      </w:r>
    </w:p>
    <w:p>
      <w:pPr>
        <w:pStyle w:val="Indenta"/>
        <w:rPr>
          <w:snapToGrid w:val="0"/>
        </w:rPr>
      </w:pPr>
      <w:r>
        <w:rPr>
          <w:snapToGrid w:val="0"/>
        </w:rPr>
        <w:tab/>
        <w:t>(a)</w:t>
      </w:r>
      <w:r>
        <w:rPr>
          <w:snapToGrid w:val="0"/>
        </w:rPr>
        <w:tab/>
        <w:t>as to each of the matters required to be certified in a certificate under section 22(2); and</w:t>
      </w:r>
    </w:p>
    <w:p>
      <w:pPr>
        <w:pStyle w:val="Indenta"/>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 and</w:t>
      </w:r>
    </w:p>
    <w:p>
      <w:pPr>
        <w:pStyle w:val="Indenta"/>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 and</w:t>
      </w:r>
    </w:p>
    <w:p>
      <w:pPr>
        <w:pStyle w:val="Indenta"/>
        <w:rPr>
          <w:snapToGrid w:val="0"/>
        </w:rPr>
      </w:pPr>
      <w:r>
        <w:rPr>
          <w:snapToGrid w:val="0"/>
        </w:rPr>
        <w:tab/>
        <w:t>(d)</w:t>
      </w:r>
      <w:r>
        <w:rPr>
          <w:snapToGrid w:val="0"/>
        </w:rPr>
        <w:tab/>
        <w:t>that where 2 lots have a common or party wall, the centre plane of that wall is on the boundary of the lots; and</w:t>
      </w:r>
    </w:p>
    <w:p>
      <w:pPr>
        <w:pStyle w:val="Indenta"/>
        <w:rPr>
          <w:snapToGrid w:val="0"/>
        </w:rPr>
      </w:pPr>
      <w:r>
        <w:rPr>
          <w:snapToGrid w:val="0"/>
        </w:rPr>
        <w:tab/>
        <w:t>(e)</w:t>
      </w:r>
      <w:r>
        <w:rPr>
          <w:snapToGrid w:val="0"/>
        </w:rPr>
        <w:tab/>
        <w:t>in accordance with subsection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rPr>
          <w:snapToGrid w:val="0"/>
        </w:rPr>
      </w:pPr>
      <w:r>
        <w:rPr>
          <w:snapToGrid w:val="0"/>
        </w:rPr>
        <w:tab/>
        <w:t>(3)</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(2)(e);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(4)</w:t>
      </w:r>
      <w:r>
        <w:rPr>
          <w:snapToGrid w:val="0"/>
        </w:rPr>
        <w:tab/>
        <w:t xml:space="preserve">A certification under subsection (2)(e) is to relate to matters prescribed for the purposes of subsection (3)(a) and not to other matters arising under the relevant local planning scheme </w:t>
      </w:r>
      <w:r>
        <w:t>or improvement scheme.</w:t>
      </w:r>
    </w:p>
    <w:p>
      <w:pPr>
        <w:pStyle w:val="Footnotesection"/>
      </w:pPr>
      <w:r>
        <w:tab/>
        <w:t>[Section 31F inserted by No. 61 of 1996 s. 21; amended by No. 38 of 2005 s. 15; No. 28 of 2010 s. 37(5) and (6).]</w:t>
      </w:r>
    </w:p>
    <w:p>
      <w:pPr>
        <w:pStyle w:val="Heading5"/>
        <w:rPr>
          <w:snapToGrid w:val="0"/>
        </w:rPr>
      </w:pPr>
      <w:bookmarkStart w:id="281" w:name="_Toc381880912"/>
      <w:bookmarkStart w:id="282" w:name="_Toc476927285"/>
      <w:r>
        <w:rPr>
          <w:rStyle w:val="CharSectno"/>
        </w:rPr>
        <w:t>31G</w:t>
      </w:r>
      <w:r>
        <w:rPr>
          <w:snapToGrid w:val="0"/>
        </w:rPr>
        <w:t>.</w:t>
      </w:r>
      <w:r>
        <w:rPr>
          <w:snapToGrid w:val="0"/>
        </w:rPr>
        <w:tab/>
        <w:t>Creation of easements</w:t>
      </w:r>
      <w:bookmarkEnd w:id="281"/>
      <w:bookmarkEnd w:id="282"/>
    </w:p>
    <w:p>
      <w:pPr>
        <w:pStyle w:val="Subsection"/>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[Section 31G inserted by No. 61 of 1996 s. 21.]</w:t>
      </w:r>
    </w:p>
    <w:p>
      <w:pPr>
        <w:pStyle w:val="Heading5"/>
        <w:rPr>
          <w:snapToGrid w:val="0"/>
        </w:rPr>
      </w:pPr>
      <w:bookmarkStart w:id="283" w:name="_Toc381880913"/>
      <w:bookmarkStart w:id="284" w:name="_Toc476927286"/>
      <w:r>
        <w:rPr>
          <w:rStyle w:val="CharSectno"/>
        </w:rPr>
        <w:t>31H</w:t>
      </w:r>
      <w:r>
        <w:rPr>
          <w:snapToGrid w:val="0"/>
        </w:rPr>
        <w:t>.</w:t>
      </w:r>
      <w:r>
        <w:rPr>
          <w:snapToGrid w:val="0"/>
        </w:rPr>
        <w:tab/>
        <w:t>Transfers etc. to give effect to resolution</w:t>
      </w:r>
      <w:bookmarkEnd w:id="283"/>
      <w:bookmarkEnd w:id="284"/>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the notice of resolution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31H inserted by No. 61 of 1996 s. 21; amended by No. 12 of 2008 Sch. 1 cl. 36(2).]</w:t>
      </w:r>
    </w:p>
    <w:p>
      <w:pPr>
        <w:pStyle w:val="Heading5"/>
        <w:rPr>
          <w:snapToGrid w:val="0"/>
        </w:rPr>
      </w:pPr>
      <w:bookmarkStart w:id="285" w:name="_Toc381880914"/>
      <w:bookmarkStart w:id="286" w:name="_Toc476927287"/>
      <w:r>
        <w:rPr>
          <w:rStyle w:val="CharSectno"/>
        </w:rPr>
        <w:t>31I</w:t>
      </w:r>
      <w:r>
        <w:rPr>
          <w:snapToGrid w:val="0"/>
        </w:rPr>
        <w:t>.</w:t>
      </w:r>
      <w:r>
        <w:rPr>
          <w:snapToGrid w:val="0"/>
        </w:rPr>
        <w:tab/>
        <w:t>Registration of notice of resolution</w:t>
      </w:r>
      <w:bookmarkEnd w:id="285"/>
      <w:bookmarkEnd w:id="286"/>
    </w:p>
    <w:p>
      <w:pPr>
        <w:pStyle w:val="Subsection"/>
        <w:spacing w:before="120"/>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[Section 31I inserted by No. 61 of 1996 s. 21.]</w:t>
      </w:r>
    </w:p>
    <w:p>
      <w:pPr>
        <w:pStyle w:val="Heading5"/>
        <w:rPr>
          <w:snapToGrid w:val="0"/>
        </w:rPr>
      </w:pPr>
      <w:bookmarkStart w:id="287" w:name="_Toc381880915"/>
      <w:bookmarkStart w:id="288" w:name="_Toc476927288"/>
      <w:r>
        <w:rPr>
          <w:rStyle w:val="CharSectno"/>
        </w:rPr>
        <w:t>31J</w:t>
      </w:r>
      <w:r>
        <w:rPr>
          <w:snapToGrid w:val="0"/>
        </w:rPr>
        <w:t>.</w:t>
      </w:r>
      <w:r>
        <w:rPr>
          <w:snapToGrid w:val="0"/>
        </w:rPr>
        <w:tab/>
        <w:t>Effect of registration</w:t>
      </w:r>
      <w:bookmarkEnd w:id="287"/>
      <w:bookmarkEnd w:id="288"/>
    </w:p>
    <w:p>
      <w:pPr>
        <w:pStyle w:val="Subsection"/>
        <w:spacing w:before="120"/>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rPr>
          <w:snapToGrid w:val="0"/>
        </w:rPr>
      </w:pPr>
      <w:r>
        <w:rPr>
          <w:snapToGrid w:val="0"/>
        </w:rPr>
        <w:tab/>
        <w:t>(2)</w:t>
      </w:r>
      <w:r>
        <w:rPr>
          <w:snapToGrid w:val="0"/>
        </w:rPr>
        <w:tab/>
        <w:t>In addition to —</w:t>
      </w:r>
    </w:p>
    <w:p>
      <w:pPr>
        <w:pStyle w:val="Indenta"/>
        <w:spacing w:before="60"/>
        <w:rPr>
          <w:snapToGrid w:val="0"/>
        </w:rPr>
      </w:pPr>
      <w:r>
        <w:rPr>
          <w:snapToGrid w:val="0"/>
        </w:rPr>
        <w:tab/>
        <w:t>(a)</w:t>
      </w:r>
      <w:r>
        <w:rPr>
          <w:snapToGrid w:val="0"/>
        </w:rPr>
        <w:tab/>
        <w:t>the operation of any transfer, document or disposition statement referred to in section 31H; and</w:t>
      </w:r>
    </w:p>
    <w:p>
      <w:pPr>
        <w:pStyle w:val="Indenta"/>
        <w:spacing w:before="60"/>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spacing w:before="120"/>
        <w:rPr>
          <w:snapToGrid w:val="0"/>
        </w:rPr>
      </w:pPr>
      <w:r>
        <w:rPr>
          <w:snapToGrid w:val="0"/>
        </w:rPr>
        <w:tab/>
        <w:t>(3)</w:t>
      </w:r>
      <w:r>
        <w:rPr>
          <w:snapToGrid w:val="0"/>
        </w:rPr>
        <w:tab/>
        <w:t>Where any area of land —</w:t>
      </w:r>
    </w:p>
    <w:p>
      <w:pPr>
        <w:pStyle w:val="Indenta"/>
        <w:spacing w:before="60"/>
        <w:rPr>
          <w:snapToGrid w:val="0"/>
        </w:rPr>
      </w:pPr>
      <w:r>
        <w:rPr>
          <w:snapToGrid w:val="0"/>
        </w:rPr>
        <w:tab/>
        <w:t>(a)</w:t>
      </w:r>
      <w:r>
        <w:rPr>
          <w:snapToGrid w:val="0"/>
        </w:rPr>
        <w:tab/>
        <w:t>on registration of a notice of resolution becomes part of a lot; and</w:t>
      </w:r>
    </w:p>
    <w:p>
      <w:pPr>
        <w:pStyle w:val="Indenta"/>
        <w:spacing w:before="60"/>
        <w:rPr>
          <w:snapToGrid w:val="0"/>
        </w:rPr>
      </w:pPr>
      <w:r>
        <w:rPr>
          <w:snapToGrid w:val="0"/>
        </w:rPr>
        <w:tab/>
        <w:t>(b)</w:t>
      </w:r>
      <w:r>
        <w:rPr>
          <w:snapToGrid w:val="0"/>
        </w:rPr>
        <w:tab/>
        <w:t>was before that registration subject to —</w:t>
      </w:r>
    </w:p>
    <w:p>
      <w:pPr>
        <w:pStyle w:val="Indenti"/>
        <w:spacing w:before="60"/>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Indenti"/>
        <w:spacing w:before="60"/>
        <w:rPr>
          <w:snapToGrid w:val="0"/>
        </w:rPr>
      </w:pPr>
      <w:r>
        <w:rPr>
          <w:snapToGrid w:val="0"/>
        </w:rPr>
        <w:tab/>
        <w:t>(ii)</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spacing w:before="120"/>
        <w:rPr>
          <w:snapToGrid w:val="0"/>
          <w:spacing w:val="-4"/>
        </w:rPr>
      </w:pPr>
      <w:r>
        <w:rPr>
          <w:snapToGrid w:val="0"/>
          <w:spacing w:val="-4"/>
        </w:rPr>
        <w:tab/>
        <w:t>(4)</w:t>
      </w:r>
      <w:r>
        <w:rPr>
          <w:snapToGrid w:val="0"/>
          <w:spacing w:val="-4"/>
        </w:rPr>
        <w:tab/>
        <w:t>On registration of the notice of resolution each lot is subject to —</w:t>
      </w:r>
    </w:p>
    <w:p>
      <w:pPr>
        <w:pStyle w:val="Indenta"/>
        <w:spacing w:before="60"/>
        <w:rPr>
          <w:snapToGrid w:val="0"/>
        </w:rPr>
      </w:pPr>
      <w:r>
        <w:rPr>
          <w:snapToGrid w:val="0"/>
        </w:rPr>
        <w:tab/>
        <w:t>(a)</w:t>
      </w:r>
      <w:r>
        <w:rPr>
          <w:snapToGrid w:val="0"/>
        </w:rPr>
        <w:tab/>
        <w:t>any encumbrance that was registered; or</w:t>
      </w:r>
    </w:p>
    <w:p>
      <w:pPr>
        <w:pStyle w:val="Indenta"/>
        <w:spacing w:before="60"/>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spacing w:before="120"/>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spacing w:before="120"/>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spacing w:before="120"/>
        <w:rPr>
          <w:snapToGrid w:val="0"/>
        </w:rPr>
      </w:pPr>
      <w:r>
        <w:rPr>
          <w:snapToGrid w:val="0"/>
        </w:rPr>
        <w:tab/>
        <w:t>(7)</w:t>
      </w:r>
      <w:r>
        <w:rPr>
          <w:snapToGrid w:val="0"/>
        </w:rPr>
        <w:tab/>
        <w:t>Any encumbrance or caveat referred to in this section is to be taken to be amended to give effect to that section.</w:t>
      </w:r>
    </w:p>
    <w:p>
      <w:pPr>
        <w:pStyle w:val="Footnotesection"/>
        <w:spacing w:before="100"/>
      </w:pPr>
      <w:r>
        <w:tab/>
        <w:t>[Section 31J inserted by No. 61 of 1996 s. 21.]</w:t>
      </w:r>
    </w:p>
    <w:p>
      <w:pPr>
        <w:pStyle w:val="Heading5"/>
        <w:rPr>
          <w:snapToGrid w:val="0"/>
        </w:rPr>
      </w:pPr>
      <w:bookmarkStart w:id="289" w:name="_Toc381880916"/>
      <w:bookmarkStart w:id="290" w:name="_Toc476927289"/>
      <w:r>
        <w:rPr>
          <w:rStyle w:val="CharSectno"/>
        </w:rPr>
        <w:t>31K</w:t>
      </w:r>
      <w:r>
        <w:rPr>
          <w:snapToGrid w:val="0"/>
        </w:rPr>
        <w:t>.</w:t>
      </w:r>
      <w:r>
        <w:rPr>
          <w:snapToGrid w:val="0"/>
        </w:rPr>
        <w:tab/>
        <w:t>Registrar of Titles to make necessary amendments</w:t>
      </w:r>
      <w:bookmarkEnd w:id="289"/>
      <w:bookmarkEnd w:id="290"/>
    </w:p>
    <w:p>
      <w:pPr>
        <w:pStyle w:val="Subsection"/>
        <w:keepNext/>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[Section 31K inserted by No. 61 of 1996 s. 21; amended by No. 60 of 2006 s. 160(5).]</w:t>
      </w:r>
    </w:p>
    <w:p>
      <w:pPr>
        <w:pStyle w:val="Heading2"/>
      </w:pPr>
      <w:bookmarkStart w:id="291" w:name="_Toc381880917"/>
      <w:bookmarkStart w:id="292" w:name="_Toc418081647"/>
      <w:bookmarkStart w:id="293" w:name="_Toc418081980"/>
      <w:bookmarkStart w:id="294" w:name="_Toc418087769"/>
      <w:bookmarkStart w:id="295" w:name="_Toc421012309"/>
      <w:bookmarkStart w:id="296" w:name="_Toc422408864"/>
      <w:bookmarkStart w:id="297" w:name="_Toc476927290"/>
      <w:r>
        <w:rPr>
          <w:rStyle w:val="CharPartNo"/>
        </w:rPr>
        <w:t>Part IV</w:t>
      </w:r>
      <w:r>
        <w:t> — </w:t>
      </w:r>
      <w:r>
        <w:rPr>
          <w:rStyle w:val="CharPartText"/>
        </w:rPr>
        <w:t>Management</w:t>
      </w:r>
      <w:bookmarkEnd w:id="291"/>
      <w:bookmarkEnd w:id="292"/>
      <w:bookmarkEnd w:id="293"/>
      <w:bookmarkEnd w:id="294"/>
      <w:bookmarkEnd w:id="295"/>
      <w:bookmarkEnd w:id="296"/>
      <w:bookmarkEnd w:id="297"/>
    </w:p>
    <w:p>
      <w:pPr>
        <w:pStyle w:val="Heading3"/>
      </w:pPr>
      <w:bookmarkStart w:id="298" w:name="_Toc381880918"/>
      <w:bookmarkStart w:id="299" w:name="_Toc418081648"/>
      <w:bookmarkStart w:id="300" w:name="_Toc418081981"/>
      <w:bookmarkStart w:id="301" w:name="_Toc418087770"/>
      <w:bookmarkStart w:id="302" w:name="_Toc421012310"/>
      <w:bookmarkStart w:id="303" w:name="_Toc422408865"/>
      <w:bookmarkStart w:id="304" w:name="_Toc476927291"/>
      <w:r>
        <w:rPr>
          <w:rStyle w:val="CharDivNo"/>
        </w:rPr>
        <w:t>Division 1</w:t>
      </w:r>
      <w:r>
        <w:rPr>
          <w:snapToGrid w:val="0"/>
        </w:rPr>
        <w:t> — </w:t>
      </w:r>
      <w:r>
        <w:rPr>
          <w:rStyle w:val="CharDivText"/>
        </w:rPr>
        <w:t>Strata companies</w:t>
      </w:r>
      <w:bookmarkEnd w:id="298"/>
      <w:bookmarkEnd w:id="299"/>
      <w:bookmarkEnd w:id="300"/>
      <w:bookmarkEnd w:id="301"/>
      <w:bookmarkEnd w:id="302"/>
      <w:bookmarkEnd w:id="303"/>
      <w:bookmarkEnd w:id="304"/>
    </w:p>
    <w:p>
      <w:pPr>
        <w:pStyle w:val="Heading5"/>
        <w:rPr>
          <w:snapToGrid w:val="0"/>
        </w:rPr>
      </w:pPr>
      <w:bookmarkStart w:id="305" w:name="_Toc381880919"/>
      <w:bookmarkStart w:id="306" w:name="_Toc476927292"/>
      <w:r>
        <w:rPr>
          <w:rStyle w:val="CharSectno"/>
        </w:rPr>
        <w:t>32</w:t>
      </w:r>
      <w:r>
        <w:rPr>
          <w:snapToGrid w:val="0"/>
        </w:rPr>
        <w:t>.</w:t>
      </w:r>
      <w:r>
        <w:rPr>
          <w:snapToGrid w:val="0"/>
        </w:rPr>
        <w:tab/>
        <w:t>Incorporation of proprietors</w:t>
      </w:r>
      <w:bookmarkEnd w:id="305"/>
      <w:bookmarkEnd w:id="306"/>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w:t>
      </w:r>
    </w:p>
    <w:p>
      <w:pPr>
        <w:pStyle w:val="Indenta"/>
        <w:rPr>
          <w:snapToGrid w:val="0"/>
        </w:rPr>
      </w:pPr>
      <w:r>
        <w:rPr>
          <w:snapToGrid w:val="0"/>
        </w:rPr>
        <w:tab/>
        <w:t>(a)</w:t>
      </w:r>
      <w:r>
        <w:rPr>
          <w:snapToGrid w:val="0"/>
        </w:rPr>
        <w:tab/>
        <w:t>is capable of suing and being sued; and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[Section 32 amended by No. 58 of 1995 s. 36; No. 10 of 2001 s. 189.]</w:t>
      </w:r>
    </w:p>
    <w:p>
      <w:pPr>
        <w:pStyle w:val="Heading5"/>
        <w:rPr>
          <w:snapToGrid w:val="0"/>
        </w:rPr>
      </w:pPr>
      <w:bookmarkStart w:id="307" w:name="_Toc381880920"/>
      <w:bookmarkStart w:id="308" w:name="_Toc476927293"/>
      <w:r>
        <w:rPr>
          <w:rStyle w:val="CharSectno"/>
        </w:rPr>
        <w:t>33</w:t>
      </w:r>
      <w:r>
        <w:rPr>
          <w:snapToGrid w:val="0"/>
        </w:rPr>
        <w:t>.</w:t>
      </w:r>
      <w:r>
        <w:rPr>
          <w:snapToGrid w:val="0"/>
        </w:rPr>
        <w:tab/>
        <w:t>Strata company is representative of proprietors in proceedings</w:t>
      </w:r>
      <w:bookmarkEnd w:id="307"/>
      <w:bookmarkEnd w:id="308"/>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[Section 33 amended by No. 58 of 1995 s. 96.]</w:t>
      </w:r>
    </w:p>
    <w:p>
      <w:pPr>
        <w:pStyle w:val="Heading5"/>
        <w:rPr>
          <w:snapToGrid w:val="0"/>
        </w:rPr>
      </w:pPr>
      <w:bookmarkStart w:id="309" w:name="_Toc381880921"/>
      <w:bookmarkStart w:id="310" w:name="_Toc476927294"/>
      <w:r>
        <w:rPr>
          <w:rStyle w:val="CharSectno"/>
        </w:rPr>
        <w:t>34</w:t>
      </w:r>
      <w:r>
        <w:rPr>
          <w:snapToGrid w:val="0"/>
        </w:rPr>
        <w:t>.</w:t>
      </w:r>
      <w:r>
        <w:rPr>
          <w:snapToGrid w:val="0"/>
        </w:rPr>
        <w:tab/>
        <w:t>Contract formalities</w:t>
      </w:r>
      <w:bookmarkEnd w:id="309"/>
      <w:bookmarkEnd w:id="310"/>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311" w:name="_Toc381880922"/>
      <w:bookmarkStart w:id="312" w:name="_Toc476927295"/>
      <w:r>
        <w:rPr>
          <w:rStyle w:val="CharSectno"/>
        </w:rPr>
        <w:t>35</w:t>
      </w:r>
      <w:r>
        <w:rPr>
          <w:snapToGrid w:val="0"/>
        </w:rPr>
        <w:t>.</w:t>
      </w:r>
      <w:r>
        <w:rPr>
          <w:snapToGrid w:val="0"/>
        </w:rPr>
        <w:tab/>
        <w:t>Duties of strata companies</w:t>
      </w:r>
      <w:bookmarkEnd w:id="311"/>
      <w:bookmarkEnd w:id="312"/>
    </w:p>
    <w:p>
      <w:pPr>
        <w:pStyle w:val="Subsection"/>
        <w:keepNext/>
      </w:pPr>
      <w:r>
        <w:tab/>
        <w:t>(1)</w:t>
      </w:r>
      <w:r>
        <w:tab/>
        <w:t xml:space="preserve">A strata </w:t>
      </w:r>
      <w:r>
        <w:rPr>
          <w:snapToGrid w:val="0"/>
        </w:rPr>
        <w:t>company</w:t>
      </w:r>
      <w:r>
        <w:t xml:space="preserve"> shall —</w:t>
      </w:r>
    </w:p>
    <w:p>
      <w:pPr>
        <w:pStyle w:val="Indenta"/>
        <w:rPr>
          <w:snapToGrid w:val="0"/>
        </w:rPr>
      </w:pPr>
      <w:r>
        <w:rPr>
          <w:snapToGrid w:val="0"/>
        </w:rPr>
        <w:tab/>
        <w:t>(a)</w:t>
      </w:r>
      <w:r>
        <w:rPr>
          <w:snapToGrid w:val="0"/>
        </w:rPr>
        <w:tab/>
        <w:t>enforce the by</w:t>
      </w:r>
      <w:r>
        <w:rPr>
          <w:snapToGrid w:val="0"/>
        </w:rPr>
        <w:noBreakHyphen/>
        <w:t>laws; and</w:t>
      </w:r>
    </w:p>
    <w:p>
      <w:pPr>
        <w:pStyle w:val="Indenta"/>
        <w:rPr>
          <w:snapToGrid w:val="0"/>
        </w:rPr>
      </w:pPr>
      <w:r>
        <w:rPr>
          <w:snapToGrid w:val="0"/>
        </w:rPr>
        <w:tab/>
        <w:t>(b)</w:t>
      </w:r>
      <w:r>
        <w:rPr>
          <w:snapToGrid w:val="0"/>
        </w:rPr>
        <w:tab/>
        <w:t>control and manage the common property for the benefit of all the proprietors; and</w:t>
      </w:r>
    </w:p>
    <w:p>
      <w:pPr>
        <w:pStyle w:val="Indenta"/>
        <w:keepNext/>
        <w:rPr>
          <w:snapToGrid w:val="0"/>
        </w:rPr>
      </w:pPr>
      <w:r>
        <w:rPr>
          <w:snapToGrid w:val="0"/>
        </w:rPr>
        <w:tab/>
        <w:t>(c)</w:t>
      </w:r>
      <w:r>
        <w:rPr>
          <w:snapToGrid w:val="0"/>
        </w:rPr>
        <w:tab/>
        <w:t>keep in good and serviceable repair, properly maintain and, where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 and</w:t>
      </w:r>
    </w:p>
    <w:p>
      <w:pPr>
        <w:pStyle w:val="Ednotepara"/>
        <w:spacing w:before="80"/>
        <w:rPr>
          <w:snapToGrid w:val="0"/>
        </w:rPr>
      </w:pPr>
      <w:r>
        <w:rPr>
          <w:snapToGrid w:val="0"/>
        </w:rPr>
        <w:tab/>
        <w:t>[(d)</w:t>
      </w:r>
      <w:r>
        <w:rPr>
          <w:snapToGrid w:val="0"/>
        </w:rPr>
        <w:tab/>
        <w:t>deleted]</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w:t>
      </w:r>
    </w:p>
    <w:p>
      <w:pPr>
        <w:pStyle w:val="Indenti"/>
        <w:rPr>
          <w:snapToGrid w:val="0"/>
        </w:rPr>
      </w:pPr>
      <w:r>
        <w:rPr>
          <w:snapToGrid w:val="0"/>
        </w:rPr>
        <w:tab/>
        <w:t>(i)</w:t>
      </w:r>
      <w:r>
        <w:rPr>
          <w:snapToGrid w:val="0"/>
        </w:rPr>
        <w:tab/>
        <w:t>the date on which it was served and the manner of service; and</w:t>
      </w:r>
    </w:p>
    <w:p>
      <w:pPr>
        <w:pStyle w:val="Indenti"/>
        <w:rPr>
          <w:snapToGrid w:val="0"/>
        </w:rPr>
      </w:pPr>
      <w:r>
        <w:rPr>
          <w:snapToGrid w:val="0"/>
        </w:rPr>
        <w:tab/>
        <w:t>(ii)</w:t>
      </w:r>
      <w:r>
        <w:rPr>
          <w:snapToGrid w:val="0"/>
        </w:rPr>
        <w:tab/>
        <w:t>the part of the parcel to which it relates; and</w:t>
      </w:r>
    </w:p>
    <w:p>
      <w:pPr>
        <w:pStyle w:val="Indenti"/>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r>
      <w:r>
        <w:rPr>
          <w:snapToGrid w:val="0"/>
          <w:spacing w:val="-4"/>
        </w:rPr>
        <w:tab/>
        <w:t>and</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 and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 and</w:t>
      </w:r>
    </w:p>
    <w:p>
      <w:pPr>
        <w:pStyle w:val="Indenta"/>
        <w:keepNext/>
        <w:spacing w:before="100"/>
        <w:rPr>
          <w:snapToGrid w:val="0"/>
        </w:rPr>
      </w:pPr>
      <w:r>
        <w:rPr>
          <w:snapToGrid w:val="0"/>
        </w:rPr>
        <w:tab/>
        <w:t>(h)</w:t>
      </w:r>
      <w:r>
        <w:rPr>
          <w:snapToGrid w:val="0"/>
        </w:rPr>
        <w:tab/>
        <w:t>cause to be retained for the prescribed period —</w:t>
      </w:r>
    </w:p>
    <w:p>
      <w:pPr>
        <w:pStyle w:val="Indenti"/>
        <w:spacing w:before="100"/>
        <w:rPr>
          <w:snapToGrid w:val="0"/>
        </w:rPr>
      </w:pPr>
      <w:r>
        <w:rPr>
          <w:snapToGrid w:val="0"/>
        </w:rPr>
        <w:tab/>
        <w:t>(i)</w:t>
      </w:r>
      <w:r>
        <w:rPr>
          <w:snapToGrid w:val="0"/>
        </w:rPr>
        <w:tab/>
        <w:t>the records kept under, and the notices and orders referred to in, paragraph (e); and</w:t>
      </w:r>
    </w:p>
    <w:p>
      <w:pPr>
        <w:pStyle w:val="Indenti"/>
        <w:spacing w:before="100"/>
        <w:rPr>
          <w:snapToGrid w:val="0"/>
        </w:rPr>
      </w:pPr>
      <w:r>
        <w:rPr>
          <w:snapToGrid w:val="0"/>
        </w:rPr>
        <w:tab/>
        <w:t>(ii)</w:t>
      </w:r>
      <w:r>
        <w:rPr>
          <w:snapToGrid w:val="0"/>
        </w:rPr>
        <w:tab/>
        <w:t>the minutes and books of account referred to in paragraph (f); and</w:t>
      </w:r>
    </w:p>
    <w:p>
      <w:pPr>
        <w:pStyle w:val="Indenti"/>
        <w:spacing w:before="100"/>
        <w:rPr>
          <w:snapToGrid w:val="0"/>
        </w:rPr>
      </w:pPr>
      <w:r>
        <w:rPr>
          <w:snapToGrid w:val="0"/>
        </w:rPr>
        <w:tab/>
        <w:t>(iii)</w:t>
      </w:r>
      <w:r>
        <w:rPr>
          <w:snapToGrid w:val="0"/>
        </w:rPr>
        <w:tab/>
        <w:t>the statements of account referred to in paragraph (g); and</w:t>
      </w:r>
    </w:p>
    <w:p>
      <w:pPr>
        <w:pStyle w:val="Indenti"/>
        <w:spacing w:before="100"/>
        <w:rPr>
          <w:snapToGrid w:val="0"/>
        </w:rPr>
      </w:pPr>
      <w:r>
        <w:rPr>
          <w:snapToGrid w:val="0"/>
        </w:rPr>
        <w:tab/>
        <w:t>(iv)</w:t>
      </w:r>
      <w:r>
        <w:rPr>
          <w:snapToGrid w:val="0"/>
        </w:rPr>
        <w:tab/>
        <w:t>copies of correspondence received and sent by the strata company; and</w:t>
      </w:r>
    </w:p>
    <w:p>
      <w:pPr>
        <w:pStyle w:val="Indenti"/>
        <w:spacing w:before="100"/>
        <w:rPr>
          <w:snapToGrid w:val="0"/>
        </w:rPr>
      </w:pPr>
      <w:r>
        <w:rPr>
          <w:snapToGrid w:val="0"/>
        </w:rPr>
        <w:tab/>
        <w:t>(v)</w:t>
      </w:r>
      <w:r>
        <w:rPr>
          <w:snapToGrid w:val="0"/>
        </w:rPr>
        <w:tab/>
        <w:t>notices of meetings of the strata company and its council; and</w:t>
      </w:r>
    </w:p>
    <w:p>
      <w:pPr>
        <w:pStyle w:val="Indenti"/>
        <w:spacing w:before="100"/>
        <w:rPr>
          <w:snapToGrid w:val="0"/>
        </w:rPr>
      </w:pPr>
      <w:r>
        <w:rPr>
          <w:snapToGrid w:val="0"/>
        </w:rPr>
        <w:tab/>
        <w:t>(vi)</w:t>
      </w:r>
      <w:r>
        <w:rPr>
          <w:snapToGrid w:val="0"/>
        </w:rPr>
        <w:tab/>
        <w:t>proxies delivered to the strata company; and</w:t>
      </w:r>
    </w:p>
    <w:p>
      <w:pPr>
        <w:pStyle w:val="Indenti"/>
        <w:spacing w:before="100"/>
        <w:rPr>
          <w:snapToGrid w:val="0"/>
        </w:rPr>
      </w:pPr>
      <w:r>
        <w:rPr>
          <w:snapToGrid w:val="0"/>
        </w:rPr>
        <w:tab/>
        <w:t>(vii)</w:t>
      </w:r>
      <w:r>
        <w:rPr>
          <w:snapToGrid w:val="0"/>
        </w:rPr>
        <w:tab/>
        <w:t>voting papers relating to motions for resolutions by the strata company and to the election of office holders and the council; and</w:t>
      </w:r>
    </w:p>
    <w:p>
      <w:pPr>
        <w:pStyle w:val="Indenti"/>
        <w:spacing w:before="100"/>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r>
      <w:r>
        <w:rPr>
          <w:snapToGrid w:val="0"/>
        </w:rPr>
        <w:tab/>
        <w:t>and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 and</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keepNext/>
      </w:pPr>
      <w:r>
        <w:tab/>
        <w:t>(2)</w:t>
      </w:r>
      <w:r>
        <w:tab/>
        <w:t xml:space="preserve">A </w:t>
      </w:r>
      <w:r>
        <w:rPr>
          <w:snapToGrid w:val="0"/>
        </w:rPr>
        <w:t>strata</w:t>
      </w:r>
      <w:r>
        <w:t xml:space="preserve"> company that contravenes subsection (1)(e) or (f) commits an offence and is liable to a fine not exceeding $400.</w:t>
      </w:r>
    </w:p>
    <w:p>
      <w:pPr>
        <w:pStyle w:val="Footnotesection"/>
      </w:pPr>
      <w:r>
        <w:tab/>
        <w:t>[Section 35 amended by No. 58 of 1995 s. 37, 94 and 95; No. 14 of 1996 s. 4.]</w:t>
      </w:r>
    </w:p>
    <w:p>
      <w:pPr>
        <w:pStyle w:val="Heading5"/>
        <w:rPr>
          <w:snapToGrid w:val="0"/>
        </w:rPr>
      </w:pPr>
      <w:bookmarkStart w:id="313" w:name="_Toc381880923"/>
      <w:bookmarkStart w:id="314" w:name="_Toc476927296"/>
      <w:r>
        <w:rPr>
          <w:rStyle w:val="CharSectno"/>
        </w:rPr>
        <w:t>35A</w:t>
      </w:r>
      <w:r>
        <w:rPr>
          <w:snapToGrid w:val="0"/>
        </w:rPr>
        <w:t>.</w:t>
      </w:r>
      <w:r>
        <w:rPr>
          <w:snapToGrid w:val="0"/>
        </w:rPr>
        <w:tab/>
        <w:t>Roll to be kept by strata company</w:t>
      </w:r>
      <w:bookmarkEnd w:id="313"/>
      <w:bookmarkEnd w:id="314"/>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w:t>
      </w:r>
    </w:p>
    <w:p>
      <w:pPr>
        <w:pStyle w:val="Indenta"/>
        <w:rPr>
          <w:snapToGrid w:val="0"/>
        </w:rPr>
      </w:pPr>
      <w:r>
        <w:rPr>
          <w:snapToGrid w:val="0"/>
        </w:rPr>
        <w:tab/>
        <w:t>(a)</w:t>
      </w:r>
      <w:r>
        <w:rPr>
          <w:snapToGrid w:val="0"/>
        </w:rPr>
        <w:tab/>
        <w:t>the plan number allocated by the Registrar of Titles under section 5B(4); and</w:t>
      </w:r>
    </w:p>
    <w:p>
      <w:pPr>
        <w:pStyle w:val="Indenta"/>
        <w:rPr>
          <w:snapToGrid w:val="0"/>
        </w:rPr>
      </w:pPr>
      <w:r>
        <w:rPr>
          <w:snapToGrid w:val="0"/>
        </w:rPr>
        <w:tab/>
        <w:t>(b)</w:t>
      </w:r>
      <w:r>
        <w:rPr>
          <w:snapToGrid w:val="0"/>
        </w:rPr>
        <w:tab/>
        <w:t>the name and address of each proprietor; and</w:t>
      </w:r>
    </w:p>
    <w:p>
      <w:pPr>
        <w:pStyle w:val="Indenta"/>
        <w:rPr>
          <w:snapToGrid w:val="0"/>
        </w:rPr>
      </w:pPr>
      <w:r>
        <w:rPr>
          <w:snapToGrid w:val="0"/>
        </w:rPr>
        <w:tab/>
        <w:t>(c)</w:t>
      </w:r>
      <w:r>
        <w:rPr>
          <w:snapToGrid w:val="0"/>
        </w:rPr>
        <w:tab/>
        <w:t>the address for service of any proprietor or mortgagee of a lot who has notified an address for service to the strata company; and</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 and</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35A inserted by No. 58 of 1995 s. 38(1).]</w:t>
      </w:r>
    </w:p>
    <w:p>
      <w:pPr>
        <w:pStyle w:val="Heading5"/>
        <w:rPr>
          <w:snapToGrid w:val="0"/>
        </w:rPr>
      </w:pPr>
      <w:bookmarkStart w:id="315" w:name="_Toc381880924"/>
      <w:bookmarkStart w:id="316" w:name="_Toc476927297"/>
      <w:r>
        <w:rPr>
          <w:rStyle w:val="CharSectno"/>
        </w:rPr>
        <w:t>36</w:t>
      </w:r>
      <w:r>
        <w:rPr>
          <w:snapToGrid w:val="0"/>
        </w:rPr>
        <w:t>.</w:t>
      </w:r>
      <w:r>
        <w:rPr>
          <w:snapToGrid w:val="0"/>
        </w:rPr>
        <w:tab/>
        <w:t>Levy of contributions on proprietors</w:t>
      </w:r>
      <w:bookmarkEnd w:id="315"/>
      <w:bookmarkEnd w:id="316"/>
    </w:p>
    <w:p>
      <w:pPr>
        <w:pStyle w:val="Subsection"/>
        <w:keepNext/>
        <w:rPr>
          <w:snapToGrid w:val="0"/>
        </w:rPr>
      </w:pPr>
      <w:r>
        <w:rPr>
          <w:snapToGrid w:val="0"/>
        </w:rPr>
        <w:tab/>
        <w:t>(1)</w:t>
      </w:r>
      <w:r>
        <w:rPr>
          <w:snapToGrid w:val="0"/>
        </w:rPr>
        <w:tab/>
        <w:t>A strata company shall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 and</w:t>
      </w:r>
    </w:p>
    <w:p>
      <w:pPr>
        <w:pStyle w:val="Indenta"/>
        <w:rPr>
          <w:snapToGrid w:val="0"/>
        </w:rPr>
      </w:pPr>
      <w:r>
        <w:rPr>
          <w:snapToGrid w:val="0"/>
        </w:rPr>
        <w:tab/>
        <w:t>(b)</w:t>
      </w:r>
      <w:r>
        <w:rPr>
          <w:snapToGrid w:val="0"/>
        </w:rPr>
        <w:tab/>
        <w:t>determine from time to time the amounts to be raised for the purposes described in paragraph (a); and</w:t>
      </w:r>
    </w:p>
    <w:p>
      <w:pPr>
        <w:pStyle w:val="Indenta"/>
        <w:keepNext/>
        <w:spacing w:before="120"/>
        <w:rPr>
          <w:snapToGrid w:val="0"/>
        </w:rPr>
      </w:pPr>
      <w:r>
        <w:rPr>
          <w:snapToGrid w:val="0"/>
        </w:rPr>
        <w:tab/>
        <w:t>(c)</w:t>
      </w:r>
      <w:r>
        <w:rPr>
          <w:snapToGrid w:val="0"/>
        </w:rPr>
        <w:tab/>
        <w:t>raise amounts so determined by levying contributions on proprietors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 and</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 and</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[Section 36 amended by No. 58 of 1995 s. 39; No. 14 of 1996 s. 4.]</w:t>
      </w:r>
    </w:p>
    <w:p>
      <w:pPr>
        <w:pStyle w:val="Heading5"/>
        <w:spacing w:before="180"/>
        <w:rPr>
          <w:snapToGrid w:val="0"/>
        </w:rPr>
      </w:pPr>
      <w:bookmarkStart w:id="317" w:name="_Toc381880925"/>
      <w:bookmarkStart w:id="318" w:name="_Toc476927298"/>
      <w:r>
        <w:rPr>
          <w:rStyle w:val="CharSectno"/>
        </w:rPr>
        <w:t>36A</w:t>
      </w:r>
      <w:r>
        <w:rPr>
          <w:snapToGrid w:val="0"/>
        </w:rPr>
        <w:t>.</w:t>
      </w:r>
      <w:r>
        <w:rPr>
          <w:snapToGrid w:val="0"/>
        </w:rPr>
        <w:tab/>
        <w:t>Certain provisions do not apply to companies for two</w:t>
      </w:r>
      <w:r>
        <w:rPr>
          <w:snapToGrid w:val="0"/>
        </w:rPr>
        <w:noBreakHyphen/>
        <w:t>lot schemes</w:t>
      </w:r>
      <w:bookmarkEnd w:id="317"/>
      <w:bookmarkEnd w:id="318"/>
    </w:p>
    <w:p>
      <w:pPr>
        <w:pStyle w:val="Subsection"/>
        <w:rPr>
          <w:snapToGrid w:val="0"/>
        </w:rPr>
      </w:pPr>
      <w:r>
        <w:rPr>
          <w:snapToGrid w:val="0"/>
        </w:rPr>
        <w:tab/>
        <w:t>(1)</w:t>
      </w:r>
      <w:r>
        <w:rPr>
          <w:snapToGrid w:val="0"/>
        </w:rPr>
        <w:tab/>
        <w:t>Despite sections 35, 35A and 36, the provisions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rPr>
          <w:tblHeader/>
        </w:trPr>
        <w:tc>
          <w:tcPr>
            <w:tcW w:w="2126" w:type="dxa"/>
          </w:tcPr>
          <w:p>
            <w:pPr>
              <w:pStyle w:val="TableNAm"/>
              <w:keepNext/>
              <w:keepLines/>
              <w:spacing w:before="60"/>
              <w:rPr>
                <w:b/>
                <w:snapToGrid w:val="0"/>
              </w:rPr>
            </w:pPr>
            <w:r>
              <w:rPr>
                <w:b/>
                <w:snapToGrid w:val="0"/>
              </w:rPr>
              <w:t>section</w:t>
            </w:r>
          </w:p>
        </w:tc>
        <w:tc>
          <w:tcPr>
            <w:tcW w:w="4111" w:type="dxa"/>
          </w:tcPr>
          <w:p>
            <w:pPr>
              <w:pStyle w:val="TableNAm"/>
              <w:keepNext/>
              <w:keepLines/>
              <w:spacing w:before="60"/>
              <w:rPr>
                <w:b/>
                <w:snapToGrid w:val="0"/>
              </w:rPr>
            </w:pPr>
            <w:r>
              <w:rPr>
                <w:b/>
                <w:snapToGrid w:val="0"/>
              </w:rPr>
              <w:t>relating to</w:t>
            </w:r>
          </w:p>
        </w:tc>
      </w:tr>
      <w:tr>
        <w:tc>
          <w:tcPr>
            <w:tcW w:w="2126" w:type="dxa"/>
          </w:tcPr>
          <w:p>
            <w:pPr>
              <w:pStyle w:val="TableNAm"/>
              <w:spacing w:before="60"/>
              <w:rPr>
                <w:snapToGrid w:val="0"/>
              </w:rPr>
            </w:pPr>
            <w:r>
              <w:rPr>
                <w:snapToGrid w:val="0"/>
              </w:rPr>
              <w:t>35(1)(f)</w:t>
            </w:r>
          </w:p>
        </w:tc>
        <w:tc>
          <w:tcPr>
            <w:tcW w:w="4111" w:type="dxa"/>
          </w:tcPr>
          <w:p>
            <w:pPr>
              <w:pStyle w:val="TableNAm"/>
              <w:spacing w:before="60"/>
              <w:rPr>
                <w:snapToGrid w:val="0"/>
              </w:rPr>
            </w:pPr>
            <w:r>
              <w:rPr>
                <w:snapToGrid w:val="0"/>
              </w:rPr>
              <w:t>minutes of meetings, books of account</w:t>
            </w:r>
          </w:p>
        </w:tc>
      </w:tr>
      <w:tr>
        <w:tc>
          <w:tcPr>
            <w:tcW w:w="2126" w:type="dxa"/>
          </w:tcPr>
          <w:p>
            <w:pPr>
              <w:pStyle w:val="TableNAm"/>
              <w:spacing w:before="60"/>
              <w:rPr>
                <w:snapToGrid w:val="0"/>
              </w:rPr>
            </w:pPr>
            <w:r>
              <w:rPr>
                <w:snapToGrid w:val="0"/>
              </w:rPr>
              <w:t>35(1)(g)</w:t>
            </w:r>
          </w:p>
        </w:tc>
        <w:tc>
          <w:tcPr>
            <w:tcW w:w="4111" w:type="dxa"/>
          </w:tcPr>
          <w:p>
            <w:pPr>
              <w:pStyle w:val="TableNAm"/>
              <w:spacing w:before="60"/>
              <w:rPr>
                <w:snapToGrid w:val="0"/>
              </w:rPr>
            </w:pPr>
            <w:r>
              <w:rPr>
                <w:snapToGrid w:val="0"/>
              </w:rPr>
              <w:t>statements of account</w:t>
            </w:r>
          </w:p>
        </w:tc>
      </w:tr>
      <w:tr>
        <w:tc>
          <w:tcPr>
            <w:tcW w:w="2126" w:type="dxa"/>
          </w:tcPr>
          <w:p>
            <w:pPr>
              <w:pStyle w:val="TableNAm"/>
              <w:spacing w:before="60"/>
              <w:rPr>
                <w:snapToGrid w:val="0"/>
              </w:rPr>
            </w:pPr>
            <w:r>
              <w:rPr>
                <w:snapToGrid w:val="0"/>
              </w:rPr>
              <w:t>35(1)(i)</w:t>
            </w:r>
          </w:p>
        </w:tc>
        <w:tc>
          <w:tcPr>
            <w:tcW w:w="4111" w:type="dxa"/>
          </w:tcPr>
          <w:p>
            <w:pPr>
              <w:pStyle w:val="TableNAm"/>
              <w:spacing w:before="60"/>
              <w:rPr>
                <w:snapToGrid w:val="0"/>
              </w:rPr>
            </w:pPr>
            <w:r>
              <w:rPr>
                <w:snapToGrid w:val="0"/>
              </w:rPr>
              <w:t>receptacle for postal delivery</w:t>
            </w:r>
          </w:p>
        </w:tc>
      </w:tr>
      <w:tr>
        <w:tc>
          <w:tcPr>
            <w:tcW w:w="2126" w:type="dxa"/>
          </w:tcPr>
          <w:p>
            <w:pPr>
              <w:pStyle w:val="TableNAm"/>
              <w:spacing w:before="60"/>
              <w:rPr>
                <w:snapToGrid w:val="0"/>
              </w:rPr>
            </w:pPr>
            <w:r>
              <w:rPr>
                <w:snapToGrid w:val="0"/>
              </w:rPr>
              <w:t>35A(1)</w:t>
            </w:r>
          </w:p>
        </w:tc>
        <w:tc>
          <w:tcPr>
            <w:tcW w:w="4111" w:type="dxa"/>
          </w:tcPr>
          <w:p>
            <w:pPr>
              <w:pStyle w:val="TableNAm"/>
              <w:spacing w:before="60"/>
              <w:rPr>
                <w:snapToGrid w:val="0"/>
              </w:rPr>
            </w:pPr>
            <w:r>
              <w:rPr>
                <w:snapToGrid w:val="0"/>
              </w:rPr>
              <w:t>roll of proprietors etc.</w:t>
            </w:r>
          </w:p>
        </w:tc>
      </w:tr>
      <w:tr>
        <w:tc>
          <w:tcPr>
            <w:tcW w:w="2126" w:type="dxa"/>
          </w:tcPr>
          <w:p>
            <w:pPr>
              <w:pStyle w:val="TableNAm"/>
              <w:spacing w:before="60"/>
              <w:rPr>
                <w:snapToGrid w:val="0"/>
              </w:rPr>
            </w:pPr>
            <w:r>
              <w:rPr>
                <w:snapToGrid w:val="0"/>
              </w:rPr>
              <w:t>36(1)(a)</w:t>
            </w:r>
          </w:p>
        </w:tc>
        <w:tc>
          <w:tcPr>
            <w:tcW w:w="4111" w:type="dxa"/>
          </w:tcPr>
          <w:p>
            <w:pPr>
              <w:pStyle w:val="TableNAm"/>
              <w:spacing w:before="60"/>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[Section 36A inserted by No. 58 of 1995 s. 40.]</w:t>
      </w:r>
    </w:p>
    <w:p>
      <w:pPr>
        <w:pStyle w:val="Heading5"/>
        <w:spacing w:before="180"/>
        <w:rPr>
          <w:snapToGrid w:val="0"/>
        </w:rPr>
      </w:pPr>
      <w:bookmarkStart w:id="319" w:name="_Toc381880926"/>
      <w:bookmarkStart w:id="320" w:name="_Toc476927299"/>
      <w:r>
        <w:rPr>
          <w:rStyle w:val="CharSectno"/>
        </w:rPr>
        <w:t>36B</w:t>
      </w:r>
      <w:r>
        <w:rPr>
          <w:snapToGrid w:val="0"/>
        </w:rPr>
        <w:t>.</w:t>
      </w:r>
      <w:r>
        <w:rPr>
          <w:snapToGrid w:val="0"/>
        </w:rPr>
        <w:tab/>
        <w:t>Certain provisions may be excluded for 3, 4 or 5 lot schemes</w:t>
      </w:r>
      <w:bookmarkEnd w:id="319"/>
      <w:bookmarkEnd w:id="320"/>
    </w:p>
    <w:p>
      <w:pPr>
        <w:pStyle w:val="Subsection"/>
        <w:spacing w:before="120"/>
      </w:pPr>
      <w:r>
        <w:tab/>
        <w:t>(1)</w:t>
      </w:r>
      <w:r>
        <w:tab/>
        <w:t>Despite sections 35, 35A and 36, any provision of this Act —</w:t>
      </w:r>
    </w:p>
    <w:p>
      <w:pPr>
        <w:pStyle w:val="Indenta"/>
        <w:spacing w:before="60"/>
        <w:rPr>
          <w:snapToGrid w:val="0"/>
        </w:rPr>
      </w:pPr>
      <w:r>
        <w:rPr>
          <w:snapToGrid w:val="0"/>
        </w:rPr>
        <w:tab/>
        <w:t>(a)</w:t>
      </w:r>
      <w:r>
        <w:rPr>
          <w:snapToGrid w:val="0"/>
        </w:rPr>
        <w:tab/>
        <w:t>specified in the table to this subsection; or</w:t>
      </w:r>
    </w:p>
    <w:p>
      <w:pPr>
        <w:pStyle w:val="Indenta"/>
        <w:spacing w:before="60"/>
        <w:rPr>
          <w:snapToGrid w:val="0"/>
        </w:rPr>
      </w:pPr>
      <w:r>
        <w:rPr>
          <w:snapToGrid w:val="0"/>
        </w:rPr>
        <w:tab/>
        <w:t>(b)</w:t>
      </w:r>
      <w:r>
        <w:rPr>
          <w:snapToGrid w:val="0"/>
        </w:rPr>
        <w:tab/>
        <w:t>prescribed by the regulations,</w:t>
      </w:r>
    </w:p>
    <w:p>
      <w:pPr>
        <w:pStyle w:val="Subsection"/>
        <w:spacing w:before="12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spacing w:before="120"/>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2149"/>
        <w:gridCol w:w="4088"/>
      </w:tblGrid>
      <w:tr>
        <w:trPr>
          <w:tblHeader/>
        </w:trPr>
        <w:tc>
          <w:tcPr>
            <w:tcW w:w="2149" w:type="dxa"/>
          </w:tcPr>
          <w:p>
            <w:pPr>
              <w:pStyle w:val="TableNAm"/>
              <w:spacing w:before="60"/>
              <w:rPr>
                <w:b/>
                <w:snapToGrid w:val="0"/>
              </w:rPr>
            </w:pPr>
            <w:r>
              <w:rPr>
                <w:b/>
                <w:snapToGrid w:val="0"/>
              </w:rPr>
              <w:t>section</w:t>
            </w:r>
          </w:p>
        </w:tc>
        <w:tc>
          <w:tcPr>
            <w:tcW w:w="4088" w:type="dxa"/>
          </w:tcPr>
          <w:p>
            <w:pPr>
              <w:pStyle w:val="TableNAm"/>
              <w:spacing w:before="60"/>
              <w:rPr>
                <w:b/>
                <w:snapToGrid w:val="0"/>
              </w:rPr>
            </w:pPr>
            <w:r>
              <w:rPr>
                <w:b/>
                <w:snapToGrid w:val="0"/>
              </w:rPr>
              <w:t>relating to</w:t>
            </w:r>
          </w:p>
        </w:tc>
      </w:tr>
      <w:tr>
        <w:tc>
          <w:tcPr>
            <w:tcW w:w="2149" w:type="dxa"/>
          </w:tcPr>
          <w:p>
            <w:pPr>
              <w:pStyle w:val="TableNAm"/>
              <w:spacing w:before="60"/>
              <w:rPr>
                <w:snapToGrid w:val="0"/>
              </w:rPr>
            </w:pPr>
            <w:r>
              <w:rPr>
                <w:snapToGrid w:val="0"/>
              </w:rPr>
              <w:t>35(1)(f)</w:t>
            </w:r>
          </w:p>
        </w:tc>
        <w:tc>
          <w:tcPr>
            <w:tcW w:w="4088" w:type="dxa"/>
          </w:tcPr>
          <w:p>
            <w:pPr>
              <w:pStyle w:val="TableNAm"/>
              <w:spacing w:before="60"/>
              <w:rPr>
                <w:snapToGrid w:val="0"/>
              </w:rPr>
            </w:pPr>
            <w:r>
              <w:rPr>
                <w:snapToGrid w:val="0"/>
              </w:rPr>
              <w:t>minutes of meetings, books of account</w:t>
            </w:r>
          </w:p>
        </w:tc>
      </w:tr>
      <w:tr>
        <w:tc>
          <w:tcPr>
            <w:tcW w:w="2149" w:type="dxa"/>
          </w:tcPr>
          <w:p>
            <w:pPr>
              <w:pStyle w:val="TableNAm"/>
              <w:spacing w:before="60"/>
              <w:rPr>
                <w:snapToGrid w:val="0"/>
              </w:rPr>
            </w:pPr>
            <w:r>
              <w:rPr>
                <w:snapToGrid w:val="0"/>
              </w:rPr>
              <w:t>35(1)(g)</w:t>
            </w:r>
          </w:p>
        </w:tc>
        <w:tc>
          <w:tcPr>
            <w:tcW w:w="4088" w:type="dxa"/>
          </w:tcPr>
          <w:p>
            <w:pPr>
              <w:pStyle w:val="TableNAm"/>
              <w:spacing w:before="60"/>
              <w:rPr>
                <w:snapToGrid w:val="0"/>
              </w:rPr>
            </w:pPr>
            <w:r>
              <w:rPr>
                <w:snapToGrid w:val="0"/>
              </w:rPr>
              <w:t>statements of account</w:t>
            </w:r>
          </w:p>
        </w:tc>
      </w:tr>
      <w:tr>
        <w:tc>
          <w:tcPr>
            <w:tcW w:w="2149" w:type="dxa"/>
          </w:tcPr>
          <w:p>
            <w:pPr>
              <w:pStyle w:val="TableNAm"/>
              <w:spacing w:before="60"/>
              <w:rPr>
                <w:snapToGrid w:val="0"/>
              </w:rPr>
            </w:pPr>
            <w:r>
              <w:rPr>
                <w:snapToGrid w:val="0"/>
              </w:rPr>
              <w:t>35(1)(i)</w:t>
            </w:r>
          </w:p>
        </w:tc>
        <w:tc>
          <w:tcPr>
            <w:tcW w:w="4088" w:type="dxa"/>
          </w:tcPr>
          <w:p>
            <w:pPr>
              <w:pStyle w:val="TableNAm"/>
              <w:spacing w:before="60"/>
              <w:rPr>
                <w:snapToGrid w:val="0"/>
              </w:rPr>
            </w:pPr>
            <w:r>
              <w:rPr>
                <w:snapToGrid w:val="0"/>
              </w:rPr>
              <w:t>receptacle for postal delivery</w:t>
            </w:r>
          </w:p>
        </w:tc>
      </w:tr>
      <w:tr>
        <w:tc>
          <w:tcPr>
            <w:tcW w:w="2149" w:type="dxa"/>
          </w:tcPr>
          <w:p>
            <w:pPr>
              <w:pStyle w:val="TableNAm"/>
              <w:spacing w:before="60"/>
              <w:rPr>
                <w:snapToGrid w:val="0"/>
              </w:rPr>
            </w:pPr>
            <w:r>
              <w:rPr>
                <w:snapToGrid w:val="0"/>
              </w:rPr>
              <w:t>35A(1)</w:t>
            </w:r>
          </w:p>
        </w:tc>
        <w:tc>
          <w:tcPr>
            <w:tcW w:w="4088" w:type="dxa"/>
          </w:tcPr>
          <w:p>
            <w:pPr>
              <w:pStyle w:val="TableNAm"/>
              <w:spacing w:before="60"/>
              <w:rPr>
                <w:snapToGrid w:val="0"/>
              </w:rPr>
            </w:pPr>
            <w:r>
              <w:rPr>
                <w:snapToGrid w:val="0"/>
              </w:rPr>
              <w:t>roll of proprietors etc.</w:t>
            </w:r>
          </w:p>
        </w:tc>
      </w:tr>
      <w:tr>
        <w:tc>
          <w:tcPr>
            <w:tcW w:w="2149" w:type="dxa"/>
          </w:tcPr>
          <w:p>
            <w:pPr>
              <w:pStyle w:val="TableNAm"/>
              <w:spacing w:before="60"/>
              <w:rPr>
                <w:snapToGrid w:val="0"/>
              </w:rPr>
            </w:pPr>
            <w:r>
              <w:rPr>
                <w:snapToGrid w:val="0"/>
              </w:rPr>
              <w:t>36(1)(a)</w:t>
            </w:r>
          </w:p>
        </w:tc>
        <w:tc>
          <w:tcPr>
            <w:tcW w:w="4088" w:type="dxa"/>
          </w:tcPr>
          <w:p>
            <w:pPr>
              <w:pStyle w:val="TableNAm"/>
              <w:spacing w:before="60"/>
              <w:rPr>
                <w:snapToGrid w:val="0"/>
              </w:rPr>
            </w:pPr>
            <w:r>
              <w:rPr>
                <w:snapToGrid w:val="0"/>
              </w:rPr>
              <w:t>fund for administrative purposes.</w:t>
            </w:r>
          </w:p>
        </w:tc>
      </w:tr>
    </w:tbl>
    <w:p>
      <w:pPr>
        <w:pStyle w:val="Subsection"/>
        <w:keepNext/>
      </w:pPr>
      <w:r>
        <w:tab/>
        <w:t>(2)</w:t>
      </w:r>
      <w:r>
        <w:tab/>
        <w:t xml:space="preserve">In </w:t>
      </w:r>
      <w:r>
        <w:rPr>
          <w:snapToGrid w:val="0"/>
        </w:rPr>
        <w:t>subsection</w:t>
      </w:r>
      <w:r>
        <w:t xml:space="preserve"> (1) </w:t>
      </w:r>
      <w:r>
        <w:rPr>
          <w:rStyle w:val="CharDefText"/>
        </w:rPr>
        <w:t>lot</w:t>
      </w:r>
      <w:r>
        <w:t xml:space="preserve"> does not include a lot in a survey</w:t>
      </w:r>
      <w:r>
        <w:noBreakHyphen/>
        <w:t>strata scheme that is designated as a common property lot.</w:t>
      </w:r>
    </w:p>
    <w:p>
      <w:pPr>
        <w:pStyle w:val="Footnotesection"/>
        <w:ind w:left="890" w:hanging="890"/>
      </w:pPr>
      <w:r>
        <w:tab/>
        <w:t>[Section 36B inserted by No. 58 of 1995 s. 40.]</w:t>
      </w:r>
    </w:p>
    <w:p>
      <w:pPr>
        <w:pStyle w:val="Heading5"/>
        <w:rPr>
          <w:snapToGrid w:val="0"/>
        </w:rPr>
      </w:pPr>
      <w:bookmarkStart w:id="321" w:name="_Toc381880927"/>
      <w:bookmarkStart w:id="322" w:name="_Toc476927300"/>
      <w:r>
        <w:rPr>
          <w:rStyle w:val="CharSectno"/>
        </w:rPr>
        <w:t>37</w:t>
      </w:r>
      <w:r>
        <w:rPr>
          <w:snapToGrid w:val="0"/>
        </w:rPr>
        <w:t>.</w:t>
      </w:r>
      <w:r>
        <w:rPr>
          <w:snapToGrid w:val="0"/>
        </w:rPr>
        <w:tab/>
        <w:t>Powers of strata company</w:t>
      </w:r>
      <w:bookmarkEnd w:id="321"/>
      <w:bookmarkEnd w:id="322"/>
    </w:p>
    <w:p>
      <w:pPr>
        <w:pStyle w:val="Subsection"/>
        <w:rPr>
          <w:snapToGrid w:val="0"/>
        </w:rPr>
      </w:pPr>
      <w:r>
        <w:rPr>
          <w:snapToGrid w:val="0"/>
        </w:rPr>
        <w:tab/>
        <w:t>(1)</w:t>
      </w:r>
      <w:r>
        <w:rPr>
          <w:snapToGrid w:val="0"/>
        </w:rPr>
        <w:tab/>
        <w:t>A strata company may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 and</w:t>
      </w:r>
    </w:p>
    <w:p>
      <w:pPr>
        <w:pStyle w:val="Indenta"/>
        <w:rPr>
          <w:snapToGrid w:val="0"/>
        </w:rPr>
      </w:pPr>
      <w:r>
        <w:rPr>
          <w:snapToGrid w:val="0"/>
        </w:rPr>
        <w:tab/>
        <w:t>(b)</w:t>
      </w:r>
      <w:r>
        <w:rPr>
          <w:snapToGrid w:val="0"/>
        </w:rPr>
        <w:tab/>
        <w:t>sell or otherwise dispose of personal property owned by it; and</w:t>
      </w:r>
    </w:p>
    <w:p>
      <w:pPr>
        <w:pStyle w:val="Indenta"/>
        <w:rPr>
          <w:snapToGrid w:val="0"/>
        </w:rPr>
      </w:pPr>
      <w:r>
        <w:rPr>
          <w:snapToGrid w:val="0"/>
        </w:rPr>
        <w:tab/>
        <w:t>(c)</w:t>
      </w:r>
      <w:r>
        <w:rPr>
          <w:snapToGrid w:val="0"/>
        </w:rPr>
        <w:tab/>
        <w:t>borrow moneys required by it in the performance of its functions; and</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 and</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 and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 and</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323" w:name="_Toc381880928"/>
      <w:bookmarkStart w:id="324" w:name="_Toc476927301"/>
      <w:r>
        <w:rPr>
          <w:rStyle w:val="CharSectno"/>
        </w:rPr>
        <w:t>38</w:t>
      </w:r>
      <w:r>
        <w:rPr>
          <w:snapToGrid w:val="0"/>
        </w:rPr>
        <w:t>.</w:t>
      </w:r>
      <w:r>
        <w:rPr>
          <w:snapToGrid w:val="0"/>
        </w:rPr>
        <w:tab/>
        <w:t>Power of strata company to carry out work</w:t>
      </w:r>
      <w:bookmarkEnd w:id="323"/>
      <w:bookmarkEnd w:id="324"/>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[Section 38 amended by No. 14 of 1996 s. 4; No. 55 of 2004 s. 1119.]</w:t>
      </w:r>
    </w:p>
    <w:p>
      <w:pPr>
        <w:pStyle w:val="Heading5"/>
        <w:rPr>
          <w:snapToGrid w:val="0"/>
        </w:rPr>
      </w:pPr>
      <w:bookmarkStart w:id="325" w:name="_Toc381880929"/>
      <w:bookmarkStart w:id="326" w:name="_Toc476927302"/>
      <w:r>
        <w:rPr>
          <w:rStyle w:val="CharSectno"/>
        </w:rPr>
        <w:t>39</w:t>
      </w:r>
      <w:r>
        <w:rPr>
          <w:snapToGrid w:val="0"/>
        </w:rPr>
        <w:t>.</w:t>
      </w:r>
      <w:r>
        <w:rPr>
          <w:snapToGrid w:val="0"/>
        </w:rPr>
        <w:tab/>
        <w:t>Power of strata company to enter</w:t>
      </w:r>
      <w:bookmarkEnd w:id="325"/>
      <w:bookmarkEnd w:id="326"/>
    </w:p>
    <w:p>
      <w:pPr>
        <w:pStyle w:val="Subsection"/>
        <w:keepNext/>
        <w:rPr>
          <w:snapToGrid w:val="0"/>
        </w:rPr>
      </w:pPr>
      <w:r>
        <w:rPr>
          <w:snapToGrid w:val="0"/>
        </w:rPr>
        <w:tab/>
        <w:t>(1)</w:t>
      </w:r>
      <w:r>
        <w:rPr>
          <w:snapToGrid w:val="0"/>
        </w:rPr>
        <w:tab/>
        <w:t>For the purpose of carrying out —</w:t>
      </w:r>
    </w:p>
    <w:p>
      <w:pPr>
        <w:pStyle w:val="Indenta"/>
        <w:rPr>
          <w:snapToGrid w:val="0"/>
        </w:rPr>
      </w:pPr>
      <w:r>
        <w:rPr>
          <w:snapToGrid w:val="0"/>
        </w:rPr>
        <w:tab/>
        <w:t>(a)</w:t>
      </w:r>
      <w:r>
        <w:rPr>
          <w:snapToGrid w:val="0"/>
        </w:rPr>
        <w:tab/>
        <w:t>any work pursuant to section 38(1), (2), (3) or (6); or</w:t>
      </w:r>
    </w:p>
    <w:p>
      <w:pPr>
        <w:pStyle w:val="Indenta"/>
        <w:rPr>
          <w:snapToGrid w:val="0"/>
        </w:rPr>
      </w:pPr>
      <w:r>
        <w:rPr>
          <w:snapToGrid w:val="0"/>
        </w:rPr>
        <w:tab/>
        <w:t>(b)</w:t>
      </w:r>
      <w:r>
        <w:rPr>
          <w:snapToGrid w:val="0"/>
        </w:rPr>
        <w:tab/>
        <w:t>any work required to be carried out by a strata company by a notice or order of a public authority or local government; or</w:t>
      </w:r>
    </w:p>
    <w:p>
      <w:pPr>
        <w:pStyle w:val="Indenta"/>
        <w:rPr>
          <w:snapToGrid w:val="0"/>
        </w:rPr>
      </w:pPr>
      <w:r>
        <w:rPr>
          <w:snapToGrid w:val="0"/>
        </w:rPr>
        <w:tab/>
        <w:t>(c)</w:t>
      </w:r>
      <w:r>
        <w:rPr>
          <w:snapToGrid w:val="0"/>
        </w:rPr>
        <w:tab/>
        <w:t>any work referred to in section 35(1)(c); or</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40"/>
        <w:rPr>
          <w:snapToGrid w:val="0"/>
        </w:rPr>
      </w:pPr>
      <w:r>
        <w:rPr>
          <w:snapToGrid w:val="0"/>
        </w:rPr>
        <w:tab/>
        <w:t>(2)</w:t>
      </w:r>
      <w:r>
        <w:rPr>
          <w:snapToGrid w:val="0"/>
        </w:rPr>
        <w:tab/>
        <w:t>The strata company may, by its agents, enter upon any part of the parcel for the purpose of —</w:t>
      </w:r>
    </w:p>
    <w:p>
      <w:pPr>
        <w:pStyle w:val="Indenta"/>
        <w:spacing w:before="60"/>
        <w:rPr>
          <w:snapToGrid w:val="0"/>
        </w:rPr>
      </w:pPr>
      <w:r>
        <w:rPr>
          <w:snapToGrid w:val="0"/>
        </w:rPr>
        <w:tab/>
        <w:t>(a)</w:t>
      </w:r>
      <w:r>
        <w:rPr>
          <w:snapToGrid w:val="0"/>
        </w:rPr>
        <w:tab/>
        <w:t>inspecting that part of the parcel; or</w:t>
      </w:r>
    </w:p>
    <w:p>
      <w:pPr>
        <w:pStyle w:val="Indenta"/>
        <w:spacing w:before="60"/>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spacing w:before="140"/>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spacing w:before="100"/>
      </w:pPr>
      <w:r>
        <w:tab/>
        <w:t>[Section 39 amended by No. 58 of 1995 s. 94; No. 14 of 1996 s. 4; No. 74 of 2003 s. 112(12); No. 55 of 2004 s. 1120.]</w:t>
      </w:r>
    </w:p>
    <w:p>
      <w:pPr>
        <w:pStyle w:val="Heading5"/>
        <w:rPr>
          <w:snapToGrid w:val="0"/>
        </w:rPr>
      </w:pPr>
      <w:bookmarkStart w:id="327" w:name="_Toc381880930"/>
      <w:bookmarkStart w:id="328" w:name="_Toc476927303"/>
      <w:r>
        <w:rPr>
          <w:rStyle w:val="CharSectno"/>
        </w:rPr>
        <w:t>39A</w:t>
      </w:r>
      <w:r>
        <w:rPr>
          <w:snapToGrid w:val="0"/>
        </w:rPr>
        <w:t>.</w:t>
      </w:r>
      <w:r>
        <w:rPr>
          <w:snapToGrid w:val="0"/>
        </w:rPr>
        <w:tab/>
        <w:t>Power to terminate certain contracts for services</w:t>
      </w:r>
      <w:bookmarkEnd w:id="327"/>
      <w:bookmarkEnd w:id="328"/>
    </w:p>
    <w:p>
      <w:pPr>
        <w:pStyle w:val="Subsection"/>
        <w:spacing w:before="120"/>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spacing w:before="120"/>
        <w:rPr>
          <w:snapToGrid w:val="0"/>
        </w:rPr>
      </w:pPr>
      <w:r>
        <w:rPr>
          <w:snapToGrid w:val="0"/>
        </w:rPr>
        <w:tab/>
        <w:t>(2)</w:t>
      </w:r>
      <w:r>
        <w:rPr>
          <w:snapToGrid w:val="0"/>
        </w:rPr>
        <w:tab/>
        <w:t>No cause of action against any person arises from the exercise of the power referred to in subsection (1).</w:t>
      </w:r>
    </w:p>
    <w:p>
      <w:pPr>
        <w:pStyle w:val="Subsection"/>
        <w:spacing w:before="120"/>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spacing w:before="120"/>
        <w:rPr>
          <w:snapToGrid w:val="0"/>
        </w:rPr>
      </w:pPr>
      <w:r>
        <w:rPr>
          <w:snapToGrid w:val="0"/>
        </w:rPr>
        <w:tab/>
        <w:t>(4)</w:t>
      </w:r>
      <w:r>
        <w:rPr>
          <w:snapToGrid w:val="0"/>
        </w:rPr>
        <w:tab/>
        <w:t>This section applies to an agreement if —</w:t>
      </w:r>
    </w:p>
    <w:p>
      <w:pPr>
        <w:pStyle w:val="Indenta"/>
        <w:spacing w:before="60"/>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 and</w:t>
      </w:r>
    </w:p>
    <w:p>
      <w:pPr>
        <w:pStyle w:val="Indenta"/>
        <w:spacing w:before="6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rPr>
          <w:snapToGrid w:val="0"/>
        </w:rPr>
      </w:pPr>
      <w:r>
        <w:rPr>
          <w:snapToGrid w:val="0"/>
        </w:rPr>
        <w:tab/>
        <w:t>(c)</w:t>
      </w:r>
      <w:r>
        <w:rPr>
          <w:snapToGrid w:val="0"/>
        </w:rPr>
        <w:tab/>
        <w:t>either —</w:t>
      </w:r>
    </w:p>
    <w:p>
      <w:pPr>
        <w:pStyle w:val="Indenti"/>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[Section 39A inserted by No. 58 of 1995 s. 41; amended by No. 55 of 2004 s. 1121, 1156(1) and (3) and 1158.]</w:t>
      </w:r>
    </w:p>
    <w:p>
      <w:pPr>
        <w:pStyle w:val="Heading5"/>
        <w:rPr>
          <w:snapToGrid w:val="0"/>
        </w:rPr>
      </w:pPr>
      <w:bookmarkStart w:id="329" w:name="_Toc381880931"/>
      <w:bookmarkStart w:id="330" w:name="_Toc476927304"/>
      <w:r>
        <w:rPr>
          <w:rStyle w:val="CharSectno"/>
        </w:rPr>
        <w:t>40</w:t>
      </w:r>
      <w:r>
        <w:rPr>
          <w:snapToGrid w:val="0"/>
        </w:rPr>
        <w:t>.</w:t>
      </w:r>
      <w:r>
        <w:rPr>
          <w:snapToGrid w:val="0"/>
        </w:rPr>
        <w:tab/>
        <w:t>Change of strata company’s address for service</w:t>
      </w:r>
      <w:bookmarkEnd w:id="329"/>
      <w:bookmarkEnd w:id="330"/>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rPr>
          <w:snapToGrid w:val="0"/>
        </w:rPr>
      </w:pPr>
      <w:r>
        <w:rPr>
          <w:snapToGrid w:val="0"/>
        </w:rPr>
        <w:tab/>
        <w:t>(2)</w:t>
      </w:r>
      <w:r>
        <w:rPr>
          <w:snapToGrid w:val="0"/>
        </w:rPr>
        <w:tab/>
        <w:t>Where —</w:t>
      </w:r>
    </w:p>
    <w:p>
      <w:pPr>
        <w:pStyle w:val="Indenta"/>
        <w:spacing w:before="60"/>
        <w:rPr>
          <w:snapToGrid w:val="0"/>
        </w:rPr>
      </w:pPr>
      <w:r>
        <w:rPr>
          <w:snapToGrid w:val="0"/>
        </w:rPr>
        <w:tab/>
        <w:t>(a)</w:t>
      </w:r>
      <w:r>
        <w:rPr>
          <w:snapToGrid w:val="0"/>
        </w:rPr>
        <w:tab/>
        <w:t>a strata company has under subsection (1) resolved that the address for the service of notices on it shall be changed; and</w:t>
      </w:r>
    </w:p>
    <w:p>
      <w:pPr>
        <w:pStyle w:val="Indenta"/>
        <w:spacing w:before="60"/>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spacing w:before="60"/>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331" w:name="_Toc381880932"/>
      <w:bookmarkStart w:id="332" w:name="_Toc476927305"/>
      <w:r>
        <w:rPr>
          <w:rStyle w:val="CharSectno"/>
        </w:rPr>
        <w:t>41</w:t>
      </w:r>
      <w:r>
        <w:rPr>
          <w:snapToGrid w:val="0"/>
        </w:rPr>
        <w:t>.</w:t>
      </w:r>
      <w:r>
        <w:rPr>
          <w:snapToGrid w:val="0"/>
        </w:rPr>
        <w:tab/>
        <w:t>Change of name of strata company</w:t>
      </w:r>
      <w:bookmarkEnd w:id="331"/>
      <w:bookmarkEnd w:id="332"/>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w:t>
      </w:r>
    </w:p>
    <w:p>
      <w:pPr>
        <w:pStyle w:val="Indenta"/>
        <w:spacing w:before="60"/>
        <w:rPr>
          <w:snapToGrid w:val="0"/>
        </w:rPr>
      </w:pPr>
      <w:r>
        <w:rPr>
          <w:snapToGrid w:val="0"/>
        </w:rPr>
        <w:tab/>
        <w:t>(a)</w:t>
      </w:r>
      <w:r>
        <w:rPr>
          <w:snapToGrid w:val="0"/>
        </w:rPr>
        <w:tab/>
        <w:t>a strata company has under subsection (1) resolved to change its name; and</w:t>
      </w:r>
    </w:p>
    <w:p>
      <w:pPr>
        <w:pStyle w:val="Indenta"/>
        <w:spacing w:before="60"/>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spacing w:before="60"/>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spacing w:before="120"/>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w:t>
      </w:r>
    </w:p>
    <w:p>
      <w:pPr>
        <w:pStyle w:val="Indenta"/>
        <w:spacing w:before="60"/>
        <w:rPr>
          <w:snapToGrid w:val="0"/>
        </w:rPr>
      </w:pPr>
      <w:r>
        <w:rPr>
          <w:snapToGrid w:val="0"/>
        </w:rPr>
        <w:tab/>
        <w:t>(a)</w:t>
      </w:r>
      <w:r>
        <w:rPr>
          <w:snapToGrid w:val="0"/>
        </w:rPr>
        <w:tab/>
        <w:t>to create a new legal entity; or</w:t>
      </w:r>
    </w:p>
    <w:p>
      <w:pPr>
        <w:pStyle w:val="Indenta"/>
        <w:spacing w:before="60"/>
        <w:rPr>
          <w:snapToGrid w:val="0"/>
        </w:rPr>
      </w:pPr>
      <w:r>
        <w:rPr>
          <w:snapToGrid w:val="0"/>
        </w:rPr>
        <w:tab/>
        <w:t>(b)</w:t>
      </w:r>
      <w:r>
        <w:rPr>
          <w:snapToGrid w:val="0"/>
        </w:rPr>
        <w:tab/>
        <w:t>to prejudice or affect the identity of the body corporate constituted by the strata company or its continuity as a body corporate; or</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[Section 41 amended by No. 58 of 1995 s. 42 and 95; No. 60 of 2006 s. 160(7).]</w:t>
      </w:r>
    </w:p>
    <w:p>
      <w:pPr>
        <w:pStyle w:val="Heading5"/>
        <w:rPr>
          <w:snapToGrid w:val="0"/>
        </w:rPr>
      </w:pPr>
      <w:bookmarkStart w:id="333" w:name="_Toc381880933"/>
      <w:bookmarkStart w:id="334" w:name="_Toc476927306"/>
      <w:r>
        <w:rPr>
          <w:rStyle w:val="CharSectno"/>
        </w:rPr>
        <w:t>42</w:t>
      </w:r>
      <w:r>
        <w:rPr>
          <w:snapToGrid w:val="0"/>
        </w:rPr>
        <w:t>.</w:t>
      </w:r>
      <w:r>
        <w:rPr>
          <w:snapToGrid w:val="0"/>
        </w:rPr>
        <w:tab/>
        <w:t>By</w:t>
      </w:r>
      <w:r>
        <w:rPr>
          <w:snapToGrid w:val="0"/>
        </w:rPr>
        <w:noBreakHyphen/>
        <w:t>laws</w:t>
      </w:r>
      <w:bookmarkEnd w:id="333"/>
      <w:bookmarkEnd w:id="334"/>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w:t>
      </w:r>
    </w:p>
    <w:p>
      <w:pPr>
        <w:pStyle w:val="Indenta"/>
        <w:rPr>
          <w:snapToGrid w:val="0"/>
        </w:rPr>
      </w:pPr>
      <w:r>
        <w:rPr>
          <w:snapToGrid w:val="0"/>
        </w:rPr>
        <w:tab/>
        <w:t>(a)</w:t>
      </w:r>
      <w:r>
        <w:rPr>
          <w:snapToGrid w:val="0"/>
        </w:rPr>
        <w:tab/>
        <w:t>its corporate affairs; and</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 or</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w:t>
      </w:r>
    </w:p>
    <w:p>
      <w:pPr>
        <w:pStyle w:val="Indenta"/>
        <w:rPr>
          <w:snapToGrid w:val="0"/>
        </w:rPr>
      </w:pPr>
      <w:r>
        <w:rPr>
          <w:snapToGrid w:val="0"/>
        </w:rPr>
        <w:tab/>
        <w:t>(a)</w:t>
      </w:r>
      <w:r>
        <w:rPr>
          <w:snapToGrid w:val="0"/>
        </w:rPr>
        <w:tab/>
        <w:t>a certificate given by every person who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keepNext/>
        <w:keepLines/>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rPr>
          <w:snapToGrid w:val="0"/>
        </w:rPr>
      </w:pPr>
      <w:r>
        <w:rPr>
          <w:snapToGrid w:val="0"/>
        </w:rPr>
        <w:tab/>
        <w:t>(15)</w:t>
      </w:r>
      <w:r>
        <w:rPr>
          <w:snapToGrid w:val="0"/>
        </w:rPr>
        <w:tab/>
        <w:t>To the extent to which a by</w:t>
      </w:r>
      <w:r>
        <w:rPr>
          <w:snapToGrid w:val="0"/>
        </w:rPr>
        <w:noBreakHyphen/>
        <w:t>law purports to prohibit or restrict —</w:t>
      </w:r>
    </w:p>
    <w:p>
      <w:pPr>
        <w:pStyle w:val="Indenta"/>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rPr>
          <w:snapToGrid w:val="0"/>
        </w:rPr>
      </w:pPr>
      <w:r>
        <w:rPr>
          <w:snapToGrid w:val="0"/>
        </w:rPr>
        <w:tab/>
        <w:t>(b)</w:t>
      </w:r>
      <w:r>
        <w:rPr>
          <w:snapToGrid w:val="0"/>
        </w:rPr>
        <w:tab/>
        <w:t>the use of a dog as a guide on a lot or common property by a completely or partially blind person,</w:t>
      </w:r>
    </w:p>
    <w:p>
      <w:pPr>
        <w:pStyle w:val="Subsection"/>
        <w:rPr>
          <w:snapToGrid w:val="0"/>
        </w:rPr>
      </w:pPr>
      <w:r>
        <w:rPr>
          <w:snapToGrid w:val="0"/>
        </w:rPr>
        <w:tab/>
      </w:r>
      <w:r>
        <w:rPr>
          <w:snapToGrid w:val="0"/>
        </w:rPr>
        <w:tab/>
        <w:t>the by</w:t>
      </w:r>
      <w:r>
        <w:rPr>
          <w:snapToGrid w:val="0"/>
        </w:rPr>
        <w:noBreakHyphen/>
        <w:t>law has no force or effect.</w:t>
      </w:r>
    </w:p>
    <w:p>
      <w:pPr>
        <w:pStyle w:val="Footnotesection"/>
        <w:keepLines w:val="0"/>
        <w:ind w:left="890" w:hanging="890"/>
      </w:pPr>
      <w:r>
        <w:tab/>
        <w:t>[Section 42 amended by No. 58 of 1995 s. 43, 92, 94, 95 and 96; No. 57 of 1997 s. 115(2); No. 24 of 2000 s. 40(4) to (7); No. 55 of 2004 s. 1156(1).]</w:t>
      </w:r>
    </w:p>
    <w:p>
      <w:pPr>
        <w:pStyle w:val="Heading5"/>
        <w:rPr>
          <w:snapToGrid w:val="0"/>
        </w:rPr>
      </w:pPr>
      <w:bookmarkStart w:id="335" w:name="_Toc381880934"/>
      <w:bookmarkStart w:id="336" w:name="_Toc476927307"/>
      <w:r>
        <w:rPr>
          <w:rStyle w:val="CharSectno"/>
        </w:rPr>
        <w:t>42A</w:t>
      </w:r>
      <w:r>
        <w:rPr>
          <w:snapToGrid w:val="0"/>
        </w:rPr>
        <w:t>.</w:t>
      </w:r>
      <w:r>
        <w:rPr>
          <w:snapToGrid w:val="0"/>
        </w:rPr>
        <w:tab/>
        <w:t>By</w:t>
      </w:r>
      <w:r>
        <w:rPr>
          <w:snapToGrid w:val="0"/>
        </w:rPr>
        <w:noBreakHyphen/>
        <w:t>laws may provide for penalties</w:t>
      </w:r>
      <w:bookmarkEnd w:id="335"/>
      <w:bookmarkEnd w:id="336"/>
    </w:p>
    <w:p>
      <w:pPr>
        <w:pStyle w:val="Subsection"/>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ind w:left="890" w:hanging="890"/>
      </w:pPr>
      <w:r>
        <w:tab/>
        <w:t>[Section 42A inserted by No. 58 of 1995 s. 44; No. 55 of 2004 s. 1156(3).]</w:t>
      </w:r>
    </w:p>
    <w:p>
      <w:pPr>
        <w:pStyle w:val="Heading5"/>
        <w:rPr>
          <w:snapToGrid w:val="0"/>
        </w:rPr>
      </w:pPr>
      <w:bookmarkStart w:id="337" w:name="_Toc381880935"/>
      <w:bookmarkStart w:id="338" w:name="_Toc476927308"/>
      <w:r>
        <w:rPr>
          <w:rStyle w:val="CharSectno"/>
        </w:rPr>
        <w:t>42B</w:t>
      </w:r>
      <w:r>
        <w:rPr>
          <w:snapToGrid w:val="0"/>
        </w:rPr>
        <w:t>.</w:t>
      </w:r>
      <w:r>
        <w:rPr>
          <w:snapToGrid w:val="0"/>
        </w:rPr>
        <w:tab/>
        <w:t>By</w:t>
      </w:r>
      <w:r>
        <w:rPr>
          <w:snapToGrid w:val="0"/>
        </w:rPr>
        <w:noBreakHyphen/>
        <w:t>laws may provide for different basis for levying contributions</w:t>
      </w:r>
      <w:bookmarkEnd w:id="337"/>
      <w:bookmarkEnd w:id="338"/>
    </w:p>
    <w:p>
      <w:pPr>
        <w:pStyle w:val="Subsection"/>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ind w:left="890" w:hanging="890"/>
      </w:pPr>
      <w:r>
        <w:tab/>
        <w:t>[Section 42B inserted by No. 58 of 1995 s. 44.]</w:t>
      </w:r>
    </w:p>
    <w:p>
      <w:pPr>
        <w:pStyle w:val="Heading5"/>
        <w:rPr>
          <w:snapToGrid w:val="0"/>
        </w:rPr>
      </w:pPr>
      <w:bookmarkStart w:id="339" w:name="_Toc381880936"/>
      <w:bookmarkStart w:id="340" w:name="_Toc476927309"/>
      <w:r>
        <w:rPr>
          <w:rStyle w:val="CharSectno"/>
        </w:rPr>
        <w:t>42C</w:t>
      </w:r>
      <w:r>
        <w:rPr>
          <w:snapToGrid w:val="0"/>
        </w:rPr>
        <w:t>.</w:t>
      </w:r>
      <w:r>
        <w:rPr>
          <w:snapToGrid w:val="0"/>
        </w:rPr>
        <w:tab/>
        <w:t>Transitional provision</w:t>
      </w:r>
      <w:bookmarkEnd w:id="339"/>
      <w:bookmarkEnd w:id="340"/>
    </w:p>
    <w:p>
      <w:pPr>
        <w:pStyle w:val="Subsection"/>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rPr>
          <w:snapToGrid w:val="0"/>
        </w:rPr>
      </w:pPr>
      <w:r>
        <w:rPr>
          <w:snapToGrid w:val="0"/>
        </w:rPr>
        <w:tab/>
        <w:t>(2)</w:t>
      </w:r>
      <w:r>
        <w:rPr>
          <w:snapToGrid w:val="0"/>
        </w:rPr>
        <w:tab/>
        <w:t>Schedule 4 has effect to make transitional provisions for the purposes of subsection (1).</w:t>
      </w:r>
    </w:p>
    <w:p>
      <w:pPr>
        <w:pStyle w:val="Footnotesection"/>
        <w:ind w:left="890" w:hanging="890"/>
      </w:pPr>
      <w:r>
        <w:tab/>
        <w:t>[Section 42C inserted by No. 58 of 1995 s. 44.]</w:t>
      </w:r>
    </w:p>
    <w:p>
      <w:pPr>
        <w:pStyle w:val="Heading5"/>
        <w:rPr>
          <w:snapToGrid w:val="0"/>
        </w:rPr>
      </w:pPr>
      <w:bookmarkStart w:id="341" w:name="_Toc381880937"/>
      <w:bookmarkStart w:id="342" w:name="_Toc476927310"/>
      <w:r>
        <w:rPr>
          <w:rStyle w:val="CharSectno"/>
        </w:rPr>
        <w:t>43</w:t>
      </w:r>
      <w:r>
        <w:rPr>
          <w:snapToGrid w:val="0"/>
        </w:rPr>
        <w:t>.</w:t>
      </w:r>
      <w:r>
        <w:rPr>
          <w:snapToGrid w:val="0"/>
        </w:rPr>
        <w:tab/>
        <w:t>Supply of information and certificates by strata company</w:t>
      </w:r>
      <w:bookmarkEnd w:id="341"/>
      <w:bookmarkEnd w:id="342"/>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w:t>
      </w:r>
    </w:p>
    <w:p>
      <w:pPr>
        <w:pStyle w:val="Indenti"/>
        <w:rPr>
          <w:snapToGrid w:val="0"/>
        </w:rPr>
      </w:pPr>
      <w:r>
        <w:rPr>
          <w:snapToGrid w:val="0"/>
        </w:rPr>
        <w:tab/>
        <w:t>(i)</w:t>
      </w:r>
      <w:r>
        <w:rPr>
          <w:snapToGrid w:val="0"/>
        </w:rPr>
        <w:tab/>
        <w:t>a copy of the schedule of unit entitlement as recorded on the strata/survey</w:t>
      </w:r>
      <w:r>
        <w:rPr>
          <w:snapToGrid w:val="0"/>
        </w:rPr>
        <w:noBreakHyphen/>
        <w:t>strata plan; and</w:t>
      </w:r>
    </w:p>
    <w:p>
      <w:pPr>
        <w:pStyle w:val="Indenti"/>
        <w:rPr>
          <w:snapToGrid w:val="0"/>
        </w:rPr>
      </w:pPr>
      <w:r>
        <w:rPr>
          <w:snapToGrid w:val="0"/>
        </w:rPr>
        <w:tab/>
        <w:t>(ia)</w:t>
      </w:r>
      <w:r>
        <w:rPr>
          <w:snapToGrid w:val="0"/>
        </w:rPr>
        <w:tab/>
        <w:t>the roll maintained under section 35A; and</w:t>
      </w:r>
    </w:p>
    <w:p>
      <w:pPr>
        <w:pStyle w:val="Indenti"/>
        <w:rPr>
          <w:snapToGrid w:val="0"/>
        </w:rPr>
      </w:pPr>
      <w:r>
        <w:rPr>
          <w:snapToGrid w:val="0"/>
        </w:rPr>
        <w:tab/>
        <w:t>(ii)</w:t>
      </w:r>
      <w:r>
        <w:rPr>
          <w:snapToGrid w:val="0"/>
        </w:rPr>
        <w:tab/>
        <w:t>the notices and orders referred to in and the records kept under section 35(1)(e); and</w:t>
      </w:r>
    </w:p>
    <w:p>
      <w:pPr>
        <w:pStyle w:val="Indenti"/>
        <w:rPr>
          <w:snapToGrid w:val="0"/>
        </w:rPr>
      </w:pPr>
      <w:r>
        <w:rPr>
          <w:snapToGrid w:val="0"/>
        </w:rPr>
        <w:tab/>
        <w:t>(iii)</w:t>
      </w:r>
      <w:r>
        <w:rPr>
          <w:snapToGrid w:val="0"/>
        </w:rPr>
        <w:tab/>
        <w:t>the plans, specifications, drawings, certificates, diagrams and other documents delivered under section 49(3); and</w:t>
      </w:r>
    </w:p>
    <w:p>
      <w:pPr>
        <w:pStyle w:val="Indenti"/>
        <w:rPr>
          <w:snapToGrid w:val="0"/>
        </w:rPr>
      </w:pPr>
      <w:r>
        <w:rPr>
          <w:snapToGrid w:val="0"/>
        </w:rPr>
        <w:tab/>
        <w:t>(iv)</w:t>
      </w:r>
      <w:r>
        <w:rPr>
          <w:snapToGrid w:val="0"/>
        </w:rPr>
        <w:tab/>
        <w:t>the minutes of general meetings of the strata company and meetings of the council; and</w:t>
      </w:r>
    </w:p>
    <w:p>
      <w:pPr>
        <w:pStyle w:val="Indenti"/>
        <w:rPr>
          <w:snapToGrid w:val="0"/>
        </w:rPr>
      </w:pPr>
      <w:r>
        <w:rPr>
          <w:snapToGrid w:val="0"/>
        </w:rPr>
        <w:tab/>
        <w:t>(v)</w:t>
      </w:r>
      <w:r>
        <w:rPr>
          <w:snapToGrid w:val="0"/>
        </w:rPr>
        <w:tab/>
        <w:t>the record of unanimous resolutions, resolutions without dissent and special resolutions passed by the proprietors; and</w:t>
      </w:r>
    </w:p>
    <w:p>
      <w:pPr>
        <w:pStyle w:val="Indenti"/>
        <w:rPr>
          <w:snapToGrid w:val="0"/>
        </w:rPr>
      </w:pPr>
      <w:r>
        <w:rPr>
          <w:snapToGrid w:val="0"/>
        </w:rPr>
        <w:tab/>
        <w:t>(vi)</w:t>
      </w:r>
      <w:r>
        <w:rPr>
          <w:snapToGrid w:val="0"/>
        </w:rPr>
        <w:tab/>
        <w:t>the books of account of the strata company; and</w:t>
      </w:r>
    </w:p>
    <w:p>
      <w:pPr>
        <w:pStyle w:val="Indenti"/>
        <w:rPr>
          <w:snapToGrid w:val="0"/>
        </w:rPr>
      </w:pPr>
      <w:r>
        <w:rPr>
          <w:snapToGrid w:val="0"/>
        </w:rPr>
        <w:tab/>
        <w:t>(vii)</w:t>
      </w:r>
      <w:r>
        <w:rPr>
          <w:snapToGrid w:val="0"/>
        </w:rPr>
        <w:tab/>
        <w:t>a copy of the statement of accounts of the strata company last prepared by the strata company in accordance with section 35(1)(g); and</w:t>
      </w:r>
    </w:p>
    <w:p>
      <w:pPr>
        <w:pStyle w:val="Indenti"/>
        <w:rPr>
          <w:snapToGrid w:val="0"/>
        </w:rPr>
      </w:pPr>
      <w:r>
        <w:rPr>
          <w:snapToGrid w:val="0"/>
        </w:rPr>
        <w:tab/>
        <w:t>(viii)</w:t>
      </w:r>
      <w:r>
        <w:rPr>
          <w:snapToGrid w:val="0"/>
        </w:rPr>
        <w:tab/>
        <w:t>every current policy of insurance effected by the strata company and the receipt for the premium last paid in respect of each such policy; and</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 and</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 and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 and</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 and</w:t>
      </w:r>
    </w:p>
    <w:p>
      <w:pPr>
        <w:pStyle w:val="Indenti"/>
        <w:rPr>
          <w:snapToGrid w:val="0"/>
        </w:rPr>
      </w:pPr>
      <w:r>
        <w:rPr>
          <w:snapToGrid w:val="0"/>
        </w:rPr>
        <w:tab/>
        <w:t>(v)</w:t>
      </w:r>
      <w:r>
        <w:rPr>
          <w:snapToGrid w:val="0"/>
        </w:rPr>
        <w:tab/>
        <w:t>any amount and rate of interest payable under section 36(4) in respect of any unpaid contribution referred to in that section; and</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[Section 43 amended by No. 58 of 1995 s. 45, 94 and 95.]</w:t>
      </w:r>
    </w:p>
    <w:p>
      <w:pPr>
        <w:pStyle w:val="Heading3"/>
      </w:pPr>
      <w:bookmarkStart w:id="343" w:name="_Toc381880938"/>
      <w:bookmarkStart w:id="344" w:name="_Toc418081668"/>
      <w:bookmarkStart w:id="345" w:name="_Toc418082001"/>
      <w:bookmarkStart w:id="346" w:name="_Toc418087790"/>
      <w:bookmarkStart w:id="347" w:name="_Toc421012330"/>
      <w:bookmarkStart w:id="348" w:name="_Toc422408885"/>
      <w:bookmarkStart w:id="349" w:name="_Toc476927311"/>
      <w:r>
        <w:rPr>
          <w:rStyle w:val="CharDivNo"/>
        </w:rPr>
        <w:t>Division 2</w:t>
      </w:r>
      <w:r>
        <w:rPr>
          <w:snapToGrid w:val="0"/>
        </w:rPr>
        <w:t> — </w:t>
      </w:r>
      <w:r>
        <w:rPr>
          <w:rStyle w:val="CharDivText"/>
        </w:rPr>
        <w:t>Councils</w:t>
      </w:r>
      <w:bookmarkEnd w:id="343"/>
      <w:bookmarkEnd w:id="344"/>
      <w:bookmarkEnd w:id="345"/>
      <w:bookmarkEnd w:id="346"/>
      <w:bookmarkEnd w:id="347"/>
      <w:bookmarkEnd w:id="348"/>
      <w:bookmarkEnd w:id="349"/>
    </w:p>
    <w:p>
      <w:pPr>
        <w:pStyle w:val="Heading5"/>
        <w:spacing w:before="180"/>
        <w:rPr>
          <w:snapToGrid w:val="0"/>
        </w:rPr>
      </w:pPr>
      <w:bookmarkStart w:id="350" w:name="_Toc381880939"/>
      <w:bookmarkStart w:id="351" w:name="_Toc476927312"/>
      <w:r>
        <w:rPr>
          <w:rStyle w:val="CharSectno"/>
        </w:rPr>
        <w:t>44</w:t>
      </w:r>
      <w:r>
        <w:rPr>
          <w:snapToGrid w:val="0"/>
        </w:rPr>
        <w:t>.</w:t>
      </w:r>
      <w:r>
        <w:rPr>
          <w:snapToGrid w:val="0"/>
        </w:rPr>
        <w:tab/>
        <w:t>Functions of councils</w:t>
      </w:r>
      <w:bookmarkEnd w:id="350"/>
      <w:bookmarkEnd w:id="351"/>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352" w:name="_Toc381880940"/>
      <w:bookmarkStart w:id="353" w:name="_Toc476927313"/>
      <w:r>
        <w:rPr>
          <w:rStyle w:val="CharSectno"/>
        </w:rPr>
        <w:t>45</w:t>
      </w:r>
      <w:r>
        <w:rPr>
          <w:snapToGrid w:val="0"/>
        </w:rPr>
        <w:t>.</w:t>
      </w:r>
      <w:r>
        <w:rPr>
          <w:snapToGrid w:val="0"/>
        </w:rPr>
        <w:tab/>
        <w:t>Corporate body may be chairman, secretary, treasurer or council member</w:t>
      </w:r>
      <w:bookmarkEnd w:id="352"/>
      <w:bookmarkEnd w:id="353"/>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rPr>
          <w:snapToGrid w:val="0"/>
        </w:rPr>
      </w:pPr>
      <w:bookmarkStart w:id="354" w:name="_Toc381880941"/>
      <w:bookmarkStart w:id="355" w:name="_Toc476927314"/>
      <w:r>
        <w:rPr>
          <w:rStyle w:val="CharSectno"/>
        </w:rPr>
        <w:t>46</w:t>
      </w:r>
      <w:r>
        <w:rPr>
          <w:snapToGrid w:val="0"/>
        </w:rPr>
        <w:t>.</w:t>
      </w:r>
      <w:r>
        <w:rPr>
          <w:snapToGrid w:val="0"/>
        </w:rPr>
        <w:tab/>
        <w:t>Performance of functions where no council or no quorum</w:t>
      </w:r>
      <w:bookmarkEnd w:id="354"/>
      <w:bookmarkEnd w:id="355"/>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356" w:name="_Toc381880942"/>
      <w:bookmarkStart w:id="357" w:name="_Toc476927315"/>
      <w:r>
        <w:rPr>
          <w:rStyle w:val="CharSectno"/>
        </w:rPr>
        <w:t>47</w:t>
      </w:r>
      <w:r>
        <w:rPr>
          <w:snapToGrid w:val="0"/>
        </w:rPr>
        <w:t>.</w:t>
      </w:r>
      <w:r>
        <w:rPr>
          <w:snapToGrid w:val="0"/>
        </w:rPr>
        <w:tab/>
        <w:t>Restrictions on powers of expenditure</w:t>
      </w:r>
      <w:bookmarkEnd w:id="356"/>
      <w:bookmarkEnd w:id="357"/>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rPr>
          <w:snapToGrid w:val="0"/>
        </w:rPr>
      </w:pPr>
      <w:r>
        <w:rPr>
          <w:snapToGrid w:val="0"/>
        </w:rPr>
        <w:tab/>
        <w:t>(2)</w:t>
      </w:r>
      <w:r>
        <w:rPr>
          <w:snapToGrid w:val="0"/>
        </w:rPr>
        <w:tab/>
        <w:t>Subsection (1) does not apply to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 or</w:t>
      </w:r>
    </w:p>
    <w:p>
      <w:pPr>
        <w:pStyle w:val="Indenta"/>
        <w:spacing w:before="60"/>
        <w:rPr>
          <w:snapToGrid w:val="0"/>
        </w:rPr>
      </w:pPr>
      <w:r>
        <w:rPr>
          <w:snapToGrid w:val="0"/>
        </w:rPr>
        <w:tab/>
        <w:t>(b)</w:t>
      </w:r>
      <w:r>
        <w:rPr>
          <w:snapToGrid w:val="0"/>
        </w:rPr>
        <w:tab/>
        <w:t>expenditure that is deemed to be approved under subsection (3); or</w:t>
      </w:r>
    </w:p>
    <w:p>
      <w:pPr>
        <w:pStyle w:val="Indenta"/>
        <w:spacing w:before="60"/>
        <w:rPr>
          <w:snapToGrid w:val="0"/>
        </w:rPr>
      </w:pPr>
      <w:r>
        <w:rPr>
          <w:snapToGrid w:val="0"/>
        </w:rPr>
        <w:tab/>
        <w:t>(c)</w:t>
      </w:r>
      <w:r>
        <w:rPr>
          <w:snapToGrid w:val="0"/>
        </w:rPr>
        <w:tab/>
        <w:t>the payment of any premium of insurance effected by or on behalf of the strata company; or</w:t>
      </w:r>
    </w:p>
    <w:p>
      <w:pPr>
        <w:pStyle w:val="Indenta"/>
        <w:keepNext/>
        <w:spacing w:before="60"/>
        <w:rPr>
          <w:snapToGrid w:val="0"/>
        </w:rPr>
      </w:pPr>
      <w:r>
        <w:rPr>
          <w:snapToGrid w:val="0"/>
        </w:rPr>
        <w:tab/>
        <w:t>(d)</w:t>
      </w:r>
      <w:r>
        <w:rPr>
          <w:snapToGrid w:val="0"/>
        </w:rPr>
        <w:tab/>
        <w:t>any payment required to comply with —</w:t>
      </w:r>
    </w:p>
    <w:p>
      <w:pPr>
        <w:pStyle w:val="Indenti"/>
        <w:spacing w:before="60"/>
        <w:rPr>
          <w:snapToGrid w:val="0"/>
        </w:rPr>
      </w:pPr>
      <w:r>
        <w:rPr>
          <w:snapToGrid w:val="0"/>
        </w:rPr>
        <w:tab/>
        <w:t>(i)</w:t>
      </w:r>
      <w:r>
        <w:rPr>
          <w:snapToGrid w:val="0"/>
        </w:rPr>
        <w:tab/>
        <w:t>a notice or order served on the strata company by any public authority or local government; or</w:t>
      </w:r>
    </w:p>
    <w:p>
      <w:pPr>
        <w:pStyle w:val="Indenti"/>
        <w:spacing w:before="60"/>
        <w:rPr>
          <w:snapToGrid w:val="0"/>
        </w:rPr>
      </w:pPr>
      <w:r>
        <w:rPr>
          <w:snapToGrid w:val="0"/>
        </w:rPr>
        <w:tab/>
        <w:t>(ii)</w:t>
      </w:r>
      <w:r>
        <w:rPr>
          <w:snapToGrid w:val="0"/>
        </w:rPr>
        <w:tab/>
        <w:t>an order made with respect to the strata company by a court or tribunal;</w:t>
      </w:r>
    </w:p>
    <w:p>
      <w:pPr>
        <w:pStyle w:val="Indenta"/>
        <w:spacing w:before="60"/>
        <w:rPr>
          <w:snapToGrid w:val="0"/>
        </w:rPr>
      </w:pPr>
      <w:r>
        <w:rPr>
          <w:snapToGrid w:val="0"/>
        </w:rPr>
        <w:tab/>
      </w:r>
      <w:r>
        <w:rPr>
          <w:snapToGrid w:val="0"/>
        </w:rPr>
        <w:tab/>
        <w:t>or</w:t>
      </w:r>
    </w:p>
    <w:p>
      <w:pPr>
        <w:pStyle w:val="Indenta"/>
        <w:spacing w:before="60"/>
        <w:rPr>
          <w:snapToGrid w:val="0"/>
        </w:rPr>
      </w:pPr>
      <w:r>
        <w:rPr>
          <w:snapToGrid w:val="0"/>
        </w:rPr>
        <w:tab/>
        <w:t>(e)</w:t>
      </w:r>
      <w:r>
        <w:rPr>
          <w:snapToGrid w:val="0"/>
        </w:rPr>
        <w:tab/>
        <w:t>expenditure authorised by the strata company in general meeting as part of the budget of the company.</w:t>
      </w:r>
    </w:p>
    <w:p>
      <w:pPr>
        <w:pStyle w:val="Subsection"/>
        <w:spacing w:before="140"/>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spacing w:before="140"/>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w:t>
      </w:r>
    </w:p>
    <w:p>
      <w:pPr>
        <w:pStyle w:val="Indenta"/>
        <w:spacing w:before="60"/>
        <w:rPr>
          <w:snapToGrid w:val="0"/>
        </w:rPr>
      </w:pPr>
      <w:r>
        <w:rPr>
          <w:snapToGrid w:val="0"/>
        </w:rPr>
        <w:tab/>
        <w:t>(a)</w:t>
      </w:r>
      <w:r>
        <w:rPr>
          <w:snapToGrid w:val="0"/>
        </w:rPr>
        <w:tab/>
        <w:t>the proprietors or first mortgagees of not less than 25% of the lots in the scheme; or</w:t>
      </w:r>
    </w:p>
    <w:p>
      <w:pPr>
        <w:pStyle w:val="Indenta"/>
        <w:spacing w:before="60"/>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spacing w:before="140"/>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rPr>
          <w:snapToGrid w:val="0"/>
        </w:rPr>
      </w:pPr>
      <w:r>
        <w:rPr>
          <w:snapToGrid w:val="0"/>
        </w:rPr>
        <w:tab/>
        <w:t>(7)</w:t>
      </w:r>
      <w:r>
        <w:rPr>
          <w:snapToGrid w:val="0"/>
        </w:rPr>
        <w:tab/>
        <w:t>Where proposed expenditure to which subsection (1) applies would exceed an amount calculated in accordance with that subsection, the council shall —</w:t>
      </w:r>
    </w:p>
    <w:p>
      <w:pPr>
        <w:pStyle w:val="Indenta"/>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ind w:left="890" w:hanging="890"/>
      </w:pPr>
      <w:r>
        <w:tab/>
        <w:t xml:space="preserve">[Section 47 inserted by No. 58 of 1995 s. 46(1) </w:t>
      </w:r>
      <w:r>
        <w:rPr>
          <w:i w:val="0"/>
          <w:vertAlign w:val="superscript"/>
        </w:rPr>
        <w:t>5</w:t>
      </w:r>
      <w:r>
        <w:t>; amended by No. 57 of 1997 s. 115(3); No. 55 of 2004 s. 1122.]</w:t>
      </w:r>
    </w:p>
    <w:p>
      <w:pPr>
        <w:pStyle w:val="Heading5"/>
        <w:rPr>
          <w:snapToGrid w:val="0"/>
        </w:rPr>
      </w:pPr>
      <w:bookmarkStart w:id="358" w:name="_Toc381880943"/>
      <w:bookmarkStart w:id="359" w:name="_Toc476927316"/>
      <w:r>
        <w:rPr>
          <w:rStyle w:val="CharSectno"/>
        </w:rPr>
        <w:t>48</w:t>
      </w:r>
      <w:r>
        <w:rPr>
          <w:snapToGrid w:val="0"/>
        </w:rPr>
        <w:t>.</w:t>
      </w:r>
      <w:r>
        <w:rPr>
          <w:snapToGrid w:val="0"/>
        </w:rPr>
        <w:tab/>
        <w:t>Recovery of books and records by council</w:t>
      </w:r>
      <w:bookmarkEnd w:id="358"/>
      <w:bookmarkEnd w:id="359"/>
    </w:p>
    <w:p>
      <w:pPr>
        <w:pStyle w:val="Subsection"/>
        <w:rPr>
          <w:snapToGrid w:val="0"/>
        </w:rPr>
      </w:pPr>
      <w:r>
        <w:rPr>
          <w:snapToGrid w:val="0"/>
        </w:rPr>
        <w:tab/>
        <w:t>(1)</w:t>
      </w:r>
      <w:r>
        <w:rPr>
          <w:snapToGrid w:val="0"/>
        </w:rPr>
        <w:tab/>
        <w:t>A person who has possession or control of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[Section 48 amended by No. 58 of 1995 s. 94.]</w:t>
      </w:r>
    </w:p>
    <w:p>
      <w:pPr>
        <w:pStyle w:val="Heading3"/>
      </w:pPr>
      <w:bookmarkStart w:id="360" w:name="_Toc381880944"/>
      <w:bookmarkStart w:id="361" w:name="_Toc418081674"/>
      <w:bookmarkStart w:id="362" w:name="_Toc418082007"/>
      <w:bookmarkStart w:id="363" w:name="_Toc418087796"/>
      <w:bookmarkStart w:id="364" w:name="_Toc421012336"/>
      <w:bookmarkStart w:id="365" w:name="_Toc422408891"/>
      <w:bookmarkStart w:id="366" w:name="_Toc476927317"/>
      <w:r>
        <w:rPr>
          <w:rStyle w:val="CharDivNo"/>
        </w:rPr>
        <w:t>Division 3</w:t>
      </w:r>
      <w:r>
        <w:rPr>
          <w:snapToGrid w:val="0"/>
        </w:rPr>
        <w:t> — </w:t>
      </w:r>
      <w:r>
        <w:rPr>
          <w:rStyle w:val="CharDivText"/>
        </w:rPr>
        <w:t>Meetings</w:t>
      </w:r>
      <w:bookmarkEnd w:id="360"/>
      <w:bookmarkEnd w:id="361"/>
      <w:bookmarkEnd w:id="362"/>
      <w:bookmarkEnd w:id="363"/>
      <w:bookmarkEnd w:id="364"/>
      <w:bookmarkEnd w:id="365"/>
      <w:bookmarkEnd w:id="366"/>
    </w:p>
    <w:p>
      <w:pPr>
        <w:pStyle w:val="Heading5"/>
        <w:rPr>
          <w:snapToGrid w:val="0"/>
        </w:rPr>
      </w:pPr>
      <w:bookmarkStart w:id="367" w:name="_Toc381880945"/>
      <w:bookmarkStart w:id="368" w:name="_Toc476927318"/>
      <w:r>
        <w:rPr>
          <w:rStyle w:val="CharSectno"/>
        </w:rPr>
        <w:t>49</w:t>
      </w:r>
      <w:r>
        <w:rPr>
          <w:snapToGrid w:val="0"/>
        </w:rPr>
        <w:t>.</w:t>
      </w:r>
      <w:r>
        <w:rPr>
          <w:snapToGrid w:val="0"/>
        </w:rPr>
        <w:tab/>
        <w:t>First annual general meeting</w:t>
      </w:r>
      <w:bookmarkEnd w:id="367"/>
      <w:bookmarkEnd w:id="368"/>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[Section 49 amended by No. 58 of 1995 s. 95 and 96.]</w:t>
      </w:r>
    </w:p>
    <w:p>
      <w:pPr>
        <w:pStyle w:val="Heading5"/>
        <w:rPr>
          <w:snapToGrid w:val="0"/>
        </w:rPr>
      </w:pPr>
      <w:bookmarkStart w:id="369" w:name="_Toc381880946"/>
      <w:bookmarkStart w:id="370" w:name="_Toc476927319"/>
      <w:r>
        <w:rPr>
          <w:rStyle w:val="CharSectno"/>
        </w:rPr>
        <w:t>50</w:t>
      </w:r>
      <w:r>
        <w:rPr>
          <w:snapToGrid w:val="0"/>
        </w:rPr>
        <w:t>.</w:t>
      </w:r>
      <w:r>
        <w:rPr>
          <w:snapToGrid w:val="0"/>
        </w:rPr>
        <w:tab/>
        <w:t>Voting at meetings</w:t>
      </w:r>
      <w:bookmarkEnd w:id="369"/>
      <w:bookmarkEnd w:id="370"/>
    </w:p>
    <w:p>
      <w:pPr>
        <w:pStyle w:val="Subsection"/>
        <w:keepNext/>
        <w:rPr>
          <w:snapToGrid w:val="0"/>
        </w:rPr>
      </w:pPr>
      <w:r>
        <w:rPr>
          <w:snapToGrid w:val="0"/>
        </w:rPr>
        <w:tab/>
        <w:t>(1)</w:t>
      </w:r>
      <w:r>
        <w:rPr>
          <w:snapToGrid w:val="0"/>
        </w:rPr>
        <w:tab/>
        <w:t>Powers of voting conferred under this Act may be exercised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w:t>
      </w:r>
    </w:p>
    <w:p>
      <w:pPr>
        <w:pStyle w:val="Indenta"/>
        <w:rPr>
          <w:snapToGrid w:val="0"/>
        </w:rPr>
      </w:pPr>
      <w:r>
        <w:rPr>
          <w:snapToGrid w:val="0"/>
        </w:rPr>
        <w:tab/>
        <w:t>(a)</w:t>
      </w:r>
      <w:r>
        <w:rPr>
          <w:snapToGrid w:val="0"/>
        </w:rPr>
        <w:tab/>
        <w:t>shall, in cases where a unanimous resolution is required by this Act; and</w:t>
      </w:r>
    </w:p>
    <w:p>
      <w:pPr>
        <w:pStyle w:val="Indenta"/>
        <w:rPr>
          <w:snapToGrid w:val="0"/>
        </w:rPr>
      </w:pPr>
      <w:r>
        <w:rPr>
          <w:snapToGrid w:val="0"/>
        </w:rPr>
        <w:tab/>
        <w:t>(b)</w:t>
      </w:r>
      <w:r>
        <w:rPr>
          <w:snapToGrid w:val="0"/>
        </w:rPr>
        <w:tab/>
        <w:t>may, in any other case,</w:t>
      </w:r>
    </w:p>
    <w:p>
      <w:pPr>
        <w:pStyle w:val="Subsection"/>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deleted]</w:t>
      </w:r>
    </w:p>
    <w:p>
      <w:pPr>
        <w:pStyle w:val="Subsection"/>
        <w:rPr>
          <w:snapToGrid w:val="0"/>
        </w:rPr>
      </w:pPr>
      <w:r>
        <w:rPr>
          <w:snapToGrid w:val="0"/>
        </w:rPr>
        <w:tab/>
        <w:t>(6)</w:t>
      </w:r>
      <w:r>
        <w:rPr>
          <w:snapToGrid w:val="0"/>
        </w:rPr>
        <w:tab/>
        <w:t>Where the interest of a proprietor in a lot is subject to a registered mortgage, a power of voting conferred on a proprietor under this Act —</w:t>
      </w:r>
    </w:p>
    <w:p>
      <w:pPr>
        <w:pStyle w:val="Indenta"/>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ind w:left="890" w:hanging="890"/>
      </w:pPr>
      <w:r>
        <w:tab/>
        <w:t>[Section 50 amended by No. 58 of 1995 s. 47 and 93(1).]</w:t>
      </w:r>
    </w:p>
    <w:p>
      <w:pPr>
        <w:pStyle w:val="Heading5"/>
        <w:spacing w:before="180"/>
        <w:rPr>
          <w:snapToGrid w:val="0"/>
        </w:rPr>
      </w:pPr>
      <w:bookmarkStart w:id="371" w:name="_Toc381880947"/>
      <w:bookmarkStart w:id="372" w:name="_Toc476927320"/>
      <w:r>
        <w:rPr>
          <w:rStyle w:val="CharSectno"/>
        </w:rPr>
        <w:t>50A</w:t>
      </w:r>
      <w:r>
        <w:rPr>
          <w:snapToGrid w:val="0"/>
        </w:rPr>
        <w:t>.</w:t>
      </w:r>
      <w:r>
        <w:rPr>
          <w:snapToGrid w:val="0"/>
        </w:rPr>
        <w:tab/>
        <w:t>Disqualification from voting as proxy</w:t>
      </w:r>
      <w:bookmarkEnd w:id="371"/>
      <w:bookmarkEnd w:id="372"/>
    </w:p>
    <w:p>
      <w:pPr>
        <w:pStyle w:val="Subsection"/>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t xml:space="preserve">the </w:t>
      </w:r>
      <w:r>
        <w:rPr>
          <w:rStyle w:val="CharDefText"/>
        </w:rPr>
        <w:t>proxy</w:t>
      </w:r>
      <w:r>
        <w:rPr>
          <w:snapToGrid w:val="0"/>
        </w:rPr>
        <w:t>) has a financial interest in the contract or arrangement.</w:t>
      </w:r>
    </w:p>
    <w:p>
      <w:pPr>
        <w:pStyle w:val="Subsection"/>
        <w:keepNext/>
        <w:rPr>
          <w:snapToGrid w:val="0"/>
        </w:rPr>
      </w:pPr>
      <w:r>
        <w:rPr>
          <w:snapToGrid w:val="0"/>
        </w:rPr>
        <w:tab/>
        <w:t>(2)</w:t>
      </w:r>
      <w:r>
        <w:rPr>
          <w:snapToGrid w:val="0"/>
        </w:rPr>
        <w:tab/>
        <w:t>Subsection (1) does not apply if —</w:t>
      </w:r>
    </w:p>
    <w:p>
      <w:pPr>
        <w:pStyle w:val="Indenta"/>
        <w:rPr>
          <w:snapToGrid w:val="0"/>
        </w:rPr>
      </w:pPr>
      <w:r>
        <w:rPr>
          <w:snapToGrid w:val="0"/>
        </w:rPr>
        <w:tab/>
        <w:t>(a)</w:t>
      </w:r>
      <w:r>
        <w:rPr>
          <w:snapToGrid w:val="0"/>
        </w:rPr>
        <w:tab/>
        <w:t>notice of the meeting included notice of the motion and, where applicable, the particulars described in subsection (3); and</w:t>
      </w:r>
    </w:p>
    <w:p>
      <w:pPr>
        <w:pStyle w:val="Indenta"/>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rPr>
          <w:snapToGrid w:val="0"/>
        </w:rPr>
      </w:pPr>
      <w:r>
        <w:rPr>
          <w:snapToGrid w:val="0"/>
        </w:rPr>
        <w:tab/>
        <w:t>(3)</w:t>
      </w:r>
      <w:r>
        <w:rPr>
          <w:snapToGrid w:val="0"/>
        </w:rPr>
        <w:tab/>
        <w:t>Where the motion relates to the strata company entering into or renewing a management contract or arrangement with a person, notice of the motion shall include —</w:t>
      </w:r>
    </w:p>
    <w:p>
      <w:pPr>
        <w:pStyle w:val="Indenta"/>
        <w:rPr>
          <w:snapToGrid w:val="0"/>
        </w:rPr>
      </w:pPr>
      <w:r>
        <w:rPr>
          <w:snapToGrid w:val="0"/>
        </w:rPr>
        <w:tab/>
        <w:t>(a)</w:t>
      </w:r>
      <w:r>
        <w:rPr>
          <w:snapToGrid w:val="0"/>
        </w:rPr>
        <w:tab/>
        <w:t>the name of that person; and</w:t>
      </w:r>
    </w:p>
    <w:p>
      <w:pPr>
        <w:pStyle w:val="Indenta"/>
        <w:rPr>
          <w:snapToGrid w:val="0"/>
          <w:spacing w:val="-4"/>
        </w:rPr>
      </w:pPr>
      <w:r>
        <w:rPr>
          <w:snapToGrid w:val="0"/>
          <w:spacing w:val="-4"/>
        </w:rPr>
        <w:tab/>
        <w:t>(b)</w:t>
      </w:r>
      <w:r>
        <w:rPr>
          <w:snapToGrid w:val="0"/>
          <w:spacing w:val="-4"/>
        </w:rPr>
        <w:tab/>
        <w:t>the duration of the proposed contract or arrangement; and</w:t>
      </w:r>
    </w:p>
    <w:p>
      <w:pPr>
        <w:pStyle w:val="Indenta"/>
        <w:rPr>
          <w:snapToGrid w:val="0"/>
        </w:rPr>
      </w:pPr>
      <w:r>
        <w:rPr>
          <w:snapToGrid w:val="0"/>
        </w:rPr>
        <w:tab/>
        <w:t>(c)</w:t>
      </w:r>
      <w:r>
        <w:rPr>
          <w:snapToGrid w:val="0"/>
        </w:rPr>
        <w:tab/>
        <w:t>the remuneration that is payable under it.</w:t>
      </w:r>
    </w:p>
    <w:p>
      <w:pPr>
        <w:pStyle w:val="Subsection"/>
        <w:keepNext/>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w:t>
      </w:r>
    </w:p>
    <w:p>
      <w:pPr>
        <w:pStyle w:val="Indenta"/>
        <w:spacing w:before="60"/>
        <w:rPr>
          <w:snapToGrid w:val="0"/>
        </w:rPr>
      </w:pPr>
      <w:r>
        <w:rPr>
          <w:snapToGrid w:val="0"/>
        </w:rPr>
        <w:tab/>
        <w:t>(a)</w:t>
      </w:r>
      <w:r>
        <w:rPr>
          <w:snapToGrid w:val="0"/>
        </w:rPr>
        <w:tab/>
        <w:t>owns shares (whether beneficially or otherwise) in a company; or</w:t>
      </w:r>
    </w:p>
    <w:p>
      <w:pPr>
        <w:pStyle w:val="Indenta"/>
        <w:spacing w:before="60"/>
        <w:rPr>
          <w:snapToGrid w:val="0"/>
        </w:rPr>
      </w:pPr>
      <w:r>
        <w:rPr>
          <w:snapToGrid w:val="0"/>
        </w:rPr>
        <w:tab/>
        <w:t>(b)</w:t>
      </w:r>
      <w:r>
        <w:rPr>
          <w:snapToGrid w:val="0"/>
        </w:rPr>
        <w:tab/>
        <w:t>is a member of a firm; or</w:t>
      </w:r>
    </w:p>
    <w:p>
      <w:pPr>
        <w:pStyle w:val="Indenta"/>
        <w:spacing w:before="60"/>
        <w:rPr>
          <w:snapToGrid w:val="0"/>
        </w:rPr>
      </w:pPr>
      <w:r>
        <w:rPr>
          <w:snapToGrid w:val="0"/>
        </w:rPr>
        <w:tab/>
        <w:t>(c)</w:t>
      </w:r>
      <w:r>
        <w:rPr>
          <w:snapToGrid w:val="0"/>
        </w:rPr>
        <w:tab/>
        <w:t>is a director or employee of a company or of a firm,</w:t>
      </w:r>
    </w:p>
    <w:p>
      <w:pPr>
        <w:pStyle w:val="Subsection"/>
        <w:keepNext/>
        <w:rPr>
          <w:snapToGrid w:val="0"/>
        </w:rPr>
      </w:pPr>
      <w:r>
        <w:rPr>
          <w:snapToGrid w:val="0"/>
        </w:rPr>
        <w:tab/>
      </w:r>
      <w:r>
        <w:rPr>
          <w:snapToGrid w:val="0"/>
        </w:rPr>
        <w:tab/>
        <w:t>that benefits or will benefit directly from the contract or arrangement to which the motion relates.</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management contract or arrangement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[Section 50A inserted by No. 58 of 1995 s. 48; amended by No. 28 of 2003 s. 196.]</w:t>
      </w:r>
    </w:p>
    <w:p>
      <w:pPr>
        <w:pStyle w:val="Heading5"/>
        <w:rPr>
          <w:snapToGrid w:val="0"/>
        </w:rPr>
      </w:pPr>
      <w:bookmarkStart w:id="373" w:name="_Toc381880948"/>
      <w:bookmarkStart w:id="374" w:name="_Toc476927321"/>
      <w:r>
        <w:rPr>
          <w:rStyle w:val="CharSectno"/>
        </w:rPr>
        <w:t>50B</w:t>
      </w:r>
      <w:r>
        <w:rPr>
          <w:snapToGrid w:val="0"/>
        </w:rPr>
        <w:t>.</w:t>
      </w:r>
      <w:r>
        <w:rPr>
          <w:snapToGrid w:val="0"/>
        </w:rPr>
        <w:tab/>
        <w:t>Quorum for meeting of strata company for two</w:t>
      </w:r>
      <w:r>
        <w:rPr>
          <w:snapToGrid w:val="0"/>
        </w:rPr>
        <w:noBreakHyphen/>
        <w:t>lot scheme</w:t>
      </w:r>
      <w:bookmarkEnd w:id="373"/>
      <w:bookmarkEnd w:id="374"/>
    </w:p>
    <w:p>
      <w:pPr>
        <w:pStyle w:val="Subsection"/>
        <w:keepNext/>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[Section 50B inserted by No. 58 of 1995 s. 48.]</w:t>
      </w:r>
    </w:p>
    <w:p>
      <w:pPr>
        <w:pStyle w:val="Heading5"/>
        <w:rPr>
          <w:snapToGrid w:val="0"/>
        </w:rPr>
      </w:pPr>
      <w:bookmarkStart w:id="375" w:name="_Toc381880949"/>
      <w:bookmarkStart w:id="376" w:name="_Toc476927322"/>
      <w:r>
        <w:rPr>
          <w:rStyle w:val="CharSectno"/>
        </w:rPr>
        <w:t>51</w:t>
      </w:r>
      <w:r>
        <w:rPr>
          <w:snapToGrid w:val="0"/>
        </w:rPr>
        <w:t>.</w:t>
      </w:r>
      <w:r>
        <w:rPr>
          <w:snapToGrid w:val="0"/>
        </w:rPr>
        <w:tab/>
        <w:t>Relief where unanimous resolution or resolution without dissent required</w:t>
      </w:r>
      <w:bookmarkEnd w:id="375"/>
      <w:bookmarkEnd w:id="376"/>
    </w:p>
    <w:p>
      <w:pPr>
        <w:pStyle w:val="Subsection"/>
        <w:keepNext/>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rPr>
          <w:snapToGrid w:val="0"/>
        </w:rPr>
      </w:pPr>
      <w:r>
        <w:rPr>
          <w:snapToGrid w:val="0"/>
        </w:rPr>
        <w:tab/>
        <w:t>(1a)</w:t>
      </w:r>
      <w:r>
        <w:rPr>
          <w:snapToGrid w:val="0"/>
        </w:rPr>
        <w:tab/>
        <w:t>This section does not apply to a two</w:t>
      </w:r>
      <w:r>
        <w:rPr>
          <w:snapToGrid w:val="0"/>
        </w:rPr>
        <w:noBreakHyphen/>
        <w:t>lot scheme.</w:t>
      </w:r>
    </w:p>
    <w:p>
      <w:pPr>
        <w:pStyle w:val="Subsection"/>
        <w:keepNext/>
        <w:rPr>
          <w:snapToGrid w:val="0"/>
          <w:spacing w:val="-4"/>
        </w:rPr>
      </w:pPr>
      <w:r>
        <w:rPr>
          <w:snapToGrid w:val="0"/>
          <w:spacing w:val="-4"/>
        </w:rPr>
        <w:tab/>
        <w:t>(2)</w:t>
      </w:r>
      <w:r>
        <w:rPr>
          <w:snapToGrid w:val="0"/>
          <w:spacing w:val="-4"/>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w:t>
      </w:r>
    </w:p>
    <w:p>
      <w:pPr>
        <w:pStyle w:val="Heading5"/>
        <w:rPr>
          <w:snapToGrid w:val="0"/>
        </w:rPr>
      </w:pPr>
      <w:bookmarkStart w:id="377" w:name="_Toc381880950"/>
      <w:bookmarkStart w:id="378" w:name="_Toc476927323"/>
      <w:r>
        <w:rPr>
          <w:rStyle w:val="CharSectno"/>
        </w:rPr>
        <w:t>51A</w:t>
      </w:r>
      <w:r>
        <w:rPr>
          <w:snapToGrid w:val="0"/>
        </w:rPr>
        <w:t>.</w:t>
      </w:r>
      <w:r>
        <w:rPr>
          <w:snapToGrid w:val="0"/>
        </w:rPr>
        <w:tab/>
        <w:t>Relief where unanimous resolution required for two</w:t>
      </w:r>
      <w:r>
        <w:rPr>
          <w:snapToGrid w:val="0"/>
        </w:rPr>
        <w:noBreakHyphen/>
        <w:t>lot scheme</w:t>
      </w:r>
      <w:bookmarkEnd w:id="377"/>
      <w:bookmarkEnd w:id="378"/>
    </w:p>
    <w:p>
      <w:pPr>
        <w:pStyle w:val="Subsection"/>
        <w:rPr>
          <w:snapToGrid w:val="0"/>
        </w:rPr>
      </w:pPr>
      <w:r>
        <w:rPr>
          <w:snapToGrid w:val="0"/>
        </w:rPr>
        <w:tab/>
        <w:t>(1)</w:t>
      </w:r>
      <w:r>
        <w:rPr>
          <w:snapToGrid w:val="0"/>
        </w:rPr>
        <w:tab/>
        <w:t>Where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spacing w:before="100"/>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spacing w:before="100"/>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spacing w:before="100"/>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spacing w:before="100"/>
        <w:rPr>
          <w:snapToGrid w:val="0"/>
        </w:rPr>
      </w:pPr>
      <w:r>
        <w:rPr>
          <w:snapToGrid w:val="0"/>
        </w:rPr>
        <w:tab/>
        <w:t>(5)</w:t>
      </w:r>
      <w:r>
        <w:rPr>
          <w:snapToGrid w:val="0"/>
        </w:rPr>
        <w:tab/>
        <w:t>Section 51(3) applies to the awarding of costs in proceedings under this section.</w:t>
      </w:r>
    </w:p>
    <w:p>
      <w:pPr>
        <w:pStyle w:val="Footnotesection"/>
        <w:spacing w:before="80"/>
        <w:ind w:left="890" w:hanging="890"/>
      </w:pPr>
      <w:r>
        <w:tab/>
        <w:t>[Section 51A inserted by No. 58 of 1995 s. 50; amended by No. 61 of 1996 s. 22.]</w:t>
      </w:r>
    </w:p>
    <w:p>
      <w:pPr>
        <w:pStyle w:val="Heading5"/>
        <w:spacing w:before="180"/>
        <w:rPr>
          <w:snapToGrid w:val="0"/>
        </w:rPr>
      </w:pPr>
      <w:bookmarkStart w:id="379" w:name="_Toc381880951"/>
      <w:bookmarkStart w:id="380" w:name="_Toc476927324"/>
      <w:r>
        <w:rPr>
          <w:rStyle w:val="CharSectno"/>
        </w:rPr>
        <w:t>52</w:t>
      </w:r>
      <w:r>
        <w:rPr>
          <w:snapToGrid w:val="0"/>
        </w:rPr>
        <w:t>.</w:t>
      </w:r>
      <w:r>
        <w:rPr>
          <w:snapToGrid w:val="0"/>
        </w:rPr>
        <w:tab/>
        <w:t>Performance of functions by proprietors in general meeting</w:t>
      </w:r>
      <w:bookmarkEnd w:id="379"/>
      <w:bookmarkEnd w:id="380"/>
    </w:p>
    <w:p>
      <w:pPr>
        <w:pStyle w:val="Subsection"/>
        <w:spacing w:before="100"/>
        <w:rPr>
          <w:snapToGrid w:val="0"/>
        </w:rPr>
      </w:pPr>
      <w:r>
        <w:rPr>
          <w:snapToGrid w:val="0"/>
          <w:spacing w:val="-4"/>
        </w:rPr>
        <w:tab/>
      </w:r>
      <w:r>
        <w:rPr>
          <w:snapToGrid w:val="0"/>
          <w:spacing w:val="-4"/>
        </w:rPr>
        <w:tab/>
      </w:r>
      <w:r>
        <w:rPr>
          <w:snapToGrid w:val="0"/>
        </w:rPr>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spacing w:before="200"/>
      </w:pPr>
      <w:bookmarkStart w:id="381" w:name="_Toc381880952"/>
      <w:bookmarkStart w:id="382" w:name="_Toc418081682"/>
      <w:bookmarkStart w:id="383" w:name="_Toc418082015"/>
      <w:bookmarkStart w:id="384" w:name="_Toc418087804"/>
      <w:bookmarkStart w:id="385" w:name="_Toc421012344"/>
      <w:bookmarkStart w:id="386" w:name="_Toc422408899"/>
      <w:bookmarkStart w:id="387" w:name="_Toc476927325"/>
      <w:r>
        <w:rPr>
          <w:rStyle w:val="CharDivNo"/>
        </w:rPr>
        <w:t>Division 4</w:t>
      </w:r>
      <w:r>
        <w:rPr>
          <w:snapToGrid w:val="0"/>
        </w:rPr>
        <w:t> — </w:t>
      </w:r>
      <w:r>
        <w:rPr>
          <w:rStyle w:val="CharDivText"/>
        </w:rPr>
        <w:t>Insurance</w:t>
      </w:r>
      <w:bookmarkEnd w:id="381"/>
      <w:bookmarkEnd w:id="382"/>
      <w:bookmarkEnd w:id="383"/>
      <w:bookmarkEnd w:id="384"/>
      <w:bookmarkEnd w:id="385"/>
      <w:bookmarkEnd w:id="386"/>
      <w:bookmarkEnd w:id="387"/>
    </w:p>
    <w:p>
      <w:pPr>
        <w:pStyle w:val="Heading4"/>
        <w:spacing w:before="120"/>
      </w:pPr>
      <w:bookmarkStart w:id="388" w:name="_Toc381880953"/>
      <w:bookmarkStart w:id="389" w:name="_Toc418081683"/>
      <w:bookmarkStart w:id="390" w:name="_Toc418082016"/>
      <w:bookmarkStart w:id="391" w:name="_Toc418087805"/>
      <w:bookmarkStart w:id="392" w:name="_Toc421012345"/>
      <w:bookmarkStart w:id="393" w:name="_Toc422408900"/>
      <w:bookmarkStart w:id="394" w:name="_Toc476927326"/>
      <w:r>
        <w:t>Subdivision 1 — Preliminary</w:t>
      </w:r>
      <w:bookmarkEnd w:id="388"/>
      <w:bookmarkEnd w:id="389"/>
      <w:bookmarkEnd w:id="390"/>
      <w:bookmarkEnd w:id="391"/>
      <w:bookmarkEnd w:id="392"/>
      <w:bookmarkEnd w:id="393"/>
      <w:bookmarkEnd w:id="394"/>
    </w:p>
    <w:p>
      <w:pPr>
        <w:pStyle w:val="Footnoteheading"/>
        <w:spacing w:before="80"/>
      </w:pPr>
      <w:r>
        <w:tab/>
        <w:t>[Heading inserted by No. 61 of 1996 s. 23.]</w:t>
      </w:r>
    </w:p>
    <w:p>
      <w:pPr>
        <w:pStyle w:val="Heading5"/>
        <w:keepNext w:val="0"/>
        <w:keepLines w:val="0"/>
        <w:spacing w:before="180"/>
        <w:rPr>
          <w:snapToGrid w:val="0"/>
        </w:rPr>
      </w:pPr>
      <w:bookmarkStart w:id="395" w:name="_Toc381880954"/>
      <w:bookmarkStart w:id="396" w:name="_Toc476927327"/>
      <w:r>
        <w:rPr>
          <w:rStyle w:val="CharSectno"/>
        </w:rPr>
        <w:t>53</w:t>
      </w:r>
      <w:r>
        <w:rPr>
          <w:snapToGrid w:val="0"/>
        </w:rPr>
        <w:t>.</w:t>
      </w:r>
      <w:r>
        <w:rPr>
          <w:snapToGrid w:val="0"/>
        </w:rPr>
        <w:tab/>
        <w:t>Terms used</w:t>
      </w:r>
      <w:bookmarkEnd w:id="395"/>
      <w:bookmarkEnd w:id="396"/>
    </w:p>
    <w:p>
      <w:pPr>
        <w:pStyle w:val="Subsection"/>
        <w:spacing w:before="100"/>
        <w:rPr>
          <w:snapToGrid w:val="0"/>
        </w:rPr>
      </w:pPr>
      <w:r>
        <w:rPr>
          <w:snapToGrid w:val="0"/>
        </w:rPr>
        <w:tab/>
      </w:r>
      <w:r>
        <w:rPr>
          <w:snapToGrid w:val="0"/>
        </w:rPr>
        <w:tab/>
        <w:t>In this Division —</w:t>
      </w:r>
    </w:p>
    <w:p>
      <w:pPr>
        <w:pStyle w:val="Defstart"/>
      </w:pPr>
      <w:r>
        <w:rPr>
          <w:b/>
        </w:rPr>
        <w:tab/>
      </w:r>
      <w:r>
        <w:rPr>
          <w:rStyle w:val="CharDefText"/>
        </w:rPr>
        <w:t>building</w:t>
      </w:r>
      <w:r>
        <w:t xml:space="preserve"> includes any building on the parcel for a scheme whether shown on the strata/survey</w:t>
      </w:r>
      <w:r>
        <w:noBreakHyphen/>
        <w:t>strata plan or not and also includes —</w:t>
      </w:r>
    </w:p>
    <w:p>
      <w:pPr>
        <w:pStyle w:val="Defpara"/>
        <w:spacing w:before="60"/>
      </w:pPr>
      <w:r>
        <w:tab/>
        <w:t>(a)</w:t>
      </w:r>
      <w:r>
        <w:tab/>
        <w:t>proprietors’ improvements and proprietors’ fixtures forming part of the building including paint and wallpaper but excluding carpet and temporary wall, floor and ceiling coverings; and</w:t>
      </w:r>
    </w:p>
    <w:p>
      <w:pPr>
        <w:pStyle w:val="Ednotedefpara"/>
      </w:pPr>
      <w:r>
        <w:tab/>
        <w:t>[(b)</w:t>
      </w:r>
      <w:r>
        <w:tab/>
        <w:t>deleted]</w:t>
      </w:r>
    </w:p>
    <w:p>
      <w:pPr>
        <w:pStyle w:val="Defpara"/>
      </w:pPr>
      <w:r>
        <w:tab/>
        <w:t>(c)</w:t>
      </w:r>
      <w:r>
        <w:tab/>
        <w:t>anything prescribed as forming part of a building for the purposes of this definition,</w:t>
      </w:r>
    </w:p>
    <w:p>
      <w:pPr>
        <w:pStyle w:val="Defstart"/>
        <w:keepNext/>
      </w:pPr>
      <w:r>
        <w:tab/>
        <w:t>but does not include —</w:t>
      </w:r>
    </w:p>
    <w:p>
      <w:pPr>
        <w:pStyle w:val="Defpara"/>
      </w:pPr>
      <w:r>
        <w:tab/>
        <w:t>(d)</w:t>
      </w:r>
      <w:r>
        <w:tab/>
        <w:t>fixtures removable by a lessee at the expiration of a tenancy; or</w:t>
      </w:r>
    </w:p>
    <w:p>
      <w:pPr>
        <w:pStyle w:val="Defpara"/>
      </w:pPr>
      <w:r>
        <w:tab/>
        <w:t>(e)</w:t>
      </w:r>
      <w:r>
        <w:tab/>
        <w:t>anything prescribed as not forming part of a building for the purposes of this definition;</w:t>
      </w:r>
    </w:p>
    <w:p>
      <w:pPr>
        <w:pStyle w:val="Defstart"/>
        <w:keepNext/>
      </w:pPr>
      <w:r>
        <w:rPr>
          <w:b/>
        </w:rPr>
        <w:tab/>
      </w:r>
      <w:r>
        <w:rPr>
          <w:rStyle w:val="CharDefText"/>
        </w:rPr>
        <w:t>replacement value</w:t>
      </w:r>
      <w:r>
        <w:t xml:space="preserve"> in relation to a contract of insurance of a building, requires provision to be specified in the policy —</w:t>
      </w:r>
    </w:p>
    <w:p>
      <w:pPr>
        <w:pStyle w:val="Defpara"/>
      </w:pPr>
      <w:r>
        <w:tab/>
        <w:t>(a)</w:t>
      </w:r>
      <w:r>
        <w:tab/>
        <w:t>for —</w:t>
      </w:r>
    </w:p>
    <w:p>
      <w:pPr>
        <w:pStyle w:val="Defsubpara"/>
      </w:pPr>
      <w:r>
        <w:tab/>
        <w:t>(i)</w:t>
      </w:r>
      <w:r>
        <w:tab/>
        <w:t>the rebuilding of the building or its replacement by a similar building in the event of its destruction; and</w:t>
      </w:r>
    </w:p>
    <w:p>
      <w:pPr>
        <w:pStyle w:val="Defsubpara"/>
      </w:pPr>
      <w:r>
        <w:tab/>
        <w:t>(ii)</w:t>
      </w:r>
      <w:r>
        <w:tab/>
        <w:t>the repair of damage to, or the restoration of the damaged portion of, the building in the event of its being damaged but not destroyed,</w:t>
      </w:r>
    </w:p>
    <w:p>
      <w:pPr>
        <w:pStyle w:val="Defpara"/>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[Section 53 amended by No. 58 of 1995 s. 51; No. 61 of 1996 s. 24.]</w:t>
      </w:r>
    </w:p>
    <w:p>
      <w:pPr>
        <w:pStyle w:val="Heading4"/>
      </w:pPr>
      <w:bookmarkStart w:id="397" w:name="_Toc381880955"/>
      <w:bookmarkStart w:id="398" w:name="_Toc418081685"/>
      <w:bookmarkStart w:id="399" w:name="_Toc418082018"/>
      <w:bookmarkStart w:id="400" w:name="_Toc418087807"/>
      <w:bookmarkStart w:id="401" w:name="_Toc421012347"/>
      <w:bookmarkStart w:id="402" w:name="_Toc422408902"/>
      <w:bookmarkStart w:id="403" w:name="_Toc476927328"/>
      <w:r>
        <w:t>Subdivision 2 — Insurance in single tier strata schemes</w:t>
      </w:r>
      <w:bookmarkEnd w:id="397"/>
      <w:bookmarkEnd w:id="398"/>
      <w:bookmarkEnd w:id="399"/>
      <w:bookmarkEnd w:id="400"/>
      <w:bookmarkEnd w:id="401"/>
      <w:bookmarkEnd w:id="402"/>
      <w:bookmarkEnd w:id="403"/>
    </w:p>
    <w:p>
      <w:pPr>
        <w:pStyle w:val="Footnoteheading"/>
        <w:spacing w:before="110"/>
      </w:pPr>
      <w:r>
        <w:tab/>
        <w:t>[Heading inserted by No. 61 of 1996 s. 25.]</w:t>
      </w:r>
    </w:p>
    <w:p>
      <w:pPr>
        <w:pStyle w:val="Heading5"/>
        <w:rPr>
          <w:snapToGrid w:val="0"/>
        </w:rPr>
      </w:pPr>
      <w:bookmarkStart w:id="404" w:name="_Toc381880956"/>
      <w:bookmarkStart w:id="405" w:name="_Toc476927329"/>
      <w:r>
        <w:rPr>
          <w:rStyle w:val="CharSectno"/>
        </w:rPr>
        <w:t>53A</w:t>
      </w:r>
      <w:r>
        <w:rPr>
          <w:snapToGrid w:val="0"/>
        </w:rPr>
        <w:t>.</w:t>
      </w:r>
      <w:r>
        <w:rPr>
          <w:snapToGrid w:val="0"/>
        </w:rPr>
        <w:tab/>
        <w:t>Application of this Subdivision</w:t>
      </w:r>
      <w:bookmarkEnd w:id="404"/>
      <w:bookmarkEnd w:id="405"/>
    </w:p>
    <w:p>
      <w:pPr>
        <w:pStyle w:val="Subsection"/>
        <w:keepNext/>
        <w:rPr>
          <w:snapToGrid w:val="0"/>
        </w:rPr>
      </w:pPr>
      <w:r>
        <w:rPr>
          <w:snapToGrid w:val="0"/>
        </w:rPr>
        <w:tab/>
      </w:r>
      <w:r>
        <w:rPr>
          <w:snapToGrid w:val="0"/>
        </w:rPr>
        <w:tab/>
        <w:t>References in this Subdivision —</w:t>
      </w:r>
    </w:p>
    <w:p>
      <w:pPr>
        <w:pStyle w:val="Indenta"/>
        <w:spacing w:before="60"/>
        <w:rPr>
          <w:snapToGrid w:val="0"/>
        </w:rPr>
      </w:pPr>
      <w:r>
        <w:rPr>
          <w:snapToGrid w:val="0"/>
        </w:rPr>
        <w:tab/>
        <w:t>(a)</w:t>
      </w:r>
      <w:r>
        <w:rPr>
          <w:snapToGrid w:val="0"/>
        </w:rPr>
        <w:tab/>
        <w:t xml:space="preserve">to </w:t>
      </w:r>
      <w:r>
        <w:rPr>
          <w:rStyle w:val="CharDefText"/>
        </w:rPr>
        <w:t>scheme</w:t>
      </w:r>
      <w:r>
        <w:rPr>
          <w:snapToGrid w:val="0"/>
        </w:rPr>
        <w:t xml:space="preserve"> are to a single tier strata scheme; and</w:t>
      </w:r>
    </w:p>
    <w:p>
      <w:pPr>
        <w:pStyle w:val="Indenta"/>
        <w:spacing w:before="60"/>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Indenta"/>
        <w:keepNext/>
        <w:spacing w:before="60"/>
        <w:rPr>
          <w:snapToGrid w:val="0"/>
        </w:rPr>
      </w:pPr>
      <w:r>
        <w:rPr>
          <w:snapToGrid w:val="0"/>
        </w:rPr>
        <w:tab/>
        <w:t>(c)</w:t>
      </w:r>
      <w:r>
        <w:rPr>
          <w:snapToGrid w:val="0"/>
        </w:rPr>
        <w:tab/>
        <w:t xml:space="preserve">to </w:t>
      </w:r>
      <w:r>
        <w:rPr>
          <w:rStyle w:val="CharDefText"/>
        </w:rPr>
        <w:t>proprietor</w:t>
      </w:r>
      <w:r>
        <w:rPr>
          <w:snapToGrid w:val="0"/>
        </w:rPr>
        <w:t xml:space="preserve"> are to a proprietor of a lot in such a scheme.</w:t>
      </w:r>
    </w:p>
    <w:p>
      <w:pPr>
        <w:pStyle w:val="Footnotesection"/>
        <w:spacing w:before="110"/>
      </w:pPr>
      <w:r>
        <w:tab/>
        <w:t>[Section 53A inserted by No. 61 of 1996 s. 25.]</w:t>
      </w:r>
    </w:p>
    <w:p>
      <w:pPr>
        <w:pStyle w:val="Heading5"/>
        <w:rPr>
          <w:snapToGrid w:val="0"/>
        </w:rPr>
      </w:pPr>
      <w:bookmarkStart w:id="406" w:name="_Toc381880957"/>
      <w:bookmarkStart w:id="407" w:name="_Toc476927330"/>
      <w:r>
        <w:rPr>
          <w:rStyle w:val="CharSectno"/>
        </w:rPr>
        <w:t>53B</w:t>
      </w:r>
      <w:r>
        <w:rPr>
          <w:snapToGrid w:val="0"/>
        </w:rPr>
        <w:t>.</w:t>
      </w:r>
      <w:r>
        <w:rPr>
          <w:snapToGrid w:val="0"/>
        </w:rPr>
        <w:tab/>
        <w:t>Insurance for lots in single tier strata schemes</w:t>
      </w:r>
      <w:bookmarkEnd w:id="406"/>
      <w:bookmarkEnd w:id="407"/>
    </w:p>
    <w:p>
      <w:pPr>
        <w:pStyle w:val="Subsection"/>
        <w:keepNext/>
        <w:rPr>
          <w:snapToGrid w:val="0"/>
        </w:rPr>
      </w:pPr>
      <w:r>
        <w:rPr>
          <w:snapToGrid w:val="0"/>
        </w:rPr>
        <w:tab/>
        <w:t>(1)</w:t>
      </w:r>
      <w:r>
        <w:rPr>
          <w:snapToGrid w:val="0"/>
        </w:rPr>
        <w:tab/>
        <w:t>For the purposes of this Act —</w:t>
      </w:r>
    </w:p>
    <w:p>
      <w:pPr>
        <w:pStyle w:val="Indenta"/>
        <w:keepNext/>
        <w:spacing w:before="60"/>
        <w:rPr>
          <w:snapToGrid w:val="0"/>
        </w:rPr>
      </w:pPr>
      <w:r>
        <w:rPr>
          <w:snapToGrid w:val="0"/>
        </w:rPr>
        <w:tab/>
        <w:t>(a)</w:t>
      </w:r>
      <w:r>
        <w:rPr>
          <w:snapToGrid w:val="0"/>
        </w:rPr>
        <w:tab/>
        <w:t>whether there is insurance in respect of —</w:t>
      </w:r>
    </w:p>
    <w:p>
      <w:pPr>
        <w:pStyle w:val="Indenti"/>
        <w:spacing w:before="60"/>
        <w:rPr>
          <w:snapToGrid w:val="0"/>
        </w:rPr>
      </w:pPr>
      <w:r>
        <w:rPr>
          <w:snapToGrid w:val="0"/>
        </w:rPr>
        <w:tab/>
        <w:t>(i)</w:t>
      </w:r>
      <w:r>
        <w:rPr>
          <w:snapToGrid w:val="0"/>
        </w:rPr>
        <w:tab/>
        <w:t>any building on a lot in a scheme; or</w:t>
      </w:r>
    </w:p>
    <w:p>
      <w:pPr>
        <w:pStyle w:val="Indenti"/>
        <w:spacing w:before="60"/>
        <w:rPr>
          <w:snapToGrid w:val="0"/>
        </w:rPr>
      </w:pPr>
      <w:r>
        <w:rPr>
          <w:snapToGrid w:val="0"/>
        </w:rPr>
        <w:tab/>
        <w:t>(ii)</w:t>
      </w:r>
      <w:r>
        <w:rPr>
          <w:snapToGrid w:val="0"/>
        </w:rPr>
        <w:tab/>
        <w:t>damage to property, death or bodily injury for which the proprietor of a lot in a scheme could become liable in damages;</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(b)</w:t>
      </w:r>
      <w:r>
        <w:rPr>
          <w:snapToGrid w:val="0"/>
        </w:rPr>
        <w:tab/>
        <w:t>the occurrences to be insured against by the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spacing w:before="120"/>
        <w:rPr>
          <w:snapToGrid w:val="0"/>
        </w:rPr>
      </w:pPr>
      <w:r>
        <w:rPr>
          <w:snapToGrid w:val="0"/>
        </w:rPr>
        <w:tab/>
      </w:r>
      <w:r>
        <w:rPr>
          <w:snapToGrid w:val="0"/>
        </w:rPr>
        <w:tab/>
        <w:t>are, subject to this section, at the discretion of the proprietor of the lot.</w:t>
      </w:r>
    </w:p>
    <w:p>
      <w:pPr>
        <w:pStyle w:val="Subsection"/>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rPr>
          <w:snapToGrid w:val="0"/>
        </w:rPr>
      </w:pPr>
      <w:r>
        <w:rPr>
          <w:snapToGrid w:val="0"/>
        </w:rPr>
        <w:tab/>
        <w:t>(3)</w:t>
      </w:r>
      <w:r>
        <w:rPr>
          <w:snapToGrid w:val="0"/>
        </w:rPr>
        <w:tab/>
        <w:t>While such a determination is in force the strata company shall comply with section 53D.</w:t>
      </w:r>
    </w:p>
    <w:p>
      <w:pPr>
        <w:pStyle w:val="Footnotesection"/>
      </w:pPr>
      <w:r>
        <w:tab/>
        <w:t>[Section 53B inserted by No. 61 of 1996 s. 25.]</w:t>
      </w:r>
    </w:p>
    <w:p>
      <w:pPr>
        <w:pStyle w:val="Heading5"/>
        <w:rPr>
          <w:snapToGrid w:val="0"/>
        </w:rPr>
      </w:pPr>
      <w:bookmarkStart w:id="408" w:name="_Toc381880958"/>
      <w:bookmarkStart w:id="409" w:name="_Toc476927331"/>
      <w:r>
        <w:rPr>
          <w:rStyle w:val="CharSectno"/>
        </w:rPr>
        <w:t>53C</w:t>
      </w:r>
      <w:r>
        <w:rPr>
          <w:snapToGrid w:val="0"/>
        </w:rPr>
        <w:t>.</w:t>
      </w:r>
      <w:r>
        <w:rPr>
          <w:snapToGrid w:val="0"/>
        </w:rPr>
        <w:tab/>
        <w:t>Insurance for common property in single tier strata schemes</w:t>
      </w:r>
      <w:bookmarkEnd w:id="408"/>
      <w:bookmarkEnd w:id="409"/>
    </w:p>
    <w:p>
      <w:pPr>
        <w:pStyle w:val="Subsection"/>
        <w:keepNext/>
        <w:rPr>
          <w:snapToGrid w:val="0"/>
        </w:rPr>
      </w:pPr>
      <w:r>
        <w:rPr>
          <w:snapToGrid w:val="0"/>
        </w:rPr>
        <w:tab/>
        <w:t>(1)</w:t>
      </w:r>
      <w:r>
        <w:rPr>
          <w:snapToGrid w:val="0"/>
        </w:rPr>
        <w:tab/>
        <w:t>The strata company for a scheme shall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w:t>
      </w:r>
    </w:p>
    <w:p>
      <w:pPr>
        <w:pStyle w:val="Indenta"/>
        <w:keepNext/>
        <w:spacing w:before="60"/>
        <w:rPr>
          <w:snapToGrid w:val="0"/>
        </w:rPr>
      </w:pPr>
      <w:r>
        <w:rPr>
          <w:snapToGrid w:val="0"/>
        </w:rPr>
        <w:tab/>
        <w:t>(a)</w:t>
      </w:r>
      <w:r>
        <w:rPr>
          <w:snapToGrid w:val="0"/>
        </w:rPr>
        <w:tab/>
        <w:t>there is no common property in the scheme except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w:t>
      </w:r>
    </w:p>
    <w:p>
      <w:pPr>
        <w:pStyle w:val="Indenta"/>
        <w:rPr>
          <w:snapToGrid w:val="0"/>
        </w:rPr>
      </w:pPr>
      <w:r>
        <w:rPr>
          <w:snapToGrid w:val="0"/>
        </w:rPr>
        <w:tab/>
        <w:t>(a)</w:t>
      </w:r>
      <w:r>
        <w:rPr>
          <w:snapToGrid w:val="0"/>
        </w:rPr>
        <w:tab/>
        <w:t>whether there is insurance in respect of —</w:t>
      </w:r>
    </w:p>
    <w:p>
      <w:pPr>
        <w:pStyle w:val="Indenti"/>
        <w:rPr>
          <w:snapToGrid w:val="0"/>
        </w:rPr>
      </w:pPr>
      <w:r>
        <w:rPr>
          <w:snapToGrid w:val="0"/>
        </w:rPr>
        <w:tab/>
        <w:t>(i)</w:t>
      </w:r>
      <w:r>
        <w:rPr>
          <w:snapToGrid w:val="0"/>
        </w:rPr>
        <w:tab/>
        <w:t>the share of a proprietor in any building in the scheme that is common property; or</w:t>
      </w:r>
    </w:p>
    <w:p>
      <w:pPr>
        <w:pStyle w:val="Indenti"/>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the occurrences to be insured against by a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ind w:left="890" w:hanging="890"/>
      </w:pPr>
      <w:r>
        <w:tab/>
        <w:t>[Section 53C inserted by No. 61 of 1996 s. 25.]</w:t>
      </w:r>
    </w:p>
    <w:p>
      <w:pPr>
        <w:pStyle w:val="Heading5"/>
        <w:keepNext w:val="0"/>
        <w:keepLines w:val="0"/>
        <w:rPr>
          <w:snapToGrid w:val="0"/>
        </w:rPr>
      </w:pPr>
      <w:bookmarkStart w:id="410" w:name="_Toc381880959"/>
      <w:bookmarkStart w:id="411" w:name="_Toc476927332"/>
      <w:r>
        <w:rPr>
          <w:rStyle w:val="CharSectno"/>
        </w:rPr>
        <w:t>53D</w:t>
      </w:r>
      <w:r>
        <w:rPr>
          <w:snapToGrid w:val="0"/>
        </w:rPr>
        <w:t>.</w:t>
      </w:r>
      <w:r>
        <w:rPr>
          <w:snapToGrid w:val="0"/>
        </w:rPr>
        <w:tab/>
        <w:t>Strata company’s obligations where it has an insurance function in single tier strata schemes</w:t>
      </w:r>
      <w:bookmarkEnd w:id="410"/>
      <w:bookmarkEnd w:id="411"/>
    </w:p>
    <w:p>
      <w:pPr>
        <w:pStyle w:val="Subsection"/>
        <w:rPr>
          <w:snapToGrid w:val="0"/>
        </w:rPr>
      </w:pPr>
      <w:r>
        <w:rPr>
          <w:snapToGrid w:val="0"/>
        </w:rPr>
        <w:tab/>
        <w:t>(1)</w:t>
      </w:r>
      <w:r>
        <w:rPr>
          <w:snapToGrid w:val="0"/>
        </w:rPr>
        <w:tab/>
        <w:t>This section applies where —</w:t>
      </w:r>
    </w:p>
    <w:p>
      <w:pPr>
        <w:pStyle w:val="Indenta"/>
        <w:rPr>
          <w:snapToGrid w:val="0"/>
        </w:rPr>
      </w:pPr>
      <w:r>
        <w:rPr>
          <w:snapToGrid w:val="0"/>
        </w:rPr>
        <w:tab/>
        <w:t>(a)</w:t>
      </w:r>
      <w:r>
        <w:rPr>
          <w:snapToGrid w:val="0"/>
        </w:rPr>
        <w:tab/>
        <w:t>a determination is in force under section 53B(2); or</w:t>
      </w:r>
    </w:p>
    <w:p>
      <w:pPr>
        <w:pStyle w:val="Indenta"/>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w:t>
      </w:r>
    </w:p>
    <w:p>
      <w:pPr>
        <w:pStyle w:val="Indenta"/>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keepNext/>
        <w:keepLines/>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[Section 53D inserted by No. 61 of 1996 s. 25.]</w:t>
      </w:r>
    </w:p>
    <w:p>
      <w:pPr>
        <w:pStyle w:val="Heading5"/>
        <w:rPr>
          <w:snapToGrid w:val="0"/>
        </w:rPr>
      </w:pPr>
      <w:bookmarkStart w:id="412" w:name="_Toc381880960"/>
      <w:bookmarkStart w:id="413" w:name="_Toc476927333"/>
      <w:r>
        <w:rPr>
          <w:rStyle w:val="CharSectno"/>
        </w:rPr>
        <w:t>53E</w:t>
      </w:r>
      <w:r>
        <w:rPr>
          <w:snapToGrid w:val="0"/>
        </w:rPr>
        <w:t>.</w:t>
      </w:r>
      <w:r>
        <w:rPr>
          <w:snapToGrid w:val="0"/>
        </w:rPr>
        <w:tab/>
        <w:t>Recovery of premium by strata company or proprietor where no administrative fund in single tier strata schemes</w:t>
      </w:r>
      <w:bookmarkEnd w:id="412"/>
      <w:bookmarkEnd w:id="413"/>
    </w:p>
    <w:p>
      <w:pPr>
        <w:pStyle w:val="Subsection"/>
        <w:keepNext/>
      </w:pPr>
      <w:r>
        <w:tab/>
        <w:t>(1)</w:t>
      </w:r>
      <w:r>
        <w:tab/>
      </w:r>
      <w:r>
        <w:rPr>
          <w:snapToGrid w:val="0"/>
        </w:rPr>
        <w:t>Where</w:t>
      </w:r>
      <w:r>
        <w:t>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keepNext/>
      </w:pPr>
      <w:r>
        <w:tab/>
        <w:t>(2)</w:t>
      </w:r>
      <w:r>
        <w:tab/>
        <w:t xml:space="preserve">A </w:t>
      </w:r>
      <w:r>
        <w:rPr>
          <w:snapToGrid w:val="0"/>
        </w:rPr>
        <w:t>proprietor’s</w:t>
      </w:r>
      <w:r>
        <w:t xml:space="preserve"> share is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keepNext/>
      </w:pPr>
      <w:r>
        <w:tab/>
        <w:t>(3)</w:t>
      </w:r>
      <w:r>
        <w:tab/>
      </w:r>
      <w:r>
        <w:rPr>
          <w:snapToGrid w:val="0"/>
        </w:rPr>
        <w:t>Where</w:t>
      </w:r>
      <w:r>
        <w:t>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the amount of the proprietor’s share has not been paid to the strata company or the insurer before the specified time,</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keepNext/>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[Section 53E inserted by No. 61 of 1996 s. 25.]</w:t>
      </w:r>
    </w:p>
    <w:p>
      <w:pPr>
        <w:pStyle w:val="Heading4"/>
      </w:pPr>
      <w:bookmarkStart w:id="414" w:name="_Toc381880961"/>
      <w:bookmarkStart w:id="415" w:name="_Toc418081691"/>
      <w:bookmarkStart w:id="416" w:name="_Toc418082024"/>
      <w:bookmarkStart w:id="417" w:name="_Toc418087813"/>
      <w:bookmarkStart w:id="418" w:name="_Toc421012353"/>
      <w:bookmarkStart w:id="419" w:name="_Toc422408908"/>
      <w:bookmarkStart w:id="420" w:name="_Toc476927334"/>
      <w:r>
        <w:t>Subdivision 3 — Insurance in schemes other than single tier strata schemes</w:t>
      </w:r>
      <w:bookmarkEnd w:id="414"/>
      <w:bookmarkEnd w:id="415"/>
      <w:bookmarkEnd w:id="416"/>
      <w:bookmarkEnd w:id="417"/>
      <w:bookmarkEnd w:id="418"/>
      <w:bookmarkEnd w:id="419"/>
      <w:bookmarkEnd w:id="420"/>
    </w:p>
    <w:p>
      <w:pPr>
        <w:pStyle w:val="Footnoteheading"/>
      </w:pPr>
      <w:r>
        <w:tab/>
        <w:t>[Heading inserted by No. 61 of 1996 s. 26.]</w:t>
      </w:r>
    </w:p>
    <w:p>
      <w:pPr>
        <w:pStyle w:val="Heading5"/>
        <w:rPr>
          <w:snapToGrid w:val="0"/>
        </w:rPr>
      </w:pPr>
      <w:bookmarkStart w:id="421" w:name="_Toc381880962"/>
      <w:bookmarkStart w:id="422" w:name="_Toc476927335"/>
      <w:r>
        <w:rPr>
          <w:rStyle w:val="CharSectno"/>
        </w:rPr>
        <w:t>54</w:t>
      </w:r>
      <w:r>
        <w:rPr>
          <w:snapToGrid w:val="0"/>
        </w:rPr>
        <w:t>.</w:t>
      </w:r>
      <w:r>
        <w:rPr>
          <w:snapToGrid w:val="0"/>
        </w:rPr>
        <w:tab/>
        <w:t>Insurance of buildings and strata companies</w:t>
      </w:r>
      <w:bookmarkEnd w:id="421"/>
      <w:bookmarkEnd w:id="422"/>
    </w:p>
    <w:p>
      <w:pPr>
        <w:pStyle w:val="Subsection"/>
        <w:rPr>
          <w:snapToGrid w:val="0"/>
        </w:rPr>
      </w:pPr>
      <w:r>
        <w:rPr>
          <w:snapToGrid w:val="0"/>
        </w:rPr>
        <w:tab/>
        <w:t>(1)</w:t>
      </w:r>
      <w:r>
        <w:rPr>
          <w:snapToGrid w:val="0"/>
        </w:rPr>
        <w:tab/>
        <w:t>In this section —</w:t>
      </w:r>
    </w:p>
    <w:p>
      <w:pPr>
        <w:pStyle w:val="Defstart"/>
      </w:pPr>
      <w:r>
        <w:rPr>
          <w:b/>
        </w:rPr>
        <w:tab/>
      </w:r>
      <w:r>
        <w:rPr>
          <w:rStyle w:val="CharDefText"/>
        </w:rPr>
        <w:t>strata company</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A contract of insurance entered into for the purposes of subsection (1a) may provide that, instead of the work and the payments specified in the definition of “replacement value”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[Section 54 amended by No. 58 of 1995 s. 52 and 94; No. 61 of 1996 s. 27.]</w:t>
      </w:r>
    </w:p>
    <w:p>
      <w:pPr>
        <w:pStyle w:val="Heading4"/>
        <w:keepLines/>
      </w:pPr>
      <w:bookmarkStart w:id="423" w:name="_Toc381880963"/>
      <w:bookmarkStart w:id="424" w:name="_Toc418081693"/>
      <w:bookmarkStart w:id="425" w:name="_Toc418082026"/>
      <w:bookmarkStart w:id="426" w:name="_Toc418087815"/>
      <w:bookmarkStart w:id="427" w:name="_Toc421012355"/>
      <w:bookmarkStart w:id="428" w:name="_Toc422408910"/>
      <w:bookmarkStart w:id="429" w:name="_Toc476927336"/>
      <w:r>
        <w:t>Subdivision 4 — Insurance provisions applicable to all schemes</w:t>
      </w:r>
      <w:bookmarkEnd w:id="423"/>
      <w:bookmarkEnd w:id="424"/>
      <w:bookmarkEnd w:id="425"/>
      <w:bookmarkEnd w:id="426"/>
      <w:bookmarkEnd w:id="427"/>
      <w:bookmarkEnd w:id="428"/>
      <w:bookmarkEnd w:id="429"/>
    </w:p>
    <w:p>
      <w:pPr>
        <w:pStyle w:val="Footnoteheading"/>
      </w:pPr>
      <w:r>
        <w:tab/>
        <w:t>[Heading inserted by No. 61 of 1996 s. 28.]</w:t>
      </w:r>
    </w:p>
    <w:p>
      <w:pPr>
        <w:pStyle w:val="Heading5"/>
        <w:rPr>
          <w:snapToGrid w:val="0"/>
        </w:rPr>
      </w:pPr>
      <w:bookmarkStart w:id="430" w:name="_Toc381880964"/>
      <w:bookmarkStart w:id="431" w:name="_Toc476927337"/>
      <w:r>
        <w:rPr>
          <w:rStyle w:val="CharSectno"/>
        </w:rPr>
        <w:t>54A</w:t>
      </w:r>
      <w:r>
        <w:rPr>
          <w:snapToGrid w:val="0"/>
        </w:rPr>
        <w:t>.</w:t>
      </w:r>
      <w:r>
        <w:rPr>
          <w:snapToGrid w:val="0"/>
        </w:rPr>
        <w:tab/>
        <w:t>Where insurance cover refused, proprietor may be required to take action</w:t>
      </w:r>
      <w:bookmarkEnd w:id="430"/>
      <w:bookmarkEnd w:id="431"/>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[Section 54A inserted by No. 58 of 1995 s. 53.]</w:t>
      </w:r>
    </w:p>
    <w:p>
      <w:pPr>
        <w:pStyle w:val="Heading5"/>
        <w:keepNext w:val="0"/>
        <w:rPr>
          <w:snapToGrid w:val="0"/>
        </w:rPr>
      </w:pPr>
      <w:bookmarkStart w:id="432" w:name="_Toc381880965"/>
      <w:bookmarkStart w:id="433" w:name="_Toc476927338"/>
      <w:r>
        <w:rPr>
          <w:rStyle w:val="CharSectno"/>
        </w:rPr>
        <w:t>55</w:t>
      </w:r>
      <w:r>
        <w:rPr>
          <w:snapToGrid w:val="0"/>
        </w:rPr>
        <w:t>.</w:t>
      </w:r>
      <w:r>
        <w:rPr>
          <w:snapToGrid w:val="0"/>
        </w:rPr>
        <w:tab/>
        <w:t>Further insurance by strata company and actions by proprietor against strata company</w:t>
      </w:r>
      <w:bookmarkEnd w:id="432"/>
      <w:bookmarkEnd w:id="433"/>
    </w:p>
    <w:p>
      <w:pPr>
        <w:pStyle w:val="Subsection"/>
        <w:keepNext/>
        <w:rPr>
          <w:snapToGrid w:val="0"/>
          <w:spacing w:val="-4"/>
        </w:rPr>
      </w:pPr>
      <w:r>
        <w:rPr>
          <w:snapToGrid w:val="0"/>
          <w:spacing w:val="-4"/>
        </w:rPr>
        <w:tab/>
        <w:t>(1)</w:t>
      </w:r>
      <w:r>
        <w:rPr>
          <w:snapToGrid w:val="0"/>
          <w:spacing w:val="-4"/>
        </w:rPr>
        <w:tab/>
        <w:t xml:space="preserve">In </w:t>
      </w:r>
      <w:r>
        <w:rPr>
          <w:snapToGrid w:val="0"/>
        </w:rPr>
        <w:t>addition</w:t>
      </w:r>
      <w:r>
        <w:rPr>
          <w:snapToGrid w:val="0"/>
          <w:spacing w:val="-4"/>
        </w:rPr>
        <w:t xml:space="preserve"> to insurance effected by the strata company under this Division, a strata company shall effect and maintain insurance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deleted]</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6</w:t>
      </w:r>
      <w:r>
        <w:t xml:space="preserve"> and 94; No. 61 of 1996 s. 29; No. 42 of 2004 s. 174.]</w:t>
      </w:r>
    </w:p>
    <w:p>
      <w:pPr>
        <w:pStyle w:val="Heading5"/>
        <w:keepNext w:val="0"/>
        <w:keepLines w:val="0"/>
        <w:rPr>
          <w:snapToGrid w:val="0"/>
        </w:rPr>
      </w:pPr>
      <w:bookmarkStart w:id="434" w:name="_Toc381880966"/>
      <w:bookmarkStart w:id="435" w:name="_Toc476927339"/>
      <w:r>
        <w:rPr>
          <w:rStyle w:val="CharSectno"/>
        </w:rPr>
        <w:t>55A</w:t>
      </w:r>
      <w:r>
        <w:rPr>
          <w:snapToGrid w:val="0"/>
        </w:rPr>
        <w:t>.</w:t>
      </w:r>
      <w:r>
        <w:rPr>
          <w:snapToGrid w:val="0"/>
        </w:rPr>
        <w:tab/>
        <w:t>Proprietor liable for increased insurance premium in certain cases</w:t>
      </w:r>
      <w:bookmarkEnd w:id="434"/>
      <w:bookmarkEnd w:id="435"/>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[Section 55A inserted by No. 58 of 1995 s. 55.]</w:t>
      </w:r>
    </w:p>
    <w:p>
      <w:pPr>
        <w:pStyle w:val="Heading5"/>
        <w:rPr>
          <w:snapToGrid w:val="0"/>
        </w:rPr>
      </w:pPr>
      <w:bookmarkStart w:id="436" w:name="_Toc381880967"/>
      <w:bookmarkStart w:id="437" w:name="_Toc476927340"/>
      <w:r>
        <w:rPr>
          <w:rStyle w:val="CharSectno"/>
        </w:rPr>
        <w:t>56</w:t>
      </w:r>
      <w:r>
        <w:rPr>
          <w:snapToGrid w:val="0"/>
        </w:rPr>
        <w:t>.</w:t>
      </w:r>
      <w:r>
        <w:rPr>
          <w:snapToGrid w:val="0"/>
        </w:rPr>
        <w:tab/>
        <w:t>Insurance by proprietor</w:t>
      </w:r>
      <w:bookmarkEnd w:id="436"/>
      <w:bookmarkEnd w:id="437"/>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rPr>
      </w:pPr>
      <w:r>
        <w:rPr>
          <w:snapToGrid w:val="0"/>
          <w:spacing w:val="-4"/>
        </w:rPr>
        <w:tab/>
        <w:t>(2)</w:t>
      </w:r>
      <w:r>
        <w:rPr>
          <w:snapToGrid w:val="0"/>
          <w:spacing w:val="-4"/>
        </w:rPr>
        <w:tab/>
      </w:r>
      <w:r>
        <w:rPr>
          <w:snapToGrid w:val="0"/>
        </w:rPr>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438" w:name="_Toc381880968"/>
      <w:bookmarkStart w:id="439" w:name="_Toc476927341"/>
      <w:r>
        <w:rPr>
          <w:rStyle w:val="CharSectno"/>
        </w:rPr>
        <w:t>56A</w:t>
      </w:r>
      <w:r>
        <w:rPr>
          <w:snapToGrid w:val="0"/>
        </w:rPr>
        <w:t>.</w:t>
      </w:r>
      <w:r>
        <w:rPr>
          <w:snapToGrid w:val="0"/>
        </w:rPr>
        <w:tab/>
        <w:t>Proprietor may insure if strata company in default</w:t>
      </w:r>
      <w:bookmarkEnd w:id="438"/>
      <w:bookmarkEnd w:id="439"/>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[Section 56A inserted by No. 58 of 1995 s. 56.]</w:t>
      </w:r>
    </w:p>
    <w:p>
      <w:pPr>
        <w:pStyle w:val="Heading5"/>
        <w:rPr>
          <w:snapToGrid w:val="0"/>
        </w:rPr>
      </w:pPr>
      <w:bookmarkStart w:id="440" w:name="_Toc381880969"/>
      <w:bookmarkStart w:id="441" w:name="_Toc476927342"/>
      <w:r>
        <w:rPr>
          <w:rStyle w:val="CharSectno"/>
        </w:rPr>
        <w:t>57</w:t>
      </w:r>
      <w:r>
        <w:rPr>
          <w:snapToGrid w:val="0"/>
        </w:rPr>
        <w:t>.</w:t>
      </w:r>
      <w:r>
        <w:rPr>
          <w:snapToGrid w:val="0"/>
        </w:rPr>
        <w:tab/>
        <w:t>Insurance of mortgaged lot</w:t>
      </w:r>
      <w:bookmarkEnd w:id="440"/>
      <w:bookmarkEnd w:id="441"/>
    </w:p>
    <w:p>
      <w:pPr>
        <w:pStyle w:val="Subsection"/>
        <w:spacing w:before="180"/>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spacing w:before="180"/>
        <w:rPr>
          <w:snapToGrid w:val="0"/>
        </w:rPr>
      </w:pPr>
      <w:r>
        <w:rPr>
          <w:snapToGrid w:val="0"/>
        </w:rPr>
        <w:tab/>
        <w:t>(2)</w:t>
      </w:r>
      <w:r>
        <w:rPr>
          <w:snapToGrid w:val="0"/>
        </w:rPr>
        <w:tab/>
        <w:t>Where any contract of insurance of the kind authorised by subsection (1) is in force —</w:t>
      </w:r>
    </w:p>
    <w:p>
      <w:pPr>
        <w:pStyle w:val="Indenta"/>
        <w:spacing w:before="120"/>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spacing w:before="120"/>
        <w:rPr>
          <w:snapToGrid w:val="0"/>
        </w:rPr>
      </w:pPr>
      <w:r>
        <w:rPr>
          <w:snapToGrid w:val="0"/>
        </w:rPr>
        <w:tab/>
        <w:t>(b)</w:t>
      </w:r>
      <w:r>
        <w:rPr>
          <w:snapToGrid w:val="0"/>
        </w:rPr>
        <w:tab/>
        <w:t>subject to the terms and conditions of the contract, the insurer is liable to pay thereunder —</w:t>
      </w:r>
    </w:p>
    <w:p>
      <w:pPr>
        <w:pStyle w:val="Indenti"/>
        <w:spacing w:before="120"/>
        <w:rPr>
          <w:snapToGrid w:val="0"/>
        </w:rPr>
      </w:pPr>
      <w:r>
        <w:rPr>
          <w:snapToGrid w:val="0"/>
        </w:rPr>
        <w:tab/>
        <w:t>(i)</w:t>
      </w:r>
      <w:r>
        <w:rPr>
          <w:snapToGrid w:val="0"/>
        </w:rPr>
        <w:tab/>
        <w:t>the value stated in the contract; or</w:t>
      </w:r>
    </w:p>
    <w:p>
      <w:pPr>
        <w:pStyle w:val="Indenti"/>
        <w:spacing w:before="120"/>
        <w:rPr>
          <w:snapToGrid w:val="0"/>
        </w:rPr>
      </w:pPr>
      <w:r>
        <w:rPr>
          <w:snapToGrid w:val="0"/>
        </w:rPr>
        <w:tab/>
        <w:t>(ii)</w:t>
      </w:r>
      <w:r>
        <w:rPr>
          <w:snapToGrid w:val="0"/>
        </w:rPr>
        <w:tab/>
        <w:t>the amount of the loss; or</w:t>
      </w:r>
    </w:p>
    <w:p>
      <w:pPr>
        <w:pStyle w:val="Indenti"/>
        <w:spacing w:before="120"/>
        <w:rPr>
          <w:snapToGrid w:val="0"/>
        </w:rPr>
      </w:pPr>
      <w:r>
        <w:rPr>
          <w:snapToGrid w:val="0"/>
        </w:rPr>
        <w:tab/>
        <w:t>(iii)</w:t>
      </w:r>
      <w:r>
        <w:rPr>
          <w:snapToGrid w:val="0"/>
        </w:rPr>
        <w:tab/>
        <w:t>the amount sufficient, at the date of the loss, to discharge mortgages charged upon the lot,</w:t>
      </w:r>
    </w:p>
    <w:p>
      <w:pPr>
        <w:pStyle w:val="Indenta"/>
        <w:spacing w:before="120"/>
        <w:rPr>
          <w:snapToGrid w:val="0"/>
        </w:rPr>
      </w:pPr>
      <w:r>
        <w:rPr>
          <w:snapToGrid w:val="0"/>
        </w:rPr>
        <w:tab/>
      </w:r>
      <w:r>
        <w:rPr>
          <w:snapToGrid w:val="0"/>
        </w:rPr>
        <w:tab/>
        <w:t>whichever is the least amount;</w:t>
      </w:r>
    </w:p>
    <w:p>
      <w:pPr>
        <w:pStyle w:val="Indenta"/>
        <w:spacing w:before="120"/>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spacing w:before="120"/>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keepNext/>
        <w:keepLines/>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442" w:name="_Toc381880970"/>
      <w:bookmarkStart w:id="443" w:name="_Toc476927343"/>
      <w:r>
        <w:rPr>
          <w:rStyle w:val="CharSectno"/>
        </w:rPr>
        <w:t>58</w:t>
      </w:r>
      <w:r>
        <w:rPr>
          <w:snapToGrid w:val="0"/>
        </w:rPr>
        <w:t>.</w:t>
      </w:r>
      <w:r>
        <w:rPr>
          <w:snapToGrid w:val="0"/>
        </w:rPr>
        <w:tab/>
        <w:t>Insurable interest</w:t>
      </w:r>
      <w:bookmarkEnd w:id="442"/>
      <w:bookmarkEnd w:id="443"/>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444" w:name="_Toc381880971"/>
      <w:bookmarkStart w:id="445" w:name="_Toc476927344"/>
      <w:r>
        <w:rPr>
          <w:rStyle w:val="CharSectno"/>
        </w:rPr>
        <w:t>59</w:t>
      </w:r>
      <w:r>
        <w:rPr>
          <w:snapToGrid w:val="0"/>
        </w:rPr>
        <w:t>.</w:t>
      </w:r>
      <w:r>
        <w:rPr>
          <w:snapToGrid w:val="0"/>
        </w:rPr>
        <w:tab/>
        <w:t>Application of insurance moneys to rebuilding</w:t>
      </w:r>
      <w:bookmarkEnd w:id="444"/>
      <w:bookmarkEnd w:id="445"/>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pPr>
      <w:bookmarkStart w:id="446" w:name="_Toc381880972"/>
      <w:bookmarkStart w:id="447" w:name="_Toc418081702"/>
      <w:bookmarkStart w:id="448" w:name="_Toc418082035"/>
      <w:bookmarkStart w:id="449" w:name="_Toc418087824"/>
      <w:bookmarkStart w:id="450" w:name="_Toc421012364"/>
      <w:bookmarkStart w:id="451" w:name="_Toc422408919"/>
      <w:bookmarkStart w:id="452" w:name="_Toc476927345"/>
      <w:r>
        <w:rPr>
          <w:rStyle w:val="CharDivNo"/>
        </w:rPr>
        <w:t>Division 5</w:t>
      </w:r>
      <w:r>
        <w:rPr>
          <w:snapToGrid w:val="0"/>
        </w:rPr>
        <w:t> — </w:t>
      </w:r>
      <w:r>
        <w:rPr>
          <w:rStyle w:val="CharDivText"/>
        </w:rPr>
        <w:t>Rates, taxes and charges</w:t>
      </w:r>
      <w:bookmarkEnd w:id="446"/>
      <w:bookmarkEnd w:id="447"/>
      <w:bookmarkEnd w:id="448"/>
      <w:bookmarkEnd w:id="449"/>
      <w:bookmarkEnd w:id="450"/>
      <w:bookmarkEnd w:id="451"/>
      <w:bookmarkEnd w:id="452"/>
    </w:p>
    <w:p>
      <w:pPr>
        <w:pStyle w:val="Heading5"/>
        <w:rPr>
          <w:snapToGrid w:val="0"/>
        </w:rPr>
      </w:pPr>
      <w:bookmarkStart w:id="453" w:name="_Toc381880973"/>
      <w:bookmarkStart w:id="454" w:name="_Toc476927346"/>
      <w:r>
        <w:rPr>
          <w:rStyle w:val="CharSectno"/>
        </w:rPr>
        <w:t>60</w:t>
      </w:r>
      <w:r>
        <w:rPr>
          <w:snapToGrid w:val="0"/>
        </w:rPr>
        <w:t>.</w:t>
      </w:r>
      <w:r>
        <w:rPr>
          <w:snapToGrid w:val="0"/>
        </w:rPr>
        <w:tab/>
        <w:t>Delivery of plans to authorities</w:t>
      </w:r>
      <w:bookmarkEnd w:id="453"/>
      <w:bookmarkEnd w:id="454"/>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Ednotesubsection"/>
      </w:pPr>
      <w:r>
        <w:tab/>
        <w:t>[(4)</w:t>
      </w:r>
      <w:r>
        <w:tab/>
        <w:t>deleted]</w:t>
      </w:r>
    </w:p>
    <w:p>
      <w:pPr>
        <w:pStyle w:val="Footnotesection"/>
      </w:pPr>
      <w:r>
        <w:tab/>
        <w:t>[Section 60 inserted by No. 58 of 1995 s. 57(1)</w:t>
      </w:r>
      <w:r>
        <w:rPr>
          <w:vertAlign w:val="superscript"/>
        </w:rPr>
        <w:t xml:space="preserve"> </w:t>
      </w:r>
      <w:r>
        <w:rPr>
          <w:i w:val="0"/>
          <w:vertAlign w:val="superscript"/>
        </w:rPr>
        <w:t>7</w:t>
      </w:r>
      <w:r>
        <w:t>; amended by No. 14 of 1996 s. 4; No. 25 of 2012 s. 232(2).]</w:t>
      </w:r>
    </w:p>
    <w:p>
      <w:pPr>
        <w:pStyle w:val="Heading5"/>
        <w:rPr>
          <w:snapToGrid w:val="0"/>
        </w:rPr>
      </w:pPr>
      <w:bookmarkStart w:id="455" w:name="_Toc381880974"/>
      <w:bookmarkStart w:id="456" w:name="_Toc476927347"/>
      <w:r>
        <w:rPr>
          <w:rStyle w:val="CharSectno"/>
        </w:rPr>
        <w:t>61</w:t>
      </w:r>
      <w:r>
        <w:rPr>
          <w:snapToGrid w:val="0"/>
        </w:rPr>
        <w:t>.</w:t>
      </w:r>
      <w:r>
        <w:rPr>
          <w:snapToGrid w:val="0"/>
        </w:rPr>
        <w:tab/>
        <w:t>Particulars on plan to be conclusive for rating and taxing purposes</w:t>
      </w:r>
      <w:bookmarkEnd w:id="455"/>
      <w:bookmarkEnd w:id="456"/>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[Section 61 amended by No. 58 of 1995 s. 58; No. 14 of 1996 s. 4.]</w:t>
      </w:r>
    </w:p>
    <w:p>
      <w:pPr>
        <w:pStyle w:val="Heading5"/>
        <w:rPr>
          <w:snapToGrid w:val="0"/>
        </w:rPr>
      </w:pPr>
      <w:bookmarkStart w:id="457" w:name="_Toc381880975"/>
      <w:bookmarkStart w:id="458" w:name="_Toc476927348"/>
      <w:r>
        <w:rPr>
          <w:rStyle w:val="CharSectno"/>
        </w:rPr>
        <w:t>62</w:t>
      </w:r>
      <w:r>
        <w:rPr>
          <w:snapToGrid w:val="0"/>
        </w:rPr>
        <w:t>.</w:t>
      </w:r>
      <w:r>
        <w:rPr>
          <w:snapToGrid w:val="0"/>
        </w:rPr>
        <w:tab/>
        <w:t>Rating on unimproved value</w:t>
      </w:r>
      <w:bookmarkEnd w:id="457"/>
      <w:bookmarkEnd w:id="458"/>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t>Where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[Section 62 amended by No. 58 of 1995 s. 59 and 95; No. 14 of 1996 s. 4; No. 55 of 2004 s. 1123.]</w:t>
      </w:r>
    </w:p>
    <w:p>
      <w:pPr>
        <w:pStyle w:val="Heading5"/>
        <w:rPr>
          <w:snapToGrid w:val="0"/>
        </w:rPr>
      </w:pPr>
      <w:bookmarkStart w:id="459" w:name="_Toc381880976"/>
      <w:bookmarkStart w:id="460" w:name="_Toc476927349"/>
      <w:r>
        <w:rPr>
          <w:rStyle w:val="CharSectno"/>
        </w:rPr>
        <w:t>62A</w:t>
      </w:r>
      <w:r>
        <w:rPr>
          <w:snapToGrid w:val="0"/>
        </w:rPr>
        <w:t>.</w:t>
      </w:r>
      <w:r>
        <w:rPr>
          <w:snapToGrid w:val="0"/>
        </w:rPr>
        <w:tab/>
        <w:t>Rating for survey</w:t>
      </w:r>
      <w:r>
        <w:rPr>
          <w:snapToGrid w:val="0"/>
        </w:rPr>
        <w:noBreakHyphen/>
        <w:t>strata schemes</w:t>
      </w:r>
      <w:bookmarkEnd w:id="459"/>
      <w:bookmarkEnd w:id="460"/>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spacing w:before="140"/>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spacing w:before="140"/>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100"/>
      </w:pPr>
      <w:r>
        <w:tab/>
        <w:t>[Section 62A inserted by No. 58 of 1995 s. 60; amended by No. 57 of 1997 s. 115(4).]</w:t>
      </w:r>
    </w:p>
    <w:p>
      <w:pPr>
        <w:pStyle w:val="Heading5"/>
        <w:rPr>
          <w:snapToGrid w:val="0"/>
        </w:rPr>
      </w:pPr>
      <w:bookmarkStart w:id="461" w:name="_Toc381880977"/>
      <w:bookmarkStart w:id="462" w:name="_Toc476927350"/>
      <w:r>
        <w:rPr>
          <w:rStyle w:val="CharSectno"/>
        </w:rPr>
        <w:t>63</w:t>
      </w:r>
      <w:r>
        <w:rPr>
          <w:snapToGrid w:val="0"/>
        </w:rPr>
        <w:t>.</w:t>
      </w:r>
      <w:r>
        <w:rPr>
          <w:snapToGrid w:val="0"/>
        </w:rPr>
        <w:tab/>
        <w:t>Rating on gross rental value</w:t>
      </w:r>
      <w:bookmarkEnd w:id="461"/>
      <w:bookmarkEnd w:id="462"/>
    </w:p>
    <w:p>
      <w:pPr>
        <w:pStyle w:val="Subsection"/>
        <w:spacing w:before="140"/>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spacing w:before="140"/>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w:t>
      </w:r>
    </w:p>
    <w:p>
      <w:pPr>
        <w:pStyle w:val="Indenta"/>
        <w:spacing w:before="60"/>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spacing w:before="60"/>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spacing w:before="140"/>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100"/>
        <w:ind w:left="890" w:hanging="890"/>
      </w:pPr>
      <w:r>
        <w:tab/>
        <w:t>[Section 63 amended by No. 14 of 1996 s. 4.]</w:t>
      </w:r>
    </w:p>
    <w:p>
      <w:pPr>
        <w:pStyle w:val="Heading5"/>
        <w:rPr>
          <w:snapToGrid w:val="0"/>
        </w:rPr>
      </w:pPr>
      <w:bookmarkStart w:id="463" w:name="_Toc381880978"/>
      <w:bookmarkStart w:id="464" w:name="_Toc476927351"/>
      <w:r>
        <w:rPr>
          <w:rStyle w:val="CharSectno"/>
        </w:rPr>
        <w:t>64</w:t>
      </w:r>
      <w:r>
        <w:rPr>
          <w:snapToGrid w:val="0"/>
        </w:rPr>
        <w:t>.</w:t>
      </w:r>
      <w:r>
        <w:rPr>
          <w:snapToGrid w:val="0"/>
        </w:rPr>
        <w:tab/>
        <w:t>Proprietor may seek a review of unimproved value of parcel</w:t>
      </w:r>
      <w:bookmarkEnd w:id="463"/>
      <w:bookmarkEnd w:id="464"/>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465" w:name="_Toc381880979"/>
      <w:bookmarkStart w:id="466" w:name="_Toc476927352"/>
      <w:r>
        <w:rPr>
          <w:rStyle w:val="CharSectno"/>
        </w:rPr>
        <w:t>65</w:t>
      </w:r>
      <w:r>
        <w:rPr>
          <w:snapToGrid w:val="0"/>
        </w:rPr>
        <w:t>.</w:t>
      </w:r>
      <w:r>
        <w:rPr>
          <w:snapToGrid w:val="0"/>
        </w:rPr>
        <w:tab/>
        <w:t>Land tax and metropolitan region improvement tax</w:t>
      </w:r>
      <w:bookmarkEnd w:id="465"/>
      <w:bookmarkEnd w:id="466"/>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 and</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[Section 65 amended by No. 58 of 1995 s. 61; No. 45 of 2002 s. 23(2) and (3); No. 38 of 2005 s. 15.]</w:t>
      </w:r>
    </w:p>
    <w:p>
      <w:pPr>
        <w:pStyle w:val="Heading5"/>
        <w:rPr>
          <w:snapToGrid w:val="0"/>
        </w:rPr>
      </w:pPr>
      <w:bookmarkStart w:id="467" w:name="_Toc381880980"/>
      <w:bookmarkStart w:id="468" w:name="_Toc476927353"/>
      <w:r>
        <w:rPr>
          <w:rStyle w:val="CharSectno"/>
        </w:rPr>
        <w:t>65A</w:t>
      </w:r>
      <w:r>
        <w:rPr>
          <w:snapToGrid w:val="0"/>
        </w:rPr>
        <w:t>.</w:t>
      </w:r>
      <w:r>
        <w:rPr>
          <w:snapToGrid w:val="0"/>
        </w:rPr>
        <w:tab/>
        <w:t>Land tax etc. for survey</w:t>
      </w:r>
      <w:r>
        <w:rPr>
          <w:snapToGrid w:val="0"/>
        </w:rPr>
        <w:noBreakHyphen/>
        <w:t>strata schemes</w:t>
      </w:r>
      <w:bookmarkEnd w:id="467"/>
      <w:bookmarkEnd w:id="468"/>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 and</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[Section 65A inserted by No. 58 of 1995 s. 62; amended by No. 45 of 2002 s. 23(4); No. 38 of 2005 s. 15.]</w:t>
      </w:r>
    </w:p>
    <w:p>
      <w:pPr>
        <w:pStyle w:val="Heading5"/>
        <w:keepLines w:val="0"/>
        <w:rPr>
          <w:snapToGrid w:val="0"/>
        </w:rPr>
      </w:pPr>
      <w:bookmarkStart w:id="469" w:name="_Toc381880981"/>
      <w:bookmarkStart w:id="470" w:name="_Toc476927354"/>
      <w:r>
        <w:rPr>
          <w:rStyle w:val="CharSectno"/>
        </w:rPr>
        <w:t>66</w:t>
      </w:r>
      <w:r>
        <w:rPr>
          <w:snapToGrid w:val="0"/>
        </w:rPr>
        <w:t>.</w:t>
      </w:r>
      <w:r>
        <w:rPr>
          <w:snapToGrid w:val="0"/>
        </w:rPr>
        <w:tab/>
        <w:t>Charges for water supplied</w:t>
      </w:r>
      <w:bookmarkEnd w:id="469"/>
      <w:bookmarkEnd w:id="470"/>
    </w:p>
    <w:p>
      <w:pPr>
        <w:pStyle w:val="Subsection"/>
        <w:rPr>
          <w:snapToGrid w:val="0"/>
        </w:rPr>
      </w:pPr>
      <w:r>
        <w:rPr>
          <w:snapToGrid w:val="0"/>
        </w:rPr>
        <w:tab/>
      </w:r>
      <w:r>
        <w:rPr>
          <w:snapToGrid w:val="0"/>
        </w:rPr>
        <w:tab/>
        <w:t xml:space="preserve">Where in relation to a scheme an authority </w:t>
      </w:r>
      <w:r>
        <w:t xml:space="preserve">(including a licensee as defined in the </w:t>
      </w:r>
      <w:r>
        <w:rPr>
          <w:i/>
          <w:iCs/>
        </w:rPr>
        <w:t>Water Services Act 2012</w:t>
      </w:r>
      <w:r>
        <w:t xml:space="preserve"> section 3(1)) </w:t>
      </w:r>
      <w:r>
        <w:rPr>
          <w:snapToGrid w:val="0"/>
        </w:rPr>
        <w:t>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[Section 66 amended by No. 24 of 1987 s. 166; No. 58 of 1995 s. 96; No. 25 of 2012 s. 232(3).]</w:t>
      </w:r>
    </w:p>
    <w:p>
      <w:pPr>
        <w:pStyle w:val="Heading5"/>
      </w:pPr>
      <w:bookmarkStart w:id="471" w:name="_Toc381880982"/>
      <w:bookmarkStart w:id="472" w:name="_Toc476927355"/>
      <w:r>
        <w:rPr>
          <w:rStyle w:val="CharSectno"/>
        </w:rPr>
        <w:t>67</w:t>
      </w:r>
      <w:r>
        <w:t>.</w:t>
      </w:r>
      <w:r>
        <w:tab/>
        <w:t xml:space="preserve">Water service charges under the </w:t>
      </w:r>
      <w:r>
        <w:rPr>
          <w:i/>
          <w:iCs/>
        </w:rPr>
        <w:t>Water Services Act 2012</w:t>
      </w:r>
      <w:bookmarkEnd w:id="471"/>
      <w:bookmarkEnd w:id="472"/>
    </w:p>
    <w:p>
      <w:pPr>
        <w:pStyle w:val="Subsection"/>
      </w:pPr>
      <w:r>
        <w:tab/>
      </w:r>
      <w:r>
        <w:tab/>
        <w:t xml:space="preserve">For the purposes of this Division — </w:t>
      </w:r>
    </w:p>
    <w:p>
      <w:pPr>
        <w:pStyle w:val="Indenta"/>
      </w:pPr>
      <w:r>
        <w:tab/>
        <w:t>(a)</w:t>
      </w:r>
      <w:r>
        <w:tab/>
        <w:t xml:space="preserve">a statutory water service charge (as defined in the </w:t>
      </w:r>
      <w:r>
        <w:rPr>
          <w:i/>
          <w:iCs/>
        </w:rPr>
        <w:t>Water Services Act 2012</w:t>
      </w:r>
      <w:r>
        <w:t xml:space="preserve"> section 71(1)) that applies in respect of land is to be taken to be a rate made and levied by an authority (that is, the licensee to whom the charge is payable); and</w:t>
      </w:r>
    </w:p>
    <w:p>
      <w:pPr>
        <w:pStyle w:val="Indenta"/>
      </w:pPr>
      <w:r>
        <w:tab/>
        <w:t>(b)</w:t>
      </w:r>
      <w:r>
        <w:tab/>
        <w:t>the licensee is to be taken to be an authority authorised to make and levy the rate on the land.</w:t>
      </w:r>
    </w:p>
    <w:p>
      <w:pPr>
        <w:pStyle w:val="Footnotesection"/>
      </w:pPr>
      <w:r>
        <w:tab/>
        <w:t>[Section 67 inserted by No. 25 of 2012 s. 232(4).]</w:t>
      </w:r>
    </w:p>
    <w:p>
      <w:pPr>
        <w:pStyle w:val="Heading2"/>
      </w:pPr>
      <w:bookmarkStart w:id="473" w:name="_Toc381880983"/>
      <w:bookmarkStart w:id="474" w:name="_Toc418081713"/>
      <w:bookmarkStart w:id="475" w:name="_Toc418082046"/>
      <w:bookmarkStart w:id="476" w:name="_Toc418087835"/>
      <w:bookmarkStart w:id="477" w:name="_Toc421012375"/>
      <w:bookmarkStart w:id="478" w:name="_Toc422408930"/>
      <w:bookmarkStart w:id="479" w:name="_Toc476927356"/>
      <w:r>
        <w:rPr>
          <w:rStyle w:val="CharPartNo"/>
        </w:rPr>
        <w:t>Part V</w:t>
      </w:r>
      <w:r>
        <w:rPr>
          <w:rStyle w:val="CharDivNo"/>
        </w:rPr>
        <w:t> </w:t>
      </w:r>
      <w:r>
        <w:t>—</w:t>
      </w:r>
      <w:r>
        <w:rPr>
          <w:rStyle w:val="CharDivText"/>
        </w:rPr>
        <w:t> </w:t>
      </w:r>
      <w:r>
        <w:rPr>
          <w:rStyle w:val="CharPartText"/>
        </w:rPr>
        <w:t>Protection of purchasers</w:t>
      </w:r>
      <w:bookmarkEnd w:id="473"/>
      <w:bookmarkEnd w:id="474"/>
      <w:bookmarkEnd w:id="475"/>
      <w:bookmarkEnd w:id="476"/>
      <w:bookmarkEnd w:id="477"/>
      <w:bookmarkEnd w:id="478"/>
      <w:bookmarkEnd w:id="479"/>
    </w:p>
    <w:p>
      <w:pPr>
        <w:pStyle w:val="Heading5"/>
        <w:rPr>
          <w:snapToGrid w:val="0"/>
        </w:rPr>
      </w:pPr>
      <w:bookmarkStart w:id="480" w:name="_Toc381880984"/>
      <w:bookmarkStart w:id="481" w:name="_Toc476927357"/>
      <w:r>
        <w:rPr>
          <w:rStyle w:val="CharSectno"/>
        </w:rPr>
        <w:t>68</w:t>
      </w:r>
      <w:r>
        <w:rPr>
          <w:snapToGrid w:val="0"/>
        </w:rPr>
        <w:t>.</w:t>
      </w:r>
      <w:r>
        <w:rPr>
          <w:snapToGrid w:val="0"/>
        </w:rPr>
        <w:tab/>
        <w:t>Terms used</w:t>
      </w:r>
      <w:bookmarkEnd w:id="480"/>
      <w:bookmarkEnd w:id="481"/>
    </w:p>
    <w:p>
      <w:pPr>
        <w:pStyle w:val="Subsection"/>
        <w:rPr>
          <w:snapToGrid w:val="0"/>
        </w:rPr>
      </w:pPr>
      <w:r>
        <w:rPr>
          <w:snapToGrid w:val="0"/>
        </w:rPr>
        <w:tab/>
      </w:r>
      <w:r>
        <w:rPr>
          <w:snapToGrid w:val="0"/>
        </w:rPr>
        <w:tab/>
        <w:t>In this Part, unless the contrary intention appears —</w:t>
      </w:r>
    </w:p>
    <w:p>
      <w:pPr>
        <w:pStyle w:val="Defstart"/>
      </w:pPr>
      <w:r>
        <w:rPr>
          <w:b/>
        </w:rPr>
        <w:tab/>
      </w:r>
      <w:r>
        <w:rPr>
          <w:rStyle w:val="CharDefText"/>
        </w:rPr>
        <w:t>contract</w:t>
      </w:r>
      <w:r>
        <w:t xml:space="preserve"> means a contract, agreement or document that legally binds the purchaser whether conditionally or unconditionally;</w:t>
      </w:r>
    </w:p>
    <w:p>
      <w:pPr>
        <w:pStyle w:val="Defstart"/>
      </w:pPr>
      <w:r>
        <w:rPr>
          <w:b/>
        </w:rPr>
        <w:tab/>
      </w:r>
      <w:r>
        <w:rPr>
          <w:rStyle w:val="CharDefText"/>
        </w:rPr>
        <w:t>original proprietor</w:t>
      </w:r>
      <w:r>
        <w:t xml:space="preserve"> includes, in respect of a proposed lot or proposed plan, the person who upon registration of the proposed plan becomes the original proprietor;</w:t>
      </w:r>
    </w:p>
    <w:p>
      <w:pPr>
        <w:pStyle w:val="Defstart"/>
      </w:pPr>
      <w:r>
        <w:rPr>
          <w:b/>
        </w:rPr>
        <w:tab/>
      </w:r>
      <w:r>
        <w:rPr>
          <w:rStyle w:val="CharDefText"/>
        </w:rPr>
        <w:t>purchaser</w:t>
      </w:r>
      <w:r>
        <w:t xml:space="preserve"> includes an intending purchaser;</w:t>
      </w:r>
    </w:p>
    <w:p>
      <w:pPr>
        <w:pStyle w:val="Defstart"/>
      </w:pPr>
      <w:r>
        <w:rPr>
          <w:b/>
        </w:rPr>
        <w:tab/>
      </w:r>
      <w:r>
        <w:rPr>
          <w:rStyle w:val="CharDefText"/>
        </w:rPr>
        <w:t>vendor</w:t>
      </w:r>
      <w:r>
        <w:t xml:space="preserve"> includes an intending vendor.</w:t>
      </w:r>
    </w:p>
    <w:p>
      <w:pPr>
        <w:pStyle w:val="Footnotesection"/>
        <w:ind w:left="890" w:hanging="890"/>
      </w:pPr>
      <w:r>
        <w:tab/>
        <w:t>[Section 68 inserted by No. 58 of 1995 s. 63 </w:t>
      </w:r>
      <w:r>
        <w:rPr>
          <w:i w:val="0"/>
          <w:vertAlign w:val="superscript"/>
        </w:rPr>
        <w:t>8</w:t>
      </w:r>
      <w:r>
        <w:t>.]</w:t>
      </w:r>
    </w:p>
    <w:p>
      <w:pPr>
        <w:pStyle w:val="Heading5"/>
        <w:rPr>
          <w:snapToGrid w:val="0"/>
        </w:rPr>
      </w:pPr>
      <w:bookmarkStart w:id="482" w:name="_Toc381880985"/>
      <w:bookmarkStart w:id="483" w:name="_Toc476927358"/>
      <w:r>
        <w:rPr>
          <w:rStyle w:val="CharSectno"/>
        </w:rPr>
        <w:t>69</w:t>
      </w:r>
      <w:r>
        <w:rPr>
          <w:snapToGrid w:val="0"/>
        </w:rPr>
        <w:t>.</w:t>
      </w:r>
      <w:r>
        <w:rPr>
          <w:snapToGrid w:val="0"/>
        </w:rPr>
        <w:tab/>
        <w:t>Information to be given to purchaser</w:t>
      </w:r>
      <w:bookmarkEnd w:id="482"/>
      <w:bookmarkEnd w:id="483"/>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ind w:left="890" w:hanging="890"/>
      </w:pPr>
      <w:r>
        <w:tab/>
        <w:t>[Section 69 inserted by No. 58 of 1995 s. 63 </w:t>
      </w:r>
      <w:r>
        <w:rPr>
          <w:i w:val="0"/>
          <w:vertAlign w:val="superscript"/>
        </w:rPr>
        <w:t>8</w:t>
      </w:r>
      <w:r>
        <w:t>.]</w:t>
      </w:r>
    </w:p>
    <w:p>
      <w:pPr>
        <w:pStyle w:val="Heading5"/>
        <w:rPr>
          <w:snapToGrid w:val="0"/>
        </w:rPr>
      </w:pPr>
      <w:bookmarkStart w:id="484" w:name="_Toc381880986"/>
      <w:bookmarkStart w:id="485" w:name="_Toc476927359"/>
      <w:r>
        <w:rPr>
          <w:rStyle w:val="CharSectno"/>
        </w:rPr>
        <w:t>69A</w:t>
      </w:r>
      <w:r>
        <w:rPr>
          <w:snapToGrid w:val="0"/>
        </w:rPr>
        <w:t>.</w:t>
      </w:r>
      <w:r>
        <w:rPr>
          <w:snapToGrid w:val="0"/>
        </w:rPr>
        <w:tab/>
        <w:t>Notifiable information, to be given by every vendor</w:t>
      </w:r>
      <w:bookmarkEnd w:id="484"/>
      <w:bookmarkEnd w:id="485"/>
    </w:p>
    <w:p>
      <w:pPr>
        <w:pStyle w:val="Subsection"/>
        <w:rPr>
          <w:snapToGrid w:val="0"/>
        </w:rPr>
      </w:pPr>
      <w:r>
        <w:rPr>
          <w:snapToGrid w:val="0"/>
        </w:rPr>
        <w:tab/>
      </w:r>
      <w:r>
        <w:rPr>
          <w:snapToGrid w:val="0"/>
        </w:rPr>
        <w:tab/>
        <w:t>The notifiable information to be given under section 69 by every vendor is —</w:t>
      </w:r>
    </w:p>
    <w:p>
      <w:pPr>
        <w:pStyle w:val="Indenta"/>
        <w:spacing w:before="100"/>
        <w:rPr>
          <w:snapToGrid w:val="0"/>
        </w:rPr>
      </w:pPr>
      <w:r>
        <w:rPr>
          <w:snapToGrid w:val="0"/>
        </w:rPr>
        <w:tab/>
        <w:t>(a)</w:t>
      </w:r>
      <w:r>
        <w:rPr>
          <w:snapToGrid w:val="0"/>
        </w:rPr>
        <w:tab/>
        <w:t>the name and address of the vendor and the purchaser; and</w:t>
      </w:r>
    </w:p>
    <w:p>
      <w:pPr>
        <w:pStyle w:val="Indenta"/>
        <w:spacing w:before="100"/>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5A(a) to (c), (e) and (f), as the case may require, and particularly drawing attention to information that relates especially to any lot or proposed lot to which the contract relates; and</w:t>
      </w:r>
    </w:p>
    <w:p>
      <w:pPr>
        <w:pStyle w:val="Indenta"/>
        <w:spacing w:before="100"/>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 and</w:t>
      </w:r>
    </w:p>
    <w:p>
      <w:pPr>
        <w:pStyle w:val="Indenta"/>
        <w:keepNext/>
        <w:spacing w:before="100"/>
        <w:rPr>
          <w:snapToGrid w:val="0"/>
        </w:rPr>
      </w:pPr>
      <w:r>
        <w:rPr>
          <w:snapToGrid w:val="0"/>
        </w:rPr>
        <w:tab/>
        <w:t>(d)</w:t>
      </w:r>
      <w:r>
        <w:rPr>
          <w:snapToGrid w:val="0"/>
        </w:rPr>
        <w:tab/>
        <w:t>the contents of the by</w:t>
      </w:r>
      <w:r>
        <w:rPr>
          <w:snapToGrid w:val="0"/>
        </w:rPr>
        <w:noBreakHyphen/>
        <w:t>laws for the scheme that are —</w:t>
      </w:r>
    </w:p>
    <w:p>
      <w:pPr>
        <w:pStyle w:val="Indenti"/>
        <w:spacing w:before="100"/>
        <w:rPr>
          <w:snapToGrid w:val="0"/>
        </w:rPr>
      </w:pPr>
      <w:r>
        <w:rPr>
          <w:snapToGrid w:val="0"/>
        </w:rPr>
        <w:tab/>
        <w:t>(i)</w:t>
      </w:r>
      <w:r>
        <w:rPr>
          <w:snapToGrid w:val="0"/>
        </w:rPr>
        <w:tab/>
        <w:t>in force; or</w:t>
      </w:r>
    </w:p>
    <w:p>
      <w:pPr>
        <w:pStyle w:val="Indenti"/>
        <w:spacing w:before="100"/>
        <w:rPr>
          <w:snapToGrid w:val="0"/>
        </w:rPr>
      </w:pPr>
      <w:r>
        <w:rPr>
          <w:snapToGrid w:val="0"/>
        </w:rPr>
        <w:tab/>
        <w:t>(ii)</w:t>
      </w:r>
      <w:r>
        <w:rPr>
          <w:snapToGrid w:val="0"/>
        </w:rPr>
        <w:tab/>
        <w:t>resolved to be made but not yet in force by virtue of section 42(4),</w:t>
      </w:r>
    </w:p>
    <w:p>
      <w:pPr>
        <w:pStyle w:val="Indenta"/>
        <w:spacing w:before="100"/>
        <w:rPr>
          <w:snapToGrid w:val="0"/>
        </w:rPr>
      </w:pPr>
      <w:r>
        <w:rPr>
          <w:snapToGrid w:val="0"/>
        </w:rPr>
        <w:tab/>
      </w:r>
      <w:r>
        <w:rPr>
          <w:snapToGrid w:val="0"/>
        </w:rPr>
        <w:tab/>
        <w:t>but only so far as they amend, repeal or add to the by</w:t>
      </w:r>
      <w:r>
        <w:rPr>
          <w:snapToGrid w:val="0"/>
        </w:rPr>
        <w:noBreakHyphen/>
        <w:t>laws set out in Schedules 1 and 2; and</w:t>
      </w:r>
    </w:p>
    <w:p>
      <w:pPr>
        <w:pStyle w:val="Indenta"/>
        <w:spacing w:before="100"/>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spacing w:before="100"/>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[Section 69A inserted by No. 58 of 1995 s. 63.]</w:t>
      </w:r>
    </w:p>
    <w:p>
      <w:pPr>
        <w:pStyle w:val="Heading5"/>
        <w:rPr>
          <w:snapToGrid w:val="0"/>
        </w:rPr>
      </w:pPr>
      <w:bookmarkStart w:id="486" w:name="_Toc381880987"/>
      <w:bookmarkStart w:id="487" w:name="_Toc476927360"/>
      <w:r>
        <w:rPr>
          <w:rStyle w:val="CharSectno"/>
        </w:rPr>
        <w:t>69B</w:t>
      </w:r>
      <w:r>
        <w:rPr>
          <w:snapToGrid w:val="0"/>
        </w:rPr>
        <w:t>.</w:t>
      </w:r>
      <w:r>
        <w:rPr>
          <w:snapToGrid w:val="0"/>
        </w:rPr>
        <w:tab/>
        <w:t>Notifiable information to be given by original proprietor in certain cases</w:t>
      </w:r>
      <w:bookmarkEnd w:id="486"/>
      <w:bookmarkEnd w:id="487"/>
    </w:p>
    <w:p>
      <w:pPr>
        <w:pStyle w:val="Subsection"/>
        <w:rPr>
          <w:snapToGrid w:val="0"/>
        </w:rPr>
      </w:pPr>
      <w:r>
        <w:rPr>
          <w:snapToGrid w:val="0"/>
        </w:rPr>
        <w:tab/>
        <w:t>(1)</w:t>
      </w:r>
      <w:r>
        <w:rPr>
          <w:snapToGrid w:val="0"/>
        </w:rPr>
        <w:tab/>
        <w:t>This section applies only if —</w:t>
      </w:r>
    </w:p>
    <w:p>
      <w:pPr>
        <w:pStyle w:val="Indenta"/>
        <w:spacing w:before="100"/>
        <w:rPr>
          <w:snapToGrid w:val="0"/>
        </w:rPr>
      </w:pPr>
      <w:r>
        <w:rPr>
          <w:snapToGrid w:val="0"/>
        </w:rPr>
        <w:tab/>
        <w:t>(a)</w:t>
      </w:r>
      <w:r>
        <w:rPr>
          <w:snapToGrid w:val="0"/>
        </w:rPr>
        <w:tab/>
        <w:t>the strata/survey</w:t>
      </w:r>
      <w:r>
        <w:rPr>
          <w:snapToGrid w:val="0"/>
        </w:rPr>
        <w:noBreakHyphen/>
        <w:t>strata plan has not been registered; or</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[Section 69B inserted by No. 58 of 1995 s. 63.]</w:t>
      </w:r>
    </w:p>
    <w:p>
      <w:pPr>
        <w:pStyle w:val="Heading5"/>
        <w:rPr>
          <w:snapToGrid w:val="0"/>
        </w:rPr>
      </w:pPr>
      <w:bookmarkStart w:id="488" w:name="_Toc381880988"/>
      <w:bookmarkStart w:id="489" w:name="_Toc476927361"/>
      <w:r>
        <w:rPr>
          <w:rStyle w:val="CharSectno"/>
        </w:rPr>
        <w:t>69C</w:t>
      </w:r>
      <w:r>
        <w:rPr>
          <w:snapToGrid w:val="0"/>
        </w:rPr>
        <w:t>.</w:t>
      </w:r>
      <w:r>
        <w:rPr>
          <w:snapToGrid w:val="0"/>
        </w:rPr>
        <w:tab/>
        <w:t>Vendor to inform purchaser of full particulars of notifiable variation</w:t>
      </w:r>
      <w:bookmarkEnd w:id="488"/>
      <w:bookmarkEnd w:id="489"/>
    </w:p>
    <w:p>
      <w:pPr>
        <w:pStyle w:val="Subsection"/>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rPr>
          <w:snapToGrid w:val="0"/>
        </w:rPr>
      </w:pPr>
      <w:r>
        <w:rPr>
          <w:snapToGrid w:val="0"/>
        </w:rPr>
        <w:tab/>
        <w:t>(2)</w:t>
      </w:r>
      <w:r>
        <w:rPr>
          <w:snapToGrid w:val="0"/>
        </w:rPr>
        <w:tab/>
        <w:t>Notice under subsection (1) shall be given as soon as the vendor becomes aware of the variation.</w:t>
      </w:r>
    </w:p>
    <w:p>
      <w:pPr>
        <w:pStyle w:val="Subsection"/>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w:t>
      </w:r>
    </w:p>
    <w:p>
      <w:pPr>
        <w:pStyle w:val="Indenta"/>
        <w:rPr>
          <w:snapToGrid w:val="0"/>
        </w:rPr>
      </w:pPr>
      <w:r>
        <w:rPr>
          <w:snapToGrid w:val="0"/>
        </w:rPr>
        <w:tab/>
        <w:t>(a)</w:t>
      </w:r>
      <w:r>
        <w:rPr>
          <w:snapToGrid w:val="0"/>
        </w:rPr>
        <w:tab/>
        <w:t>the company, or the original proprietor in his own right or exercising the power of the company —</w:t>
      </w:r>
    </w:p>
    <w:p>
      <w:pPr>
        <w:pStyle w:val="Indenti"/>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keepNext/>
        <w:rPr>
          <w:snapToGrid w:val="0"/>
        </w:rPr>
      </w:pPr>
      <w:r>
        <w:rPr>
          <w:snapToGrid w:val="0"/>
        </w:rPr>
        <w:tab/>
        <w:t>(b)</w:t>
      </w:r>
      <w:r>
        <w:rPr>
          <w:snapToGrid w:val="0"/>
        </w:rPr>
        <w:tab/>
        <w:t>the company or the original proprietor in his own right or exercising the power of the company —</w:t>
      </w:r>
    </w:p>
    <w:p>
      <w:pPr>
        <w:pStyle w:val="Indenti"/>
        <w:rPr>
          <w:snapToGrid w:val="0"/>
        </w:rPr>
      </w:pPr>
      <w:r>
        <w:rPr>
          <w:snapToGrid w:val="0"/>
        </w:rPr>
        <w:tab/>
        <w:t>(i)</w:t>
      </w:r>
      <w:r>
        <w:rPr>
          <w:snapToGrid w:val="0"/>
        </w:rPr>
        <w:tab/>
        <w:t>makes a by</w:t>
      </w:r>
      <w:r>
        <w:rPr>
          <w:snapToGrid w:val="0"/>
        </w:rPr>
        <w:noBreakHyphen/>
        <w:t>law; or</w:t>
      </w:r>
    </w:p>
    <w:p>
      <w:pPr>
        <w:pStyle w:val="Indenti"/>
        <w:rPr>
          <w:snapToGrid w:val="0"/>
        </w:rPr>
      </w:pPr>
      <w:r>
        <w:rPr>
          <w:snapToGrid w:val="0"/>
        </w:rPr>
        <w:tab/>
        <w:t>(ii)</w:t>
      </w:r>
      <w:r>
        <w:rPr>
          <w:snapToGrid w:val="0"/>
        </w:rPr>
        <w:tab/>
        <w:t>amends or repeals any by</w:t>
      </w:r>
      <w:r>
        <w:rPr>
          <w:snapToGrid w:val="0"/>
        </w:rPr>
        <w:noBreakHyphen/>
        <w:t>law;</w:t>
      </w:r>
    </w:p>
    <w:p>
      <w:pPr>
        <w:pStyle w:val="Indenta"/>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w:t>
      </w:r>
    </w:p>
    <w:p>
      <w:pPr>
        <w:pStyle w:val="Indenta"/>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[Section 69C inserted by No. 58 of 1995 s. 63.]</w:t>
      </w:r>
    </w:p>
    <w:p>
      <w:pPr>
        <w:pStyle w:val="Heading5"/>
        <w:rPr>
          <w:snapToGrid w:val="0"/>
        </w:rPr>
      </w:pPr>
      <w:bookmarkStart w:id="490" w:name="_Toc381880989"/>
      <w:bookmarkStart w:id="491" w:name="_Toc476927362"/>
      <w:r>
        <w:rPr>
          <w:rStyle w:val="CharSectno"/>
        </w:rPr>
        <w:t>69D</w:t>
      </w:r>
      <w:r>
        <w:rPr>
          <w:snapToGrid w:val="0"/>
        </w:rPr>
        <w:t>.</w:t>
      </w:r>
      <w:r>
        <w:rPr>
          <w:snapToGrid w:val="0"/>
        </w:rPr>
        <w:tab/>
        <w:t>When purchaser may avoid contract</w:t>
      </w:r>
      <w:bookmarkEnd w:id="490"/>
      <w:bookmarkEnd w:id="491"/>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keepNext/>
        <w:rPr>
          <w:snapToGrid w:val="0"/>
        </w:rPr>
      </w:pPr>
      <w:r>
        <w:rPr>
          <w:snapToGrid w:val="0"/>
        </w:rPr>
        <w:tab/>
        <w:t>(2)</w:t>
      </w:r>
      <w:r>
        <w:rPr>
          <w:snapToGrid w:val="0"/>
        </w:rPr>
        <w:tab/>
        <w:t>If —</w:t>
      </w:r>
    </w:p>
    <w:p>
      <w:pPr>
        <w:pStyle w:val="Indenta"/>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spacing w:before="180"/>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spacing w:before="180"/>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spacing w:before="180"/>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w:t>
      </w:r>
    </w:p>
    <w:p>
      <w:pPr>
        <w:pStyle w:val="Indenta"/>
        <w:spacing w:before="100"/>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spacing w:before="100"/>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spacing w:before="180"/>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w:t>
      </w:r>
    </w:p>
    <w:p>
      <w:pPr>
        <w:pStyle w:val="Defstart"/>
        <w:keepNext/>
      </w:pPr>
      <w:r>
        <w:rPr>
          <w:b/>
        </w:rPr>
        <w:tab/>
      </w:r>
      <w:r>
        <w:rPr>
          <w:rStyle w:val="CharDefText"/>
        </w:rPr>
        <w:t>settlement</w:t>
      </w:r>
      <w:r>
        <w:t xml:space="preserve"> means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r>
      <w:r>
        <w:rPr>
          <w:rStyle w:val="CharDefText"/>
        </w:rPr>
        <w:t>working days</w:t>
      </w:r>
      <w:r>
        <w:t xml:space="preserve"> means Monday to Friday but excluding, in the case of a contract relating to land in any area of the State, a day that is a public holiday in that area or throughout the State.</w:t>
      </w:r>
    </w:p>
    <w:p>
      <w:pPr>
        <w:pStyle w:val="Footnotesection"/>
      </w:pPr>
      <w:r>
        <w:tab/>
        <w:t>[Section 69D inserted by No. 58 of 1995 s. 63.]</w:t>
      </w:r>
    </w:p>
    <w:p>
      <w:pPr>
        <w:pStyle w:val="Heading5"/>
        <w:rPr>
          <w:snapToGrid w:val="0"/>
        </w:rPr>
      </w:pPr>
      <w:bookmarkStart w:id="492" w:name="_Toc381880990"/>
      <w:bookmarkStart w:id="493" w:name="_Toc476927363"/>
      <w:r>
        <w:rPr>
          <w:rStyle w:val="CharSectno"/>
        </w:rPr>
        <w:t>69E</w:t>
      </w:r>
      <w:r>
        <w:rPr>
          <w:snapToGrid w:val="0"/>
        </w:rPr>
        <w:t>.</w:t>
      </w:r>
      <w:r>
        <w:rPr>
          <w:snapToGrid w:val="0"/>
        </w:rPr>
        <w:tab/>
        <w:t>Effect of avoidance</w:t>
      </w:r>
      <w:bookmarkEnd w:id="492"/>
      <w:bookmarkEnd w:id="493"/>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[Section 69E inserted by No. 58 of 1995 s. 63.]</w:t>
      </w:r>
    </w:p>
    <w:p>
      <w:pPr>
        <w:pStyle w:val="Heading5"/>
        <w:rPr>
          <w:snapToGrid w:val="0"/>
        </w:rPr>
      </w:pPr>
      <w:bookmarkStart w:id="494" w:name="_Toc381880991"/>
      <w:bookmarkStart w:id="495" w:name="_Toc476927364"/>
      <w:r>
        <w:rPr>
          <w:rStyle w:val="CharSectno"/>
        </w:rPr>
        <w:t>70</w:t>
      </w:r>
      <w:r>
        <w:rPr>
          <w:snapToGrid w:val="0"/>
        </w:rPr>
        <w:t>.</w:t>
      </w:r>
      <w:r>
        <w:rPr>
          <w:snapToGrid w:val="0"/>
        </w:rPr>
        <w:tab/>
        <w:t>Holding of deposit and other contract moneys when a lot is pre</w:t>
      </w:r>
      <w:r>
        <w:rPr>
          <w:snapToGrid w:val="0"/>
        </w:rPr>
        <w:noBreakHyphen/>
        <w:t>sold</w:t>
      </w:r>
      <w:bookmarkEnd w:id="494"/>
      <w:bookmarkEnd w:id="495"/>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deleted]</w:t>
      </w:r>
    </w:p>
    <w:p>
      <w:pPr>
        <w:pStyle w:val="Subsection"/>
        <w:rPr>
          <w:snapToGrid w:val="0"/>
        </w:rPr>
      </w:pPr>
      <w:r>
        <w:rPr>
          <w:snapToGrid w:val="0"/>
        </w:rPr>
        <w:tab/>
        <w:t>(8)</w:t>
      </w:r>
      <w:r>
        <w:rPr>
          <w:snapToGrid w:val="0"/>
        </w:rPr>
        <w:tab/>
        <w:t>In this section —</w:t>
      </w:r>
    </w:p>
    <w:p>
      <w:pPr>
        <w:pStyle w:val="Defstart"/>
      </w:pPr>
      <w:r>
        <w:rPr>
          <w:b/>
        </w:rPr>
        <w:tab/>
      </w:r>
      <w:r>
        <w:rPr>
          <w:rStyle w:val="CharDefText"/>
        </w:rPr>
        <w:t>date of the contract</w:t>
      </w:r>
      <w:r>
        <w:t xml:space="preserve"> means the day on which the contract of sale referred to in subsection (1)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keepLines w:val="0"/>
      </w:pPr>
      <w:r>
        <w:tab/>
        <w:t>[Section 70 amended by No. 42 of 1986 s. 4; No. 58 of 1995 s. 64, 95 and 96; No. 61 of 1996 s. 31.]</w:t>
      </w:r>
    </w:p>
    <w:p>
      <w:pPr>
        <w:pStyle w:val="Heading5"/>
        <w:rPr>
          <w:snapToGrid w:val="0"/>
        </w:rPr>
      </w:pPr>
      <w:bookmarkStart w:id="496" w:name="_Toc381880992"/>
      <w:bookmarkStart w:id="497" w:name="_Toc476927365"/>
      <w:r>
        <w:rPr>
          <w:rStyle w:val="CharSectno"/>
        </w:rPr>
        <w:t>70A</w:t>
      </w:r>
      <w:r>
        <w:rPr>
          <w:snapToGrid w:val="0"/>
        </w:rPr>
        <w:t>.</w:t>
      </w:r>
      <w:r>
        <w:rPr>
          <w:snapToGrid w:val="0"/>
        </w:rPr>
        <w:tab/>
        <w:t>Contracting out prohibited</w:t>
      </w:r>
      <w:bookmarkEnd w:id="496"/>
      <w:bookmarkEnd w:id="497"/>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[Section 70A inserted by No. 58 of 1995 s. 65.]</w:t>
      </w:r>
    </w:p>
    <w:p>
      <w:pPr>
        <w:pStyle w:val="Heading5"/>
        <w:rPr>
          <w:snapToGrid w:val="0"/>
        </w:rPr>
      </w:pPr>
      <w:bookmarkStart w:id="498" w:name="_Toc381880993"/>
      <w:bookmarkStart w:id="499" w:name="_Toc476927366"/>
      <w:r>
        <w:rPr>
          <w:rStyle w:val="CharSectno"/>
        </w:rPr>
        <w:t>70B</w:t>
      </w:r>
      <w:r>
        <w:rPr>
          <w:snapToGrid w:val="0"/>
        </w:rPr>
        <w:t>.</w:t>
      </w:r>
      <w:r>
        <w:rPr>
          <w:snapToGrid w:val="0"/>
        </w:rPr>
        <w:tab/>
        <w:t>Saving</w:t>
      </w:r>
      <w:bookmarkEnd w:id="498"/>
      <w:bookmarkEnd w:id="499"/>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[Section 70B inserted by No. 58 of 1995 s. 65.]</w:t>
      </w:r>
    </w:p>
    <w:p>
      <w:pPr>
        <w:pStyle w:val="Heading2"/>
      </w:pPr>
      <w:bookmarkStart w:id="500" w:name="_Toc381880994"/>
      <w:bookmarkStart w:id="501" w:name="_Toc418081724"/>
      <w:bookmarkStart w:id="502" w:name="_Toc418082057"/>
      <w:bookmarkStart w:id="503" w:name="_Toc418087846"/>
      <w:bookmarkStart w:id="504" w:name="_Toc421012386"/>
      <w:bookmarkStart w:id="505" w:name="_Toc422408941"/>
      <w:bookmarkStart w:id="506" w:name="_Toc476927367"/>
      <w:r>
        <w:rPr>
          <w:rStyle w:val="CharPartNo"/>
        </w:rPr>
        <w:t>Part VI</w:t>
      </w:r>
      <w:r>
        <w:t> — </w:t>
      </w:r>
      <w:r>
        <w:rPr>
          <w:rStyle w:val="CharPartText"/>
        </w:rPr>
        <w:t>Resolution of disputes</w:t>
      </w:r>
      <w:bookmarkEnd w:id="500"/>
      <w:bookmarkEnd w:id="501"/>
      <w:bookmarkEnd w:id="502"/>
      <w:bookmarkEnd w:id="503"/>
      <w:bookmarkEnd w:id="504"/>
      <w:bookmarkEnd w:id="505"/>
      <w:bookmarkEnd w:id="506"/>
    </w:p>
    <w:p>
      <w:pPr>
        <w:pStyle w:val="Ednotedivision"/>
      </w:pPr>
      <w:r>
        <w:t>[Division 1 (s. 71</w:t>
      </w:r>
      <w:r>
        <w:noBreakHyphen/>
        <w:t>76) deleted by No. 55 of 2004 s. 1125.]</w:t>
      </w:r>
    </w:p>
    <w:p>
      <w:pPr>
        <w:pStyle w:val="Heading3"/>
      </w:pPr>
      <w:bookmarkStart w:id="507" w:name="_Toc381880995"/>
      <w:bookmarkStart w:id="508" w:name="_Toc418081725"/>
      <w:bookmarkStart w:id="509" w:name="_Toc418082058"/>
      <w:bookmarkStart w:id="510" w:name="_Toc418087847"/>
      <w:bookmarkStart w:id="511" w:name="_Toc421012387"/>
      <w:bookmarkStart w:id="512" w:name="_Toc422408942"/>
      <w:bookmarkStart w:id="513" w:name="_Toc476927368"/>
      <w:r>
        <w:rPr>
          <w:rStyle w:val="CharDivNo"/>
        </w:rPr>
        <w:t>Division 2</w:t>
      </w:r>
      <w:r>
        <w:rPr>
          <w:snapToGrid w:val="0"/>
        </w:rPr>
        <w:t> — </w:t>
      </w:r>
      <w:r>
        <w:rPr>
          <w:rStyle w:val="CharDivText"/>
        </w:rPr>
        <w:t>Applications for orders</w:t>
      </w:r>
      <w:bookmarkEnd w:id="507"/>
      <w:bookmarkEnd w:id="508"/>
      <w:bookmarkEnd w:id="509"/>
      <w:bookmarkEnd w:id="510"/>
      <w:bookmarkEnd w:id="511"/>
      <w:bookmarkEnd w:id="512"/>
      <w:bookmarkEnd w:id="513"/>
    </w:p>
    <w:p>
      <w:pPr>
        <w:pStyle w:val="Heading5"/>
        <w:rPr>
          <w:snapToGrid w:val="0"/>
        </w:rPr>
      </w:pPr>
      <w:bookmarkStart w:id="514" w:name="_Toc381880996"/>
      <w:bookmarkStart w:id="515" w:name="_Toc476927369"/>
      <w:r>
        <w:rPr>
          <w:rStyle w:val="CharSectno"/>
        </w:rPr>
        <w:t>77</w:t>
      </w:r>
      <w:r>
        <w:rPr>
          <w:snapToGrid w:val="0"/>
        </w:rPr>
        <w:t>.</w:t>
      </w:r>
      <w:r>
        <w:rPr>
          <w:snapToGrid w:val="0"/>
        </w:rPr>
        <w:tab/>
        <w:t>How applications are made</w:t>
      </w:r>
      <w:bookmarkEnd w:id="514"/>
      <w:bookmarkEnd w:id="515"/>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[Section 77 inserted by No. 58 of 1995 s. 67; amended by No. 55 of 2004 s. 1126 and 1156(1).]</w:t>
      </w:r>
    </w:p>
    <w:p>
      <w:pPr>
        <w:pStyle w:val="Ednotesection"/>
      </w:pPr>
      <w:r>
        <w:t>[</w:t>
      </w:r>
      <w:r>
        <w:rPr>
          <w:b/>
          <w:bCs/>
        </w:rPr>
        <w:t>77A.</w:t>
      </w:r>
      <w:r>
        <w:rPr>
          <w:b/>
          <w:bCs/>
        </w:rPr>
        <w:tab/>
      </w:r>
      <w:r>
        <w:t>Deleted by No. 55 of 2004 s. 1127.]</w:t>
      </w:r>
    </w:p>
    <w:p>
      <w:pPr>
        <w:pStyle w:val="Heading5"/>
        <w:rPr>
          <w:snapToGrid w:val="0"/>
        </w:rPr>
      </w:pPr>
      <w:bookmarkStart w:id="516" w:name="_Toc381880997"/>
      <w:bookmarkStart w:id="517" w:name="_Toc476927370"/>
      <w:r>
        <w:rPr>
          <w:rStyle w:val="CharSectno"/>
        </w:rPr>
        <w:t>77B</w:t>
      </w:r>
      <w:r>
        <w:rPr>
          <w:snapToGrid w:val="0"/>
        </w:rPr>
        <w:t>.</w:t>
      </w:r>
      <w:r>
        <w:rPr>
          <w:snapToGrid w:val="0"/>
        </w:rPr>
        <w:tab/>
        <w:t>Disputes procedures for scheme to be followed</w:t>
      </w:r>
      <w:bookmarkEnd w:id="516"/>
      <w:bookmarkEnd w:id="517"/>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[Section 77B inserted by No. 58 of 1995 s. 68.]</w:t>
      </w:r>
    </w:p>
    <w:p>
      <w:pPr>
        <w:pStyle w:val="Heading5"/>
        <w:keepNext w:val="0"/>
        <w:keepLines w:val="0"/>
        <w:rPr>
          <w:snapToGrid w:val="0"/>
        </w:rPr>
      </w:pPr>
      <w:bookmarkStart w:id="518" w:name="_Toc381880998"/>
      <w:bookmarkStart w:id="519" w:name="_Toc476927371"/>
      <w:r>
        <w:rPr>
          <w:rStyle w:val="CharSectno"/>
        </w:rPr>
        <w:t>78</w:t>
      </w:r>
      <w:r>
        <w:rPr>
          <w:snapToGrid w:val="0"/>
        </w:rPr>
        <w:t>.</w:t>
      </w:r>
      <w:r>
        <w:rPr>
          <w:snapToGrid w:val="0"/>
        </w:rPr>
        <w:tab/>
        <w:t>SAT may inspect certain records</w:t>
      </w:r>
      <w:bookmarkEnd w:id="518"/>
      <w:bookmarkEnd w:id="519"/>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[Section 78 amended by No. 58 of 1995 s. 69 and 96; No. 55 of 2004 s. 1156(1).]</w:t>
      </w:r>
    </w:p>
    <w:p>
      <w:pPr>
        <w:pStyle w:val="Heading5"/>
        <w:keepNext w:val="0"/>
        <w:keepLines w:val="0"/>
        <w:rPr>
          <w:snapToGrid w:val="0"/>
        </w:rPr>
      </w:pPr>
      <w:bookmarkStart w:id="520" w:name="_Toc381880999"/>
      <w:bookmarkStart w:id="521" w:name="_Toc476927372"/>
      <w:r>
        <w:rPr>
          <w:rStyle w:val="CharSectno"/>
        </w:rPr>
        <w:t>79</w:t>
      </w:r>
      <w:r>
        <w:rPr>
          <w:snapToGrid w:val="0"/>
        </w:rPr>
        <w:t>.</w:t>
      </w:r>
      <w:r>
        <w:rPr>
          <w:snapToGrid w:val="0"/>
        </w:rPr>
        <w:tab/>
        <w:t>Notice of application to be given</w:t>
      </w:r>
      <w:bookmarkEnd w:id="520"/>
      <w:bookmarkEnd w:id="521"/>
    </w:p>
    <w:p>
      <w:pPr>
        <w:pStyle w:val="Ednotesubsection"/>
      </w:pPr>
      <w:r>
        <w:tab/>
        <w:t>[(1)</w:t>
      </w:r>
      <w:r>
        <w:tab/>
        <w:t>deleted]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w:t>
      </w:r>
    </w:p>
    <w:p>
      <w:pPr>
        <w:pStyle w:val="Indenta"/>
        <w:rPr>
          <w:snapToGrid w:val="0"/>
        </w:rPr>
      </w:pPr>
      <w:r>
        <w:rPr>
          <w:snapToGrid w:val="0"/>
        </w:rPr>
        <w:tab/>
        <w:t>(a)</w:t>
      </w:r>
      <w:r>
        <w:rPr>
          <w:snapToGrid w:val="0"/>
        </w:rPr>
        <w:tab/>
        <w:t>proprietor; and</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[Section 79 inserted by No. 58 of 1995 s. 70; amended by No. 55 of 2004 s. 1128.]</w:t>
      </w:r>
    </w:p>
    <w:p>
      <w:pPr>
        <w:pStyle w:val="Ednotedivision"/>
      </w:pPr>
      <w:r>
        <w:t>[Division 2A (s. 80</w:t>
      </w:r>
      <w:r>
        <w:noBreakHyphen/>
        <w:t>80E) deleted by No. 55 of 2004 s. 1129.]</w:t>
      </w:r>
    </w:p>
    <w:p>
      <w:pPr>
        <w:pStyle w:val="Heading3"/>
        <w:rPr>
          <w:b w:val="0"/>
        </w:rPr>
      </w:pPr>
      <w:bookmarkStart w:id="522" w:name="_Toc381881000"/>
      <w:bookmarkStart w:id="523" w:name="_Toc418081730"/>
      <w:bookmarkStart w:id="524" w:name="_Toc418082063"/>
      <w:bookmarkStart w:id="525" w:name="_Toc418087852"/>
      <w:bookmarkStart w:id="526" w:name="_Toc421012392"/>
      <w:bookmarkStart w:id="527" w:name="_Toc422408947"/>
      <w:bookmarkStart w:id="528" w:name="_Toc476927373"/>
      <w:r>
        <w:rPr>
          <w:rStyle w:val="CharDivNo"/>
        </w:rPr>
        <w:t>Division 3</w:t>
      </w:r>
      <w:r>
        <w:rPr>
          <w:snapToGrid w:val="0"/>
        </w:rPr>
        <w:t> — </w:t>
      </w:r>
      <w:r>
        <w:rPr>
          <w:rStyle w:val="CharDivText"/>
        </w:rPr>
        <w:t>Orders by State Administrative Tribunal</w:t>
      </w:r>
      <w:bookmarkEnd w:id="522"/>
      <w:bookmarkEnd w:id="523"/>
      <w:bookmarkEnd w:id="524"/>
      <w:bookmarkEnd w:id="525"/>
      <w:bookmarkEnd w:id="526"/>
      <w:bookmarkEnd w:id="527"/>
      <w:bookmarkEnd w:id="528"/>
    </w:p>
    <w:p>
      <w:pPr>
        <w:pStyle w:val="Footnoteheading"/>
        <w:tabs>
          <w:tab w:val="clear" w:pos="879"/>
          <w:tab w:val="left" w:pos="890"/>
        </w:tabs>
      </w:pPr>
      <w:r>
        <w:tab/>
        <w:t>[Heading amended by No. 55 of 2004 s. 1130.]</w:t>
      </w:r>
    </w:p>
    <w:p>
      <w:pPr>
        <w:pStyle w:val="Heading5"/>
        <w:keepNext w:val="0"/>
        <w:keepLines w:val="0"/>
        <w:rPr>
          <w:snapToGrid w:val="0"/>
        </w:rPr>
      </w:pPr>
      <w:bookmarkStart w:id="529" w:name="_Toc381881001"/>
      <w:bookmarkStart w:id="530" w:name="_Toc476927374"/>
      <w:r>
        <w:rPr>
          <w:rStyle w:val="CharSectno"/>
        </w:rPr>
        <w:t>81</w:t>
      </w:r>
      <w:r>
        <w:rPr>
          <w:snapToGrid w:val="0"/>
        </w:rPr>
        <w:t>.</w:t>
      </w:r>
      <w:r>
        <w:rPr>
          <w:snapToGrid w:val="0"/>
        </w:rPr>
        <w:tab/>
        <w:t>Orders under this Division</w:t>
      </w:r>
      <w:bookmarkEnd w:id="529"/>
      <w:bookmarkEnd w:id="530"/>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deleted]</w:t>
      </w:r>
    </w:p>
    <w:p>
      <w:pPr>
        <w:pStyle w:val="Subsection"/>
        <w:rPr>
          <w:snapToGrid w:val="0"/>
        </w:rPr>
      </w:pPr>
      <w:r>
        <w:rPr>
          <w:snapToGrid w:val="0"/>
        </w:rPr>
        <w:tab/>
        <w:t>(7)</w:t>
      </w:r>
      <w:r>
        <w:rPr>
          <w:snapToGrid w:val="0"/>
        </w:rPr>
        <w:tab/>
        <w:t>The State Administrative Tribunal cannot make any order for the payment of costs in connection with an application for an order except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deleted]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[Section 81 amended by No. 58 of 1995 s. 72; No. 55 of 2004 s. 1131 and 1156(2) and (3).]</w:t>
      </w:r>
    </w:p>
    <w:p>
      <w:pPr>
        <w:pStyle w:val="Heading5"/>
        <w:rPr>
          <w:snapToGrid w:val="0"/>
        </w:rPr>
      </w:pPr>
      <w:bookmarkStart w:id="531" w:name="_Toc381881002"/>
      <w:bookmarkStart w:id="532" w:name="_Toc476927375"/>
      <w:r>
        <w:rPr>
          <w:rStyle w:val="CharSectno"/>
        </w:rPr>
        <w:t>82</w:t>
      </w:r>
      <w:r>
        <w:rPr>
          <w:snapToGrid w:val="0"/>
        </w:rPr>
        <w:t>.</w:t>
      </w:r>
      <w:r>
        <w:rPr>
          <w:snapToGrid w:val="0"/>
        </w:rPr>
        <w:tab/>
        <w:t>Interim orders</w:t>
      </w:r>
      <w:bookmarkEnd w:id="531"/>
      <w:bookmarkEnd w:id="532"/>
    </w:p>
    <w:p>
      <w:pPr>
        <w:pStyle w:val="Subsection"/>
        <w:spacing w:before="140"/>
        <w:rPr>
          <w:snapToGrid w:val="0"/>
        </w:rPr>
      </w:pPr>
      <w:r>
        <w:rPr>
          <w:snapToGrid w:val="0"/>
        </w:rPr>
        <w:tab/>
        <w:t>(1)</w:t>
      </w:r>
      <w:r>
        <w:rPr>
          <w:snapToGrid w:val="0"/>
        </w:rPr>
        <w:tab/>
        <w:t xml:space="preserve">In this section, </w:t>
      </w:r>
      <w:r>
        <w:rPr>
          <w:rStyle w:val="CharDefText"/>
        </w:rPr>
        <w:t>interim order</w:t>
      </w:r>
      <w:r>
        <w:rPr>
          <w:snapToGrid w:val="0"/>
        </w:rPr>
        <w:t xml:space="preserve"> means an order made under subsection (2).</w:t>
      </w:r>
    </w:p>
    <w:p>
      <w:pPr>
        <w:pStyle w:val="Subsection"/>
        <w:spacing w:before="140"/>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w:t>
      </w:r>
    </w:p>
    <w:p>
      <w:pPr>
        <w:pStyle w:val="Indenta"/>
        <w:spacing w:before="60"/>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spacing w:before="60"/>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spacing w:before="140"/>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spacing w:before="140"/>
        <w:rPr>
          <w:snapToGrid w:val="0"/>
        </w:rPr>
      </w:pPr>
      <w:r>
        <w:rPr>
          <w:snapToGrid w:val="0"/>
        </w:rPr>
        <w:tab/>
        <w:t>(4)</w:t>
      </w:r>
      <w:r>
        <w:rPr>
          <w:snapToGrid w:val="0"/>
        </w:rPr>
        <w:tab/>
        <w:t>An interim order made pursuant to an application for an order under this Division ceases to have effect —</w:t>
      </w:r>
    </w:p>
    <w:p>
      <w:pPr>
        <w:pStyle w:val="Indenta"/>
        <w:spacing w:before="60"/>
        <w:rPr>
          <w:snapToGrid w:val="0"/>
        </w:rPr>
      </w:pPr>
      <w:r>
        <w:rPr>
          <w:snapToGrid w:val="0"/>
          <w:spacing w:val="-4"/>
        </w:rPr>
        <w:tab/>
        <w:t>(a)</w:t>
      </w:r>
      <w:r>
        <w:rPr>
          <w:snapToGrid w:val="0"/>
          <w:spacing w:val="-4"/>
        </w:rPr>
        <w:tab/>
      </w:r>
      <w:r>
        <w:rPr>
          <w:snapToGrid w:val="0"/>
        </w:rPr>
        <w:t>at the expiration of 3 months from the date on which it takes effect or, where the State Administrative Tribunal has renewed the interim order, at the expiration of 6 months from that date; or</w:t>
      </w:r>
    </w:p>
    <w:p>
      <w:pPr>
        <w:pStyle w:val="Indenta"/>
        <w:spacing w:before="60"/>
        <w:rPr>
          <w:snapToGrid w:val="0"/>
        </w:rPr>
      </w:pPr>
      <w:r>
        <w:rPr>
          <w:snapToGrid w:val="0"/>
        </w:rPr>
        <w:tab/>
        <w:t>(b)</w:t>
      </w:r>
      <w:r>
        <w:rPr>
          <w:snapToGrid w:val="0"/>
        </w:rPr>
        <w:tab/>
        <w:t>where the interim order is revoked by the Supreme Court on appeal from the State Administrative Tribunal; or</w:t>
      </w:r>
    </w:p>
    <w:p>
      <w:pPr>
        <w:pStyle w:val="Indenta"/>
        <w:spacing w:before="60"/>
        <w:rPr>
          <w:snapToGrid w:val="0"/>
        </w:rPr>
      </w:pPr>
      <w:r>
        <w:rPr>
          <w:snapToGrid w:val="0"/>
        </w:rPr>
        <w:tab/>
        <w:t>(c)</w:t>
      </w:r>
      <w:r>
        <w:rPr>
          <w:snapToGrid w:val="0"/>
        </w:rPr>
        <w:tab/>
        <w:t>if the State Administrative Tribunal (or the Supreme Court on appeal from the State Administrative Tribunal) —</w:t>
      </w:r>
    </w:p>
    <w:p>
      <w:pPr>
        <w:pStyle w:val="Indenti"/>
        <w:spacing w:before="60"/>
        <w:rPr>
          <w:snapToGrid w:val="0"/>
        </w:rPr>
      </w:pPr>
      <w:r>
        <w:rPr>
          <w:snapToGrid w:val="0"/>
        </w:rPr>
        <w:tab/>
        <w:t>(i)</w:t>
      </w:r>
      <w:r>
        <w:rPr>
          <w:snapToGrid w:val="0"/>
        </w:rPr>
        <w:tab/>
        <w:t>makes an order under this Division with respect to the application; or</w:t>
      </w:r>
    </w:p>
    <w:p>
      <w:pPr>
        <w:pStyle w:val="Indenti"/>
        <w:spacing w:before="60"/>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spacing w:before="140"/>
      </w:pPr>
      <w:r>
        <w:tab/>
        <w:t>[Section 82 amended by No. 55 of 2004 s. 1132, 1156(2) and (3) and 1158.]</w:t>
      </w:r>
    </w:p>
    <w:p>
      <w:pPr>
        <w:pStyle w:val="Heading5"/>
        <w:spacing w:before="260"/>
        <w:rPr>
          <w:snapToGrid w:val="0"/>
        </w:rPr>
      </w:pPr>
      <w:bookmarkStart w:id="533" w:name="_Toc381881003"/>
      <w:bookmarkStart w:id="534" w:name="_Toc476927376"/>
      <w:r>
        <w:rPr>
          <w:rStyle w:val="CharSectno"/>
        </w:rPr>
        <w:t>83</w:t>
      </w:r>
      <w:r>
        <w:rPr>
          <w:snapToGrid w:val="0"/>
        </w:rPr>
        <w:t>.</w:t>
      </w:r>
      <w:r>
        <w:rPr>
          <w:snapToGrid w:val="0"/>
        </w:rPr>
        <w:tab/>
        <w:t>General powers of SAT to make orders</w:t>
      </w:r>
      <w:bookmarkEnd w:id="533"/>
      <w:bookmarkEnd w:id="534"/>
    </w:p>
    <w:p>
      <w:pPr>
        <w:pStyle w:val="Subsection"/>
        <w:spacing w:before="180"/>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spacing w:before="180"/>
        <w:rPr>
          <w:snapToGrid w:val="0"/>
        </w:rPr>
      </w:pPr>
      <w:r>
        <w:rPr>
          <w:snapToGrid w:val="0"/>
        </w:rPr>
        <w:tab/>
        <w:t>(2)</w:t>
      </w:r>
      <w:r>
        <w:rPr>
          <w:snapToGrid w:val="0"/>
        </w:rPr>
        <w:tab/>
        <w:t>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w:t>
      </w:r>
    </w:p>
    <w:p>
      <w:pPr>
        <w:pStyle w:val="Subsection"/>
        <w:keepNext/>
        <w:spacing w:before="180"/>
        <w:rPr>
          <w:snapToGrid w:val="0"/>
        </w:rPr>
      </w:pPr>
      <w:r>
        <w:rPr>
          <w:snapToGrid w:val="0"/>
        </w:rPr>
        <w:tab/>
        <w:t>(3)</w:t>
      </w:r>
      <w:r>
        <w:rPr>
          <w:snapToGrid w:val="0"/>
        </w:rPr>
        <w:tab/>
        <w:t>For the purposes of subsection (2), where —</w:t>
      </w:r>
    </w:p>
    <w:p>
      <w:pPr>
        <w:pStyle w:val="Indenta"/>
        <w:spacing w:before="100"/>
        <w:rPr>
          <w:snapToGrid w:val="0"/>
        </w:rPr>
      </w:pPr>
      <w:r>
        <w:rPr>
          <w:snapToGrid w:val="0"/>
        </w:rPr>
        <w:tab/>
        <w:t>(a)</w:t>
      </w:r>
      <w:r>
        <w:rPr>
          <w:snapToGrid w:val="0"/>
        </w:rPr>
        <w:tab/>
        <w:t>application is made to a strata company to exercise a discretion referred to in that subsection; and</w:t>
      </w:r>
    </w:p>
    <w:p>
      <w:pPr>
        <w:pStyle w:val="Indenta"/>
        <w:keepNext/>
        <w:spacing w:before="100"/>
        <w:rPr>
          <w:snapToGrid w:val="0"/>
        </w:rPr>
      </w:pPr>
      <w:r>
        <w:rPr>
          <w:snapToGrid w:val="0"/>
        </w:rPr>
        <w:tab/>
        <w:t>(b)</w:t>
      </w:r>
      <w:r>
        <w:rPr>
          <w:snapToGrid w:val="0"/>
        </w:rPr>
        <w:tab/>
        <w:t>the strata company does not, before the expiration of the period of 2 months that next succeeds the making of the application —</w:t>
      </w:r>
    </w:p>
    <w:p>
      <w:pPr>
        <w:pStyle w:val="Indenti"/>
        <w:spacing w:before="100"/>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spacing w:before="120"/>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[Section 83 amended by No. 58 of 1995 s. 73, 93(1) and 96; No. 24 of 2000 s. 40(8); No. 55 of 2004 s. 1133 and 1156(1) and (2).]</w:t>
      </w:r>
    </w:p>
    <w:p>
      <w:pPr>
        <w:pStyle w:val="Heading5"/>
        <w:rPr>
          <w:snapToGrid w:val="0"/>
        </w:rPr>
      </w:pPr>
      <w:bookmarkStart w:id="535" w:name="_Toc381881004"/>
      <w:bookmarkStart w:id="536" w:name="_Toc476927377"/>
      <w:r>
        <w:rPr>
          <w:rStyle w:val="CharSectno"/>
        </w:rPr>
        <w:t>84</w:t>
      </w:r>
      <w:r>
        <w:rPr>
          <w:snapToGrid w:val="0"/>
        </w:rPr>
        <w:t>.</w:t>
      </w:r>
      <w:r>
        <w:rPr>
          <w:snapToGrid w:val="0"/>
        </w:rPr>
        <w:tab/>
        <w:t>Further powers of SAT</w:t>
      </w:r>
      <w:bookmarkEnd w:id="535"/>
      <w:bookmarkEnd w:id="536"/>
    </w:p>
    <w:p>
      <w:pPr>
        <w:pStyle w:val="Subsection"/>
        <w:keepNext/>
        <w:rPr>
          <w:snapToGrid w:val="0"/>
        </w:rPr>
      </w:pPr>
      <w:r>
        <w:rPr>
          <w:snapToGrid w:val="0"/>
        </w:rPr>
        <w:tab/>
        <w:t>(1)</w:t>
      </w:r>
      <w:r>
        <w:rPr>
          <w:snapToGrid w:val="0"/>
        </w:rPr>
        <w:tab/>
        <w:t>The State Administrative Tribunal is empowered to make an order that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18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18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spacing w:before="260"/>
        <w:rPr>
          <w:snapToGrid w:val="0"/>
        </w:rPr>
      </w:pPr>
      <w:bookmarkStart w:id="537" w:name="_Toc381881005"/>
      <w:bookmarkStart w:id="538" w:name="_Toc476927378"/>
      <w:r>
        <w:rPr>
          <w:rStyle w:val="CharSectno"/>
        </w:rPr>
        <w:t>85</w:t>
      </w:r>
      <w:r>
        <w:rPr>
          <w:snapToGrid w:val="0"/>
        </w:rPr>
        <w:t>.</w:t>
      </w:r>
      <w:r>
        <w:rPr>
          <w:snapToGrid w:val="0"/>
        </w:rPr>
        <w:tab/>
        <w:t>Order with respect to certain consents affecting common property</w:t>
      </w:r>
      <w:bookmarkEnd w:id="537"/>
      <w:bookmarkEnd w:id="538"/>
    </w:p>
    <w:p>
      <w:pPr>
        <w:pStyle w:val="Subsection"/>
        <w:spacing w:before="18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w:t>
      </w:r>
    </w:p>
    <w:p>
      <w:pPr>
        <w:pStyle w:val="Indenta"/>
        <w:spacing w:before="100"/>
        <w:rPr>
          <w:snapToGrid w:val="0"/>
        </w:rPr>
      </w:pPr>
      <w:r>
        <w:rPr>
          <w:snapToGrid w:val="0"/>
        </w:rPr>
        <w:tab/>
        <w:t>(a)</w:t>
      </w:r>
      <w:r>
        <w:rPr>
          <w:snapToGrid w:val="0"/>
        </w:rPr>
        <w:tab/>
        <w:t>to effect alterations to the common property; or</w:t>
      </w:r>
    </w:p>
    <w:p>
      <w:pPr>
        <w:pStyle w:val="Indenta"/>
        <w:spacing w:before="100"/>
        <w:rPr>
          <w:snapToGrid w:val="0"/>
        </w:rPr>
      </w:pPr>
      <w:r>
        <w:rPr>
          <w:snapToGrid w:val="0"/>
        </w:rPr>
        <w:tab/>
        <w:t>(b)</w:t>
      </w:r>
      <w:r>
        <w:rPr>
          <w:snapToGrid w:val="0"/>
        </w:rPr>
        <w:tab/>
        <w:t>to have carried out repairs to any damage to the common property or any other property of the strata company,</w:t>
      </w:r>
    </w:p>
    <w:p>
      <w:pPr>
        <w:pStyle w:val="Subsection"/>
        <w:rPr>
          <w:snapToGrid w:val="0"/>
        </w:rPr>
      </w:pPr>
      <w:r>
        <w:rPr>
          <w:snapToGrid w:val="0"/>
        </w:rPr>
        <w:tab/>
      </w:r>
      <w:r>
        <w:rPr>
          <w:snapToGrid w:val="0"/>
        </w:rPr>
        <w:tab/>
        <w:t>it may make an order that the strata company consent to the proposal.</w:t>
      </w:r>
    </w:p>
    <w:p>
      <w:pPr>
        <w:pStyle w:val="Footnotesection"/>
      </w:pPr>
      <w:r>
        <w:tab/>
        <w:t>[Section 85 amended by No. 58 of 1995 s. 96; No. 55 of 2004 s. 1135 and 1156(3).]</w:t>
      </w:r>
    </w:p>
    <w:p>
      <w:pPr>
        <w:pStyle w:val="Heading5"/>
        <w:keepNext w:val="0"/>
        <w:keepLines w:val="0"/>
        <w:spacing w:before="260"/>
        <w:rPr>
          <w:snapToGrid w:val="0"/>
        </w:rPr>
      </w:pPr>
      <w:bookmarkStart w:id="539" w:name="_Toc381881006"/>
      <w:bookmarkStart w:id="540" w:name="_Toc476927379"/>
      <w:r>
        <w:rPr>
          <w:rStyle w:val="CharSectno"/>
        </w:rPr>
        <w:t>86</w:t>
      </w:r>
      <w:r>
        <w:rPr>
          <w:snapToGrid w:val="0"/>
        </w:rPr>
        <w:t>.</w:t>
      </w:r>
      <w:r>
        <w:rPr>
          <w:snapToGrid w:val="0"/>
        </w:rPr>
        <w:tab/>
        <w:t>Order with respect to acquisition of personal property</w:t>
      </w:r>
      <w:bookmarkEnd w:id="539"/>
      <w:bookmarkEnd w:id="540"/>
    </w:p>
    <w:p>
      <w:pPr>
        <w:pStyle w:val="Subsection"/>
        <w:spacing w:before="18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[Section 86 amended by No. 58 of 1995 s. 96; No. 55 of 2004 s. 1156(3).]</w:t>
      </w:r>
    </w:p>
    <w:p>
      <w:pPr>
        <w:pStyle w:val="Heading5"/>
        <w:rPr>
          <w:snapToGrid w:val="0"/>
        </w:rPr>
      </w:pPr>
      <w:bookmarkStart w:id="541" w:name="_Toc381881007"/>
      <w:bookmarkStart w:id="542" w:name="_Toc476927380"/>
      <w:r>
        <w:rPr>
          <w:rStyle w:val="CharSectno"/>
        </w:rPr>
        <w:t>87</w:t>
      </w:r>
      <w:r>
        <w:rPr>
          <w:snapToGrid w:val="0"/>
        </w:rPr>
        <w:t>.</w:t>
      </w:r>
      <w:r>
        <w:rPr>
          <w:snapToGrid w:val="0"/>
        </w:rPr>
        <w:tab/>
        <w:t>Order to acquire personal property</w:t>
      </w:r>
      <w:bookmarkEnd w:id="541"/>
      <w:bookmarkEnd w:id="542"/>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[Section 87 amended by No. 58 of 1995 s. 96; No. 55 of 2004 s. 1156(3).]</w:t>
      </w:r>
    </w:p>
    <w:p>
      <w:pPr>
        <w:pStyle w:val="Heading5"/>
        <w:rPr>
          <w:snapToGrid w:val="0"/>
        </w:rPr>
      </w:pPr>
      <w:bookmarkStart w:id="543" w:name="_Toc381881008"/>
      <w:bookmarkStart w:id="544" w:name="_Toc476927381"/>
      <w:r>
        <w:rPr>
          <w:rStyle w:val="CharSectno"/>
        </w:rPr>
        <w:t>88</w:t>
      </w:r>
      <w:r>
        <w:rPr>
          <w:snapToGrid w:val="0"/>
        </w:rPr>
        <w:t>.</w:t>
      </w:r>
      <w:r>
        <w:rPr>
          <w:snapToGrid w:val="0"/>
        </w:rPr>
        <w:tab/>
        <w:t>Order to make or pursue insurance claim</w:t>
      </w:r>
      <w:bookmarkEnd w:id="543"/>
      <w:bookmarkEnd w:id="544"/>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ind w:left="890" w:hanging="890"/>
      </w:pPr>
      <w:r>
        <w:tab/>
        <w:t>[Section 88 amended by No. 58 of 1995 s. 96; No. 55 of 2004 s. 1156(3).]</w:t>
      </w:r>
    </w:p>
    <w:p>
      <w:pPr>
        <w:pStyle w:val="Heading5"/>
        <w:rPr>
          <w:snapToGrid w:val="0"/>
        </w:rPr>
      </w:pPr>
      <w:bookmarkStart w:id="545" w:name="_Toc381881009"/>
      <w:bookmarkStart w:id="546" w:name="_Toc476927382"/>
      <w:r>
        <w:rPr>
          <w:rStyle w:val="CharSectno"/>
        </w:rPr>
        <w:t>89</w:t>
      </w:r>
      <w:r>
        <w:rPr>
          <w:snapToGrid w:val="0"/>
        </w:rPr>
        <w:t>.</w:t>
      </w:r>
      <w:r>
        <w:rPr>
          <w:snapToGrid w:val="0"/>
        </w:rPr>
        <w:tab/>
        <w:t>Order varying certain rates of interest</w:t>
      </w:r>
      <w:bookmarkEnd w:id="545"/>
      <w:bookmarkEnd w:id="546"/>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ind w:left="890" w:hanging="890"/>
      </w:pPr>
      <w:r>
        <w:tab/>
        <w:t>[Section 89 amended by No. 58 of 1995 s. 96; No. 55 of 2004 s. 1136 and 1156(3).]</w:t>
      </w:r>
    </w:p>
    <w:p>
      <w:pPr>
        <w:pStyle w:val="Heading5"/>
        <w:rPr>
          <w:snapToGrid w:val="0"/>
        </w:rPr>
      </w:pPr>
      <w:bookmarkStart w:id="547" w:name="_Toc381881010"/>
      <w:bookmarkStart w:id="548" w:name="_Toc476927383"/>
      <w:r>
        <w:rPr>
          <w:rStyle w:val="CharSectno"/>
        </w:rPr>
        <w:t>90</w:t>
      </w:r>
      <w:r>
        <w:rPr>
          <w:snapToGrid w:val="0"/>
        </w:rPr>
        <w:t>.</w:t>
      </w:r>
      <w:r>
        <w:rPr>
          <w:snapToGrid w:val="0"/>
        </w:rPr>
        <w:tab/>
        <w:t>Order to supply information or documents</w:t>
      </w:r>
      <w:bookmarkEnd w:id="547"/>
      <w:bookmarkEnd w:id="548"/>
    </w:p>
    <w:p>
      <w:pPr>
        <w:pStyle w:val="Subsection"/>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w:t>
      </w:r>
    </w:p>
    <w:p>
      <w:pPr>
        <w:pStyle w:val="Indenta"/>
        <w:rPr>
          <w:snapToGrid w:val="0"/>
        </w:rPr>
      </w:pPr>
      <w:r>
        <w:rPr>
          <w:snapToGrid w:val="0"/>
        </w:rPr>
        <w:tab/>
        <w:t>(a)</w:t>
      </w:r>
      <w:r>
        <w:rPr>
          <w:snapToGrid w:val="0"/>
        </w:rPr>
        <w:tab/>
        <w:t>withheld from the applicant information to which he is entitled under this Act; or</w:t>
      </w:r>
    </w:p>
    <w:p>
      <w:pPr>
        <w:pStyle w:val="Indenta"/>
        <w:keepNext/>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[Section 90 amended by No. 58 of 1995 s. 96; No. 55 of 2004 s. 1156(3).]</w:t>
      </w:r>
    </w:p>
    <w:p>
      <w:pPr>
        <w:pStyle w:val="Heading5"/>
        <w:rPr>
          <w:snapToGrid w:val="0"/>
        </w:rPr>
      </w:pPr>
      <w:bookmarkStart w:id="549" w:name="_Toc381881011"/>
      <w:bookmarkStart w:id="550" w:name="_Toc476927384"/>
      <w:r>
        <w:rPr>
          <w:rStyle w:val="CharSectno"/>
        </w:rPr>
        <w:t>91</w:t>
      </w:r>
      <w:r>
        <w:rPr>
          <w:snapToGrid w:val="0"/>
        </w:rPr>
        <w:t>.</w:t>
      </w:r>
      <w:r>
        <w:rPr>
          <w:snapToGrid w:val="0"/>
        </w:rPr>
        <w:tab/>
        <w:t>Order relating to animal kept contrary to by</w:t>
      </w:r>
      <w:r>
        <w:rPr>
          <w:snapToGrid w:val="0"/>
        </w:rPr>
        <w:noBreakHyphen/>
        <w:t>laws</w:t>
      </w:r>
      <w:bookmarkEnd w:id="549"/>
      <w:bookmarkEnd w:id="550"/>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551" w:name="_Toc381881012"/>
      <w:bookmarkStart w:id="552" w:name="_Toc476927385"/>
      <w:r>
        <w:rPr>
          <w:rStyle w:val="CharSectno"/>
        </w:rPr>
        <w:t>92</w:t>
      </w:r>
      <w:r>
        <w:rPr>
          <w:snapToGrid w:val="0"/>
        </w:rPr>
        <w:t>.</w:t>
      </w:r>
      <w:r>
        <w:rPr>
          <w:snapToGrid w:val="0"/>
        </w:rPr>
        <w:tab/>
        <w:t>Order relating to animal kept pursuant to by</w:t>
      </w:r>
      <w:r>
        <w:rPr>
          <w:snapToGrid w:val="0"/>
        </w:rPr>
        <w:noBreakHyphen/>
        <w:t>laws</w:t>
      </w:r>
      <w:bookmarkEnd w:id="551"/>
      <w:bookmarkEnd w:id="552"/>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553" w:name="_Toc381881013"/>
      <w:bookmarkStart w:id="554" w:name="_Toc476927386"/>
      <w:r>
        <w:rPr>
          <w:rStyle w:val="CharSectno"/>
        </w:rPr>
        <w:t>93</w:t>
      </w:r>
      <w:r>
        <w:rPr>
          <w:snapToGrid w:val="0"/>
        </w:rPr>
        <w:t>.</w:t>
      </w:r>
      <w:r>
        <w:rPr>
          <w:snapToGrid w:val="0"/>
        </w:rPr>
        <w:tab/>
        <w:t>Order relating to by</w:t>
      </w:r>
      <w:r>
        <w:rPr>
          <w:snapToGrid w:val="0"/>
        </w:rPr>
        <w:noBreakHyphen/>
        <w:t>laws</w:t>
      </w:r>
      <w:bookmarkEnd w:id="553"/>
      <w:bookmarkEnd w:id="554"/>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w:t>
      </w:r>
    </w:p>
    <w:p>
      <w:pPr>
        <w:pStyle w:val="Indenta"/>
        <w:spacing w:before="50"/>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spacing w:before="50"/>
        <w:rPr>
          <w:snapToGrid w:val="0"/>
        </w:rPr>
      </w:pPr>
      <w:r>
        <w:rPr>
          <w:snapToGrid w:val="0"/>
        </w:rPr>
        <w:tab/>
        <w:t>(b)</w:t>
      </w:r>
      <w:r>
        <w:rPr>
          <w:snapToGrid w:val="0"/>
        </w:rPr>
        <w:tab/>
        <w:t>the repeal of a by</w:t>
      </w:r>
      <w:r>
        <w:rPr>
          <w:snapToGrid w:val="0"/>
        </w:rPr>
        <w:noBreakHyphen/>
        <w:t>law;</w:t>
      </w:r>
    </w:p>
    <w:p>
      <w:pPr>
        <w:pStyle w:val="Indenta"/>
        <w:spacing w:before="50"/>
        <w:rPr>
          <w:snapToGrid w:val="0"/>
        </w:rPr>
      </w:pPr>
      <w:r>
        <w:rPr>
          <w:snapToGrid w:val="0"/>
        </w:rPr>
        <w:tab/>
        <w:t>(c)</w:t>
      </w:r>
      <w:r>
        <w:rPr>
          <w:snapToGrid w:val="0"/>
        </w:rPr>
        <w:tab/>
        <w:t>the repeal of an amendment to a by</w:t>
      </w:r>
      <w:r>
        <w:rPr>
          <w:snapToGrid w:val="0"/>
        </w:rPr>
        <w:noBreakHyphen/>
        <w:t>law;</w:t>
      </w:r>
    </w:p>
    <w:p>
      <w:pPr>
        <w:pStyle w:val="Indenta"/>
        <w:spacing w:before="50"/>
        <w:rPr>
          <w:snapToGrid w:val="0"/>
        </w:rPr>
      </w:pPr>
      <w:r>
        <w:rPr>
          <w:snapToGrid w:val="0"/>
        </w:rPr>
        <w:tab/>
        <w:t>(d)</w:t>
      </w:r>
      <w:r>
        <w:rPr>
          <w:snapToGrid w:val="0"/>
        </w:rPr>
        <w:tab/>
        <w:t>the re</w:t>
      </w:r>
      <w:r>
        <w:rPr>
          <w:snapToGrid w:val="0"/>
        </w:rPr>
        <w:noBreakHyphen/>
        <w:t>instatement of —</w:t>
      </w:r>
    </w:p>
    <w:p>
      <w:pPr>
        <w:pStyle w:val="Indenti"/>
        <w:spacing w:before="50"/>
        <w:rPr>
          <w:snapToGrid w:val="0"/>
        </w:rPr>
      </w:pPr>
      <w:r>
        <w:rPr>
          <w:snapToGrid w:val="0"/>
        </w:rPr>
        <w:tab/>
        <w:t>(i)</w:t>
      </w:r>
      <w:r>
        <w:rPr>
          <w:snapToGrid w:val="0"/>
        </w:rPr>
        <w:tab/>
        <w:t>a by</w:t>
      </w:r>
      <w:r>
        <w:rPr>
          <w:snapToGrid w:val="0"/>
        </w:rPr>
        <w:noBreakHyphen/>
        <w:t>law that was repealed or deemed by subsection (4) to be repealed; or</w:t>
      </w:r>
    </w:p>
    <w:p>
      <w:pPr>
        <w:pStyle w:val="Indenti"/>
        <w:spacing w:before="50"/>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w:t>
      </w:r>
    </w:p>
    <w:p>
      <w:pPr>
        <w:pStyle w:val="Indenta"/>
        <w:spacing w:before="50"/>
        <w:rPr>
          <w:snapToGrid w:val="0"/>
        </w:rPr>
      </w:pPr>
      <w:r>
        <w:rPr>
          <w:snapToGrid w:val="0"/>
        </w:rPr>
        <w:tab/>
        <w:t>(a)</w:t>
      </w:r>
      <w:r>
        <w:rPr>
          <w:snapToGrid w:val="0"/>
        </w:rPr>
        <w:tab/>
        <w:t>was made without power; or</w:t>
      </w:r>
    </w:p>
    <w:p>
      <w:pPr>
        <w:pStyle w:val="Indenta"/>
        <w:spacing w:before="50"/>
        <w:rPr>
          <w:snapToGrid w:val="0"/>
        </w:rPr>
      </w:pPr>
      <w:r>
        <w:rPr>
          <w:snapToGrid w:val="0"/>
        </w:rPr>
        <w:tab/>
        <w:t>(b)</w:t>
      </w:r>
      <w:r>
        <w:rPr>
          <w:snapToGrid w:val="0"/>
        </w:rPr>
        <w:tab/>
        <w:t>was not made in accordance with this Act or the regulations or any other requirement that ought to have been observed; or</w:t>
      </w:r>
    </w:p>
    <w:p>
      <w:pPr>
        <w:pStyle w:val="Indenta"/>
        <w:spacing w:before="50"/>
        <w:rPr>
          <w:snapToGrid w:val="0"/>
        </w:rPr>
      </w:pPr>
      <w:r>
        <w:rPr>
          <w:snapToGrid w:val="0"/>
        </w:rPr>
        <w:tab/>
        <w:t>(c)</w:t>
      </w:r>
      <w:r>
        <w:rPr>
          <w:snapToGrid w:val="0"/>
        </w:rPr>
        <w:tab/>
        <w:t>should not have been made having regard to the interests of all proprietors in the use and enjoyment of their lots or the common property.</w:t>
      </w:r>
    </w:p>
    <w:p>
      <w:pPr>
        <w:pStyle w:val="Subsection"/>
        <w:keepNext/>
        <w:keepLines/>
        <w:spacing w:before="120"/>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w:t>
      </w:r>
    </w:p>
    <w:p>
      <w:pPr>
        <w:pStyle w:val="Indenta"/>
        <w:spacing w:before="50"/>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spacing w:before="50"/>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spacing w:before="120"/>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spacing w:before="80"/>
      </w:pPr>
      <w:r>
        <w:tab/>
        <w:t>[Section 93 inserted by No. 58 of 1995 s. 74; amended by No. 55 of 2004 s. 1156(1) and 1158.]</w:t>
      </w:r>
    </w:p>
    <w:p>
      <w:pPr>
        <w:pStyle w:val="Heading5"/>
        <w:rPr>
          <w:snapToGrid w:val="0"/>
        </w:rPr>
      </w:pPr>
      <w:bookmarkStart w:id="555" w:name="_Toc381881014"/>
      <w:bookmarkStart w:id="556" w:name="_Toc476927387"/>
      <w:r>
        <w:rPr>
          <w:rStyle w:val="CharSectno"/>
        </w:rPr>
        <w:t>94</w:t>
      </w:r>
      <w:r>
        <w:rPr>
          <w:snapToGrid w:val="0"/>
        </w:rPr>
        <w:t>.</w:t>
      </w:r>
      <w:r>
        <w:rPr>
          <w:snapToGrid w:val="0"/>
        </w:rPr>
        <w:tab/>
        <w:t>Order granting certain licence</w:t>
      </w:r>
      <w:bookmarkEnd w:id="555"/>
      <w:bookmarkEnd w:id="556"/>
    </w:p>
    <w:p>
      <w:pPr>
        <w:pStyle w:val="Subsection"/>
        <w:spacing w:before="120"/>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spacing w:before="120"/>
        <w:rPr>
          <w:snapToGrid w:val="0"/>
        </w:rPr>
      </w:pPr>
      <w:r>
        <w:rPr>
          <w:snapToGrid w:val="0"/>
        </w:rPr>
        <w:tab/>
        <w:t>(2)</w:t>
      </w:r>
      <w:r>
        <w:rPr>
          <w:snapToGrid w:val="0"/>
        </w:rPr>
        <w:tab/>
        <w:t>The State Administrative Tribunal shall not make an order under subsection (1) unless satisfied —</w:t>
      </w:r>
    </w:p>
    <w:p>
      <w:pPr>
        <w:pStyle w:val="Indenta"/>
        <w:spacing w:before="60"/>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spacing w:before="60"/>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12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spacing w:before="100"/>
      </w:pPr>
      <w:r>
        <w:tab/>
        <w:t>[Section 94 amended by No. 55 of 2004 s. 1156(1) and (2) and 1158.]</w:t>
      </w:r>
    </w:p>
    <w:p>
      <w:pPr>
        <w:pStyle w:val="Heading5"/>
        <w:rPr>
          <w:snapToGrid w:val="0"/>
        </w:rPr>
      </w:pPr>
      <w:bookmarkStart w:id="557" w:name="_Toc381881015"/>
      <w:bookmarkStart w:id="558" w:name="_Toc476927388"/>
      <w:r>
        <w:rPr>
          <w:rStyle w:val="CharSectno"/>
        </w:rPr>
        <w:t>95</w:t>
      </w:r>
      <w:r>
        <w:rPr>
          <w:snapToGrid w:val="0"/>
        </w:rPr>
        <w:t>.</w:t>
      </w:r>
      <w:r>
        <w:rPr>
          <w:snapToGrid w:val="0"/>
        </w:rPr>
        <w:tab/>
        <w:t>SAT may make certain by</w:t>
      </w:r>
      <w:r>
        <w:rPr>
          <w:snapToGrid w:val="0"/>
        </w:rPr>
        <w:noBreakHyphen/>
        <w:t>laws</w:t>
      </w:r>
      <w:bookmarkEnd w:id="557"/>
      <w:bookmarkEnd w:id="558"/>
    </w:p>
    <w:p>
      <w:pPr>
        <w:pStyle w:val="Subsection"/>
        <w:spacing w:before="12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w:t>
      </w:r>
    </w:p>
    <w:p>
      <w:pPr>
        <w:pStyle w:val="Indenta"/>
        <w:spacing w:before="60"/>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Deleted by No. 58 of 1995 s. 75.]</w:t>
      </w:r>
    </w:p>
    <w:p>
      <w:pPr>
        <w:pStyle w:val="Heading5"/>
        <w:rPr>
          <w:snapToGrid w:val="0"/>
        </w:rPr>
      </w:pPr>
      <w:bookmarkStart w:id="559" w:name="_Toc381881016"/>
      <w:bookmarkStart w:id="560" w:name="_Toc476927389"/>
      <w:r>
        <w:rPr>
          <w:rStyle w:val="CharSectno"/>
        </w:rPr>
        <w:t>97</w:t>
      </w:r>
      <w:r>
        <w:rPr>
          <w:snapToGrid w:val="0"/>
        </w:rPr>
        <w:t>.</w:t>
      </w:r>
      <w:r>
        <w:rPr>
          <w:snapToGrid w:val="0"/>
        </w:rPr>
        <w:tab/>
        <w:t>Power of SAT to invalidate a resolution or election</w:t>
      </w:r>
      <w:bookmarkEnd w:id="559"/>
      <w:bookmarkEnd w:id="560"/>
    </w:p>
    <w:p>
      <w:pPr>
        <w:pStyle w:val="Subsection"/>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rPr>
          <w:snapToGrid w:val="0"/>
        </w:rPr>
      </w:pPr>
      <w:r>
        <w:rPr>
          <w:snapToGrid w:val="0"/>
        </w:rPr>
        <w:tab/>
        <w:t>(2)</w:t>
      </w:r>
      <w:r>
        <w:rPr>
          <w:snapToGrid w:val="0"/>
        </w:rPr>
        <w:tab/>
        <w:t>The State Administrative Tribunal shall not make an order under subsection (1) refusing to invalidate a resolution or election unless it considers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561" w:name="_Toc381881017"/>
      <w:bookmarkStart w:id="562" w:name="_Toc476927390"/>
      <w:r>
        <w:rPr>
          <w:rStyle w:val="CharSectno"/>
        </w:rPr>
        <w:t>98</w:t>
      </w:r>
      <w:r>
        <w:rPr>
          <w:snapToGrid w:val="0"/>
        </w:rPr>
        <w:t>.</w:t>
      </w:r>
      <w:r>
        <w:rPr>
          <w:snapToGrid w:val="0"/>
        </w:rPr>
        <w:tab/>
        <w:t>Order authorising application to SAT</w:t>
      </w:r>
      <w:bookmarkEnd w:id="561"/>
      <w:bookmarkEnd w:id="562"/>
    </w:p>
    <w:p>
      <w:pPr>
        <w:pStyle w:val="Subsection"/>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563" w:name="_Toc381881018"/>
      <w:bookmarkStart w:id="564" w:name="_Toc476927391"/>
      <w:r>
        <w:rPr>
          <w:rStyle w:val="CharSectno"/>
        </w:rPr>
        <w:t>99</w:t>
      </w:r>
      <w:r>
        <w:rPr>
          <w:snapToGrid w:val="0"/>
        </w:rPr>
        <w:t>.</w:t>
      </w:r>
      <w:r>
        <w:rPr>
          <w:snapToGrid w:val="0"/>
        </w:rPr>
        <w:tab/>
        <w:t>Order for variation or manner of payment of contributions</w:t>
      </w:r>
      <w:bookmarkEnd w:id="563"/>
      <w:bookmarkEnd w:id="564"/>
    </w:p>
    <w:p>
      <w:pPr>
        <w:pStyle w:val="Subsection"/>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w:t>
      </w:r>
    </w:p>
    <w:p>
      <w:pPr>
        <w:pStyle w:val="Indenta"/>
        <w:rPr>
          <w:snapToGrid w:val="0"/>
        </w:rPr>
      </w:pPr>
      <w:r>
        <w:rPr>
          <w:snapToGrid w:val="0"/>
        </w:rPr>
        <w:tab/>
        <w:t>(a)</w:t>
      </w:r>
      <w:r>
        <w:rPr>
          <w:snapToGrid w:val="0"/>
        </w:rPr>
        <w:tab/>
        <w:t>order variation of the amount; or</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spacing w:before="100"/>
      </w:pPr>
      <w:r>
        <w:tab/>
        <w:t>[Section 99 amended by No. 55 of 2004 s. 1139 and 1156(1) and (3).]</w:t>
      </w:r>
    </w:p>
    <w:p>
      <w:pPr>
        <w:pStyle w:val="Heading5"/>
        <w:rPr>
          <w:snapToGrid w:val="0"/>
        </w:rPr>
      </w:pPr>
      <w:bookmarkStart w:id="565" w:name="_Toc381881019"/>
      <w:bookmarkStart w:id="566" w:name="_Toc476927392"/>
      <w:r>
        <w:rPr>
          <w:rStyle w:val="CharSectno"/>
        </w:rPr>
        <w:t>99A</w:t>
      </w:r>
      <w:r>
        <w:rPr>
          <w:snapToGrid w:val="0"/>
        </w:rPr>
        <w:t>.</w:t>
      </w:r>
      <w:r>
        <w:rPr>
          <w:snapToGrid w:val="0"/>
        </w:rPr>
        <w:tab/>
        <w:t>Order fixing different basis for levying contributions</w:t>
      </w:r>
      <w:bookmarkEnd w:id="565"/>
      <w:bookmarkEnd w:id="566"/>
    </w:p>
    <w:p>
      <w:pPr>
        <w:pStyle w:val="Subsection"/>
        <w:spacing w:before="130"/>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spacing w:before="130"/>
        <w:rPr>
          <w:snapToGrid w:val="0"/>
        </w:rPr>
      </w:pPr>
      <w:r>
        <w:rPr>
          <w:snapToGrid w:val="0"/>
        </w:rPr>
        <w:tab/>
        <w:t>(2)</w:t>
      </w:r>
      <w:r>
        <w:rPr>
          <w:snapToGrid w:val="0"/>
        </w:rPr>
        <w:tab/>
        <w:t>An order under this section is an order —</w:t>
      </w:r>
    </w:p>
    <w:p>
      <w:pPr>
        <w:pStyle w:val="Indenta"/>
        <w:spacing w:before="60"/>
        <w:rPr>
          <w:snapToGrid w:val="0"/>
        </w:rPr>
      </w:pPr>
      <w:r>
        <w:rPr>
          <w:snapToGrid w:val="0"/>
        </w:rPr>
        <w:tab/>
        <w:t>(a)</w:t>
      </w:r>
      <w:r>
        <w:rPr>
          <w:snapToGrid w:val="0"/>
        </w:rPr>
        <w:tab/>
        <w:t>fixing a method of assessing contributions to be levied on proprietors under section 36 otherwise than —</w:t>
      </w:r>
    </w:p>
    <w:p>
      <w:pPr>
        <w:pStyle w:val="Indenti"/>
        <w:spacing w:before="60"/>
        <w:rPr>
          <w:snapToGrid w:val="0"/>
        </w:rPr>
      </w:pPr>
      <w:r>
        <w:rPr>
          <w:snapToGrid w:val="0"/>
        </w:rPr>
        <w:tab/>
        <w:t>(i)</w:t>
      </w:r>
      <w:r>
        <w:rPr>
          <w:snapToGrid w:val="0"/>
        </w:rPr>
        <w:tab/>
        <w:t>in proportion to the unit entitlements of their respective lots; or</w:t>
      </w:r>
    </w:p>
    <w:p>
      <w:pPr>
        <w:pStyle w:val="Indenti"/>
        <w:spacing w:before="60"/>
        <w:rPr>
          <w:snapToGrid w:val="0"/>
        </w:rPr>
      </w:pPr>
      <w:r>
        <w:rPr>
          <w:snapToGrid w:val="0"/>
        </w:rPr>
        <w:tab/>
        <w:t>(ii)</w:t>
      </w:r>
      <w:r>
        <w:rPr>
          <w:snapToGrid w:val="0"/>
        </w:rPr>
        <w:tab/>
        <w:t>in accordance with a by</w:t>
      </w:r>
      <w:r>
        <w:rPr>
          <w:snapToGrid w:val="0"/>
        </w:rPr>
        <w:noBreakHyphen/>
        <w:t>law referred to in section 42B;</w:t>
      </w:r>
    </w:p>
    <w:p>
      <w:pPr>
        <w:pStyle w:val="Indenta"/>
        <w:spacing w:before="60"/>
        <w:rPr>
          <w:snapToGrid w:val="0"/>
        </w:rPr>
      </w:pPr>
      <w:r>
        <w:rPr>
          <w:snapToGrid w:val="0"/>
        </w:rPr>
        <w:tab/>
      </w:r>
      <w:r>
        <w:rPr>
          <w:snapToGrid w:val="0"/>
        </w:rPr>
        <w:tab/>
        <w:t>or</w:t>
      </w:r>
    </w:p>
    <w:p>
      <w:pPr>
        <w:pStyle w:val="Indenta"/>
        <w:spacing w:before="60"/>
        <w:rPr>
          <w:snapToGrid w:val="0"/>
        </w:rPr>
      </w:pPr>
      <w:r>
        <w:rPr>
          <w:snapToGrid w:val="0"/>
        </w:rPr>
        <w:tab/>
        <w:t>(b)</w:t>
      </w:r>
      <w:r>
        <w:rPr>
          <w:snapToGrid w:val="0"/>
        </w:rPr>
        <w:tab/>
        <w:t>that such contributions are to be levied in accordance with section 36(1)(c)(i).</w:t>
      </w:r>
    </w:p>
    <w:p>
      <w:pPr>
        <w:pStyle w:val="Subsection"/>
        <w:spacing w:before="130"/>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spacing w:before="130"/>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spacing w:before="130"/>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spacing w:before="140"/>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140"/>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[Section 99A inserted by No. 58 of 1995 s. 76; amended by No. 24 of 2000 s. 40(9); No. 55 of 2004 s. 1140 and 1156(1) and (3).]</w:t>
      </w:r>
    </w:p>
    <w:p>
      <w:pPr>
        <w:pStyle w:val="Heading5"/>
        <w:rPr>
          <w:snapToGrid w:val="0"/>
        </w:rPr>
      </w:pPr>
      <w:bookmarkStart w:id="567" w:name="_Toc381881020"/>
      <w:bookmarkStart w:id="568" w:name="_Toc476927393"/>
      <w:r>
        <w:rPr>
          <w:rStyle w:val="CharSectno"/>
        </w:rPr>
        <w:t>100</w:t>
      </w:r>
      <w:r>
        <w:rPr>
          <w:snapToGrid w:val="0"/>
        </w:rPr>
        <w:t>.</w:t>
      </w:r>
      <w:r>
        <w:rPr>
          <w:snapToGrid w:val="0"/>
        </w:rPr>
        <w:tab/>
        <w:t>Order where voting rights denied or due notice of item of business not given</w:t>
      </w:r>
      <w:bookmarkEnd w:id="567"/>
      <w:bookmarkEnd w:id="568"/>
    </w:p>
    <w:p>
      <w:pPr>
        <w:pStyle w:val="Subsection"/>
        <w:spacing w:before="140"/>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spacing w:before="60"/>
        <w:rPr>
          <w:snapToGrid w:val="0"/>
        </w:rPr>
      </w:pPr>
      <w:r>
        <w:rPr>
          <w:snapToGrid w:val="0"/>
        </w:rPr>
        <w:tab/>
        <w:t>(a)</w:t>
      </w:r>
      <w:r>
        <w:rPr>
          <w:snapToGrid w:val="0"/>
        </w:rPr>
        <w:tab/>
        <w:t>was improperly denied a vote on the motion for the resolution; or</w:t>
      </w:r>
    </w:p>
    <w:p>
      <w:pPr>
        <w:pStyle w:val="Indenta"/>
        <w:spacing w:before="60"/>
        <w:rPr>
          <w:snapToGrid w:val="0"/>
        </w:rPr>
      </w:pPr>
      <w:r>
        <w:rPr>
          <w:snapToGrid w:val="0"/>
        </w:rPr>
        <w:tab/>
        <w:t>(b)</w:t>
      </w:r>
      <w:r>
        <w:rPr>
          <w:snapToGrid w:val="0"/>
        </w:rPr>
        <w:tab/>
        <w:t>was not given due notice of the item of business pursuant to which the resolution was passed,</w:t>
      </w:r>
    </w:p>
    <w:p>
      <w:pPr>
        <w:pStyle w:val="Subsection"/>
        <w:spacing w:before="120"/>
        <w:rPr>
          <w:snapToGrid w:val="0"/>
        </w:rPr>
      </w:pPr>
      <w:r>
        <w:rPr>
          <w:snapToGrid w:val="0"/>
        </w:rPr>
        <w:tab/>
      </w:r>
      <w:r>
        <w:rPr>
          <w:snapToGrid w:val="0"/>
        </w:rPr>
        <w:tab/>
        <w:t>the State Administrative Tribunal may order that the resolution be treated as a nullity on and from the date of the order.</w:t>
      </w:r>
    </w:p>
    <w:p>
      <w:pPr>
        <w:pStyle w:val="Subsection"/>
        <w:spacing w:before="130"/>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spacing w:before="130"/>
        <w:rPr>
          <w:snapToGrid w:val="0"/>
        </w:rPr>
      </w:pPr>
      <w:r>
        <w:rPr>
          <w:snapToGrid w:val="0"/>
        </w:rPr>
        <w:tab/>
        <w:t>(3)</w:t>
      </w:r>
      <w:r>
        <w:rPr>
          <w:snapToGrid w:val="0"/>
        </w:rPr>
        <w:tab/>
        <w:t>Where —</w:t>
      </w:r>
    </w:p>
    <w:p>
      <w:pPr>
        <w:pStyle w:val="Indenta"/>
        <w:spacing w:before="60"/>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 and</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569" w:name="_Toc381881021"/>
      <w:bookmarkStart w:id="570" w:name="_Toc476927394"/>
      <w:r>
        <w:rPr>
          <w:rStyle w:val="CharSectno"/>
        </w:rPr>
        <w:t>101</w:t>
      </w:r>
      <w:r>
        <w:rPr>
          <w:snapToGrid w:val="0"/>
        </w:rPr>
        <w:t>.</w:t>
      </w:r>
      <w:r>
        <w:rPr>
          <w:snapToGrid w:val="0"/>
        </w:rPr>
        <w:tab/>
        <w:t>Order varying amount of insurance to be provided</w:t>
      </w:r>
      <w:bookmarkEnd w:id="569"/>
      <w:bookmarkEnd w:id="570"/>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[Section 101 amended by No. 58 of 1995 s. 96; No. 55 of 2004 s. 1156(1) and (3).]</w:t>
      </w:r>
    </w:p>
    <w:p>
      <w:pPr>
        <w:pStyle w:val="Heading5"/>
        <w:rPr>
          <w:snapToGrid w:val="0"/>
        </w:rPr>
      </w:pPr>
      <w:bookmarkStart w:id="571" w:name="_Toc381881022"/>
      <w:bookmarkStart w:id="572" w:name="_Toc476927395"/>
      <w:r>
        <w:rPr>
          <w:rStyle w:val="CharSectno"/>
        </w:rPr>
        <w:t>102</w:t>
      </w:r>
      <w:r>
        <w:rPr>
          <w:snapToGrid w:val="0"/>
        </w:rPr>
        <w:t>.</w:t>
      </w:r>
      <w:r>
        <w:rPr>
          <w:snapToGrid w:val="0"/>
        </w:rPr>
        <w:tab/>
        <w:t>Order appointing administrator</w:t>
      </w:r>
      <w:bookmarkEnd w:id="571"/>
      <w:bookmarkEnd w:id="572"/>
    </w:p>
    <w:p>
      <w:pPr>
        <w:pStyle w:val="Subsection"/>
        <w:keepNext/>
        <w:rPr>
          <w:snapToGrid w:val="0"/>
        </w:rPr>
      </w:pPr>
      <w:r>
        <w:rPr>
          <w:snapToGrid w:val="0"/>
        </w:rPr>
        <w:tab/>
        <w:t>(1)</w:t>
      </w:r>
      <w:r>
        <w:rPr>
          <w:snapToGrid w:val="0"/>
        </w:rPr>
        <w:tab/>
        <w:t>Where —</w:t>
      </w:r>
    </w:p>
    <w:p>
      <w:pPr>
        <w:pStyle w:val="Indenta"/>
        <w:spacing w:before="60"/>
        <w:rPr>
          <w:snapToGrid w:val="0"/>
        </w:rPr>
      </w:pPr>
      <w:r>
        <w:rPr>
          <w:snapToGrid w:val="0"/>
        </w:rPr>
        <w:tab/>
        <w:t>(a)</w:t>
      </w:r>
      <w:r>
        <w:rPr>
          <w:snapToGrid w:val="0"/>
        </w:rPr>
        <w:tab/>
        <w:t>in consequence of the making of an order under this Part a duty is imposed on a strata company; or</w:t>
      </w:r>
    </w:p>
    <w:p>
      <w:pPr>
        <w:pStyle w:val="Indenta"/>
        <w:spacing w:before="60"/>
        <w:rPr>
          <w:snapToGrid w:val="0"/>
        </w:rPr>
      </w:pPr>
      <w:r>
        <w:rPr>
          <w:snapToGrid w:val="0"/>
        </w:rPr>
        <w:tab/>
        <w:t>(b)</w:t>
      </w:r>
      <w:r>
        <w:rPr>
          <w:snapToGrid w:val="0"/>
        </w:rPr>
        <w:tab/>
        <w:t>a duty is otherwise imposed by this Act or the by</w:t>
      </w:r>
      <w:r>
        <w:rPr>
          <w:snapToGrid w:val="0"/>
        </w:rPr>
        <w:noBreakHyphen/>
        <w:t>laws on a strata company; or</w:t>
      </w:r>
    </w:p>
    <w:p>
      <w:pPr>
        <w:pStyle w:val="Indenta"/>
        <w:spacing w:before="60"/>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spacing w:before="60"/>
        <w:rPr>
          <w:snapToGrid w:val="0"/>
        </w:rPr>
      </w:pPr>
      <w:r>
        <w:rPr>
          <w:snapToGrid w:val="0"/>
        </w:rPr>
        <w:tab/>
        <w:t>(d)</w:t>
      </w:r>
      <w:r>
        <w:rPr>
          <w:snapToGrid w:val="0"/>
        </w:rPr>
        <w:tab/>
        <w:t>a judgment debt is owed by a strata company,</w:t>
      </w:r>
    </w:p>
    <w:p>
      <w:pPr>
        <w:pStyle w:val="Subsection"/>
        <w:keepNext/>
        <w:spacing w:before="120"/>
        <w:rPr>
          <w:snapToGrid w:val="0"/>
        </w:rPr>
      </w:pPr>
      <w:r>
        <w:rPr>
          <w:snapToGrid w:val="0"/>
        </w:rPr>
        <w:tab/>
      </w:r>
      <w:r>
        <w:rPr>
          <w:snapToGrid w:val="0"/>
        </w:rPr>
        <w:tab/>
        <w:t>the State Administrative Tribunal may —</w:t>
      </w:r>
    </w:p>
    <w:p>
      <w:pPr>
        <w:pStyle w:val="Indenta"/>
        <w:spacing w:before="60"/>
        <w:rPr>
          <w:snapToGrid w:val="0"/>
        </w:rPr>
      </w:pPr>
      <w:r>
        <w:rPr>
          <w:snapToGrid w:val="0"/>
        </w:rPr>
        <w:tab/>
        <w:t>(e)</w:t>
      </w:r>
      <w:r>
        <w:rPr>
          <w:snapToGrid w:val="0"/>
        </w:rPr>
        <w:tab/>
        <w:t>in the case referred to in paragraph (a), on the application of the person who obtained the order so referred to; or</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 or</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[Section 102 amended by No. 58 of 1995 s. 96; No. 55 of 2004 s. 1141 and 1156(1).]</w:t>
      </w:r>
    </w:p>
    <w:p>
      <w:pPr>
        <w:pStyle w:val="Heading5"/>
        <w:rPr>
          <w:snapToGrid w:val="0"/>
        </w:rPr>
      </w:pPr>
      <w:bookmarkStart w:id="573" w:name="_Toc381881023"/>
      <w:bookmarkStart w:id="574" w:name="_Toc476927396"/>
      <w:r>
        <w:rPr>
          <w:rStyle w:val="CharSectno"/>
        </w:rPr>
        <w:t>103</w:t>
      </w:r>
      <w:r>
        <w:rPr>
          <w:snapToGrid w:val="0"/>
        </w:rPr>
        <w:t>.</w:t>
      </w:r>
      <w:r>
        <w:rPr>
          <w:snapToGrid w:val="0"/>
        </w:rPr>
        <w:tab/>
        <w:t>Order calling first annual general meeting of strata company</w:t>
      </w:r>
      <w:bookmarkEnd w:id="573"/>
      <w:bookmarkEnd w:id="574"/>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575" w:name="_Toc381881024"/>
      <w:bookmarkStart w:id="576" w:name="_Toc476927397"/>
      <w:r>
        <w:rPr>
          <w:rStyle w:val="CharSectno"/>
        </w:rPr>
        <w:t>103A</w:t>
      </w:r>
      <w:r>
        <w:rPr>
          <w:snapToGrid w:val="0"/>
        </w:rPr>
        <w:t>.</w:t>
      </w:r>
      <w:r>
        <w:rPr>
          <w:snapToGrid w:val="0"/>
        </w:rPr>
        <w:tab/>
        <w:t>Order for compliance, despite s. 36A</w:t>
      </w:r>
      <w:bookmarkEnd w:id="575"/>
      <w:bookmarkEnd w:id="576"/>
    </w:p>
    <w:p>
      <w:pPr>
        <w:pStyle w:val="Subsection"/>
        <w:rPr>
          <w:snapToGrid w:val="0"/>
        </w:rPr>
      </w:pPr>
      <w:r>
        <w:rPr>
          <w:snapToGrid w:val="0"/>
        </w:rPr>
        <w:tab/>
        <w:t>(1)</w:t>
      </w:r>
      <w:r>
        <w:rPr>
          <w:snapToGrid w:val="0"/>
        </w:rPr>
        <w:tab/>
        <w:t>A proprietor of a lot in a two</w:t>
      </w:r>
      <w:r>
        <w:rPr>
          <w:snapToGrid w:val="0"/>
        </w:rPr>
        <w:noBreakHyphen/>
        <w:t>lot scheme may apply to the State Administrative Tribunal for an order under this section.</w:t>
      </w:r>
    </w:p>
    <w:p>
      <w:pPr>
        <w:pStyle w:val="Subsection"/>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[Section 103A inserted by No. 58 of 1995 s. 77; amended by No. 24 of 2000 s. 40(10); No. 55 of 2004 s. 1156(1) and 1158.]</w:t>
      </w:r>
    </w:p>
    <w:p>
      <w:pPr>
        <w:pStyle w:val="Heading5"/>
        <w:rPr>
          <w:snapToGrid w:val="0"/>
        </w:rPr>
      </w:pPr>
      <w:bookmarkStart w:id="577" w:name="_Toc381881025"/>
      <w:bookmarkStart w:id="578" w:name="_Toc476927398"/>
      <w:r>
        <w:rPr>
          <w:rStyle w:val="CharSectno"/>
        </w:rPr>
        <w:t>103B</w:t>
      </w:r>
      <w:r>
        <w:rPr>
          <w:snapToGrid w:val="0"/>
        </w:rPr>
        <w:t>.</w:t>
      </w:r>
      <w:r>
        <w:rPr>
          <w:snapToGrid w:val="0"/>
        </w:rPr>
        <w:tab/>
        <w:t>Order to enable quorum in two</w:t>
      </w:r>
      <w:r>
        <w:rPr>
          <w:snapToGrid w:val="0"/>
        </w:rPr>
        <w:noBreakHyphen/>
        <w:t>lot scheme</w:t>
      </w:r>
      <w:bookmarkEnd w:id="577"/>
      <w:bookmarkEnd w:id="578"/>
    </w:p>
    <w:p>
      <w:pPr>
        <w:pStyle w:val="Subsection"/>
        <w:rPr>
          <w:snapToGrid w:val="0"/>
        </w:rPr>
      </w:pPr>
      <w:r>
        <w:rPr>
          <w:snapToGrid w:val="0"/>
        </w:rPr>
        <w:tab/>
        <w:t>(1)</w:t>
      </w:r>
      <w:r>
        <w:rPr>
          <w:snapToGrid w:val="0"/>
        </w:rPr>
        <w:tab/>
        <w:t>Where a proprietor of a lot in a two</w:t>
      </w:r>
      <w:r>
        <w:rPr>
          <w:snapToGrid w:val="0"/>
        </w:rPr>
        <w:noBreakHyphen/>
        <w:t>lot scheme (</w:t>
      </w:r>
      <w:r>
        <w:t xml:space="preserve">the </w:t>
      </w:r>
      <w:r>
        <w:rPr>
          <w:rStyle w:val="CharDefText"/>
        </w:rPr>
        <w:t>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[Section 103B inserted by No. 58 of 1995 s. 77; No. 55 of 2004 s. 1156(1) and (3) and 1158.]</w:t>
      </w:r>
    </w:p>
    <w:p>
      <w:pPr>
        <w:pStyle w:val="Heading5"/>
        <w:rPr>
          <w:snapToGrid w:val="0"/>
        </w:rPr>
      </w:pPr>
      <w:bookmarkStart w:id="579" w:name="_Toc381881026"/>
      <w:bookmarkStart w:id="580" w:name="_Toc476927399"/>
      <w:r>
        <w:rPr>
          <w:rStyle w:val="CharSectno"/>
        </w:rPr>
        <w:t>103C</w:t>
      </w:r>
      <w:r>
        <w:rPr>
          <w:snapToGrid w:val="0"/>
        </w:rPr>
        <w:t>.</w:t>
      </w:r>
      <w:r>
        <w:rPr>
          <w:snapToGrid w:val="0"/>
        </w:rPr>
        <w:tab/>
        <w:t>Order making resolution for two</w:t>
      </w:r>
      <w:r>
        <w:rPr>
          <w:snapToGrid w:val="0"/>
        </w:rPr>
        <w:noBreakHyphen/>
        <w:t>lot scheme</w:t>
      </w:r>
      <w:bookmarkEnd w:id="579"/>
      <w:bookmarkEnd w:id="580"/>
    </w:p>
    <w:p>
      <w:pPr>
        <w:pStyle w:val="Subsection"/>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[Section 103C inserted by No. 58 of 1995 s. 77; amended by No. 61 of 1996 s. 32; No. 55 of 2004 s. 1156(1) and (3) and 1158.]</w:t>
      </w:r>
    </w:p>
    <w:p>
      <w:pPr>
        <w:pStyle w:val="Heading5"/>
        <w:rPr>
          <w:snapToGrid w:val="0"/>
        </w:rPr>
      </w:pPr>
      <w:bookmarkStart w:id="581" w:name="_Toc381881027"/>
      <w:bookmarkStart w:id="582" w:name="_Toc476927400"/>
      <w:r>
        <w:rPr>
          <w:rStyle w:val="CharSectno"/>
        </w:rPr>
        <w:t>103D</w:t>
      </w:r>
      <w:r>
        <w:rPr>
          <w:snapToGrid w:val="0"/>
        </w:rPr>
        <w:t>.</w:t>
      </w:r>
      <w:r>
        <w:rPr>
          <w:snapToGrid w:val="0"/>
        </w:rPr>
        <w:tab/>
        <w:t>Order cancelling special resolution</w:t>
      </w:r>
      <w:bookmarkEnd w:id="581"/>
      <w:bookmarkEnd w:id="582"/>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ind w:left="890" w:hanging="890"/>
      </w:pPr>
      <w:r>
        <w:tab/>
        <w:t>[Section 103D inserted by No. 58 of 1995 s. 77; No. 55 of 2004 s. 1156(1) and (3) and 1158.]</w:t>
      </w:r>
    </w:p>
    <w:p>
      <w:pPr>
        <w:pStyle w:val="Heading5"/>
        <w:rPr>
          <w:snapToGrid w:val="0"/>
        </w:rPr>
      </w:pPr>
      <w:bookmarkStart w:id="583" w:name="_Toc381881028"/>
      <w:bookmarkStart w:id="584" w:name="_Toc476927401"/>
      <w:r>
        <w:rPr>
          <w:rStyle w:val="CharSectno"/>
        </w:rPr>
        <w:t>103E</w:t>
      </w:r>
      <w:r>
        <w:rPr>
          <w:snapToGrid w:val="0"/>
        </w:rPr>
        <w:t>.</w:t>
      </w:r>
      <w:r>
        <w:rPr>
          <w:snapToGrid w:val="0"/>
        </w:rPr>
        <w:tab/>
        <w:t>Order for termination of contract for services to strata company</w:t>
      </w:r>
      <w:bookmarkEnd w:id="583"/>
      <w:bookmarkEnd w:id="584"/>
    </w:p>
    <w:p>
      <w:pPr>
        <w:pStyle w:val="Subsection"/>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terminating; or</w:t>
      </w:r>
    </w:p>
    <w:p>
      <w:pPr>
        <w:pStyle w:val="Indenta"/>
        <w:keepNext/>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agreement —</w:t>
      </w:r>
    </w:p>
    <w:p>
      <w:pPr>
        <w:pStyle w:val="Indenta"/>
        <w:rPr>
          <w:snapToGrid w:val="0"/>
        </w:rPr>
      </w:pPr>
      <w:r>
        <w:rPr>
          <w:snapToGrid w:val="0"/>
        </w:rPr>
        <w:tab/>
        <w:t>(a)</w:t>
      </w:r>
      <w:r>
        <w:rPr>
          <w:snapToGrid w:val="0"/>
        </w:rPr>
        <w:tab/>
        <w:t>is unfair to the proprietors of 25% or more of the aggregate unit entitlement of the lots in the scheme; or</w:t>
      </w:r>
    </w:p>
    <w:p>
      <w:pPr>
        <w:pStyle w:val="Indenta"/>
        <w:rPr>
          <w:snapToGrid w:val="0"/>
        </w:rPr>
      </w:pPr>
      <w:r>
        <w:rPr>
          <w:snapToGrid w:val="0"/>
        </w:rPr>
        <w:tab/>
        <w:t>(b)</w:t>
      </w:r>
      <w:r>
        <w:rPr>
          <w:snapToGrid w:val="0"/>
        </w:rPr>
        <w:tab/>
        <w:t>is for an excessively long term.</w:t>
      </w:r>
    </w:p>
    <w:p>
      <w:pPr>
        <w:pStyle w:val="Subsection"/>
        <w:keepNext/>
        <w:rPr>
          <w:snapToGrid w:val="0"/>
        </w:rPr>
      </w:pPr>
      <w:r>
        <w:rPr>
          <w:snapToGrid w:val="0"/>
        </w:rPr>
        <w:tab/>
        <w:t>(4)</w:t>
      </w:r>
      <w:r>
        <w:rPr>
          <w:snapToGrid w:val="0"/>
        </w:rPr>
        <w:tab/>
        <w:t>This section applies to an agreement if —</w:t>
      </w:r>
    </w:p>
    <w:p>
      <w:pPr>
        <w:pStyle w:val="Indenta"/>
        <w:rPr>
          <w:snapToGrid w:val="0"/>
        </w:rPr>
      </w:pPr>
      <w:r>
        <w:rPr>
          <w:snapToGrid w:val="0"/>
        </w:rPr>
        <w:tab/>
        <w:t>(a)</w:t>
      </w:r>
      <w:r>
        <w:rPr>
          <w:snapToGrid w:val="0"/>
        </w:rPr>
        <w:tab/>
        <w:t>it relates to the provision of services to the strata company or the proprietors; and</w:t>
      </w:r>
    </w:p>
    <w:p>
      <w:pPr>
        <w:pStyle w:val="Indenta"/>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ind w:left="890" w:hanging="890"/>
      </w:pPr>
      <w:r>
        <w:tab/>
        <w:t>[Section 103E inserted by No. 58 of 1995 s. 77; No. 55 of 2004 s. 1156(1) and 1158.]</w:t>
      </w:r>
    </w:p>
    <w:p>
      <w:pPr>
        <w:pStyle w:val="Heading5"/>
        <w:rPr>
          <w:snapToGrid w:val="0"/>
        </w:rPr>
      </w:pPr>
      <w:bookmarkStart w:id="585" w:name="_Toc381881029"/>
      <w:bookmarkStart w:id="586" w:name="_Toc476927402"/>
      <w:r>
        <w:rPr>
          <w:rStyle w:val="CharSectno"/>
        </w:rPr>
        <w:t>103F</w:t>
      </w:r>
      <w:r>
        <w:rPr>
          <w:snapToGrid w:val="0"/>
        </w:rPr>
        <w:t>.</w:t>
      </w:r>
      <w:r>
        <w:rPr>
          <w:snapToGrid w:val="0"/>
        </w:rPr>
        <w:tab/>
        <w:t>Order dispensing with approval under s. 7(2) or 7A(2)</w:t>
      </w:r>
      <w:bookmarkEnd w:id="585"/>
      <w:bookmarkEnd w:id="586"/>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[Section 103F inserted by No. 58 of 1995 s. 77; amended by No. 61 of 1996 s. 5; No. 55 of 2004 s. 1142, 1156(1) and 1158.]</w:t>
      </w:r>
    </w:p>
    <w:p>
      <w:pPr>
        <w:pStyle w:val="Heading5"/>
        <w:rPr>
          <w:snapToGrid w:val="0"/>
        </w:rPr>
      </w:pPr>
      <w:bookmarkStart w:id="587" w:name="_Toc381881030"/>
      <w:bookmarkStart w:id="588" w:name="_Toc476927403"/>
      <w:r>
        <w:rPr>
          <w:rStyle w:val="CharSectno"/>
        </w:rPr>
        <w:t>103G</w:t>
      </w:r>
      <w:r>
        <w:rPr>
          <w:snapToGrid w:val="0"/>
        </w:rPr>
        <w:t>.</w:t>
      </w:r>
      <w:r>
        <w:rPr>
          <w:snapToGrid w:val="0"/>
        </w:rPr>
        <w:tab/>
        <w:t>Order granting relief for breach of s. 7(2)</w:t>
      </w:r>
      <w:bookmarkEnd w:id="587"/>
      <w:bookmarkEnd w:id="588"/>
    </w:p>
    <w:p>
      <w:pPr>
        <w:pStyle w:val="Subsection"/>
        <w:keepNext/>
        <w:rPr>
          <w:snapToGrid w:val="0"/>
        </w:rPr>
      </w:pPr>
      <w:r>
        <w:rPr>
          <w:snapToGrid w:val="0"/>
        </w:rPr>
        <w:tab/>
        <w:t>(1)</w:t>
      </w:r>
      <w:r>
        <w:rPr>
          <w:snapToGrid w:val="0"/>
        </w:rPr>
        <w:tab/>
        <w:t>An application to the State Administrative Tribunal for a finding and an order under this section may be made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[Section 103G inserted by No. 58 of 1995 s. 77; amended by No. 55 of 2004 s. 1156(1) and 1158.]</w:t>
      </w:r>
    </w:p>
    <w:p>
      <w:pPr>
        <w:pStyle w:val="Heading5"/>
        <w:rPr>
          <w:snapToGrid w:val="0"/>
        </w:rPr>
      </w:pPr>
      <w:bookmarkStart w:id="589" w:name="_Toc381881031"/>
      <w:bookmarkStart w:id="590" w:name="_Toc476927404"/>
      <w:r>
        <w:rPr>
          <w:rStyle w:val="CharSectno"/>
        </w:rPr>
        <w:t>103H</w:t>
      </w:r>
      <w:r>
        <w:rPr>
          <w:snapToGrid w:val="0"/>
        </w:rPr>
        <w:t>.</w:t>
      </w:r>
      <w:r>
        <w:rPr>
          <w:snapToGrid w:val="0"/>
        </w:rPr>
        <w:tab/>
        <w:t>Order for variation of unit entitlement</w:t>
      </w:r>
      <w:bookmarkEnd w:id="589"/>
      <w:bookmarkEnd w:id="590"/>
    </w:p>
    <w:p>
      <w:pPr>
        <w:pStyle w:val="Subsection"/>
        <w:keepNext/>
        <w:rPr>
          <w:snapToGrid w:val="0"/>
        </w:rPr>
      </w:pPr>
      <w:r>
        <w:rPr>
          <w:snapToGrid w:val="0"/>
        </w:rPr>
        <w:tab/>
        <w:t>(1)</w:t>
      </w:r>
      <w:r>
        <w:rPr>
          <w:snapToGrid w:val="0"/>
        </w:rPr>
        <w:tab/>
        <w:t>An application to the State Administrative Tribunal for an order under this section may be made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rStyle w:val="CharDefText"/>
        </w:rPr>
        <w:t>value</w:t>
      </w:r>
      <w:r>
        <w:rPr>
          <w:snapToGrid w:val="0"/>
        </w:rPr>
        <w:t xml:space="preserve"> are to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[Section 103H inserted by No. 58 of 1995 s. 77; amended by No. 55 of 2004 s. 1143, 1156 and 1158.]</w:t>
      </w:r>
    </w:p>
    <w:p>
      <w:pPr>
        <w:pStyle w:val="Heading5"/>
        <w:rPr>
          <w:snapToGrid w:val="0"/>
        </w:rPr>
      </w:pPr>
      <w:bookmarkStart w:id="591" w:name="_Toc381881032"/>
      <w:bookmarkStart w:id="592" w:name="_Toc476927405"/>
      <w:r>
        <w:rPr>
          <w:rStyle w:val="CharSectno"/>
        </w:rPr>
        <w:t>103I</w:t>
      </w:r>
      <w:r>
        <w:rPr>
          <w:snapToGrid w:val="0"/>
        </w:rPr>
        <w:t>.</w:t>
      </w:r>
      <w:r>
        <w:rPr>
          <w:snapToGrid w:val="0"/>
        </w:rPr>
        <w:tab/>
        <w:t>Order for payment of penalty</w:t>
      </w:r>
      <w:bookmarkEnd w:id="591"/>
      <w:bookmarkEnd w:id="592"/>
    </w:p>
    <w:p>
      <w:pPr>
        <w:pStyle w:val="Subsection"/>
        <w:keepNext/>
        <w:keepLines/>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rPr>
          <w:snapToGrid w:val="0"/>
        </w:rPr>
      </w:pPr>
      <w:r>
        <w:rPr>
          <w:snapToGrid w:val="0"/>
        </w:rPr>
        <w:tab/>
        <w:t>(2)</w:t>
      </w:r>
      <w:r>
        <w:rPr>
          <w:snapToGrid w:val="0"/>
        </w:rPr>
        <w:tab/>
        <w:t>An order under this section is an order that a proprietor shall pay to the strata company one or both of the following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w:t>
      </w:r>
    </w:p>
    <w:p>
      <w:pPr>
        <w:pStyle w:val="Indenta"/>
        <w:rPr>
          <w:snapToGrid w:val="0"/>
        </w:rPr>
      </w:pPr>
      <w:r>
        <w:rPr>
          <w:snapToGrid w:val="0"/>
        </w:rPr>
        <w:tab/>
        <w:t>(a)</w:t>
      </w:r>
      <w:r>
        <w:rPr>
          <w:snapToGrid w:val="0"/>
        </w:rPr>
        <w:tab/>
        <w:t>the by</w:t>
      </w:r>
      <w:r>
        <w:rPr>
          <w:snapToGrid w:val="0"/>
        </w:rPr>
        <w:noBreakHyphen/>
        <w:t>law specifies a penalty for breach of it; and</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[Section 103I inserted by No. 58 of 1995 s. 77; No. 55 of 2004 s. 1156 and 1158.]</w:t>
      </w:r>
    </w:p>
    <w:p>
      <w:pPr>
        <w:pStyle w:val="Heading5"/>
        <w:rPr>
          <w:snapToGrid w:val="0"/>
        </w:rPr>
      </w:pPr>
      <w:bookmarkStart w:id="593" w:name="_Toc381881033"/>
      <w:bookmarkStart w:id="594" w:name="_Toc476927406"/>
      <w:r>
        <w:rPr>
          <w:rStyle w:val="CharSectno"/>
        </w:rPr>
        <w:t>103J</w:t>
      </w:r>
      <w:r>
        <w:rPr>
          <w:snapToGrid w:val="0"/>
        </w:rPr>
        <w:t>.</w:t>
      </w:r>
      <w:r>
        <w:rPr>
          <w:snapToGrid w:val="0"/>
        </w:rPr>
        <w:tab/>
        <w:t>Order for exemption from s. 54 or 55(1)</w:t>
      </w:r>
      <w:bookmarkEnd w:id="593"/>
      <w:bookmarkEnd w:id="594"/>
    </w:p>
    <w:p>
      <w:pPr>
        <w:pStyle w:val="Subsection"/>
        <w:keepNext/>
        <w:rPr>
          <w:snapToGrid w:val="0"/>
        </w:rPr>
      </w:pPr>
      <w:r>
        <w:rPr>
          <w:snapToGrid w:val="0"/>
        </w:rPr>
        <w:tab/>
        <w:t>(1)</w:t>
      </w:r>
      <w:r>
        <w:rPr>
          <w:snapToGrid w:val="0"/>
        </w:rPr>
        <w:tab/>
        <w:t>An application to the State Administrative Tribunal for an order under this section may be made by —</w:t>
      </w:r>
    </w:p>
    <w:p>
      <w:pPr>
        <w:pStyle w:val="Indenta"/>
        <w:spacing w:before="70"/>
        <w:rPr>
          <w:snapToGrid w:val="0"/>
        </w:rPr>
      </w:pPr>
      <w:r>
        <w:rPr>
          <w:snapToGrid w:val="0"/>
        </w:rPr>
        <w:tab/>
        <w:t>(a)</w:t>
      </w:r>
      <w:r>
        <w:rPr>
          <w:snapToGrid w:val="0"/>
        </w:rPr>
        <w:tab/>
        <w:t>a strata company; or</w:t>
      </w:r>
    </w:p>
    <w:p>
      <w:pPr>
        <w:pStyle w:val="Indenta"/>
        <w:keepNext/>
        <w:spacing w:before="70"/>
        <w:rPr>
          <w:snapToGrid w:val="0"/>
        </w:rPr>
      </w:pPr>
      <w:r>
        <w:rPr>
          <w:snapToGrid w:val="0"/>
        </w:rPr>
        <w:tab/>
        <w:t>(b)</w:t>
      </w:r>
      <w:r>
        <w:rPr>
          <w:snapToGrid w:val="0"/>
        </w:rPr>
        <w:tab/>
        <w:t>a proprietor of a lot in a strata scheme if —</w:t>
      </w:r>
    </w:p>
    <w:p>
      <w:pPr>
        <w:pStyle w:val="Indenti"/>
        <w:spacing w:before="70"/>
        <w:rPr>
          <w:snapToGrid w:val="0"/>
        </w:rPr>
      </w:pPr>
      <w:r>
        <w:rPr>
          <w:snapToGrid w:val="0"/>
        </w:rPr>
        <w:tab/>
        <w:t>(i)</w:t>
      </w:r>
      <w:r>
        <w:rPr>
          <w:snapToGrid w:val="0"/>
        </w:rPr>
        <w:tab/>
        <w:t>a general meeting of the strata company has been duly convened; but</w:t>
      </w:r>
    </w:p>
    <w:p>
      <w:pPr>
        <w:pStyle w:val="Indenti"/>
        <w:spacing w:before="70"/>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12(4)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[Section 103J inserted by No. 58 of 1995 s. 77; amended by No. 61 of 1996 s. 33; No. 24 of 2000 s. 40(11); No. 74 of 2003 s. 112(14); No. 55 of 2004 s. 1156(1) and 1158.]</w:t>
      </w:r>
    </w:p>
    <w:p>
      <w:pPr>
        <w:pStyle w:val="Heading5"/>
        <w:rPr>
          <w:snapToGrid w:val="0"/>
        </w:rPr>
      </w:pPr>
      <w:bookmarkStart w:id="595" w:name="_Toc381881034"/>
      <w:bookmarkStart w:id="596" w:name="_Toc476927407"/>
      <w:r>
        <w:rPr>
          <w:rStyle w:val="CharSectno"/>
        </w:rPr>
        <w:t>103K</w:t>
      </w:r>
      <w:r>
        <w:rPr>
          <w:snapToGrid w:val="0"/>
        </w:rPr>
        <w:t>.</w:t>
      </w:r>
      <w:r>
        <w:rPr>
          <w:snapToGrid w:val="0"/>
        </w:rPr>
        <w:tab/>
        <w:t>Order for compliance with s. 54A</w:t>
      </w:r>
      <w:bookmarkEnd w:id="595"/>
      <w:bookmarkEnd w:id="596"/>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rPr>
          <w:snapToGrid w:val="0"/>
        </w:rPr>
      </w:pPr>
      <w:r>
        <w:rPr>
          <w:snapToGrid w:val="0"/>
        </w:rPr>
        <w:tab/>
        <w:t>(2)</w:t>
      </w:r>
      <w:r>
        <w:rPr>
          <w:snapToGrid w:val="0"/>
        </w:rPr>
        <w:tab/>
        <w:t>An order under this section is an order that a proprietor of a lot —</w:t>
      </w:r>
    </w:p>
    <w:p>
      <w:pPr>
        <w:pStyle w:val="Indenta"/>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rPr>
          <w:snapToGrid w:val="0"/>
        </w:rPr>
      </w:pPr>
      <w:r>
        <w:rPr>
          <w:snapToGrid w:val="0"/>
        </w:rPr>
        <w:tab/>
        <w:t>(b)</w:t>
      </w:r>
      <w:r>
        <w:rPr>
          <w:snapToGrid w:val="0"/>
        </w:rPr>
        <w:tab/>
        <w:t>carry out any specified work required by a notice given under section 54A(2).</w:t>
      </w:r>
    </w:p>
    <w:p>
      <w:pPr>
        <w:pStyle w:val="Subsection"/>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w:t>
      </w:r>
    </w:p>
    <w:p>
      <w:pPr>
        <w:pStyle w:val="Indenta"/>
        <w:spacing w:before="60"/>
        <w:rPr>
          <w:snapToGrid w:val="0"/>
        </w:rPr>
      </w:pPr>
      <w:r>
        <w:rPr>
          <w:snapToGrid w:val="0"/>
        </w:rPr>
        <w:tab/>
        <w:t>(a)</w:t>
      </w:r>
      <w:r>
        <w:rPr>
          <w:snapToGrid w:val="0"/>
        </w:rPr>
        <w:tab/>
        <w:t>a notice referred to in section 54A(1) has been served on the proprietor; and</w:t>
      </w:r>
    </w:p>
    <w:p>
      <w:pPr>
        <w:pStyle w:val="Indenta"/>
        <w:spacing w:before="60"/>
        <w:rPr>
          <w:snapToGrid w:val="0"/>
        </w:rPr>
      </w:pPr>
      <w:r>
        <w:rPr>
          <w:snapToGrid w:val="0"/>
        </w:rPr>
        <w:tab/>
        <w:t>(b)</w:t>
      </w:r>
      <w:r>
        <w:rPr>
          <w:snapToGrid w:val="0"/>
        </w:rPr>
        <w:tab/>
        <w:t>section 54A(3) does not apply; and</w:t>
      </w:r>
    </w:p>
    <w:p>
      <w:pPr>
        <w:pStyle w:val="Indenta"/>
        <w:spacing w:before="6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spacing w:before="14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w:t>
      </w:r>
    </w:p>
    <w:p>
      <w:pPr>
        <w:pStyle w:val="Indenta"/>
        <w:spacing w:before="60"/>
        <w:rPr>
          <w:snapToGrid w:val="0"/>
        </w:rPr>
      </w:pPr>
      <w:r>
        <w:rPr>
          <w:snapToGrid w:val="0"/>
        </w:rPr>
        <w:tab/>
        <w:t>(a)</w:t>
      </w:r>
      <w:r>
        <w:rPr>
          <w:snapToGrid w:val="0"/>
        </w:rPr>
        <w:tab/>
        <w:t>a notice referred to in section 54A(2) has been served on the proprietor; and</w:t>
      </w:r>
    </w:p>
    <w:p>
      <w:pPr>
        <w:pStyle w:val="Indenta"/>
        <w:spacing w:before="60"/>
        <w:rPr>
          <w:snapToGrid w:val="0"/>
        </w:rPr>
      </w:pPr>
      <w:r>
        <w:rPr>
          <w:snapToGrid w:val="0"/>
        </w:rPr>
        <w:tab/>
        <w:t>(b)</w:t>
      </w:r>
      <w:r>
        <w:rPr>
          <w:snapToGrid w:val="0"/>
        </w:rPr>
        <w:tab/>
        <w:t>section 54A(3) or (4) does not apply; and</w:t>
      </w:r>
    </w:p>
    <w:p>
      <w:pPr>
        <w:pStyle w:val="Indenta"/>
        <w:spacing w:before="6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130"/>
        <w:rPr>
          <w:snapToGrid w:val="0"/>
        </w:rPr>
      </w:pPr>
      <w:r>
        <w:rPr>
          <w:snapToGrid w:val="0"/>
        </w:rPr>
        <w:tab/>
        <w:t>(5)</w:t>
      </w:r>
      <w:r>
        <w:rPr>
          <w:snapToGrid w:val="0"/>
        </w:rPr>
        <w:tab/>
        <w:t>An order referred to in subsection (2)(b) shall specify a time by which the work is to be carried out.</w:t>
      </w:r>
    </w:p>
    <w:p>
      <w:pPr>
        <w:pStyle w:val="Subsection"/>
        <w:spacing w:before="13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spacing w:before="100"/>
      </w:pPr>
      <w:r>
        <w:tab/>
        <w:t>[Section 103K inserted by No. 58 of 1995 s. 77; amended by No. 55 of 2004 s. 1156(1) and (3) and 1158.]</w:t>
      </w:r>
    </w:p>
    <w:p>
      <w:pPr>
        <w:pStyle w:val="Heading5"/>
        <w:rPr>
          <w:snapToGrid w:val="0"/>
        </w:rPr>
      </w:pPr>
      <w:bookmarkStart w:id="597" w:name="_Toc381881035"/>
      <w:bookmarkStart w:id="598" w:name="_Toc476927408"/>
      <w:r>
        <w:rPr>
          <w:rStyle w:val="CharSectno"/>
        </w:rPr>
        <w:t>103L</w:t>
      </w:r>
      <w:r>
        <w:rPr>
          <w:snapToGrid w:val="0"/>
        </w:rPr>
        <w:t>.</w:t>
      </w:r>
      <w:r>
        <w:rPr>
          <w:snapToGrid w:val="0"/>
        </w:rPr>
        <w:tab/>
        <w:t>Order to contribute to insurance premium paid by proprietor</w:t>
      </w:r>
      <w:bookmarkEnd w:id="597"/>
      <w:bookmarkEnd w:id="598"/>
    </w:p>
    <w:p>
      <w:pPr>
        <w:pStyle w:val="Subsection"/>
        <w:spacing w:before="130"/>
        <w:rPr>
          <w:snapToGrid w:val="0"/>
        </w:rPr>
      </w:pPr>
      <w:r>
        <w:rPr>
          <w:snapToGrid w:val="0"/>
        </w:rPr>
        <w:tab/>
        <w:t>(1)</w:t>
      </w:r>
      <w:r>
        <w:rPr>
          <w:snapToGrid w:val="0"/>
        </w:rPr>
        <w:tab/>
        <w:t>A person who as a proprietor has paid a premium or other charge —</w:t>
      </w:r>
    </w:p>
    <w:p>
      <w:pPr>
        <w:pStyle w:val="Indenta"/>
        <w:spacing w:before="60"/>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 or</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rPr>
          <w:snapToGrid w:val="0"/>
        </w:rPr>
      </w:pPr>
      <w:r>
        <w:rPr>
          <w:snapToGrid w:val="0"/>
        </w:rPr>
        <w:tab/>
        <w:t>(c)</w:t>
      </w:r>
      <w:r>
        <w:rPr>
          <w:snapToGrid w:val="0"/>
        </w:rPr>
        <w:tab/>
        <w:t>where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paying the amount of another proprietor’s share under section 53E.</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1156(1) and (3) and 1158.]</w:t>
      </w:r>
    </w:p>
    <w:p>
      <w:pPr>
        <w:pStyle w:val="Heading5"/>
        <w:rPr>
          <w:snapToGrid w:val="0"/>
        </w:rPr>
      </w:pPr>
      <w:bookmarkStart w:id="599" w:name="_Toc381881036"/>
      <w:bookmarkStart w:id="600" w:name="_Toc476927409"/>
      <w:r>
        <w:rPr>
          <w:rStyle w:val="CharSectno"/>
        </w:rPr>
        <w:t>103M</w:t>
      </w:r>
      <w:r>
        <w:rPr>
          <w:snapToGrid w:val="0"/>
        </w:rPr>
        <w:t>.</w:t>
      </w:r>
      <w:r>
        <w:rPr>
          <w:snapToGrid w:val="0"/>
        </w:rPr>
        <w:tab/>
        <w:t>Order as to resolution under s. 21F or 21Q</w:t>
      </w:r>
      <w:bookmarkEnd w:id="599"/>
      <w:bookmarkEnd w:id="600"/>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rPr>
          <w:snapToGrid w:val="0"/>
        </w:rPr>
      </w:pPr>
      <w:r>
        <w:rPr>
          <w:snapToGrid w:val="0"/>
        </w:rPr>
        <w:tab/>
        <w:t>(3)</w:t>
      </w:r>
      <w:r>
        <w:rPr>
          <w:snapToGrid w:val="0"/>
        </w:rPr>
        <w:tab/>
        <w:t>An order under this section is an order that a resolution —</w:t>
      </w:r>
    </w:p>
    <w:p>
      <w:pPr>
        <w:pStyle w:val="Indenta"/>
        <w:rPr>
          <w:snapToGrid w:val="0"/>
        </w:rPr>
      </w:pPr>
      <w:r>
        <w:rPr>
          <w:snapToGrid w:val="0"/>
        </w:rPr>
        <w:tab/>
        <w:t>(a)</w:t>
      </w:r>
      <w:r>
        <w:rPr>
          <w:snapToGrid w:val="0"/>
        </w:rPr>
        <w:tab/>
        <w:t>of the kind described in section 21F or 21Q; and</w:t>
      </w:r>
    </w:p>
    <w:p>
      <w:pPr>
        <w:pStyle w:val="Indenta"/>
        <w:rPr>
          <w:snapToGrid w:val="0"/>
        </w:rPr>
      </w:pPr>
      <w:r>
        <w:rPr>
          <w:snapToGrid w:val="0"/>
        </w:rPr>
        <w:tab/>
        <w:t>(b)</w:t>
      </w:r>
      <w:r>
        <w:rPr>
          <w:snapToGrid w:val="0"/>
        </w:rPr>
        <w:tab/>
        <w:t>specified in the order,</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[Section 103M inserted by No. 61 of 1996 s. 35; No. 55 of 2004 s. 1156(1) and (3) and 1158.]</w:t>
      </w:r>
    </w:p>
    <w:p>
      <w:pPr>
        <w:pStyle w:val="Heading5"/>
        <w:rPr>
          <w:snapToGrid w:val="0"/>
        </w:rPr>
      </w:pPr>
      <w:bookmarkStart w:id="601" w:name="_Toc381881037"/>
      <w:bookmarkStart w:id="602" w:name="_Toc476927410"/>
      <w:r>
        <w:rPr>
          <w:rStyle w:val="CharSectno"/>
        </w:rPr>
        <w:t>103N</w:t>
      </w:r>
      <w:r>
        <w:rPr>
          <w:snapToGrid w:val="0"/>
        </w:rPr>
        <w:t>.</w:t>
      </w:r>
      <w:r>
        <w:rPr>
          <w:snapToGrid w:val="0"/>
        </w:rPr>
        <w:tab/>
        <w:t>Order for extension of period for reinstatement of building under s. 3AB(2)</w:t>
      </w:r>
      <w:bookmarkEnd w:id="601"/>
      <w:bookmarkEnd w:id="602"/>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spacing w:before="100"/>
      </w:pPr>
      <w:r>
        <w:tab/>
        <w:t>[Section 103N inserted by No. 61 of 1996 s. 35; No. 55 of 2004 s. 1156(1) and (3) and 1158.]</w:t>
      </w:r>
    </w:p>
    <w:p>
      <w:pPr>
        <w:pStyle w:val="Heading5"/>
        <w:rPr>
          <w:snapToGrid w:val="0"/>
        </w:rPr>
      </w:pPr>
      <w:bookmarkStart w:id="603" w:name="_Toc381881038"/>
      <w:bookmarkStart w:id="604" w:name="_Toc476927411"/>
      <w:r>
        <w:rPr>
          <w:rStyle w:val="CharSectno"/>
        </w:rPr>
        <w:t>103O</w:t>
      </w:r>
      <w:r>
        <w:rPr>
          <w:snapToGrid w:val="0"/>
        </w:rPr>
        <w:t>.</w:t>
      </w:r>
      <w:r>
        <w:rPr>
          <w:snapToGrid w:val="0"/>
        </w:rPr>
        <w:tab/>
        <w:t>Order for extension of period for reinstatement of building under regulations</w:t>
      </w:r>
      <w:bookmarkEnd w:id="603"/>
      <w:bookmarkEnd w:id="604"/>
    </w:p>
    <w:p>
      <w:pPr>
        <w:pStyle w:val="Subsection"/>
        <w:keepNext/>
        <w:rPr>
          <w:snapToGrid w:val="0"/>
        </w:rPr>
      </w:pPr>
      <w:r>
        <w:rPr>
          <w:snapToGrid w:val="0"/>
        </w:rPr>
        <w:tab/>
        <w:t>(1)</w:t>
      </w:r>
      <w:r>
        <w:rPr>
          <w:snapToGrid w:val="0"/>
        </w:rPr>
        <w:tab/>
        <w:t>If —</w:t>
      </w:r>
    </w:p>
    <w:p>
      <w:pPr>
        <w:pStyle w:val="Indenta"/>
        <w:rPr>
          <w:snapToGrid w:val="0"/>
        </w:rPr>
      </w:pPr>
      <w:r>
        <w:rPr>
          <w:snapToGrid w:val="0"/>
        </w:rPr>
        <w:tab/>
        <w:t>(a)</w:t>
      </w:r>
      <w:r>
        <w:rPr>
          <w:snapToGrid w:val="0"/>
        </w:rPr>
        <w:tab/>
        <w:t>a part of a building to which an easement under section 5D relates has been destroyed; and</w:t>
      </w:r>
    </w:p>
    <w:p>
      <w:pPr>
        <w:pStyle w:val="Indenta"/>
        <w:keepNext/>
        <w:rPr>
          <w:snapToGrid w:val="0"/>
        </w:rPr>
      </w:pPr>
      <w:r>
        <w:rPr>
          <w:snapToGrid w:val="0"/>
        </w:rPr>
        <w:tab/>
        <w:t>(b)</w:t>
      </w:r>
      <w:r>
        <w:rPr>
          <w:snapToGrid w:val="0"/>
        </w:rPr>
        <w:tab/>
        <w:t>regulations made under section 5H —</w:t>
      </w:r>
    </w:p>
    <w:p>
      <w:pPr>
        <w:pStyle w:val="Indenti"/>
        <w:rPr>
          <w:snapToGrid w:val="0"/>
        </w:rPr>
      </w:pPr>
      <w:r>
        <w:rPr>
          <w:snapToGrid w:val="0"/>
        </w:rPr>
        <w:tab/>
        <w:t>(i)</w:t>
      </w:r>
      <w:r>
        <w:rPr>
          <w:snapToGrid w:val="0"/>
        </w:rPr>
        <w:tab/>
        <w:t>provide for reinstatement of the part to be completed within a specified period; but</w:t>
      </w:r>
    </w:p>
    <w:p>
      <w:pPr>
        <w:pStyle w:val="Indenti"/>
        <w:keepNext/>
        <w:rPr>
          <w:snapToGrid w:val="0"/>
        </w:rPr>
      </w:pPr>
      <w:r>
        <w:rPr>
          <w:snapToGrid w:val="0"/>
        </w:rPr>
        <w:tab/>
        <w:t>(ii)</w:t>
      </w:r>
      <w:r>
        <w:rPr>
          <w:snapToGrid w:val="0"/>
        </w:rPr>
        <w:tab/>
        <w:t>authorise the State Administrative Tribunal to extend the period allowed for reinstatement,</w:t>
      </w:r>
    </w:p>
    <w:p>
      <w:pPr>
        <w:pStyle w:val="Subsection"/>
        <w:spacing w:before="120"/>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103O inserted by No. 61 of 1996 s. 35; amended by No. 55 of 2004 s. 1156(1) and (3) and 1158.]</w:t>
      </w:r>
    </w:p>
    <w:p>
      <w:pPr>
        <w:pStyle w:val="Heading5"/>
        <w:rPr>
          <w:snapToGrid w:val="0"/>
        </w:rPr>
      </w:pPr>
      <w:bookmarkStart w:id="605" w:name="_Toc381881039"/>
      <w:bookmarkStart w:id="606" w:name="_Toc476927412"/>
      <w:r>
        <w:rPr>
          <w:rStyle w:val="CharSectno"/>
        </w:rPr>
        <w:t>103P</w:t>
      </w:r>
      <w:r>
        <w:rPr>
          <w:snapToGrid w:val="0"/>
        </w:rPr>
        <w:t>.</w:t>
      </w:r>
      <w:r>
        <w:rPr>
          <w:snapToGrid w:val="0"/>
        </w:rPr>
        <w:tab/>
        <w:t>Order reversing the effect of s. 21M</w:t>
      </w:r>
      <w:bookmarkEnd w:id="605"/>
      <w:bookmarkEnd w:id="606"/>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lodge an objection under section 21O; and</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[Section 103P inserted by No. 61 of 1996 s. 35; amended by No. 55 of 2004 s. 1156(1) and (3) and 1158.]</w:t>
      </w:r>
    </w:p>
    <w:p>
      <w:pPr>
        <w:pStyle w:val="Heading5"/>
        <w:rPr>
          <w:snapToGrid w:val="0"/>
        </w:rPr>
      </w:pPr>
      <w:bookmarkStart w:id="607" w:name="_Toc381881040"/>
      <w:bookmarkStart w:id="608" w:name="_Toc476927413"/>
      <w:r>
        <w:rPr>
          <w:rStyle w:val="CharSectno"/>
        </w:rPr>
        <w:t>103Q</w:t>
      </w:r>
      <w:r>
        <w:rPr>
          <w:snapToGrid w:val="0"/>
        </w:rPr>
        <w:t>.</w:t>
      </w:r>
      <w:r>
        <w:rPr>
          <w:snapToGrid w:val="0"/>
        </w:rPr>
        <w:tab/>
        <w:t>Order rectifying failure to give notice under s. 123A</w:t>
      </w:r>
      <w:bookmarkEnd w:id="607"/>
      <w:bookmarkEnd w:id="608"/>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spacing w:before="180"/>
        <w:rPr>
          <w:snapToGrid w:val="0"/>
        </w:rPr>
      </w:pPr>
      <w:r>
        <w:rPr>
          <w:snapToGrid w:val="0"/>
        </w:rPr>
        <w:tab/>
      </w:r>
      <w:r>
        <w:rPr>
          <w:snapToGrid w:val="0"/>
        </w:rPr>
        <w:tab/>
        <w:t>may apply to the State Administrative Tribunal for an order under this section.</w:t>
      </w:r>
    </w:p>
    <w:p>
      <w:pPr>
        <w:pStyle w:val="Subsection"/>
        <w:keepNext/>
        <w:spacing w:before="180"/>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80"/>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 and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spacing w:before="180"/>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spacing w:before="180"/>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103Q inserted by No. 61 of 1996 s. 35; amended by No. 55 of 2004 s. 1156(1) and (3) and 1158.]</w:t>
      </w:r>
    </w:p>
    <w:p>
      <w:pPr>
        <w:pStyle w:val="Heading5"/>
        <w:rPr>
          <w:snapToGrid w:val="0"/>
        </w:rPr>
      </w:pPr>
      <w:bookmarkStart w:id="609" w:name="_Toc381881041"/>
      <w:bookmarkStart w:id="610" w:name="_Toc476927414"/>
      <w:r>
        <w:rPr>
          <w:rStyle w:val="CharSectno"/>
        </w:rPr>
        <w:t>103R</w:t>
      </w:r>
      <w:r>
        <w:rPr>
          <w:snapToGrid w:val="0"/>
        </w:rPr>
        <w:t>.</w:t>
      </w:r>
      <w:r>
        <w:rPr>
          <w:snapToGrid w:val="0"/>
        </w:rPr>
        <w:tab/>
        <w:t>Order rectifying failure to give notice under s. 123C</w:t>
      </w:r>
      <w:bookmarkEnd w:id="609"/>
      <w:bookmarkEnd w:id="610"/>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w:t>
      </w:r>
    </w:p>
    <w:p>
      <w:pPr>
        <w:pStyle w:val="Indenta"/>
        <w:spacing w:before="60"/>
        <w:rPr>
          <w:snapToGrid w:val="0"/>
        </w:rPr>
      </w:pPr>
      <w:r>
        <w:rPr>
          <w:snapToGrid w:val="0"/>
        </w:rPr>
        <w:tab/>
        <w:t>(a)</w:t>
      </w:r>
      <w:r>
        <w:rPr>
          <w:snapToGrid w:val="0"/>
        </w:rPr>
        <w:tab/>
        <w:t>give notice under subsection (3) of that section; and</w:t>
      </w:r>
    </w:p>
    <w:p>
      <w:pPr>
        <w:pStyle w:val="Indenta"/>
        <w:spacing w:before="60"/>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spacing w:before="60"/>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spacing w:before="60"/>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w:t>
      </w:r>
    </w:p>
    <w:p>
      <w:pPr>
        <w:pStyle w:val="Indenta"/>
        <w:spacing w:before="60"/>
        <w:rPr>
          <w:snapToGrid w:val="0"/>
        </w:rPr>
      </w:pPr>
      <w:r>
        <w:rPr>
          <w:snapToGrid w:val="0"/>
        </w:rPr>
        <w:tab/>
        <w:t>(a)</w:t>
      </w:r>
      <w:r>
        <w:rPr>
          <w:snapToGrid w:val="0"/>
        </w:rPr>
        <w:tab/>
        <w:t>the applicant was unable because of exceptional circumstances to do the things mentioned in subsection (1)(a) and (b) before the expiry of the transition period; and</w:t>
      </w:r>
    </w:p>
    <w:p>
      <w:pPr>
        <w:pStyle w:val="Indenta"/>
        <w:spacing w:before="60"/>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spacing w:before="60"/>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r>
      <w:r>
        <w:rPr>
          <w:snapToGrid w:val="0"/>
        </w:rPr>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103R inserted by No. 61 of 1996 s. 35; amended by No. 55 of 2004 s. 1156(1) and (3) and 1158.]</w:t>
      </w:r>
    </w:p>
    <w:p>
      <w:pPr>
        <w:pStyle w:val="Heading5"/>
        <w:keepLines w:val="0"/>
        <w:rPr>
          <w:snapToGrid w:val="0"/>
        </w:rPr>
      </w:pPr>
      <w:bookmarkStart w:id="611" w:name="_Toc381881042"/>
      <w:bookmarkStart w:id="612" w:name="_Toc476927415"/>
      <w:r>
        <w:rPr>
          <w:rStyle w:val="CharSectno"/>
        </w:rPr>
        <w:t>104</w:t>
      </w:r>
      <w:r>
        <w:rPr>
          <w:snapToGrid w:val="0"/>
        </w:rPr>
        <w:t>.</w:t>
      </w:r>
      <w:r>
        <w:rPr>
          <w:snapToGrid w:val="0"/>
        </w:rPr>
        <w:tab/>
        <w:t>Copy of order to be served</w:t>
      </w:r>
      <w:bookmarkEnd w:id="611"/>
      <w:bookmarkEnd w:id="612"/>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w:t>
      </w:r>
    </w:p>
    <w:p>
      <w:pPr>
        <w:pStyle w:val="Indenta"/>
        <w:rPr>
          <w:snapToGrid w:val="0"/>
        </w:rPr>
      </w:pPr>
      <w:r>
        <w:rPr>
          <w:snapToGrid w:val="0"/>
        </w:rPr>
        <w:tab/>
        <w:t>(a)</w:t>
      </w:r>
      <w:r>
        <w:rPr>
          <w:snapToGrid w:val="0"/>
        </w:rPr>
        <w:tab/>
        <w:t>the strata company for the scheme to which the order relates; and</w:t>
      </w:r>
    </w:p>
    <w:p>
      <w:pPr>
        <w:pStyle w:val="Indenta"/>
        <w:rPr>
          <w:snapToGrid w:val="0"/>
        </w:rPr>
      </w:pPr>
      <w:r>
        <w:rPr>
          <w:snapToGrid w:val="0"/>
        </w:rPr>
        <w:tab/>
        <w:t>(b)</w:t>
      </w:r>
      <w:r>
        <w:rPr>
          <w:snapToGrid w:val="0"/>
        </w:rPr>
        <w:tab/>
        <w:t>the applicant for the order; and</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keepNext/>
        <w:rPr>
          <w:snapToGrid w:val="0"/>
        </w:rPr>
      </w:pPr>
      <w:r>
        <w:rPr>
          <w:snapToGrid w:val="0"/>
        </w:rPr>
        <w:tab/>
        <w:t>(3)</w:t>
      </w:r>
      <w:r>
        <w:rPr>
          <w:snapToGrid w:val="0"/>
        </w:rPr>
        <w:tab/>
        <w:t xml:space="preserve">In this section, </w:t>
      </w:r>
      <w:r>
        <w:rPr>
          <w:rStyle w:val="CharDefText"/>
        </w:rPr>
        <w:t>order</w:t>
      </w:r>
      <w:r>
        <w:rPr>
          <w:snapToGrid w:val="0"/>
        </w:rPr>
        <w:t xml:space="preserve"> includes a variation of an order, an interim order and a renewal or revocation of an interim order.</w:t>
      </w:r>
    </w:p>
    <w:p>
      <w:pPr>
        <w:pStyle w:val="Footnotesection"/>
      </w:pPr>
      <w:r>
        <w:tab/>
        <w:t>[Section 104 amended by No. 58 of 1995 s. 96; No. 55 of 2004 s. 1144 and 1156(3).]</w:t>
      </w:r>
    </w:p>
    <w:p>
      <w:pPr>
        <w:pStyle w:val="Heading3"/>
      </w:pPr>
      <w:bookmarkStart w:id="613" w:name="_Toc381881043"/>
      <w:bookmarkStart w:id="614" w:name="_Toc418081773"/>
      <w:bookmarkStart w:id="615" w:name="_Toc418082106"/>
      <w:bookmarkStart w:id="616" w:name="_Toc418087895"/>
      <w:bookmarkStart w:id="617" w:name="_Toc421012435"/>
      <w:bookmarkStart w:id="618" w:name="_Toc422408990"/>
      <w:bookmarkStart w:id="619" w:name="_Toc476927416"/>
      <w:r>
        <w:rPr>
          <w:rStyle w:val="CharDivNo"/>
        </w:rPr>
        <w:t>Division 4</w:t>
      </w:r>
      <w:r>
        <w:rPr>
          <w:snapToGrid w:val="0"/>
        </w:rPr>
        <w:t> — </w:t>
      </w:r>
      <w:r>
        <w:rPr>
          <w:rStyle w:val="CharDivText"/>
        </w:rPr>
        <w:t>Appeals</w:t>
      </w:r>
      <w:bookmarkEnd w:id="613"/>
      <w:bookmarkEnd w:id="614"/>
      <w:bookmarkEnd w:id="615"/>
      <w:bookmarkEnd w:id="616"/>
      <w:bookmarkEnd w:id="617"/>
      <w:bookmarkEnd w:id="618"/>
      <w:bookmarkEnd w:id="619"/>
    </w:p>
    <w:p>
      <w:pPr>
        <w:pStyle w:val="Footnoteheading"/>
      </w:pPr>
      <w:r>
        <w:tab/>
        <w:t>[Heading amended by No. 42 of 1986 s. 5.]</w:t>
      </w:r>
    </w:p>
    <w:p>
      <w:pPr>
        <w:pStyle w:val="Ednotesection"/>
        <w:spacing w:before="180"/>
        <w:ind w:left="890" w:hanging="890"/>
      </w:pPr>
      <w:r>
        <w:t>[</w:t>
      </w:r>
      <w:r>
        <w:rPr>
          <w:b/>
        </w:rPr>
        <w:t>105</w:t>
      </w:r>
      <w:r>
        <w:rPr>
          <w:b/>
        </w:rPr>
        <w:noBreakHyphen/>
        <w:t>107.</w:t>
      </w:r>
      <w:r>
        <w:tab/>
        <w:t>Deleted by No. 55 of 2004 s. 1145.]</w:t>
      </w:r>
    </w:p>
    <w:p>
      <w:pPr>
        <w:pStyle w:val="Ednotesection"/>
        <w:spacing w:before="180"/>
        <w:ind w:left="890" w:hanging="890"/>
      </w:pPr>
      <w:r>
        <w:t>[</w:t>
      </w:r>
      <w:r>
        <w:rPr>
          <w:b/>
        </w:rPr>
        <w:t>108, 109.</w:t>
      </w:r>
      <w:r>
        <w:tab/>
        <w:t>Deleted by No. 42 of 1986 s. 6.]</w:t>
      </w:r>
    </w:p>
    <w:p>
      <w:pPr>
        <w:pStyle w:val="Ednotesection"/>
        <w:spacing w:before="180"/>
        <w:ind w:left="890" w:hanging="890"/>
      </w:pPr>
      <w:r>
        <w:t>[</w:t>
      </w:r>
      <w:r>
        <w:rPr>
          <w:b/>
        </w:rPr>
        <w:t>110.</w:t>
      </w:r>
      <w:r>
        <w:rPr>
          <w:b/>
        </w:rPr>
        <w:tab/>
      </w:r>
      <w:r>
        <w:t>Deleted by No. 55 of 2004 s. 1146.]</w:t>
      </w:r>
    </w:p>
    <w:p>
      <w:pPr>
        <w:pStyle w:val="Heading5"/>
        <w:rPr>
          <w:snapToGrid w:val="0"/>
        </w:rPr>
      </w:pPr>
      <w:bookmarkStart w:id="620" w:name="_Toc381881044"/>
      <w:bookmarkStart w:id="621" w:name="_Toc476927417"/>
      <w:r>
        <w:rPr>
          <w:rStyle w:val="CharSectno"/>
        </w:rPr>
        <w:t>111</w:t>
      </w:r>
      <w:r>
        <w:rPr>
          <w:snapToGrid w:val="0"/>
        </w:rPr>
        <w:t>.</w:t>
      </w:r>
      <w:r>
        <w:rPr>
          <w:snapToGrid w:val="0"/>
        </w:rPr>
        <w:tab/>
        <w:t>Expenses of strata company on appeal</w:t>
      </w:r>
      <w:bookmarkEnd w:id="620"/>
      <w:bookmarkEnd w:id="621"/>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deleted]</w:t>
      </w:r>
    </w:p>
    <w:p>
      <w:pPr>
        <w:pStyle w:val="Footnotesection"/>
        <w:ind w:left="890" w:hanging="890"/>
      </w:pPr>
      <w:r>
        <w:tab/>
        <w:t>[Section 111 amended by No. 42 of 1986 s. 8; No. 55 of 2004 s. 1147.]</w:t>
      </w:r>
    </w:p>
    <w:p>
      <w:pPr>
        <w:pStyle w:val="Ednotesection"/>
      </w:pPr>
      <w:r>
        <w:t>[</w:t>
      </w:r>
      <w:r>
        <w:rPr>
          <w:b/>
        </w:rPr>
        <w:t>112.</w:t>
      </w:r>
      <w:r>
        <w:tab/>
        <w:t>Deleted by No. 42 of 1986 s. 9.]</w:t>
      </w:r>
    </w:p>
    <w:p>
      <w:pPr>
        <w:pStyle w:val="Heading5"/>
        <w:rPr>
          <w:snapToGrid w:val="0"/>
        </w:rPr>
      </w:pPr>
      <w:bookmarkStart w:id="622" w:name="_Toc381881045"/>
      <w:bookmarkStart w:id="623" w:name="_Toc476927418"/>
      <w:r>
        <w:rPr>
          <w:rStyle w:val="CharSectno"/>
        </w:rPr>
        <w:t>113</w:t>
      </w:r>
      <w:r>
        <w:rPr>
          <w:snapToGrid w:val="0"/>
        </w:rPr>
        <w:t>.</w:t>
      </w:r>
      <w:r>
        <w:rPr>
          <w:snapToGrid w:val="0"/>
        </w:rPr>
        <w:tab/>
        <w:t>Copy of order to be served</w:t>
      </w:r>
      <w:bookmarkEnd w:id="622"/>
      <w:bookmarkEnd w:id="623"/>
    </w:p>
    <w:p>
      <w:pPr>
        <w:pStyle w:val="Ednotesubsection"/>
      </w:pPr>
      <w:r>
        <w:tab/>
        <w:t>[(1)</w:t>
      </w:r>
      <w:r>
        <w:tab/>
        <w:t>deleted]</w:t>
      </w:r>
    </w:p>
    <w:p>
      <w:pPr>
        <w:pStyle w:val="Subsection"/>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[Section 113 amended by No. 42 of 1986 s. 10; No. 58 of 1995 s. 96; No. 55 of 2004 s. 1148 and 1156(1) and (3).]</w:t>
      </w:r>
    </w:p>
    <w:p>
      <w:pPr>
        <w:pStyle w:val="Heading3"/>
      </w:pPr>
      <w:bookmarkStart w:id="624" w:name="_Toc381881046"/>
      <w:bookmarkStart w:id="625" w:name="_Toc418081776"/>
      <w:bookmarkStart w:id="626" w:name="_Toc418082109"/>
      <w:bookmarkStart w:id="627" w:name="_Toc418087898"/>
      <w:bookmarkStart w:id="628" w:name="_Toc421012438"/>
      <w:bookmarkStart w:id="629" w:name="_Toc422408993"/>
      <w:bookmarkStart w:id="630" w:name="_Toc476927419"/>
      <w:r>
        <w:rPr>
          <w:rStyle w:val="CharDivNo"/>
        </w:rPr>
        <w:t>Division 5</w:t>
      </w:r>
      <w:r>
        <w:rPr>
          <w:snapToGrid w:val="0"/>
        </w:rPr>
        <w:t> — </w:t>
      </w:r>
      <w:r>
        <w:rPr>
          <w:rStyle w:val="CharDivText"/>
        </w:rPr>
        <w:t>Miscellaneous</w:t>
      </w:r>
      <w:bookmarkEnd w:id="624"/>
      <w:bookmarkEnd w:id="625"/>
      <w:bookmarkEnd w:id="626"/>
      <w:bookmarkEnd w:id="627"/>
      <w:bookmarkEnd w:id="628"/>
      <w:bookmarkEnd w:id="629"/>
      <w:bookmarkEnd w:id="630"/>
    </w:p>
    <w:p>
      <w:pPr>
        <w:pStyle w:val="Heading5"/>
        <w:rPr>
          <w:snapToGrid w:val="0"/>
        </w:rPr>
      </w:pPr>
      <w:bookmarkStart w:id="631" w:name="_Toc381881047"/>
      <w:bookmarkStart w:id="632" w:name="_Toc476927420"/>
      <w:r>
        <w:rPr>
          <w:rStyle w:val="CharSectno"/>
        </w:rPr>
        <w:t>114</w:t>
      </w:r>
      <w:r>
        <w:rPr>
          <w:snapToGrid w:val="0"/>
        </w:rPr>
        <w:t>.</w:t>
      </w:r>
      <w:r>
        <w:rPr>
          <w:snapToGrid w:val="0"/>
        </w:rPr>
        <w:tab/>
        <w:t>Effect of certain orders</w:t>
      </w:r>
      <w:bookmarkEnd w:id="631"/>
      <w:bookmarkEnd w:id="632"/>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[Section 114 amended by No. 58 of 1995 s. 96; No. 55 of 2004 s. 1149 and 1156(1) and (3).]</w:t>
      </w:r>
    </w:p>
    <w:p>
      <w:pPr>
        <w:pStyle w:val="Heading5"/>
        <w:rPr>
          <w:snapToGrid w:val="0"/>
        </w:rPr>
      </w:pPr>
      <w:bookmarkStart w:id="633" w:name="_Toc381881048"/>
      <w:bookmarkStart w:id="634" w:name="_Toc476927421"/>
      <w:r>
        <w:rPr>
          <w:rStyle w:val="CharSectno"/>
        </w:rPr>
        <w:t>115</w:t>
      </w:r>
      <w:r>
        <w:rPr>
          <w:snapToGrid w:val="0"/>
        </w:rPr>
        <w:t>.</w:t>
      </w:r>
      <w:r>
        <w:rPr>
          <w:snapToGrid w:val="0"/>
        </w:rPr>
        <w:tab/>
        <w:t>Recording of certain orders</w:t>
      </w:r>
      <w:bookmarkEnd w:id="633"/>
      <w:bookmarkEnd w:id="634"/>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[Section 115 inserted by No. 58 of 1995 s. 79; amended by No. 61 of 1996 s. 36; No. 55 of 2004 s. 1150; No. 60 of 2006 s. 160(8).]</w:t>
      </w:r>
    </w:p>
    <w:p>
      <w:pPr>
        <w:pStyle w:val="Ednotesection"/>
        <w:tabs>
          <w:tab w:val="clear" w:pos="893"/>
          <w:tab w:val="left" w:pos="1200"/>
        </w:tabs>
      </w:pPr>
      <w:r>
        <w:t>[</w:t>
      </w:r>
      <w:r>
        <w:rPr>
          <w:b/>
          <w:bCs/>
        </w:rPr>
        <w:t>116</w:t>
      </w:r>
      <w:r>
        <w:rPr>
          <w:b/>
          <w:bCs/>
        </w:rPr>
        <w:noBreakHyphen/>
        <w:t>120.</w:t>
      </w:r>
      <w:r>
        <w:rPr>
          <w:b/>
          <w:bCs/>
        </w:rPr>
        <w:tab/>
      </w:r>
      <w:r>
        <w:t>Deleted by No. 55 of 2004 s. 1151.]</w:t>
      </w:r>
    </w:p>
    <w:p>
      <w:pPr>
        <w:pStyle w:val="Heading5"/>
        <w:rPr>
          <w:snapToGrid w:val="0"/>
        </w:rPr>
      </w:pPr>
      <w:bookmarkStart w:id="635" w:name="_Toc381881049"/>
      <w:bookmarkStart w:id="636" w:name="_Toc476927422"/>
      <w:r>
        <w:rPr>
          <w:rStyle w:val="CharSectno"/>
        </w:rPr>
        <w:t>121</w:t>
      </w:r>
      <w:r>
        <w:rPr>
          <w:snapToGrid w:val="0"/>
        </w:rPr>
        <w:t>.</w:t>
      </w:r>
      <w:r>
        <w:rPr>
          <w:snapToGrid w:val="0"/>
        </w:rPr>
        <w:tab/>
        <w:t>SAT not to have jurisdiction where title to land in question</w:t>
      </w:r>
      <w:bookmarkEnd w:id="635"/>
      <w:bookmarkEnd w:id="636"/>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637" w:name="_Toc381881050"/>
      <w:bookmarkStart w:id="638" w:name="_Toc418081780"/>
      <w:bookmarkStart w:id="639" w:name="_Toc418082113"/>
      <w:bookmarkStart w:id="640" w:name="_Toc418087902"/>
      <w:bookmarkStart w:id="641" w:name="_Toc421012442"/>
      <w:bookmarkStart w:id="642" w:name="_Toc422408997"/>
      <w:bookmarkStart w:id="643" w:name="_Toc476927423"/>
      <w:r>
        <w:rPr>
          <w:rStyle w:val="CharPartNo"/>
        </w:rPr>
        <w:t>Part VII</w:t>
      </w:r>
      <w:r>
        <w:rPr>
          <w:rStyle w:val="CharDivNo"/>
        </w:rPr>
        <w:t> </w:t>
      </w:r>
      <w:r>
        <w:t>—</w:t>
      </w:r>
      <w:r>
        <w:rPr>
          <w:rStyle w:val="CharDivText"/>
        </w:rPr>
        <w:t> </w:t>
      </w:r>
      <w:r>
        <w:rPr>
          <w:rStyle w:val="CharPartText"/>
        </w:rPr>
        <w:t>Miscellaneous</w:t>
      </w:r>
      <w:bookmarkEnd w:id="637"/>
      <w:bookmarkEnd w:id="638"/>
      <w:bookmarkEnd w:id="639"/>
      <w:bookmarkEnd w:id="640"/>
      <w:bookmarkEnd w:id="641"/>
      <w:bookmarkEnd w:id="642"/>
      <w:bookmarkEnd w:id="643"/>
    </w:p>
    <w:p>
      <w:pPr>
        <w:pStyle w:val="Heading5"/>
        <w:rPr>
          <w:snapToGrid w:val="0"/>
        </w:rPr>
      </w:pPr>
      <w:bookmarkStart w:id="644" w:name="_Toc381881051"/>
      <w:bookmarkStart w:id="645" w:name="_Toc476927424"/>
      <w:r>
        <w:rPr>
          <w:rStyle w:val="CharSectno"/>
        </w:rPr>
        <w:t>122</w:t>
      </w:r>
      <w:r>
        <w:rPr>
          <w:snapToGrid w:val="0"/>
        </w:rPr>
        <w:t>.</w:t>
      </w:r>
      <w:r>
        <w:rPr>
          <w:snapToGrid w:val="0"/>
        </w:rPr>
        <w:tab/>
        <w:t>Other rights and remedies not affected by this Act</w:t>
      </w:r>
      <w:bookmarkEnd w:id="644"/>
      <w:bookmarkEnd w:id="645"/>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646" w:name="_Toc381881052"/>
      <w:bookmarkStart w:id="647" w:name="_Toc476927425"/>
      <w:r>
        <w:rPr>
          <w:rStyle w:val="CharSectno"/>
        </w:rPr>
        <w:t>122A</w:t>
      </w:r>
      <w:r>
        <w:rPr>
          <w:snapToGrid w:val="0"/>
        </w:rPr>
        <w:t>.</w:t>
      </w:r>
      <w:r>
        <w:rPr>
          <w:snapToGrid w:val="0"/>
        </w:rPr>
        <w:tab/>
        <w:t>Caravan and camping areas not to be subdivided</w:t>
      </w:r>
      <w:bookmarkEnd w:id="646"/>
      <w:bookmarkEnd w:id="647"/>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[Section 122A inserted as section 123A by No. 34 of 1995 s. 33 and redesignated as 122A by No. 10 of 1998 s. 66.]</w:t>
      </w:r>
    </w:p>
    <w:p>
      <w:pPr>
        <w:pStyle w:val="Heading5"/>
        <w:rPr>
          <w:snapToGrid w:val="0"/>
        </w:rPr>
      </w:pPr>
      <w:bookmarkStart w:id="648" w:name="_Toc381881053"/>
      <w:bookmarkStart w:id="649" w:name="_Toc476927426"/>
      <w:r>
        <w:rPr>
          <w:rStyle w:val="CharSectno"/>
        </w:rPr>
        <w:t>123</w:t>
      </w:r>
      <w:r>
        <w:rPr>
          <w:snapToGrid w:val="0"/>
        </w:rPr>
        <w:t>.</w:t>
      </w:r>
      <w:r>
        <w:rPr>
          <w:snapToGrid w:val="0"/>
        </w:rPr>
        <w:tab/>
        <w:t>Dividing fences</w:t>
      </w:r>
      <w:bookmarkEnd w:id="648"/>
      <w:bookmarkEnd w:id="649"/>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w:t>
      </w:r>
    </w:p>
    <w:p>
      <w:pPr>
        <w:pStyle w:val="Indenta"/>
        <w:rPr>
          <w:snapToGrid w:val="0"/>
        </w:rPr>
      </w:pPr>
      <w:r>
        <w:rPr>
          <w:snapToGrid w:val="0"/>
        </w:rPr>
        <w:tab/>
        <w:t>(a)</w:t>
      </w:r>
      <w:r>
        <w:rPr>
          <w:snapToGrid w:val="0"/>
        </w:rPr>
        <w:tab/>
        <w:t>a single tier strata scheme; or</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[Section 123 inserted by No. 61 of 1996 s. 37.]</w:t>
      </w:r>
    </w:p>
    <w:p>
      <w:pPr>
        <w:pStyle w:val="Heading5"/>
        <w:rPr>
          <w:snapToGrid w:val="0"/>
        </w:rPr>
      </w:pPr>
      <w:bookmarkStart w:id="650" w:name="_Toc381881054"/>
      <w:bookmarkStart w:id="651" w:name="_Toc476927427"/>
      <w:r>
        <w:rPr>
          <w:rStyle w:val="CharSectno"/>
        </w:rPr>
        <w:t>123A</w:t>
      </w:r>
      <w:r>
        <w:rPr>
          <w:snapToGrid w:val="0"/>
        </w:rPr>
        <w:t>.</w:t>
      </w:r>
      <w:r>
        <w:rPr>
          <w:snapToGrid w:val="0"/>
        </w:rPr>
        <w:tab/>
        <w:t>Transitional provision as to dividing fences</w:t>
      </w:r>
      <w:bookmarkEnd w:id="650"/>
      <w:bookmarkEnd w:id="651"/>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t xml:space="preserve">the </w:t>
      </w:r>
      <w:r>
        <w:rPr>
          <w:rStyle w:val="CharDefText"/>
        </w:rPr>
        <w:t>transition period</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keepNext/>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2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[Section 123A inserted by No. 61 of 1996 s. 37.]</w:t>
      </w:r>
    </w:p>
    <w:p>
      <w:pPr>
        <w:pStyle w:val="Heading5"/>
        <w:rPr>
          <w:snapToGrid w:val="0"/>
        </w:rPr>
      </w:pPr>
      <w:bookmarkStart w:id="652" w:name="_Toc381881055"/>
      <w:bookmarkStart w:id="653" w:name="_Toc476927428"/>
      <w:r>
        <w:rPr>
          <w:rStyle w:val="CharSectno"/>
        </w:rPr>
        <w:t>123B</w:t>
      </w:r>
      <w:r>
        <w:rPr>
          <w:snapToGrid w:val="0"/>
        </w:rPr>
        <w:t>.</w:t>
      </w:r>
      <w:r>
        <w:rPr>
          <w:snapToGrid w:val="0"/>
        </w:rPr>
        <w:tab/>
        <w:t>Internal fencing</w:t>
      </w:r>
      <w:bookmarkEnd w:id="652"/>
      <w:bookmarkEnd w:id="653"/>
    </w:p>
    <w:p>
      <w:pPr>
        <w:pStyle w:val="Subsection"/>
        <w:keepNext/>
      </w:pPr>
      <w:r>
        <w:tab/>
        <w:t>(1)</w:t>
      </w:r>
      <w:r>
        <w:tab/>
      </w:r>
      <w:r>
        <w:rPr>
          <w:snapToGrid w:val="0"/>
        </w:rPr>
        <w:t>The</w:t>
      </w:r>
      <w:r>
        <w:t xml:space="preserv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adjoining lots were adjoining lands to which that Act applies; and</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keepNext/>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[Section 123B inserted by No. 61 of 1996 s. 37.]</w:t>
      </w:r>
    </w:p>
    <w:p>
      <w:pPr>
        <w:pStyle w:val="Heading5"/>
        <w:rPr>
          <w:snapToGrid w:val="0"/>
        </w:rPr>
      </w:pPr>
      <w:bookmarkStart w:id="654" w:name="_Toc381881056"/>
      <w:bookmarkStart w:id="655" w:name="_Toc476927429"/>
      <w:r>
        <w:rPr>
          <w:rStyle w:val="CharSectno"/>
        </w:rPr>
        <w:t>123C</w:t>
      </w:r>
      <w:r>
        <w:rPr>
          <w:snapToGrid w:val="0"/>
        </w:rPr>
        <w:t>.</w:t>
      </w:r>
      <w:r>
        <w:rPr>
          <w:snapToGrid w:val="0"/>
        </w:rPr>
        <w:tab/>
        <w:t>Transitional provision as to internal fencing</w:t>
      </w:r>
      <w:bookmarkEnd w:id="654"/>
      <w:bookmarkEnd w:id="655"/>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12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t xml:space="preserve">the </w:t>
      </w:r>
      <w:r>
        <w:rPr>
          <w:rStyle w:val="CharDefText"/>
        </w:rPr>
        <w:t>transition period</w:t>
      </w:r>
      <w:r>
        <w:rPr>
          <w:snapToGrid w:val="0"/>
        </w:rPr>
        <w:t>) liability in relation to fencing between lots in a scheme is to be determined as if section 123B had not been enacted.</w:t>
      </w:r>
    </w:p>
    <w:p>
      <w:pPr>
        <w:pStyle w:val="Subsection"/>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law of the strata company.</w:t>
      </w:r>
    </w:p>
    <w:p>
      <w:pPr>
        <w:pStyle w:val="Footnotesection"/>
        <w:keepLines w:val="0"/>
        <w:spacing w:before="80"/>
        <w:ind w:left="890" w:hanging="890"/>
      </w:pPr>
      <w:r>
        <w:tab/>
        <w:t>[Section 123C inserted by No. 61 of 1996 s. 37.]</w:t>
      </w:r>
    </w:p>
    <w:p>
      <w:pPr>
        <w:pStyle w:val="Heading5"/>
        <w:rPr>
          <w:snapToGrid w:val="0"/>
        </w:rPr>
      </w:pPr>
      <w:bookmarkStart w:id="656" w:name="_Toc381881057"/>
      <w:bookmarkStart w:id="657" w:name="_Toc476927430"/>
      <w:r>
        <w:rPr>
          <w:rStyle w:val="CharSectno"/>
        </w:rPr>
        <w:t>124</w:t>
      </w:r>
      <w:r>
        <w:rPr>
          <w:snapToGrid w:val="0"/>
        </w:rPr>
        <w:t>.</w:t>
      </w:r>
      <w:r>
        <w:rPr>
          <w:snapToGrid w:val="0"/>
        </w:rPr>
        <w:tab/>
        <w:t>Notice of application for order under s. 28, 29 or 31</w:t>
      </w:r>
      <w:bookmarkEnd w:id="656"/>
      <w:bookmarkEnd w:id="657"/>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w:t>
      </w:r>
    </w:p>
    <w:p>
      <w:pPr>
        <w:pStyle w:val="Indenta"/>
        <w:spacing w:before="60"/>
        <w:rPr>
          <w:snapToGrid w:val="0"/>
        </w:rPr>
      </w:pPr>
      <w:r>
        <w:rPr>
          <w:snapToGrid w:val="0"/>
        </w:rPr>
        <w:tab/>
        <w:t>(a)</w:t>
      </w:r>
      <w:r>
        <w:rPr>
          <w:snapToGrid w:val="0"/>
        </w:rPr>
        <w:tab/>
        <w:t>that person cannot be found in Western Australia; or</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p>
    <w:p>
      <w:pPr>
        <w:pStyle w:val="Heading5"/>
        <w:rPr>
          <w:snapToGrid w:val="0"/>
        </w:rPr>
      </w:pPr>
      <w:bookmarkStart w:id="658" w:name="_Toc381881058"/>
      <w:bookmarkStart w:id="659" w:name="_Toc476927431"/>
      <w:r>
        <w:rPr>
          <w:rStyle w:val="CharSectno"/>
        </w:rPr>
        <w:t>125</w:t>
      </w:r>
      <w:r>
        <w:rPr>
          <w:snapToGrid w:val="0"/>
        </w:rPr>
        <w:t>.</w:t>
      </w:r>
      <w:r>
        <w:rPr>
          <w:snapToGrid w:val="0"/>
        </w:rPr>
        <w:tab/>
        <w:t>Service of documents on strata company, proprietors and others</w:t>
      </w:r>
      <w:bookmarkEnd w:id="658"/>
      <w:bookmarkEnd w:id="659"/>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deleted]</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[Section 125 amended by No. 58 of 1995 s. 83 and 95; No. 55 of 2004 s. 1156(1).]</w:t>
      </w:r>
    </w:p>
    <w:p>
      <w:pPr>
        <w:pStyle w:val="Heading5"/>
        <w:rPr>
          <w:snapToGrid w:val="0"/>
        </w:rPr>
      </w:pPr>
      <w:bookmarkStart w:id="660" w:name="_Toc381881059"/>
      <w:bookmarkStart w:id="661" w:name="_Toc476927432"/>
      <w:r>
        <w:rPr>
          <w:rStyle w:val="CharSectno"/>
        </w:rPr>
        <w:t>126</w:t>
      </w:r>
      <w:r>
        <w:rPr>
          <w:snapToGrid w:val="0"/>
        </w:rPr>
        <w:t>.</w:t>
      </w:r>
      <w:r>
        <w:rPr>
          <w:snapToGrid w:val="0"/>
        </w:rPr>
        <w:tab/>
        <w:t>Powers of entry by public authority or local government</w:t>
      </w:r>
      <w:bookmarkEnd w:id="660"/>
      <w:bookmarkEnd w:id="661"/>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[Section 126 amended by No. 14 of 1996 s. 4.]</w:t>
      </w:r>
    </w:p>
    <w:p>
      <w:pPr>
        <w:pStyle w:val="Heading5"/>
        <w:rPr>
          <w:snapToGrid w:val="0"/>
        </w:rPr>
      </w:pPr>
      <w:bookmarkStart w:id="662" w:name="_Toc381881060"/>
      <w:bookmarkStart w:id="663" w:name="_Toc476927433"/>
      <w:r>
        <w:rPr>
          <w:rStyle w:val="CharSectno"/>
        </w:rPr>
        <w:t>127</w:t>
      </w:r>
      <w:r>
        <w:rPr>
          <w:snapToGrid w:val="0"/>
        </w:rPr>
        <w:t>.</w:t>
      </w:r>
      <w:r>
        <w:rPr>
          <w:snapToGrid w:val="0"/>
        </w:rPr>
        <w:tab/>
        <w:t>Service of orders by public authority or local government</w:t>
      </w:r>
      <w:bookmarkEnd w:id="662"/>
      <w:bookmarkEnd w:id="663"/>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[Section 127 amended by No. 58 of 1995 s. 96; No. 14 of 1996 s. 4.]</w:t>
      </w:r>
    </w:p>
    <w:p>
      <w:pPr>
        <w:pStyle w:val="Ednotesection"/>
      </w:pPr>
      <w:r>
        <w:t>[</w:t>
      </w:r>
      <w:r>
        <w:rPr>
          <w:b/>
          <w:bCs/>
        </w:rPr>
        <w:t>128.</w:t>
      </w:r>
      <w:r>
        <w:rPr>
          <w:b/>
          <w:bCs/>
        </w:rPr>
        <w:tab/>
      </w:r>
      <w:r>
        <w:t>Deleted by No. 55 of 2004 s. 1152.]</w:t>
      </w:r>
    </w:p>
    <w:p>
      <w:pPr>
        <w:pStyle w:val="Heading5"/>
        <w:rPr>
          <w:snapToGrid w:val="0"/>
        </w:rPr>
      </w:pPr>
      <w:bookmarkStart w:id="664" w:name="_Toc381881061"/>
      <w:bookmarkStart w:id="665" w:name="_Toc476927434"/>
      <w:r>
        <w:rPr>
          <w:rStyle w:val="CharSectno"/>
        </w:rPr>
        <w:t>129</w:t>
      </w:r>
      <w:r>
        <w:rPr>
          <w:snapToGrid w:val="0"/>
        </w:rPr>
        <w:t>.</w:t>
      </w:r>
      <w:r>
        <w:rPr>
          <w:snapToGrid w:val="0"/>
        </w:rPr>
        <w:tab/>
        <w:t>Procedure upon application to District Court</w:t>
      </w:r>
      <w:bookmarkEnd w:id="664"/>
      <w:bookmarkEnd w:id="665"/>
    </w:p>
    <w:p>
      <w:pPr>
        <w:pStyle w:val="Subsection"/>
        <w:rPr>
          <w:snapToGrid w:val="0"/>
          <w:spacing w:val="-4"/>
        </w:rPr>
      </w:pPr>
      <w:r>
        <w:rPr>
          <w:snapToGrid w:val="0"/>
          <w:spacing w:val="-4"/>
        </w:rPr>
        <w:tab/>
        <w:t>(1)</w:t>
      </w:r>
      <w:r>
        <w:rPr>
          <w:snapToGrid w:val="0"/>
          <w:spacing w:val="-4"/>
        </w:rPr>
        <w:tab/>
      </w:r>
      <w:r>
        <w:rPr>
          <w:snapToGrid w:val="0"/>
        </w:rPr>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deleted]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[Section 129 amended by No. 58 of 1995 s. 84 and 93(1).]</w:t>
      </w:r>
    </w:p>
    <w:p>
      <w:pPr>
        <w:pStyle w:val="Heading5"/>
        <w:rPr>
          <w:snapToGrid w:val="0"/>
        </w:rPr>
      </w:pPr>
      <w:bookmarkStart w:id="666" w:name="_Toc381881062"/>
      <w:bookmarkStart w:id="667" w:name="_Toc476927435"/>
      <w:r>
        <w:rPr>
          <w:rStyle w:val="CharSectno"/>
        </w:rPr>
        <w:t>129A</w:t>
      </w:r>
      <w:r>
        <w:rPr>
          <w:snapToGrid w:val="0"/>
        </w:rPr>
        <w:t>.</w:t>
      </w:r>
      <w:r>
        <w:rPr>
          <w:snapToGrid w:val="0"/>
        </w:rPr>
        <w:tab/>
        <w:t>Correction of errors by Registrar</w:t>
      </w:r>
      <w:bookmarkEnd w:id="666"/>
      <w:bookmarkEnd w:id="667"/>
    </w:p>
    <w:p>
      <w:pPr>
        <w:pStyle w:val="Subsection"/>
        <w:keepNext/>
        <w:rPr>
          <w:snapToGrid w:val="0"/>
        </w:rPr>
      </w:pPr>
      <w:r>
        <w:rPr>
          <w:snapToGrid w:val="0"/>
        </w:rPr>
        <w:tab/>
        <w:t>(1)</w:t>
      </w:r>
      <w:r>
        <w:rPr>
          <w:snapToGrid w:val="0"/>
        </w:rPr>
        <w:tab/>
        <w:t>The Commissioner of Titles may direct the Registrar of Titles —</w:t>
      </w:r>
    </w:p>
    <w:p>
      <w:pPr>
        <w:pStyle w:val="Indenta"/>
        <w:rPr>
          <w:snapToGrid w:val="0"/>
        </w:rPr>
      </w:pPr>
      <w:r>
        <w:rPr>
          <w:snapToGrid w:val="0"/>
        </w:rPr>
        <w:tab/>
        <w:t>(a)</w:t>
      </w:r>
      <w:r>
        <w:rPr>
          <w:snapToGrid w:val="0"/>
        </w:rPr>
        <w:tab/>
        <w:t>to correct errors in, or in entries made in, the Register; and</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Commissioner of Titles</w:t>
      </w:r>
      <w:r>
        <w:t xml:space="preserve"> means the Commissioner of Titles under the </w:t>
      </w:r>
      <w:r>
        <w:rPr>
          <w:i/>
        </w:rPr>
        <w:t>Transfer of Land Act 1893</w:t>
      </w:r>
      <w:r>
        <w:t>, and includes the Deputy Commissioner of Titles under that Act.</w:t>
      </w:r>
    </w:p>
    <w:p>
      <w:pPr>
        <w:pStyle w:val="Footnotesection"/>
      </w:pPr>
      <w:r>
        <w:tab/>
        <w:t>[Section 129A inserted by No. 58 of 1995 s. 85; amended by No. 81 of 1996 s. 153(1).]</w:t>
      </w:r>
    </w:p>
    <w:p>
      <w:pPr>
        <w:pStyle w:val="Heading5"/>
      </w:pPr>
      <w:bookmarkStart w:id="668" w:name="_Toc381881063"/>
      <w:bookmarkStart w:id="669" w:name="_Toc476927436"/>
      <w:r>
        <w:rPr>
          <w:rStyle w:val="CharSectno"/>
        </w:rPr>
        <w:t>129B</w:t>
      </w:r>
      <w:r>
        <w:t>.</w:t>
      </w:r>
      <w:r>
        <w:tab/>
        <w:t>Delegation by Commissioner of Titles</w:t>
      </w:r>
      <w:bookmarkEnd w:id="668"/>
      <w:bookmarkEnd w:id="669"/>
    </w:p>
    <w:p>
      <w:pPr>
        <w:pStyle w:val="Subsection"/>
      </w:pPr>
      <w:r>
        <w:tab/>
        <w:t>(1)</w:t>
      </w:r>
      <w:r>
        <w:tab/>
        <w:t xml:space="preserve">The Commissioner of Titles may delegate the power that section 129A gives the Commissioner to any other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In this section —</w:t>
      </w:r>
    </w:p>
    <w:p>
      <w:pPr>
        <w:pStyle w:val="Defstart"/>
      </w:pPr>
      <w:r>
        <w:rPr>
          <w:b/>
        </w:rPr>
        <w:tab/>
      </w:r>
      <w:r>
        <w:rPr>
          <w:rStyle w:val="CharDefText"/>
        </w:rPr>
        <w:t>Commissioner of Titles</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 amended by No. 21 of 2008 s. 707.]</w:t>
      </w:r>
    </w:p>
    <w:p>
      <w:pPr>
        <w:pStyle w:val="Heading5"/>
      </w:pPr>
      <w:bookmarkStart w:id="670" w:name="_Toc381881064"/>
      <w:bookmarkStart w:id="671" w:name="_Toc476927437"/>
      <w:r>
        <w:rPr>
          <w:rStyle w:val="CharSectno"/>
        </w:rPr>
        <w:t>129C</w:t>
      </w:r>
      <w:r>
        <w:t>.</w:t>
      </w:r>
      <w:r>
        <w:tab/>
        <w:t>Delegation by Registrar of Titles</w:t>
      </w:r>
      <w:bookmarkEnd w:id="670"/>
      <w:bookmarkEnd w:id="671"/>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In this section —</w:t>
      </w:r>
    </w:p>
    <w:p>
      <w:pPr>
        <w:pStyle w:val="Defstart"/>
      </w:pPr>
      <w:r>
        <w:rPr>
          <w:b/>
        </w:rPr>
        <w:tab/>
      </w:r>
      <w:r>
        <w:rPr>
          <w:rStyle w:val="CharDefText"/>
        </w:rPr>
        <w:t>Registrar of Titles</w:t>
      </w:r>
      <w:r>
        <w:t xml:space="preserve"> does not include an Assistant Registrar under the </w:t>
      </w:r>
      <w:r>
        <w:rPr>
          <w:i/>
          <w:iCs/>
        </w:rPr>
        <w:t>Transfer of Land Act 1893</w:t>
      </w:r>
      <w:r>
        <w:t xml:space="preserve"> except when acting as, and in place of, the Registrar.</w:t>
      </w:r>
    </w:p>
    <w:p>
      <w:pPr>
        <w:pStyle w:val="Footnotesection"/>
      </w:pPr>
      <w:r>
        <w:tab/>
        <w:t>[Section 129C inserted by No. 60 of 2006 s. 160(9).]</w:t>
      </w:r>
    </w:p>
    <w:p>
      <w:pPr>
        <w:pStyle w:val="Heading5"/>
      </w:pPr>
      <w:bookmarkStart w:id="672" w:name="_Toc381881065"/>
      <w:bookmarkStart w:id="673" w:name="_Toc476927438"/>
      <w:r>
        <w:rPr>
          <w:rStyle w:val="CharSectno"/>
        </w:rPr>
        <w:t>129D</w:t>
      </w:r>
      <w:r>
        <w:t>.</w:t>
      </w:r>
      <w:r>
        <w:tab/>
        <w:t>Money received by Registrar</w:t>
      </w:r>
      <w:bookmarkEnd w:id="672"/>
      <w:bookmarkEnd w:id="673"/>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674" w:name="_Toc381881066"/>
      <w:bookmarkStart w:id="675" w:name="_Toc476927439"/>
      <w:r>
        <w:rPr>
          <w:rStyle w:val="CharSectno"/>
        </w:rPr>
        <w:t>130</w:t>
      </w:r>
      <w:r>
        <w:rPr>
          <w:snapToGrid w:val="0"/>
        </w:rPr>
        <w:t>.</w:t>
      </w:r>
      <w:r>
        <w:rPr>
          <w:snapToGrid w:val="0"/>
        </w:rPr>
        <w:tab/>
        <w:t>Regulations</w:t>
      </w:r>
      <w:bookmarkEnd w:id="674"/>
      <w:bookmarkEnd w:id="675"/>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w:t>
      </w:r>
    </w:p>
    <w:p>
      <w:pPr>
        <w:pStyle w:val="Indenta"/>
        <w:rPr>
          <w:snapToGrid w:val="0"/>
        </w:rPr>
      </w:pPr>
      <w:r>
        <w:rPr>
          <w:snapToGrid w:val="0"/>
        </w:rPr>
        <w:tab/>
        <w:t>(a)</w:t>
      </w:r>
      <w:r>
        <w:rPr>
          <w:snapToGrid w:val="0"/>
        </w:rPr>
        <w:tab/>
        <w:t>the manner and form of registering plans and documents; and</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 and</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 and</w:t>
      </w:r>
    </w:p>
    <w:p>
      <w:pPr>
        <w:pStyle w:val="Indenta"/>
        <w:rPr>
          <w:snapToGrid w:val="0"/>
        </w:rPr>
      </w:pPr>
      <w:r>
        <w:rPr>
          <w:snapToGrid w:val="0"/>
        </w:rPr>
        <w:tab/>
        <w:t>(d)</w:t>
      </w:r>
      <w:r>
        <w:rPr>
          <w:snapToGrid w:val="0"/>
        </w:rPr>
        <w:tab/>
        <w:t>the preparation of plans and documents for the purposes of this Act; and</w:t>
      </w:r>
    </w:p>
    <w:p>
      <w:pPr>
        <w:pStyle w:val="Indenta"/>
        <w:rPr>
          <w:snapToGrid w:val="0"/>
        </w:rPr>
      </w:pPr>
      <w:r>
        <w:rPr>
          <w:snapToGrid w:val="0"/>
        </w:rPr>
        <w:tab/>
        <w:t>(e)</w:t>
      </w:r>
      <w:r>
        <w:rPr>
          <w:snapToGrid w:val="0"/>
        </w:rPr>
        <w:tab/>
        <w:t>the plans and documents that under this Act may be lodged with the Registrar of Titles; and</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spacing w:before="80"/>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[Section 130 amended by No. 58 of 1995 s. 86 and 94; No. 55 of 2004 s. 1153.]</w:t>
      </w:r>
    </w:p>
    <w:p>
      <w:pPr>
        <w:pStyle w:val="Heading5"/>
      </w:pPr>
      <w:bookmarkStart w:id="676" w:name="_Toc476927440"/>
      <w:r>
        <w:rPr>
          <w:rStyle w:val="CharSectno"/>
        </w:rPr>
        <w:t>131A</w:t>
      </w:r>
      <w:r>
        <w:t>.</w:t>
      </w:r>
      <w:r>
        <w:tab/>
        <w:t>Certain prescribed fees may exceed cost recovery</w:t>
      </w:r>
      <w:bookmarkEnd w:id="676"/>
    </w:p>
    <w:p>
      <w:pPr>
        <w:pStyle w:val="Subsection"/>
      </w:pPr>
      <w:r>
        <w:tab/>
        <w:t>(1)</w:t>
      </w:r>
      <w:r>
        <w:tab/>
        <w:t xml:space="preserve">Regulations made under section 130 prescribing a fee payable to the Registrar of Titles may prescribe a fee that is more than the amount, or an estimate of the amount, needed to allow recovery of expenditure — </w:t>
      </w:r>
    </w:p>
    <w:p>
      <w:pPr>
        <w:pStyle w:val="Indenta"/>
      </w:pPr>
      <w:r>
        <w:tab/>
        <w:t>(a)</w:t>
      </w:r>
      <w:r>
        <w:tab/>
        <w:t>incurred in connection with the matter in relation to which the fee is charged; or</w:t>
      </w:r>
    </w:p>
    <w:p>
      <w:pPr>
        <w:pStyle w:val="Indenta"/>
      </w:pPr>
      <w:r>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(2A)</w:t>
      </w:r>
      <w:r>
        <w:tab/>
        <w:t>To the extent that regulations to which subsection (1) applies prescribe a fee that includes an amount that is a tax, the regulations may impose the tax.</w:t>
      </w:r>
    </w:p>
    <w:p>
      <w:pPr>
        <w:pStyle w:val="Subsection"/>
      </w:pPr>
      <w:r>
        <w:tab/>
        <w:t>(2)</w:t>
      </w:r>
      <w:r>
        <w:tab/>
        <w:t xml:space="preserve">The definition of </w:t>
      </w:r>
      <w:r>
        <w:rPr>
          <w:rStyle w:val="CharDefText"/>
        </w:rPr>
        <w:t>scheme</w:t>
      </w:r>
      <w:r>
        <w:t xml:space="preserve"> in section 3(1) does not apply to subsection (1).</w:t>
      </w:r>
    </w:p>
    <w:p>
      <w:pPr>
        <w:pStyle w:val="Subsection"/>
      </w:pPr>
      <w:r>
        <w:tab/>
        <w:t>(3)</w:t>
      </w:r>
      <w:r>
        <w:tab/>
        <w:t xml:space="preserve">This section does not limit the </w:t>
      </w:r>
      <w:r>
        <w:rPr>
          <w:i/>
        </w:rPr>
        <w:t>Interpretation Act 1984</w:t>
      </w:r>
      <w:r>
        <w:t xml:space="preserve"> section 45A.</w:t>
      </w:r>
    </w:p>
    <w:p>
      <w:pPr>
        <w:pStyle w:val="Footnotesection"/>
      </w:pPr>
      <w:r>
        <w:tab/>
        <w:t>[Section 131A inserted by No. 11 of 2015 s. 8; amended by No. 12 of 2015 s. 6.]</w:t>
      </w:r>
    </w:p>
    <w:p>
      <w:pPr>
        <w:pStyle w:val="Heading5"/>
      </w:pPr>
      <w:bookmarkStart w:id="677" w:name="_Toc476927441"/>
      <w:r>
        <w:rPr>
          <w:rStyle w:val="CharSectno"/>
        </w:rPr>
        <w:t>131B</w:t>
      </w:r>
      <w:r>
        <w:t>.</w:t>
      </w:r>
      <w:r>
        <w:tab/>
        <w:t>Expiry of section 131A</w:t>
      </w:r>
      <w:bookmarkEnd w:id="677"/>
    </w:p>
    <w:p>
      <w:pPr>
        <w:pStyle w:val="Subsection"/>
      </w:pPr>
      <w:r>
        <w:tab/>
        <w:t>(1)</w:t>
      </w:r>
      <w:r>
        <w:tab/>
        <w:t>Section 131A expires at the end of 31 December 2019.</w:t>
      </w:r>
    </w:p>
    <w:p>
      <w:pPr>
        <w:pStyle w:val="Subsection"/>
      </w:pPr>
      <w:r>
        <w:tab/>
        <w:t>(2)</w:t>
      </w:r>
      <w:r>
        <w:tab/>
        <w:t>However, the Governor, on the recommendation of the Minister, may, by proclamation made before section 131A expires, postpone the expiry of section 131A until the end of a date specified in the proclamation, and in that case that section expires at the end of that date.</w:t>
      </w:r>
    </w:p>
    <w:p>
      <w:pPr>
        <w:pStyle w:val="Subsection"/>
      </w:pPr>
      <w:r>
        <w:tab/>
        <w:t>(3)</w:t>
      </w:r>
      <w:r>
        <w:tab/>
        <w:t xml:space="preserve">The Minister cannot make a recommendation under subsection (2) unless the Minister is satisfied, on the basis of the most recent report laid before each House of Parliament under the </w:t>
      </w:r>
      <w:r>
        <w:rPr>
          <w:i/>
        </w:rPr>
        <w:t>Land Information Authority Act 2006</w:t>
      </w:r>
      <w:r>
        <w:t xml:space="preserve"> section 93(2), that the expiry of section 131A should be postponed.</w:t>
      </w:r>
    </w:p>
    <w:p>
      <w:pPr>
        <w:pStyle w:val="Subsection"/>
      </w:pPr>
      <w:r>
        <w:tab/>
        <w:t>(4)</w:t>
      </w:r>
      <w:r>
        <w:tab/>
        <w:t>There is no limit on the number of times the expiry of section 131A may be postponed, but each postponement cannot be for longer than 5 years beginning on the day after the most recent date on which section 131A would expire if that expiry were not postponed.</w:t>
      </w:r>
    </w:p>
    <w:p>
      <w:pPr>
        <w:pStyle w:val="Subsection"/>
      </w:pPr>
      <w:r>
        <w:tab/>
        <w:t>(5)</w:t>
      </w:r>
      <w:r>
        <w:tab/>
        <w:t xml:space="preserve">The </w:t>
      </w:r>
      <w:r>
        <w:rPr>
          <w:i/>
        </w:rPr>
        <w:t>Interpretation Act 1984</w:t>
      </w:r>
      <w:r>
        <w:t xml:space="preserve"> section 42 applies to and in relation to a proclamation made under subsection (2) as if the proclamation were a regulation.</w:t>
      </w:r>
    </w:p>
    <w:p>
      <w:pPr>
        <w:pStyle w:val="Subsection"/>
        <w:rPr>
          <w:sz w:val="20"/>
          <w:highlight w:val="cyan"/>
        </w:rPr>
      </w:pPr>
      <w:r>
        <w:tab/>
        <w:t>(6)</w:t>
      </w:r>
      <w:r>
        <w:tab/>
        <w:t>The expiry of section 131A does not affect the validity of any regulations made under section 130 and in effect immediately before that expiry.</w:t>
      </w:r>
    </w:p>
    <w:p>
      <w:pPr>
        <w:pStyle w:val="Footnotesection"/>
      </w:pPr>
      <w:r>
        <w:tab/>
        <w:t>[Section 131B inserted by No. 11 of 2015 s. 8.]</w:t>
      </w:r>
    </w:p>
    <w:p>
      <w:pPr>
        <w:pStyle w:val="Ednotesection"/>
      </w:pPr>
      <w:r>
        <w:t>[</w:t>
      </w:r>
      <w:r>
        <w:rPr>
          <w:b/>
        </w:rPr>
        <w:t>131.</w:t>
      </w:r>
      <w:r>
        <w:tab/>
        <w:t>Omitted under the Reprints Act 1984 s. 7(4)(f).]</w:t>
      </w:r>
    </w:p>
    <w:p>
      <w:pPr>
        <w:pStyle w:val="Heading5"/>
        <w:rPr>
          <w:snapToGrid w:val="0"/>
        </w:rPr>
      </w:pPr>
      <w:bookmarkStart w:id="678" w:name="_Toc381881067"/>
      <w:bookmarkStart w:id="679" w:name="_Toc476927442"/>
      <w:r>
        <w:rPr>
          <w:rStyle w:val="CharSectno"/>
        </w:rPr>
        <w:t>132</w:t>
      </w:r>
      <w:r>
        <w:rPr>
          <w:snapToGrid w:val="0"/>
        </w:rPr>
        <w:t>.</w:t>
      </w:r>
      <w:r>
        <w:rPr>
          <w:snapToGrid w:val="0"/>
        </w:rPr>
        <w:tab/>
        <w:t>Transitional and savings</w:t>
      </w:r>
      <w:bookmarkEnd w:id="678"/>
      <w:bookmarkEnd w:id="679"/>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pStyle w:val="Heading2"/>
      </w:pPr>
      <w:bookmarkStart w:id="680" w:name="_Toc381881068"/>
      <w:bookmarkStart w:id="681" w:name="_Toc418081798"/>
      <w:bookmarkStart w:id="682" w:name="_Toc418082131"/>
      <w:bookmarkStart w:id="683" w:name="_Toc418087920"/>
      <w:bookmarkStart w:id="684" w:name="_Toc421012460"/>
      <w:bookmarkStart w:id="685" w:name="_Toc422409017"/>
      <w:bookmarkStart w:id="686" w:name="_Toc476927443"/>
      <w:r>
        <w:rPr>
          <w:rStyle w:val="CharPartNo"/>
        </w:rPr>
        <w:t>Part VIII</w:t>
      </w:r>
      <w:r>
        <w:rPr>
          <w:b w:val="0"/>
        </w:rPr>
        <w:t> </w:t>
      </w:r>
      <w:r>
        <w:t>—</w:t>
      </w:r>
      <w:r>
        <w:rPr>
          <w:b w:val="0"/>
        </w:rPr>
        <w:t> </w:t>
      </w:r>
      <w:r>
        <w:rPr>
          <w:rStyle w:val="CharPartText"/>
        </w:rPr>
        <w:t>Transitional provisions for amendments made to this Act</w:t>
      </w:r>
      <w:bookmarkEnd w:id="680"/>
      <w:bookmarkEnd w:id="681"/>
      <w:bookmarkEnd w:id="682"/>
      <w:bookmarkEnd w:id="683"/>
      <w:bookmarkEnd w:id="684"/>
      <w:bookmarkEnd w:id="685"/>
      <w:bookmarkEnd w:id="686"/>
    </w:p>
    <w:p>
      <w:pPr>
        <w:pStyle w:val="Footnoteheading"/>
        <w:spacing w:before="100"/>
      </w:pPr>
      <w:r>
        <w:tab/>
        <w:t>[Heading inserted by No. 24 of 2011 s. 174(12).]</w:t>
      </w:r>
    </w:p>
    <w:p>
      <w:pPr>
        <w:pStyle w:val="Heading5"/>
      </w:pPr>
      <w:bookmarkStart w:id="687" w:name="_Toc381881069"/>
      <w:bookmarkStart w:id="688" w:name="_Toc476927444"/>
      <w:r>
        <w:rPr>
          <w:rStyle w:val="CharDivNo"/>
        </w:rPr>
        <w:t>Division 1</w:t>
      </w:r>
      <w:r>
        <w:t> — </w:t>
      </w:r>
      <w:r>
        <w:rPr>
          <w:rStyle w:val="CharDivText"/>
        </w:rPr>
        <w:t xml:space="preserve">Transitional provisions arising from certain amendments made by the </w:t>
      </w:r>
      <w:r>
        <w:rPr>
          <w:rStyle w:val="CharDivText"/>
          <w:i/>
        </w:rPr>
        <w:t>Building Act 2011</w:t>
      </w:r>
      <w:bookmarkEnd w:id="687"/>
      <w:bookmarkEnd w:id="688"/>
    </w:p>
    <w:p>
      <w:pPr>
        <w:pStyle w:val="Footnoteheading"/>
        <w:spacing w:before="100"/>
      </w:pPr>
      <w:r>
        <w:tab/>
        <w:t>[Heading inserted by No. 24 of 2011 s. 174(12).]</w:t>
      </w:r>
    </w:p>
    <w:p>
      <w:pPr>
        <w:pStyle w:val="Heading5"/>
        <w:spacing w:before="200"/>
      </w:pPr>
      <w:bookmarkStart w:id="689" w:name="_Toc381881070"/>
      <w:bookmarkStart w:id="690" w:name="_Toc476927445"/>
      <w:r>
        <w:rPr>
          <w:rStyle w:val="CharSectno"/>
        </w:rPr>
        <w:t>133</w:t>
      </w:r>
      <w:r>
        <w:t>.</w:t>
      </w:r>
      <w:r>
        <w:tab/>
        <w:t>Terms used</w:t>
      </w:r>
      <w:bookmarkEnd w:id="689"/>
      <w:bookmarkEnd w:id="690"/>
    </w:p>
    <w:p>
      <w:pPr>
        <w:pStyle w:val="Subsection"/>
        <w:spacing w:before="120"/>
      </w:pPr>
      <w:r>
        <w:tab/>
      </w:r>
      <w:r>
        <w:tab/>
        <w:t xml:space="preserve">In this Division — </w:t>
      </w:r>
    </w:p>
    <w:p>
      <w:pPr>
        <w:pStyle w:val="Defstart"/>
        <w:spacing w:before="70"/>
      </w:pPr>
      <w:r>
        <w:tab/>
      </w:r>
      <w:r>
        <w:rPr>
          <w:rStyle w:val="CharDefText"/>
        </w:rPr>
        <w:t>amendments</w:t>
      </w:r>
      <w:r>
        <w:t xml:space="preserve"> means the amendments made by the </w:t>
      </w:r>
      <w:r>
        <w:rPr>
          <w:i/>
          <w:iCs/>
        </w:rPr>
        <w:t>Building Act 2011</w:t>
      </w:r>
      <w:r>
        <w:t xml:space="preserve"> section 174;</w:t>
      </w:r>
    </w:p>
    <w:p>
      <w:pPr>
        <w:pStyle w:val="Defstart"/>
        <w:spacing w:before="70"/>
      </w:pPr>
      <w:r>
        <w:tab/>
      </w:r>
      <w:r>
        <w:rPr>
          <w:rStyle w:val="CharDefText"/>
        </w:rPr>
        <w:t>commencement day</w:t>
      </w:r>
      <w:r>
        <w:t xml:space="preserve"> means the day on which the </w:t>
      </w:r>
      <w:r>
        <w:rPr>
          <w:i/>
          <w:iCs/>
        </w:rPr>
        <w:t>Building Act 2011</w:t>
      </w:r>
      <w:r>
        <w:t xml:space="preserve"> section 174 comes into operation</w:t>
      </w:r>
      <w:r>
        <w:rPr>
          <w:vertAlign w:val="superscript"/>
        </w:rPr>
        <w:t> 1</w:t>
      </w:r>
      <w:r>
        <w:t>.</w:t>
      </w:r>
    </w:p>
    <w:p>
      <w:pPr>
        <w:pStyle w:val="Footnotesection"/>
        <w:spacing w:before="100"/>
      </w:pPr>
      <w:r>
        <w:tab/>
        <w:t>[Section 133 inserted by No. 24 of 2011 s. 174(12).]</w:t>
      </w:r>
    </w:p>
    <w:p>
      <w:pPr>
        <w:pStyle w:val="Heading5"/>
        <w:spacing w:before="200"/>
      </w:pPr>
      <w:bookmarkStart w:id="691" w:name="_Toc381881071"/>
      <w:bookmarkStart w:id="692" w:name="_Toc476927446"/>
      <w:r>
        <w:rPr>
          <w:rStyle w:val="CharSectno"/>
        </w:rPr>
        <w:t>134</w:t>
      </w:r>
      <w:r>
        <w:t>.</w:t>
      </w:r>
      <w:r>
        <w:tab/>
        <w:t>Certificates of local government required by s. 5B(2)</w:t>
      </w:r>
      <w:bookmarkEnd w:id="691"/>
      <w:bookmarkEnd w:id="692"/>
    </w:p>
    <w:p>
      <w:pPr>
        <w:pStyle w:val="Subsection"/>
        <w:spacing w:before="120"/>
      </w:pPr>
      <w:r>
        <w:tab/>
      </w:r>
      <w:r>
        <w:tab/>
        <w:t>A strata plan that was lodged for registration, but not registered, before commencement day must be dealt with as if the amendments had not been made.</w:t>
      </w:r>
    </w:p>
    <w:p>
      <w:pPr>
        <w:pStyle w:val="Footnotesection"/>
        <w:spacing w:before="100"/>
      </w:pPr>
      <w:r>
        <w:tab/>
        <w:t>[Section 134 inserted by No. 24 of 2011 s. 174(12).]</w:t>
      </w:r>
    </w:p>
    <w:p>
      <w:pPr>
        <w:pStyle w:val="Heading5"/>
        <w:spacing w:before="200"/>
      </w:pPr>
      <w:bookmarkStart w:id="693" w:name="_Toc381881072"/>
      <w:bookmarkStart w:id="694" w:name="_Toc476927447"/>
      <w:r>
        <w:rPr>
          <w:rStyle w:val="CharSectno"/>
        </w:rPr>
        <w:t>135</w:t>
      </w:r>
      <w:r>
        <w:t>.</w:t>
      </w:r>
      <w:r>
        <w:tab/>
        <w:t>Certificates of local government required by s. 8A(f)</w:t>
      </w:r>
      <w:bookmarkEnd w:id="693"/>
      <w:bookmarkEnd w:id="694"/>
    </w:p>
    <w:p>
      <w:pPr>
        <w:pStyle w:val="Subsection"/>
        <w:spacing w:before="120"/>
      </w:pPr>
      <w:r>
        <w:tab/>
      </w:r>
      <w:r>
        <w:tab/>
        <w:t>An application to register a plan of re</w:t>
      </w:r>
      <w:r>
        <w:noBreakHyphen/>
        <w:t>subdivision of a lot in a strata scheme that was started, but not finalised, before commencement day must be dealt with as if the amendments had not been made.</w:t>
      </w:r>
    </w:p>
    <w:p>
      <w:pPr>
        <w:pStyle w:val="Footnotesection"/>
        <w:spacing w:before="100"/>
      </w:pPr>
      <w:r>
        <w:tab/>
        <w:t>[Section 135 inserted by No. 24 of 2011 s. 174(12).]</w:t>
      </w:r>
    </w:p>
    <w:p>
      <w:pPr>
        <w:pStyle w:val="Heading5"/>
        <w:spacing w:before="200"/>
      </w:pPr>
      <w:bookmarkStart w:id="695" w:name="_Toc381881073"/>
      <w:bookmarkStart w:id="696" w:name="_Toc476927448"/>
      <w:r>
        <w:rPr>
          <w:rStyle w:val="CharSectno"/>
        </w:rPr>
        <w:t>136</w:t>
      </w:r>
      <w:r>
        <w:t>.</w:t>
      </w:r>
      <w:r>
        <w:tab/>
        <w:t>Applications for certificates of local government and review of related decisions</w:t>
      </w:r>
      <w:bookmarkEnd w:id="695"/>
      <w:bookmarkEnd w:id="696"/>
    </w:p>
    <w:p>
      <w:pPr>
        <w:pStyle w:val="Subsection"/>
        <w:spacing w:before="120"/>
      </w:pPr>
      <w:r>
        <w:tab/>
        <w:t>(1)</w:t>
      </w:r>
      <w:r>
        <w:tab/>
        <w:t xml:space="preserve">In this section — </w:t>
      </w:r>
    </w:p>
    <w:p>
      <w:pPr>
        <w:pStyle w:val="Defstart"/>
      </w:pPr>
      <w:r>
        <w:tab/>
      </w:r>
      <w:r>
        <w:rPr>
          <w:rStyle w:val="CharDefText"/>
        </w:rPr>
        <w:t>application</w:t>
      </w:r>
      <w:r>
        <w:t xml:space="preserve"> means an application as defined in section 26(1) as in force immediately before commencement day.</w:t>
      </w:r>
    </w:p>
    <w:p>
      <w:pPr>
        <w:pStyle w:val="Subsection"/>
      </w:pPr>
      <w:r>
        <w:tab/>
        <w:t>(2)</w:t>
      </w:r>
      <w:r>
        <w:tab/>
        <w:t>An application that was started, but not finalised, before commencement day must be dealt with as if the amendments had not been made.</w:t>
      </w:r>
    </w:p>
    <w:p>
      <w:pPr>
        <w:pStyle w:val="Subsection"/>
      </w:pPr>
      <w:r>
        <w:tab/>
        <w:t>(3)</w:t>
      </w:r>
      <w:r>
        <w:tab/>
        <w:t>A review under section 26 of an application mentioned in subsection (2) must be dealt with as if the amendments had not been made.</w:t>
      </w:r>
    </w:p>
    <w:p>
      <w:pPr>
        <w:pStyle w:val="Subsection"/>
      </w:pPr>
      <w:r>
        <w:tab/>
        <w:t>(4)</w:t>
      </w:r>
      <w:r>
        <w:tab/>
        <w:t>A review under section 26 that was started, but not finalised, before commencement day must be dealt with as if the amendments had not been made.</w:t>
      </w:r>
    </w:p>
    <w:p>
      <w:pPr>
        <w:pStyle w:val="Subsection"/>
      </w:pPr>
      <w:r>
        <w:tab/>
        <w:t>(5)</w:t>
      </w:r>
      <w:r>
        <w:tab/>
        <w:t xml:space="preserve">If a certificate that had been required by section 5B(2) and 8A(f) before the amendments is given by a local government as a consequence of — </w:t>
      </w:r>
    </w:p>
    <w:p>
      <w:pPr>
        <w:pStyle w:val="Indenta"/>
      </w:pPr>
      <w:r>
        <w:tab/>
        <w:t>(a)</w:t>
      </w:r>
      <w:r>
        <w:tab/>
        <w:t xml:space="preserve">an application mentioned in subsection (2); or </w:t>
      </w:r>
    </w:p>
    <w:p>
      <w:pPr>
        <w:pStyle w:val="Indenta"/>
      </w:pPr>
      <w:r>
        <w:tab/>
        <w:t>(b)</w:t>
      </w:r>
      <w:r>
        <w:tab/>
        <w:t xml:space="preserve">a review mentioned in subsection (3) or (4), </w:t>
      </w:r>
    </w:p>
    <w:p>
      <w:pPr>
        <w:pStyle w:val="Subsection"/>
      </w:pPr>
      <w:r>
        <w:tab/>
      </w:r>
      <w:r>
        <w:tab/>
        <w:t>sections 5B(2) and 8A(f) are to be read as if that particular certificate must accompany the plan.</w:t>
      </w:r>
    </w:p>
    <w:p>
      <w:pPr>
        <w:pStyle w:val="Footnotesection"/>
      </w:pPr>
      <w:r>
        <w:tab/>
        <w:t>[Section 136 inserted by No. 24 of 2011 s. 174(12).]</w:t>
      </w:r>
    </w:p>
    <w:p>
      <w:pPr>
        <w:sectPr>
          <w:headerReference w:type="even" r:id="rId22"/>
          <w:headerReference w:type="default" r:id="rId23"/>
          <w:footerReference w:type="even" r:id="rId24"/>
          <w:headerReference w:type="first" r:id="rId25"/>
          <w:pgSz w:w="11907" w:h="16840" w:code="9"/>
          <w:pgMar w:top="2376" w:right="2405" w:bottom="3542" w:left="2405" w:header="706" w:footer="3380" w:gutter="0"/>
          <w:pgNumType w:start="1"/>
          <w:cols w:space="720"/>
          <w:noEndnote/>
          <w:titlePg/>
          <w:docGrid w:linePitch="326"/>
        </w:sectPr>
      </w:pPr>
    </w:p>
    <w:p>
      <w:pPr>
        <w:pStyle w:val="yScheduleHeading"/>
        <w:outlineLvl w:val="0"/>
      </w:pPr>
      <w:bookmarkStart w:id="697" w:name="_Toc381881074"/>
      <w:bookmarkStart w:id="698" w:name="_Toc418081804"/>
      <w:bookmarkStart w:id="699" w:name="_Toc418082137"/>
      <w:bookmarkStart w:id="700" w:name="_Toc418087926"/>
      <w:bookmarkStart w:id="701" w:name="_Toc421012466"/>
      <w:bookmarkStart w:id="702" w:name="_Toc422409023"/>
      <w:bookmarkStart w:id="703" w:name="_Toc476927449"/>
      <w:r>
        <w:rPr>
          <w:rStyle w:val="CharSchNo"/>
        </w:rPr>
        <w:t>Schedule 1</w:t>
      </w:r>
      <w:r>
        <w:t> — </w:t>
      </w:r>
      <w:r>
        <w:rPr>
          <w:rStyle w:val="CharSchText"/>
        </w:rPr>
        <w:t>By-laws</w:t>
      </w:r>
      <w:bookmarkEnd w:id="697"/>
      <w:bookmarkEnd w:id="698"/>
      <w:bookmarkEnd w:id="699"/>
      <w:bookmarkEnd w:id="700"/>
      <w:bookmarkEnd w:id="701"/>
      <w:bookmarkEnd w:id="702"/>
      <w:bookmarkEnd w:id="703"/>
    </w:p>
    <w:p>
      <w:pPr>
        <w:pStyle w:val="yShoulderClause"/>
        <w:rPr>
          <w:snapToGrid w:val="0"/>
        </w:rPr>
      </w:pPr>
      <w:r>
        <w:rPr>
          <w:snapToGrid w:val="0"/>
        </w:rPr>
        <w:t>[s. 42(2)]</w:t>
      </w:r>
    </w:p>
    <w:p>
      <w:pPr>
        <w:pStyle w:val="yFootnoteheading"/>
      </w:pPr>
      <w:r>
        <w:tab/>
        <w:t>[Heading amended by No. 19 of 2010 s. 4.]</w:t>
      </w:r>
    </w:p>
    <w:p>
      <w:pPr>
        <w:pStyle w:val="yEdnotedivision"/>
      </w:pPr>
      <w:r>
        <w:t>[Part I heading deleted by No. 58 of 1995 s. 87(1).]</w:t>
      </w:r>
    </w:p>
    <w:p>
      <w:pPr>
        <w:pStyle w:val="yHeading5"/>
        <w:outlineLvl w:val="0"/>
        <w:rPr>
          <w:snapToGrid w:val="0"/>
        </w:rPr>
      </w:pPr>
      <w:bookmarkStart w:id="704" w:name="_Toc381881075"/>
      <w:bookmarkStart w:id="705" w:name="_Toc476927450"/>
      <w:r>
        <w:rPr>
          <w:rStyle w:val="CharSClsNo"/>
        </w:rPr>
        <w:t>1</w:t>
      </w:r>
      <w:r>
        <w:rPr>
          <w:snapToGrid w:val="0"/>
        </w:rPr>
        <w:t>.</w:t>
      </w:r>
      <w:r>
        <w:rPr>
          <w:snapToGrid w:val="0"/>
        </w:rPr>
        <w:tab/>
        <w:t>Duties of proprietor, occupiers etc.</w:t>
      </w:r>
      <w:bookmarkEnd w:id="704"/>
      <w:bookmarkEnd w:id="705"/>
    </w:p>
    <w:p>
      <w:pPr>
        <w:pStyle w:val="ySubsection"/>
        <w:rPr>
          <w:snapToGrid w:val="0"/>
        </w:rPr>
      </w:pPr>
      <w:r>
        <w:rPr>
          <w:snapToGrid w:val="0"/>
        </w:rPr>
        <w:tab/>
        <w:t>(1)</w:t>
      </w:r>
      <w:r>
        <w:rPr>
          <w:snapToGrid w:val="0"/>
        </w:rPr>
        <w:tab/>
        <w:t>A proprietor shall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 and</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 and</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706" w:name="_Toc381881076"/>
      <w:bookmarkStart w:id="707" w:name="_Toc476927451"/>
      <w:r>
        <w:rPr>
          <w:rStyle w:val="CharSClsNo"/>
        </w:rPr>
        <w:t>2</w:t>
      </w:r>
      <w:r>
        <w:rPr>
          <w:snapToGrid w:val="0"/>
        </w:rPr>
        <w:t>.</w:t>
      </w:r>
      <w:r>
        <w:rPr>
          <w:snapToGrid w:val="0"/>
        </w:rPr>
        <w:tab/>
        <w:t>Power of proprietor to decorate etc.</w:t>
      </w:r>
      <w:bookmarkEnd w:id="706"/>
      <w:bookmarkEnd w:id="707"/>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708" w:name="_Toc381881077"/>
      <w:bookmarkStart w:id="709" w:name="_Toc476927452"/>
      <w:r>
        <w:rPr>
          <w:snapToGrid w:val="0"/>
        </w:rPr>
        <w:t>3.</w:t>
      </w:r>
      <w:r>
        <w:rPr>
          <w:snapToGrid w:val="0"/>
        </w:rPr>
        <w:tab/>
        <w:t>Power of strata company regarding submeters</w:t>
      </w:r>
      <w:bookmarkEnd w:id="708"/>
      <w:bookmarkEnd w:id="709"/>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r>
        <w:tab/>
        <w:t>[By</w:t>
      </w:r>
      <w:r>
        <w:noBreakHyphen/>
        <w:t>law 3 amended by No. 26 of 1999 s. 104; No. 74 of 2003 s. 112(16).]</w:t>
      </w:r>
    </w:p>
    <w:p>
      <w:pPr>
        <w:pStyle w:val="yHeading5"/>
        <w:outlineLvl w:val="0"/>
        <w:rPr>
          <w:snapToGrid w:val="0"/>
        </w:rPr>
      </w:pPr>
      <w:bookmarkStart w:id="710" w:name="_Toc381881078"/>
      <w:bookmarkStart w:id="711" w:name="_Toc476927453"/>
      <w:r>
        <w:rPr>
          <w:rStyle w:val="CharSClsNo"/>
        </w:rPr>
        <w:t>4</w:t>
      </w:r>
      <w:r>
        <w:rPr>
          <w:snapToGrid w:val="0"/>
        </w:rPr>
        <w:t>.</w:t>
      </w:r>
      <w:r>
        <w:rPr>
          <w:snapToGrid w:val="0"/>
        </w:rPr>
        <w:tab/>
        <w:t>Constitution of council</w:t>
      </w:r>
      <w:bookmarkEnd w:id="710"/>
      <w:bookmarkEnd w:id="711"/>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w:t>
      </w:r>
    </w:p>
    <w:p>
      <w:pPr>
        <w:pStyle w:val="yIndenta"/>
        <w:rPr>
          <w:snapToGrid w:val="0"/>
        </w:rPr>
      </w:pPr>
      <w:r>
        <w:rPr>
          <w:snapToGrid w:val="0"/>
        </w:rPr>
        <w:tab/>
        <w:t>(a)</w:t>
      </w:r>
      <w:r>
        <w:rPr>
          <w:snapToGrid w:val="0"/>
        </w:rPr>
        <w:tab/>
        <w:t>if he dies or ceases to be a proprietor or a co</w:t>
      </w:r>
      <w:r>
        <w:rPr>
          <w:snapToGrid w:val="0"/>
        </w:rPr>
        <w:noBreakHyphen/>
        <w:t>proprietor of a lot; or</w:t>
      </w:r>
    </w:p>
    <w:p>
      <w:pPr>
        <w:pStyle w:val="yIndenta"/>
        <w:rPr>
          <w:snapToGrid w:val="0"/>
        </w:rPr>
      </w:pPr>
      <w:r>
        <w:rPr>
          <w:snapToGrid w:val="0"/>
        </w:rPr>
        <w:tab/>
        <w:t>(b)</w:t>
      </w:r>
      <w:r>
        <w:rPr>
          <w:snapToGrid w:val="0"/>
        </w:rPr>
        <w:tab/>
        <w:t>upon receipt by the strata company of notice in writing of his resignation from the office of member; or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 or</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712" w:name="_Toc381881079"/>
      <w:bookmarkStart w:id="713" w:name="_Toc476927454"/>
      <w:r>
        <w:rPr>
          <w:rStyle w:val="CharSClsNo"/>
        </w:rPr>
        <w:t>5</w:t>
      </w:r>
      <w:r>
        <w:rPr>
          <w:snapToGrid w:val="0"/>
        </w:rPr>
        <w:t>.</w:t>
      </w:r>
      <w:r>
        <w:rPr>
          <w:snapToGrid w:val="0"/>
        </w:rPr>
        <w:tab/>
        <w:t>Election of council</w:t>
      </w:r>
      <w:bookmarkEnd w:id="712"/>
      <w:bookmarkEnd w:id="713"/>
    </w:p>
    <w:p>
      <w:pPr>
        <w:pStyle w:val="ySubsection"/>
        <w:keepNext/>
        <w:rPr>
          <w:snapToGrid w:val="0"/>
        </w:rPr>
      </w:pPr>
      <w:r>
        <w:rPr>
          <w:snapToGrid w:val="0"/>
        </w:rPr>
        <w:tab/>
      </w:r>
      <w:r>
        <w:rPr>
          <w:snapToGrid w:val="0"/>
        </w:rPr>
        <w:tab/>
        <w:t>The procedure for nomination and election of members of a council shall be in accordance with the following rules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w:t>
      </w:r>
    </w:p>
    <w:p>
      <w:pPr>
        <w:pStyle w:val="yIndenti0"/>
        <w:rPr>
          <w:snapToGrid w:val="0"/>
        </w:rPr>
      </w:pPr>
      <w:r>
        <w:rPr>
          <w:snapToGrid w:val="0"/>
        </w:rPr>
        <w:tab/>
        <w:t>(a)</w:t>
      </w:r>
      <w:r>
        <w:rPr>
          <w:snapToGrid w:val="0"/>
        </w:rPr>
        <w:tab/>
        <w:t>writing thereon the names of candidates, equal in number to the number of members of the council so that no name is repeated; and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 and</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 xml:space="preserve">bylaw (9), </w:t>
      </w:r>
      <w:r>
        <w:rPr>
          <w:snapToGrid w:val="0"/>
        </w:rPr>
        <w:t>candidates, being equal in number to the number of members of the council determined in accordance with by</w:t>
      </w:r>
      <w:r>
        <w:rPr>
          <w:snapToGrid w:val="0"/>
        </w:rPr>
        <w:noBreakHyphen/>
        <w:t>law 4(3),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 xml:space="preserve">bylaw (8) </w:t>
      </w:r>
      <w:r>
        <w:rPr>
          <w:snapToGrid w:val="0"/>
        </w:rPr>
        <w:t>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Indenta"/>
        <w:rPr>
          <w:snapToGrid w:val="0"/>
        </w:rPr>
      </w:pPr>
      <w:r>
        <w:rPr>
          <w:snapToGrid w:val="0"/>
        </w:rPr>
        <w:tab/>
      </w:r>
      <w:r>
        <w:rPr>
          <w:snapToGrid w:val="0"/>
        </w:rPr>
        <w:tab/>
        <w:t>as between those candidates, the election shall be decided by a show of hands of those present and entitled to vote.</w:t>
      </w:r>
    </w:p>
    <w:p>
      <w:pPr>
        <w:pStyle w:val="yFootnotesection"/>
      </w:pPr>
      <w:r>
        <w:tab/>
        <w:t>[By</w:t>
      </w:r>
      <w:r>
        <w:noBreakHyphen/>
        <w:t>law 5 amended by No. 74 of 2003 s. 112(17)</w:t>
      </w:r>
      <w:r>
        <w:noBreakHyphen/>
        <w:t>(19).]</w:t>
      </w:r>
    </w:p>
    <w:p>
      <w:pPr>
        <w:pStyle w:val="yHeading5"/>
        <w:outlineLvl w:val="0"/>
        <w:rPr>
          <w:snapToGrid w:val="0"/>
        </w:rPr>
      </w:pPr>
      <w:bookmarkStart w:id="714" w:name="_Toc381881080"/>
      <w:bookmarkStart w:id="715" w:name="_Toc476927455"/>
      <w:r>
        <w:rPr>
          <w:rStyle w:val="CharSClsNo"/>
        </w:rPr>
        <w:t>6</w:t>
      </w:r>
      <w:r>
        <w:rPr>
          <w:snapToGrid w:val="0"/>
        </w:rPr>
        <w:t>.</w:t>
      </w:r>
      <w:r>
        <w:rPr>
          <w:snapToGrid w:val="0"/>
        </w:rPr>
        <w:tab/>
        <w:t>Chairman, secretary and treasurer of council</w:t>
      </w:r>
      <w:bookmarkEnd w:id="714"/>
      <w:bookmarkEnd w:id="715"/>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t>shall not be appointed to an office referred to in sub</w:t>
      </w:r>
      <w:r>
        <w:rPr>
          <w:snapToGrid w:val="0"/>
        </w:rPr>
        <w:noBreakHyphen/>
        <w:t>bylaw (1)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shall hold office until —</w:t>
      </w:r>
    </w:p>
    <w:p>
      <w:pPr>
        <w:pStyle w:val="yIndenta"/>
        <w:rPr>
          <w:snapToGrid w:val="0"/>
        </w:rPr>
      </w:pPr>
      <w:r>
        <w:rPr>
          <w:snapToGrid w:val="0"/>
        </w:rPr>
        <w:tab/>
        <w:t>(a)</w:t>
      </w:r>
      <w:r>
        <w:rPr>
          <w:snapToGrid w:val="0"/>
        </w:rPr>
        <w:tab/>
        <w:t>he ceases to be a member of the council; or</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716" w:name="_Toc381881081"/>
      <w:bookmarkStart w:id="717" w:name="_Toc476927456"/>
      <w:r>
        <w:rPr>
          <w:rStyle w:val="CharSClsNo"/>
        </w:rPr>
        <w:t>7</w:t>
      </w:r>
      <w:r>
        <w:rPr>
          <w:snapToGrid w:val="0"/>
        </w:rPr>
        <w:t>.</w:t>
      </w:r>
      <w:r>
        <w:rPr>
          <w:snapToGrid w:val="0"/>
        </w:rPr>
        <w:tab/>
        <w:t>Chairman, secretary and treasurer of strata company</w:t>
      </w:r>
      <w:bookmarkEnd w:id="716"/>
      <w:bookmarkEnd w:id="717"/>
    </w:p>
    <w:p>
      <w:pPr>
        <w:pStyle w:val="ySubsection"/>
        <w:rPr>
          <w:snapToGrid w:val="0"/>
        </w:rPr>
      </w:pPr>
      <w:r>
        <w:rPr>
          <w:snapToGrid w:val="0"/>
        </w:rPr>
        <w:tab/>
        <w:t>(1)</w:t>
      </w:r>
      <w:r>
        <w:rPr>
          <w:snapToGrid w:val="0"/>
        </w:rPr>
        <w:tab/>
        <w:t>Subject to sub</w:t>
      </w:r>
      <w:r>
        <w:rPr>
          <w:snapToGrid w:val="0"/>
        </w:rPr>
        <w:noBreakHyphen/>
        <w:t>bylaw (2),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may act until the end of the meeting for which he was appointed to act.</w:t>
      </w:r>
    </w:p>
    <w:p>
      <w:pPr>
        <w:pStyle w:val="yFootnotesection"/>
      </w:pPr>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718" w:name="_Toc381881082"/>
      <w:bookmarkStart w:id="719" w:name="_Toc476927457"/>
      <w:r>
        <w:rPr>
          <w:rStyle w:val="CharSClsNo"/>
        </w:rPr>
        <w:t>8</w:t>
      </w:r>
      <w:r>
        <w:rPr>
          <w:snapToGrid w:val="0"/>
        </w:rPr>
        <w:t>.</w:t>
      </w:r>
      <w:r>
        <w:rPr>
          <w:snapToGrid w:val="0"/>
        </w:rPr>
        <w:tab/>
        <w:t>Meetings of council</w:t>
      </w:r>
      <w:bookmarkEnd w:id="718"/>
      <w:bookmarkEnd w:id="719"/>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720" w:name="_Toc381881083"/>
      <w:bookmarkStart w:id="721" w:name="_Toc476927458"/>
      <w:r>
        <w:rPr>
          <w:rStyle w:val="CharSClsNo"/>
        </w:rPr>
        <w:t>9</w:t>
      </w:r>
      <w:r>
        <w:rPr>
          <w:snapToGrid w:val="0"/>
        </w:rPr>
        <w:t>.</w:t>
      </w:r>
      <w:r>
        <w:rPr>
          <w:snapToGrid w:val="0"/>
        </w:rPr>
        <w:tab/>
        <w:t>Powers and duties of secretary of strata company</w:t>
      </w:r>
      <w:bookmarkEnd w:id="720"/>
      <w:bookmarkEnd w:id="721"/>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 and</w:t>
      </w:r>
    </w:p>
    <w:p>
      <w:pPr>
        <w:pStyle w:val="yIndenta"/>
        <w:rPr>
          <w:snapToGrid w:val="0"/>
        </w:rPr>
      </w:pPr>
      <w:r>
        <w:rPr>
          <w:snapToGrid w:val="0"/>
        </w:rPr>
        <w:tab/>
        <w:t>(b)</w:t>
      </w:r>
      <w:r>
        <w:rPr>
          <w:snapToGrid w:val="0"/>
        </w:rPr>
        <w:tab/>
        <w:t>the giving on behalf of the strata company and of the council of the notices required to be given under the Act; and</w:t>
      </w:r>
    </w:p>
    <w:p>
      <w:pPr>
        <w:pStyle w:val="yIndenta"/>
        <w:rPr>
          <w:snapToGrid w:val="0"/>
        </w:rPr>
      </w:pPr>
      <w:r>
        <w:rPr>
          <w:snapToGrid w:val="0"/>
        </w:rPr>
        <w:tab/>
        <w:t>(c)</w:t>
      </w:r>
      <w:r>
        <w:rPr>
          <w:snapToGrid w:val="0"/>
        </w:rPr>
        <w:tab/>
        <w:t>the supply of information on behalf of the strata company in accordance with section 43(1)(a) and (b) of the Act; and</w:t>
      </w:r>
    </w:p>
    <w:p>
      <w:pPr>
        <w:pStyle w:val="yIndenta"/>
        <w:rPr>
          <w:snapToGrid w:val="0"/>
        </w:rPr>
      </w:pPr>
      <w:r>
        <w:rPr>
          <w:snapToGrid w:val="0"/>
        </w:rPr>
        <w:tab/>
        <w:t>(d)</w:t>
      </w:r>
      <w:r>
        <w:rPr>
          <w:snapToGrid w:val="0"/>
        </w:rPr>
        <w:tab/>
        <w:t>the answering of communications addressed to the strata company; and</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722" w:name="_Toc381881084"/>
      <w:bookmarkStart w:id="723" w:name="_Toc476927459"/>
      <w:r>
        <w:rPr>
          <w:rStyle w:val="CharSClsNo"/>
        </w:rPr>
        <w:t>10</w:t>
      </w:r>
      <w:r>
        <w:rPr>
          <w:snapToGrid w:val="0"/>
        </w:rPr>
        <w:t>.</w:t>
      </w:r>
      <w:r>
        <w:rPr>
          <w:snapToGrid w:val="0"/>
        </w:rPr>
        <w:tab/>
        <w:t>Powers and duties of treasurer of strata company</w:t>
      </w:r>
      <w:bookmarkEnd w:id="722"/>
      <w:bookmarkEnd w:id="723"/>
    </w:p>
    <w:p>
      <w:pPr>
        <w:pStyle w:val="ySubsection"/>
        <w:keepNext/>
        <w:rPr>
          <w:snapToGrid w:val="0"/>
        </w:rPr>
      </w:pPr>
      <w:r>
        <w:rPr>
          <w:snapToGrid w:val="0"/>
        </w:rPr>
        <w:tab/>
      </w:r>
      <w:r>
        <w:rPr>
          <w:snapToGrid w:val="0"/>
        </w:rPr>
        <w:tab/>
        <w:t>The powers and duties of the treasurer of a strata company include —</w:t>
      </w:r>
    </w:p>
    <w:p>
      <w:pPr>
        <w:pStyle w:val="yIndenta"/>
        <w:spacing w:before="70"/>
        <w:rPr>
          <w:snapToGrid w:val="0"/>
        </w:rPr>
      </w:pPr>
      <w:r>
        <w:rPr>
          <w:snapToGrid w:val="0"/>
        </w:rPr>
        <w:tab/>
        <w:t>(a)</w:t>
      </w:r>
      <w:r>
        <w:rPr>
          <w:snapToGrid w:val="0"/>
        </w:rPr>
        <w:tab/>
        <w:t>the notifying of proprietors of any contributions levied pursuant to the Act; and</w:t>
      </w:r>
    </w:p>
    <w:p>
      <w:pPr>
        <w:pStyle w:val="yIndenta"/>
        <w:spacing w:before="70"/>
        <w:rPr>
          <w:snapToGrid w:val="0"/>
        </w:rPr>
      </w:pPr>
      <w:r>
        <w:rPr>
          <w:snapToGrid w:val="0"/>
        </w:rPr>
        <w:tab/>
        <w:t>(b)</w:t>
      </w:r>
      <w:r>
        <w:rPr>
          <w:snapToGrid w:val="0"/>
        </w:rPr>
        <w:tab/>
        <w:t>the receipt, acknowledgment and banking of and the accounting for any money paid to the strata company; and</w:t>
      </w:r>
    </w:p>
    <w:p>
      <w:pPr>
        <w:pStyle w:val="yIndenta"/>
        <w:spacing w:before="70"/>
        <w:rPr>
          <w:snapToGrid w:val="0"/>
        </w:rPr>
      </w:pPr>
      <w:r>
        <w:rPr>
          <w:snapToGrid w:val="0"/>
        </w:rPr>
        <w:tab/>
        <w:t>(c)</w:t>
      </w:r>
      <w:r>
        <w:rPr>
          <w:snapToGrid w:val="0"/>
        </w:rPr>
        <w:tab/>
        <w:t>the preparation of any certificate applied for under section 43 of the Act; and</w:t>
      </w:r>
    </w:p>
    <w:p>
      <w:pPr>
        <w:pStyle w:val="yIndenta"/>
        <w:spacing w:before="70"/>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724" w:name="_Toc381881085"/>
      <w:bookmarkStart w:id="725" w:name="_Toc476927460"/>
      <w:r>
        <w:rPr>
          <w:rStyle w:val="CharSClsNo"/>
        </w:rPr>
        <w:t>11</w:t>
      </w:r>
      <w:r>
        <w:rPr>
          <w:snapToGrid w:val="0"/>
        </w:rPr>
        <w:t>.</w:t>
      </w:r>
      <w:r>
        <w:rPr>
          <w:snapToGrid w:val="0"/>
        </w:rPr>
        <w:tab/>
        <w:t>General meetings of strata company</w:t>
      </w:r>
      <w:bookmarkEnd w:id="724"/>
      <w:bookmarkEnd w:id="725"/>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w:t>
      </w:r>
    </w:p>
    <w:p>
      <w:pPr>
        <w:pStyle w:val="yFootnotesection"/>
        <w:rPr>
          <w:iCs/>
        </w:rPr>
      </w:pPr>
      <w:r>
        <w:tab/>
        <w:t>[By</w:t>
      </w:r>
      <w:r>
        <w:noBreakHyphen/>
        <w:t xml:space="preserve">law 11 amended by </w:t>
      </w:r>
      <w:r>
        <w:rPr>
          <w:iCs/>
        </w:rPr>
        <w:t>No. 58 of 1995 s. 87(4).]</w:t>
      </w:r>
    </w:p>
    <w:p>
      <w:pPr>
        <w:pStyle w:val="yHeading5"/>
        <w:outlineLvl w:val="0"/>
        <w:rPr>
          <w:snapToGrid w:val="0"/>
        </w:rPr>
      </w:pPr>
      <w:bookmarkStart w:id="726" w:name="_Toc381881086"/>
      <w:bookmarkStart w:id="727" w:name="_Toc476927461"/>
      <w:r>
        <w:rPr>
          <w:rStyle w:val="CharSClsNo"/>
        </w:rPr>
        <w:t>12</w:t>
      </w:r>
      <w:r>
        <w:rPr>
          <w:snapToGrid w:val="0"/>
        </w:rPr>
        <w:t>.</w:t>
      </w:r>
      <w:r>
        <w:rPr>
          <w:snapToGrid w:val="0"/>
        </w:rPr>
        <w:tab/>
        <w:t>Proceedings at general meetings</w:t>
      </w:r>
      <w:bookmarkEnd w:id="726"/>
      <w:bookmarkEnd w:id="727"/>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r>
        <w:tab/>
        <w:t>[By</w:t>
      </w:r>
      <w:r>
        <w:noBreakHyphen/>
        <w:t xml:space="preserve">law 12 amended by </w:t>
      </w:r>
      <w:r>
        <w:rPr>
          <w:iCs/>
        </w:rPr>
        <w:t xml:space="preserve">No. 58 of 1995 s. 87(5); </w:t>
      </w:r>
      <w:r>
        <w:t>No. 74 of 2003 s. 112(21).]</w:t>
      </w:r>
    </w:p>
    <w:p>
      <w:pPr>
        <w:pStyle w:val="yHeading5"/>
        <w:spacing w:before="800"/>
        <w:outlineLvl w:val="0"/>
        <w:rPr>
          <w:snapToGrid w:val="0"/>
        </w:rPr>
      </w:pPr>
      <w:bookmarkStart w:id="728" w:name="_Toc381881087"/>
      <w:bookmarkStart w:id="729" w:name="_Toc476927462"/>
      <w:r>
        <w:rPr>
          <w:rStyle w:val="CharSClsNo"/>
        </w:rPr>
        <w:t>13</w:t>
      </w:r>
      <w:r>
        <w:rPr>
          <w:snapToGrid w:val="0"/>
        </w:rPr>
        <w:t>.</w:t>
      </w:r>
      <w:r>
        <w:rPr>
          <w:snapToGrid w:val="0"/>
        </w:rPr>
        <w:tab/>
        <w:t>Restriction on moving motion or nominating candidate</w:t>
      </w:r>
      <w:bookmarkEnd w:id="728"/>
      <w:bookmarkEnd w:id="729"/>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730" w:name="_Toc381881088"/>
      <w:bookmarkStart w:id="731" w:name="_Toc476927463"/>
      <w:r>
        <w:rPr>
          <w:rStyle w:val="CharSClsNo"/>
        </w:rPr>
        <w:t>14</w:t>
      </w:r>
      <w:r>
        <w:rPr>
          <w:snapToGrid w:val="0"/>
        </w:rPr>
        <w:t>.</w:t>
      </w:r>
      <w:r>
        <w:rPr>
          <w:snapToGrid w:val="0"/>
        </w:rPr>
        <w:tab/>
        <w:t>Votes of proprietors</w:t>
      </w:r>
      <w:bookmarkEnd w:id="730"/>
      <w:bookmarkEnd w:id="731"/>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r>
        <w:tab/>
        <w:t>[By</w:t>
      </w:r>
      <w:r>
        <w:noBreakHyphen/>
        <w:t xml:space="preserve">law 14 amended by </w:t>
      </w:r>
      <w:r>
        <w:rPr>
          <w:iCs/>
        </w:rPr>
        <w:t>No. 24 of 2000 s. 40(12</w:t>
      </w:r>
      <w:r>
        <w:t>).]</w:t>
      </w:r>
    </w:p>
    <w:p>
      <w:pPr>
        <w:pStyle w:val="yHeading5"/>
        <w:outlineLvl w:val="0"/>
        <w:rPr>
          <w:snapToGrid w:val="0"/>
        </w:rPr>
      </w:pPr>
      <w:bookmarkStart w:id="732" w:name="_Toc381881089"/>
      <w:bookmarkStart w:id="733" w:name="_Toc476927464"/>
      <w:r>
        <w:rPr>
          <w:rStyle w:val="CharSClsNo"/>
        </w:rPr>
        <w:t>15</w:t>
      </w:r>
      <w:r>
        <w:rPr>
          <w:snapToGrid w:val="0"/>
        </w:rPr>
        <w:t>.</w:t>
      </w:r>
      <w:r>
        <w:rPr>
          <w:snapToGrid w:val="0"/>
        </w:rPr>
        <w:tab/>
      </w:r>
      <w:r>
        <w:rPr>
          <w:rStyle w:val="CharSClsNo"/>
        </w:rPr>
        <w:t>Common</w:t>
      </w:r>
      <w:r>
        <w:rPr>
          <w:snapToGrid w:val="0"/>
        </w:rPr>
        <w:t xml:space="preserve"> seal</w:t>
      </w:r>
      <w:bookmarkEnd w:id="732"/>
      <w:bookmarkEnd w:id="733"/>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t>Deleted by No. 58 of 1995 s. 87(6).]</w:t>
      </w:r>
    </w:p>
    <w:p>
      <w:pPr>
        <w:pStyle w:val="yEdnotedivision"/>
      </w:pPr>
      <w:r>
        <w:t>[Part II deleted by No. 58 of 1995 s. 87(7).]</w:t>
      </w:r>
    </w:p>
    <w:p>
      <w:pPr>
        <w:pStyle w:val="yScheduleHeading"/>
        <w:outlineLvl w:val="0"/>
      </w:pPr>
      <w:bookmarkStart w:id="734" w:name="_Toc381881090"/>
      <w:bookmarkStart w:id="735" w:name="_Toc418081820"/>
      <w:bookmarkStart w:id="736" w:name="_Toc418082153"/>
      <w:bookmarkStart w:id="737" w:name="_Toc418087942"/>
      <w:bookmarkStart w:id="738" w:name="_Toc421012482"/>
      <w:bookmarkStart w:id="739" w:name="_Toc422409039"/>
      <w:bookmarkStart w:id="740" w:name="_Toc476927465"/>
      <w:r>
        <w:rPr>
          <w:rStyle w:val="CharSchNo"/>
        </w:rPr>
        <w:t>Schedule 2</w:t>
      </w:r>
      <w:r>
        <w:t> — </w:t>
      </w:r>
      <w:r>
        <w:rPr>
          <w:rStyle w:val="CharSchText"/>
        </w:rPr>
        <w:t>Schedule 2 by-laws</w:t>
      </w:r>
      <w:bookmarkEnd w:id="734"/>
      <w:bookmarkEnd w:id="735"/>
      <w:bookmarkEnd w:id="736"/>
      <w:bookmarkEnd w:id="737"/>
      <w:bookmarkEnd w:id="738"/>
      <w:bookmarkEnd w:id="739"/>
      <w:bookmarkEnd w:id="740"/>
    </w:p>
    <w:p>
      <w:pPr>
        <w:pStyle w:val="yShoulderClause"/>
        <w:spacing w:before="80"/>
        <w:rPr>
          <w:snapToGrid w:val="0"/>
        </w:rPr>
      </w:pPr>
      <w:r>
        <w:rPr>
          <w:snapToGrid w:val="0"/>
        </w:rPr>
        <w:t>[s.</w:t>
      </w:r>
      <w:r>
        <w:t> </w:t>
      </w:r>
      <w:r>
        <w:rPr>
          <w:snapToGrid w:val="0"/>
        </w:rPr>
        <w:t>42(2)]</w:t>
      </w:r>
    </w:p>
    <w:p>
      <w:pPr>
        <w:pStyle w:val="yFootnoteheading"/>
      </w:pPr>
      <w:r>
        <w:tab/>
        <w:t>[Heading amended by No. 19 of 2010 s. 4.]</w:t>
      </w:r>
    </w:p>
    <w:p>
      <w:pPr>
        <w:pStyle w:val="yEdnotedivision"/>
      </w:pPr>
      <w:r>
        <w:t>[Heading deleted by No. 58 of 1995 s. 88(1)(b).]</w:t>
      </w:r>
    </w:p>
    <w:p>
      <w:pPr>
        <w:pStyle w:val="yHeading5"/>
        <w:outlineLvl w:val="0"/>
        <w:rPr>
          <w:snapToGrid w:val="0"/>
        </w:rPr>
      </w:pPr>
      <w:bookmarkStart w:id="741" w:name="_Toc381881091"/>
      <w:bookmarkStart w:id="742" w:name="_Toc476927466"/>
      <w:r>
        <w:rPr>
          <w:rStyle w:val="CharSClsNo"/>
        </w:rPr>
        <w:t>1</w:t>
      </w:r>
      <w:r>
        <w:rPr>
          <w:snapToGrid w:val="0"/>
        </w:rPr>
        <w:t>.</w:t>
      </w:r>
      <w:r>
        <w:rPr>
          <w:snapToGrid w:val="0"/>
        </w:rPr>
        <w:tab/>
        <w:t>Vehicles</w:t>
      </w:r>
      <w:bookmarkEnd w:id="741"/>
      <w:bookmarkEnd w:id="742"/>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743" w:name="_Toc381881092"/>
      <w:bookmarkStart w:id="744" w:name="_Toc476927467"/>
      <w:r>
        <w:rPr>
          <w:rStyle w:val="CharSClsNo"/>
        </w:rPr>
        <w:t>2</w:t>
      </w:r>
      <w:r>
        <w:rPr>
          <w:snapToGrid w:val="0"/>
        </w:rPr>
        <w:t>.</w:t>
      </w:r>
      <w:r>
        <w:rPr>
          <w:snapToGrid w:val="0"/>
        </w:rPr>
        <w:tab/>
        <w:t>Obstruction of common property</w:t>
      </w:r>
      <w:bookmarkEnd w:id="743"/>
      <w:bookmarkEnd w:id="744"/>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745" w:name="_Toc381881093"/>
      <w:bookmarkStart w:id="746" w:name="_Toc476927468"/>
      <w:r>
        <w:rPr>
          <w:rStyle w:val="CharSClsNo"/>
        </w:rPr>
        <w:t>3</w:t>
      </w:r>
      <w:r>
        <w:rPr>
          <w:snapToGrid w:val="0"/>
        </w:rPr>
        <w:t>.</w:t>
      </w:r>
      <w:r>
        <w:rPr>
          <w:snapToGrid w:val="0"/>
        </w:rPr>
        <w:tab/>
        <w:t>Damage to lawns etc. on common property</w:t>
      </w:r>
      <w:bookmarkEnd w:id="745"/>
      <w:bookmarkEnd w:id="746"/>
    </w:p>
    <w:p>
      <w:pPr>
        <w:pStyle w:val="ySubsection"/>
        <w:keepNext/>
        <w:rPr>
          <w:snapToGrid w:val="0"/>
        </w:rPr>
      </w:pPr>
      <w:r>
        <w:rPr>
          <w:snapToGrid w:val="0"/>
        </w:rPr>
        <w:tab/>
      </w:r>
      <w:r>
        <w:rPr>
          <w:snapToGrid w:val="0"/>
        </w:rPr>
        <w:tab/>
        <w:t>Except with the approval of the strata company, a proprietor, occupier, or other resident of a lot shall not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747" w:name="_Toc381881094"/>
      <w:bookmarkStart w:id="748" w:name="_Toc476927469"/>
      <w:r>
        <w:rPr>
          <w:rStyle w:val="CharSClsNo"/>
        </w:rPr>
        <w:t>4</w:t>
      </w:r>
      <w:r>
        <w:rPr>
          <w:snapToGrid w:val="0"/>
        </w:rPr>
        <w:t>.</w:t>
      </w:r>
      <w:r>
        <w:rPr>
          <w:snapToGrid w:val="0"/>
        </w:rPr>
        <w:tab/>
        <w:t>Behaviour of proprietors and occupiers</w:t>
      </w:r>
      <w:bookmarkEnd w:id="747"/>
      <w:bookmarkEnd w:id="748"/>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749" w:name="_Toc381881095"/>
      <w:bookmarkStart w:id="750" w:name="_Toc476927470"/>
      <w:r>
        <w:rPr>
          <w:rStyle w:val="CharSClsNo"/>
        </w:rPr>
        <w:t>5</w:t>
      </w:r>
      <w:r>
        <w:rPr>
          <w:snapToGrid w:val="0"/>
        </w:rPr>
        <w:t>.</w:t>
      </w:r>
      <w:r>
        <w:rPr>
          <w:snapToGrid w:val="0"/>
        </w:rPr>
        <w:tab/>
        <w:t>Children playing upon common property in building</w:t>
      </w:r>
      <w:bookmarkEnd w:id="749"/>
      <w:bookmarkEnd w:id="750"/>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751" w:name="_Toc381881096"/>
      <w:bookmarkStart w:id="752" w:name="_Toc476927471"/>
      <w:r>
        <w:rPr>
          <w:rStyle w:val="CharSClsNo"/>
        </w:rPr>
        <w:t>6</w:t>
      </w:r>
      <w:r>
        <w:rPr>
          <w:snapToGrid w:val="0"/>
        </w:rPr>
        <w:t>.</w:t>
      </w:r>
      <w:r>
        <w:rPr>
          <w:snapToGrid w:val="0"/>
        </w:rPr>
        <w:tab/>
        <w:t>Depositing rubbish etc. on common property</w:t>
      </w:r>
      <w:bookmarkEnd w:id="751"/>
      <w:bookmarkEnd w:id="752"/>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r>
        <w:tab/>
        <w:t>[By-law 6 amended by No. 58 of 1995 s. 88(2).]</w:t>
      </w:r>
    </w:p>
    <w:p>
      <w:pPr>
        <w:pStyle w:val="yHeading5"/>
        <w:outlineLvl w:val="0"/>
        <w:rPr>
          <w:snapToGrid w:val="0"/>
        </w:rPr>
      </w:pPr>
      <w:bookmarkStart w:id="753" w:name="_Toc381881097"/>
      <w:bookmarkStart w:id="754" w:name="_Toc476927472"/>
      <w:r>
        <w:rPr>
          <w:rStyle w:val="CharSClsNo"/>
        </w:rPr>
        <w:t>7</w:t>
      </w:r>
      <w:r>
        <w:rPr>
          <w:snapToGrid w:val="0"/>
        </w:rPr>
        <w:t>.</w:t>
      </w:r>
      <w:r>
        <w:rPr>
          <w:snapToGrid w:val="0"/>
        </w:rPr>
        <w:tab/>
        <w:t>Drying of laundry items</w:t>
      </w:r>
      <w:bookmarkEnd w:id="753"/>
      <w:bookmarkEnd w:id="754"/>
    </w:p>
    <w:p>
      <w:pPr>
        <w:pStyle w:val="ySubsection"/>
        <w:keepNext/>
        <w:rPr>
          <w:snapToGrid w:val="0"/>
        </w:rPr>
      </w:pPr>
      <w:r>
        <w:rPr>
          <w:snapToGrid w:val="0"/>
        </w:rPr>
        <w:tab/>
      </w:r>
      <w:r>
        <w:rPr>
          <w:snapToGrid w:val="0"/>
        </w:rPr>
        <w:tab/>
        <w:t>A proprietor, occupier, or other resident of a lot shall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r>
        <w:tab/>
        <w:t>[Former By-law 8 repealed by No. 58 of 1995 s. 88(3).]</w:t>
      </w:r>
    </w:p>
    <w:p>
      <w:pPr>
        <w:pStyle w:val="yHeading5"/>
        <w:outlineLvl w:val="0"/>
        <w:rPr>
          <w:snapToGrid w:val="0"/>
        </w:rPr>
      </w:pPr>
      <w:bookmarkStart w:id="755" w:name="_Toc381881098"/>
      <w:bookmarkStart w:id="756" w:name="_Toc476927473"/>
      <w:r>
        <w:rPr>
          <w:rStyle w:val="CharSClsNo"/>
        </w:rPr>
        <w:t>8</w:t>
      </w:r>
      <w:r>
        <w:rPr>
          <w:snapToGrid w:val="0"/>
        </w:rPr>
        <w:t>.</w:t>
      </w:r>
      <w:r>
        <w:rPr>
          <w:snapToGrid w:val="0"/>
        </w:rPr>
        <w:tab/>
        <w:t>Storage of inflammable liquids etc.</w:t>
      </w:r>
      <w:bookmarkEnd w:id="755"/>
      <w:bookmarkEnd w:id="756"/>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r>
        <w:tab/>
        <w:t>[By-law 8, formerly by-law 9, renumbered as by-law 8 by No. 58 of 1995 s. 88(4).]</w:t>
      </w:r>
    </w:p>
    <w:p>
      <w:pPr>
        <w:pStyle w:val="yHeading5"/>
        <w:outlineLvl w:val="0"/>
        <w:rPr>
          <w:snapToGrid w:val="0"/>
        </w:rPr>
      </w:pPr>
      <w:bookmarkStart w:id="757" w:name="_Toc381881099"/>
      <w:bookmarkStart w:id="758" w:name="_Toc476927474"/>
      <w:r>
        <w:rPr>
          <w:rStyle w:val="CharSClsNo"/>
        </w:rPr>
        <w:t>9</w:t>
      </w:r>
      <w:r>
        <w:rPr>
          <w:snapToGrid w:val="0"/>
        </w:rPr>
        <w:t>.</w:t>
      </w:r>
      <w:r>
        <w:rPr>
          <w:snapToGrid w:val="0"/>
        </w:rPr>
        <w:tab/>
        <w:t>Moving furniture etc. on or through common property</w:t>
      </w:r>
      <w:bookmarkEnd w:id="757"/>
      <w:bookmarkEnd w:id="758"/>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r>
        <w:tab/>
        <w:t>[By-law 9, formerly by-law 10, renumbered as by-law 9 by No. 58 of 1995 s. 88(4).]</w:t>
      </w:r>
    </w:p>
    <w:p>
      <w:pPr>
        <w:pStyle w:val="yHeading5"/>
        <w:outlineLvl w:val="0"/>
        <w:rPr>
          <w:snapToGrid w:val="0"/>
        </w:rPr>
      </w:pPr>
      <w:bookmarkStart w:id="759" w:name="_Toc381881100"/>
      <w:bookmarkStart w:id="760" w:name="_Toc476927475"/>
      <w:r>
        <w:rPr>
          <w:rStyle w:val="CharSClsNo"/>
        </w:rPr>
        <w:t>10</w:t>
      </w:r>
      <w:r>
        <w:rPr>
          <w:snapToGrid w:val="0"/>
        </w:rPr>
        <w:t>.</w:t>
      </w:r>
      <w:r>
        <w:rPr>
          <w:snapToGrid w:val="0"/>
        </w:rPr>
        <w:tab/>
        <w:t>Floor coverings</w:t>
      </w:r>
      <w:bookmarkEnd w:id="759"/>
      <w:bookmarkEnd w:id="760"/>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r>
        <w:tab/>
        <w:t>[By-law 10, formerly by-law 11, renumbered as by-law 10 by No. 58 of 1995 s. 88(4).]</w:t>
      </w:r>
    </w:p>
    <w:p>
      <w:pPr>
        <w:pStyle w:val="yHeading5"/>
        <w:outlineLvl w:val="0"/>
        <w:rPr>
          <w:snapToGrid w:val="0"/>
        </w:rPr>
      </w:pPr>
      <w:bookmarkStart w:id="761" w:name="_Toc381881101"/>
      <w:bookmarkStart w:id="762" w:name="_Toc476927476"/>
      <w:r>
        <w:rPr>
          <w:rStyle w:val="CharSClsNo"/>
        </w:rPr>
        <w:t>11</w:t>
      </w:r>
      <w:r>
        <w:rPr>
          <w:snapToGrid w:val="0"/>
        </w:rPr>
        <w:t>.</w:t>
      </w:r>
      <w:r>
        <w:rPr>
          <w:snapToGrid w:val="0"/>
        </w:rPr>
        <w:tab/>
        <w:t>Garbage disposal</w:t>
      </w:r>
      <w:bookmarkEnd w:id="761"/>
      <w:bookmarkEnd w:id="762"/>
    </w:p>
    <w:p>
      <w:pPr>
        <w:pStyle w:val="ySubsection"/>
        <w:keepNext/>
        <w:rPr>
          <w:snapToGrid w:val="0"/>
        </w:rPr>
      </w:pPr>
      <w:r>
        <w:rPr>
          <w:snapToGrid w:val="0"/>
        </w:rPr>
        <w:tab/>
      </w:r>
      <w:r>
        <w:rPr>
          <w:snapToGrid w:val="0"/>
        </w:rPr>
        <w:tab/>
        <w:t>A proprietor or occupier of a lot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r>
        <w:tab/>
        <w:t>[By-law 11, formerly by-law 12, renumbered as by-law 11 by No. 58 of 1995 s. 88(4); amended by No. 57 of 1997 s. 115(5).]</w:t>
      </w:r>
    </w:p>
    <w:p>
      <w:pPr>
        <w:pStyle w:val="yHeading5"/>
        <w:outlineLvl w:val="0"/>
        <w:rPr>
          <w:snapToGrid w:val="0"/>
        </w:rPr>
      </w:pPr>
      <w:bookmarkStart w:id="763" w:name="_Toc381881102"/>
      <w:bookmarkStart w:id="764" w:name="_Toc476927477"/>
      <w:r>
        <w:rPr>
          <w:rStyle w:val="CharSClsNo"/>
        </w:rPr>
        <w:t>12</w:t>
      </w:r>
      <w:r>
        <w:rPr>
          <w:snapToGrid w:val="0"/>
        </w:rPr>
        <w:t>.</w:t>
      </w:r>
      <w:r>
        <w:rPr>
          <w:snapToGrid w:val="0"/>
        </w:rPr>
        <w:tab/>
        <w:t>Additional duties of proprietors, occupiers etc.</w:t>
      </w:r>
      <w:bookmarkEnd w:id="763"/>
      <w:bookmarkEnd w:id="764"/>
    </w:p>
    <w:p>
      <w:pPr>
        <w:pStyle w:val="ySubsection"/>
        <w:keepNext/>
        <w:rPr>
          <w:snapToGrid w:val="0"/>
        </w:rPr>
      </w:pPr>
      <w:r>
        <w:rPr>
          <w:snapToGrid w:val="0"/>
        </w:rPr>
        <w:tab/>
      </w:r>
      <w:r>
        <w:rPr>
          <w:snapToGrid w:val="0"/>
        </w:rPr>
        <w:tab/>
        <w:t>A proprietor, occupier or other resident shall not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 or</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r>
        <w:tab/>
        <w:t>[By</w:t>
      </w:r>
      <w:r>
        <w:noBreakHyphen/>
        <w:t>law 12 inserted by No. 58 of 1995 s. 88(5); amended by No. 74 of 2003 s. 112(22).]</w:t>
      </w:r>
    </w:p>
    <w:p>
      <w:pPr>
        <w:pStyle w:val="yHeading5"/>
        <w:outlineLvl w:val="0"/>
        <w:rPr>
          <w:snapToGrid w:val="0"/>
        </w:rPr>
      </w:pPr>
      <w:bookmarkStart w:id="765" w:name="_Toc381881103"/>
      <w:bookmarkStart w:id="766" w:name="_Toc476927478"/>
      <w:r>
        <w:rPr>
          <w:rStyle w:val="CharSClsNo"/>
        </w:rPr>
        <w:t>13</w:t>
      </w:r>
      <w:r>
        <w:rPr>
          <w:snapToGrid w:val="0"/>
        </w:rPr>
        <w:t>.</w:t>
      </w:r>
      <w:r>
        <w:rPr>
          <w:snapToGrid w:val="0"/>
        </w:rPr>
        <w:tab/>
        <w:t>Notice of alteration to lot</w:t>
      </w:r>
      <w:bookmarkEnd w:id="765"/>
      <w:bookmarkEnd w:id="766"/>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r>
        <w:tab/>
        <w:t>[By</w:t>
      </w:r>
      <w:r>
        <w:noBreakHyphen/>
        <w:t>law 13 inserted by No. 58 of 1995 s. 88(5).]</w:t>
      </w:r>
    </w:p>
    <w:p>
      <w:pPr>
        <w:pStyle w:val="yHeading5"/>
        <w:outlineLvl w:val="0"/>
        <w:rPr>
          <w:snapToGrid w:val="0"/>
        </w:rPr>
      </w:pPr>
      <w:bookmarkStart w:id="767" w:name="_Toc381881104"/>
      <w:bookmarkStart w:id="768" w:name="_Toc476927479"/>
      <w:r>
        <w:rPr>
          <w:rStyle w:val="CharSClsNo"/>
        </w:rPr>
        <w:t>14</w:t>
      </w:r>
      <w:r>
        <w:rPr>
          <w:snapToGrid w:val="0"/>
        </w:rPr>
        <w:t>.</w:t>
      </w:r>
      <w:r>
        <w:rPr>
          <w:snapToGrid w:val="0"/>
        </w:rPr>
        <w:tab/>
        <w:t>Appearance of lot</w:t>
      </w:r>
      <w:bookmarkEnd w:id="767"/>
      <w:bookmarkEnd w:id="768"/>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sectPr>
          <w:headerReference w:type="even" r:id="rId26"/>
          <w:headerReference w:type="default" r:id="rId27"/>
          <w:headerReference w:type="first" r:id="rId28"/>
          <w:pgSz w:w="11907" w:h="16840" w:code="9"/>
          <w:pgMar w:top="2376" w:right="2405" w:bottom="3542" w:left="2405" w:header="706" w:footer="3380" w:gutter="0"/>
          <w:cols w:space="720"/>
          <w:noEndnote/>
          <w:docGrid w:linePitch="326"/>
        </w:sectPr>
      </w:pPr>
    </w:p>
    <w:p>
      <w:pPr>
        <w:pStyle w:val="yScheduleHeading"/>
        <w:outlineLvl w:val="0"/>
      </w:pPr>
      <w:bookmarkStart w:id="770" w:name="_Toc381881105"/>
      <w:bookmarkStart w:id="771" w:name="_Toc418081835"/>
      <w:bookmarkStart w:id="772" w:name="_Toc418082168"/>
      <w:bookmarkStart w:id="773" w:name="_Toc418087957"/>
      <w:bookmarkStart w:id="774" w:name="_Toc421012497"/>
      <w:bookmarkStart w:id="775" w:name="_Toc422409054"/>
      <w:bookmarkStart w:id="776" w:name="_Toc476927480"/>
      <w:r>
        <w:rPr>
          <w:rStyle w:val="CharSchNo"/>
        </w:rPr>
        <w:t>Schedule 2A</w:t>
      </w:r>
      <w:r>
        <w:t> — </w:t>
      </w:r>
      <w:r>
        <w:rPr>
          <w:rStyle w:val="CharSchText"/>
        </w:rPr>
        <w:t>Matters that may be provided for in management statement</w:t>
      </w:r>
      <w:bookmarkEnd w:id="770"/>
      <w:bookmarkEnd w:id="771"/>
      <w:bookmarkEnd w:id="772"/>
      <w:bookmarkEnd w:id="773"/>
      <w:bookmarkEnd w:id="774"/>
      <w:bookmarkEnd w:id="775"/>
      <w:bookmarkEnd w:id="776"/>
    </w:p>
    <w:p>
      <w:pPr>
        <w:pStyle w:val="yShoulderClause"/>
        <w:rPr>
          <w:snapToGrid w:val="0"/>
        </w:rPr>
      </w:pPr>
      <w:r>
        <w:rPr>
          <w:snapToGrid w:val="0"/>
        </w:rPr>
        <w:t>[s. 5C and 42]</w:t>
      </w:r>
    </w:p>
    <w:p>
      <w:pPr>
        <w:pStyle w:val="yFootnoteheading"/>
        <w:rPr>
          <w:snapToGrid w:val="0"/>
        </w:rPr>
      </w:pPr>
      <w:r>
        <w:rPr>
          <w:snapToGrid w:val="0"/>
        </w:rPr>
        <w:tab/>
        <w:t>[Heading inserted by No. 58 of 1995 s. 89; amended by No. 19 of 2010 s. 4.]</w:t>
      </w:r>
    </w:p>
    <w:p>
      <w:pPr>
        <w:pStyle w:val="yMiscellaneousBody"/>
        <w:tabs>
          <w:tab w:val="left" w:pos="567"/>
        </w:tabs>
        <w:ind w:left="567" w:hanging="567"/>
        <w:rPr>
          <w:snapToGrid w:val="0"/>
        </w:rPr>
      </w:pPr>
      <w:r>
        <w:rPr>
          <w:snapToGrid w:val="0"/>
        </w:rPr>
        <w:t>1.</w:t>
      </w:r>
      <w:r>
        <w:rPr>
          <w:snapToGrid w:val="0"/>
        </w:rPr>
        <w:tab/>
        <w:t>The amendment or repeal of a by</w:t>
      </w:r>
      <w:r>
        <w:rPr>
          <w:snapToGrid w:val="0"/>
        </w:rPr>
        <w:noBreakHyphen/>
        <w:t>law contained in Schedule 1.</w:t>
      </w:r>
    </w:p>
    <w:p>
      <w:pPr>
        <w:pStyle w:val="yMiscellaneousBody"/>
        <w:tabs>
          <w:tab w:val="left" w:pos="567"/>
        </w:tabs>
        <w:ind w:left="567" w:hanging="567"/>
        <w:rPr>
          <w:snapToGrid w:val="0"/>
        </w:rPr>
      </w:pPr>
      <w:r>
        <w:rPr>
          <w:snapToGrid w:val="0"/>
        </w:rPr>
        <w:t>2.</w:t>
      </w:r>
      <w:r>
        <w:rPr>
          <w:snapToGrid w:val="0"/>
        </w:rPr>
        <w:tab/>
        <w:t>The amendment or repeal of a by</w:t>
      </w:r>
      <w:r>
        <w:rPr>
          <w:snapToGrid w:val="0"/>
        </w:rPr>
        <w:noBreakHyphen/>
        <w:t>law contained in Schedule 2.</w:t>
      </w:r>
    </w:p>
    <w:p>
      <w:pPr>
        <w:pStyle w:val="yMiscellaneousBody"/>
        <w:tabs>
          <w:tab w:val="left" w:pos="567"/>
        </w:tabs>
        <w:ind w:left="567" w:hanging="567"/>
        <w:rPr>
          <w:snapToGrid w:val="0"/>
        </w:rPr>
      </w:pPr>
      <w:r>
        <w:rPr>
          <w:snapToGrid w:val="0"/>
        </w:rPr>
        <w:t>3.</w:t>
      </w:r>
      <w:r>
        <w:rPr>
          <w:snapToGrid w:val="0"/>
        </w:rPr>
        <w:tab/>
        <w:t>Any additional by</w:t>
      </w:r>
      <w:r>
        <w:rPr>
          <w:snapToGrid w:val="0"/>
        </w:rPr>
        <w:noBreakHyphen/>
        <w:t>law that may be made under section 42.</w:t>
      </w:r>
    </w:p>
    <w:p>
      <w:pPr>
        <w:pStyle w:val="yMiscellaneousBody"/>
        <w:tabs>
          <w:tab w:val="left" w:pos="567"/>
        </w:tabs>
        <w:ind w:left="567" w:hanging="567"/>
        <w:rPr>
          <w:snapToGrid w:val="0"/>
        </w:rPr>
      </w:pPr>
      <w:r>
        <w:rPr>
          <w:snapToGrid w:val="0"/>
        </w:rPr>
        <w:t>4.</w:t>
      </w:r>
      <w:r>
        <w:rPr>
          <w:snapToGrid w:val="0"/>
        </w:rPr>
        <w:tab/>
        <w:t>The control or preservation of the essence or theme of the development under the scheme.</w:t>
      </w:r>
    </w:p>
    <w:p>
      <w:pPr>
        <w:pStyle w:val="yMiscellaneousBody"/>
        <w:tabs>
          <w:tab w:val="left" w:pos="567"/>
        </w:tabs>
        <w:ind w:left="567" w:hanging="567"/>
        <w:rPr>
          <w:snapToGrid w:val="0"/>
        </w:rPr>
      </w:pPr>
      <w:r>
        <w:rPr>
          <w:snapToGrid w:val="0"/>
        </w:rPr>
        <w:t>5.</w:t>
      </w:r>
      <w:r>
        <w:rPr>
          <w:snapToGrid w:val="0"/>
        </w:rPr>
        <w:tab/>
        <w:t>Architectural and landscaping guidelines to be observed by proprietors.</w:t>
      </w:r>
    </w:p>
    <w:p>
      <w:pPr>
        <w:pStyle w:val="yMiscellaneousBody"/>
        <w:tabs>
          <w:tab w:val="left" w:pos="567"/>
        </w:tabs>
        <w:ind w:left="567" w:hanging="567"/>
        <w:rPr>
          <w:snapToGrid w:val="0"/>
        </w:rPr>
      </w:pPr>
      <w:r>
        <w:rPr>
          <w:snapToGrid w:val="0"/>
        </w:rPr>
        <w:t>6.</w:t>
      </w:r>
      <w:r>
        <w:rPr>
          <w:snapToGrid w:val="0"/>
        </w:rPr>
        <w:tab/>
        <w:t>Plot ratio restrictions and open space requirements.</w:t>
      </w:r>
    </w:p>
    <w:p>
      <w:pPr>
        <w:pStyle w:val="yMiscellaneousBody"/>
        <w:tabs>
          <w:tab w:val="left" w:pos="567"/>
        </w:tabs>
        <w:ind w:left="567" w:hanging="567"/>
        <w:rPr>
          <w:snapToGrid w:val="0"/>
        </w:rPr>
      </w:pPr>
      <w:r>
        <w:rPr>
          <w:snapToGrid w:val="0"/>
        </w:rPr>
        <w:t>7.</w:t>
      </w:r>
      <w:r>
        <w:rPr>
          <w:snapToGrid w:val="0"/>
        </w:rPr>
        <w:tab/>
        <w:t>The control, management, use and maintenance of any part of the common property, including any special facilities provided on the common property.</w:t>
      </w:r>
    </w:p>
    <w:p>
      <w:pPr>
        <w:pStyle w:val="yMiscellaneousBody"/>
        <w:tabs>
          <w:tab w:val="left" w:pos="567"/>
        </w:tabs>
        <w:ind w:left="567" w:hanging="567"/>
        <w:rPr>
          <w:snapToGrid w:val="0"/>
        </w:rPr>
      </w:pPr>
      <w:r>
        <w:rPr>
          <w:snapToGrid w:val="0"/>
        </w:rPr>
        <w:t>8.</w:t>
      </w:r>
      <w:r>
        <w:rPr>
          <w:snapToGrid w:val="0"/>
        </w:rPr>
        <w:tab/>
        <w:t>Provisions relating to any proposed re</w:t>
      </w:r>
      <w:r>
        <w:rPr>
          <w:snapToGrid w:val="0"/>
        </w:rPr>
        <w:noBreakHyphen/>
        <w:t>subdivision in a scheme being provisions that —</w:t>
      </w:r>
    </w:p>
    <w:p>
      <w:pPr>
        <w:pStyle w:val="yMiscellaneousBody"/>
        <w:tabs>
          <w:tab w:val="left" w:pos="709"/>
          <w:tab w:val="left" w:pos="1134"/>
        </w:tabs>
        <w:ind w:left="1134" w:hanging="1134"/>
        <w:rPr>
          <w:snapToGrid w:val="0"/>
        </w:rPr>
      </w:pPr>
      <w:r>
        <w:rPr>
          <w:snapToGrid w:val="0"/>
        </w:rPr>
        <w:tab/>
        <w:t>(a)</w:t>
      </w:r>
      <w:r>
        <w:rPr>
          <w:snapToGrid w:val="0"/>
        </w:rPr>
        <w:tab/>
        <w:t>comply with the requirements of section 8A(b) and (c) and any other prescribed requirements; and</w:t>
      </w:r>
    </w:p>
    <w:p>
      <w:pPr>
        <w:pStyle w:val="yMiscellaneousBody"/>
        <w:tabs>
          <w:tab w:val="left" w:pos="709"/>
          <w:tab w:val="left" w:pos="1134"/>
        </w:tabs>
        <w:ind w:left="1134" w:hanging="1134"/>
        <w:rPr>
          <w:snapToGrid w:val="0"/>
        </w:rPr>
      </w:pPr>
      <w:r>
        <w:rPr>
          <w:snapToGrid w:val="0"/>
        </w:rPr>
        <w:tab/>
        <w:t>(b)</w:t>
      </w:r>
      <w:r>
        <w:rPr>
          <w:snapToGrid w:val="0"/>
        </w:rPr>
        <w:tab/>
        <w:t>state the proposed unit entitlement of each lot and the proposed aggregate unit entitlement of the scheme following the completion of all proposed re</w:t>
      </w:r>
      <w:r>
        <w:rPr>
          <w:snapToGrid w:val="0"/>
        </w:rPr>
        <w:noBreakHyphen/>
        <w:t>subdivisions in the scheme.</w:t>
      </w:r>
    </w:p>
    <w:p>
      <w:pPr>
        <w:pStyle w:val="yMiscellaneousBody"/>
        <w:tabs>
          <w:tab w:val="left" w:pos="567"/>
        </w:tabs>
        <w:ind w:left="567" w:hanging="567"/>
        <w:rPr>
          <w:snapToGrid w:val="0"/>
        </w:rPr>
      </w:pPr>
      <w:r>
        <w:rPr>
          <w:snapToGrid w:val="0"/>
        </w:rPr>
        <w:t>9.</w:t>
      </w:r>
      <w:r>
        <w:rPr>
          <w:snapToGrid w:val="0"/>
        </w:rPr>
        <w:tab/>
        <w:t>Matters affecting the provision of, and payment for —</w:t>
      </w:r>
    </w:p>
    <w:p>
      <w:pPr>
        <w:pStyle w:val="yMiscellaneousBody"/>
        <w:tabs>
          <w:tab w:val="left" w:pos="709"/>
          <w:tab w:val="left" w:pos="1134"/>
        </w:tabs>
        <w:ind w:left="1134" w:hanging="1134"/>
        <w:rPr>
          <w:snapToGrid w:val="0"/>
        </w:rPr>
      </w:pPr>
      <w:r>
        <w:rPr>
          <w:snapToGrid w:val="0"/>
        </w:rPr>
        <w:tab/>
        <w:t>(a)</w:t>
      </w:r>
      <w:r>
        <w:rPr>
          <w:snapToGrid w:val="0"/>
        </w:rPr>
        <w:tab/>
        <w:t>internal fencing on the parcel; or</w:t>
      </w:r>
    </w:p>
    <w:p>
      <w:pPr>
        <w:pStyle w:val="yMiscellaneousBody"/>
        <w:tabs>
          <w:tab w:val="left" w:pos="709"/>
          <w:tab w:val="left" w:pos="1134"/>
        </w:tabs>
        <w:ind w:left="1134" w:hanging="1134"/>
        <w:rPr>
          <w:snapToGrid w:val="0"/>
        </w:rPr>
      </w:pPr>
      <w:r>
        <w:rPr>
          <w:snapToGrid w:val="0"/>
        </w:rPr>
        <w:tab/>
        <w:t>(b)</w:t>
      </w:r>
      <w:r>
        <w:rPr>
          <w:snapToGrid w:val="0"/>
        </w:rPr>
        <w:tab/>
        <w:t>fencing to which the Dividing Fences Act 1961 applies,</w:t>
      </w:r>
    </w:p>
    <w:p>
      <w:pPr>
        <w:pStyle w:val="yMiscellaneousBody"/>
        <w:tabs>
          <w:tab w:val="left" w:pos="567"/>
        </w:tabs>
        <w:ind w:left="567" w:hanging="567"/>
        <w:rPr>
          <w:snapToGrid w:val="0"/>
        </w:rPr>
      </w:pPr>
      <w:r>
        <w:rPr>
          <w:snapToGrid w:val="0"/>
        </w:rPr>
        <w:tab/>
        <w:t>including any obligations of the strata company.</w:t>
      </w:r>
    </w:p>
    <w:p>
      <w:pPr>
        <w:pStyle w:val="yMiscellaneousBody"/>
        <w:tabs>
          <w:tab w:val="left" w:pos="567"/>
        </w:tabs>
        <w:ind w:left="567" w:hanging="567"/>
        <w:rPr>
          <w:snapToGrid w:val="0"/>
        </w:rPr>
      </w:pPr>
      <w:r>
        <w:rPr>
          <w:snapToGrid w:val="0"/>
        </w:rPr>
        <w:t>10.</w:t>
      </w:r>
      <w:r>
        <w:rPr>
          <w:snapToGrid w:val="0"/>
        </w:rPr>
        <w:tab/>
        <w:t>The maintenance of water, sewerage, drainage, gas, electricity, telephone and other services.</w:t>
      </w:r>
    </w:p>
    <w:p>
      <w:pPr>
        <w:pStyle w:val="yMiscellaneousBody"/>
        <w:keepNext/>
        <w:tabs>
          <w:tab w:val="left" w:pos="567"/>
        </w:tabs>
        <w:ind w:left="567" w:hanging="567"/>
        <w:rPr>
          <w:snapToGrid w:val="0"/>
        </w:rPr>
      </w:pPr>
      <w:r>
        <w:rPr>
          <w:snapToGrid w:val="0"/>
        </w:rPr>
        <w:t>11.</w:t>
      </w:r>
      <w:r>
        <w:rPr>
          <w:snapToGrid w:val="0"/>
        </w:rPr>
        <w:tab/>
        <w:t>Insurance of the common property.</w:t>
      </w:r>
    </w:p>
    <w:p>
      <w:pPr>
        <w:pStyle w:val="yMiscellaneousBody"/>
        <w:tabs>
          <w:tab w:val="left" w:pos="567"/>
        </w:tabs>
        <w:ind w:left="567" w:hanging="567"/>
        <w:rPr>
          <w:snapToGrid w:val="0"/>
        </w:rPr>
      </w:pPr>
      <w:r>
        <w:rPr>
          <w:snapToGrid w:val="0"/>
        </w:rPr>
        <w:t>12.</w:t>
      </w:r>
      <w:r>
        <w:rPr>
          <w:snapToGrid w:val="0"/>
        </w:rPr>
        <w:tab/>
        <w:t>Safety and security.</w:t>
      </w:r>
    </w:p>
    <w:p>
      <w:pPr>
        <w:pStyle w:val="yMiscellaneousBody"/>
        <w:tabs>
          <w:tab w:val="left" w:pos="567"/>
        </w:tabs>
        <w:ind w:left="567" w:hanging="567"/>
        <w:rPr>
          <w:snapToGrid w:val="0"/>
        </w:rPr>
      </w:pPr>
      <w:r>
        <w:rPr>
          <w:snapToGrid w:val="0"/>
        </w:rPr>
        <w:t>13.</w:t>
      </w:r>
      <w:r>
        <w:rPr>
          <w:snapToGrid w:val="0"/>
        </w:rPr>
        <w:tab/>
        <w:t>The carrying on of any business or trading activity by the strata company, and the method of distributing and sharing any profit or loss.</w:t>
      </w:r>
    </w:p>
    <w:p>
      <w:pPr>
        <w:pStyle w:val="yMiscellaneousBody"/>
        <w:tabs>
          <w:tab w:val="left" w:pos="567"/>
        </w:tabs>
        <w:ind w:left="567" w:hanging="567"/>
        <w:rPr>
          <w:snapToGrid w:val="0"/>
        </w:rPr>
      </w:pPr>
      <w:r>
        <w:rPr>
          <w:snapToGrid w:val="0"/>
        </w:rPr>
        <w:t>14.</w:t>
      </w:r>
      <w:r>
        <w:rPr>
          <w:snapToGrid w:val="0"/>
        </w:rPr>
        <w:tab/>
        <w:t>Procedures to be followed for the resolution of disputes as a prerequisite to the making of an application to the State Administrative Tribunal for relief under this Act.</w:t>
      </w:r>
    </w:p>
    <w:p>
      <w:pPr>
        <w:pStyle w:val="yFootnotesection"/>
        <w:tabs>
          <w:tab w:val="clear" w:pos="893"/>
        </w:tabs>
        <w:ind w:left="0" w:firstLine="0"/>
      </w:pPr>
      <w:r>
        <w:t>[Schedule 2A inserted by No. 58 of 1995 s. 89; amended by No. 61 of 1996 s. 38; No. 55 of 2004 s. 1156(3).]</w:t>
      </w:r>
    </w:p>
    <w:p>
      <w:pPr>
        <w:pStyle w:val="yScheduleHeading"/>
        <w:outlineLvl w:val="0"/>
      </w:pPr>
      <w:bookmarkStart w:id="777" w:name="_Toc476927481"/>
      <w:r>
        <w:rPr>
          <w:rStyle w:val="CharSchNo"/>
        </w:rPr>
        <w:t>Schedule 3</w:t>
      </w:r>
      <w:r>
        <w:t> — </w:t>
      </w:r>
      <w:r>
        <w:rPr>
          <w:rStyle w:val="CharSchText"/>
        </w:rPr>
        <w:t>Transitional and savings provisions</w:t>
      </w:r>
      <w:bookmarkEnd w:id="777"/>
    </w:p>
    <w:p>
      <w:pPr>
        <w:pStyle w:val="yShoulderClause"/>
        <w:spacing w:before="100"/>
        <w:rPr>
          <w:snapToGrid w:val="0"/>
        </w:rPr>
      </w:pPr>
      <w:r>
        <w:rPr>
          <w:snapToGrid w:val="0"/>
        </w:rPr>
        <w:t>[s. 132]</w:t>
      </w:r>
    </w:p>
    <w:p>
      <w:pPr>
        <w:pStyle w:val="yFootnoteheading"/>
        <w:spacing w:before="60"/>
      </w:pPr>
      <w:r>
        <w:tab/>
        <w:t>[Heading amended by No. 19 of 2010 s. 4.]</w:t>
      </w:r>
    </w:p>
    <w:p>
      <w:pPr>
        <w:pStyle w:val="yHeading5"/>
        <w:outlineLvl w:val="0"/>
        <w:rPr>
          <w:snapToGrid w:val="0"/>
        </w:rPr>
      </w:pPr>
      <w:bookmarkStart w:id="778" w:name="_Toc381881107"/>
      <w:bookmarkStart w:id="779" w:name="_Toc476927482"/>
      <w:r>
        <w:rPr>
          <w:rStyle w:val="CharSClsNo"/>
        </w:rPr>
        <w:t>1</w:t>
      </w:r>
      <w:r>
        <w:rPr>
          <w:snapToGrid w:val="0"/>
        </w:rPr>
        <w:t>.</w:t>
      </w:r>
      <w:r>
        <w:rPr>
          <w:snapToGrid w:val="0"/>
        </w:rPr>
        <w:tab/>
        <w:t>Terms used</w:t>
      </w:r>
      <w:bookmarkEnd w:id="778"/>
      <w:bookmarkEnd w:id="779"/>
    </w:p>
    <w:p>
      <w:pPr>
        <w:pStyle w:val="ySubsection"/>
        <w:spacing w:before="140"/>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r>
        <w:rPr>
          <w:vertAlign w:val="superscript"/>
        </w:rPr>
        <w:t xml:space="preserve"> 1</w:t>
      </w:r>
      <w:r>
        <w:t>;</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4</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spacing w:before="60"/>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spacing w:before="60"/>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780" w:name="_Toc381881108"/>
      <w:bookmarkStart w:id="781" w:name="_Toc476927483"/>
      <w:r>
        <w:rPr>
          <w:rStyle w:val="CharSClsNo"/>
        </w:rPr>
        <w:t>2</w:t>
      </w:r>
      <w:r>
        <w:rPr>
          <w:snapToGrid w:val="0"/>
        </w:rPr>
        <w:t>.</w:t>
      </w:r>
      <w:r>
        <w:rPr>
          <w:snapToGrid w:val="0"/>
        </w:rPr>
        <w:tab/>
        <w:t>Registration of unregistered former strata plans</w:t>
      </w:r>
      <w:bookmarkEnd w:id="780"/>
      <w:bookmarkEnd w:id="781"/>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r>
        <w:tab/>
        <w:t>[Clause 2 amended by No. 42 of 1986 s. 12(a) and (b).]</w:t>
      </w:r>
    </w:p>
    <w:p>
      <w:pPr>
        <w:pStyle w:val="yHeading5"/>
        <w:outlineLvl w:val="0"/>
        <w:rPr>
          <w:snapToGrid w:val="0"/>
        </w:rPr>
      </w:pPr>
      <w:bookmarkStart w:id="782" w:name="_Toc381881109"/>
      <w:bookmarkStart w:id="783" w:name="_Toc476927484"/>
      <w:r>
        <w:rPr>
          <w:rStyle w:val="CharSClsNo"/>
        </w:rPr>
        <w:t>3</w:t>
      </w:r>
      <w:r>
        <w:rPr>
          <w:snapToGrid w:val="0"/>
        </w:rPr>
        <w:t>.</w:t>
      </w:r>
      <w:r>
        <w:rPr>
          <w:snapToGrid w:val="0"/>
        </w:rPr>
        <w:tab/>
        <w:t>Former lots and former common property to be derived lots and derived common property</w:t>
      </w:r>
      <w:bookmarkEnd w:id="782"/>
      <w:bookmarkEnd w:id="783"/>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spacing w:before="60"/>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spacing w:before="60"/>
        <w:rPr>
          <w:snapToGrid w:val="0"/>
        </w:rPr>
      </w:pPr>
      <w:r>
        <w:rPr>
          <w:snapToGrid w:val="0"/>
        </w:rPr>
        <w:tab/>
        <w:t>(b)</w:t>
      </w:r>
      <w:r>
        <w:rPr>
          <w:snapToGrid w:val="0"/>
        </w:rPr>
        <w:tab/>
        <w:t>except as provided by paragraph (a), the same boundaries as that former common property.</w:t>
      </w:r>
    </w:p>
    <w:p>
      <w:pPr>
        <w:pStyle w:val="ySubsection"/>
        <w:spacing w:before="180"/>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spacing w:before="260"/>
        <w:outlineLvl w:val="0"/>
        <w:rPr>
          <w:snapToGrid w:val="0"/>
        </w:rPr>
      </w:pPr>
      <w:bookmarkStart w:id="784" w:name="_Toc381881110"/>
      <w:bookmarkStart w:id="785" w:name="_Toc476927485"/>
      <w:r>
        <w:rPr>
          <w:rStyle w:val="CharSClsNo"/>
        </w:rPr>
        <w:t>4</w:t>
      </w:r>
      <w:r>
        <w:rPr>
          <w:snapToGrid w:val="0"/>
        </w:rPr>
        <w:t>.</w:t>
      </w:r>
      <w:r>
        <w:rPr>
          <w:snapToGrid w:val="0"/>
        </w:rPr>
        <w:tab/>
        <w:t>Continuation of companies</w:t>
      </w:r>
      <w:bookmarkEnd w:id="784"/>
      <w:bookmarkEnd w:id="785"/>
    </w:p>
    <w:p>
      <w:pPr>
        <w:pStyle w:val="ySubsection"/>
        <w:keepNext/>
        <w:spacing w:before="180"/>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 and</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spacing w:before="260"/>
        <w:outlineLvl w:val="0"/>
        <w:rPr>
          <w:snapToGrid w:val="0"/>
        </w:rPr>
      </w:pPr>
      <w:bookmarkStart w:id="786" w:name="_Toc381881111"/>
      <w:bookmarkStart w:id="787" w:name="_Toc476927486"/>
      <w:r>
        <w:rPr>
          <w:rStyle w:val="CharSClsNo"/>
        </w:rPr>
        <w:t>5</w:t>
      </w:r>
      <w:r>
        <w:rPr>
          <w:snapToGrid w:val="0"/>
        </w:rPr>
        <w:t>.</w:t>
      </w:r>
      <w:r>
        <w:rPr>
          <w:snapToGrid w:val="0"/>
        </w:rPr>
        <w:tab/>
        <w:t>Continuation of estates or interests in former lots and former common property and rights in former common property</w:t>
      </w:r>
      <w:bookmarkEnd w:id="786"/>
      <w:bookmarkEnd w:id="787"/>
    </w:p>
    <w:p>
      <w:pPr>
        <w:pStyle w:val="ySubsection"/>
        <w:keepNext/>
        <w:spacing w:before="180"/>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r>
        <w:tab/>
        <w:t>[Clause 5 amended by No. 42 of 1986 s. 12(c).]</w:t>
      </w:r>
    </w:p>
    <w:p>
      <w:pPr>
        <w:pStyle w:val="yHeading5"/>
        <w:outlineLvl w:val="0"/>
        <w:rPr>
          <w:snapToGrid w:val="0"/>
        </w:rPr>
      </w:pPr>
      <w:bookmarkStart w:id="788" w:name="_Toc381881112"/>
      <w:bookmarkStart w:id="789" w:name="_Toc476927487"/>
      <w:r>
        <w:rPr>
          <w:rStyle w:val="CharSClsNo"/>
        </w:rPr>
        <w:t>6</w:t>
      </w:r>
      <w:r>
        <w:rPr>
          <w:snapToGrid w:val="0"/>
        </w:rPr>
        <w:t>.</w:t>
      </w:r>
      <w:r>
        <w:rPr>
          <w:snapToGrid w:val="0"/>
        </w:rPr>
        <w:tab/>
        <w:t>Application of Act to former strata schemes, former parcels, derived lots and common property</w:t>
      </w:r>
      <w:bookmarkEnd w:id="788"/>
      <w:bookmarkEnd w:id="789"/>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 and</w:t>
      </w:r>
    </w:p>
    <w:p>
      <w:pPr>
        <w:pStyle w:val="yIndenta"/>
        <w:rPr>
          <w:snapToGrid w:val="0"/>
        </w:rPr>
      </w:pPr>
      <w:r>
        <w:rPr>
          <w:snapToGrid w:val="0"/>
        </w:rPr>
        <w:tab/>
        <w:t>(b)</w:t>
      </w:r>
      <w:r>
        <w:rPr>
          <w:snapToGrid w:val="0"/>
        </w:rPr>
        <w:tab/>
        <w:t>a former parcel as if it were a parcel; and</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790" w:name="_Toc381881113"/>
      <w:bookmarkStart w:id="791" w:name="_Toc476927488"/>
      <w:r>
        <w:rPr>
          <w:rStyle w:val="CharSClsNo"/>
        </w:rPr>
        <w:t>7</w:t>
      </w:r>
      <w:r>
        <w:rPr>
          <w:snapToGrid w:val="0"/>
        </w:rPr>
        <w:t>.</w:t>
      </w:r>
      <w:r>
        <w:rPr>
          <w:snapToGrid w:val="0"/>
        </w:rPr>
        <w:tab/>
        <w:t>Registration of transfers or leases of derived common property registrable under s. 10 of former Act</w:t>
      </w:r>
      <w:bookmarkEnd w:id="790"/>
      <w:bookmarkEnd w:id="791"/>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792" w:name="_Toc381881114"/>
      <w:bookmarkStart w:id="793" w:name="_Toc476927489"/>
      <w:r>
        <w:rPr>
          <w:rStyle w:val="CharSClsNo"/>
        </w:rPr>
        <w:t>8</w:t>
      </w:r>
      <w:r>
        <w:rPr>
          <w:snapToGrid w:val="0"/>
        </w:rPr>
        <w:t>.</w:t>
      </w:r>
      <w:r>
        <w:rPr>
          <w:snapToGrid w:val="0"/>
        </w:rPr>
        <w:tab/>
        <w:t>Reallocation of unit entitlement</w:t>
      </w:r>
      <w:bookmarkEnd w:id="792"/>
      <w:bookmarkEnd w:id="793"/>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794" w:name="_Toc381881115"/>
      <w:bookmarkStart w:id="795" w:name="_Toc476927490"/>
      <w:r>
        <w:rPr>
          <w:rStyle w:val="CharSClsNo"/>
        </w:rPr>
        <w:t>9</w:t>
      </w:r>
      <w:r>
        <w:rPr>
          <w:snapToGrid w:val="0"/>
        </w:rPr>
        <w:t>.</w:t>
      </w:r>
      <w:r>
        <w:rPr>
          <w:snapToGrid w:val="0"/>
        </w:rPr>
        <w:tab/>
        <w:t>General meetings of certain continued companies</w:t>
      </w:r>
      <w:bookmarkEnd w:id="794"/>
      <w:bookmarkEnd w:id="795"/>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r>
        <w:tab/>
        <w:t>[Clause 9 amended by No. 42 of 1986 s. 12(d).]</w:t>
      </w:r>
    </w:p>
    <w:p>
      <w:pPr>
        <w:pStyle w:val="yHeading5"/>
        <w:outlineLvl w:val="0"/>
        <w:rPr>
          <w:snapToGrid w:val="0"/>
        </w:rPr>
      </w:pPr>
      <w:bookmarkStart w:id="796" w:name="_Toc381881116"/>
      <w:bookmarkStart w:id="797" w:name="_Toc476927491"/>
      <w:r>
        <w:rPr>
          <w:rStyle w:val="CharSClsNo"/>
        </w:rPr>
        <w:t>10</w:t>
      </w:r>
      <w:r>
        <w:rPr>
          <w:snapToGrid w:val="0"/>
        </w:rPr>
        <w:t>.</w:t>
      </w:r>
      <w:r>
        <w:rPr>
          <w:snapToGrid w:val="0"/>
        </w:rPr>
        <w:tab/>
        <w:t>Meetings of former companies held within 2 months after appointed day</w:t>
      </w:r>
      <w:bookmarkEnd w:id="796"/>
      <w:bookmarkEnd w:id="797"/>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798" w:name="_Toc381881117"/>
      <w:bookmarkStart w:id="799" w:name="_Toc476927492"/>
      <w:r>
        <w:rPr>
          <w:rStyle w:val="CharSClsNo"/>
        </w:rPr>
        <w:t>11</w:t>
      </w:r>
      <w:r>
        <w:rPr>
          <w:snapToGrid w:val="0"/>
        </w:rPr>
        <w:t>.</w:t>
      </w:r>
      <w:r>
        <w:rPr>
          <w:snapToGrid w:val="0"/>
        </w:rPr>
        <w:tab/>
        <w:t>Notices served by public or local government authority before appointed day</w:t>
      </w:r>
      <w:bookmarkEnd w:id="798"/>
      <w:bookmarkEnd w:id="799"/>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r>
        <w:tab/>
        <w:t>[Clause 11 amended by No. 14 of 1996 s. 4.]</w:t>
      </w:r>
    </w:p>
    <w:p>
      <w:pPr>
        <w:pStyle w:val="yHeading5"/>
        <w:outlineLvl w:val="0"/>
        <w:rPr>
          <w:snapToGrid w:val="0"/>
        </w:rPr>
      </w:pPr>
      <w:bookmarkStart w:id="800" w:name="_Toc381881118"/>
      <w:bookmarkStart w:id="801" w:name="_Toc476927493"/>
      <w:r>
        <w:rPr>
          <w:rStyle w:val="CharSClsNo"/>
        </w:rPr>
        <w:t>12</w:t>
      </w:r>
      <w:r>
        <w:rPr>
          <w:snapToGrid w:val="0"/>
        </w:rPr>
        <w:t>.</w:t>
      </w:r>
      <w:r>
        <w:rPr>
          <w:snapToGrid w:val="0"/>
        </w:rPr>
        <w:tab/>
        <w:t>Effect of former by</w:t>
      </w:r>
      <w:r>
        <w:rPr>
          <w:snapToGrid w:val="0"/>
        </w:rPr>
        <w:noBreakHyphen/>
        <w:t>laws</w:t>
      </w:r>
      <w:bookmarkEnd w:id="800"/>
      <w:bookmarkEnd w:id="801"/>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t xml:space="preserve">the </w:t>
      </w:r>
      <w:r>
        <w:rPr>
          <w:rStyle w:val="CharDefText"/>
        </w:rPr>
        <w:t>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spacing w:before="120"/>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 or</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802" w:name="_Toc381881119"/>
      <w:bookmarkStart w:id="803" w:name="_Toc476927494"/>
      <w:r>
        <w:rPr>
          <w:rStyle w:val="CharSClsNo"/>
        </w:rPr>
        <w:t>13</w:t>
      </w:r>
      <w:r>
        <w:rPr>
          <w:snapToGrid w:val="0"/>
        </w:rPr>
        <w:t>.</w:t>
      </w:r>
      <w:r>
        <w:rPr>
          <w:snapToGrid w:val="0"/>
        </w:rPr>
        <w:tab/>
        <w:t>Maintenance of exclusive use of, or special privileges in respect of, common property</w:t>
      </w:r>
      <w:bookmarkEnd w:id="802"/>
      <w:bookmarkEnd w:id="803"/>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outlineLvl w:val="0"/>
        <w:rPr>
          <w:snapToGrid w:val="0"/>
        </w:rPr>
      </w:pPr>
      <w:bookmarkStart w:id="804" w:name="_Toc381881120"/>
      <w:bookmarkStart w:id="805" w:name="_Toc476927495"/>
      <w:r>
        <w:rPr>
          <w:rStyle w:val="CharSClsNo"/>
        </w:rPr>
        <w:t>13A</w:t>
      </w:r>
      <w:r>
        <w:rPr>
          <w:snapToGrid w:val="0"/>
        </w:rPr>
        <w:t>.</w:t>
      </w:r>
      <w:r>
        <w:rPr>
          <w:snapToGrid w:val="0"/>
        </w:rPr>
        <w:tab/>
        <w:t>Exclusive use and privileges to lapse unless provided for by by</w:t>
      </w:r>
      <w:r>
        <w:rPr>
          <w:snapToGrid w:val="0"/>
        </w:rPr>
        <w:noBreakHyphen/>
        <w:t>law or SAT’s order</w:t>
      </w:r>
      <w:bookmarkEnd w:id="804"/>
      <w:bookmarkEnd w:id="805"/>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806" w:name="_Toc381881121"/>
      <w:bookmarkStart w:id="807" w:name="_Toc476927496"/>
      <w:r>
        <w:rPr>
          <w:rStyle w:val="CharSClsNo"/>
        </w:rPr>
        <w:t>13B</w:t>
      </w:r>
      <w:r>
        <w:rPr>
          <w:snapToGrid w:val="0"/>
        </w:rPr>
        <w:t>.</w:t>
      </w:r>
      <w:r>
        <w:rPr>
          <w:snapToGrid w:val="0"/>
        </w:rPr>
        <w:tab/>
        <w:t>Strata companies to notify proprietors of operation of cl. 13A</w:t>
      </w:r>
      <w:bookmarkEnd w:id="806"/>
      <w:bookmarkEnd w:id="807"/>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 and</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spacing w:before="100"/>
      </w:pPr>
      <w:r>
        <w:tab/>
        <w:t>[Clause 13B inserted by No. 58 of 1995 s. 90(3).]</w:t>
      </w:r>
    </w:p>
    <w:p>
      <w:pPr>
        <w:pStyle w:val="yHeading5"/>
        <w:outlineLvl w:val="0"/>
        <w:rPr>
          <w:snapToGrid w:val="0"/>
        </w:rPr>
      </w:pPr>
      <w:bookmarkStart w:id="808" w:name="_Toc381881122"/>
      <w:bookmarkStart w:id="809" w:name="_Toc476927497"/>
      <w:r>
        <w:rPr>
          <w:rStyle w:val="CharSClsNo"/>
        </w:rPr>
        <w:t>14</w:t>
      </w:r>
      <w:r>
        <w:rPr>
          <w:snapToGrid w:val="0"/>
        </w:rPr>
        <w:t>.</w:t>
      </w:r>
      <w:r>
        <w:rPr>
          <w:snapToGrid w:val="0"/>
        </w:rPr>
        <w:tab/>
        <w:t>Recovery of contributions levied under former Acts</w:t>
      </w:r>
      <w:bookmarkEnd w:id="808"/>
      <w:bookmarkEnd w:id="809"/>
    </w:p>
    <w:p>
      <w:pPr>
        <w:pStyle w:val="ySubsection"/>
        <w:spacing w:before="140"/>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spacing w:before="140"/>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810" w:name="_Toc381881123"/>
      <w:bookmarkStart w:id="811" w:name="_Toc476927498"/>
      <w:r>
        <w:rPr>
          <w:rStyle w:val="CharSClsNo"/>
        </w:rPr>
        <w:t>15</w:t>
      </w:r>
      <w:r>
        <w:rPr>
          <w:snapToGrid w:val="0"/>
        </w:rPr>
        <w:t>.</w:t>
      </w:r>
      <w:r>
        <w:rPr>
          <w:snapToGrid w:val="0"/>
        </w:rPr>
        <w:tab/>
        <w:t>Modification of s. 35(1)(j) in relation to companies</w:t>
      </w:r>
      <w:bookmarkEnd w:id="810"/>
      <w:bookmarkEnd w:id="811"/>
    </w:p>
    <w:p>
      <w:pPr>
        <w:pStyle w:val="ySubsection"/>
        <w:spacing w:before="140"/>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spacing w:before="120"/>
        <w:rPr>
          <w:snapToGrid w:val="0"/>
        </w:rPr>
      </w:pPr>
      <w:r>
        <w:rPr>
          <w:snapToGrid w:val="0"/>
        </w:rPr>
        <w:tab/>
      </w:r>
      <w:r>
        <w:rPr>
          <w:snapToGrid w:val="0"/>
        </w:rPr>
        <w:tab/>
        <w:t>“    , as modified by clause 21 of Schedule 3,    ”.</w:t>
      </w:r>
    </w:p>
    <w:p>
      <w:pPr>
        <w:pStyle w:val="yHeading5"/>
        <w:outlineLvl w:val="0"/>
        <w:rPr>
          <w:snapToGrid w:val="0"/>
        </w:rPr>
      </w:pPr>
      <w:bookmarkStart w:id="812" w:name="_Toc381881124"/>
      <w:bookmarkStart w:id="813" w:name="_Toc476927499"/>
      <w:r>
        <w:rPr>
          <w:rStyle w:val="CharSClsNo"/>
        </w:rPr>
        <w:t>16</w:t>
      </w:r>
      <w:r>
        <w:rPr>
          <w:snapToGrid w:val="0"/>
        </w:rPr>
        <w:t>.</w:t>
      </w:r>
      <w:r>
        <w:rPr>
          <w:snapToGrid w:val="0"/>
        </w:rPr>
        <w:tab/>
        <w:t>Inspection of former records etc.</w:t>
      </w:r>
      <w:bookmarkEnd w:id="812"/>
      <w:bookmarkEnd w:id="813"/>
    </w:p>
    <w:p>
      <w:pPr>
        <w:pStyle w:val="ySubsection"/>
        <w:spacing w:before="140"/>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spacing w:before="140"/>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814" w:name="_Toc381881125"/>
      <w:bookmarkStart w:id="815" w:name="_Toc476927500"/>
      <w:r>
        <w:rPr>
          <w:rStyle w:val="CharSClsNo"/>
        </w:rPr>
        <w:t>17</w:t>
      </w:r>
      <w:r>
        <w:rPr>
          <w:snapToGrid w:val="0"/>
        </w:rPr>
        <w:t>.</w:t>
      </w:r>
      <w:r>
        <w:rPr>
          <w:snapToGrid w:val="0"/>
        </w:rPr>
        <w:tab/>
        <w:t>Administrative funds of continued companies</w:t>
      </w:r>
      <w:bookmarkEnd w:id="814"/>
      <w:bookmarkEnd w:id="815"/>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816" w:name="_Toc381881126"/>
      <w:bookmarkStart w:id="817" w:name="_Toc476927501"/>
      <w:r>
        <w:rPr>
          <w:rStyle w:val="CharSClsNo"/>
        </w:rPr>
        <w:t>18</w:t>
      </w:r>
      <w:r>
        <w:rPr>
          <w:snapToGrid w:val="0"/>
        </w:rPr>
        <w:t>.</w:t>
      </w:r>
      <w:r>
        <w:rPr>
          <w:snapToGrid w:val="0"/>
        </w:rPr>
        <w:tab/>
        <w:t>Modification of s. 43(1)(c) in relation to continued companies</w:t>
      </w:r>
      <w:bookmarkEnd w:id="816"/>
      <w:bookmarkEnd w:id="817"/>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818" w:name="_Toc381881127"/>
      <w:bookmarkStart w:id="819" w:name="_Toc476927502"/>
      <w:r>
        <w:rPr>
          <w:rStyle w:val="CharSClsNo"/>
        </w:rPr>
        <w:t>19</w:t>
      </w:r>
      <w:r>
        <w:rPr>
          <w:snapToGrid w:val="0"/>
        </w:rPr>
        <w:t>.</w:t>
      </w:r>
      <w:r>
        <w:rPr>
          <w:snapToGrid w:val="0"/>
        </w:rPr>
        <w:tab/>
        <w:t>Continuation of councils of former companies</w:t>
      </w:r>
      <w:bookmarkEnd w:id="818"/>
      <w:bookmarkEnd w:id="819"/>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r>
        <w:tab/>
        <w:t>[Clause 19 amended by No. 42 of 1986 s. 12(e).]</w:t>
      </w:r>
    </w:p>
    <w:p>
      <w:pPr>
        <w:pStyle w:val="yHeading5"/>
        <w:outlineLvl w:val="0"/>
        <w:rPr>
          <w:snapToGrid w:val="0"/>
        </w:rPr>
      </w:pPr>
      <w:bookmarkStart w:id="820" w:name="_Toc381881128"/>
      <w:bookmarkStart w:id="821" w:name="_Toc476927503"/>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 1</w:t>
      </w:r>
      <w:bookmarkEnd w:id="820"/>
      <w:bookmarkEnd w:id="821"/>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822" w:name="_Toc381881129"/>
      <w:bookmarkStart w:id="823" w:name="_Toc476927504"/>
      <w:r>
        <w:rPr>
          <w:rStyle w:val="CharSClsNo"/>
        </w:rPr>
        <w:t>21</w:t>
      </w:r>
      <w:r>
        <w:rPr>
          <w:snapToGrid w:val="0"/>
        </w:rPr>
        <w:t>.</w:t>
      </w:r>
      <w:r>
        <w:rPr>
          <w:snapToGrid w:val="0"/>
        </w:rPr>
        <w:tab/>
      </w:r>
      <w:r>
        <w:rPr>
          <w:rStyle w:val="CharSClsNo"/>
        </w:rPr>
        <w:t>Modification</w:t>
      </w:r>
      <w:r>
        <w:rPr>
          <w:snapToGrid w:val="0"/>
        </w:rPr>
        <w:t xml:space="preserve"> of Part IV Div. 4</w:t>
      </w:r>
      <w:bookmarkEnd w:id="822"/>
      <w:bookmarkEnd w:id="823"/>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824" w:name="_Toc381881130"/>
      <w:bookmarkStart w:id="825" w:name="_Toc476927505"/>
      <w:r>
        <w:rPr>
          <w:rStyle w:val="CharSClsNo"/>
        </w:rPr>
        <w:t>22</w:t>
      </w:r>
      <w:r>
        <w:rPr>
          <w:snapToGrid w:val="0"/>
        </w:rPr>
        <w:t>.</w:t>
      </w:r>
      <w:r>
        <w:rPr>
          <w:snapToGrid w:val="0"/>
        </w:rPr>
        <w:tab/>
        <w:t>Evidentiary effect under s. 61 of particulars furnished under s. 21(3) of former Act</w:t>
      </w:r>
      <w:bookmarkEnd w:id="824"/>
      <w:bookmarkEnd w:id="825"/>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826" w:name="_Toc381881131"/>
      <w:bookmarkStart w:id="827" w:name="_Toc476927506"/>
      <w:r>
        <w:rPr>
          <w:rStyle w:val="CharSClsNo"/>
        </w:rPr>
        <w:t>23</w:t>
      </w:r>
      <w:r>
        <w:rPr>
          <w:snapToGrid w:val="0"/>
        </w:rPr>
        <w:t>.</w:t>
      </w:r>
      <w:r>
        <w:rPr>
          <w:snapToGrid w:val="0"/>
        </w:rPr>
        <w:tab/>
        <w:t>Destruction of or damage to building under former Act</w:t>
      </w:r>
      <w:bookmarkEnd w:id="826"/>
      <w:bookmarkEnd w:id="827"/>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828" w:name="_Toc381881132"/>
      <w:bookmarkStart w:id="829" w:name="_Toc476927507"/>
      <w:r>
        <w:rPr>
          <w:rStyle w:val="CharSClsNo"/>
        </w:rPr>
        <w:t>24</w:t>
      </w:r>
      <w:r>
        <w:rPr>
          <w:snapToGrid w:val="0"/>
        </w:rPr>
        <w:t>.</w:t>
      </w:r>
      <w:r>
        <w:rPr>
          <w:snapToGrid w:val="0"/>
        </w:rPr>
        <w:tab/>
        <w:t>Administrators under former Act</w:t>
      </w:r>
      <w:bookmarkEnd w:id="828"/>
      <w:bookmarkEnd w:id="829"/>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830" w:name="_Toc381881133"/>
      <w:bookmarkStart w:id="831" w:name="_Toc476927508"/>
      <w:r>
        <w:rPr>
          <w:rStyle w:val="CharSClsNo"/>
        </w:rPr>
        <w:t>25</w:t>
      </w:r>
      <w:r>
        <w:rPr>
          <w:snapToGrid w:val="0"/>
        </w:rPr>
        <w:t>.</w:t>
      </w:r>
      <w:r>
        <w:rPr>
          <w:snapToGrid w:val="0"/>
        </w:rPr>
        <w:tab/>
        <w:t>Recovery of rates paid by company</w:t>
      </w:r>
      <w:bookmarkEnd w:id="830"/>
      <w:bookmarkEnd w:id="831"/>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832" w:name="_Toc381881134"/>
      <w:bookmarkStart w:id="833" w:name="_Toc476927509"/>
      <w:r>
        <w:rPr>
          <w:rStyle w:val="CharSClsNo"/>
        </w:rPr>
        <w:t>26</w:t>
      </w:r>
      <w:r>
        <w:rPr>
          <w:snapToGrid w:val="0"/>
        </w:rPr>
        <w:t>.</w:t>
      </w:r>
      <w:r>
        <w:rPr>
          <w:snapToGrid w:val="0"/>
        </w:rPr>
        <w:tab/>
        <w:t>Regulations — Transitional</w:t>
      </w:r>
      <w:bookmarkEnd w:id="832"/>
      <w:bookmarkEnd w:id="833"/>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834" w:name="_Toc381881135"/>
      <w:bookmarkStart w:id="835" w:name="_Toc418081865"/>
      <w:bookmarkStart w:id="836" w:name="_Toc418082198"/>
      <w:bookmarkStart w:id="837" w:name="_Toc418087987"/>
      <w:bookmarkStart w:id="838" w:name="_Toc421012527"/>
      <w:bookmarkStart w:id="839" w:name="_Toc422409084"/>
      <w:bookmarkStart w:id="840" w:name="_Toc476927510"/>
      <w:r>
        <w:rPr>
          <w:rStyle w:val="CharSchNo"/>
        </w:rPr>
        <w:t>Schedule 4</w:t>
      </w:r>
      <w:r>
        <w:t> — </w:t>
      </w:r>
      <w:r>
        <w:rPr>
          <w:rStyle w:val="CharSchText"/>
        </w:rPr>
        <w:t>Transitional provisions for by</w:t>
      </w:r>
      <w:r>
        <w:rPr>
          <w:rStyle w:val="CharSchText"/>
        </w:rPr>
        <w:noBreakHyphen/>
        <w:t>laws of strata companies other than companies to which Schedule 3 applies</w:t>
      </w:r>
      <w:bookmarkEnd w:id="834"/>
      <w:bookmarkEnd w:id="835"/>
      <w:bookmarkEnd w:id="836"/>
      <w:bookmarkEnd w:id="837"/>
      <w:bookmarkEnd w:id="838"/>
      <w:bookmarkEnd w:id="839"/>
      <w:bookmarkEnd w:id="840"/>
    </w:p>
    <w:p>
      <w:pPr>
        <w:pStyle w:val="yShoulderClause"/>
        <w:rPr>
          <w:snapToGrid w:val="0"/>
        </w:rPr>
      </w:pPr>
      <w:r>
        <w:rPr>
          <w:snapToGrid w:val="0"/>
        </w:rPr>
        <w:t>[s. 42C]</w:t>
      </w:r>
    </w:p>
    <w:p>
      <w:pPr>
        <w:pStyle w:val="yFootnoteheading"/>
        <w:tabs>
          <w:tab w:val="clear" w:pos="879"/>
          <w:tab w:val="left" w:pos="890"/>
        </w:tabs>
      </w:pPr>
      <w:r>
        <w:tab/>
        <w:t>[Heading inserted by No. 58 of 1995 s. 91; amended by No. 19 of 2010 s. 4.]</w:t>
      </w:r>
    </w:p>
    <w:p>
      <w:pPr>
        <w:pStyle w:val="yHeading5"/>
        <w:rPr>
          <w:snapToGrid w:val="0"/>
        </w:rPr>
      </w:pPr>
      <w:bookmarkStart w:id="841" w:name="_Toc381881136"/>
      <w:bookmarkStart w:id="842" w:name="_Toc476927511"/>
      <w:r>
        <w:rPr>
          <w:rStyle w:val="CharSClsNo"/>
        </w:rPr>
        <w:t>1</w:t>
      </w:r>
      <w:r>
        <w:rPr>
          <w:snapToGrid w:val="0"/>
        </w:rPr>
        <w:t>.</w:t>
      </w:r>
      <w:r>
        <w:rPr>
          <w:snapToGrid w:val="0"/>
        </w:rPr>
        <w:tab/>
        <w:t>Terms used</w:t>
      </w:r>
      <w:bookmarkEnd w:id="841"/>
      <w:bookmarkEnd w:id="842"/>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r>
        <w:tab/>
        <w:t>[Clause 1 inserted by No. 58 of 1995 s. 91.]</w:t>
      </w:r>
    </w:p>
    <w:p>
      <w:pPr>
        <w:pStyle w:val="yHeading5"/>
        <w:rPr>
          <w:snapToGrid w:val="0"/>
        </w:rPr>
      </w:pPr>
      <w:bookmarkStart w:id="843" w:name="_Toc381881137"/>
      <w:bookmarkStart w:id="844" w:name="_Toc476927512"/>
      <w:r>
        <w:rPr>
          <w:rStyle w:val="CharSClsNo"/>
        </w:rPr>
        <w:t>2</w:t>
      </w:r>
      <w:r>
        <w:rPr>
          <w:snapToGrid w:val="0"/>
        </w:rPr>
        <w:t>.</w:t>
      </w:r>
      <w:r>
        <w:rPr>
          <w:snapToGrid w:val="0"/>
        </w:rPr>
        <w:tab/>
        <w:t>Transitional provisions</w:t>
      </w:r>
      <w:bookmarkEnd w:id="843"/>
      <w:bookmarkEnd w:id="844"/>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by No. 58 of 1995 s. 91; amended by No. 55 of 2004 s. 1155 and 1156(1).]</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30"/>
          <w:headerReference w:type="default" r:id="rId31"/>
          <w:pgSz w:w="11907" w:h="16840" w:code="9"/>
          <w:pgMar w:top="2376" w:right="2404" w:bottom="3544" w:left="2404" w:header="709" w:footer="3379" w:gutter="0"/>
          <w:cols w:space="720"/>
          <w:noEndnote/>
          <w:docGrid w:linePitch="326"/>
        </w:sectPr>
      </w:pPr>
    </w:p>
    <w:p>
      <w:pPr>
        <w:pStyle w:val="nHeading2"/>
        <w:outlineLvl w:val="0"/>
      </w:pPr>
      <w:bookmarkStart w:id="845" w:name="_Toc381881138"/>
      <w:bookmarkStart w:id="846" w:name="_Toc418081868"/>
      <w:bookmarkStart w:id="847" w:name="_Toc418082201"/>
      <w:bookmarkStart w:id="848" w:name="_Toc418087990"/>
      <w:bookmarkStart w:id="849" w:name="_Toc421012530"/>
      <w:bookmarkStart w:id="850" w:name="_Toc422409087"/>
      <w:bookmarkStart w:id="851" w:name="_Toc476927513"/>
      <w:r>
        <w:t>Notes</w:t>
      </w:r>
      <w:bookmarkEnd w:id="845"/>
      <w:bookmarkEnd w:id="846"/>
      <w:bookmarkEnd w:id="847"/>
      <w:bookmarkEnd w:id="848"/>
      <w:bookmarkEnd w:id="849"/>
      <w:bookmarkEnd w:id="850"/>
      <w:bookmarkEnd w:id="851"/>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w:t>
      </w:r>
      <w:r>
        <w:rPr>
          <w:snapToGrid w:val="0"/>
          <w:vertAlign w:val="superscript"/>
        </w:rPr>
        <w:t> 1a, 9</w:t>
      </w:r>
      <w:r>
        <w:rPr>
          <w:snapToGrid w:val="0"/>
        </w:rPr>
        <w:t>.  The table also contains information about any reprint.</w:t>
      </w:r>
    </w:p>
    <w:p>
      <w:pPr>
        <w:pStyle w:val="nHeading3"/>
        <w:rPr>
          <w:snapToGrid w:val="0"/>
        </w:rPr>
      </w:pPr>
      <w:bookmarkStart w:id="852" w:name="_Toc381881139"/>
      <w:bookmarkStart w:id="853" w:name="_Toc476927514"/>
      <w:r>
        <w:rPr>
          <w:snapToGrid w:val="0"/>
        </w:rPr>
        <w:t>Compilation table</w:t>
      </w:r>
      <w:bookmarkEnd w:id="852"/>
      <w:bookmarkEnd w:id="853"/>
    </w:p>
    <w:tbl>
      <w:tblPr>
        <w:tblW w:w="7093" w:type="dxa"/>
        <w:tblInd w:w="112" w:type="dxa"/>
        <w:tblLayout w:type="fixed"/>
        <w:tblCellMar>
          <w:left w:w="56" w:type="dxa"/>
          <w:right w:w="56" w:type="dxa"/>
        </w:tblCellMar>
        <w:tblLook w:val="0000" w:firstRow="0" w:lastRow="0" w:firstColumn="0" w:lastColumn="0" w:noHBand="0" w:noVBand="0"/>
      </w:tblPr>
      <w:tblGrid>
        <w:gridCol w:w="6"/>
        <w:gridCol w:w="2262"/>
        <w:gridCol w:w="6"/>
        <w:gridCol w:w="1128"/>
        <w:gridCol w:w="6"/>
        <w:gridCol w:w="1128"/>
        <w:gridCol w:w="6"/>
        <w:gridCol w:w="2545"/>
        <w:gridCol w:w="6"/>
      </w:tblGrid>
      <w:tr>
        <w:trPr>
          <w:gridBefore w:val="1"/>
          <w:wBefore w:w="6" w:type="dxa"/>
          <w:cantSplit/>
          <w:tblHeader/>
        </w:trPr>
        <w:tc>
          <w:tcPr>
            <w:tcW w:w="2268"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6" w:type="dxa"/>
          <w:cantSplit/>
        </w:trPr>
        <w:tc>
          <w:tcPr>
            <w:tcW w:w="2268" w:type="dxa"/>
            <w:gridSpan w:val="2"/>
            <w:tcBorders>
              <w:top w:val="single" w:sz="8" w:space="0" w:color="auto"/>
            </w:tcBorders>
          </w:tcPr>
          <w:p>
            <w:pPr>
              <w:pStyle w:val="nTable"/>
              <w:spacing w:after="40"/>
            </w:pPr>
            <w:r>
              <w:rPr>
                <w:i/>
              </w:rPr>
              <w:t>Strata Titles Act 1985</w:t>
            </w:r>
          </w:p>
        </w:tc>
        <w:tc>
          <w:tcPr>
            <w:tcW w:w="1134" w:type="dxa"/>
            <w:gridSpan w:val="2"/>
            <w:tcBorders>
              <w:top w:val="single" w:sz="8" w:space="0" w:color="auto"/>
            </w:tcBorders>
          </w:tcPr>
          <w:p>
            <w:pPr>
              <w:pStyle w:val="nTable"/>
              <w:spacing w:after="40"/>
            </w:pPr>
            <w:r>
              <w:t>33 of 1985</w:t>
            </w:r>
          </w:p>
        </w:tc>
        <w:tc>
          <w:tcPr>
            <w:tcW w:w="1134" w:type="dxa"/>
            <w:gridSpan w:val="2"/>
            <w:tcBorders>
              <w:top w:val="single" w:sz="8" w:space="0" w:color="auto"/>
            </w:tcBorders>
          </w:tcPr>
          <w:p>
            <w:pPr>
              <w:pStyle w:val="nTable"/>
              <w:spacing w:after="40"/>
            </w:pPr>
            <w:r>
              <w:t>6 May 1985</w:t>
            </w:r>
          </w:p>
        </w:tc>
        <w:tc>
          <w:tcPr>
            <w:tcW w:w="2551" w:type="dxa"/>
            <w:gridSpan w:val="2"/>
            <w:tcBorders>
              <w:top w:val="single" w:sz="8" w:space="0" w:color="auto"/>
            </w:tcBorders>
          </w:tcPr>
          <w:p>
            <w:pPr>
              <w:pStyle w:val="nTable"/>
              <w:spacing w:after="40"/>
            </w:pPr>
            <w:r>
              <w:t>s. 1 and 2: 6 May 1985;</w:t>
            </w:r>
            <w:r>
              <w:br/>
              <w:t xml:space="preserve">Act other than s. 1 and 2: 30 Jun 1985 (see s. 2 and </w:t>
            </w:r>
            <w:r>
              <w:rPr>
                <w:i/>
              </w:rPr>
              <w:t>Gazette</w:t>
            </w:r>
            <w:r>
              <w:t xml:space="preserve"> 21 Jun 1985 p. 2188)</w:t>
            </w:r>
          </w:p>
        </w:tc>
      </w:tr>
      <w:tr>
        <w:trPr>
          <w:gridBefore w:val="1"/>
          <w:wBefore w:w="6" w:type="dxa"/>
          <w:cantSplit/>
        </w:trPr>
        <w:tc>
          <w:tcPr>
            <w:tcW w:w="2268" w:type="dxa"/>
            <w:gridSpan w:val="2"/>
          </w:tcPr>
          <w:p>
            <w:pPr>
              <w:pStyle w:val="nTable"/>
              <w:spacing w:after="40"/>
            </w:pPr>
            <w:r>
              <w:rPr>
                <w:i/>
              </w:rPr>
              <w:t>Strata Titles Amendment Act 1986</w:t>
            </w:r>
          </w:p>
        </w:tc>
        <w:tc>
          <w:tcPr>
            <w:tcW w:w="1134" w:type="dxa"/>
            <w:gridSpan w:val="2"/>
          </w:tcPr>
          <w:p>
            <w:pPr>
              <w:pStyle w:val="nTable"/>
              <w:spacing w:after="40"/>
            </w:pPr>
            <w:r>
              <w:t>42 of 1986</w:t>
            </w:r>
          </w:p>
        </w:tc>
        <w:tc>
          <w:tcPr>
            <w:tcW w:w="1134" w:type="dxa"/>
            <w:gridSpan w:val="2"/>
          </w:tcPr>
          <w:p>
            <w:pPr>
              <w:pStyle w:val="nTable"/>
              <w:spacing w:after="40"/>
            </w:pPr>
            <w:r>
              <w:t>1 Aug 1986</w:t>
            </w:r>
          </w:p>
        </w:tc>
        <w:tc>
          <w:tcPr>
            <w:tcW w:w="2551" w:type="dxa"/>
            <w:gridSpan w:val="2"/>
          </w:tcPr>
          <w:p>
            <w:pPr>
              <w:pStyle w:val="nTable"/>
              <w:spacing w:after="40"/>
            </w:pPr>
            <w:r>
              <w:t>1 Aug 1986 (see s. 2)</w:t>
            </w:r>
          </w:p>
        </w:tc>
      </w:tr>
      <w:tr>
        <w:trPr>
          <w:gridBefore w:val="1"/>
          <w:wBefore w:w="6" w:type="dxa"/>
          <w:cantSplit/>
        </w:trPr>
        <w:tc>
          <w:tcPr>
            <w:tcW w:w="2268" w:type="dxa"/>
            <w:gridSpan w:val="2"/>
          </w:tcPr>
          <w:p>
            <w:pPr>
              <w:pStyle w:val="nTable"/>
              <w:spacing w:after="40"/>
              <w:rPr>
                <w:i/>
              </w:rPr>
            </w:pPr>
            <w:r>
              <w:rPr>
                <w:i/>
              </w:rPr>
              <w:t xml:space="preserve">Acts Amendment (Water Authority Rates and Charges) Act 1987 </w:t>
            </w:r>
            <w:r>
              <w:t>Pt. IX</w:t>
            </w:r>
          </w:p>
        </w:tc>
        <w:tc>
          <w:tcPr>
            <w:tcW w:w="1134" w:type="dxa"/>
            <w:gridSpan w:val="2"/>
          </w:tcPr>
          <w:p>
            <w:pPr>
              <w:pStyle w:val="nTable"/>
              <w:spacing w:after="40"/>
            </w:pPr>
            <w:r>
              <w:t>24 of 1987</w:t>
            </w:r>
          </w:p>
        </w:tc>
        <w:tc>
          <w:tcPr>
            <w:tcW w:w="1134" w:type="dxa"/>
            <w:gridSpan w:val="2"/>
          </w:tcPr>
          <w:p>
            <w:pPr>
              <w:pStyle w:val="nTable"/>
              <w:spacing w:after="40"/>
            </w:pPr>
            <w:r>
              <w:t>25 Jun 1987</w:t>
            </w:r>
          </w:p>
        </w:tc>
        <w:tc>
          <w:tcPr>
            <w:tcW w:w="2551" w:type="dxa"/>
            <w:gridSpan w:val="2"/>
          </w:tcPr>
          <w:p>
            <w:pPr>
              <w:pStyle w:val="nTable"/>
              <w:spacing w:after="40"/>
            </w:pPr>
            <w:r>
              <w:t xml:space="preserve">14 Jul 1987 (see s. 2 and </w:t>
            </w:r>
            <w:r>
              <w:rPr>
                <w:i/>
              </w:rPr>
              <w:t>Gazette</w:t>
            </w:r>
            <w:r>
              <w:t xml:space="preserve"> 14 Jul 1987 p. 2647)</w:t>
            </w:r>
          </w:p>
        </w:tc>
      </w:tr>
      <w:tr>
        <w:trPr>
          <w:gridBefore w:val="1"/>
          <w:wBefore w:w="6" w:type="dxa"/>
          <w:cantSplit/>
        </w:trPr>
        <w:tc>
          <w:tcPr>
            <w:tcW w:w="2268" w:type="dxa"/>
            <w:gridSpan w:val="2"/>
          </w:tcPr>
          <w:p>
            <w:pPr>
              <w:pStyle w:val="nTable"/>
              <w:spacing w:after="40"/>
              <w:rPr>
                <w:i/>
              </w:rPr>
            </w:pPr>
            <w:r>
              <w:rPr>
                <w:i/>
              </w:rPr>
              <w:t xml:space="preserve">Acts Amendment (Heritage Council) Act 1990 </w:t>
            </w:r>
            <w:r>
              <w:t>Pt. 2 Div. 6</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1" w:type="dxa"/>
            <w:gridSpan w:val="2"/>
          </w:tcPr>
          <w:p>
            <w:pPr>
              <w:pStyle w:val="nTable"/>
              <w:spacing w:after="40"/>
            </w:pPr>
            <w:r>
              <w:t xml:space="preserve">25 Feb 1991 (see s. 2 and </w:t>
            </w:r>
            <w:r>
              <w:rPr>
                <w:i/>
              </w:rPr>
              <w:t>Gazette</w:t>
            </w:r>
            <w:r>
              <w:t xml:space="preserve"> 22 Feb 1991 p. 868)</w:t>
            </w:r>
          </w:p>
        </w:tc>
      </w:tr>
      <w:tr>
        <w:trPr>
          <w:gridBefore w:val="1"/>
          <w:wBefore w:w="6" w:type="dxa"/>
          <w:cantSplit/>
        </w:trPr>
        <w:tc>
          <w:tcPr>
            <w:tcW w:w="2268" w:type="dxa"/>
            <w:gridSpan w:val="2"/>
          </w:tcPr>
          <w:p>
            <w:pPr>
              <w:pStyle w:val="nTable"/>
              <w:spacing w:after="40"/>
              <w:rPr>
                <w:i/>
              </w:rPr>
            </w:pPr>
            <w:r>
              <w:rPr>
                <w:i/>
              </w:rPr>
              <w:t xml:space="preserve">Retirement Villages Act 1992 </w:t>
            </w:r>
            <w:r>
              <w:t>s. 86</w:t>
            </w:r>
          </w:p>
        </w:tc>
        <w:tc>
          <w:tcPr>
            <w:tcW w:w="1134" w:type="dxa"/>
            <w:gridSpan w:val="2"/>
          </w:tcPr>
          <w:p>
            <w:pPr>
              <w:pStyle w:val="nTable"/>
              <w:spacing w:after="40"/>
            </w:pPr>
            <w:r>
              <w:t>34 of 1992</w:t>
            </w:r>
          </w:p>
        </w:tc>
        <w:tc>
          <w:tcPr>
            <w:tcW w:w="1134" w:type="dxa"/>
            <w:gridSpan w:val="2"/>
          </w:tcPr>
          <w:p>
            <w:pPr>
              <w:pStyle w:val="nTable"/>
              <w:spacing w:after="40"/>
            </w:pPr>
            <w:r>
              <w:t>19 Jun 1992</w:t>
            </w:r>
          </w:p>
        </w:tc>
        <w:tc>
          <w:tcPr>
            <w:tcW w:w="2551" w:type="dxa"/>
            <w:gridSpan w:val="2"/>
          </w:tcPr>
          <w:p>
            <w:pPr>
              <w:pStyle w:val="nTable"/>
              <w:spacing w:after="40"/>
            </w:pPr>
            <w:r>
              <w:t xml:space="preserve">10 Jul 1992 (see s. 2 and </w:t>
            </w:r>
            <w:r>
              <w:rPr>
                <w:i/>
              </w:rPr>
              <w:t>Gazette</w:t>
            </w:r>
            <w:r>
              <w:t xml:space="preserve"> 10 Jul 1992 p. 3185)</w:t>
            </w:r>
          </w:p>
        </w:tc>
      </w:tr>
      <w:tr>
        <w:trPr>
          <w:gridBefore w:val="1"/>
          <w:wBefore w:w="6" w:type="dxa"/>
          <w:cantSplit/>
        </w:trPr>
        <w:tc>
          <w:tcPr>
            <w:tcW w:w="2268" w:type="dxa"/>
            <w:gridSpan w:val="2"/>
          </w:tcPr>
          <w:p>
            <w:pPr>
              <w:pStyle w:val="nTable"/>
              <w:spacing w:after="40"/>
            </w:pPr>
            <w:r>
              <w:rPr>
                <w:i/>
              </w:rPr>
              <w:t xml:space="preserve">Financial Administration Legislation Amendment Act 1993 </w:t>
            </w:r>
            <w:r>
              <w:t>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1" w:type="dxa"/>
            <w:gridSpan w:val="2"/>
          </w:tcPr>
          <w:p>
            <w:pPr>
              <w:pStyle w:val="nTable"/>
              <w:spacing w:after="40"/>
            </w:pPr>
            <w:r>
              <w:t>1 Jul 1993 (see s. 2(1))</w:t>
            </w:r>
          </w:p>
        </w:tc>
      </w:tr>
      <w:tr>
        <w:trPr>
          <w:gridBefore w:val="1"/>
          <w:wBefore w:w="6" w:type="dxa"/>
          <w:cantSplit/>
        </w:trPr>
        <w:tc>
          <w:tcPr>
            <w:tcW w:w="2268" w:type="dxa"/>
            <w:gridSpan w:val="2"/>
          </w:tcPr>
          <w:p>
            <w:pPr>
              <w:pStyle w:val="nTable"/>
              <w:spacing w:after="40"/>
              <w:rPr>
                <w:i/>
              </w:rPr>
            </w:pPr>
            <w:r>
              <w:rPr>
                <w:i/>
              </w:rPr>
              <w:t xml:space="preserve">Acts Amendment (Public Sector Management) Act 1994 </w:t>
            </w:r>
            <w:r>
              <w:t>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1" w:type="dxa"/>
            <w:gridSpan w:val="2"/>
          </w:tcPr>
          <w:p>
            <w:pPr>
              <w:pStyle w:val="nTable"/>
              <w:spacing w:after="40"/>
            </w:pPr>
            <w:r>
              <w:t xml:space="preserve">1 Oct 1994 (see s. 2 and </w:t>
            </w:r>
            <w:r>
              <w:rPr>
                <w:i/>
              </w:rPr>
              <w:t>Gazette</w:t>
            </w:r>
            <w:r>
              <w:t xml:space="preserve"> 30 Sep 1994 p. 4948)</w:t>
            </w:r>
          </w:p>
        </w:tc>
      </w:tr>
      <w:tr>
        <w:trPr>
          <w:gridBefore w:val="1"/>
          <w:wBefore w:w="6" w:type="dxa"/>
          <w:cantSplit/>
        </w:trPr>
        <w:tc>
          <w:tcPr>
            <w:tcW w:w="2268" w:type="dxa"/>
            <w:gridSpan w:val="2"/>
          </w:tcPr>
          <w:p>
            <w:pPr>
              <w:pStyle w:val="nTable"/>
              <w:spacing w:after="40"/>
              <w:rPr>
                <w:i/>
              </w:rPr>
            </w:pPr>
            <w:r>
              <w:rPr>
                <w:i/>
              </w:rPr>
              <w:t xml:space="preserve">Planning Legislation Amendment Act (No. 2) 1994 </w:t>
            </w:r>
            <w:r>
              <w:t>s. 46(12)</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1" w:type="dxa"/>
            <w:gridSpan w:val="2"/>
          </w:tcPr>
          <w:p>
            <w:pPr>
              <w:pStyle w:val="nTable"/>
              <w:spacing w:after="40"/>
            </w:pPr>
            <w:r>
              <w:t xml:space="preserve">1 Mar 1995 (see s. 2 and </w:t>
            </w:r>
            <w:r>
              <w:rPr>
                <w:i/>
              </w:rPr>
              <w:t>Gazette</w:t>
            </w:r>
            <w:r>
              <w:t xml:space="preserve"> 21 Feb 1995 p. 567)</w:t>
            </w:r>
          </w:p>
        </w:tc>
      </w:tr>
      <w:tr>
        <w:trPr>
          <w:gridBefore w:val="1"/>
          <w:wBefore w:w="6" w:type="dxa"/>
          <w:cantSplit/>
        </w:trPr>
        <w:tc>
          <w:tcPr>
            <w:tcW w:w="2268" w:type="dxa"/>
            <w:gridSpan w:val="2"/>
          </w:tcPr>
          <w:p>
            <w:pPr>
              <w:pStyle w:val="nTable"/>
              <w:spacing w:after="40"/>
              <w:rPr>
                <w:i/>
              </w:rPr>
            </w:pP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PlaceType">
                <w:smartTag w:uri="urn:schemas-microsoft-com:office:smarttags" w:element="City">
                  <w:r>
                    <w:rPr>
                      <w:i/>
                    </w:rPr>
                    <w:t>Parks</w:t>
                  </w:r>
                </w:smartTag>
              </w:smartTag>
            </w:smartTag>
            <w:r>
              <w:rPr>
                <w:i/>
              </w:rPr>
              <w:t xml:space="preserve"> and Camping Grounds Act 1995 </w:t>
            </w:r>
            <w:r>
              <w:t>s. 33</w:t>
            </w:r>
          </w:p>
        </w:tc>
        <w:tc>
          <w:tcPr>
            <w:tcW w:w="1134" w:type="dxa"/>
            <w:gridSpan w:val="2"/>
          </w:tcPr>
          <w:p>
            <w:pPr>
              <w:pStyle w:val="nTable"/>
              <w:spacing w:after="40"/>
            </w:pPr>
            <w:r>
              <w:t>34 of 1995</w:t>
            </w:r>
          </w:p>
        </w:tc>
        <w:tc>
          <w:tcPr>
            <w:tcW w:w="1134" w:type="dxa"/>
            <w:gridSpan w:val="2"/>
          </w:tcPr>
          <w:p>
            <w:pPr>
              <w:pStyle w:val="nTable"/>
              <w:spacing w:after="40"/>
            </w:pPr>
            <w:r>
              <w:t>29 Sep 1995</w:t>
            </w:r>
          </w:p>
        </w:tc>
        <w:tc>
          <w:tcPr>
            <w:tcW w:w="2551" w:type="dxa"/>
            <w:gridSpan w:val="2"/>
          </w:tcPr>
          <w:p>
            <w:pPr>
              <w:pStyle w:val="nTable"/>
              <w:spacing w:after="40"/>
            </w:pPr>
            <w:r>
              <w:t xml:space="preserve">1 Jul 1997 (see s. 2 and </w:t>
            </w:r>
            <w:r>
              <w:rPr>
                <w:i/>
              </w:rPr>
              <w:t>Gazette</w:t>
            </w:r>
            <w:r>
              <w:t xml:space="preserve"> 20 Jun 1997 p. 2805)</w:t>
            </w:r>
          </w:p>
        </w:tc>
      </w:tr>
      <w:tr>
        <w:trPr>
          <w:gridBefore w:val="1"/>
          <w:wBefore w:w="6" w:type="dxa"/>
          <w:cantSplit/>
        </w:trPr>
        <w:tc>
          <w:tcPr>
            <w:tcW w:w="2268" w:type="dxa"/>
            <w:gridSpan w:val="2"/>
          </w:tcPr>
          <w:p>
            <w:pPr>
              <w:pStyle w:val="nTable"/>
              <w:spacing w:after="40"/>
              <w:rPr>
                <w:i/>
              </w:rPr>
            </w:pPr>
            <w:r>
              <w:rPr>
                <w:i/>
              </w:rPr>
              <w:t>Strata Titles Amendment Act 1995</w:t>
            </w:r>
            <w:r>
              <w:rPr>
                <w:vertAlign w:val="superscript"/>
              </w:rPr>
              <w:t xml:space="preserve"> 2, 5</w:t>
            </w:r>
            <w:r>
              <w:rPr>
                <w:vertAlign w:val="superscript"/>
              </w:rPr>
              <w:noBreakHyphen/>
              <w:t>8, 10</w:t>
            </w:r>
          </w:p>
        </w:tc>
        <w:tc>
          <w:tcPr>
            <w:tcW w:w="1134" w:type="dxa"/>
            <w:gridSpan w:val="2"/>
          </w:tcPr>
          <w:p>
            <w:pPr>
              <w:pStyle w:val="nTable"/>
              <w:spacing w:after="40"/>
            </w:pPr>
            <w:r>
              <w:t xml:space="preserve">58 of 1995 </w:t>
            </w:r>
          </w:p>
        </w:tc>
        <w:tc>
          <w:tcPr>
            <w:tcW w:w="1134" w:type="dxa"/>
            <w:gridSpan w:val="2"/>
          </w:tcPr>
          <w:p>
            <w:pPr>
              <w:pStyle w:val="nTable"/>
              <w:spacing w:after="40"/>
            </w:pPr>
            <w:r>
              <w:t>20 Dec 1995</w:t>
            </w:r>
          </w:p>
        </w:tc>
        <w:tc>
          <w:tcPr>
            <w:tcW w:w="2551" w:type="dxa"/>
            <w:gridSpan w:val="2"/>
          </w:tcPr>
          <w:p>
            <w:pPr>
              <w:pStyle w:val="nTable"/>
              <w:spacing w:after="40"/>
            </w:pPr>
            <w:r>
              <w:t>s. 1 and 2: 20 Dec 1995;</w:t>
            </w:r>
            <w:r>
              <w:br/>
              <w:t xml:space="preserve">Act other than s. 1 and 2: 14 Apr 1996 (see s. 2 and </w:t>
            </w:r>
            <w:r>
              <w:rPr>
                <w:i/>
              </w:rPr>
              <w:t>Gazette</w:t>
            </w:r>
            <w:r>
              <w:t xml:space="preserve"> 15 Mar 1996 p. 981)</w:t>
            </w:r>
          </w:p>
        </w:tc>
      </w:tr>
      <w:tr>
        <w:trPr>
          <w:gridBefore w:val="1"/>
          <w:wBefore w:w="6" w:type="dxa"/>
          <w:cantSplit/>
        </w:trPr>
        <w:tc>
          <w:tcPr>
            <w:tcW w:w="2268" w:type="dxa"/>
            <w:gridSpan w:val="2"/>
          </w:tcPr>
          <w:p>
            <w:pPr>
              <w:pStyle w:val="nTable"/>
              <w:spacing w:after="40"/>
              <w:rPr>
                <w:i/>
              </w:rPr>
            </w:pPr>
            <w:r>
              <w:rPr>
                <w:i/>
              </w:rPr>
              <w:t xml:space="preserve">Water Agencies Restructure (Transitional and Consequential Provisions) Act 1995 </w:t>
            </w:r>
            <w:r>
              <w:t>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1" w:type="dxa"/>
            <w:gridSpan w:val="2"/>
          </w:tcPr>
          <w:p>
            <w:pPr>
              <w:pStyle w:val="nTable"/>
              <w:spacing w:after="40"/>
            </w:pPr>
            <w:r>
              <w:t xml:space="preserve">1 Jan 1996 (see s. 2(2) and </w:t>
            </w:r>
            <w:r>
              <w:rPr>
                <w:i/>
              </w:rPr>
              <w:t>Gazette</w:t>
            </w:r>
            <w:r>
              <w:t xml:space="preserve"> 29 Dec 1995 p. 6291)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22 Apr 1996</w:t>
            </w:r>
            <w:r>
              <w:t xml:space="preserve"> (includes amendments listed above except those in the </w:t>
            </w: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City">
                <w:r>
                  <w:rPr>
                    <w:i/>
                  </w:rPr>
                  <w:t>Parks</w:t>
                </w:r>
              </w:smartTag>
            </w:smartTag>
            <w:r>
              <w:rPr>
                <w:i/>
              </w:rPr>
              <w:t xml:space="preserve"> and Camping Grounds Act 1995</w:t>
            </w:r>
            <w:r>
              <w:t>)</w:t>
            </w:r>
          </w:p>
        </w:tc>
      </w:tr>
      <w:tr>
        <w:trPr>
          <w:gridBefore w:val="1"/>
          <w:wBefore w:w="6" w:type="dxa"/>
          <w:cantSplit/>
        </w:trPr>
        <w:tc>
          <w:tcPr>
            <w:tcW w:w="2268" w:type="dxa"/>
            <w:gridSpan w:val="2"/>
          </w:tcPr>
          <w:p>
            <w:pPr>
              <w:pStyle w:val="nTable"/>
              <w:spacing w:after="40"/>
            </w:pPr>
            <w:r>
              <w:rPr>
                <w:i/>
              </w:rPr>
              <w:t xml:space="preserve">Local Government (Consequential Amendments) Act 1996 </w:t>
            </w:r>
            <w:r>
              <w:t>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1" w:type="dxa"/>
            <w:gridSpan w:val="2"/>
          </w:tcPr>
          <w:p>
            <w:pPr>
              <w:pStyle w:val="nTable"/>
              <w:spacing w:after="40"/>
            </w:pPr>
            <w:r>
              <w:t>1 Jul 1996 (see s. 2)</w:t>
            </w:r>
          </w:p>
        </w:tc>
      </w:tr>
      <w:tr>
        <w:trPr>
          <w:gridBefore w:val="1"/>
          <w:wBefore w:w="6" w:type="dxa"/>
          <w:cantSplit/>
        </w:trPr>
        <w:tc>
          <w:tcPr>
            <w:tcW w:w="2268" w:type="dxa"/>
            <w:gridSpan w:val="2"/>
          </w:tcPr>
          <w:p>
            <w:pPr>
              <w:pStyle w:val="nTable"/>
              <w:spacing w:after="40"/>
              <w:rPr>
                <w:vertAlign w:val="superscript"/>
              </w:rPr>
            </w:pPr>
            <w:r>
              <w:rPr>
                <w:i/>
              </w:rPr>
              <w:t>Strata Titles Amendment Act 1996</w:t>
            </w:r>
            <w:r>
              <w:rPr>
                <w:i/>
                <w:vertAlign w:val="superscript"/>
              </w:rPr>
              <w:t xml:space="preserve"> </w:t>
            </w:r>
            <w:r>
              <w:rPr>
                <w:vertAlign w:val="superscript"/>
              </w:rPr>
              <w:t>11, 12</w:t>
            </w:r>
          </w:p>
        </w:tc>
        <w:tc>
          <w:tcPr>
            <w:tcW w:w="1134" w:type="dxa"/>
            <w:gridSpan w:val="2"/>
          </w:tcPr>
          <w:p>
            <w:pPr>
              <w:pStyle w:val="nTable"/>
              <w:spacing w:after="40"/>
            </w:pPr>
            <w:r>
              <w:t xml:space="preserve">61 of 1996 </w:t>
            </w:r>
          </w:p>
        </w:tc>
        <w:tc>
          <w:tcPr>
            <w:tcW w:w="1134" w:type="dxa"/>
            <w:gridSpan w:val="2"/>
          </w:tcPr>
          <w:p>
            <w:pPr>
              <w:pStyle w:val="nTable"/>
              <w:spacing w:after="40"/>
            </w:pPr>
            <w:r>
              <w:t>11 Nov 1996</w:t>
            </w:r>
          </w:p>
        </w:tc>
        <w:tc>
          <w:tcPr>
            <w:tcW w:w="2551" w:type="dxa"/>
            <w:gridSpan w:val="2"/>
          </w:tcPr>
          <w:p>
            <w:pPr>
              <w:pStyle w:val="nTable"/>
              <w:spacing w:after="40"/>
            </w:pPr>
            <w:r>
              <w:t>s. 1 and 2: 11 Nov 1996;</w:t>
            </w:r>
            <w:r>
              <w:br/>
              <w:t xml:space="preserve">Act other than s. 1 and 2: 20 Jan 1997 (see s. 2 and </w:t>
            </w:r>
            <w:r>
              <w:rPr>
                <w:i/>
              </w:rPr>
              <w:t>Gazette</w:t>
            </w:r>
            <w:r>
              <w:t xml:space="preserve"> 17 Jan 1997 p. 405)</w:t>
            </w:r>
          </w:p>
        </w:tc>
      </w:tr>
      <w:tr>
        <w:trPr>
          <w:gridBefore w:val="1"/>
          <w:wBefore w:w="6" w:type="dxa"/>
          <w:cantSplit/>
        </w:trPr>
        <w:tc>
          <w:tcPr>
            <w:tcW w:w="2268" w:type="dxa"/>
            <w:gridSpan w:val="2"/>
          </w:tcPr>
          <w:p>
            <w:pPr>
              <w:pStyle w:val="nTable"/>
              <w:spacing w:after="40"/>
            </w:pPr>
            <w:r>
              <w:rPr>
                <w:i/>
              </w:rPr>
              <w:t xml:space="preserve">Licensed Surveyors Amendment Act 1996 </w:t>
            </w:r>
            <w:r>
              <w:t>s. 28</w:t>
            </w:r>
          </w:p>
        </w:tc>
        <w:tc>
          <w:tcPr>
            <w:tcW w:w="1134" w:type="dxa"/>
            <w:gridSpan w:val="2"/>
          </w:tcPr>
          <w:p>
            <w:pPr>
              <w:pStyle w:val="nTable"/>
              <w:spacing w:after="40"/>
            </w:pPr>
            <w:r>
              <w:t>79 of 1996</w:t>
            </w:r>
          </w:p>
        </w:tc>
        <w:tc>
          <w:tcPr>
            <w:tcW w:w="1134" w:type="dxa"/>
            <w:gridSpan w:val="2"/>
          </w:tcPr>
          <w:p>
            <w:pPr>
              <w:pStyle w:val="nTable"/>
              <w:spacing w:after="40"/>
            </w:pPr>
            <w:r>
              <w:t>14 Nov 1996</w:t>
            </w:r>
          </w:p>
        </w:tc>
        <w:tc>
          <w:tcPr>
            <w:tcW w:w="2551" w:type="dxa"/>
            <w:gridSpan w:val="2"/>
          </w:tcPr>
          <w:p>
            <w:pPr>
              <w:pStyle w:val="nTable"/>
              <w:spacing w:after="40"/>
            </w:pPr>
            <w:r>
              <w:t xml:space="preserve">5 Apr 1997 (see s. 2 and </w:t>
            </w:r>
            <w:r>
              <w:rPr>
                <w:i/>
              </w:rPr>
              <w:t>Gazette</w:t>
            </w:r>
            <w:r>
              <w:t xml:space="preserve"> 4 Apr 1997 p. 1750)</w:t>
            </w:r>
          </w:p>
        </w:tc>
      </w:tr>
      <w:tr>
        <w:trPr>
          <w:gridBefore w:val="1"/>
          <w:wBefore w:w="6" w:type="dxa"/>
          <w:cantSplit/>
        </w:trPr>
        <w:tc>
          <w:tcPr>
            <w:tcW w:w="2268" w:type="dxa"/>
            <w:gridSpan w:val="2"/>
          </w:tcPr>
          <w:p>
            <w:pPr>
              <w:pStyle w:val="nTable"/>
              <w:spacing w:after="40"/>
            </w:pPr>
            <w:r>
              <w:rPr>
                <w:i/>
              </w:rPr>
              <w:t xml:space="preserve">Transfer of Land Amendment Act 1996 </w:t>
            </w:r>
            <w:r>
              <w:t>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1" w:type="dxa"/>
            <w:gridSpan w:val="2"/>
          </w:tcPr>
          <w:p>
            <w:pPr>
              <w:pStyle w:val="nTable"/>
              <w:spacing w:after="40"/>
            </w:pPr>
            <w:r>
              <w:t>14 Nov 1996 (see s. 2(1))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20 Jan 1997</w:t>
            </w:r>
            <w:r>
              <w:t xml:space="preserve"> (includes amendments listed above except those in the </w:t>
            </w: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City">
                <w:r>
                  <w:rPr>
                    <w:i/>
                  </w:rPr>
                  <w:t>Parks</w:t>
                </w:r>
              </w:smartTag>
            </w:smartTag>
            <w:r>
              <w:rPr>
                <w:i/>
              </w:rPr>
              <w:t xml:space="preserve"> and Camping Grounds Act 1995 </w:t>
            </w:r>
            <w:r>
              <w:t xml:space="preserve">and the </w:t>
            </w:r>
            <w:r>
              <w:rPr>
                <w:i/>
              </w:rPr>
              <w:t>Licensed Surveyors Amendment Act 1996</w:t>
            </w:r>
            <w:r>
              <w:t>)</w:t>
            </w:r>
          </w:p>
        </w:tc>
      </w:tr>
      <w:tr>
        <w:trPr>
          <w:gridBefore w:val="1"/>
          <w:wBefore w:w="6" w:type="dxa"/>
          <w:cantSplit/>
        </w:trPr>
        <w:tc>
          <w:tcPr>
            <w:tcW w:w="2268" w:type="dxa"/>
            <w:gridSpan w:val="2"/>
          </w:tcPr>
          <w:p>
            <w:pPr>
              <w:pStyle w:val="nTable"/>
              <w:spacing w:after="40"/>
            </w:pPr>
            <w:r>
              <w:rPr>
                <w:i/>
              </w:rPr>
              <w:t xml:space="preserve">Equal Opportunity Amendment Act (No. 3) 1997 </w:t>
            </w:r>
            <w:r>
              <w:t>s. 8</w:t>
            </w:r>
          </w:p>
        </w:tc>
        <w:tc>
          <w:tcPr>
            <w:tcW w:w="1134" w:type="dxa"/>
            <w:gridSpan w:val="2"/>
          </w:tcPr>
          <w:p>
            <w:pPr>
              <w:pStyle w:val="nTable"/>
              <w:spacing w:after="40"/>
            </w:pPr>
            <w:r>
              <w:t>42 of 1997</w:t>
            </w:r>
          </w:p>
        </w:tc>
        <w:tc>
          <w:tcPr>
            <w:tcW w:w="1134" w:type="dxa"/>
            <w:gridSpan w:val="2"/>
          </w:tcPr>
          <w:p>
            <w:pPr>
              <w:pStyle w:val="nTable"/>
              <w:spacing w:after="40"/>
            </w:pPr>
            <w:r>
              <w:t>9 Dec 1997</w:t>
            </w:r>
          </w:p>
        </w:tc>
        <w:tc>
          <w:tcPr>
            <w:tcW w:w="2551" w:type="dxa"/>
            <w:gridSpan w:val="2"/>
          </w:tcPr>
          <w:p>
            <w:pPr>
              <w:pStyle w:val="nTable"/>
              <w:spacing w:after="40"/>
            </w:pPr>
            <w:r>
              <w:t>6 Jan 1998 (see s. 2(1))</w:t>
            </w:r>
          </w:p>
        </w:tc>
      </w:tr>
      <w:tr>
        <w:trPr>
          <w:gridBefore w:val="1"/>
          <w:wBefore w:w="6" w:type="dxa"/>
          <w:cantSplit/>
        </w:trPr>
        <w:tc>
          <w:tcPr>
            <w:tcW w:w="2268" w:type="dxa"/>
            <w:gridSpan w:val="2"/>
          </w:tcPr>
          <w:p>
            <w:pPr>
              <w:pStyle w:val="nTable"/>
              <w:spacing w:after="40"/>
            </w:pPr>
            <w:r>
              <w:rPr>
                <w:i/>
              </w:rPr>
              <w:t xml:space="preserve">Statutes (Repeals and Minor Amendments) Act 1997 </w:t>
            </w:r>
            <w:r>
              <w:t>s. 115</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1" w:type="dxa"/>
            <w:gridSpan w:val="2"/>
          </w:tcPr>
          <w:p>
            <w:pPr>
              <w:pStyle w:val="nTable"/>
              <w:spacing w:after="40"/>
            </w:pPr>
            <w:r>
              <w:t>15 Dec 1997 (see s. 2(1))</w:t>
            </w:r>
          </w:p>
        </w:tc>
      </w:tr>
      <w:tr>
        <w:trPr>
          <w:gridBefore w:val="1"/>
          <w:wBefore w:w="6" w:type="dxa"/>
          <w:cantSplit/>
        </w:trPr>
        <w:tc>
          <w:tcPr>
            <w:tcW w:w="2268" w:type="dxa"/>
            <w:gridSpan w:val="2"/>
          </w:tcPr>
          <w:p>
            <w:pPr>
              <w:pStyle w:val="nTable"/>
              <w:spacing w:after="40"/>
            </w:pPr>
            <w:r>
              <w:rPr>
                <w:i/>
              </w:rPr>
              <w:t xml:space="preserve">Statutes (Repeals and Minor Amendments) Act (No. 2) 1998 </w:t>
            </w:r>
            <w:r>
              <w:t>s. 66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1" w:type="dxa"/>
            <w:gridSpan w:val="2"/>
          </w:tcPr>
          <w:p>
            <w:pPr>
              <w:pStyle w:val="nTable"/>
              <w:spacing w:after="40"/>
            </w:pPr>
            <w:r>
              <w:t>30 Apr 1998 (see s. 2(1))</w:t>
            </w:r>
          </w:p>
        </w:tc>
      </w:tr>
      <w:tr>
        <w:trPr>
          <w:gridBefore w:val="1"/>
          <w:wBefore w:w="6" w:type="dxa"/>
          <w:cantSplit/>
        </w:trPr>
        <w:tc>
          <w:tcPr>
            <w:tcW w:w="2268" w:type="dxa"/>
            <w:gridSpan w:val="2"/>
          </w:tcPr>
          <w:p>
            <w:pPr>
              <w:pStyle w:val="nTable"/>
              <w:spacing w:after="40"/>
            </w:pPr>
            <w:r>
              <w:rPr>
                <w:i/>
              </w:rPr>
              <w:t xml:space="preserve">Acts Amendment and Repeal (Financial Sector Reform) Act 1999 </w:t>
            </w:r>
            <w:r>
              <w:t>s. 104</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1" w:type="dxa"/>
            <w:gridSpan w:val="2"/>
          </w:tcPr>
          <w:p>
            <w:pPr>
              <w:pStyle w:val="nTable"/>
              <w:spacing w:after="40"/>
            </w:pPr>
            <w:r>
              <w:t xml:space="preserve">1 Jul 1999 (see s. 2 and </w:t>
            </w:r>
            <w:r>
              <w:rPr>
                <w:i/>
              </w:rPr>
              <w:t>Gazette</w:t>
            </w:r>
            <w:r>
              <w:t xml:space="preserve"> 30 Jun 1999 p. 2905)</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1 Jul 1999</w:t>
            </w:r>
            <w:r>
              <w:t xml:space="preserve"> (includes amendments listed above)</w:t>
            </w:r>
          </w:p>
        </w:tc>
      </w:tr>
      <w:tr>
        <w:trPr>
          <w:gridBefore w:val="1"/>
          <w:wBefore w:w="6" w:type="dxa"/>
          <w:cantSplit/>
        </w:trPr>
        <w:tc>
          <w:tcPr>
            <w:tcW w:w="2268" w:type="dxa"/>
            <w:gridSpan w:val="2"/>
          </w:tcPr>
          <w:p>
            <w:pPr>
              <w:pStyle w:val="nTable"/>
              <w:spacing w:after="40"/>
              <w:rPr>
                <w:i/>
              </w:rPr>
            </w:pPr>
            <w:r>
              <w:rPr>
                <w:i/>
              </w:rPr>
              <w:t xml:space="preserve">Statutes (Repeals and Minor Amendments) Act 2000 </w:t>
            </w:r>
            <w:r>
              <w:t>s. 40</w:t>
            </w:r>
          </w:p>
        </w:tc>
        <w:tc>
          <w:tcPr>
            <w:tcW w:w="1134" w:type="dxa"/>
            <w:gridSpan w:val="2"/>
          </w:tcPr>
          <w:p>
            <w:pPr>
              <w:pStyle w:val="nTable"/>
              <w:spacing w:after="40"/>
            </w:pPr>
            <w:r>
              <w:t>24 of 2000</w:t>
            </w:r>
          </w:p>
        </w:tc>
        <w:tc>
          <w:tcPr>
            <w:tcW w:w="1134" w:type="dxa"/>
            <w:gridSpan w:val="2"/>
          </w:tcPr>
          <w:p>
            <w:pPr>
              <w:pStyle w:val="nTable"/>
              <w:spacing w:after="40"/>
            </w:pPr>
            <w:r>
              <w:t>4 Jul 2000</w:t>
            </w:r>
          </w:p>
        </w:tc>
        <w:tc>
          <w:tcPr>
            <w:tcW w:w="2551" w:type="dxa"/>
            <w:gridSpan w:val="2"/>
          </w:tcPr>
          <w:p>
            <w:pPr>
              <w:pStyle w:val="nTable"/>
              <w:spacing w:after="40"/>
            </w:pPr>
            <w:r>
              <w:t>4 Jul 2000 (see s. 2)</w:t>
            </w:r>
          </w:p>
        </w:tc>
      </w:tr>
      <w:tr>
        <w:trPr>
          <w:gridBefore w:val="1"/>
          <w:wBefore w:w="6" w:type="dxa"/>
          <w:cantSplit/>
        </w:trPr>
        <w:tc>
          <w:tcPr>
            <w:tcW w:w="2268" w:type="dxa"/>
            <w:gridSpan w:val="2"/>
          </w:tcPr>
          <w:p>
            <w:pPr>
              <w:pStyle w:val="nTable"/>
              <w:spacing w:after="40"/>
              <w:rPr>
                <w:i/>
              </w:rPr>
            </w:pPr>
            <w:r>
              <w:rPr>
                <w:i/>
              </w:rPr>
              <w:t>Corporations (Consequential Amendments) Act 2001</w:t>
            </w:r>
            <w:r>
              <w:t xml:space="preserve"> Pt. 49</w:t>
            </w:r>
          </w:p>
        </w:tc>
        <w:tc>
          <w:tcPr>
            <w:tcW w:w="1134" w:type="dxa"/>
            <w:gridSpan w:val="2"/>
          </w:tcPr>
          <w:p>
            <w:pPr>
              <w:pStyle w:val="nTable"/>
              <w:spacing w:after="40"/>
            </w:pPr>
            <w:r>
              <w:t>10 of 2001</w:t>
            </w:r>
          </w:p>
        </w:tc>
        <w:tc>
          <w:tcPr>
            <w:tcW w:w="1134" w:type="dxa"/>
            <w:gridSpan w:val="2"/>
          </w:tcPr>
          <w:p>
            <w:pPr>
              <w:pStyle w:val="nTable"/>
              <w:spacing w:after="40"/>
            </w:pPr>
            <w:r>
              <w:t>28 Jun 2001</w:t>
            </w:r>
          </w:p>
        </w:tc>
        <w:tc>
          <w:tcPr>
            <w:tcW w:w="2551" w:type="dxa"/>
            <w:gridSpan w:val="2"/>
          </w:tcPr>
          <w:p>
            <w:pPr>
              <w:pStyle w:val="nTable"/>
              <w:spacing w:after="40"/>
            </w:pPr>
            <w:r>
              <w:t xml:space="preserve">15 Jul 2001 (see s. 2 and </w:t>
            </w:r>
            <w:r>
              <w:rPr>
                <w:i/>
              </w:rPr>
              <w:t>Gazette</w:t>
            </w:r>
            <w:r>
              <w:t xml:space="preserve"> 29 Jun 2001 p. 3257 and Cwlth </w:t>
            </w:r>
            <w:r>
              <w:rPr>
                <w:i/>
              </w:rPr>
              <w:t>Gazette</w:t>
            </w:r>
            <w:r>
              <w:t xml:space="preserve"> 13 Jul 2001 No. S285)</w:t>
            </w:r>
          </w:p>
        </w:tc>
      </w:tr>
      <w:tr>
        <w:trPr>
          <w:gridBefore w:val="1"/>
          <w:wBefore w:w="6" w:type="dxa"/>
          <w:cantSplit/>
        </w:trPr>
        <w:tc>
          <w:tcPr>
            <w:tcW w:w="2268" w:type="dxa"/>
            <w:gridSpan w:val="2"/>
          </w:tcPr>
          <w:p>
            <w:pPr>
              <w:pStyle w:val="nTable"/>
              <w:spacing w:after="40"/>
              <w:rPr>
                <w:vertAlign w:val="superscript"/>
              </w:rPr>
            </w:pPr>
            <w:r>
              <w:rPr>
                <w:i/>
              </w:rPr>
              <w:t>Planning Appeals Amendment Act 2002</w:t>
            </w:r>
            <w:r>
              <w:t xml:space="preserve"> s. 28</w:t>
            </w:r>
          </w:p>
        </w:tc>
        <w:tc>
          <w:tcPr>
            <w:tcW w:w="1134" w:type="dxa"/>
            <w:gridSpan w:val="2"/>
          </w:tcPr>
          <w:p>
            <w:pPr>
              <w:pStyle w:val="nTable"/>
              <w:spacing w:after="40"/>
            </w:pPr>
            <w:r>
              <w:t>24 of 2002</w:t>
            </w:r>
          </w:p>
        </w:tc>
        <w:tc>
          <w:tcPr>
            <w:tcW w:w="1134" w:type="dxa"/>
            <w:gridSpan w:val="2"/>
          </w:tcPr>
          <w:p>
            <w:pPr>
              <w:pStyle w:val="nTable"/>
              <w:spacing w:after="40"/>
            </w:pPr>
            <w:r>
              <w:t>24 Sep 2002</w:t>
            </w:r>
          </w:p>
        </w:tc>
        <w:tc>
          <w:tcPr>
            <w:tcW w:w="2551" w:type="dxa"/>
            <w:gridSpan w:val="2"/>
          </w:tcPr>
          <w:p>
            <w:pPr>
              <w:pStyle w:val="nTable"/>
              <w:spacing w:after="40"/>
            </w:pPr>
            <w:r>
              <w:t xml:space="preserve">18 Apr 2003 (see s. 2 and </w:t>
            </w:r>
            <w:r>
              <w:rPr>
                <w:i/>
              </w:rPr>
              <w:t>Gazette</w:t>
            </w:r>
            <w:r>
              <w:t xml:space="preserve"> 17 Apr 2003 p. 1243)</w:t>
            </w:r>
          </w:p>
        </w:tc>
      </w:tr>
      <w:tr>
        <w:trPr>
          <w:gridBefore w:val="1"/>
          <w:wBefore w:w="6" w:type="dxa"/>
          <w:cantSplit/>
        </w:trPr>
        <w:tc>
          <w:tcPr>
            <w:tcW w:w="2268" w:type="dxa"/>
            <w:gridSpan w:val="2"/>
          </w:tcPr>
          <w:p>
            <w:pPr>
              <w:pStyle w:val="nTable"/>
              <w:spacing w:after="40"/>
              <w:rPr>
                <w:i/>
              </w:rPr>
            </w:pPr>
            <w:r>
              <w:rPr>
                <w:i/>
              </w:rPr>
              <w:t xml:space="preserve">Taxation Administration (Consequential Provisions) Act 2002 </w:t>
            </w:r>
            <w:r>
              <w:t>s. 23</w:t>
            </w:r>
          </w:p>
        </w:tc>
        <w:tc>
          <w:tcPr>
            <w:tcW w:w="1134" w:type="dxa"/>
            <w:gridSpan w:val="2"/>
          </w:tcPr>
          <w:p>
            <w:pPr>
              <w:pStyle w:val="nTable"/>
              <w:spacing w:after="40"/>
            </w:pPr>
            <w:r>
              <w:t>45 of 2002</w:t>
            </w:r>
          </w:p>
        </w:tc>
        <w:tc>
          <w:tcPr>
            <w:tcW w:w="1134" w:type="dxa"/>
            <w:gridSpan w:val="2"/>
          </w:tcPr>
          <w:p>
            <w:pPr>
              <w:pStyle w:val="nTable"/>
              <w:spacing w:after="40"/>
            </w:pPr>
            <w:r>
              <w:t>20 Mar 2003</w:t>
            </w:r>
          </w:p>
        </w:tc>
        <w:tc>
          <w:tcPr>
            <w:tcW w:w="2551" w:type="dxa"/>
            <w:gridSpan w:val="2"/>
          </w:tcPr>
          <w:p>
            <w:pPr>
              <w:pStyle w:val="nTable"/>
              <w:spacing w:after="40"/>
            </w:pPr>
            <w:r>
              <w:t xml:space="preserve">1 Jul 2003 (see s. 2(1) and </w:t>
            </w:r>
            <w:r>
              <w:rPr>
                <w:i/>
              </w:rPr>
              <w:t>Gazette</w:t>
            </w:r>
            <w:r>
              <w:t xml:space="preserve"> 27 Jun 2003 p. 2383)</w:t>
            </w:r>
          </w:p>
        </w:tc>
      </w:tr>
      <w:tr>
        <w:trPr>
          <w:gridBefore w:val="1"/>
          <w:wBefore w:w="6" w:type="dxa"/>
          <w:cantSplit/>
        </w:trPr>
        <w:tc>
          <w:tcPr>
            <w:tcW w:w="2268" w:type="dxa"/>
            <w:gridSpan w:val="2"/>
          </w:tcPr>
          <w:p>
            <w:pPr>
              <w:pStyle w:val="nTable"/>
              <w:spacing w:after="40"/>
            </w:pPr>
            <w:r>
              <w:rPr>
                <w:i/>
              </w:rPr>
              <w:t>Acts Amendment (Equality of Status) Act 2003</w:t>
            </w:r>
            <w:r>
              <w:t xml:space="preserve"> Pt. 56</w:t>
            </w:r>
          </w:p>
        </w:tc>
        <w:tc>
          <w:tcPr>
            <w:tcW w:w="1134" w:type="dxa"/>
            <w:gridSpan w:val="2"/>
          </w:tcPr>
          <w:p>
            <w:pPr>
              <w:pStyle w:val="nTable"/>
              <w:spacing w:after="40"/>
            </w:pPr>
            <w:r>
              <w:t>28 of 2003</w:t>
            </w:r>
          </w:p>
        </w:tc>
        <w:tc>
          <w:tcPr>
            <w:tcW w:w="1134" w:type="dxa"/>
            <w:gridSpan w:val="2"/>
          </w:tcPr>
          <w:p>
            <w:pPr>
              <w:pStyle w:val="nTable"/>
              <w:spacing w:after="40"/>
            </w:pPr>
            <w:r>
              <w:t>22 May 2003</w:t>
            </w:r>
          </w:p>
        </w:tc>
        <w:tc>
          <w:tcPr>
            <w:tcW w:w="2551" w:type="dxa"/>
            <w:gridSpan w:val="2"/>
          </w:tcPr>
          <w:p>
            <w:pPr>
              <w:pStyle w:val="nTable"/>
              <w:spacing w:after="40"/>
            </w:pPr>
            <w:r>
              <w:t xml:space="preserve">1 Jul 2003 (see s. 2 and </w:t>
            </w:r>
            <w:r>
              <w:rPr>
                <w:i/>
              </w:rPr>
              <w:t xml:space="preserve">Gazette </w:t>
            </w:r>
            <w:r>
              <w:t>30 Jun 2003 p. 2579)</w:t>
            </w:r>
          </w:p>
        </w:tc>
      </w:tr>
      <w:tr>
        <w:trPr>
          <w:gridBefore w:val="1"/>
          <w:wBefore w:w="6" w:type="dxa"/>
          <w:cantSplit/>
        </w:trPr>
        <w:tc>
          <w:tcPr>
            <w:tcW w:w="7087" w:type="dxa"/>
            <w:gridSpan w:val="8"/>
          </w:tcPr>
          <w:p>
            <w:pPr>
              <w:pStyle w:val="nTable"/>
              <w:spacing w:after="40"/>
            </w:pPr>
            <w:r>
              <w:rPr>
                <w:b/>
              </w:rPr>
              <w:t xml:space="preserve">Reprint 4:  The </w:t>
            </w:r>
            <w:r>
              <w:rPr>
                <w:b/>
                <w:i/>
              </w:rPr>
              <w:t>Strata Titles Act 1985</w:t>
            </w:r>
            <w:r>
              <w:rPr>
                <w:b/>
              </w:rPr>
              <w:t xml:space="preserve"> as at 22 Aug 2003</w:t>
            </w:r>
            <w:r>
              <w:t xml:space="preserve"> (includes amendments listed above)</w:t>
            </w:r>
          </w:p>
        </w:tc>
      </w:tr>
      <w:tr>
        <w:trPr>
          <w:gridBefore w:val="1"/>
          <w:wBefore w:w="6" w:type="dxa"/>
          <w:cantSplit/>
        </w:trPr>
        <w:tc>
          <w:tcPr>
            <w:tcW w:w="2268" w:type="dxa"/>
            <w:gridSpan w:val="2"/>
          </w:tcPr>
          <w:p>
            <w:pPr>
              <w:pStyle w:val="nTable"/>
              <w:spacing w:after="40"/>
            </w:pPr>
            <w:r>
              <w:rPr>
                <w:i/>
              </w:rPr>
              <w:t>Acts Amendment and Repeal (Courts and Legal Practice) Act 2003</w:t>
            </w:r>
            <w:r>
              <w:t xml:space="preserve"> s. 67</w:t>
            </w:r>
          </w:p>
        </w:tc>
        <w:tc>
          <w:tcPr>
            <w:tcW w:w="1134" w:type="dxa"/>
            <w:gridSpan w:val="2"/>
          </w:tcPr>
          <w:p>
            <w:pPr>
              <w:pStyle w:val="nTable"/>
              <w:spacing w:after="40"/>
            </w:pPr>
            <w:r>
              <w:t>65 of 2003</w:t>
            </w:r>
          </w:p>
        </w:tc>
        <w:tc>
          <w:tcPr>
            <w:tcW w:w="1134" w:type="dxa"/>
            <w:gridSpan w:val="2"/>
          </w:tcPr>
          <w:p>
            <w:pPr>
              <w:pStyle w:val="nTable"/>
              <w:spacing w:after="40"/>
            </w:pPr>
            <w:r>
              <w:t>4 Dec 2003</w:t>
            </w:r>
          </w:p>
        </w:tc>
        <w:tc>
          <w:tcPr>
            <w:tcW w:w="2551" w:type="dxa"/>
            <w:gridSpan w:val="2"/>
          </w:tcPr>
          <w:p>
            <w:pPr>
              <w:pStyle w:val="nTable"/>
              <w:spacing w:after="40"/>
              <w:rPr>
                <w:spacing w:val="-2"/>
              </w:rPr>
            </w:pPr>
            <w:r>
              <w:rPr>
                <w:spacing w:val="-2"/>
              </w:rPr>
              <w:t xml:space="preserve">1 Jan 2004 (see s. 2 and </w:t>
            </w:r>
            <w:r>
              <w:rPr>
                <w:i/>
                <w:spacing w:val="-2"/>
              </w:rPr>
              <w:t>Gazette</w:t>
            </w:r>
            <w:r>
              <w:rPr>
                <w:spacing w:val="-2"/>
              </w:rPr>
              <w:t xml:space="preserve"> 30 Dec 2003 p. 5722)</w:t>
            </w:r>
          </w:p>
        </w:tc>
      </w:tr>
      <w:tr>
        <w:trPr>
          <w:gridBefore w:val="1"/>
          <w:wBefore w:w="6" w:type="dxa"/>
          <w:cantSplit/>
        </w:trPr>
        <w:tc>
          <w:tcPr>
            <w:tcW w:w="2268" w:type="dxa"/>
            <w:gridSpan w:val="2"/>
          </w:tcPr>
          <w:p>
            <w:pPr>
              <w:pStyle w:val="nTable"/>
              <w:spacing w:after="40"/>
            </w:pPr>
            <w:r>
              <w:rPr>
                <w:i/>
              </w:rPr>
              <w:t>Statutes (Repeals and Minor Amendments) Act 2003</w:t>
            </w:r>
            <w:r>
              <w:t xml:space="preserve"> s. 112 </w:t>
            </w:r>
            <w:r>
              <w:rPr>
                <w:rFonts w:ascii="Times" w:hAnsi="Times"/>
                <w:vertAlign w:val="superscript"/>
              </w:rPr>
              <w:t>13</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1" w:type="dxa"/>
            <w:gridSpan w:val="2"/>
          </w:tcPr>
          <w:p>
            <w:pPr>
              <w:pStyle w:val="nTable"/>
              <w:spacing w:after="40"/>
            </w:pPr>
            <w:r>
              <w:rPr>
                <w:spacing w:val="-2"/>
              </w:rPr>
              <w:t>15 Dec 2003 (see s. 2)</w:t>
            </w:r>
          </w:p>
        </w:tc>
      </w:tr>
      <w:tr>
        <w:trPr>
          <w:gridBefore w:val="1"/>
          <w:wBefore w:w="6" w:type="dxa"/>
          <w:cantSplit/>
        </w:trPr>
        <w:tc>
          <w:tcPr>
            <w:tcW w:w="2268" w:type="dxa"/>
            <w:gridSpan w:val="2"/>
          </w:tcPr>
          <w:p>
            <w:pPr>
              <w:pStyle w:val="nTable"/>
              <w:spacing w:after="40"/>
              <w:rPr>
                <w:i/>
              </w:rPr>
            </w:pPr>
            <w:r>
              <w:rPr>
                <w:i/>
                <w:snapToGrid w:val="0"/>
              </w:rPr>
              <w:t>Workers’ Compensation Reform Act 2004</w:t>
            </w:r>
            <w:r>
              <w:rPr>
                <w:snapToGrid w:val="0"/>
              </w:rPr>
              <w:t xml:space="preserve"> s. 174</w:t>
            </w:r>
          </w:p>
        </w:tc>
        <w:tc>
          <w:tcPr>
            <w:tcW w:w="1134" w:type="dxa"/>
            <w:gridSpan w:val="2"/>
          </w:tcPr>
          <w:p>
            <w:pPr>
              <w:pStyle w:val="nTable"/>
              <w:spacing w:after="40"/>
            </w:pPr>
            <w:r>
              <w:rPr>
                <w:snapToGrid w:val="0"/>
              </w:rPr>
              <w:t>42 of 2004</w:t>
            </w:r>
          </w:p>
        </w:tc>
        <w:tc>
          <w:tcPr>
            <w:tcW w:w="1134" w:type="dxa"/>
            <w:gridSpan w:val="2"/>
          </w:tcPr>
          <w:p>
            <w:pPr>
              <w:pStyle w:val="nTable"/>
              <w:spacing w:after="40"/>
            </w:pPr>
            <w:r>
              <w:t>9 Nov 2004</w:t>
            </w:r>
          </w:p>
        </w:tc>
        <w:tc>
          <w:tcPr>
            <w:tcW w:w="2551" w:type="dxa"/>
            <w:gridSpan w:val="2"/>
          </w:tcPr>
          <w:p>
            <w:pPr>
              <w:pStyle w:val="nTable"/>
              <w:spacing w:after="40"/>
              <w:rPr>
                <w:spacing w:val="-2"/>
              </w:rPr>
            </w:pPr>
            <w:r>
              <w:rPr>
                <w:snapToGrid w:val="0"/>
                <w:spacing w:val="-2"/>
              </w:rPr>
              <w:t xml:space="preserve">4 Jan 2005 (see s. 2 and </w:t>
            </w:r>
            <w:r>
              <w:rPr>
                <w:i/>
                <w:snapToGrid w:val="0"/>
                <w:spacing w:val="-2"/>
              </w:rPr>
              <w:t>Gazette</w:t>
            </w:r>
            <w:r>
              <w:rPr>
                <w:snapToGrid w:val="0"/>
                <w:spacing w:val="-2"/>
              </w:rPr>
              <w:t xml:space="preserve"> 31 Dec 2004 p. 7131)</w:t>
            </w:r>
          </w:p>
        </w:tc>
      </w:tr>
      <w:tr>
        <w:trPr>
          <w:gridBefore w:val="1"/>
          <w:wBefore w:w="6" w:type="dxa"/>
          <w:cantSplit/>
        </w:trPr>
        <w:tc>
          <w:tcPr>
            <w:tcW w:w="2268" w:type="dxa"/>
            <w:gridSpan w:val="2"/>
          </w:tcPr>
          <w:p>
            <w:pPr>
              <w:pStyle w:val="nTable"/>
              <w:spacing w:after="40"/>
              <w:rPr>
                <w:rFonts w:ascii="Times" w:hAnsi="Times"/>
                <w:i/>
                <w:iCs/>
              </w:rPr>
            </w:pPr>
            <w:r>
              <w:rPr>
                <w:i/>
                <w:snapToGrid w:val="0"/>
              </w:rPr>
              <w:t xml:space="preserve">Courts Legislation Amendment and Repeal Act 2004 </w:t>
            </w:r>
            <w:r>
              <w:rPr>
                <w:snapToGrid w:val="0"/>
              </w:rPr>
              <w:t>Sch. 1 cl. 150 (other than the amendment to s. 116A(4)) </w:t>
            </w:r>
            <w:r>
              <w:rPr>
                <w:snapToGrid w:val="0"/>
                <w:vertAlign w:val="superscript"/>
              </w:rPr>
              <w:t>14</w:t>
            </w:r>
          </w:p>
        </w:tc>
        <w:tc>
          <w:tcPr>
            <w:tcW w:w="1134" w:type="dxa"/>
            <w:gridSpan w:val="2"/>
          </w:tcPr>
          <w:p>
            <w:pPr>
              <w:pStyle w:val="nTable"/>
              <w:spacing w:after="40"/>
              <w:rPr>
                <w:rFonts w:ascii="Times" w:hAnsi="Times"/>
              </w:rPr>
            </w:pPr>
            <w:r>
              <w:rPr>
                <w:snapToGrid w:val="0"/>
              </w:rPr>
              <w:t>59 of 2004 (as amended by No. 2 of 2008 s. 77(12) and (13))</w:t>
            </w:r>
          </w:p>
        </w:tc>
        <w:tc>
          <w:tcPr>
            <w:tcW w:w="1134" w:type="dxa"/>
            <w:gridSpan w:val="2"/>
          </w:tcPr>
          <w:p>
            <w:pPr>
              <w:pStyle w:val="nTable"/>
              <w:spacing w:after="40"/>
              <w:rPr>
                <w:rFonts w:ascii="Times" w:hAnsi="Times"/>
              </w:rPr>
            </w:pPr>
            <w:r>
              <w:rPr>
                <w:snapToGrid w:val="0"/>
              </w:rPr>
              <w:t>23 Nov 2004</w:t>
            </w:r>
          </w:p>
        </w:tc>
        <w:tc>
          <w:tcPr>
            <w:tcW w:w="2551" w:type="dxa"/>
            <w:gridSpan w:val="2"/>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gridBefore w:val="1"/>
          <w:wBefore w:w="6" w:type="dxa"/>
          <w:cantSplit/>
        </w:trPr>
        <w:tc>
          <w:tcPr>
            <w:tcW w:w="2268" w:type="dxa"/>
            <w:gridSpan w:val="2"/>
          </w:tcPr>
          <w:p>
            <w:pPr>
              <w:pStyle w:val="nTable"/>
              <w:spacing w:after="40"/>
              <w:rPr>
                <w:i/>
                <w:snapToGrid w:val="0"/>
                <w:vertAlign w:val="superscript"/>
              </w:rPr>
            </w:pPr>
            <w:r>
              <w:rPr>
                <w:rFonts w:ascii="Times" w:hAnsi="Times"/>
                <w:i/>
                <w:iCs/>
              </w:rPr>
              <w:t>State Administrative Tribunal (Conferral of Jurisdiction) Amendment and Repeal Act 2004</w:t>
            </w:r>
            <w:r>
              <w:rPr>
                <w:rFonts w:ascii="Times" w:hAnsi="Times"/>
              </w:rPr>
              <w:t xml:space="preserve"> Pt. 2 Div. 121 </w:t>
            </w:r>
            <w:r>
              <w:rPr>
                <w:rFonts w:ascii="Times" w:hAnsi="Times"/>
                <w:vertAlign w:val="superscript"/>
              </w:rPr>
              <w:t>15, 16</w:t>
            </w:r>
          </w:p>
        </w:tc>
        <w:tc>
          <w:tcPr>
            <w:tcW w:w="1134" w:type="dxa"/>
            <w:gridSpan w:val="2"/>
          </w:tcPr>
          <w:p>
            <w:pPr>
              <w:pStyle w:val="nTable"/>
              <w:spacing w:after="40"/>
              <w:rPr>
                <w:snapToGrid w:val="0"/>
              </w:rPr>
            </w:pPr>
            <w:r>
              <w:rPr>
                <w:rFonts w:ascii="Times" w:hAnsi="Times"/>
              </w:rPr>
              <w:t>55 of 2004</w:t>
            </w:r>
          </w:p>
        </w:tc>
        <w:tc>
          <w:tcPr>
            <w:tcW w:w="1134" w:type="dxa"/>
            <w:gridSpan w:val="2"/>
          </w:tcPr>
          <w:p>
            <w:pPr>
              <w:pStyle w:val="nTable"/>
              <w:spacing w:after="40"/>
            </w:pPr>
            <w:r>
              <w:rPr>
                <w:rFonts w:ascii="Times" w:hAnsi="Times"/>
              </w:rPr>
              <w:t>24 Nov 2004</w:t>
            </w:r>
          </w:p>
        </w:tc>
        <w:tc>
          <w:tcPr>
            <w:tcW w:w="2551" w:type="dxa"/>
            <w:gridSpan w:val="2"/>
          </w:tcPr>
          <w:p>
            <w:pPr>
              <w:pStyle w:val="nTable"/>
              <w:spacing w:after="40"/>
              <w:rPr>
                <w:snapToGrid w:val="0"/>
                <w:spacing w:val="-2"/>
              </w:rPr>
            </w:pPr>
            <w:r>
              <w:t xml:space="preserve">1 Jan 2005 (see s. 2 and </w:t>
            </w:r>
            <w:r>
              <w:rPr>
                <w:i/>
                <w:iCs/>
              </w:rPr>
              <w:t>Gazette</w:t>
            </w:r>
            <w:r>
              <w:t xml:space="preserve"> 31 Dec 2004 p. 7130)</w:t>
            </w:r>
          </w:p>
        </w:tc>
      </w:tr>
      <w:tr>
        <w:trPr>
          <w:gridBefore w:val="1"/>
          <w:wBefore w:w="6" w:type="dxa"/>
          <w:cantSplit/>
        </w:trPr>
        <w:tc>
          <w:tcPr>
            <w:tcW w:w="7087" w:type="dxa"/>
            <w:gridSpan w:val="8"/>
          </w:tcPr>
          <w:p>
            <w:pPr>
              <w:pStyle w:val="nTable"/>
              <w:spacing w:after="40"/>
            </w:pPr>
            <w:r>
              <w:rPr>
                <w:b/>
              </w:rPr>
              <w:t xml:space="preserve">Reprint 5:  The </w:t>
            </w:r>
            <w:r>
              <w:rPr>
                <w:b/>
                <w:i/>
              </w:rPr>
              <w:t>Strata Titles Act 1985</w:t>
            </w:r>
            <w:r>
              <w:rPr>
                <w:b/>
              </w:rPr>
              <w:t xml:space="preserve"> as at 20 May 2005</w:t>
            </w:r>
            <w:r>
              <w:t xml:space="preserve"> (includes amendments listed above)</w:t>
            </w:r>
          </w:p>
        </w:tc>
      </w:tr>
      <w:tr>
        <w:trPr>
          <w:gridBefore w:val="1"/>
          <w:wBefore w:w="6" w:type="dxa"/>
          <w:cantSplit/>
        </w:trPr>
        <w:tc>
          <w:tcPr>
            <w:tcW w:w="2268" w:type="dxa"/>
            <w:gridSpan w:val="2"/>
          </w:tcPr>
          <w:p>
            <w:pPr>
              <w:pStyle w:val="nTable"/>
              <w:spacing w:after="40"/>
              <w:rPr>
                <w:i/>
                <w:snapToGrid w:val="0"/>
              </w:rPr>
            </w:pPr>
            <w:r>
              <w:rPr>
                <w:rFonts w:ascii="Times" w:hAnsi="Times"/>
                <w:i/>
                <w:iCs/>
                <w:snapToGrid w:val="0"/>
              </w:rPr>
              <w:t>Planning and Development (Consequential and Transitional Provisions) Act 2005</w:t>
            </w:r>
            <w:r>
              <w:rPr>
                <w:rFonts w:ascii="Times" w:hAnsi="Times"/>
              </w:rPr>
              <w:t xml:space="preserve"> s. 15 </w:t>
            </w:r>
            <w:r>
              <w:rPr>
                <w:rFonts w:ascii="Times" w:hAnsi="Times"/>
                <w:vertAlign w:val="superscript"/>
              </w:rPr>
              <w:t>17</w:t>
            </w:r>
          </w:p>
        </w:tc>
        <w:tc>
          <w:tcPr>
            <w:tcW w:w="1134" w:type="dxa"/>
            <w:gridSpan w:val="2"/>
          </w:tcPr>
          <w:p>
            <w:pPr>
              <w:pStyle w:val="nTable"/>
              <w:spacing w:after="40"/>
              <w:rPr>
                <w:snapToGrid w:val="0"/>
              </w:rPr>
            </w:pPr>
            <w:r>
              <w:rPr>
                <w:rFonts w:ascii="Times" w:hAnsi="Times"/>
                <w:snapToGrid w:val="0"/>
              </w:rPr>
              <w:t>38 of 2005</w:t>
            </w:r>
          </w:p>
        </w:tc>
        <w:tc>
          <w:tcPr>
            <w:tcW w:w="1134" w:type="dxa"/>
            <w:gridSpan w:val="2"/>
          </w:tcPr>
          <w:p>
            <w:pPr>
              <w:pStyle w:val="nTable"/>
              <w:spacing w:after="40"/>
            </w:pPr>
            <w:r>
              <w:rPr>
                <w:rFonts w:ascii="Times" w:hAnsi="Times"/>
              </w:rPr>
              <w:t>12 Dec 2005</w:t>
            </w:r>
          </w:p>
        </w:tc>
        <w:tc>
          <w:tcPr>
            <w:tcW w:w="2551" w:type="dxa"/>
            <w:gridSpan w:val="2"/>
          </w:tcPr>
          <w:p>
            <w:pPr>
              <w:pStyle w:val="nTable"/>
              <w:spacing w:after="40"/>
              <w:rPr>
                <w:snapToGrid w:val="0"/>
                <w:spacing w:val="-2"/>
              </w:rPr>
            </w:pPr>
            <w:r>
              <w:t xml:space="preserve">9 Apr 2006 (see s. 2 and </w:t>
            </w:r>
            <w:r>
              <w:rPr>
                <w:i/>
                <w:iCs/>
              </w:rPr>
              <w:t>Gazette</w:t>
            </w:r>
            <w:r>
              <w:t xml:space="preserve"> 21 Mar 2006 p. 1078)</w:t>
            </w:r>
          </w:p>
        </w:tc>
      </w:tr>
      <w:tr>
        <w:trPr>
          <w:gridBefore w:val="1"/>
          <w:wBefore w:w="6" w:type="dxa"/>
          <w:cantSplit/>
        </w:trPr>
        <w:tc>
          <w:tcPr>
            <w:tcW w:w="2268" w:type="dxa"/>
            <w:gridSpan w:val="2"/>
          </w:tcPr>
          <w:p>
            <w:pPr>
              <w:pStyle w:val="nTable"/>
              <w:spacing w:after="40"/>
              <w:rPr>
                <w:rFonts w:ascii="Times" w:hAnsi="Times"/>
                <w:i/>
                <w:iCs/>
                <w:snapToGrid w:val="0"/>
              </w:rPr>
            </w:pPr>
            <w:r>
              <w:rPr>
                <w:i/>
                <w:snapToGrid w:val="0"/>
              </w:rPr>
              <w:t>Land Information Authority Act 2006</w:t>
            </w:r>
            <w:r>
              <w:rPr>
                <w:iCs/>
                <w:snapToGrid w:val="0"/>
              </w:rPr>
              <w:t xml:space="preserve"> s. 160</w:t>
            </w:r>
            <w:r>
              <w:rPr>
                <w:iCs/>
                <w:snapToGrid w:val="0"/>
                <w:vertAlign w:val="superscript"/>
              </w:rPr>
              <w:t xml:space="preserve"> </w:t>
            </w:r>
          </w:p>
        </w:tc>
        <w:tc>
          <w:tcPr>
            <w:tcW w:w="1134" w:type="dxa"/>
            <w:gridSpan w:val="2"/>
          </w:tcPr>
          <w:p>
            <w:pPr>
              <w:pStyle w:val="nTable"/>
              <w:spacing w:after="40"/>
              <w:rPr>
                <w:rFonts w:ascii="Times" w:hAnsi="Times"/>
                <w:snapToGrid w:val="0"/>
              </w:rPr>
            </w:pPr>
            <w:r>
              <w:rPr>
                <w:snapToGrid w:val="0"/>
              </w:rPr>
              <w:t>60 of 2006</w:t>
            </w:r>
          </w:p>
        </w:tc>
        <w:tc>
          <w:tcPr>
            <w:tcW w:w="1134" w:type="dxa"/>
            <w:gridSpan w:val="2"/>
          </w:tcPr>
          <w:p>
            <w:pPr>
              <w:pStyle w:val="nTable"/>
              <w:spacing w:after="40"/>
              <w:rPr>
                <w:rFonts w:ascii="Times" w:hAnsi="Times"/>
              </w:rPr>
            </w:pPr>
            <w:r>
              <w:rPr>
                <w:snapToGrid w:val="0"/>
              </w:rPr>
              <w:t>16 Nov 2006</w:t>
            </w:r>
          </w:p>
        </w:tc>
        <w:tc>
          <w:tcPr>
            <w:tcW w:w="2551" w:type="dxa"/>
            <w:gridSpan w:val="2"/>
          </w:tcPr>
          <w:p>
            <w:pPr>
              <w:pStyle w:val="nTable"/>
              <w:spacing w:after="40"/>
            </w:pPr>
            <w:r>
              <w:t xml:space="preserve">1 Jan 2007 (see s. 2(1) and </w:t>
            </w:r>
            <w:r>
              <w:rPr>
                <w:i/>
                <w:iCs/>
              </w:rPr>
              <w:t xml:space="preserve">Gazette </w:t>
            </w:r>
            <w:r>
              <w:t>8 Dec 2006 p. 5369)</w:t>
            </w:r>
          </w:p>
        </w:tc>
      </w:tr>
      <w:tr>
        <w:trPr>
          <w:gridBefore w:val="1"/>
          <w:wBefore w:w="6" w:type="dxa"/>
          <w:cantSplit/>
        </w:trPr>
        <w:tc>
          <w:tcPr>
            <w:tcW w:w="2268" w:type="dxa"/>
            <w:gridSpan w:val="2"/>
          </w:tcPr>
          <w:p>
            <w:pPr>
              <w:pStyle w:val="nTable"/>
              <w:spacing w:after="40"/>
              <w:rPr>
                <w:iCs/>
                <w:vertAlign w:val="superscript"/>
              </w:rPr>
            </w:pPr>
            <w:r>
              <w:rPr>
                <w:i/>
              </w:rPr>
              <w:t>Duties Legislation Amendment Act 2008</w:t>
            </w:r>
            <w:r>
              <w:rPr>
                <w:iCs/>
              </w:rPr>
              <w:t xml:space="preserve"> Sch. 1 cl. 36</w:t>
            </w:r>
          </w:p>
        </w:tc>
        <w:tc>
          <w:tcPr>
            <w:tcW w:w="1134" w:type="dxa"/>
            <w:gridSpan w:val="2"/>
          </w:tcPr>
          <w:p>
            <w:pPr>
              <w:pStyle w:val="nTable"/>
              <w:spacing w:after="40"/>
            </w:pPr>
            <w:r>
              <w:t>12 of 2008</w:t>
            </w:r>
          </w:p>
        </w:tc>
        <w:tc>
          <w:tcPr>
            <w:tcW w:w="1134" w:type="dxa"/>
            <w:gridSpan w:val="2"/>
          </w:tcPr>
          <w:p>
            <w:pPr>
              <w:pStyle w:val="nTable"/>
              <w:spacing w:after="40"/>
            </w:pPr>
            <w:r>
              <w:t>14 Apr 2008</w:t>
            </w:r>
          </w:p>
        </w:tc>
        <w:tc>
          <w:tcPr>
            <w:tcW w:w="2551" w:type="dxa"/>
            <w:gridSpan w:val="2"/>
          </w:tcPr>
          <w:p>
            <w:pPr>
              <w:pStyle w:val="nTable"/>
              <w:spacing w:after="40"/>
            </w:pPr>
            <w:r>
              <w:t>1 Jul 2008 (see s. 2(d))</w:t>
            </w:r>
          </w:p>
        </w:tc>
      </w:tr>
      <w:tr>
        <w:trPr>
          <w:gridBefore w:val="1"/>
          <w:wBefore w:w="6" w:type="dxa"/>
          <w:cantSplit/>
        </w:trPr>
        <w:tc>
          <w:tcPr>
            <w:tcW w:w="2268" w:type="dxa"/>
            <w:gridSpan w:val="2"/>
          </w:tcPr>
          <w:p>
            <w:pPr>
              <w:pStyle w:val="nTable"/>
              <w:spacing w:after="40"/>
              <w:rPr>
                <w:iCs/>
              </w:rPr>
            </w:pPr>
            <w:r>
              <w:rPr>
                <w:i/>
                <w:iCs/>
                <w:snapToGrid w:val="0"/>
              </w:rPr>
              <w:t>Legal Profession Act 2008</w:t>
            </w:r>
            <w:r>
              <w:rPr>
                <w:iCs/>
                <w:snapToGrid w:val="0"/>
              </w:rPr>
              <w:t xml:space="preserve"> s. 707</w:t>
            </w:r>
          </w:p>
        </w:tc>
        <w:tc>
          <w:tcPr>
            <w:tcW w:w="1134" w:type="dxa"/>
            <w:gridSpan w:val="2"/>
          </w:tcPr>
          <w:p>
            <w:pPr>
              <w:pStyle w:val="nTable"/>
              <w:spacing w:after="40"/>
            </w:pPr>
            <w:r>
              <w:t>21 of 2008</w:t>
            </w:r>
          </w:p>
        </w:tc>
        <w:tc>
          <w:tcPr>
            <w:tcW w:w="1134" w:type="dxa"/>
            <w:gridSpan w:val="2"/>
          </w:tcPr>
          <w:p>
            <w:pPr>
              <w:pStyle w:val="nTable"/>
              <w:spacing w:after="40"/>
            </w:pPr>
            <w:r>
              <w:t>27 May 2008</w:t>
            </w:r>
          </w:p>
        </w:tc>
        <w:tc>
          <w:tcPr>
            <w:tcW w:w="2551" w:type="dxa"/>
            <w:gridSpan w:val="2"/>
          </w:tcPr>
          <w:p>
            <w:pPr>
              <w:pStyle w:val="nTable"/>
              <w:spacing w:after="40"/>
            </w:pPr>
            <w:r>
              <w:rPr>
                <w:snapToGrid w:val="0"/>
              </w:rPr>
              <w:t xml:space="preserve">1 Mar 2009 (see s. 2(b) and </w:t>
            </w:r>
            <w:r>
              <w:rPr>
                <w:i/>
                <w:iCs/>
                <w:snapToGrid w:val="0"/>
              </w:rPr>
              <w:t>Gazette</w:t>
            </w:r>
            <w:r>
              <w:rPr>
                <w:snapToGrid w:val="0"/>
              </w:rPr>
              <w:t xml:space="preserve"> 27 Feb 2009 p. 511</w:t>
            </w:r>
            <w:r>
              <w:t>)</w:t>
            </w:r>
          </w:p>
        </w:tc>
      </w:tr>
      <w:tr>
        <w:trPr>
          <w:gridBefore w:val="1"/>
          <w:wBefore w:w="6" w:type="dxa"/>
          <w:cantSplit/>
        </w:trPr>
        <w:tc>
          <w:tcPr>
            <w:tcW w:w="7087" w:type="dxa"/>
            <w:gridSpan w:val="8"/>
          </w:tcPr>
          <w:p>
            <w:pPr>
              <w:pStyle w:val="nTable"/>
              <w:spacing w:after="40"/>
            </w:pPr>
            <w:r>
              <w:rPr>
                <w:b/>
              </w:rPr>
              <w:t xml:space="preserve">Reprint 6:  The </w:t>
            </w:r>
            <w:r>
              <w:rPr>
                <w:b/>
                <w:i/>
              </w:rPr>
              <w:t>Strata Titles Act 1985</w:t>
            </w:r>
            <w:r>
              <w:rPr>
                <w:b/>
              </w:rPr>
              <w:t xml:space="preserve"> as at 25 Jul 2008</w:t>
            </w:r>
            <w:r>
              <w:t xml:space="preserve"> (includes amendments listed above except those in the </w:t>
            </w:r>
            <w:r>
              <w:rPr>
                <w:i/>
                <w:iCs/>
                <w:snapToGrid w:val="0"/>
              </w:rPr>
              <w:t>Legal Profession Act 2008</w:t>
            </w:r>
            <w:r>
              <w:t>)</w:t>
            </w:r>
          </w:p>
        </w:tc>
      </w:tr>
      <w:tr>
        <w:trPr>
          <w:gridAfter w:val="1"/>
          <w:wAfter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4</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1"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rPr>
          <w:gridAfter w:val="1"/>
          <w:wAfter w:w="6" w:type="dxa"/>
          <w:cantSplit/>
        </w:trPr>
        <w:tc>
          <w:tcPr>
            <w:tcW w:w="2268" w:type="dxa"/>
            <w:gridSpan w:val="2"/>
          </w:tcPr>
          <w:p>
            <w:pPr>
              <w:pStyle w:val="nTable"/>
              <w:spacing w:after="40"/>
              <w:ind w:right="113"/>
              <w:rPr>
                <w:i/>
                <w:snapToGrid w:val="0"/>
              </w:rPr>
            </w:pPr>
            <w:r>
              <w:rPr>
                <w:i/>
                <w:snapToGrid w:val="0"/>
              </w:rPr>
              <w:t>Approvals and Related Reforms (No. 4) (Planning) Act 2010</w:t>
            </w:r>
            <w:r>
              <w:t xml:space="preserve"> s. 37</w:t>
            </w:r>
          </w:p>
        </w:tc>
        <w:tc>
          <w:tcPr>
            <w:tcW w:w="1134" w:type="dxa"/>
            <w:gridSpan w:val="2"/>
          </w:tcPr>
          <w:p>
            <w:pPr>
              <w:pStyle w:val="nTable"/>
              <w:spacing w:after="40"/>
              <w:rPr>
                <w:snapToGrid w:val="0"/>
              </w:rPr>
            </w:pPr>
            <w:r>
              <w:rPr>
                <w:snapToGrid w:val="0"/>
              </w:rPr>
              <w:t>28 of 2010</w:t>
            </w:r>
          </w:p>
        </w:tc>
        <w:tc>
          <w:tcPr>
            <w:tcW w:w="1134" w:type="dxa"/>
            <w:gridSpan w:val="2"/>
          </w:tcPr>
          <w:p>
            <w:pPr>
              <w:pStyle w:val="nTable"/>
              <w:spacing w:after="40"/>
              <w:rPr>
                <w:snapToGrid w:val="0"/>
              </w:rPr>
            </w:pPr>
            <w:r>
              <w:rPr>
                <w:snapToGrid w:val="0"/>
              </w:rPr>
              <w:t>19 Aug 2010</w:t>
            </w:r>
          </w:p>
        </w:tc>
        <w:tc>
          <w:tcPr>
            <w:tcW w:w="2551" w:type="dxa"/>
            <w:gridSpan w:val="2"/>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Building Act 2011</w:t>
            </w:r>
            <w:r>
              <w:rPr>
                <w:snapToGrid w:val="0"/>
              </w:rPr>
              <w:t xml:space="preserve"> s. 174</w:t>
            </w:r>
          </w:p>
        </w:tc>
        <w:tc>
          <w:tcPr>
            <w:tcW w:w="1134" w:type="dxa"/>
            <w:gridSpan w:val="2"/>
            <w:shd w:val="clear" w:color="auto" w:fill="auto"/>
          </w:tcPr>
          <w:p>
            <w:pPr>
              <w:pStyle w:val="nTable"/>
              <w:spacing w:after="40"/>
              <w:rPr>
                <w:snapToGrid w:val="0"/>
              </w:rPr>
            </w:pPr>
            <w:r>
              <w:rPr>
                <w:snapToGrid w:val="0"/>
              </w:rPr>
              <w:t>24 of 2011</w:t>
            </w:r>
          </w:p>
        </w:tc>
        <w:tc>
          <w:tcPr>
            <w:tcW w:w="1134" w:type="dxa"/>
            <w:gridSpan w:val="2"/>
            <w:shd w:val="clear" w:color="auto" w:fill="auto"/>
          </w:tcPr>
          <w:p>
            <w:pPr>
              <w:pStyle w:val="nTable"/>
              <w:spacing w:after="40"/>
              <w:rPr>
                <w:snapToGrid w:val="0"/>
              </w:rPr>
            </w:pPr>
            <w:r>
              <w:rPr>
                <w:snapToGrid w:val="0"/>
              </w:rPr>
              <w:t>11 Jul 2011</w:t>
            </w:r>
          </w:p>
        </w:tc>
        <w:tc>
          <w:tcPr>
            <w:tcW w:w="2551" w:type="dxa"/>
            <w:gridSpan w:val="2"/>
            <w:shd w:val="clear" w:color="auto" w:fill="auto"/>
          </w:tcPr>
          <w:p>
            <w:pPr>
              <w:pStyle w:val="nTable"/>
              <w:spacing w:after="40"/>
              <w:rPr>
                <w:snapToGrid w:val="0"/>
              </w:rPr>
            </w:pPr>
            <w:r>
              <w:rPr>
                <w:snapToGrid w:val="0"/>
              </w:rPr>
              <w:t xml:space="preserve">2 Apr 2012 (see s. 2(b) and </w:t>
            </w:r>
            <w:r>
              <w:rPr>
                <w:i/>
                <w:snapToGrid w:val="0"/>
              </w:rPr>
              <w:t>Gazette</w:t>
            </w:r>
            <w:r>
              <w:rPr>
                <w:snapToGrid w:val="0"/>
              </w:rPr>
              <w:t xml:space="preserve"> 13 Mar 2012 p. 1033)</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Water Services Legislation Amendment and Repeal Act 2012</w:t>
            </w:r>
            <w:r>
              <w:rPr>
                <w:snapToGrid w:val="0"/>
              </w:rPr>
              <w:t xml:space="preserve"> s. 232</w:t>
            </w:r>
          </w:p>
        </w:tc>
        <w:tc>
          <w:tcPr>
            <w:tcW w:w="1134" w:type="dxa"/>
            <w:gridSpan w:val="2"/>
            <w:shd w:val="clear" w:color="auto" w:fill="auto"/>
          </w:tcPr>
          <w:p>
            <w:pPr>
              <w:pStyle w:val="nTable"/>
              <w:spacing w:after="40"/>
              <w:rPr>
                <w:snapToGrid w:val="0"/>
              </w:rPr>
            </w:pPr>
            <w:r>
              <w:t>25 of 2012</w:t>
            </w:r>
          </w:p>
        </w:tc>
        <w:tc>
          <w:tcPr>
            <w:tcW w:w="1134" w:type="dxa"/>
            <w:gridSpan w:val="2"/>
            <w:shd w:val="clear" w:color="auto" w:fill="auto"/>
          </w:tcPr>
          <w:p>
            <w:pPr>
              <w:pStyle w:val="nTable"/>
              <w:spacing w:after="40"/>
              <w:rPr>
                <w:snapToGrid w:val="0"/>
              </w:rPr>
            </w:pPr>
            <w:r>
              <w:t>3 Sep 2012</w:t>
            </w:r>
          </w:p>
        </w:tc>
        <w:tc>
          <w:tcPr>
            <w:tcW w:w="2551" w:type="dxa"/>
            <w:gridSpan w:val="2"/>
            <w:shd w:val="clear" w:color="auto" w:fill="auto"/>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rPr>
          <w:gridAfter w:val="1"/>
          <w:wAfter w:w="6" w:type="dxa"/>
          <w:cantSplit/>
        </w:trPr>
        <w:tc>
          <w:tcPr>
            <w:tcW w:w="7087" w:type="dxa"/>
            <w:gridSpan w:val="8"/>
            <w:shd w:val="clear" w:color="auto" w:fill="auto"/>
          </w:tcPr>
          <w:p>
            <w:pPr>
              <w:pStyle w:val="nTable"/>
              <w:spacing w:after="40"/>
              <w:rPr>
                <w:snapToGrid w:val="0"/>
              </w:rPr>
            </w:pPr>
            <w:r>
              <w:rPr>
                <w:b/>
              </w:rPr>
              <w:t xml:space="preserve">Reprint 7:  The </w:t>
            </w:r>
            <w:r>
              <w:rPr>
                <w:b/>
                <w:i/>
              </w:rPr>
              <w:t>Strata Titles Act 1985</w:t>
            </w:r>
            <w:r>
              <w:rPr>
                <w:b/>
              </w:rPr>
              <w:t xml:space="preserve"> as at 24 May 2013</w:t>
            </w:r>
            <w:r>
              <w:t xml:space="preserve"> (includes amendments listed above except those in the </w:t>
            </w:r>
            <w:r>
              <w:rPr>
                <w:i/>
                <w:snapToGrid w:val="0"/>
              </w:rPr>
              <w:t>Water Services Legislation Amendment and Repeal Act 2012</w:t>
            </w:r>
            <w:r>
              <w:t>)</w:t>
            </w:r>
          </w:p>
        </w:tc>
      </w:tr>
      <w:tr>
        <w:trPr>
          <w:gridAfter w:val="1"/>
          <w:wAfter w:w="6" w:type="dxa"/>
          <w:cantSplit/>
        </w:trPr>
        <w:tc>
          <w:tcPr>
            <w:tcW w:w="2268" w:type="dxa"/>
            <w:gridSpan w:val="2"/>
            <w:shd w:val="clear" w:color="auto" w:fill="auto"/>
          </w:tcPr>
          <w:p>
            <w:pPr>
              <w:pStyle w:val="nTable"/>
              <w:spacing w:after="40"/>
              <w:ind w:right="113"/>
              <w:rPr>
                <w:i/>
                <w:snapToGrid w:val="0"/>
              </w:rPr>
            </w:pPr>
            <w:r>
              <w:rPr>
                <w:i/>
              </w:rPr>
              <w:t>Land Legislation Amendment Act 2015</w:t>
            </w:r>
            <w:r>
              <w:t xml:space="preserve"> Pt. 4</w:t>
            </w:r>
          </w:p>
        </w:tc>
        <w:tc>
          <w:tcPr>
            <w:tcW w:w="1134" w:type="dxa"/>
            <w:gridSpan w:val="2"/>
            <w:shd w:val="clear" w:color="auto" w:fill="auto"/>
          </w:tcPr>
          <w:p>
            <w:pPr>
              <w:pStyle w:val="nTable"/>
              <w:spacing w:after="40"/>
              <w:rPr>
                <w:snapToGrid w:val="0"/>
              </w:rPr>
            </w:pPr>
            <w:r>
              <w:t>11 of 2015</w:t>
            </w:r>
          </w:p>
        </w:tc>
        <w:tc>
          <w:tcPr>
            <w:tcW w:w="1134" w:type="dxa"/>
            <w:gridSpan w:val="2"/>
            <w:shd w:val="clear" w:color="auto" w:fill="auto"/>
          </w:tcPr>
          <w:p>
            <w:pPr>
              <w:pStyle w:val="nTable"/>
              <w:spacing w:after="40"/>
              <w:rPr>
                <w:snapToGrid w:val="0"/>
              </w:rPr>
            </w:pPr>
            <w:r>
              <w:t>29 Apr 2015</w:t>
            </w:r>
          </w:p>
        </w:tc>
        <w:tc>
          <w:tcPr>
            <w:tcW w:w="2551" w:type="dxa"/>
            <w:gridSpan w:val="2"/>
            <w:shd w:val="clear" w:color="auto" w:fill="auto"/>
          </w:tcPr>
          <w:p>
            <w:pPr>
              <w:pStyle w:val="nTable"/>
              <w:spacing w:after="40"/>
              <w:rPr>
                <w:snapToGrid w:val="0"/>
              </w:rPr>
            </w:pPr>
            <w:r>
              <w:t xml:space="preserve">30 Jun 2015 (see s. 2(b) and </w:t>
            </w:r>
            <w:r>
              <w:rPr>
                <w:i/>
              </w:rPr>
              <w:t>Gazette</w:t>
            </w:r>
            <w:r>
              <w:t xml:space="preserve"> 2 Jun 2015 p. 1937)</w:t>
            </w:r>
          </w:p>
        </w:tc>
      </w:tr>
      <w:tr>
        <w:trPr>
          <w:gridAfter w:val="1"/>
          <w:wAfter w:w="6" w:type="dxa"/>
          <w:cantSplit/>
        </w:trPr>
        <w:tc>
          <w:tcPr>
            <w:tcW w:w="2268" w:type="dxa"/>
            <w:gridSpan w:val="2"/>
            <w:tcBorders>
              <w:bottom w:val="single" w:sz="4" w:space="0" w:color="auto"/>
            </w:tcBorders>
            <w:shd w:val="clear" w:color="auto" w:fill="auto"/>
          </w:tcPr>
          <w:p>
            <w:pPr>
              <w:pStyle w:val="nTable"/>
              <w:spacing w:after="40"/>
              <w:ind w:right="113"/>
              <w:rPr>
                <w:i/>
              </w:rPr>
            </w:pPr>
            <w:r>
              <w:rPr>
                <w:i/>
              </w:rPr>
              <w:t>Land Legislation Amendment (Taxing) Act 2015</w:t>
            </w:r>
            <w:r>
              <w:t xml:space="preserve"> Pt. 3</w:t>
            </w:r>
          </w:p>
        </w:tc>
        <w:tc>
          <w:tcPr>
            <w:tcW w:w="1134" w:type="dxa"/>
            <w:gridSpan w:val="2"/>
            <w:tcBorders>
              <w:bottom w:val="single" w:sz="4" w:space="0" w:color="auto"/>
            </w:tcBorders>
            <w:shd w:val="clear" w:color="auto" w:fill="auto"/>
          </w:tcPr>
          <w:p>
            <w:pPr>
              <w:pStyle w:val="nTable"/>
              <w:spacing w:after="40"/>
            </w:pPr>
            <w:r>
              <w:t>12 of 2015</w:t>
            </w:r>
          </w:p>
        </w:tc>
        <w:tc>
          <w:tcPr>
            <w:tcW w:w="1134" w:type="dxa"/>
            <w:gridSpan w:val="2"/>
            <w:tcBorders>
              <w:bottom w:val="single" w:sz="4" w:space="0" w:color="auto"/>
            </w:tcBorders>
            <w:shd w:val="clear" w:color="auto" w:fill="auto"/>
          </w:tcPr>
          <w:p>
            <w:pPr>
              <w:pStyle w:val="nTable"/>
              <w:spacing w:after="40"/>
            </w:pPr>
            <w:r>
              <w:t>29 Apr 2015</w:t>
            </w:r>
          </w:p>
        </w:tc>
        <w:tc>
          <w:tcPr>
            <w:tcW w:w="2551" w:type="dxa"/>
            <w:gridSpan w:val="2"/>
            <w:tcBorders>
              <w:bottom w:val="single" w:sz="4" w:space="0" w:color="auto"/>
            </w:tcBorders>
            <w:shd w:val="clear" w:color="auto" w:fill="auto"/>
          </w:tcPr>
          <w:p>
            <w:pPr>
              <w:pStyle w:val="nTable"/>
              <w:spacing w:after="40"/>
            </w:pPr>
            <w:r>
              <w:t xml:space="preserve">30 Jun 2015 (see s. 2(b) and </w:t>
            </w:r>
            <w:r>
              <w:rPr>
                <w:i/>
              </w:rPr>
              <w:t>Gazette</w:t>
            </w:r>
            <w:r>
              <w:t xml:space="preserve"> 2 Jun 2015 p. 1937)</w:t>
            </w:r>
          </w:p>
        </w:tc>
      </w:tr>
    </w:tbl>
    <w:p>
      <w:pPr>
        <w:pStyle w:val="nSubsection"/>
        <w:spacing w:before="240"/>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spacing w:before="180"/>
        <w:rPr>
          <w:snapToGrid w:val="0"/>
        </w:rPr>
      </w:pPr>
      <w:bookmarkStart w:id="854" w:name="_Toc381881140"/>
      <w:bookmarkStart w:id="855" w:name="_Toc476927515"/>
      <w:r>
        <w:rPr>
          <w:snapToGrid w:val="0"/>
        </w:rPr>
        <w:t>Provisions that have not come into operation</w:t>
      </w:r>
      <w:bookmarkEnd w:id="854"/>
      <w:bookmarkEnd w:id="855"/>
    </w:p>
    <w:tbl>
      <w:tblPr>
        <w:tblW w:w="0" w:type="auto"/>
        <w:tblInd w:w="28" w:type="dxa"/>
        <w:tblLayout w:type="fixed"/>
        <w:tblCellMar>
          <w:left w:w="56" w:type="dxa"/>
          <w:right w:w="56" w:type="dxa"/>
        </w:tblCellMar>
        <w:tblLook w:val="0000" w:firstRow="0" w:lastRow="0" w:firstColumn="0" w:lastColumn="0" w:noHBand="0" w:noVBand="0"/>
      </w:tblPr>
      <w:tblGrid>
        <w:gridCol w:w="2273"/>
        <w:gridCol w:w="1137"/>
        <w:gridCol w:w="1137"/>
        <w:gridCol w:w="2551"/>
        <w:gridCol w:w="11"/>
      </w:tblGrid>
      <w:tr>
        <w:trPr>
          <w:cantSplit/>
          <w:tblHeader/>
        </w:trPr>
        <w:tc>
          <w:tcPr>
            <w:tcW w:w="2273" w:type="dxa"/>
            <w:tcBorders>
              <w:top w:val="single" w:sz="8" w:space="0" w:color="auto"/>
              <w:bottom w:val="single" w:sz="8" w:space="0" w:color="auto"/>
            </w:tcBorders>
            <w:shd w:val="clear" w:color="auto" w:fill="auto"/>
          </w:tcPr>
          <w:p>
            <w:pPr>
              <w:pStyle w:val="nTable"/>
              <w:keepNext/>
              <w:spacing w:after="40"/>
              <w:ind w:right="113"/>
              <w:rPr>
                <w:b/>
              </w:rPr>
            </w:pPr>
            <w:r>
              <w:rPr>
                <w:b/>
              </w:rPr>
              <w:t>Short title</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Number and year</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Assent</w:t>
            </w:r>
          </w:p>
        </w:tc>
        <w:tc>
          <w:tcPr>
            <w:tcW w:w="2562" w:type="dxa"/>
            <w:gridSpan w:val="2"/>
            <w:tcBorders>
              <w:top w:val="single" w:sz="8" w:space="0" w:color="auto"/>
              <w:bottom w:val="single" w:sz="8" w:space="0" w:color="auto"/>
            </w:tcBorders>
            <w:shd w:val="clear" w:color="auto" w:fill="auto"/>
          </w:tcPr>
          <w:p>
            <w:pPr>
              <w:pStyle w:val="nTable"/>
              <w:keepNext/>
              <w:spacing w:after="40"/>
              <w:rPr>
                <w:b/>
              </w:rPr>
            </w:pPr>
            <w:r>
              <w:rPr>
                <w:b/>
              </w:rPr>
              <w:t>Commencement</w:t>
            </w:r>
          </w:p>
        </w:tc>
      </w:tr>
      <w:tr>
        <w:trPr>
          <w:gridAfter w:val="1"/>
          <w:wAfter w:w="11" w:type="dxa"/>
          <w:cantSplit/>
        </w:trPr>
        <w:tc>
          <w:tcPr>
            <w:tcW w:w="2273" w:type="dxa"/>
            <w:tcBorders>
              <w:top w:val="single" w:sz="2" w:space="0" w:color="auto"/>
              <w:bottom w:val="single" w:sz="2" w:space="0" w:color="auto"/>
            </w:tcBorders>
          </w:tcPr>
          <w:p>
            <w:pPr>
              <w:pStyle w:val="nTable"/>
              <w:spacing w:after="40"/>
              <w:ind w:right="113"/>
              <w:rPr>
                <w:vertAlign w:val="superscript"/>
              </w:rPr>
            </w:pPr>
            <w:r>
              <w:rPr>
                <w:i/>
                <w:snapToGrid w:val="0"/>
              </w:rPr>
              <w:t>State Superannuation (Transitional and Consequential Provisions) Act 2000</w:t>
            </w:r>
            <w:r>
              <w:rPr>
                <w:snapToGrid w:val="0"/>
              </w:rPr>
              <w:t xml:space="preserve"> s. 67 </w:t>
            </w:r>
            <w:r>
              <w:rPr>
                <w:snapToGrid w:val="0"/>
                <w:vertAlign w:val="superscript"/>
              </w:rPr>
              <w:t>18</w:t>
            </w:r>
          </w:p>
        </w:tc>
        <w:tc>
          <w:tcPr>
            <w:tcW w:w="1137" w:type="dxa"/>
            <w:tcBorders>
              <w:top w:val="single" w:sz="2" w:space="0" w:color="auto"/>
              <w:bottom w:val="single" w:sz="2" w:space="0" w:color="auto"/>
            </w:tcBorders>
          </w:tcPr>
          <w:p>
            <w:pPr>
              <w:pStyle w:val="nTable"/>
              <w:keepNext/>
              <w:spacing w:after="40"/>
            </w:pPr>
            <w:r>
              <w:t>43 of 2000</w:t>
            </w:r>
          </w:p>
        </w:tc>
        <w:tc>
          <w:tcPr>
            <w:tcW w:w="1137" w:type="dxa"/>
            <w:tcBorders>
              <w:top w:val="single" w:sz="2" w:space="0" w:color="auto"/>
              <w:bottom w:val="single" w:sz="2" w:space="0" w:color="auto"/>
            </w:tcBorders>
          </w:tcPr>
          <w:p>
            <w:pPr>
              <w:pStyle w:val="nTable"/>
              <w:keepNext/>
              <w:spacing w:after="40"/>
            </w:pPr>
            <w:r>
              <w:t>2 Nov 2000</w:t>
            </w:r>
          </w:p>
        </w:tc>
        <w:tc>
          <w:tcPr>
            <w:tcW w:w="2551" w:type="dxa"/>
            <w:tcBorders>
              <w:top w:val="single" w:sz="2" w:space="0" w:color="auto"/>
              <w:bottom w:val="single" w:sz="2" w:space="0" w:color="auto"/>
            </w:tcBorders>
          </w:tcPr>
          <w:p>
            <w:pPr>
              <w:pStyle w:val="nTable"/>
              <w:keepNext/>
              <w:spacing w:after="40"/>
            </w:pPr>
            <w:r>
              <w:t>To be proclaimed (see s. 2(2))</w:t>
            </w:r>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BlankOpen"/>
        <w:rPr>
          <w:snapToGrid w:val="0"/>
        </w:rPr>
      </w:pP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BlankClose"/>
        <w:rPr>
          <w:snapToGrid w:val="0"/>
          <w:sz w:val="18"/>
          <w:szCs w:val="18"/>
        </w:rPr>
      </w:pPr>
    </w:p>
    <w:p>
      <w:pPr>
        <w:pStyle w:val="nSubsection"/>
        <w:rPr>
          <w:snapToGrid w:val="0"/>
        </w:rPr>
      </w:pPr>
      <w:r>
        <w:rPr>
          <w:snapToGrid w:val="0"/>
          <w:vertAlign w:val="superscript"/>
        </w:rPr>
        <w:t>3</w:t>
      </w:r>
      <w:r>
        <w:rPr>
          <w:snapToGrid w:val="0"/>
        </w:rPr>
        <w:tab/>
        <w:t xml:space="preserve">Deleted by the </w:t>
      </w:r>
      <w:r>
        <w:rPr>
          <w:i/>
          <w:snapToGrid w:val="0"/>
        </w:rPr>
        <w:t xml:space="preserve">Building Act 2011 </w:t>
      </w:r>
      <w:r>
        <w:rPr>
          <w:snapToGrid w:val="0"/>
        </w:rPr>
        <w:t>s. 153(2).</w:t>
      </w:r>
    </w:p>
    <w:p>
      <w:pPr>
        <w:pStyle w:val="nSubsection"/>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was repealed by this Act, s. 131.</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46(2) reads as follows:</w:t>
      </w:r>
    </w:p>
    <w:p>
      <w:pPr>
        <w:pStyle w:val="BlankOpen"/>
        <w:rPr>
          <w:snapToGrid w:val="0"/>
        </w:rPr>
      </w:pP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BlankClose"/>
        <w:rPr>
          <w:snapToGrid w:val="0"/>
        </w:rPr>
      </w:pPr>
    </w:p>
    <w:p>
      <w:pPr>
        <w:pStyle w:val="nSubsection"/>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54(3) reads as follows:</w:t>
      </w:r>
    </w:p>
    <w:p>
      <w:pPr>
        <w:pStyle w:val="BlankOpen"/>
      </w:pP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BlankClose"/>
        <w:rPr>
          <w:snapToGrid w:val="0"/>
        </w:rPr>
      </w:pPr>
    </w:p>
    <w:p>
      <w:pPr>
        <w:pStyle w:val="nSubsection"/>
        <w:keepNext/>
        <w:keepLines/>
        <w:rPr>
          <w:snapToGrid w:val="0"/>
        </w:rPr>
      </w:pPr>
      <w:r>
        <w:rPr>
          <w:snapToGrid w:val="0"/>
          <w:vertAlign w:val="superscript"/>
        </w:rPr>
        <w:t>7</w:t>
      </w:r>
      <w:r>
        <w:rPr>
          <w:snapToGrid w:val="0"/>
        </w:rPr>
        <w:tab/>
        <w:t xml:space="preserve">The </w:t>
      </w:r>
      <w:r>
        <w:rPr>
          <w:i/>
          <w:snapToGrid w:val="0"/>
        </w:rPr>
        <w:t xml:space="preserve">Strata Titles Amendment Act 1995 </w:t>
      </w:r>
      <w:r>
        <w:rPr>
          <w:snapToGrid w:val="0"/>
        </w:rPr>
        <w:t>s. 57(2) and (3) read as follows:</w:t>
      </w:r>
    </w:p>
    <w:p>
      <w:pPr>
        <w:pStyle w:val="BlankOpen"/>
        <w:rPr>
          <w:snapToGrid w:val="0"/>
        </w:rPr>
      </w:pP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BlankClose"/>
        <w:rPr>
          <w:snapToGrid w:val="0"/>
        </w:rPr>
      </w:pPr>
    </w:p>
    <w:p>
      <w:pPr>
        <w:pStyle w:val="nSubsection"/>
        <w:spacing w:before="40"/>
        <w:rPr>
          <w:snapToGrid w:val="0"/>
        </w:rPr>
      </w:pPr>
      <w:r>
        <w:rPr>
          <w:snapToGrid w:val="0"/>
          <w:vertAlign w:val="superscript"/>
        </w:rPr>
        <w:t>8</w:t>
      </w:r>
      <w:r>
        <w:rPr>
          <w:snapToGrid w:val="0"/>
        </w:rPr>
        <w:tab/>
        <w:t xml:space="preserve">The </w:t>
      </w:r>
      <w:r>
        <w:rPr>
          <w:i/>
          <w:snapToGrid w:val="0"/>
        </w:rPr>
        <w:t>Strata Titles Amendment Act 1995</w:t>
      </w:r>
      <w:r>
        <w:rPr>
          <w:snapToGrid w:val="0"/>
        </w:rPr>
        <w:t xml:space="preserve"> s. 66 reads as follows:</w:t>
      </w:r>
    </w:p>
    <w:p>
      <w:pPr>
        <w:pStyle w:val="BlankOpen"/>
        <w:rPr>
          <w:snapToGrid w:val="0"/>
        </w:rPr>
      </w:pPr>
    </w:p>
    <w:p>
      <w:pPr>
        <w:pStyle w:val="nzHeading5"/>
      </w:pPr>
      <w:r>
        <w:t>66.</w:t>
      </w:r>
      <w:r>
        <w:tab/>
        <w:t>Transitional provision</w:t>
      </w:r>
    </w:p>
    <w:p>
      <w:pPr>
        <w:pStyle w:val="nzSubsection"/>
      </w:pPr>
      <w:r>
        <w:tab/>
      </w:r>
      <w: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BlankClose"/>
        <w:rPr>
          <w:snapToGrid w:val="0"/>
        </w:rPr>
      </w:pPr>
    </w:p>
    <w:p>
      <w:pPr>
        <w:pStyle w:val="nSubsection"/>
        <w:rPr>
          <w:snapToGrid w:val="0"/>
        </w:rPr>
      </w:pPr>
      <w:r>
        <w:rPr>
          <w:vertAlign w:val="superscript"/>
        </w:rPr>
        <w:t>9</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Subsection"/>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Subsection"/>
      </w:pPr>
      <w:r>
        <w:rPr>
          <w:vertAlign w:val="superscript"/>
        </w:rPr>
        <w:t>11</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Subsection"/>
        <w:keepNext/>
      </w:pPr>
      <w:r>
        <w:rPr>
          <w:vertAlign w:val="superscript"/>
        </w:rPr>
        <w:t>12</w:t>
      </w:r>
      <w:r>
        <w:tab/>
        <w:t xml:space="preserve">The </w:t>
      </w:r>
      <w:r>
        <w:rPr>
          <w:i/>
          <w:iCs/>
        </w:rPr>
        <w:t>Strata Titles Amendment Act 1996</w:t>
      </w:r>
      <w:r>
        <w:t xml:space="preserve"> s. 30 reads as follows:</w:t>
      </w:r>
    </w:p>
    <w:p>
      <w:pPr>
        <w:pStyle w:val="BlankOpen"/>
        <w:rPr>
          <w:snapToGrid w:val="0"/>
        </w:rPr>
      </w:pPr>
    </w:p>
    <w:p>
      <w:pPr>
        <w:pStyle w:val="nzHeading5"/>
        <w:keepLines w:val="0"/>
        <w:spacing w:before="0"/>
      </w:pPr>
      <w:r>
        <w:t>30.</w:t>
      </w:r>
      <w:r>
        <w:tab/>
        <w:t>Transitional provisions as to insurance</w:t>
      </w:r>
    </w:p>
    <w:p>
      <w:pPr>
        <w:pStyle w:val="nzSubsection"/>
      </w:pPr>
      <w:r>
        <w:tab/>
        <w:t>(1)</w:t>
      </w:r>
      <w:r>
        <w:tab/>
        <w:t xml:space="preserve">If immediately before the day on which section 25 of the </w:t>
      </w:r>
      <w:r>
        <w:rPr>
          <w:i/>
          <w:iCs/>
        </w:rPr>
        <w:t xml:space="preserve">Strata Titles Amendment Act 1996 </w:t>
      </w:r>
      <w:r>
        <w:t xml:space="preserve">commences (the </w:t>
      </w:r>
      <w:r>
        <w:rPr>
          <w:b/>
          <w:bCs/>
          <w:i/>
        </w:rPr>
        <w:t>commencement day</w:t>
      </w:r>
      <w:r>
        <w:t>) a strata company for a single tier strata scheme is maintaining insurance in respect of —</w:t>
      </w:r>
    </w:p>
    <w:p>
      <w:pPr>
        <w:pStyle w:val="nzIndenta"/>
      </w:pPr>
      <w:r>
        <w:tab/>
        <w:t>(a)</w:t>
      </w:r>
      <w:r>
        <w:tab/>
        <w:t>buildings in the scheme; and</w:t>
      </w:r>
    </w:p>
    <w:p>
      <w:pPr>
        <w:pStyle w:val="nzIndenta"/>
      </w:pPr>
      <w:r>
        <w:tab/>
        <w:t>(b)</w:t>
      </w:r>
      <w:r>
        <w:tab/>
        <w:t>damage to property, death or bodily injury,</w:t>
      </w:r>
    </w:p>
    <w:p>
      <w:pPr>
        <w:pStyle w:val="nzSubsection"/>
      </w:pPr>
      <w:r>
        <w:tab/>
      </w:r>
      <w:r>
        <w:tab/>
        <w:t>that after the commencement day satisfies the requirements of new section 53D(3), the strata company is to be taken to have made a determination for the purposes of new section 53B(2).</w:t>
      </w:r>
    </w:p>
    <w:p>
      <w:pPr>
        <w:pStyle w:val="nzSubsection"/>
      </w:pPr>
      <w:r>
        <w:tab/>
        <w:t>(2)</w:t>
      </w:r>
      <w:r>
        <w:tab/>
        <w:t>Subsection (1) does not prevent the strata company exercising the power under new section 53B(2) to revoke a determination under that section.</w:t>
      </w:r>
    </w:p>
    <w:p>
      <w:pPr>
        <w:pStyle w:val="nzSubsection"/>
      </w:pPr>
      <w:r>
        <w:tab/>
        <w:t>(3)</w:t>
      </w:r>
      <w: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pPr>
      <w:r>
        <w:tab/>
        <w:t>(4)</w:t>
      </w:r>
      <w:r>
        <w:tab/>
        <w:t>An order to which subsection (3) applies ceases to have effect if —</w:t>
      </w:r>
    </w:p>
    <w:p>
      <w:pPr>
        <w:pStyle w:val="nzIndenta"/>
      </w:pPr>
      <w:r>
        <w:tab/>
        <w:t>(a)</w:t>
      </w:r>
      <w:r>
        <w:tab/>
        <w:t>at any time after the commencement day a proprietor serves notice in writing  —</w:t>
      </w:r>
    </w:p>
    <w:p>
      <w:pPr>
        <w:pStyle w:val="nzIndenti"/>
      </w:pPr>
      <w:r>
        <w:tab/>
        <w:t>(i)</w:t>
      </w:r>
      <w:r>
        <w:tab/>
        <w:t>on the strata company</w:t>
      </w:r>
      <w:r>
        <w:rPr>
          <w:i/>
          <w:iCs/>
        </w:rPr>
        <w:t xml:space="preserve">; </w:t>
      </w:r>
      <w:r>
        <w:t>or</w:t>
      </w:r>
    </w:p>
    <w:p>
      <w:pPr>
        <w:pStyle w:val="nzIndenti"/>
      </w:pPr>
      <w:r>
        <w:tab/>
        <w:t>(ii)</w:t>
      </w:r>
      <w:r>
        <w:tab/>
        <w:t>in the case of a two</w:t>
      </w:r>
      <w:r>
        <w:noBreakHyphen/>
        <w:t>lot scheme, on the other proprietor,</w:t>
      </w:r>
    </w:p>
    <w:p>
      <w:pPr>
        <w:pStyle w:val="nzIndenta"/>
      </w:pPr>
      <w:r>
        <w:tab/>
      </w:r>
      <w:r>
        <w:tab/>
        <w:t>that he requires the termination of the order; and</w:t>
      </w:r>
    </w:p>
    <w:p>
      <w:pPr>
        <w:pStyle w:val="nzIndenta"/>
      </w:pPr>
      <w:r>
        <w:tab/>
        <w:t>(b)</w:t>
      </w:r>
      <w:r>
        <w:tab/>
        <w:t>the notice is recorded on the strata/survey</w:t>
      </w:r>
      <w:r>
        <w:noBreakHyphen/>
        <w:t>strata plan by the Registrar of Titles.</w:t>
      </w:r>
    </w:p>
    <w:p>
      <w:pPr>
        <w:pStyle w:val="nzSubsection"/>
      </w:pPr>
      <w:r>
        <w:tab/>
        <w:t>(5)</w:t>
      </w:r>
      <w:r>
        <w:tab/>
        <w:t>It is for the person who has served a notice under subsection (4) to lodge a copy of the notice, accompanied by the prescribed form, with the Registrar of Titles for the purpose of subsection (4)(b).</w:t>
      </w:r>
    </w:p>
    <w:p>
      <w:pPr>
        <w:pStyle w:val="nzSubsection"/>
      </w:pPr>
      <w:r>
        <w:tab/>
        <w:t>(6)</w:t>
      </w:r>
      <w:r>
        <w:tab/>
        <w:t>In this section —</w:t>
      </w:r>
    </w:p>
    <w:p>
      <w:pPr>
        <w:pStyle w:val="nzDefstart"/>
      </w:pPr>
      <w:r>
        <w:tab/>
      </w:r>
      <w:r>
        <w:rPr>
          <w:rStyle w:val="CharDefText"/>
        </w:rPr>
        <w:t>new section</w:t>
      </w:r>
      <w:r>
        <w:t xml:space="preserve"> refers to a section inserted in the principal Act by section 25 of this Act.</w:t>
      </w:r>
    </w:p>
    <w:p>
      <w:pPr>
        <w:pStyle w:val="BlankClose"/>
        <w:rPr>
          <w:snapToGrid w:val="0"/>
        </w:rPr>
      </w:pPr>
    </w:p>
    <w:p>
      <w:pPr>
        <w:pStyle w:val="nSubsection"/>
      </w:pPr>
      <w:r>
        <w:rPr>
          <w:vertAlign w:val="superscript"/>
        </w:rPr>
        <w:t>13</w:t>
      </w:r>
      <w:r>
        <w:tab/>
        <w:t xml:space="preserve">The amendment in the </w:t>
      </w:r>
      <w:r>
        <w:rPr>
          <w:i/>
          <w:iCs/>
        </w:rPr>
        <w:t>Statutes (Repeals and Minor Amendments) Act 2003</w:t>
      </w:r>
      <w:r>
        <w:t xml:space="preserve"> s. 112(13) could not be done as the amendment was done in the 22 August 2003 reprint.</w:t>
      </w:r>
    </w:p>
    <w:p>
      <w:pPr>
        <w:pStyle w:val="nSubsection"/>
      </w:pPr>
      <w:r>
        <w:rPr>
          <w:vertAlign w:val="superscript"/>
        </w:rPr>
        <w:t>14</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pPr>
      <w:r>
        <w:rPr>
          <w:vertAlign w:val="superscript"/>
        </w:rPr>
        <w:t>15</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t xml:space="preserve"> r. 28 and 42 deal with certain transitional issues some of which may be relevant for this Act.</w:t>
      </w:r>
    </w:p>
    <w:p>
      <w:pPr>
        <w:pStyle w:val="nSubsection"/>
      </w:pPr>
      <w:r>
        <w:rPr>
          <w:vertAlign w:val="superscript"/>
        </w:rPr>
        <w:t>16</w:t>
      </w:r>
      <w:r>
        <w:tab/>
        <w:t xml:space="preserve">The </w:t>
      </w:r>
      <w:r>
        <w:rPr>
          <w:i/>
          <w:iCs/>
        </w:rPr>
        <w:t>State Administrative Tribunal Regulations 2004</w:t>
      </w:r>
      <w:r>
        <w:t xml:space="preserve"> r. 39 and 63 read as follows:</w:t>
      </w:r>
    </w:p>
    <w:p>
      <w:pPr>
        <w:pStyle w:val="BlankOpen"/>
      </w:pPr>
    </w:p>
    <w:p>
      <w:pPr>
        <w:pStyle w:val="nzHeading5"/>
      </w:pPr>
      <w:r>
        <w:t>39.</w:t>
      </w:r>
      <w:r>
        <w:tab/>
      </w:r>
      <w:r>
        <w:rPr>
          <w:i/>
          <w:iCs/>
        </w:rPr>
        <w:t>Strata Titles Act 1985</w:t>
      </w:r>
    </w:p>
    <w:p>
      <w:pPr>
        <w:pStyle w:val="nzSubsection"/>
      </w:pPr>
      <w:r>
        <w:tab/>
        <w:t>(1)</w:t>
      </w:r>
      <w:r>
        <w:tab/>
        <w:t xml:space="preserve">In this regulation </w:t>
      </w:r>
      <w:r>
        <w:rPr>
          <w:rFonts w:ascii="Symbol" w:hAnsi="Symbol"/>
        </w:rPr>
        <w:t></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Subsection"/>
      </w:pPr>
      <w:r>
        <w:tab/>
        <w:t>(2)</w:t>
      </w:r>
      <w:r>
        <w:tab/>
        <w:t>Subregulations (3) and (4) apply if —</w:t>
      </w:r>
    </w:p>
    <w:p>
      <w:pPr>
        <w:pStyle w:val="nzIndenta"/>
      </w:pPr>
      <w:r>
        <w:tab/>
        <w:t>(a)</w:t>
      </w:r>
      <w:r>
        <w:tab/>
        <w:t>before the commencement day a person was given a notice under the</w:t>
      </w:r>
      <w:r>
        <w:rPr>
          <w:i/>
          <w:iCs/>
        </w:rPr>
        <w:t xml:space="preserve"> Strata Titles Act 1985</w:t>
      </w:r>
      <w:r>
        <w:t xml:space="preserve"> section 79(1)(a)</w:t>
      </w:r>
      <w:r>
        <w:rPr>
          <w:i/>
          <w:iCs/>
        </w:rPr>
        <w:t xml:space="preserve">; </w:t>
      </w:r>
      <w:r>
        <w:t>and</w:t>
      </w:r>
    </w:p>
    <w:p>
      <w:pPr>
        <w:pStyle w:val="nzIndenta"/>
      </w:pPr>
      <w:r>
        <w:tab/>
        <w:t>(b)</w:t>
      </w:r>
      <w:r>
        <w:tab/>
        <w:t>the person had not before the commencement day made a written submission under section 79(1)(b) of that Act.</w:t>
      </w:r>
    </w:p>
    <w:p>
      <w:pPr>
        <w:pStyle w:val="nzSubsection"/>
      </w:pPr>
      <w:r>
        <w:tab/>
        <w:t>(3)</w:t>
      </w:r>
      <w:r>
        <w:tab/>
        <w:t xml:space="preserve">If this subregulation applies, on or after the commencement day, the person given the notice may, within the time specified in the notice, or any longer time allowed under the </w:t>
      </w:r>
      <w:r>
        <w:rPr>
          <w:i/>
          <w:iCs/>
        </w:rPr>
        <w:t>Strata Titles Act 1985</w:t>
      </w:r>
      <w: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pPr>
      <w:r>
        <w:tab/>
        <w:t>(4)</w:t>
      </w:r>
      <w:r>
        <w:tab/>
        <w:t xml:space="preserve">If this subregulation applies, the Tribunal is not to make an order under the </w:t>
      </w:r>
      <w:r>
        <w:rPr>
          <w:i/>
          <w:iCs/>
        </w:rPr>
        <w:t>Strata Titles Act 1985</w:t>
      </w:r>
      <w: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pPr>
      <w:r>
        <w:tab/>
        <w:t>(5)</w:t>
      </w:r>
      <w:r>
        <w:tab/>
        <w:t>If —</w:t>
      </w:r>
    </w:p>
    <w:p>
      <w:pPr>
        <w:pStyle w:val="nzIndenta"/>
      </w:pPr>
      <w:r>
        <w:tab/>
        <w:t>(a)</w:t>
      </w:r>
      <w:r>
        <w:tab/>
        <w:t xml:space="preserve">before the commencement day a matter was being dealt with by the Strata Titles Referee under the </w:t>
      </w:r>
      <w:r>
        <w:rPr>
          <w:i/>
          <w:iCs/>
        </w:rPr>
        <w:t xml:space="preserve">Strata Titles Act 1985 </w:t>
      </w:r>
      <w:r>
        <w:t>and the Referee had made a requirement under section 80C(a) or (b) of that Act but that requirement had not been complied with before that day; and</w:t>
      </w:r>
    </w:p>
    <w:p>
      <w:pPr>
        <w:pStyle w:val="nzIndenta"/>
      </w:pPr>
      <w:r>
        <w:tab/>
        <w:t>(b)</w:t>
      </w:r>
      <w:r>
        <w:tab/>
        <w:t>the matter is transferred to the Tribunal under the Act section 167(4)(a) or (b),</w:t>
      </w:r>
    </w:p>
    <w:p>
      <w:pPr>
        <w:pStyle w:val="nzSubsection"/>
      </w:pPr>
      <w:r>
        <w:tab/>
      </w:r>
      <w:r>
        <w:tab/>
        <w:t xml:space="preserve">the Tribunal has, in relation to that matter, the power that the Strata Titles Referee had under the </w:t>
      </w:r>
      <w:r>
        <w:rPr>
          <w:i/>
          <w:iCs/>
        </w:rPr>
        <w:t>Strata Titles Act 1985</w:t>
      </w:r>
      <w:r>
        <w:t xml:space="preserve"> section 80C(c) immediately before the commencement day.</w:t>
      </w:r>
    </w:p>
    <w:p>
      <w:pPr>
        <w:pStyle w:val="nzHeading5"/>
      </w:pPr>
      <w:r>
        <w:t>63.</w:t>
      </w:r>
      <w:r>
        <w:tab/>
      </w:r>
      <w:r>
        <w:rPr>
          <w:i/>
          <w:iCs/>
        </w:rPr>
        <w:t>Strata Titles Act 1985</w:t>
      </w:r>
    </w:p>
    <w:p>
      <w:pPr>
        <w:pStyle w:val="nzSubsection"/>
      </w:pPr>
      <w:r>
        <w:tab/>
        <w:t>(1)</w:t>
      </w:r>
      <w:r>
        <w:tab/>
        <w:t>In this regulation —</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Defstart"/>
      </w:pPr>
      <w:r>
        <w:tab/>
      </w:r>
      <w:r>
        <w:rPr>
          <w:rStyle w:val="CharDefText"/>
        </w:rPr>
        <w:t>referee</w:t>
      </w:r>
      <w:r>
        <w:t xml:space="preserve"> means a Strata Titles Referee appointed and holding office before the commencement day under the ST Act section 71;</w:t>
      </w:r>
    </w:p>
    <w:p>
      <w:pPr>
        <w:pStyle w:val="nzDefstart"/>
      </w:pPr>
      <w:r>
        <w:tab/>
      </w:r>
      <w:r>
        <w:rPr>
          <w:rStyle w:val="CharDefText"/>
        </w:rPr>
        <w:t>the ST Act</w:t>
      </w:r>
      <w:r>
        <w:t xml:space="preserve"> means the </w:t>
      </w:r>
      <w:r>
        <w:rPr>
          <w:i/>
          <w:iCs/>
        </w:rPr>
        <w:t>Strata Titles Act 1985</w:t>
      </w:r>
      <w:r>
        <w:t>.</w:t>
      </w:r>
    </w:p>
    <w:p>
      <w:pPr>
        <w:pStyle w:val="nzSubsection"/>
      </w:pPr>
      <w:r>
        <w:tab/>
        <w:t>(2)</w:t>
      </w:r>
      <w:r>
        <w:tab/>
        <w:t>If —</w:t>
      </w:r>
    </w:p>
    <w:p>
      <w:pPr>
        <w:pStyle w:val="nzIndenta"/>
      </w:pPr>
      <w:r>
        <w:tab/>
        <w:t>(a)</w:t>
      </w:r>
      <w:r>
        <w:tab/>
        <w:t>a special resolution authorising an application to a Land Valuation Tribunal under the ST Act section 16(1) for an order that the Schedule of unit entitlement be amended was passed before the commencement day; or</w:t>
      </w:r>
    </w:p>
    <w:p>
      <w:pPr>
        <w:pStyle w:val="nzIndenta"/>
      </w:pPr>
      <w:r>
        <w:tab/>
        <w:t>(b)</w:t>
      </w:r>
      <w:r>
        <w:tab/>
        <w:t>a certificate under seal of a strata company certifying that the strata company has by special resolution authorised such an application,</w:t>
      </w:r>
    </w:p>
    <w:p>
      <w:pPr>
        <w:pStyle w:val="nzSubsection"/>
      </w:pPr>
      <w:r>
        <w:tab/>
      </w:r>
      <w: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pPr>
      <w:r>
        <w:tab/>
        <w:t>(3)</w:t>
      </w:r>
      <w:r>
        <w:tab/>
        <w:t>On and after the commencement day, a copy of an order certified under the ST Act by a referee as being a true copy is to be taken to have been certified by the executive officer of the State Administrative Tribunal.</w:t>
      </w:r>
    </w:p>
    <w:p>
      <w:pPr>
        <w:pStyle w:val="nzSubsection"/>
      </w:pPr>
      <w:r>
        <w:tab/>
        <w:t>(4)</w:t>
      </w:r>
      <w: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pPr>
      <w:r>
        <w:tab/>
        <w:t>(5)</w:t>
      </w:r>
      <w: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pPr>
      <w:r>
        <w:tab/>
        <w:t>(6)</w:t>
      </w:r>
      <w: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pPr>
      <w:r>
        <w:tab/>
        <w:t>(7)</w:t>
      </w:r>
      <w: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pPr>
      <w:r>
        <w:tab/>
        <w:t>(8)</w:t>
      </w:r>
      <w: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pPr>
      <w:r>
        <w:tab/>
        <w:t>(9)</w:t>
      </w:r>
      <w:r>
        <w:tab/>
        <w:t>If before the commencement day —</w:t>
      </w:r>
    </w:p>
    <w:p>
      <w:pPr>
        <w:pStyle w:val="nzIndenta"/>
      </w:pPr>
      <w:r>
        <w:tab/>
        <w:t>(a)</w:t>
      </w:r>
      <w:r>
        <w:tab/>
        <w:t>an application for an order was made to a referee in relation to a matter of a type referred to in the ST Act section 77A(1) (as in force at the time of the application); and</w:t>
      </w:r>
    </w:p>
    <w:p>
      <w:pPr>
        <w:pStyle w:val="nzIndenta"/>
        <w:keepNext/>
      </w:pPr>
      <w:r>
        <w:tab/>
        <w:t>(b)</w:t>
      </w:r>
      <w:r>
        <w:tab/>
        <w:t>the referee did not refer the application to the Retirement Villages Disputes Tribunal,</w:t>
      </w:r>
    </w:p>
    <w:p>
      <w:pPr>
        <w:pStyle w:val="nzSubsection"/>
      </w:pPr>
      <w:r>
        <w:tab/>
      </w:r>
      <w:r>
        <w:tab/>
        <w:t xml:space="preserve">on the commencement day the application is to be taken to be an application by an applicant for review to the State Administrative Tribunal under the </w:t>
      </w:r>
      <w:r>
        <w:rPr>
          <w:i/>
          <w:iCs/>
        </w:rPr>
        <w:t>State Administrative Tribunal Act 2004</w:t>
      </w:r>
      <w:r>
        <w:t xml:space="preserve"> and the applicant for the order of the referee is to be taken to be an applicant under that Act.</w:t>
      </w:r>
    </w:p>
    <w:p>
      <w:pPr>
        <w:pStyle w:val="nzSubsection"/>
      </w:pPr>
      <w:r>
        <w:tab/>
        <w:t>(10)</w:t>
      </w:r>
      <w: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rPr>
        <w:t>State Administrative Tribunal (Conferral of Jurisdiction) Amendment and Repeal Act 2004</w:t>
      </w:r>
      <w:r>
        <w:t>.</w:t>
      </w:r>
    </w:p>
    <w:p>
      <w:pPr>
        <w:pStyle w:val="nzSubsection"/>
      </w:pPr>
      <w:r>
        <w:tab/>
        <w:t>(11)</w:t>
      </w:r>
      <w: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pPr>
      <w:r>
        <w:tab/>
        <w:t>(12)</w:t>
      </w:r>
      <w:r>
        <w:tab/>
        <w:t>If an order is sent to the executive officer under subregulation (11), the executive officer must serve a copy of the order, certified by him or her to be a true copy, on —</w:t>
      </w:r>
    </w:p>
    <w:p>
      <w:pPr>
        <w:pStyle w:val="nzIndenta"/>
      </w:pPr>
      <w:r>
        <w:tab/>
        <w:t>(a)</w:t>
      </w:r>
      <w:r>
        <w:tab/>
        <w:t>the strata company for the Scheme to which the order relates;</w:t>
      </w:r>
    </w:p>
    <w:p>
      <w:pPr>
        <w:pStyle w:val="nzIndenta"/>
      </w:pPr>
      <w:r>
        <w:tab/>
        <w:t>(b)</w:t>
      </w:r>
      <w:r>
        <w:tab/>
        <w:t>the appellant;</w:t>
      </w:r>
    </w:p>
    <w:p>
      <w:pPr>
        <w:pStyle w:val="nzIndenta"/>
      </w:pPr>
      <w:r>
        <w:tab/>
        <w:t>(c)</w:t>
      </w:r>
      <w:r>
        <w:tab/>
        <w:t>any person who was given notice under the ST Act section 105(6) (as in force immediately before the commencement day) of the time and place for the determination of the appeal; and</w:t>
      </w:r>
    </w:p>
    <w:p>
      <w:pPr>
        <w:pStyle w:val="nzIndenta"/>
      </w:pPr>
      <w:r>
        <w:tab/>
        <w:t>(d)</w:t>
      </w:r>
      <w:r>
        <w:tab/>
        <w:t>any person who, by the order, is required to do or to refrain from doing a specified act.</w:t>
      </w:r>
    </w:p>
    <w:p>
      <w:pPr>
        <w:pStyle w:val="BlankClose"/>
      </w:pPr>
    </w:p>
    <w:p>
      <w:pPr>
        <w:pStyle w:val="nSubsection"/>
        <w:keepLines/>
        <w:rPr>
          <w:snapToGrid w:val="0"/>
        </w:rPr>
      </w:pPr>
      <w:r>
        <w:rPr>
          <w:vertAlign w:val="superscript"/>
        </w:rPr>
        <w:t>17</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Next/>
        <w:keepLines/>
      </w:pPr>
      <w:r>
        <w:rPr>
          <w:szCs w:val="28"/>
          <w:vertAlign w:val="superscript"/>
        </w:rPr>
        <w:t>18</w:t>
      </w:r>
      <w:r>
        <w:tab/>
        <w:t xml:space="preserve">On the date as at which this compilation was prepared, the </w:t>
      </w:r>
      <w:r>
        <w:rPr>
          <w:i/>
          <w:iCs/>
        </w:rPr>
        <w:t>State Superannuation (Transitional and Consequential Provisions) Act 2000</w:t>
      </w:r>
      <w:r>
        <w:t xml:space="preserve"> s. 67 had not come into operation.  It reads as follows:</w:t>
      </w:r>
    </w:p>
    <w:p>
      <w:pPr>
        <w:pStyle w:val="BlankOpen"/>
        <w:rPr>
          <w:snapToGrid w:val="0"/>
        </w:rPr>
      </w:pPr>
    </w:p>
    <w:p>
      <w:pPr>
        <w:pStyle w:val="nzHeading5"/>
        <w:spacing w:before="0"/>
      </w:pPr>
      <w:r>
        <w:t>67.</w:t>
      </w:r>
      <w:r>
        <w:tab/>
      </w:r>
      <w:r>
        <w:rPr>
          <w:i/>
          <w:iCs/>
        </w:rPr>
        <w:t>Strata Titles Act 1985</w:t>
      </w:r>
      <w:r>
        <w:t xml:space="preserve"> amended</w:t>
      </w:r>
    </w:p>
    <w:p>
      <w:pPr>
        <w:pStyle w:val="nzSubsection"/>
      </w:pPr>
      <w:r>
        <w:tab/>
      </w:r>
      <w:r>
        <w:tab/>
        <w:t xml:space="preserve">Section 73(1)(g)(i) of the </w:t>
      </w:r>
      <w:r>
        <w:rPr>
          <w:i/>
          <w:iCs/>
        </w:rPr>
        <w:t>Strata Titles Act 1985</w:t>
      </w:r>
      <w:r>
        <w:t xml:space="preserve"> is amended by deleting “, and in particular his rights, if any, under the </w:t>
      </w:r>
      <w:r>
        <w:rPr>
          <w:i/>
          <w:iCs/>
        </w:rPr>
        <w:t>Superannuation and Family Benefits Act 1938</w:t>
      </w:r>
      <w:r>
        <w:t>.”.</w:t>
      </w:r>
    </w:p>
    <w:p>
      <w:pPr>
        <w:pStyle w:val="BlankClose"/>
        <w:rPr>
          <w:snapToGrid w:val="0"/>
        </w:rPr>
      </w:pPr>
    </w:p>
    <w:p>
      <w:pPr>
        <w:pStyle w:val="nSubsection"/>
        <w:spacing w:before="60"/>
      </w:pPr>
      <w:r>
        <w:tab/>
        <w:t xml:space="preserve">The section that it seeks to amend has been repealed by the </w:t>
      </w:r>
      <w:r>
        <w:rPr>
          <w:i/>
          <w:iCs/>
        </w:rPr>
        <w:t>State Administrative Tribunal (Conferral of Jurisdiction) Amendment and Repeal Act 2004</w:t>
      </w:r>
      <w:r>
        <w:t xml:space="preserve"> s. 1125.</w:t>
      </w:r>
    </w:p>
    <w:p/>
    <w:p>
      <w:pPr>
        <w:sectPr>
          <w:headerReference w:type="even" r:id="rId32"/>
          <w:headerReference w:type="default" r:id="rId33"/>
          <w:pgSz w:w="11907" w:h="16840" w:code="9"/>
          <w:pgMar w:top="2376" w:right="2405" w:bottom="3542" w:left="2405" w:header="706" w:footer="3380" w:gutter="0"/>
          <w:cols w:space="720"/>
          <w:noEndnote/>
          <w:docGrid w:linePitch="326"/>
        </w:sectPr>
      </w:pPr>
    </w:p>
    <w:p>
      <w:pPr>
        <w:pStyle w:val="nHeading2"/>
        <w:rPr>
          <w:sz w:val="28"/>
        </w:rPr>
      </w:pPr>
      <w:r>
        <w:rPr>
          <w:sz w:val="28"/>
        </w:rPr>
        <w:t>Defined terms</w:t>
      </w:r>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acquiring authority</w:t>
      </w:r>
      <w:r>
        <w:tab/>
        <w:t>29B(4)</w:t>
      </w:r>
    </w:p>
    <w:p>
      <w:pPr>
        <w:pStyle w:val="DefinedTerms"/>
      </w:pPr>
      <w:r>
        <w:t>administrator</w:t>
      </w:r>
      <w:r>
        <w:tab/>
        <w:t>3(1)</w:t>
      </w:r>
    </w:p>
    <w:p>
      <w:pPr>
        <w:pStyle w:val="DefinedTerms"/>
      </w:pPr>
      <w:r>
        <w:t>allowed period</w:t>
      </w:r>
      <w:r>
        <w:tab/>
        <w:t>7B(2)</w:t>
      </w:r>
    </w:p>
    <w:p>
      <w:pPr>
        <w:pStyle w:val="DefinedTerms"/>
      </w:pPr>
      <w:r>
        <w:t>amendments</w:t>
      </w:r>
      <w:r>
        <w:tab/>
        <w:t>133</w:t>
      </w:r>
    </w:p>
    <w:p>
      <w:pPr>
        <w:pStyle w:val="DefinedTerms"/>
      </w:pPr>
      <w:r>
        <w:t>application</w:t>
      </w:r>
      <w:r>
        <w:tab/>
        <w:t>26(1), 27(1), 136(1)</w:t>
      </w:r>
    </w:p>
    <w:p>
      <w:pPr>
        <w:pStyle w:val="DefinedTerms"/>
      </w:pPr>
      <w:r>
        <w:t>appointed day</w:t>
      </w:r>
      <w:r>
        <w:tab/>
        <w:t>Sch. 3 cl. 1(1)</w:t>
      </w:r>
    </w:p>
    <w:p>
      <w:pPr>
        <w:pStyle w:val="DefinedTerms"/>
      </w:pPr>
      <w:r>
        <w:t>Authority</w:t>
      </w:r>
      <w:r>
        <w:tab/>
        <w:t>3(1)</w:t>
      </w:r>
    </w:p>
    <w:p>
      <w:pPr>
        <w:pStyle w:val="DefinedTerms"/>
      </w:pPr>
      <w:r>
        <w:t>base lines</w:t>
      </w:r>
      <w:r>
        <w:tab/>
        <w:t>3(1)</w:t>
      </w:r>
    </w:p>
    <w:p>
      <w:pPr>
        <w:pStyle w:val="DefinedTerms"/>
      </w:pPr>
      <w:r>
        <w:t>building</w:t>
      </w:r>
      <w:r>
        <w:tab/>
        <w:t>3(1), 53</w:t>
      </w:r>
    </w:p>
    <w:p>
      <w:pPr>
        <w:pStyle w:val="DefinedTerms"/>
      </w:pPr>
      <w:r>
        <w:t>camping ground</w:t>
      </w:r>
      <w:r>
        <w:tab/>
        <w:t>122A(3)</w:t>
      </w:r>
    </w:p>
    <w:p>
      <w:pPr>
        <w:pStyle w:val="DefinedTerms"/>
      </w:pPr>
      <w:r>
        <w:t>caravan park</w:t>
      </w:r>
      <w:r>
        <w:tab/>
        <w:t>122A(3)</w:t>
      </w:r>
    </w:p>
    <w:p>
      <w:pPr>
        <w:pStyle w:val="DefinedTerms"/>
      </w:pPr>
      <w:r>
        <w:t>change</w:t>
      </w:r>
      <w:r>
        <w:noBreakHyphen/>
        <w:t>over day</w:t>
      </w:r>
      <w:r>
        <w:tab/>
        <w:t>21K</w:t>
      </w:r>
    </w:p>
    <w:p>
      <w:pPr>
        <w:pStyle w:val="DefinedTerms"/>
      </w:pPr>
      <w:r>
        <w:t>commencement day</w:t>
      </w:r>
      <w:r>
        <w:tab/>
        <w:t>21K, 133</w:t>
      </w:r>
    </w:p>
    <w:p>
      <w:pPr>
        <w:pStyle w:val="DefinedTerms"/>
      </w:pPr>
      <w:r>
        <w:t>Commission</w:t>
      </w:r>
      <w:r>
        <w:tab/>
        <w:t>3(1)</w:t>
      </w:r>
    </w:p>
    <w:p>
      <w:pPr>
        <w:pStyle w:val="DefinedTerms"/>
      </w:pPr>
      <w:r>
        <w:t>Commissioner of Titles</w:t>
      </w:r>
      <w:r>
        <w:tab/>
        <w:t>129A(5), 129B(6)</w:t>
      </w:r>
    </w:p>
    <w:p>
      <w:pPr>
        <w:pStyle w:val="DefinedTerms"/>
      </w:pPr>
      <w:r>
        <w:t>common property</w:t>
      </w:r>
      <w:r>
        <w:tab/>
        <w:t>3(1)</w:t>
      </w:r>
    </w:p>
    <w:p>
      <w:pPr>
        <w:pStyle w:val="DefinedTerms"/>
      </w:pPr>
      <w:r>
        <w:t>company</w:t>
      </w:r>
      <w:r>
        <w:tab/>
        <w:t>Sch. 3 cl. 1(1)</w:t>
      </w:r>
    </w:p>
    <w:p>
      <w:pPr>
        <w:pStyle w:val="DefinedTerms"/>
      </w:pPr>
      <w:r>
        <w:t>contract</w:t>
      </w:r>
      <w:r>
        <w:tab/>
        <w:t>68</w:t>
      </w:r>
    </w:p>
    <w:p>
      <w:pPr>
        <w:pStyle w:val="DefinedTerms"/>
      </w:pPr>
      <w:r>
        <w:t>council</w:t>
      </w:r>
      <w:r>
        <w:tab/>
        <w:t>3(1)</w:t>
      </w:r>
    </w:p>
    <w:p>
      <w:pPr>
        <w:pStyle w:val="DefinedTerms"/>
      </w:pPr>
      <w:r>
        <w:t>date of the contract</w:t>
      </w:r>
      <w:r>
        <w:tab/>
        <w:t>70(8)</w:t>
      </w:r>
    </w:p>
    <w:p>
      <w:pPr>
        <w:pStyle w:val="DefinedTerms"/>
      </w:pPr>
      <w:r>
        <w:t>disposition statement</w:t>
      </w:r>
      <w:r>
        <w:tab/>
        <w:t>8B(2), 21V(2), 31H(2)</w:t>
      </w:r>
    </w:p>
    <w:p>
      <w:pPr>
        <w:pStyle w:val="DefinedTerms"/>
      </w:pPr>
      <w:r>
        <w:t>dominant lot</w:t>
      </w:r>
      <w:r>
        <w:tab/>
        <w:t>5D(2)</w:t>
      </w:r>
    </w:p>
    <w:p>
      <w:pPr>
        <w:pStyle w:val="DefinedTerms"/>
      </w:pPr>
      <w:r>
        <w:t>existing small strata scheme</w:t>
      </w:r>
      <w:r>
        <w:tab/>
        <w:t>21A</w:t>
      </w:r>
    </w:p>
    <w:p>
      <w:pPr>
        <w:pStyle w:val="DefinedTerms"/>
      </w:pPr>
      <w:r>
        <w:t>floor</w:t>
      </w:r>
      <w:r>
        <w:tab/>
        <w:t>3(1)</w:t>
      </w:r>
    </w:p>
    <w:p>
      <w:pPr>
        <w:pStyle w:val="DefinedTerms"/>
      </w:pPr>
      <w:r>
        <w:t>floor area</w:t>
      </w:r>
      <w:r>
        <w:tab/>
        <w:t>3(1)</w:t>
      </w:r>
    </w:p>
    <w:p>
      <w:pPr>
        <w:pStyle w:val="DefinedTerms"/>
      </w:pPr>
      <w:r>
        <w:t>floor plan</w:t>
      </w:r>
      <w:r>
        <w:tab/>
        <w:t>3(1)</w:t>
      </w:r>
    </w:p>
    <w:p>
      <w:pPr>
        <w:pStyle w:val="DefinedTerms"/>
      </w:pPr>
      <w:r>
        <w:t>former Act</w:t>
      </w:r>
      <w:r>
        <w:tab/>
        <w:t>Sch. 3 cl. 1(1)</w:t>
      </w:r>
    </w:p>
    <w:p>
      <w:pPr>
        <w:pStyle w:val="DefinedTerms"/>
      </w:pPr>
      <w:r>
        <w:t>former by</w:t>
      </w:r>
      <w:r>
        <w:noBreakHyphen/>
        <w:t>law</w:t>
      </w:r>
      <w:r>
        <w:tab/>
        <w:t>Sch. 3 cl. 1(1)</w:t>
      </w:r>
    </w:p>
    <w:p>
      <w:pPr>
        <w:pStyle w:val="DefinedTerms"/>
      </w:pPr>
      <w:r>
        <w:t>former common property</w:t>
      </w:r>
      <w:r>
        <w:tab/>
        <w:t>Sch. 3 cl. 1(1)</w:t>
      </w:r>
    </w:p>
    <w:p>
      <w:pPr>
        <w:pStyle w:val="DefinedTerms"/>
      </w:pPr>
      <w:r>
        <w:t>former lot</w:t>
      </w:r>
      <w:r>
        <w:tab/>
        <w:t>Sch. 3 cl. 1(1)</w:t>
      </w:r>
    </w:p>
    <w:p>
      <w:pPr>
        <w:pStyle w:val="DefinedTerms"/>
      </w:pPr>
      <w:r>
        <w:t>former parcel</w:t>
      </w:r>
      <w:r>
        <w:tab/>
        <w:t>Sch. 3 cl. 1(1)</w:t>
      </w:r>
    </w:p>
    <w:p>
      <w:pPr>
        <w:pStyle w:val="DefinedTerms"/>
      </w:pPr>
      <w:r>
        <w:t>former proprietor</w:t>
      </w:r>
      <w:r>
        <w:tab/>
        <w:t>Sch. 3 cl. 1(1)</w:t>
      </w:r>
    </w:p>
    <w:p>
      <w:pPr>
        <w:pStyle w:val="DefinedTerms"/>
      </w:pPr>
      <w:r>
        <w:t>former strata scheme</w:t>
      </w:r>
      <w:r>
        <w:tab/>
        <w:t>Sch. 3 cl. 1(1)</w:t>
      </w:r>
    </w:p>
    <w:p>
      <w:pPr>
        <w:pStyle w:val="DefinedTerms"/>
      </w:pPr>
      <w:r>
        <w:t>interim order</w:t>
      </w:r>
      <w:r>
        <w:tab/>
        <w:t>82(1)</w:t>
      </w:r>
    </w:p>
    <w:p>
      <w:pPr>
        <w:pStyle w:val="DefinedTerms"/>
      </w:pPr>
      <w:r>
        <w:t>land</w:t>
      </w:r>
      <w:r>
        <w:tab/>
        <w:t>3(1)</w:t>
      </w:r>
    </w:p>
    <w:p>
      <w:pPr>
        <w:pStyle w:val="DefinedTerms"/>
      </w:pPr>
      <w:r>
        <w:t>licensed surveyor</w:t>
      </w:r>
      <w:r>
        <w:tab/>
        <w:t>3(1)</w:t>
      </w:r>
    </w:p>
    <w:p>
      <w:pPr>
        <w:pStyle w:val="DefinedTerms"/>
      </w:pPr>
      <w:r>
        <w:t>licensed valuer</w:t>
      </w:r>
      <w:r>
        <w:tab/>
        <w:t>3(1)</w:t>
      </w:r>
    </w:p>
    <w:p>
      <w:pPr>
        <w:pStyle w:val="DefinedTerms"/>
      </w:pPr>
      <w:r>
        <w:t>local government</w:t>
      </w:r>
      <w:r>
        <w:tab/>
        <w:t>3(1)</w:t>
      </w:r>
    </w:p>
    <w:p>
      <w:pPr>
        <w:pStyle w:val="DefinedTerms"/>
      </w:pPr>
      <w:r>
        <w:t>location plan</w:t>
      </w:r>
      <w:r>
        <w:tab/>
        <w:t>3(1)</w:t>
      </w:r>
    </w:p>
    <w:p>
      <w:pPr>
        <w:pStyle w:val="DefinedTerms"/>
      </w:pPr>
      <w:r>
        <w:t>lot</w:t>
      </w:r>
      <w:r>
        <w:tab/>
        <w:t>3(1), 3(1), 3B(8), 36B(2), 103D(5)</w:t>
      </w:r>
    </w:p>
    <w:p>
      <w:pPr>
        <w:pStyle w:val="DefinedTerms"/>
      </w:pPr>
      <w:r>
        <w:t>management contract or arrangement</w:t>
      </w:r>
      <w:r>
        <w:tab/>
        <w:t>50A(5)</w:t>
      </w:r>
    </w:p>
    <w:p>
      <w:pPr>
        <w:pStyle w:val="DefinedTerms"/>
      </w:pPr>
      <w:r>
        <w:t>Minister for Lands</w:t>
      </w:r>
      <w:r>
        <w:tab/>
        <w:t>29C(3)</w:t>
      </w:r>
    </w:p>
    <w:p>
      <w:pPr>
        <w:pStyle w:val="DefinedTerms"/>
      </w:pPr>
      <w:r>
        <w:t>mortgage</w:t>
      </w:r>
      <w:r>
        <w:tab/>
        <w:t>3(1)</w:t>
      </w:r>
    </w:p>
    <w:p>
      <w:pPr>
        <w:pStyle w:val="DefinedTerms"/>
      </w:pPr>
      <w:r>
        <w:t>occupier</w:t>
      </w:r>
      <w:r>
        <w:tab/>
        <w:t>3(1)</w:t>
      </w:r>
    </w:p>
    <w:p>
      <w:pPr>
        <w:pStyle w:val="DefinedTerms"/>
      </w:pPr>
      <w:r>
        <w:t>open space</w:t>
      </w:r>
      <w:r>
        <w:tab/>
        <w:t>3(1)</w:t>
      </w:r>
    </w:p>
    <w:p>
      <w:pPr>
        <w:pStyle w:val="DefinedTerms"/>
      </w:pPr>
      <w:r>
        <w:t>order</w:t>
      </w:r>
      <w:r>
        <w:tab/>
        <w:t>104(3)</w:t>
      </w:r>
    </w:p>
    <w:p>
      <w:pPr>
        <w:pStyle w:val="DefinedTerms"/>
      </w:pPr>
      <w:r>
        <w:t>original proprietor</w:t>
      </w:r>
      <w:r>
        <w:tab/>
        <w:t>3(1), 68</w:t>
      </w:r>
    </w:p>
    <w:p>
      <w:pPr>
        <w:pStyle w:val="DefinedTerms"/>
      </w:pPr>
      <w:r>
        <w:t>parcel</w:t>
      </w:r>
      <w:r>
        <w:tab/>
        <w:t>3(1)</w:t>
      </w:r>
    </w:p>
    <w:p>
      <w:pPr>
        <w:pStyle w:val="DefinedTerms"/>
      </w:pPr>
      <w:r>
        <w:t>permitted boundary deviation</w:t>
      </w:r>
      <w:r>
        <w:tab/>
        <w:t>3(1)</w:t>
      </w:r>
    </w:p>
    <w:p>
      <w:pPr>
        <w:pStyle w:val="DefinedTerms"/>
      </w:pPr>
      <w:r>
        <w:t>person concerned</w:t>
      </w:r>
      <w:r>
        <w:tab/>
        <w:t>3(1)</w:t>
      </w:r>
    </w:p>
    <w:p>
      <w:pPr>
        <w:pStyle w:val="DefinedTerms"/>
      </w:pPr>
      <w:r>
        <w:t>plot ratio</w:t>
      </w:r>
      <w:r>
        <w:tab/>
        <w:t>3(1)</w:t>
      </w:r>
    </w:p>
    <w:p>
      <w:pPr>
        <w:pStyle w:val="DefinedTerms"/>
      </w:pPr>
      <w:r>
        <w:t>post</w:t>
      </w:r>
      <w:r>
        <w:noBreakHyphen/>
        <w:t>1985 company</w:t>
      </w:r>
      <w:r>
        <w:tab/>
        <w:t>Sch. 4 cl. 1</w:t>
      </w:r>
    </w:p>
    <w:p>
      <w:pPr>
        <w:pStyle w:val="DefinedTerms"/>
      </w:pPr>
      <w:r>
        <w:t>prescribed</w:t>
      </w:r>
      <w:r>
        <w:tab/>
        <w:t>3(1)</w:t>
      </w:r>
    </w:p>
    <w:p>
      <w:pPr>
        <w:pStyle w:val="DefinedTerms"/>
      </w:pPr>
      <w:r>
        <w:t>proprietor</w:t>
      </w:r>
      <w:r>
        <w:tab/>
        <w:t>3(1), 53A</w:t>
      </w:r>
    </w:p>
    <w:p>
      <w:pPr>
        <w:pStyle w:val="DefinedTerms"/>
      </w:pPr>
      <w:r>
        <w:t>proprietor in default</w:t>
      </w:r>
      <w:r>
        <w:tab/>
        <w:t>103B(1)</w:t>
      </w:r>
    </w:p>
    <w:p>
      <w:pPr>
        <w:pStyle w:val="DefinedTerms"/>
      </w:pPr>
      <w:r>
        <w:t>proxy</w:t>
      </w:r>
      <w:r>
        <w:tab/>
        <w:t>50A(1)</w:t>
      </w:r>
    </w:p>
    <w:p>
      <w:pPr>
        <w:pStyle w:val="DefinedTerms"/>
      </w:pPr>
      <w:r>
        <w:t>purchaser</w:t>
      </w:r>
      <w:r>
        <w:tab/>
        <w:t>68</w:t>
      </w:r>
    </w:p>
    <w:p>
      <w:pPr>
        <w:pStyle w:val="DefinedTerms"/>
      </w:pPr>
      <w:r>
        <w:t>real estate agent</w:t>
      </w:r>
      <w:r>
        <w:tab/>
        <w:t>70(8)</w:t>
      </w:r>
    </w:p>
    <w:p>
      <w:pPr>
        <w:pStyle w:val="DefinedTerms"/>
      </w:pPr>
      <w:r>
        <w:t>Register</w:t>
      </w:r>
      <w:r>
        <w:tab/>
        <w:t>3(1)</w:t>
      </w:r>
    </w:p>
    <w:p>
      <w:pPr>
        <w:pStyle w:val="DefinedTerms"/>
      </w:pPr>
      <w:r>
        <w:t>registered interest</w:t>
      </w:r>
      <w:r>
        <w:tab/>
        <w:t>15(5)</w:t>
      </w:r>
    </w:p>
    <w:p>
      <w:pPr>
        <w:pStyle w:val="DefinedTerms"/>
      </w:pPr>
      <w:r>
        <w:t>Registrar of Titles</w:t>
      </w:r>
      <w:r>
        <w:tab/>
        <w:t>3(1), 129C(6)</w:t>
      </w:r>
    </w:p>
    <w:p>
      <w:pPr>
        <w:pStyle w:val="DefinedTerms"/>
      </w:pPr>
      <w:r>
        <w:t>replacement value</w:t>
      </w:r>
      <w:r>
        <w:tab/>
        <w:t>53</w:t>
      </w:r>
    </w:p>
    <w:p>
      <w:pPr>
        <w:pStyle w:val="DefinedTerms"/>
      </w:pPr>
      <w:r>
        <w:t>resolution without dissent</w:t>
      </w:r>
      <w:r>
        <w:tab/>
        <w:t>3(1)</w:t>
      </w:r>
    </w:p>
    <w:p>
      <w:pPr>
        <w:pStyle w:val="DefinedTerms"/>
      </w:pPr>
      <w:r>
        <w:t>re</w:t>
      </w:r>
      <w:r>
        <w:noBreakHyphen/>
        <w:t>subdivision</w:t>
      </w:r>
      <w:r>
        <w:tab/>
        <w:t>3(1)</w:t>
      </w:r>
    </w:p>
    <w:p>
      <w:pPr>
        <w:pStyle w:val="DefinedTerms"/>
      </w:pPr>
      <w:r>
        <w:t>retired person</w:t>
      </w:r>
      <w:r>
        <w:tab/>
        <w:t>6A(3)</w:t>
      </w:r>
    </w:p>
    <w:p>
      <w:pPr>
        <w:pStyle w:val="DefinedTerms"/>
      </w:pPr>
      <w:r>
        <w:t>scheme</w:t>
      </w:r>
      <w:r>
        <w:tab/>
        <w:t>3(1), 53A, 131A(2)</w:t>
      </w:r>
    </w:p>
    <w:p>
      <w:pPr>
        <w:pStyle w:val="DefinedTerms"/>
      </w:pPr>
      <w:r>
        <w:t>servient lot</w:t>
      </w:r>
      <w:r>
        <w:tab/>
        <w:t>5D(2)</w:t>
      </w:r>
    </w:p>
    <w:p>
      <w:pPr>
        <w:pStyle w:val="DefinedTerms"/>
      </w:pPr>
      <w:r>
        <w:t>settlement</w:t>
      </w:r>
      <w:r>
        <w:tab/>
        <w:t>69D(6)</w:t>
      </w:r>
    </w:p>
    <w:p>
      <w:pPr>
        <w:pStyle w:val="DefinedTerms"/>
      </w:pPr>
      <w:r>
        <w:t>settlement agent</w:t>
      </w:r>
      <w:r>
        <w:tab/>
        <w:t>70(8)</w:t>
      </w:r>
    </w:p>
    <w:p>
      <w:pPr>
        <w:pStyle w:val="DefinedTerms"/>
      </w:pPr>
      <w:r>
        <w:t>single tier strata scheme</w:t>
      </w:r>
      <w:r>
        <w:tab/>
        <w:t>3(1)</w:t>
      </w:r>
    </w:p>
    <w:p>
      <w:pPr>
        <w:pStyle w:val="DefinedTerms"/>
      </w:pPr>
      <w:r>
        <w:t>site value</w:t>
      </w:r>
      <w:r>
        <w:tab/>
        <w:t>14(2a)</w:t>
      </w:r>
    </w:p>
    <w:p>
      <w:pPr>
        <w:pStyle w:val="DefinedTerms"/>
      </w:pPr>
      <w:r>
        <w:t>sketch plan</w:t>
      </w:r>
      <w:r>
        <w:tab/>
        <w:t>21T(1)</w:t>
      </w:r>
    </w:p>
    <w:p>
      <w:pPr>
        <w:pStyle w:val="DefinedTerms"/>
      </w:pPr>
      <w:r>
        <w:t>special resolution</w:t>
      </w:r>
      <w:r>
        <w:tab/>
        <w:t>3(1)</w:t>
      </w:r>
    </w:p>
    <w:p>
      <w:pPr>
        <w:pStyle w:val="DefinedTerms"/>
      </w:pPr>
      <w:r>
        <w:t>strata company</w:t>
      </w:r>
      <w:r>
        <w:tab/>
        <w:t>3(1), 53A, 54(1)</w:t>
      </w:r>
    </w:p>
    <w:p>
      <w:pPr>
        <w:pStyle w:val="DefinedTerms"/>
      </w:pPr>
      <w:r>
        <w:t>strata plan</w:t>
      </w:r>
      <w:r>
        <w:tab/>
        <w:t>3(1)</w:t>
      </w:r>
    </w:p>
    <w:p>
      <w:pPr>
        <w:pStyle w:val="DefinedTerms"/>
      </w:pPr>
      <w:r>
        <w:t>strata scheme</w:t>
      </w:r>
      <w:r>
        <w:tab/>
        <w:t>3(1)</w:t>
      </w:r>
    </w:p>
    <w:p>
      <w:pPr>
        <w:pStyle w:val="DefinedTerms"/>
      </w:pPr>
      <w:r>
        <w:t>strata/survey</w:t>
      </w:r>
      <w:r>
        <w:noBreakHyphen/>
        <w:t>strata plan</w:t>
      </w:r>
      <w:r>
        <w:tab/>
        <w:t>3(1)</w:t>
      </w:r>
    </w:p>
    <w:p>
      <w:pPr>
        <w:pStyle w:val="DefinedTerms"/>
      </w:pPr>
      <w:r>
        <w:t>structural cubic space</w:t>
      </w:r>
      <w:r>
        <w:tab/>
        <w:t>3(1)</w:t>
      </w:r>
    </w:p>
    <w:p>
      <w:pPr>
        <w:pStyle w:val="DefinedTerms"/>
      </w:pPr>
      <w:r>
        <w:t>structure</w:t>
      </w:r>
      <w:r>
        <w:tab/>
        <w:t>7(6), 7A(4)</w:t>
      </w:r>
    </w:p>
    <w:p>
      <w:pPr>
        <w:pStyle w:val="DefinedTerms"/>
      </w:pPr>
      <w:r>
        <w:t>survey</w:t>
      </w:r>
      <w:r>
        <w:noBreakHyphen/>
        <w:t>strata plan</w:t>
      </w:r>
      <w:r>
        <w:tab/>
        <w:t>3(1)</w:t>
      </w:r>
    </w:p>
    <w:p>
      <w:pPr>
        <w:pStyle w:val="DefinedTerms"/>
      </w:pPr>
      <w:r>
        <w:t>survey</w:t>
      </w:r>
      <w:r>
        <w:noBreakHyphen/>
        <w:t>strata scheme</w:t>
      </w:r>
      <w:r>
        <w:tab/>
        <w:t>3(1)</w:t>
      </w:r>
    </w:p>
    <w:p>
      <w:pPr>
        <w:pStyle w:val="DefinedTerms"/>
      </w:pPr>
      <w:r>
        <w:t>take</w:t>
      </w:r>
      <w:r>
        <w:tab/>
        <w:t>3(1)</w:t>
      </w:r>
    </w:p>
    <w:p>
      <w:pPr>
        <w:pStyle w:val="DefinedTerms"/>
      </w:pPr>
      <w:r>
        <w:t>taken</w:t>
      </w:r>
      <w:r>
        <w:tab/>
        <w:t>3(1)</w:t>
      </w:r>
    </w:p>
    <w:p>
      <w:pPr>
        <w:pStyle w:val="DefinedTerms"/>
      </w:pPr>
      <w:r>
        <w:t>taking</w:t>
      </w:r>
      <w:r>
        <w:tab/>
        <w:t>3(1)</w:t>
      </w:r>
    </w:p>
    <w:p>
      <w:pPr>
        <w:pStyle w:val="DefinedTerms"/>
      </w:pPr>
      <w:r>
        <w:t>taking order</w:t>
      </w:r>
      <w:r>
        <w:tab/>
        <w:t>29C(3)</w:t>
      </w:r>
    </w:p>
    <w:p>
      <w:pPr>
        <w:pStyle w:val="DefinedTerms"/>
      </w:pPr>
      <w:r>
        <w:t>termination day</w:t>
      </w:r>
      <w:r>
        <w:tab/>
        <w:t>Sch. 3 cl. 12(2)</w:t>
      </w:r>
    </w:p>
    <w:p>
      <w:pPr>
        <w:pStyle w:val="DefinedTerms"/>
      </w:pPr>
      <w:r>
        <w:t>transition period</w:t>
      </w:r>
      <w:r>
        <w:tab/>
        <w:t>123A(2), 123C(2), Sch. 4 cl. 1</w:t>
      </w:r>
    </w:p>
    <w:p>
      <w:pPr>
        <w:pStyle w:val="DefinedTerms"/>
      </w:pPr>
      <w:r>
        <w:t>two</w:t>
      </w:r>
      <w:r>
        <w:noBreakHyphen/>
        <w:t>lot scheme</w:t>
      </w:r>
      <w:r>
        <w:tab/>
        <w:t>3(1)</w:t>
      </w:r>
    </w:p>
    <w:p>
      <w:pPr>
        <w:pStyle w:val="DefinedTerms"/>
      </w:pPr>
      <w:r>
        <w:t>unanimous resolution</w:t>
      </w:r>
      <w:r>
        <w:tab/>
        <w:t>3(1)</w:t>
      </w:r>
    </w:p>
    <w:p>
      <w:pPr>
        <w:pStyle w:val="DefinedTerms"/>
      </w:pPr>
      <w:r>
        <w:t>unit entitlement</w:t>
      </w:r>
      <w:r>
        <w:tab/>
        <w:t>3(1)</w:t>
      </w:r>
    </w:p>
    <w:p>
      <w:pPr>
        <w:pStyle w:val="DefinedTerms"/>
      </w:pPr>
      <w:r>
        <w:t>vacant lot</w:t>
      </w:r>
      <w:r>
        <w:tab/>
        <w:t>7(6)</w:t>
      </w:r>
    </w:p>
    <w:p>
      <w:pPr>
        <w:pStyle w:val="DefinedTerms"/>
      </w:pPr>
      <w:r>
        <w:t>value</w:t>
      </w:r>
      <w:r>
        <w:tab/>
        <w:t>14(2a), 15(5), 16(7), 103H(4)</w:t>
      </w:r>
    </w:p>
    <w:p>
      <w:pPr>
        <w:pStyle w:val="DefinedTerms"/>
      </w:pPr>
      <w:r>
        <w:t>vendor</w:t>
      </w:r>
      <w:r>
        <w:tab/>
        <w:t>68</w:t>
      </w:r>
    </w:p>
    <w:p>
      <w:pPr>
        <w:pStyle w:val="DefinedTerms"/>
      </w:pPr>
      <w:r>
        <w:t>wall</w:t>
      </w:r>
      <w:r>
        <w:tab/>
        <w:t>3(1)</w:t>
      </w:r>
    </w:p>
    <w:p>
      <w:pPr>
        <w:pStyle w:val="DefinedTerms"/>
      </w:pPr>
      <w:r>
        <w:t>working days</w:t>
      </w:r>
      <w:r>
        <w:tab/>
        <w:t>69D(6)</w:t>
      </w:r>
    </w:p>
    <w:p/>
    <w:p>
      <w:pPr>
        <w:sectPr>
          <w:headerReference w:type="even" r:id="rId34"/>
          <w:headerReference w:type="default" r:id="rId35"/>
          <w:pgSz w:w="11907" w:h="16840" w:code="9"/>
          <w:pgMar w:top="2381" w:right="2409" w:bottom="3543" w:left="2409" w:header="720" w:footer="3380" w:gutter="0"/>
          <w:cols w:space="720"/>
          <w:noEndnote/>
          <w:docGrid w:linePitch="326"/>
        </w:sectPr>
      </w:pPr>
    </w:p>
    <w:p/>
    <w:sectPr>
      <w:headerReference w:type="even" r:id="rId36"/>
      <w:headerReference w:type="default" r:id="rId37"/>
      <w:footerReference w:type="even" r:id="rId38"/>
      <w:footerReference w:type="default" r:id="rId39"/>
      <w:headerReference w:type="first" r:id="rId40"/>
      <w:footerReference w:type="first" r:id="rId41"/>
      <w:type w:val="continuous"/>
      <w:pgSz w:w="11907" w:h="16840" w:code="9"/>
      <w:pgMar w:top="2381" w:right="2410" w:bottom="3544" w:left="2410" w:header="720" w:footer="3379"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07-d0-05</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30 Jun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Jun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07-d0-05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Jun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07-d0-05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vi</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07-d0-05</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30 Jun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Jun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07-d0-05</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vii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Jun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07-d0-05</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264</w:t>
    </w:r>
    <w:r>
      <w:rPr>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07-d0-05</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30 Jun 2015</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305" w:type="dxa"/>
        </w:tcPr>
        <w:p>
          <w:pPr>
            <w:pStyle w:val="Header"/>
            <w:spacing w:before="40"/>
          </w:pPr>
          <w:r>
            <w:rPr>
              <w:b/>
            </w:rPr>
            <w:fldChar w:fldCharType="begin"/>
          </w:r>
          <w:r>
            <w:rPr>
              <w:b/>
            </w:rPr>
            <w:instrText>styleref CharPartNo</w:instrText>
          </w:r>
          <w:r>
            <w:rPr>
              <w:b/>
            </w:rPr>
            <w:fldChar w:fldCharType="end"/>
          </w:r>
        </w:p>
      </w:tc>
      <w:tc>
        <w:tcPr>
          <w:tcW w:w="6007" w:type="dxa"/>
          <w:vAlign w:val="bottom"/>
        </w:tcPr>
        <w:p>
          <w:pPr>
            <w:pStyle w:val="Header"/>
            <w:spacing w:before="40"/>
          </w:pPr>
          <w:r>
            <w:fldChar w:fldCharType="begin"/>
          </w:r>
          <w:r>
            <w:instrText>styleref CharPartText</w:instrText>
          </w:r>
          <w:r>
            <w:fldChar w:fldCharType="end"/>
          </w:r>
        </w:p>
      </w:tc>
    </w:tr>
    <w:tr>
      <w:tc>
        <w:tcPr>
          <w:tcW w:w="1305" w:type="dxa"/>
        </w:tcPr>
        <w:p>
          <w:pPr>
            <w:pStyle w:val="Header"/>
            <w:spacing w:before="40"/>
          </w:pPr>
          <w:r>
            <w:rPr>
              <w:b/>
            </w:rPr>
            <w:fldChar w:fldCharType="begin"/>
          </w:r>
          <w:r>
            <w:rPr>
              <w:b/>
            </w:rPr>
            <w:instrText>styleref CharDivNo</w:instrText>
          </w:r>
          <w:r>
            <w:rPr>
              <w:b/>
            </w:rPr>
            <w:fldChar w:fldCharType="end"/>
          </w:r>
        </w:p>
      </w:tc>
      <w:tc>
        <w:tcPr>
          <w:tcW w:w="6007" w:type="dxa"/>
          <w:vAlign w:val="bottom"/>
        </w:tcPr>
        <w:p>
          <w:pPr>
            <w:pStyle w:val="Header"/>
            <w:spacing w:before="40"/>
          </w:pPr>
          <w:r>
            <w:fldChar w:fldCharType="begin"/>
          </w:r>
          <w:r>
            <w:instrText>styleref CharDivText</w:instrText>
          </w:r>
          <w:r>
            <w:fldChar w:fldCharType="end"/>
          </w:r>
        </w:p>
      </w:tc>
    </w:tr>
    <w:tr>
      <w:trPr>
        <w:cantSplit/>
      </w:trPr>
      <w:tc>
        <w:tcPr>
          <w:tcW w:w="7312"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985" w:type="dxa"/>
          <w:vAlign w:val="bottom"/>
        </w:tcPr>
        <w:p>
          <w:pPr>
            <w:pStyle w:val="Header"/>
            <w:spacing w:before="40"/>
            <w:jc w:val="right"/>
          </w:pPr>
          <w:r>
            <w:fldChar w:fldCharType="begin"/>
          </w:r>
          <w:r>
            <w:instrText>styleref CharPartText</w:instrText>
          </w:r>
          <w:r>
            <w:fldChar w:fldCharType="end"/>
          </w:r>
        </w:p>
      </w:tc>
      <w:tc>
        <w:tcPr>
          <w:tcW w:w="1327" w:type="dxa"/>
        </w:tcPr>
        <w:p>
          <w:pPr>
            <w:pStyle w:val="Header"/>
            <w:spacing w:before="40"/>
            <w:ind w:right="17"/>
            <w:jc w:val="right"/>
          </w:pPr>
          <w:r>
            <w:rPr>
              <w:b/>
            </w:rPr>
            <w:fldChar w:fldCharType="begin"/>
          </w:r>
          <w:r>
            <w:rPr>
              <w:b/>
            </w:rPr>
            <w:instrText>styleref CharPartNo</w:instrText>
          </w:r>
          <w:r>
            <w:rPr>
              <w:b/>
            </w:rPr>
            <w:fldChar w:fldCharType="end"/>
          </w:r>
        </w:p>
      </w:tc>
    </w:tr>
    <w:tr>
      <w:tc>
        <w:tcPr>
          <w:tcW w:w="5985" w:type="dxa"/>
          <w:vAlign w:val="bottom"/>
        </w:tcPr>
        <w:p>
          <w:pPr>
            <w:pStyle w:val="Header"/>
            <w:spacing w:before="40"/>
            <w:jc w:val="right"/>
          </w:pPr>
          <w:r>
            <w:fldChar w:fldCharType="begin"/>
          </w:r>
          <w:r>
            <w:instrText>styleref CharDivText</w:instrText>
          </w:r>
          <w:r>
            <w:fldChar w:fldCharType="end"/>
          </w:r>
        </w:p>
      </w:tc>
      <w:tc>
        <w:tcPr>
          <w:tcW w:w="1327"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312"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r>
  </w:tbl>
  <w:p>
    <w:pPr>
      <w:pStyle w:val="Header"/>
      <w:pBdr>
        <w:top w:val="single" w:sz="4" w:space="1" w:color="auto"/>
      </w:pBdr>
    </w:pPr>
    <w:bookmarkStart w:id="769" w:name="Schedule"/>
    <w:bookmarkEnd w:id="769"/>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separate"/>
          </w:r>
          <w:r>
            <w:rPr>
              <w:b/>
            </w:rPr>
            <w:t>Schedule 2</w:t>
          </w:r>
          <w:r>
            <w:rPr>
              <w:b/>
            </w:rPr>
            <w:fldChar w:fldCharType="end"/>
          </w:r>
        </w:p>
      </w:tc>
      <w:tc>
        <w:tcPr>
          <w:tcW w:w="5715" w:type="dxa"/>
          <w:vAlign w:val="bottom"/>
        </w:tcPr>
        <w:p>
          <w:pPr>
            <w:pStyle w:val="Header"/>
            <w:spacing w:before="40"/>
          </w:pPr>
          <w:r>
            <w:fldChar w:fldCharType="begin"/>
          </w:r>
          <w:r>
            <w:instrText>styleref CharSchText</w:instrText>
          </w:r>
          <w:r>
            <w:fldChar w:fldCharType="separate"/>
          </w:r>
          <w:r>
            <w:t>Schedule 2 by-laws</w:t>
          </w:r>
          <w:r>
            <w:fldChar w:fldCharType="end"/>
          </w:r>
        </w:p>
      </w:tc>
    </w:tr>
    <w:tr>
      <w:tc>
        <w:tcPr>
          <w:tcW w:w="1548" w:type="dxa"/>
        </w:tcPr>
        <w:p>
          <w:pPr>
            <w:pStyle w:val="Header"/>
            <w:spacing w:before="40"/>
          </w:pPr>
        </w:p>
      </w:tc>
      <w:tc>
        <w:tcPr>
          <w:tcW w:w="5715" w:type="dxa"/>
          <w:vAlign w:val="bottom"/>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separate"/>
          </w:r>
          <w:r>
            <w:t>Schedule 2 by-laws</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1548" w:type="dxa"/>
        </w:tcPr>
        <w:p>
          <w:pPr>
            <w:pStyle w:val="Header"/>
            <w:spacing w:before="40"/>
          </w:pPr>
        </w:p>
      </w:tc>
      <w:tc>
        <w:tcPr>
          <w:tcW w:w="5764" w:type="dxa"/>
        </w:tcPr>
        <w:p>
          <w:pPr>
            <w:pStyle w:val="Header"/>
            <w:spacing w:before="40"/>
          </w:pP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856" w:name="Compilation"/>
    <w:bookmarkEnd w:id="856"/>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857" w:name="DefinedTerms"/>
    <w:bookmarkEnd w:id="857"/>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858" w:name="Coversheet"/>
    <w:bookmarkEnd w:id="858"/>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CDD4CB9E"/>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3"/>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15"/>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9175152"/>
    <w:docVar w:name="WAFER_20140114100255" w:val="RemoveTocBookmarks,RemoveUnusedBookmarks,RemoveLanguageTags,UsedStyles,ResetPageSize,UpdateArrangement"/>
    <w:docVar w:name="WAFER_20140114100255_GUID" w:val="cba07027-61df-4a78-8eaf-37358dee8013"/>
    <w:docVar w:name="WAFER_20140114100308" w:val="RemoveTocBookmarks,RunningHeaders"/>
    <w:docVar w:name="WAFER_20140114100308_GUID" w:val="53613e62-66e1-4b36-875b-7293995e4f1f"/>
    <w:docVar w:name="WAFER_20140306140542" w:val="RemoveTocBookmarks,RemoveUnusedBookmarks,RemoveLanguageTags,UsedStyles,ResetPageSize"/>
    <w:docVar w:name="WAFER_20140306140542_GUID" w:val="bc26bd25-37fd-4599-a6ce-ebce8eb5fc64"/>
    <w:docVar w:name="WAFER_20140306141059" w:val="RemoveTocBookmarks,RunningHeaders"/>
    <w:docVar w:name="WAFER_20140306141059_GUID" w:val="9c790f64-6ba0-40a2-ba11-82da75b8d1d8"/>
    <w:docVar w:name="WAFER_20150429142246" w:val="ResetPageSize,UpdateArrangement,UpdateNTable"/>
    <w:docVar w:name="WAFER_20150429142246_GUID" w:val="610b7ccc-59e4-41fd-a95e-13bea6568027"/>
    <w:docVar w:name="WAFER_20151109175152" w:val="UpdateStyles,UsedStyles"/>
    <w:docVar w:name="WAFER_20151109175152_GUID" w:val="1a5a3f5a-eb32-4d17-b85d-619724b0bac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City"/>
  <w:smartTagType w:namespaceuri="urn:schemas-microsoft-com:office:smarttags" w:name="PlaceNam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7.xm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6.xml"/><Relationship Id="rId38"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image" Target="media/image2.png"/><Relationship Id="rId41"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header" Target="header15.xml"/><Relationship Id="rId37" Type="http://schemas.openxmlformats.org/officeDocument/2006/relationships/header" Target="header20.xml"/><Relationship Id="rId40" Type="http://schemas.openxmlformats.org/officeDocument/2006/relationships/header" Target="header2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header" Target="header19.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3.xml"/><Relationship Id="rId35" Type="http://schemas.openxmlformats.org/officeDocument/2006/relationships/header" Target="header18.xm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7F4F7-9433-4D12-8939-D549EBAC6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279</Pages>
  <Words>76996</Words>
  <Characters>358804</Characters>
  <Application>Microsoft Office Word</Application>
  <DocSecurity>0</DocSecurity>
  <Lines>9200</Lines>
  <Paragraphs>4736</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431064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1985 - 07-d0-05</dc:title>
  <dc:subject/>
  <dc:creator/>
  <cp:keywords/>
  <dc:description/>
  <cp:lastModifiedBy>svcMRProcess</cp:lastModifiedBy>
  <cp:revision>4</cp:revision>
  <cp:lastPrinted>2015-06-18T08:38:00Z</cp:lastPrinted>
  <dcterms:created xsi:type="dcterms:W3CDTF">2019-05-11T00:59:00Z</dcterms:created>
  <dcterms:modified xsi:type="dcterms:W3CDTF">2019-05-11T00:59:00Z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DocumentType">
    <vt:lpwstr>Act</vt:lpwstr>
  </property>
  <property fmtid="{D5CDD505-2E9C-101B-9397-08002B2CF9AE}" pid="4" name="OwlsUID">
    <vt:i4>796</vt:i4>
  </property>
  <property fmtid="{D5CDD505-2E9C-101B-9397-08002B2CF9AE}" pid="5" name="ReprintNo">
    <vt:lpwstr>7</vt:lpwstr>
  </property>
  <property fmtid="{D5CDD505-2E9C-101B-9397-08002B2CF9AE}" pid="6" name="ReprintedAsAt">
    <vt:filetime>2013-05-23T16:00:00Z</vt:filetime>
  </property>
  <property fmtid="{D5CDD505-2E9C-101B-9397-08002B2CF9AE}" pid="7" name="AsAtDate">
    <vt:lpwstr>30 Jun 2015</vt:lpwstr>
  </property>
  <property fmtid="{D5CDD505-2E9C-101B-9397-08002B2CF9AE}" pid="8" name="Suffix">
    <vt:lpwstr>07-d0-05</vt:lpwstr>
  </property>
  <property fmtid="{D5CDD505-2E9C-101B-9397-08002B2CF9AE}" pid="9" name="CommencementDate">
    <vt:lpwstr>20150630</vt:lpwstr>
  </property>
</Properties>
</file>