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2.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Conservation and Land Management Act 1984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Conservation and Land Management Regulations 2002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Conservation and Land Management Regulations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_Toc423343037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_Toc423343038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_Toc423343039 \h </w:instrText>
      </w:r>
      <w:r>
        <w:fldChar w:fldCharType="separate"/>
      </w:r>
      <w:r>
        <w:t>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Lawful authority</w:t>
      </w:r>
      <w:r>
        <w:tab/>
      </w:r>
      <w:r>
        <w:fldChar w:fldCharType="begin"/>
      </w:r>
      <w:r>
        <w:instrText xml:space="preserve"> PAGEREF _Toc423343040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Restricted areas</w:t>
      </w:r>
      <w:r>
        <w:tab/>
      </w:r>
      <w:r>
        <w:fldChar w:fldCharType="begin"/>
      </w:r>
      <w:r>
        <w:instrText xml:space="preserve"> PAGEREF _Toc423343041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Designated areas</w:t>
      </w:r>
      <w:r>
        <w:tab/>
      </w:r>
      <w:r>
        <w:fldChar w:fldCharType="begin"/>
      </w:r>
      <w:r>
        <w:instrText xml:space="preserve"> PAGEREF _Toc423343042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Protection of the environment</w:t>
      </w:r>
    </w:p>
    <w:p>
      <w:pPr>
        <w:pStyle w:val="TOC4"/>
        <w:tabs>
          <w:tab w:val="right" w:leader="dot" w:pos="7077"/>
        </w:tabs>
        <w:rPr>
          <w:rFonts w:asciiTheme="minorHAnsi" w:eastAsiaTheme="minorEastAsia" w:hAnsiTheme="minorHAnsi" w:cstheme="minorBidi"/>
          <w:b w:val="0"/>
          <w:szCs w:val="22"/>
        </w:rPr>
      </w:pPr>
      <w:r>
        <w:t>Division 1 — Protection of flora and fauna</w:t>
      </w:r>
    </w:p>
    <w:p>
      <w:pPr>
        <w:pStyle w:val="TOC8"/>
        <w:rPr>
          <w:rFonts w:asciiTheme="minorHAnsi" w:eastAsiaTheme="minorEastAsia" w:hAnsiTheme="minorHAnsi" w:cstheme="minorBidi"/>
          <w:szCs w:val="22"/>
        </w:rPr>
      </w:pPr>
      <w:r>
        <w:t>7.</w:t>
      </w:r>
      <w:r>
        <w:tab/>
        <w:t>Limitation on restriction</w:t>
      </w:r>
      <w:r>
        <w:tab/>
      </w:r>
      <w:r>
        <w:fldChar w:fldCharType="begin"/>
      </w:r>
      <w:r>
        <w:instrText xml:space="preserve"> PAGEREF _Toc423343045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Unlawful taking of flora and fauna other than fish</w:t>
      </w:r>
      <w:r>
        <w:tab/>
      </w:r>
      <w:r>
        <w:fldChar w:fldCharType="begin"/>
      </w:r>
      <w:r>
        <w:instrText xml:space="preserve"> PAGEREF _Toc423343046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Fishing in restricted areas</w:t>
      </w:r>
      <w:r>
        <w:tab/>
      </w:r>
      <w:r>
        <w:fldChar w:fldCharType="begin"/>
      </w:r>
      <w:r>
        <w:instrText xml:space="preserve"> PAGEREF _Toc423343047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Feeding of fauna</w:t>
      </w:r>
      <w:r>
        <w:tab/>
      </w:r>
      <w:r>
        <w:fldChar w:fldCharType="begin"/>
      </w:r>
      <w:r>
        <w:instrText xml:space="preserve"> PAGEREF _Toc423343048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Restrictions on approaching certain marine fauna</w:t>
      </w:r>
      <w:r>
        <w:tab/>
      </w:r>
      <w:r>
        <w:fldChar w:fldCharType="begin"/>
      </w:r>
      <w:r>
        <w:instrText xml:space="preserve"> PAGEREF _Toc423343049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Possession or use of firearms, spears, restricted devices etc.</w:t>
      </w:r>
      <w:r>
        <w:tab/>
      </w:r>
      <w:r>
        <w:fldChar w:fldCharType="begin"/>
      </w:r>
      <w:r>
        <w:instrText xml:space="preserve"> PAGEREF _Toc423343050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Cultivation etc. prohibited</w:t>
      </w:r>
      <w:r>
        <w:tab/>
      </w:r>
      <w:r>
        <w:fldChar w:fldCharType="begin"/>
      </w:r>
      <w:r>
        <w:instrText xml:space="preserve"> PAGEREF _Toc423343051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Removal of plants</w:t>
      </w:r>
      <w:r>
        <w:tab/>
      </w:r>
      <w:r>
        <w:fldChar w:fldCharType="begin"/>
      </w:r>
      <w:r>
        <w:instrText xml:space="preserve"> PAGEREF _Toc423343052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Animals on CALM land</w:t>
      </w:r>
    </w:p>
    <w:p>
      <w:pPr>
        <w:pStyle w:val="TOC8"/>
        <w:rPr>
          <w:rFonts w:asciiTheme="minorHAnsi" w:eastAsiaTheme="minorEastAsia" w:hAnsiTheme="minorHAnsi" w:cstheme="minorBidi"/>
          <w:szCs w:val="22"/>
        </w:rPr>
      </w:pPr>
      <w:r>
        <w:t>15</w:t>
      </w:r>
      <w:r>
        <w:rPr>
          <w:snapToGrid w:val="0"/>
        </w:rPr>
        <w:t>.</w:t>
      </w:r>
      <w:r>
        <w:rPr>
          <w:snapToGrid w:val="0"/>
        </w:rPr>
        <w:tab/>
        <w:t>Bringing animal on to CALM land</w:t>
      </w:r>
      <w:r>
        <w:tab/>
      </w:r>
      <w:r>
        <w:fldChar w:fldCharType="begin"/>
      </w:r>
      <w:r>
        <w:instrText xml:space="preserve"> PAGEREF _Toc423343054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Dogs on CALM land</w:t>
      </w:r>
      <w:r>
        <w:tab/>
      </w:r>
      <w:r>
        <w:fldChar w:fldCharType="begin"/>
      </w:r>
      <w:r>
        <w:instrText xml:space="preserve"> PAGEREF _Toc423343055 \h </w:instrText>
      </w:r>
      <w:r>
        <w:fldChar w:fldCharType="separate"/>
      </w:r>
      <w:r>
        <w:t>14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Horses on CALM land</w:t>
      </w:r>
      <w:r>
        <w:tab/>
      </w:r>
      <w:r>
        <w:fldChar w:fldCharType="begin"/>
      </w:r>
      <w:r>
        <w:instrText xml:space="preserve"> PAGEREF _Toc423343056 \h </w:instrText>
      </w:r>
      <w:r>
        <w:fldChar w:fldCharType="separate"/>
      </w:r>
      <w:r>
        <w:t>14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Unlawful taking of non</w:t>
      </w:r>
      <w:r>
        <w:rPr>
          <w:snapToGrid w:val="0"/>
        </w:rPr>
        <w:noBreakHyphen/>
        <w:t>indigenous animals</w:t>
      </w:r>
      <w:r>
        <w:tab/>
      </w:r>
      <w:r>
        <w:fldChar w:fldCharType="begin"/>
      </w:r>
      <w:r>
        <w:instrText xml:space="preserve"> PAGEREF _Toc423343057 \h </w:instrText>
      </w:r>
      <w:r>
        <w:fldChar w:fldCharType="separate"/>
      </w:r>
      <w:r>
        <w:t>15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Removal of animal by owner or person in charge</w:t>
      </w:r>
      <w:r>
        <w:tab/>
      </w:r>
      <w:r>
        <w:fldChar w:fldCharType="begin"/>
      </w:r>
      <w:r>
        <w:instrText xml:space="preserve"> PAGEREF _Toc423343058 \h </w:instrText>
      </w:r>
      <w:r>
        <w:fldChar w:fldCharType="separate"/>
      </w:r>
      <w:r>
        <w:t>15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Removal of animals by authorised officer</w:t>
      </w:r>
      <w:r>
        <w:tab/>
      </w:r>
      <w:r>
        <w:fldChar w:fldCharType="begin"/>
      </w:r>
      <w:r>
        <w:instrText xml:space="preserve"> PAGEREF _Toc423343059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Pollution and litter</w:t>
      </w:r>
    </w:p>
    <w:p>
      <w:pPr>
        <w:pStyle w:val="TOC8"/>
        <w:rPr>
          <w:rFonts w:asciiTheme="minorHAnsi" w:eastAsiaTheme="minorEastAsia" w:hAnsiTheme="minorHAnsi" w:cstheme="minorBidi"/>
          <w:szCs w:val="22"/>
        </w:rPr>
      </w:pPr>
      <w:r>
        <w:t>21</w:t>
      </w:r>
      <w:r>
        <w:rPr>
          <w:snapToGrid w:val="0"/>
        </w:rPr>
        <w:t>.</w:t>
      </w:r>
      <w:r>
        <w:rPr>
          <w:snapToGrid w:val="0"/>
        </w:rPr>
        <w:tab/>
        <w:t>Discharging or depositing waste</w:t>
      </w:r>
      <w:r>
        <w:tab/>
      </w:r>
      <w:r>
        <w:fldChar w:fldCharType="begin"/>
      </w:r>
      <w:r>
        <w:instrText xml:space="preserve"> PAGEREF _Toc423343061 \h </w:instrText>
      </w:r>
      <w:r>
        <w:fldChar w:fldCharType="separate"/>
      </w:r>
      <w:r>
        <w:t>15</w:t>
      </w:r>
      <w:r>
        <w:fldChar w:fldCharType="end"/>
      </w:r>
    </w:p>
    <w:p>
      <w:pPr>
        <w:pStyle w:val="TOC8"/>
        <w:rPr>
          <w:rFonts w:asciiTheme="minorHAnsi" w:eastAsiaTheme="minorEastAsia" w:hAnsiTheme="minorHAnsi" w:cstheme="minorBidi"/>
          <w:szCs w:val="22"/>
        </w:rPr>
      </w:pPr>
      <w:r>
        <w:t>22.</w:t>
      </w:r>
      <w:r>
        <w:tab/>
        <w:t>Painting or treating vessels</w:t>
      </w:r>
      <w:r>
        <w:tab/>
      </w:r>
      <w:r>
        <w:fldChar w:fldCharType="begin"/>
      </w:r>
      <w:r>
        <w:instrText xml:space="preserve"> PAGEREF _Toc423343062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Pollution of water supply</w:t>
      </w:r>
      <w:r>
        <w:tab/>
      </w:r>
      <w:r>
        <w:fldChar w:fldCharType="begin"/>
      </w:r>
      <w:r>
        <w:instrText xml:space="preserve"> PAGEREF _Toc423343063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Litter</w:t>
      </w:r>
      <w:r>
        <w:tab/>
      </w:r>
      <w:r>
        <w:fldChar w:fldCharType="begin"/>
      </w:r>
      <w:r>
        <w:instrText xml:space="preserve"> PAGEREF _Toc423343064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Building materials and other matter</w:t>
      </w:r>
      <w:r>
        <w:tab/>
      </w:r>
      <w:r>
        <w:fldChar w:fldCharType="begin"/>
      </w:r>
      <w:r>
        <w:instrText xml:space="preserve"> PAGEREF _Toc423343065 \h </w:instrText>
      </w:r>
      <w:r>
        <w:fldChar w:fldCharType="separate"/>
      </w:r>
      <w:r>
        <w:t>18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Glass in restricted areas</w:t>
      </w:r>
      <w:r>
        <w:tab/>
      </w:r>
      <w:r>
        <w:fldChar w:fldCharType="begin"/>
      </w:r>
      <w:r>
        <w:instrText xml:space="preserve"> PAGEREF _Toc423343066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Removal of litter etc.</w:t>
      </w:r>
      <w:r>
        <w:tab/>
      </w:r>
      <w:r>
        <w:fldChar w:fldCharType="begin"/>
      </w:r>
      <w:r>
        <w:instrText xml:space="preserve"> PAGEREF _Toc423343067 \h </w:instrText>
      </w:r>
      <w:r>
        <w:fldChar w:fldCharType="separate"/>
      </w:r>
      <w:r>
        <w:t>18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Cleaning, scaling etc. fish</w:t>
      </w:r>
      <w:r>
        <w:tab/>
      </w:r>
      <w:r>
        <w:fldChar w:fldCharType="begin"/>
      </w:r>
      <w:r>
        <w:instrText xml:space="preserve"> PAGEREF _Toc423343068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Fires and smoking in caves</w:t>
      </w:r>
      <w:r>
        <w:tab/>
      </w:r>
      <w:r>
        <w:fldChar w:fldCharType="begin"/>
      </w:r>
      <w:r>
        <w:instrText xml:space="preserve"> PAGEREF _Toc423343069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Disturbance of the landscape</w:t>
      </w:r>
    </w:p>
    <w:p>
      <w:pPr>
        <w:pStyle w:val="TOC8"/>
        <w:rPr>
          <w:rFonts w:asciiTheme="minorHAnsi" w:eastAsiaTheme="minorEastAsia" w:hAnsiTheme="minorHAnsi" w:cstheme="minorBidi"/>
          <w:szCs w:val="22"/>
        </w:rPr>
      </w:pPr>
      <w:r>
        <w:t>30</w:t>
      </w:r>
      <w:r>
        <w:rPr>
          <w:snapToGrid w:val="0"/>
        </w:rPr>
        <w:t>.</w:t>
      </w:r>
      <w:r>
        <w:rPr>
          <w:snapToGrid w:val="0"/>
        </w:rPr>
        <w:tab/>
        <w:t>Water</w:t>
      </w:r>
      <w:r>
        <w:tab/>
      </w:r>
      <w:r>
        <w:fldChar w:fldCharType="begin"/>
      </w:r>
      <w:r>
        <w:instrText xml:space="preserve"> PAGEREF _Toc423343071 \h </w:instrText>
      </w:r>
      <w:r>
        <w:fldChar w:fldCharType="separate"/>
      </w:r>
      <w:r>
        <w:t>19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Damage etc. to naturally occurring features</w:t>
      </w:r>
      <w:r>
        <w:tab/>
      </w:r>
      <w:r>
        <w:fldChar w:fldCharType="begin"/>
      </w:r>
      <w:r>
        <w:instrText xml:space="preserve"> PAGEREF _Toc423343072 \h </w:instrText>
      </w:r>
      <w:r>
        <w:fldChar w:fldCharType="separate"/>
      </w:r>
      <w:r>
        <w:t>20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Sandboarding</w:t>
      </w:r>
      <w:r>
        <w:tab/>
      </w:r>
      <w:r>
        <w:fldChar w:fldCharType="begin"/>
      </w:r>
      <w:r>
        <w:instrText xml:space="preserve"> PAGEREF _Toc423343073 \h </w:instrText>
      </w:r>
      <w:r>
        <w:fldChar w:fldCharType="separate"/>
      </w:r>
      <w:r>
        <w:t>21</w:t>
      </w:r>
      <w:r>
        <w:fldChar w:fldCharType="end"/>
      </w:r>
    </w:p>
    <w:p>
      <w:pPr>
        <w:pStyle w:val="TOC8"/>
        <w:rPr>
          <w:rFonts w:asciiTheme="minorHAnsi" w:eastAsiaTheme="minorEastAsia" w:hAnsiTheme="minorHAnsi" w:cstheme="minorBidi"/>
          <w:szCs w:val="22"/>
        </w:rPr>
      </w:pPr>
      <w:r>
        <w:t>33.</w:t>
      </w:r>
      <w:r>
        <w:tab/>
        <w:t>Abseiling</w:t>
      </w:r>
      <w:r>
        <w:tab/>
      </w:r>
      <w:r>
        <w:fldChar w:fldCharType="begin"/>
      </w:r>
      <w:r>
        <w:instrText xml:space="preserve"> PAGEREF _Toc423343074 \h </w:instrText>
      </w:r>
      <w:r>
        <w:fldChar w:fldCharType="separate"/>
      </w:r>
      <w:r>
        <w:t>21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Unauthorised buildings etc.</w:t>
      </w:r>
      <w:r>
        <w:tab/>
      </w:r>
      <w:r>
        <w:fldChar w:fldCharType="begin"/>
      </w:r>
      <w:r>
        <w:instrText xml:space="preserve"> PAGEREF _Toc423343075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Unauthorised clearing</w:t>
      </w:r>
      <w:r>
        <w:tab/>
      </w:r>
      <w:r>
        <w:fldChar w:fldCharType="begin"/>
      </w:r>
      <w:r>
        <w:instrText xml:space="preserve"> PAGEREF _Toc423343076 \h </w:instrText>
      </w:r>
      <w:r>
        <w:fldChar w:fldCharType="separate"/>
      </w:r>
      <w:r>
        <w:t>22</w:t>
      </w:r>
      <w:r>
        <w:fldChar w:fldCharType="end"/>
      </w:r>
    </w:p>
    <w:p>
      <w:pPr>
        <w:pStyle w:val="TOC8"/>
        <w:rPr>
          <w:rFonts w:asciiTheme="minorHAnsi" w:eastAsiaTheme="minorEastAsia" w:hAnsiTheme="minorHAnsi" w:cstheme="minorBidi"/>
          <w:szCs w:val="22"/>
        </w:rPr>
      </w:pPr>
      <w:r>
        <w:t>35A.</w:t>
      </w:r>
      <w:r>
        <w:tab/>
        <w:t>Quarrying, removing or disturbing soil etc.</w:t>
      </w:r>
      <w:r>
        <w:tab/>
      </w:r>
      <w:r>
        <w:fldChar w:fldCharType="begin"/>
      </w:r>
      <w:r>
        <w:instrText xml:space="preserve"> PAGEREF _Toc423343077 \h </w:instrText>
      </w:r>
      <w:r>
        <w:fldChar w:fldCharType="separate"/>
      </w:r>
      <w:r>
        <w:t>22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Dumping</w:t>
      </w:r>
      <w:r>
        <w:tab/>
      </w:r>
      <w:r>
        <w:fldChar w:fldCharType="begin"/>
      </w:r>
      <w:r>
        <w:instrText xml:space="preserve"> PAGEREF _Toc423343078 \h </w:instrText>
      </w:r>
      <w:r>
        <w:fldChar w:fldCharType="separate"/>
      </w:r>
      <w:r>
        <w:t>23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Damage to property</w:t>
      </w:r>
      <w:r>
        <w:tab/>
      </w:r>
      <w:r>
        <w:fldChar w:fldCharType="begin"/>
      </w:r>
      <w:r>
        <w:instrText xml:space="preserve"> PAGEREF _Toc423343079 \h </w:instrText>
      </w:r>
      <w:r>
        <w:fldChar w:fldCharType="separate"/>
      </w:r>
      <w:r>
        <w:t>23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Unauthorised signs</w:t>
      </w:r>
      <w:r>
        <w:tab/>
      </w:r>
      <w:r>
        <w:fldChar w:fldCharType="begin"/>
      </w:r>
      <w:r>
        <w:instrText xml:space="preserve"> PAGEREF _Toc423343080 \h </w:instrText>
      </w:r>
      <w:r>
        <w:fldChar w:fldCharType="separate"/>
      </w:r>
      <w:r>
        <w:t>23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Unlawful lighting of campfires etc.</w:t>
      </w:r>
      <w:r>
        <w:tab/>
      </w:r>
      <w:r>
        <w:fldChar w:fldCharType="begin"/>
      </w:r>
      <w:r>
        <w:instrText xml:space="preserve"> PAGEREF _Toc423343081 \h </w:instrText>
      </w:r>
      <w:r>
        <w:fldChar w:fldCharType="separate"/>
      </w:r>
      <w:r>
        <w:t>24</w:t>
      </w:r>
      <w:r>
        <w:fldChar w:fldCharType="end"/>
      </w:r>
    </w:p>
    <w:p>
      <w:pPr>
        <w:pStyle w:val="TOC8"/>
        <w:rPr>
          <w:rFonts w:asciiTheme="minorHAnsi" w:eastAsiaTheme="minorEastAsia" w:hAnsiTheme="minorHAnsi" w:cstheme="minorBidi"/>
          <w:szCs w:val="22"/>
        </w:rPr>
      </w:pPr>
      <w:r>
        <w:t>40.</w:t>
      </w:r>
      <w:r>
        <w:tab/>
        <w:t>Extinguishment of camp fires, barbeques and portable stoves</w:t>
      </w:r>
      <w:r>
        <w:tab/>
      </w:r>
      <w:r>
        <w:fldChar w:fldCharType="begin"/>
      </w:r>
      <w:r>
        <w:instrText xml:space="preserve"> PAGEREF _Toc423343082 \h </w:instrText>
      </w:r>
      <w:r>
        <w:fldChar w:fldCharType="separate"/>
      </w:r>
      <w:r>
        <w:t>25</w:t>
      </w:r>
      <w:r>
        <w:fldChar w:fldCharType="end"/>
      </w:r>
    </w:p>
    <w:p>
      <w:pPr>
        <w:pStyle w:val="TOC8"/>
        <w:rPr>
          <w:rFonts w:asciiTheme="minorHAnsi" w:eastAsiaTheme="minorEastAsia" w:hAnsiTheme="minorHAnsi" w:cstheme="minorBidi"/>
          <w:szCs w:val="22"/>
        </w:rPr>
      </w:pPr>
      <w:r>
        <w:t>40A.</w:t>
      </w:r>
      <w:r>
        <w:tab/>
        <w:t>Unlawful lighting of fires — only one conviction</w:t>
      </w:r>
      <w:r>
        <w:tab/>
      </w:r>
      <w:r>
        <w:fldChar w:fldCharType="begin"/>
      </w:r>
      <w:r>
        <w:instrText xml:space="preserve"> PAGEREF _Toc423343083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3 — Access to CALM land</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General</w:t>
      </w:r>
    </w:p>
    <w:p>
      <w:pPr>
        <w:pStyle w:val="TOC8"/>
        <w:rPr>
          <w:rFonts w:asciiTheme="minorHAnsi" w:eastAsiaTheme="minorEastAsia" w:hAnsiTheme="minorHAnsi" w:cstheme="minorBidi"/>
          <w:szCs w:val="22"/>
        </w:rPr>
      </w:pPr>
      <w:r>
        <w:t>41</w:t>
      </w:r>
      <w:r>
        <w:rPr>
          <w:snapToGrid w:val="0"/>
        </w:rPr>
        <w:t>.</w:t>
      </w:r>
      <w:r>
        <w:rPr>
          <w:snapToGrid w:val="0"/>
        </w:rPr>
        <w:tab/>
        <w:t>Access to certain classified areas</w:t>
      </w:r>
      <w:r>
        <w:tab/>
      </w:r>
      <w:r>
        <w:fldChar w:fldCharType="begin"/>
      </w:r>
      <w:r>
        <w:instrText xml:space="preserve"> PAGEREF _Toc423343086 \h </w:instrText>
      </w:r>
      <w:r>
        <w:fldChar w:fldCharType="separate"/>
      </w:r>
      <w:r>
        <w:t>27</w:t>
      </w:r>
      <w:r>
        <w:fldChar w:fldCharType="end"/>
      </w:r>
    </w:p>
    <w:p>
      <w:pPr>
        <w:pStyle w:val="TOC8"/>
        <w:rPr>
          <w:rFonts w:asciiTheme="minorHAnsi" w:eastAsiaTheme="minorEastAsia" w:hAnsiTheme="minorHAnsi" w:cstheme="minorBidi"/>
          <w:szCs w:val="22"/>
        </w:rPr>
      </w:pPr>
      <w:r>
        <w:t>42.</w:t>
      </w:r>
      <w:r>
        <w:tab/>
        <w:t>Access to limited access areas</w:t>
      </w:r>
      <w:r>
        <w:tab/>
      </w:r>
      <w:r>
        <w:fldChar w:fldCharType="begin"/>
      </w:r>
      <w:r>
        <w:instrText xml:space="preserve"> PAGEREF _Toc423343087 \h </w:instrText>
      </w:r>
      <w:r>
        <w:fldChar w:fldCharType="separate"/>
      </w:r>
      <w:r>
        <w:t>27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Access to wilderness areas (Act s. 62(1)(a))</w:t>
      </w:r>
      <w:r>
        <w:tab/>
      </w:r>
      <w:r>
        <w:fldChar w:fldCharType="begin"/>
      </w:r>
      <w:r>
        <w:instrText xml:space="preserve"> PAGEREF _Toc423343088 \h </w:instrText>
      </w:r>
      <w:r>
        <w:fldChar w:fldCharType="separate"/>
      </w:r>
      <w:r>
        <w:t>27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Direction to close area</w:t>
      </w:r>
      <w:r>
        <w:tab/>
      </w:r>
      <w:r>
        <w:fldChar w:fldCharType="begin"/>
      </w:r>
      <w:r>
        <w:instrText xml:space="preserve"> PAGEREF _Toc423343089 \h </w:instrText>
      </w:r>
      <w:r>
        <w:fldChar w:fldCharType="separate"/>
      </w:r>
      <w:r>
        <w:t>28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Closed area</w:t>
      </w:r>
      <w:r>
        <w:tab/>
      </w:r>
      <w:r>
        <w:fldChar w:fldCharType="begin"/>
      </w:r>
      <w:r>
        <w:instrText xml:space="preserve"> PAGEREF _Toc423343090 \h </w:instrText>
      </w:r>
      <w:r>
        <w:fldChar w:fldCharType="separate"/>
      </w:r>
      <w:r>
        <w:t>28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Offences relating to closed areas</w:t>
      </w:r>
      <w:r>
        <w:tab/>
      </w:r>
      <w:r>
        <w:fldChar w:fldCharType="begin"/>
      </w:r>
      <w:r>
        <w:instrText xml:space="preserve"> PAGEREF _Toc423343091 \h </w:instrText>
      </w:r>
      <w:r>
        <w:fldChar w:fldCharType="separate"/>
      </w:r>
      <w:r>
        <w:t>29</w:t>
      </w:r>
      <w:r>
        <w:fldChar w:fldCharType="end"/>
      </w:r>
    </w:p>
    <w:p>
      <w:pPr>
        <w:pStyle w:val="TOC8"/>
        <w:rPr>
          <w:rFonts w:asciiTheme="minorHAnsi" w:eastAsiaTheme="minorEastAsia" w:hAnsiTheme="minorHAnsi" w:cstheme="minorBidi"/>
          <w:szCs w:val="22"/>
        </w:rPr>
      </w:pPr>
      <w:r>
        <w:t>47.</w:t>
      </w:r>
      <w:r>
        <w:tab/>
        <w:t>Entering CALM land via gates etc.</w:t>
      </w:r>
      <w:r>
        <w:tab/>
      </w:r>
      <w:r>
        <w:fldChar w:fldCharType="begin"/>
      </w:r>
      <w:r>
        <w:instrText xml:space="preserve"> PAGEREF _Toc423343092 \h </w:instrText>
      </w:r>
      <w:r>
        <w:fldChar w:fldCharType="separate"/>
      </w:r>
      <w:r>
        <w:t>30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 xml:space="preserve">Areas set aside </w:t>
      </w:r>
      <w:r>
        <w:t>for purposes of CEO</w:t>
      </w:r>
      <w:r>
        <w:tab/>
      </w:r>
      <w:r>
        <w:fldChar w:fldCharType="begin"/>
      </w:r>
      <w:r>
        <w:instrText xml:space="preserve"> PAGEREF _Toc423343093 \h </w:instrText>
      </w:r>
      <w:r>
        <w:fldChar w:fldCharType="separate"/>
      </w:r>
      <w:r>
        <w:t>30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Caves</w:t>
      </w:r>
      <w:r>
        <w:tab/>
      </w:r>
      <w:r>
        <w:fldChar w:fldCharType="begin"/>
      </w:r>
      <w:r>
        <w:instrText xml:space="preserve"> PAGEREF _Toc423343094 \h </w:instrText>
      </w:r>
      <w:r>
        <w:fldChar w:fldCharType="separate"/>
      </w:r>
      <w:r>
        <w:t>31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Cross country and other events</w:t>
      </w:r>
      <w:r>
        <w:tab/>
      </w:r>
      <w:r>
        <w:fldChar w:fldCharType="begin"/>
      </w:r>
      <w:r>
        <w:instrText xml:space="preserve"> PAGEREF _Toc423343095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Vehicles</w:t>
      </w:r>
    </w:p>
    <w:p>
      <w:pPr>
        <w:pStyle w:val="TOC8"/>
        <w:rPr>
          <w:rFonts w:asciiTheme="minorHAnsi" w:eastAsiaTheme="minorEastAsia" w:hAnsiTheme="minorHAnsi" w:cstheme="minorBidi"/>
          <w:szCs w:val="22"/>
        </w:rPr>
      </w:pPr>
      <w:r>
        <w:t>51</w:t>
      </w:r>
      <w:r>
        <w:rPr>
          <w:snapToGrid w:val="0"/>
        </w:rPr>
        <w:t>.</w:t>
      </w:r>
      <w:r>
        <w:rPr>
          <w:snapToGrid w:val="0"/>
        </w:rPr>
        <w:tab/>
        <w:t>Vehicles</w:t>
      </w:r>
      <w:r>
        <w:tab/>
      </w:r>
      <w:r>
        <w:fldChar w:fldCharType="begin"/>
      </w:r>
      <w:r>
        <w:instrText xml:space="preserve"> PAGEREF _Toc423343097 \h </w:instrText>
      </w:r>
      <w:r>
        <w:fldChar w:fldCharType="separate"/>
      </w:r>
      <w:r>
        <w:t>32</w:t>
      </w:r>
      <w:r>
        <w:fldChar w:fldCharType="end"/>
      </w:r>
    </w:p>
    <w:p>
      <w:pPr>
        <w:pStyle w:val="TOC8"/>
        <w:rPr>
          <w:rFonts w:asciiTheme="minorHAnsi" w:eastAsiaTheme="minorEastAsia" w:hAnsiTheme="minorHAnsi" w:cstheme="minorBidi"/>
          <w:szCs w:val="22"/>
        </w:rPr>
      </w:pPr>
      <w:r>
        <w:t>51A.</w:t>
      </w:r>
      <w:r>
        <w:tab/>
        <w:t>Bicycles</w:t>
      </w:r>
      <w:r>
        <w:tab/>
      </w:r>
      <w:r>
        <w:fldChar w:fldCharType="begin"/>
      </w:r>
      <w:r>
        <w:instrText xml:space="preserve"> PAGEREF _Toc423343098 \h </w:instrText>
      </w:r>
      <w:r>
        <w:fldChar w:fldCharType="separate"/>
      </w:r>
      <w:r>
        <w:t>32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Off</w:t>
      </w:r>
      <w:r>
        <w:rPr>
          <w:snapToGrid w:val="0"/>
        </w:rPr>
        <w:noBreakHyphen/>
        <w:t>road vehicles</w:t>
      </w:r>
      <w:r>
        <w:tab/>
      </w:r>
      <w:r>
        <w:fldChar w:fldCharType="begin"/>
      </w:r>
      <w:r>
        <w:instrText xml:space="preserve"> PAGEREF _Toc423343099 \h </w:instrText>
      </w:r>
      <w:r>
        <w:fldChar w:fldCharType="separate"/>
      </w:r>
      <w:r>
        <w:t>33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Car rallies etc.</w:t>
      </w:r>
      <w:r>
        <w:tab/>
      </w:r>
      <w:r>
        <w:fldChar w:fldCharType="begin"/>
      </w:r>
      <w:r>
        <w:instrText xml:space="preserve"> PAGEREF _Toc423343100 \h </w:instrText>
      </w:r>
      <w:r>
        <w:fldChar w:fldCharType="separate"/>
      </w:r>
      <w:r>
        <w:t>34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Traffic laws apply</w:t>
      </w:r>
      <w:r>
        <w:tab/>
      </w:r>
      <w:r>
        <w:fldChar w:fldCharType="begin"/>
      </w:r>
      <w:r>
        <w:instrText xml:space="preserve"> PAGEREF _Toc423343101 \h </w:instrText>
      </w:r>
      <w:r>
        <w:fldChar w:fldCharType="separate"/>
      </w:r>
      <w:r>
        <w:t>34</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Driver to obey reasonable direction</w:t>
      </w:r>
      <w:r>
        <w:tab/>
      </w:r>
      <w:r>
        <w:fldChar w:fldCharType="begin"/>
      </w:r>
      <w:r>
        <w:instrText xml:space="preserve"> PAGEREF _Toc423343102 \h </w:instrText>
      </w:r>
      <w:r>
        <w:fldChar w:fldCharType="separate"/>
      </w:r>
      <w:r>
        <w:t>34</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Signs to be obeyed</w:t>
      </w:r>
      <w:r>
        <w:tab/>
      </w:r>
      <w:r>
        <w:fldChar w:fldCharType="begin"/>
      </w:r>
      <w:r>
        <w:instrText xml:space="preserve"> PAGEREF _Toc423343103 \h </w:instrText>
      </w:r>
      <w:r>
        <w:fldChar w:fldCharType="separate"/>
      </w:r>
      <w:r>
        <w:t>35</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Obstructing other vehicles etc.</w:t>
      </w:r>
      <w:r>
        <w:tab/>
      </w:r>
      <w:r>
        <w:fldChar w:fldCharType="begin"/>
      </w:r>
      <w:r>
        <w:instrText xml:space="preserve"> PAGEREF _Toc423343104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Vessels</w:t>
      </w:r>
    </w:p>
    <w:p>
      <w:pPr>
        <w:pStyle w:val="TOC8"/>
        <w:rPr>
          <w:rFonts w:asciiTheme="minorHAnsi" w:eastAsiaTheme="minorEastAsia" w:hAnsiTheme="minorHAnsi" w:cstheme="minorBidi"/>
          <w:szCs w:val="22"/>
        </w:rPr>
      </w:pPr>
      <w:r>
        <w:t>58</w:t>
      </w:r>
      <w:r>
        <w:rPr>
          <w:snapToGrid w:val="0"/>
        </w:rPr>
        <w:t>.</w:t>
      </w:r>
      <w:r>
        <w:rPr>
          <w:snapToGrid w:val="0"/>
        </w:rPr>
        <w:tab/>
        <w:t>Races</w:t>
      </w:r>
      <w:r>
        <w:tab/>
      </w:r>
      <w:r>
        <w:fldChar w:fldCharType="begin"/>
      </w:r>
      <w:r>
        <w:instrText xml:space="preserve"> PAGEREF _Toc423343106 \h </w:instrText>
      </w:r>
      <w:r>
        <w:fldChar w:fldCharType="separate"/>
      </w:r>
      <w:r>
        <w:t>36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Moorings</w:t>
      </w:r>
      <w:r>
        <w:tab/>
      </w:r>
      <w:r>
        <w:fldChar w:fldCharType="begin"/>
      </w:r>
      <w:r>
        <w:instrText xml:space="preserve"> PAGEREF _Toc423343107 \h </w:instrText>
      </w:r>
      <w:r>
        <w:fldChar w:fldCharType="separate"/>
      </w:r>
      <w:r>
        <w:t>37</w:t>
      </w:r>
      <w:r>
        <w:fldChar w:fldCharType="end"/>
      </w:r>
    </w:p>
    <w:p>
      <w:pPr>
        <w:pStyle w:val="TOC8"/>
        <w:rPr>
          <w:rFonts w:asciiTheme="minorHAnsi" w:eastAsiaTheme="minorEastAsia" w:hAnsiTheme="minorHAnsi" w:cstheme="minorBidi"/>
          <w:szCs w:val="22"/>
        </w:rPr>
      </w:pPr>
      <w:r>
        <w:t>60A.</w:t>
      </w:r>
      <w:r>
        <w:tab/>
        <w:t>Public moorings</w:t>
      </w:r>
      <w:r>
        <w:tab/>
      </w:r>
      <w:r>
        <w:fldChar w:fldCharType="begin"/>
      </w:r>
      <w:r>
        <w:instrText xml:space="preserve"> PAGEREF _Toc423343108 \h </w:instrText>
      </w:r>
      <w:r>
        <w:fldChar w:fldCharType="separate"/>
      </w:r>
      <w:r>
        <w:t>38</w:t>
      </w:r>
      <w:r>
        <w:fldChar w:fldCharType="end"/>
      </w:r>
    </w:p>
    <w:p>
      <w:pPr>
        <w:pStyle w:val="TOC8"/>
        <w:rPr>
          <w:rFonts w:asciiTheme="minorHAnsi" w:eastAsiaTheme="minorEastAsia" w:hAnsiTheme="minorHAnsi" w:cstheme="minorBidi"/>
          <w:szCs w:val="22"/>
        </w:rPr>
      </w:pPr>
      <w:r>
        <w:t>60B.</w:t>
      </w:r>
      <w:r>
        <w:tab/>
        <w:t>Temporary mooring areas</w:t>
      </w:r>
      <w:r>
        <w:tab/>
      </w:r>
      <w:r>
        <w:fldChar w:fldCharType="begin"/>
      </w:r>
      <w:r>
        <w:instrText xml:space="preserve"> PAGEREF _Toc423343109 \h </w:instrText>
      </w:r>
      <w:r>
        <w:fldChar w:fldCharType="separate"/>
      </w:r>
      <w:r>
        <w:t>38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Anchoring vessels</w:t>
      </w:r>
      <w:r>
        <w:tab/>
      </w:r>
      <w:r>
        <w:fldChar w:fldCharType="begin"/>
      </w:r>
      <w:r>
        <w:instrText xml:space="preserve"> PAGEREF _Toc423343110 \h </w:instrText>
      </w:r>
      <w:r>
        <w:fldChar w:fldCharType="separate"/>
      </w:r>
      <w:r>
        <w:t>38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Operation of certain vessel in restricted area</w:t>
      </w:r>
      <w:r>
        <w:tab/>
      </w:r>
      <w:r>
        <w:fldChar w:fldCharType="begin"/>
      </w:r>
      <w:r>
        <w:instrText xml:space="preserve"> PAGEREF _Toc423343111 \h </w:instrText>
      </w:r>
      <w:r>
        <w:fldChar w:fldCharType="separate"/>
      </w:r>
      <w:r>
        <w:t>39</w:t>
      </w:r>
      <w:r>
        <w:fldChar w:fldCharType="end"/>
      </w:r>
    </w:p>
    <w:p>
      <w:pPr>
        <w:pStyle w:val="TOC8"/>
        <w:rPr>
          <w:rFonts w:asciiTheme="minorHAnsi" w:eastAsiaTheme="minorEastAsia" w:hAnsiTheme="minorHAnsi" w:cstheme="minorBidi"/>
          <w:szCs w:val="22"/>
        </w:rPr>
      </w:pPr>
      <w:r>
        <w:t>61A.</w:t>
      </w:r>
      <w:r>
        <w:tab/>
        <w:t>Operation of vessels in nature reserves</w:t>
      </w:r>
      <w:r>
        <w:tab/>
      </w:r>
      <w:r>
        <w:fldChar w:fldCharType="begin"/>
      </w:r>
      <w:r>
        <w:instrText xml:space="preserve"> PAGEREF _Toc423343112 \h </w:instrText>
      </w:r>
      <w:r>
        <w:fldChar w:fldCharType="separate"/>
      </w:r>
      <w:r>
        <w:t>39</w:t>
      </w:r>
      <w:r>
        <w:fldChar w:fldCharType="end"/>
      </w:r>
    </w:p>
    <w:p>
      <w:pPr>
        <w:pStyle w:val="TOC8"/>
        <w:rPr>
          <w:rFonts w:asciiTheme="minorHAnsi" w:eastAsiaTheme="minorEastAsia" w:hAnsiTheme="minorHAnsi" w:cstheme="minorBidi"/>
          <w:szCs w:val="22"/>
        </w:rPr>
      </w:pPr>
      <w:r>
        <w:t>61B.</w:t>
      </w:r>
      <w:r>
        <w:tab/>
        <w:t>CEO may limit speed of vessels</w:t>
      </w:r>
      <w:r>
        <w:tab/>
      </w:r>
      <w:r>
        <w:fldChar w:fldCharType="begin"/>
      </w:r>
      <w:r>
        <w:instrText xml:space="preserve"> PAGEREF _Toc423343113 \h </w:instrText>
      </w:r>
      <w:r>
        <w:fldChar w:fldCharType="separate"/>
      </w:r>
      <w:r>
        <w:t>39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Safe navigation of vessels</w:t>
      </w:r>
      <w:r>
        <w:tab/>
      </w:r>
      <w:r>
        <w:fldChar w:fldCharType="begin"/>
      </w:r>
      <w:r>
        <w:instrText xml:space="preserve"> PAGEREF _Toc423343114 \h </w:instrText>
      </w:r>
      <w:r>
        <w:fldChar w:fldCharType="separate"/>
      </w:r>
      <w:r>
        <w:t>40</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Owner to obey reasonable direction</w:t>
      </w:r>
      <w:r>
        <w:tab/>
      </w:r>
      <w:r>
        <w:fldChar w:fldCharType="begin"/>
      </w:r>
      <w:r>
        <w:instrText xml:space="preserve"> PAGEREF _Toc423343115 \h </w:instrText>
      </w:r>
      <w:r>
        <w:fldChar w:fldCharType="separate"/>
      </w:r>
      <w:r>
        <w:t>41</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Launching, beaching and retrieving</w:t>
      </w:r>
      <w:r>
        <w:tab/>
      </w:r>
      <w:r>
        <w:fldChar w:fldCharType="begin"/>
      </w:r>
      <w:r>
        <w:instrText xml:space="preserve"> PAGEREF _Toc423343116 \h </w:instrText>
      </w:r>
      <w:r>
        <w:fldChar w:fldCharType="separate"/>
      </w:r>
      <w:r>
        <w:t>41</w:t>
      </w:r>
      <w:r>
        <w:fldChar w:fldCharType="end"/>
      </w:r>
    </w:p>
    <w:p>
      <w:pPr>
        <w:pStyle w:val="TOC8"/>
        <w:rPr>
          <w:rFonts w:asciiTheme="minorHAnsi" w:eastAsiaTheme="minorEastAsia" w:hAnsiTheme="minorHAnsi" w:cstheme="minorBidi"/>
          <w:szCs w:val="22"/>
        </w:rPr>
      </w:pPr>
      <w:r>
        <w:t>65A.</w:t>
      </w:r>
      <w:r>
        <w:tab/>
        <w:t>Unlawful use of vessel storage facility</w:t>
      </w:r>
      <w:r>
        <w:tab/>
      </w:r>
      <w:r>
        <w:fldChar w:fldCharType="begin"/>
      </w:r>
      <w:r>
        <w:instrText xml:space="preserve"> PAGEREF _Toc423343117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Aircraft</w:t>
      </w:r>
    </w:p>
    <w:p>
      <w:pPr>
        <w:pStyle w:val="TOC8"/>
        <w:rPr>
          <w:rFonts w:asciiTheme="minorHAnsi" w:eastAsiaTheme="minorEastAsia" w:hAnsiTheme="minorHAnsi" w:cstheme="minorBidi"/>
          <w:szCs w:val="22"/>
        </w:rPr>
      </w:pPr>
      <w:r>
        <w:t>65</w:t>
      </w:r>
      <w:r>
        <w:rPr>
          <w:snapToGrid w:val="0"/>
        </w:rPr>
        <w:t>.</w:t>
      </w:r>
      <w:r>
        <w:rPr>
          <w:snapToGrid w:val="0"/>
        </w:rPr>
        <w:tab/>
        <w:t>Launching or landing of aircraft</w:t>
      </w:r>
      <w:r>
        <w:tab/>
      </w:r>
      <w:r>
        <w:fldChar w:fldCharType="begin"/>
      </w:r>
      <w:r>
        <w:instrText xml:space="preserve"> PAGEREF _Toc423343119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4 — Camping</w:t>
      </w:r>
    </w:p>
    <w:p>
      <w:pPr>
        <w:pStyle w:val="TOC8"/>
        <w:rPr>
          <w:rFonts w:asciiTheme="minorHAnsi" w:eastAsiaTheme="minorEastAsia" w:hAnsiTheme="minorHAnsi" w:cstheme="minorBidi"/>
          <w:szCs w:val="22"/>
        </w:rPr>
      </w:pPr>
      <w:r>
        <w:t>66</w:t>
      </w:r>
      <w:r>
        <w:rPr>
          <w:snapToGrid w:val="0"/>
        </w:rPr>
        <w:t>.</w:t>
      </w:r>
      <w:r>
        <w:rPr>
          <w:snapToGrid w:val="0"/>
        </w:rPr>
        <w:tab/>
        <w:t>Camping controlled</w:t>
      </w:r>
      <w:r>
        <w:tab/>
      </w:r>
      <w:r>
        <w:fldChar w:fldCharType="begin"/>
      </w:r>
      <w:r>
        <w:instrText xml:space="preserve"> PAGEREF _Toc423343121 \h </w:instrText>
      </w:r>
      <w:r>
        <w:fldChar w:fldCharType="separate"/>
      </w:r>
      <w:r>
        <w:t>44</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Direction to vacate camp</w:t>
      </w:r>
      <w:r>
        <w:tab/>
      </w:r>
      <w:r>
        <w:fldChar w:fldCharType="begin"/>
      </w:r>
      <w:r>
        <w:instrText xml:space="preserve"> PAGEREF _Toc423343122 \h </w:instrText>
      </w:r>
      <w:r>
        <w:fldChar w:fldCharType="separate"/>
      </w:r>
      <w:r>
        <w:t>44</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Unauthorised persons not to enter camping unit</w:t>
      </w:r>
      <w:r>
        <w:tab/>
      </w:r>
      <w:r>
        <w:fldChar w:fldCharType="begin"/>
      </w:r>
      <w:r>
        <w:instrText xml:space="preserve"> PAGEREF _Toc423343123 \h </w:instrText>
      </w:r>
      <w:r>
        <w:fldChar w:fldCharType="separate"/>
      </w:r>
      <w:r>
        <w:t>45</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Construction and positioning of camping units</w:t>
      </w:r>
      <w:r>
        <w:tab/>
      </w:r>
      <w:r>
        <w:fldChar w:fldCharType="begin"/>
      </w:r>
      <w:r>
        <w:instrText xml:space="preserve"> PAGEREF _Toc423343124 \h </w:instrText>
      </w:r>
      <w:r>
        <w:fldChar w:fldCharType="separate"/>
      </w:r>
      <w:r>
        <w:t>45</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Power generating devices</w:t>
      </w:r>
      <w:r>
        <w:tab/>
      </w:r>
      <w:r>
        <w:fldChar w:fldCharType="begin"/>
      </w:r>
      <w:r>
        <w:instrText xml:space="preserve"> PAGEREF _Toc423343125 \h </w:instrText>
      </w:r>
      <w:r>
        <w:fldChar w:fldCharType="separate"/>
      </w:r>
      <w:r>
        <w:t>46</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Firewood</w:t>
      </w:r>
      <w:r>
        <w:tab/>
      </w:r>
      <w:r>
        <w:fldChar w:fldCharType="begin"/>
      </w:r>
      <w:r>
        <w:instrText xml:space="preserve"> PAGEREF _Toc423343126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5 — Offensive and dangerous behaviour</w:t>
      </w:r>
    </w:p>
    <w:p>
      <w:pPr>
        <w:pStyle w:val="TOC8"/>
        <w:rPr>
          <w:rFonts w:asciiTheme="minorHAnsi" w:eastAsiaTheme="minorEastAsia" w:hAnsiTheme="minorHAnsi" w:cstheme="minorBidi"/>
          <w:szCs w:val="22"/>
        </w:rPr>
      </w:pPr>
      <w:r>
        <w:t>72</w:t>
      </w:r>
      <w:r>
        <w:rPr>
          <w:snapToGrid w:val="0"/>
        </w:rPr>
        <w:t>.</w:t>
      </w:r>
      <w:r>
        <w:rPr>
          <w:snapToGrid w:val="0"/>
        </w:rPr>
        <w:tab/>
        <w:t>Authorised officer may direct person to stop activity</w:t>
      </w:r>
      <w:r>
        <w:tab/>
      </w:r>
      <w:r>
        <w:fldChar w:fldCharType="begin"/>
      </w:r>
      <w:r>
        <w:instrText xml:space="preserve"> PAGEREF _Toc423343128 \h </w:instrText>
      </w:r>
      <w:r>
        <w:fldChar w:fldCharType="separate"/>
      </w:r>
      <w:r>
        <w:t>48</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Conduct generally</w:t>
      </w:r>
      <w:r>
        <w:tab/>
      </w:r>
      <w:r>
        <w:fldChar w:fldCharType="begin"/>
      </w:r>
      <w:r>
        <w:instrText xml:space="preserve"> PAGEREF _Toc423343129 \h </w:instrText>
      </w:r>
      <w:r>
        <w:fldChar w:fldCharType="separate"/>
      </w:r>
      <w:r>
        <w:t>48</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Offensive noise</w:t>
      </w:r>
      <w:r>
        <w:tab/>
      </w:r>
      <w:r>
        <w:fldChar w:fldCharType="begin"/>
      </w:r>
      <w:r>
        <w:instrText xml:space="preserve"> PAGEREF _Toc423343130 \h </w:instrText>
      </w:r>
      <w:r>
        <w:fldChar w:fldCharType="separate"/>
      </w:r>
      <w:r>
        <w:t>49</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Alcohol and drugs</w:t>
      </w:r>
      <w:r>
        <w:tab/>
      </w:r>
      <w:r>
        <w:fldChar w:fldCharType="begin"/>
      </w:r>
      <w:r>
        <w:instrText xml:space="preserve"> PAGEREF _Toc423343131 \h </w:instrText>
      </w:r>
      <w:r>
        <w:fldChar w:fldCharType="separate"/>
      </w:r>
      <w:r>
        <w:t>49</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Removal of CALM property</w:t>
      </w:r>
      <w:r>
        <w:tab/>
      </w:r>
      <w:r>
        <w:fldChar w:fldCharType="begin"/>
      </w:r>
      <w:r>
        <w:instrText xml:space="preserve"> PAGEREF _Toc423343132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6 — Removal and forfeiture of unauthorised property on CALM land</w:t>
      </w:r>
    </w:p>
    <w:p>
      <w:pPr>
        <w:pStyle w:val="TOC8"/>
        <w:rPr>
          <w:rFonts w:asciiTheme="minorHAnsi" w:eastAsiaTheme="minorEastAsia" w:hAnsiTheme="minorHAnsi" w:cstheme="minorBidi"/>
          <w:szCs w:val="22"/>
        </w:rPr>
      </w:pPr>
      <w:r>
        <w:t>77.</w:t>
      </w:r>
      <w:r>
        <w:tab/>
        <w:t>Term used: property</w:t>
      </w:r>
      <w:r>
        <w:tab/>
      </w:r>
      <w:r>
        <w:fldChar w:fldCharType="begin"/>
      </w:r>
      <w:r>
        <w:instrText xml:space="preserve"> PAGEREF _Toc423343134 \h </w:instrText>
      </w:r>
      <w:r>
        <w:fldChar w:fldCharType="separate"/>
      </w:r>
      <w:r>
        <w:t>51</w:t>
      </w:r>
      <w:r>
        <w:fldChar w:fldCharType="end"/>
      </w:r>
    </w:p>
    <w:p>
      <w:pPr>
        <w:pStyle w:val="TOC8"/>
        <w:rPr>
          <w:rFonts w:asciiTheme="minorHAnsi" w:eastAsiaTheme="minorEastAsia" w:hAnsiTheme="minorHAnsi" w:cstheme="minorBidi"/>
          <w:szCs w:val="22"/>
        </w:rPr>
      </w:pPr>
      <w:r>
        <w:t>78.</w:t>
      </w:r>
      <w:r>
        <w:tab/>
        <w:t>Authorised officers may seize and remove unauthorised property</w:t>
      </w:r>
      <w:r>
        <w:tab/>
      </w:r>
      <w:r>
        <w:fldChar w:fldCharType="begin"/>
      </w:r>
      <w:r>
        <w:instrText xml:space="preserve"> PAGEREF _Toc423343135 \h </w:instrText>
      </w:r>
      <w:r>
        <w:fldChar w:fldCharType="separate"/>
      </w:r>
      <w:r>
        <w:t>51</w:t>
      </w:r>
      <w:r>
        <w:fldChar w:fldCharType="end"/>
      </w:r>
    </w:p>
    <w:p>
      <w:pPr>
        <w:pStyle w:val="TOC8"/>
        <w:rPr>
          <w:rFonts w:asciiTheme="minorHAnsi" w:eastAsiaTheme="minorEastAsia" w:hAnsiTheme="minorHAnsi" w:cstheme="minorBidi"/>
          <w:szCs w:val="22"/>
        </w:rPr>
      </w:pPr>
      <w:r>
        <w:t>79.</w:t>
      </w:r>
      <w:r>
        <w:tab/>
        <w:t>Seized property may be claimed</w:t>
      </w:r>
      <w:r>
        <w:tab/>
      </w:r>
      <w:r>
        <w:fldChar w:fldCharType="begin"/>
      </w:r>
      <w:r>
        <w:instrText xml:space="preserve"> PAGEREF _Toc423343136 \h </w:instrText>
      </w:r>
      <w:r>
        <w:fldChar w:fldCharType="separate"/>
      </w:r>
      <w:r>
        <w:t>52</w:t>
      </w:r>
      <w:r>
        <w:fldChar w:fldCharType="end"/>
      </w:r>
    </w:p>
    <w:p>
      <w:pPr>
        <w:pStyle w:val="TOC8"/>
        <w:rPr>
          <w:rFonts w:asciiTheme="minorHAnsi" w:eastAsiaTheme="minorEastAsia" w:hAnsiTheme="minorHAnsi" w:cstheme="minorBidi"/>
          <w:szCs w:val="22"/>
        </w:rPr>
      </w:pPr>
      <w:r>
        <w:t>80.</w:t>
      </w:r>
      <w:r>
        <w:tab/>
        <w:t>Unclaimed property may be forfeited</w:t>
      </w:r>
      <w:r>
        <w:tab/>
      </w:r>
      <w:r>
        <w:fldChar w:fldCharType="begin"/>
      </w:r>
      <w:r>
        <w:instrText xml:space="preserve"> PAGEREF _Toc423343137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6A — Management plans</w:t>
      </w:r>
    </w:p>
    <w:p>
      <w:pPr>
        <w:pStyle w:val="TOC8"/>
        <w:rPr>
          <w:rFonts w:asciiTheme="minorHAnsi" w:eastAsiaTheme="minorEastAsia" w:hAnsiTheme="minorHAnsi" w:cstheme="minorBidi"/>
          <w:szCs w:val="22"/>
        </w:rPr>
      </w:pPr>
      <w:r>
        <w:t>81.</w:t>
      </w:r>
      <w:r>
        <w:tab/>
        <w:t>Purposes of reserves (Act s. 55(1a))</w:t>
      </w:r>
      <w:r>
        <w:tab/>
      </w:r>
      <w:r>
        <w:fldChar w:fldCharType="begin"/>
      </w:r>
      <w:r>
        <w:instrText xml:space="preserve"> PAGEREF _Toc423343139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7 — Licences</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General</w:t>
      </w:r>
    </w:p>
    <w:p>
      <w:pPr>
        <w:pStyle w:val="TOC8"/>
        <w:rPr>
          <w:rFonts w:asciiTheme="minorHAnsi" w:eastAsiaTheme="minorEastAsia" w:hAnsiTheme="minorHAnsi" w:cstheme="minorBidi"/>
          <w:szCs w:val="22"/>
        </w:rPr>
      </w:pPr>
      <w:r>
        <w:t>82</w:t>
      </w:r>
      <w:r>
        <w:rPr>
          <w:snapToGrid w:val="0"/>
        </w:rPr>
        <w:t>.</w:t>
      </w:r>
      <w:r>
        <w:rPr>
          <w:snapToGrid w:val="0"/>
        </w:rPr>
        <w:tab/>
        <w:t>Term used: licence</w:t>
      </w:r>
      <w:r>
        <w:tab/>
      </w:r>
      <w:r>
        <w:fldChar w:fldCharType="begin"/>
      </w:r>
      <w:r>
        <w:instrText xml:space="preserve"> PAGEREF _Toc423343142 \h </w:instrText>
      </w:r>
      <w:r>
        <w:fldChar w:fldCharType="separate"/>
      </w:r>
      <w:r>
        <w:t>55</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Application for licence</w:t>
      </w:r>
      <w:r>
        <w:tab/>
      </w:r>
      <w:r>
        <w:fldChar w:fldCharType="begin"/>
      </w:r>
      <w:r>
        <w:instrText xml:space="preserve"> PAGEREF _Toc423343143 \h </w:instrText>
      </w:r>
      <w:r>
        <w:fldChar w:fldCharType="separate"/>
      </w:r>
      <w:r>
        <w:t>55</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Restriction on exercise of powers</w:t>
      </w:r>
      <w:r>
        <w:tab/>
      </w:r>
      <w:r>
        <w:fldChar w:fldCharType="begin"/>
      </w:r>
      <w:r>
        <w:instrText xml:space="preserve"> PAGEREF _Toc423343144 \h </w:instrText>
      </w:r>
      <w:r>
        <w:fldChar w:fldCharType="separate"/>
      </w:r>
      <w:r>
        <w:t>55</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Refusal to renew licence</w:t>
      </w:r>
      <w:r>
        <w:tab/>
      </w:r>
      <w:r>
        <w:fldChar w:fldCharType="begin"/>
      </w:r>
      <w:r>
        <w:instrText xml:space="preserve"> PAGEREF _Toc423343145 \h </w:instrText>
      </w:r>
      <w:r>
        <w:fldChar w:fldCharType="separate"/>
      </w:r>
      <w:r>
        <w:t>57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 xml:space="preserve">Cancellation or suspension of licence by </w:t>
      </w:r>
      <w:r>
        <w:t>CEO</w:t>
      </w:r>
      <w:r>
        <w:tab/>
      </w:r>
      <w:r>
        <w:fldChar w:fldCharType="begin"/>
      </w:r>
      <w:r>
        <w:instrText xml:space="preserve"> PAGEREF _Toc423343146 \h </w:instrText>
      </w:r>
      <w:r>
        <w:fldChar w:fldCharType="separate"/>
      </w:r>
      <w:r>
        <w:t>57</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Notice of proposed cancellation or suspension</w:t>
      </w:r>
      <w:r>
        <w:tab/>
      </w:r>
      <w:r>
        <w:fldChar w:fldCharType="begin"/>
      </w:r>
      <w:r>
        <w:instrText xml:space="preserve"> PAGEREF _Toc423343147 \h </w:instrText>
      </w:r>
      <w:r>
        <w:fldChar w:fldCharType="separate"/>
      </w:r>
      <w:r>
        <w:t>58</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Return of licence</w:t>
      </w:r>
      <w:r>
        <w:tab/>
      </w:r>
      <w:r>
        <w:fldChar w:fldCharType="begin"/>
      </w:r>
      <w:r>
        <w:instrText xml:space="preserve"> PAGEREF _Toc423343148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Scientific purposes licences</w:t>
      </w:r>
    </w:p>
    <w:p>
      <w:pPr>
        <w:pStyle w:val="TOC8"/>
        <w:rPr>
          <w:rFonts w:asciiTheme="minorHAnsi" w:eastAsiaTheme="minorEastAsia" w:hAnsiTheme="minorHAnsi" w:cstheme="minorBidi"/>
          <w:szCs w:val="22"/>
        </w:rPr>
      </w:pPr>
      <w:r>
        <w:t>89</w:t>
      </w:r>
      <w:r>
        <w:rPr>
          <w:snapToGrid w:val="0"/>
        </w:rPr>
        <w:t>.</w:t>
      </w:r>
      <w:r>
        <w:rPr>
          <w:snapToGrid w:val="0"/>
        </w:rPr>
        <w:tab/>
        <w:t>Scientific purposes licence</w:t>
      </w:r>
      <w:r>
        <w:tab/>
      </w:r>
      <w:r>
        <w:fldChar w:fldCharType="begin"/>
      </w:r>
      <w:r>
        <w:instrText xml:space="preserve"> PAGEREF _Toc423343150 \h </w:instrText>
      </w:r>
      <w:r>
        <w:fldChar w:fldCharType="separate"/>
      </w:r>
      <w:r>
        <w:t>59</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Application for scientific purposes licence</w:t>
      </w:r>
      <w:r>
        <w:tab/>
      </w:r>
      <w:r>
        <w:fldChar w:fldCharType="begin"/>
      </w:r>
      <w:r>
        <w:instrText xml:space="preserve"> PAGEREF _Toc423343151 \h </w:instrText>
      </w:r>
      <w:r>
        <w:fldChar w:fldCharType="separate"/>
      </w:r>
      <w:r>
        <w:t>59</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Duration of scientific purposes licence</w:t>
      </w:r>
      <w:r>
        <w:tab/>
      </w:r>
      <w:r>
        <w:fldChar w:fldCharType="begin"/>
      </w:r>
      <w:r>
        <w:instrText xml:space="preserve"> PAGEREF _Toc423343152 \h </w:instrText>
      </w:r>
      <w:r>
        <w:fldChar w:fldCharType="separate"/>
      </w:r>
      <w:r>
        <w:t>60</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Renewal of scientific purposes licence</w:t>
      </w:r>
      <w:r>
        <w:tab/>
      </w:r>
      <w:r>
        <w:fldChar w:fldCharType="begin"/>
      </w:r>
      <w:r>
        <w:instrText xml:space="preserve"> PAGEREF _Toc423343153 \h </w:instrText>
      </w:r>
      <w:r>
        <w:fldChar w:fldCharType="separate"/>
      </w:r>
      <w:r>
        <w:t>60</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Conditions and restrictions</w:t>
      </w:r>
      <w:r>
        <w:tab/>
      </w:r>
      <w:r>
        <w:fldChar w:fldCharType="begin"/>
      </w:r>
      <w:r>
        <w:instrText xml:space="preserve"> PAGEREF _Toc423343154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Commercial operations licences</w:t>
      </w:r>
    </w:p>
    <w:p>
      <w:pPr>
        <w:pStyle w:val="TOC8"/>
        <w:rPr>
          <w:rFonts w:asciiTheme="minorHAnsi" w:eastAsiaTheme="minorEastAsia" w:hAnsiTheme="minorHAnsi" w:cstheme="minorBidi"/>
          <w:szCs w:val="22"/>
        </w:rPr>
      </w:pPr>
      <w:r>
        <w:t>94</w:t>
      </w:r>
      <w:r>
        <w:rPr>
          <w:snapToGrid w:val="0"/>
        </w:rPr>
        <w:t>.</w:t>
      </w:r>
      <w:r>
        <w:rPr>
          <w:snapToGrid w:val="0"/>
        </w:rPr>
        <w:tab/>
        <w:t>Commercial operations licence</w:t>
      </w:r>
      <w:r>
        <w:tab/>
      </w:r>
      <w:r>
        <w:fldChar w:fldCharType="begin"/>
      </w:r>
      <w:r>
        <w:instrText xml:space="preserve"> PAGEREF _Toc423343156 \h </w:instrText>
      </w:r>
      <w:r>
        <w:fldChar w:fldCharType="separate"/>
      </w:r>
      <w:r>
        <w:t>61</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Application for commercial operations licence</w:t>
      </w:r>
      <w:r>
        <w:tab/>
      </w:r>
      <w:r>
        <w:fldChar w:fldCharType="begin"/>
      </w:r>
      <w:r>
        <w:instrText xml:space="preserve"> PAGEREF _Toc423343157 \h </w:instrText>
      </w:r>
      <w:r>
        <w:fldChar w:fldCharType="separate"/>
      </w:r>
      <w:r>
        <w:t>61</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Duration of commercial operations licence</w:t>
      </w:r>
      <w:r>
        <w:tab/>
      </w:r>
      <w:r>
        <w:fldChar w:fldCharType="begin"/>
      </w:r>
      <w:r>
        <w:instrText xml:space="preserve"> PAGEREF _Toc423343158 \h </w:instrText>
      </w:r>
      <w:r>
        <w:fldChar w:fldCharType="separate"/>
      </w:r>
      <w:r>
        <w:t>62</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Renewal of commercial operations licence</w:t>
      </w:r>
      <w:r>
        <w:tab/>
      </w:r>
      <w:r>
        <w:fldChar w:fldCharType="begin"/>
      </w:r>
      <w:r>
        <w:instrText xml:space="preserve"> PAGEREF _Toc423343159 \h </w:instrText>
      </w:r>
      <w:r>
        <w:fldChar w:fldCharType="separate"/>
      </w:r>
      <w:r>
        <w:t>62</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Conditions</w:t>
      </w:r>
      <w:r>
        <w:tab/>
      </w:r>
      <w:r>
        <w:fldChar w:fldCharType="begin"/>
      </w:r>
      <w:r>
        <w:instrText xml:space="preserve"> PAGEREF _Toc423343160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4 — Rental mooring licence</w:t>
      </w:r>
    </w:p>
    <w:p>
      <w:pPr>
        <w:pStyle w:val="TOC8"/>
        <w:rPr>
          <w:rFonts w:asciiTheme="minorHAnsi" w:eastAsiaTheme="minorEastAsia" w:hAnsiTheme="minorHAnsi" w:cstheme="minorBidi"/>
          <w:szCs w:val="22"/>
        </w:rPr>
      </w:pPr>
      <w:r>
        <w:t>98AA.</w:t>
      </w:r>
      <w:r>
        <w:tab/>
        <w:t>Terms used</w:t>
      </w:r>
      <w:r>
        <w:tab/>
      </w:r>
      <w:r>
        <w:fldChar w:fldCharType="begin"/>
      </w:r>
      <w:r>
        <w:instrText xml:space="preserve"> PAGEREF _Toc423343162 \h </w:instrText>
      </w:r>
      <w:r>
        <w:fldChar w:fldCharType="separate"/>
      </w:r>
      <w:r>
        <w:t>63</w:t>
      </w:r>
      <w:r>
        <w:fldChar w:fldCharType="end"/>
      </w:r>
    </w:p>
    <w:p>
      <w:pPr>
        <w:pStyle w:val="TOC8"/>
        <w:rPr>
          <w:rFonts w:asciiTheme="minorHAnsi" w:eastAsiaTheme="minorEastAsia" w:hAnsiTheme="minorHAnsi" w:cstheme="minorBidi"/>
          <w:szCs w:val="22"/>
        </w:rPr>
      </w:pPr>
      <w:r>
        <w:t>98AB.</w:t>
      </w:r>
      <w:r>
        <w:tab/>
        <w:t>CEO may designate rental mooring</w:t>
      </w:r>
      <w:r>
        <w:tab/>
      </w:r>
      <w:r>
        <w:fldChar w:fldCharType="begin"/>
      </w:r>
      <w:r>
        <w:instrText xml:space="preserve"> PAGEREF _Toc423343163 \h </w:instrText>
      </w:r>
      <w:r>
        <w:fldChar w:fldCharType="separate"/>
      </w:r>
      <w:r>
        <w:t>63</w:t>
      </w:r>
      <w:r>
        <w:fldChar w:fldCharType="end"/>
      </w:r>
    </w:p>
    <w:p>
      <w:pPr>
        <w:pStyle w:val="TOC8"/>
        <w:rPr>
          <w:rFonts w:asciiTheme="minorHAnsi" w:eastAsiaTheme="minorEastAsia" w:hAnsiTheme="minorHAnsi" w:cstheme="minorBidi"/>
          <w:szCs w:val="22"/>
        </w:rPr>
      </w:pPr>
      <w:r>
        <w:t>98AC.</w:t>
      </w:r>
      <w:r>
        <w:tab/>
        <w:t>Rental mooring licence</w:t>
      </w:r>
      <w:r>
        <w:tab/>
      </w:r>
      <w:r>
        <w:fldChar w:fldCharType="begin"/>
      </w:r>
      <w:r>
        <w:instrText xml:space="preserve"> PAGEREF _Toc423343164 \h </w:instrText>
      </w:r>
      <w:r>
        <w:fldChar w:fldCharType="separate"/>
      </w:r>
      <w:r>
        <w:t>64</w:t>
      </w:r>
      <w:r>
        <w:fldChar w:fldCharType="end"/>
      </w:r>
    </w:p>
    <w:p>
      <w:pPr>
        <w:pStyle w:val="TOC8"/>
        <w:rPr>
          <w:rFonts w:asciiTheme="minorHAnsi" w:eastAsiaTheme="minorEastAsia" w:hAnsiTheme="minorHAnsi" w:cstheme="minorBidi"/>
          <w:szCs w:val="22"/>
        </w:rPr>
      </w:pPr>
      <w:r>
        <w:t>98AD.</w:t>
      </w:r>
      <w:r>
        <w:tab/>
        <w:t>Application for rental mooring licence</w:t>
      </w:r>
      <w:r>
        <w:tab/>
      </w:r>
      <w:r>
        <w:fldChar w:fldCharType="begin"/>
      </w:r>
      <w:r>
        <w:instrText xml:space="preserve"> PAGEREF _Toc423343165 \h </w:instrText>
      </w:r>
      <w:r>
        <w:fldChar w:fldCharType="separate"/>
      </w:r>
      <w:r>
        <w:t>64</w:t>
      </w:r>
      <w:r>
        <w:fldChar w:fldCharType="end"/>
      </w:r>
    </w:p>
    <w:p>
      <w:pPr>
        <w:pStyle w:val="TOC8"/>
        <w:rPr>
          <w:rFonts w:asciiTheme="minorHAnsi" w:eastAsiaTheme="minorEastAsia" w:hAnsiTheme="minorHAnsi" w:cstheme="minorBidi"/>
          <w:szCs w:val="22"/>
        </w:rPr>
      </w:pPr>
      <w:r>
        <w:t>98AE.</w:t>
      </w:r>
      <w:r>
        <w:tab/>
        <w:t>Duration of rental mooring licence</w:t>
      </w:r>
      <w:r>
        <w:tab/>
      </w:r>
      <w:r>
        <w:fldChar w:fldCharType="begin"/>
      </w:r>
      <w:r>
        <w:instrText xml:space="preserve"> PAGEREF _Toc423343166 \h </w:instrText>
      </w:r>
      <w:r>
        <w:fldChar w:fldCharType="separate"/>
      </w:r>
      <w:r>
        <w:t>64</w:t>
      </w:r>
      <w:r>
        <w:fldChar w:fldCharType="end"/>
      </w:r>
    </w:p>
    <w:p>
      <w:pPr>
        <w:pStyle w:val="TOC8"/>
        <w:rPr>
          <w:rFonts w:asciiTheme="minorHAnsi" w:eastAsiaTheme="minorEastAsia" w:hAnsiTheme="minorHAnsi" w:cstheme="minorBidi"/>
          <w:szCs w:val="22"/>
        </w:rPr>
      </w:pPr>
      <w:r>
        <w:t>98AF.</w:t>
      </w:r>
      <w:r>
        <w:tab/>
        <w:t>Conditions</w:t>
      </w:r>
      <w:r>
        <w:tab/>
      </w:r>
      <w:r>
        <w:fldChar w:fldCharType="begin"/>
      </w:r>
      <w:r>
        <w:instrText xml:space="preserve"> PAGEREF _Toc423343167 \h </w:instrText>
      </w:r>
      <w:r>
        <w:fldChar w:fldCharType="separate"/>
      </w:r>
      <w:r>
        <w:t>64</w:t>
      </w:r>
      <w:r>
        <w:fldChar w:fldCharType="end"/>
      </w:r>
    </w:p>
    <w:p>
      <w:pPr>
        <w:pStyle w:val="TOC8"/>
        <w:rPr>
          <w:rFonts w:asciiTheme="minorHAnsi" w:eastAsiaTheme="minorEastAsia" w:hAnsiTheme="minorHAnsi" w:cstheme="minorBidi"/>
          <w:szCs w:val="22"/>
        </w:rPr>
      </w:pPr>
      <w:r>
        <w:t>98AG.</w:t>
      </w:r>
      <w:r>
        <w:tab/>
        <w:t>Cancellation of licence at request of licence holder</w:t>
      </w:r>
      <w:r>
        <w:tab/>
      </w:r>
      <w:r>
        <w:fldChar w:fldCharType="begin"/>
      </w:r>
      <w:r>
        <w:instrText xml:space="preserve"> PAGEREF _Toc423343168 \h </w:instrText>
      </w:r>
      <w:r>
        <w:fldChar w:fldCharType="separate"/>
      </w:r>
      <w:r>
        <w:t>65</w:t>
      </w:r>
      <w:r>
        <w:fldChar w:fldCharType="end"/>
      </w:r>
    </w:p>
    <w:p>
      <w:pPr>
        <w:pStyle w:val="TOC8"/>
        <w:rPr>
          <w:rFonts w:asciiTheme="minorHAnsi" w:eastAsiaTheme="minorEastAsia" w:hAnsiTheme="minorHAnsi" w:cstheme="minorBidi"/>
          <w:szCs w:val="22"/>
        </w:rPr>
      </w:pPr>
      <w:r>
        <w:t>98AH.</w:t>
      </w:r>
      <w:r>
        <w:tab/>
        <w:t>Damage to rental mooring</w:t>
      </w:r>
      <w:r>
        <w:tab/>
      </w:r>
      <w:r>
        <w:fldChar w:fldCharType="begin"/>
      </w:r>
      <w:r>
        <w:instrText xml:space="preserve"> PAGEREF _Toc423343169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5 — Private mooring licence</w:t>
      </w:r>
    </w:p>
    <w:p>
      <w:pPr>
        <w:pStyle w:val="TOC8"/>
        <w:rPr>
          <w:rFonts w:asciiTheme="minorHAnsi" w:eastAsiaTheme="minorEastAsia" w:hAnsiTheme="minorHAnsi" w:cstheme="minorBidi"/>
          <w:szCs w:val="22"/>
        </w:rPr>
      </w:pPr>
      <w:r>
        <w:t>98AI</w:t>
      </w:r>
      <w:r>
        <w:rPr>
          <w:snapToGrid w:val="0"/>
        </w:rPr>
        <w:t>.</w:t>
      </w:r>
      <w:r>
        <w:rPr>
          <w:snapToGrid w:val="0"/>
        </w:rPr>
        <w:tab/>
        <w:t>Terms used</w:t>
      </w:r>
      <w:r>
        <w:tab/>
      </w:r>
      <w:r>
        <w:fldChar w:fldCharType="begin"/>
      </w:r>
      <w:r>
        <w:instrText xml:space="preserve"> PAGEREF _Toc423343171 \h </w:instrText>
      </w:r>
      <w:r>
        <w:fldChar w:fldCharType="separate"/>
      </w:r>
      <w:r>
        <w:t>66</w:t>
      </w:r>
      <w:r>
        <w:fldChar w:fldCharType="end"/>
      </w:r>
    </w:p>
    <w:p>
      <w:pPr>
        <w:pStyle w:val="TOC8"/>
        <w:rPr>
          <w:rFonts w:asciiTheme="minorHAnsi" w:eastAsiaTheme="minorEastAsia" w:hAnsiTheme="minorHAnsi" w:cstheme="minorBidi"/>
          <w:szCs w:val="22"/>
        </w:rPr>
      </w:pPr>
      <w:r>
        <w:t>98AJ.</w:t>
      </w:r>
      <w:r>
        <w:tab/>
        <w:t>Mooring licence areas</w:t>
      </w:r>
      <w:r>
        <w:tab/>
      </w:r>
      <w:r>
        <w:fldChar w:fldCharType="begin"/>
      </w:r>
      <w:r>
        <w:instrText xml:space="preserve"> PAGEREF _Toc423343172 \h </w:instrText>
      </w:r>
      <w:r>
        <w:fldChar w:fldCharType="separate"/>
      </w:r>
      <w:r>
        <w:t>67</w:t>
      </w:r>
      <w:r>
        <w:fldChar w:fldCharType="end"/>
      </w:r>
    </w:p>
    <w:p>
      <w:pPr>
        <w:pStyle w:val="TOC8"/>
        <w:rPr>
          <w:rFonts w:asciiTheme="minorHAnsi" w:eastAsiaTheme="minorEastAsia" w:hAnsiTheme="minorHAnsi" w:cstheme="minorBidi"/>
          <w:szCs w:val="22"/>
        </w:rPr>
      </w:pPr>
      <w:r>
        <w:t>98AK.</w:t>
      </w:r>
      <w:r>
        <w:tab/>
        <w:t>Private mooring licence</w:t>
      </w:r>
      <w:r>
        <w:tab/>
      </w:r>
      <w:r>
        <w:fldChar w:fldCharType="begin"/>
      </w:r>
      <w:r>
        <w:instrText xml:space="preserve"> PAGEREF _Toc423343173 \h </w:instrText>
      </w:r>
      <w:r>
        <w:fldChar w:fldCharType="separate"/>
      </w:r>
      <w:r>
        <w:t>67</w:t>
      </w:r>
      <w:r>
        <w:fldChar w:fldCharType="end"/>
      </w:r>
    </w:p>
    <w:p>
      <w:pPr>
        <w:pStyle w:val="TOC8"/>
        <w:rPr>
          <w:rFonts w:asciiTheme="minorHAnsi" w:eastAsiaTheme="minorEastAsia" w:hAnsiTheme="minorHAnsi" w:cstheme="minorBidi"/>
          <w:szCs w:val="22"/>
        </w:rPr>
      </w:pPr>
      <w:r>
        <w:t>98AL.</w:t>
      </w:r>
      <w:r>
        <w:tab/>
        <w:t>Effect of private mooring licence</w:t>
      </w:r>
      <w:r>
        <w:tab/>
      </w:r>
      <w:r>
        <w:fldChar w:fldCharType="begin"/>
      </w:r>
      <w:r>
        <w:instrText xml:space="preserve"> PAGEREF _Toc423343174 \h </w:instrText>
      </w:r>
      <w:r>
        <w:fldChar w:fldCharType="separate"/>
      </w:r>
      <w:r>
        <w:t>67</w:t>
      </w:r>
      <w:r>
        <w:fldChar w:fldCharType="end"/>
      </w:r>
    </w:p>
    <w:p>
      <w:pPr>
        <w:pStyle w:val="TOC8"/>
        <w:rPr>
          <w:rFonts w:asciiTheme="minorHAnsi" w:eastAsiaTheme="minorEastAsia" w:hAnsiTheme="minorHAnsi" w:cstheme="minorBidi"/>
          <w:szCs w:val="22"/>
        </w:rPr>
      </w:pPr>
      <w:r>
        <w:t>98AM.</w:t>
      </w:r>
      <w:r>
        <w:tab/>
        <w:t>Application for private mooring licence</w:t>
      </w:r>
      <w:r>
        <w:tab/>
      </w:r>
      <w:r>
        <w:fldChar w:fldCharType="begin"/>
      </w:r>
      <w:r>
        <w:instrText xml:space="preserve"> PAGEREF _Toc423343175 \h </w:instrText>
      </w:r>
      <w:r>
        <w:fldChar w:fldCharType="separate"/>
      </w:r>
      <w:r>
        <w:t>68</w:t>
      </w:r>
      <w:r>
        <w:fldChar w:fldCharType="end"/>
      </w:r>
    </w:p>
    <w:p>
      <w:pPr>
        <w:pStyle w:val="TOC8"/>
        <w:rPr>
          <w:rFonts w:asciiTheme="minorHAnsi" w:eastAsiaTheme="minorEastAsia" w:hAnsiTheme="minorHAnsi" w:cstheme="minorBidi"/>
          <w:szCs w:val="22"/>
        </w:rPr>
      </w:pPr>
      <w:r>
        <w:t>98AN.</w:t>
      </w:r>
      <w:r>
        <w:tab/>
        <w:t>Grant of private mooring licence</w:t>
      </w:r>
      <w:r>
        <w:tab/>
      </w:r>
      <w:r>
        <w:fldChar w:fldCharType="begin"/>
      </w:r>
      <w:r>
        <w:instrText xml:space="preserve"> PAGEREF _Toc423343176 \h </w:instrText>
      </w:r>
      <w:r>
        <w:fldChar w:fldCharType="separate"/>
      </w:r>
      <w:r>
        <w:t>68</w:t>
      </w:r>
      <w:r>
        <w:fldChar w:fldCharType="end"/>
      </w:r>
    </w:p>
    <w:p>
      <w:pPr>
        <w:pStyle w:val="TOC8"/>
        <w:rPr>
          <w:rFonts w:asciiTheme="minorHAnsi" w:eastAsiaTheme="minorEastAsia" w:hAnsiTheme="minorHAnsi" w:cstheme="minorBidi"/>
          <w:szCs w:val="22"/>
        </w:rPr>
      </w:pPr>
      <w:r>
        <w:t>98AO.</w:t>
      </w:r>
      <w:r>
        <w:tab/>
        <w:t>Private mooring licence not transferable</w:t>
      </w:r>
      <w:r>
        <w:tab/>
      </w:r>
      <w:r>
        <w:fldChar w:fldCharType="begin"/>
      </w:r>
      <w:r>
        <w:instrText xml:space="preserve"> PAGEREF _Toc423343177 \h </w:instrText>
      </w:r>
      <w:r>
        <w:fldChar w:fldCharType="separate"/>
      </w:r>
      <w:r>
        <w:t>69</w:t>
      </w:r>
      <w:r>
        <w:fldChar w:fldCharType="end"/>
      </w:r>
    </w:p>
    <w:p>
      <w:pPr>
        <w:pStyle w:val="TOC8"/>
        <w:rPr>
          <w:rFonts w:asciiTheme="minorHAnsi" w:eastAsiaTheme="minorEastAsia" w:hAnsiTheme="minorHAnsi" w:cstheme="minorBidi"/>
          <w:szCs w:val="22"/>
        </w:rPr>
      </w:pPr>
      <w:r>
        <w:t>98AP.</w:t>
      </w:r>
      <w:r>
        <w:tab/>
        <w:t>Duration of private mooring licence</w:t>
      </w:r>
      <w:r>
        <w:tab/>
      </w:r>
      <w:r>
        <w:fldChar w:fldCharType="begin"/>
      </w:r>
      <w:r>
        <w:instrText xml:space="preserve"> PAGEREF _Toc423343178 \h </w:instrText>
      </w:r>
      <w:r>
        <w:fldChar w:fldCharType="separate"/>
      </w:r>
      <w:r>
        <w:t>69</w:t>
      </w:r>
      <w:r>
        <w:fldChar w:fldCharType="end"/>
      </w:r>
    </w:p>
    <w:p>
      <w:pPr>
        <w:pStyle w:val="TOC8"/>
        <w:rPr>
          <w:rFonts w:asciiTheme="minorHAnsi" w:eastAsiaTheme="minorEastAsia" w:hAnsiTheme="minorHAnsi" w:cstheme="minorBidi"/>
          <w:szCs w:val="22"/>
        </w:rPr>
      </w:pPr>
      <w:r>
        <w:t>98AQ.</w:t>
      </w:r>
      <w:r>
        <w:tab/>
        <w:t>Renewal of private mooring licence</w:t>
      </w:r>
      <w:r>
        <w:tab/>
      </w:r>
      <w:r>
        <w:fldChar w:fldCharType="begin"/>
      </w:r>
      <w:r>
        <w:instrText xml:space="preserve"> PAGEREF _Toc423343179 \h </w:instrText>
      </w:r>
      <w:r>
        <w:fldChar w:fldCharType="separate"/>
      </w:r>
      <w:r>
        <w:t>69</w:t>
      </w:r>
      <w:r>
        <w:fldChar w:fldCharType="end"/>
      </w:r>
    </w:p>
    <w:p>
      <w:pPr>
        <w:pStyle w:val="TOC8"/>
        <w:rPr>
          <w:rFonts w:asciiTheme="minorHAnsi" w:eastAsiaTheme="minorEastAsia" w:hAnsiTheme="minorHAnsi" w:cstheme="minorBidi"/>
          <w:szCs w:val="22"/>
        </w:rPr>
      </w:pPr>
      <w:r>
        <w:t>98AR.</w:t>
      </w:r>
      <w:r>
        <w:tab/>
        <w:t>Conditions</w:t>
      </w:r>
      <w:r>
        <w:tab/>
      </w:r>
      <w:r>
        <w:fldChar w:fldCharType="begin"/>
      </w:r>
      <w:r>
        <w:instrText xml:space="preserve"> PAGEREF _Toc423343180 \h </w:instrText>
      </w:r>
      <w:r>
        <w:fldChar w:fldCharType="separate"/>
      </w:r>
      <w:r>
        <w:t>69</w:t>
      </w:r>
      <w:r>
        <w:fldChar w:fldCharType="end"/>
      </w:r>
    </w:p>
    <w:p>
      <w:pPr>
        <w:pStyle w:val="TOC8"/>
        <w:rPr>
          <w:rFonts w:asciiTheme="minorHAnsi" w:eastAsiaTheme="minorEastAsia" w:hAnsiTheme="minorHAnsi" w:cstheme="minorBidi"/>
          <w:szCs w:val="22"/>
        </w:rPr>
      </w:pPr>
      <w:r>
        <w:t>98AS.</w:t>
      </w:r>
      <w:r>
        <w:tab/>
        <w:t>Form of licence</w:t>
      </w:r>
      <w:r>
        <w:tab/>
      </w:r>
      <w:r>
        <w:fldChar w:fldCharType="begin"/>
      </w:r>
      <w:r>
        <w:instrText xml:space="preserve"> PAGEREF _Toc423343181 \h </w:instrText>
      </w:r>
      <w:r>
        <w:fldChar w:fldCharType="separate"/>
      </w:r>
      <w:r>
        <w:t>70</w:t>
      </w:r>
      <w:r>
        <w:fldChar w:fldCharType="end"/>
      </w:r>
    </w:p>
    <w:p>
      <w:pPr>
        <w:pStyle w:val="TOC8"/>
        <w:rPr>
          <w:rFonts w:asciiTheme="minorHAnsi" w:eastAsiaTheme="minorEastAsia" w:hAnsiTheme="minorHAnsi" w:cstheme="minorBidi"/>
          <w:szCs w:val="22"/>
        </w:rPr>
      </w:pPr>
      <w:r>
        <w:t>98AT</w:t>
      </w:r>
      <w:r>
        <w:rPr>
          <w:snapToGrid w:val="0"/>
        </w:rPr>
        <w:t>.</w:t>
      </w:r>
      <w:r>
        <w:rPr>
          <w:snapToGrid w:val="0"/>
        </w:rPr>
        <w:tab/>
        <w:t>Private moorings to be maintained</w:t>
      </w:r>
      <w:r>
        <w:tab/>
      </w:r>
      <w:r>
        <w:fldChar w:fldCharType="begin"/>
      </w:r>
      <w:r>
        <w:instrText xml:space="preserve"> PAGEREF _Toc423343182 \h </w:instrText>
      </w:r>
      <w:r>
        <w:fldChar w:fldCharType="separate"/>
      </w:r>
      <w:r>
        <w:t>70</w:t>
      </w:r>
      <w:r>
        <w:fldChar w:fldCharType="end"/>
      </w:r>
    </w:p>
    <w:p>
      <w:pPr>
        <w:pStyle w:val="TOC8"/>
        <w:rPr>
          <w:rFonts w:asciiTheme="minorHAnsi" w:eastAsiaTheme="minorEastAsia" w:hAnsiTheme="minorHAnsi" w:cstheme="minorBidi"/>
          <w:szCs w:val="22"/>
        </w:rPr>
      </w:pPr>
      <w:r>
        <w:t>98AU</w:t>
      </w:r>
      <w:r>
        <w:rPr>
          <w:snapToGrid w:val="0"/>
        </w:rPr>
        <w:t>.</w:t>
      </w:r>
      <w:r>
        <w:rPr>
          <w:snapToGrid w:val="0"/>
        </w:rPr>
        <w:tab/>
        <w:t>Requirement to repair, relocate or remove private mooring</w:t>
      </w:r>
      <w:r>
        <w:tab/>
      </w:r>
      <w:r>
        <w:fldChar w:fldCharType="begin"/>
      </w:r>
      <w:r>
        <w:instrText xml:space="preserve"> PAGEREF _Toc423343183 \h </w:instrText>
      </w:r>
      <w:r>
        <w:fldChar w:fldCharType="separate"/>
      </w:r>
      <w:r>
        <w:t>71</w:t>
      </w:r>
      <w:r>
        <w:fldChar w:fldCharType="end"/>
      </w:r>
    </w:p>
    <w:p>
      <w:pPr>
        <w:pStyle w:val="TOC8"/>
        <w:rPr>
          <w:rFonts w:asciiTheme="minorHAnsi" w:eastAsiaTheme="minorEastAsia" w:hAnsiTheme="minorHAnsi" w:cstheme="minorBidi"/>
          <w:szCs w:val="22"/>
        </w:rPr>
      </w:pPr>
      <w:r>
        <w:t>98AV</w:t>
      </w:r>
      <w:r>
        <w:rPr>
          <w:snapToGrid w:val="0"/>
        </w:rPr>
        <w:t>.</w:t>
      </w:r>
      <w:r>
        <w:rPr>
          <w:snapToGrid w:val="0"/>
        </w:rPr>
        <w:tab/>
        <w:t>Cancellation of private mooring licence</w:t>
      </w:r>
      <w:r>
        <w:tab/>
      </w:r>
      <w:r>
        <w:fldChar w:fldCharType="begin"/>
      </w:r>
      <w:r>
        <w:instrText xml:space="preserve"> PAGEREF _Toc423343184 \h </w:instrText>
      </w:r>
      <w:r>
        <w:fldChar w:fldCharType="separate"/>
      </w:r>
      <w:r>
        <w:t>72</w:t>
      </w:r>
      <w:r>
        <w:fldChar w:fldCharType="end"/>
      </w:r>
    </w:p>
    <w:p>
      <w:pPr>
        <w:pStyle w:val="TOC8"/>
        <w:rPr>
          <w:rFonts w:asciiTheme="minorHAnsi" w:eastAsiaTheme="minorEastAsia" w:hAnsiTheme="minorHAnsi" w:cstheme="minorBidi"/>
          <w:szCs w:val="22"/>
        </w:rPr>
      </w:pPr>
      <w:r>
        <w:t>98AW</w:t>
      </w:r>
      <w:r>
        <w:rPr>
          <w:snapToGrid w:val="0"/>
        </w:rPr>
        <w:t>.</w:t>
      </w:r>
      <w:r>
        <w:rPr>
          <w:snapToGrid w:val="0"/>
        </w:rPr>
        <w:tab/>
        <w:t>Giving notice of change of registered particulars</w:t>
      </w:r>
      <w:r>
        <w:tab/>
      </w:r>
      <w:r>
        <w:fldChar w:fldCharType="begin"/>
      </w:r>
      <w:r>
        <w:instrText xml:space="preserve"> PAGEREF _Toc423343185 \h </w:instrText>
      </w:r>
      <w:r>
        <w:fldChar w:fldCharType="separate"/>
      </w:r>
      <w:r>
        <w:t>72</w:t>
      </w:r>
      <w:r>
        <w:fldChar w:fldCharType="end"/>
      </w:r>
    </w:p>
    <w:p>
      <w:pPr>
        <w:pStyle w:val="TOC8"/>
        <w:rPr>
          <w:rFonts w:asciiTheme="minorHAnsi" w:eastAsiaTheme="minorEastAsia" w:hAnsiTheme="minorHAnsi" w:cstheme="minorBidi"/>
          <w:szCs w:val="22"/>
        </w:rPr>
      </w:pPr>
      <w:r>
        <w:t>98AX</w:t>
      </w:r>
      <w:r>
        <w:rPr>
          <w:snapToGrid w:val="0"/>
        </w:rPr>
        <w:t>.</w:t>
      </w:r>
      <w:r>
        <w:rPr>
          <w:snapToGrid w:val="0"/>
        </w:rPr>
        <w:tab/>
        <w:t>Surrender of private mooring licence</w:t>
      </w:r>
      <w:r>
        <w:tab/>
      </w:r>
      <w:r>
        <w:fldChar w:fldCharType="begin"/>
      </w:r>
      <w:r>
        <w:instrText xml:space="preserve"> PAGEREF _Toc423343186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8A — Apiary permits and licences</w:t>
      </w:r>
    </w:p>
    <w:p>
      <w:pPr>
        <w:pStyle w:val="TOC8"/>
        <w:rPr>
          <w:rFonts w:asciiTheme="minorHAnsi" w:eastAsiaTheme="minorEastAsia" w:hAnsiTheme="minorHAnsi" w:cstheme="minorBidi"/>
          <w:szCs w:val="22"/>
        </w:rPr>
      </w:pPr>
      <w:r>
        <w:t>98A.</w:t>
      </w:r>
      <w:r>
        <w:tab/>
        <w:t>Terms used</w:t>
      </w:r>
      <w:r>
        <w:tab/>
      </w:r>
      <w:r>
        <w:fldChar w:fldCharType="begin"/>
      </w:r>
      <w:r>
        <w:instrText xml:space="preserve"> PAGEREF _Toc423343188 \h </w:instrText>
      </w:r>
      <w:r>
        <w:fldChar w:fldCharType="separate"/>
      </w:r>
      <w:r>
        <w:t>74</w:t>
      </w:r>
      <w:r>
        <w:fldChar w:fldCharType="end"/>
      </w:r>
    </w:p>
    <w:p>
      <w:pPr>
        <w:pStyle w:val="TOC8"/>
        <w:rPr>
          <w:rFonts w:asciiTheme="minorHAnsi" w:eastAsiaTheme="minorEastAsia" w:hAnsiTheme="minorHAnsi" w:cstheme="minorBidi"/>
          <w:szCs w:val="22"/>
        </w:rPr>
      </w:pPr>
      <w:r>
        <w:t>98B.</w:t>
      </w:r>
      <w:r>
        <w:tab/>
        <w:t>Application of Part 8A</w:t>
      </w:r>
      <w:r>
        <w:tab/>
      </w:r>
      <w:r>
        <w:fldChar w:fldCharType="begin"/>
      </w:r>
      <w:r>
        <w:instrText xml:space="preserve"> PAGEREF _Toc423343189 \h </w:instrText>
      </w:r>
      <w:r>
        <w:fldChar w:fldCharType="separate"/>
      </w:r>
      <w:r>
        <w:t>74</w:t>
      </w:r>
      <w:r>
        <w:fldChar w:fldCharType="end"/>
      </w:r>
    </w:p>
    <w:p>
      <w:pPr>
        <w:pStyle w:val="TOC8"/>
        <w:rPr>
          <w:rFonts w:asciiTheme="minorHAnsi" w:eastAsiaTheme="minorEastAsia" w:hAnsiTheme="minorHAnsi" w:cstheme="minorBidi"/>
          <w:szCs w:val="22"/>
        </w:rPr>
      </w:pPr>
      <w:r>
        <w:t>98C.</w:t>
      </w:r>
      <w:r>
        <w:tab/>
        <w:t>Applications</w:t>
      </w:r>
      <w:r>
        <w:tab/>
      </w:r>
      <w:r>
        <w:fldChar w:fldCharType="begin"/>
      </w:r>
      <w:r>
        <w:instrText xml:space="preserve"> PAGEREF _Toc423343190 \h </w:instrText>
      </w:r>
      <w:r>
        <w:fldChar w:fldCharType="separate"/>
      </w:r>
      <w:r>
        <w:t>75</w:t>
      </w:r>
      <w:r>
        <w:fldChar w:fldCharType="end"/>
      </w:r>
    </w:p>
    <w:p>
      <w:pPr>
        <w:pStyle w:val="TOC8"/>
        <w:rPr>
          <w:rFonts w:asciiTheme="minorHAnsi" w:eastAsiaTheme="minorEastAsia" w:hAnsiTheme="minorHAnsi" w:cstheme="minorBidi"/>
          <w:szCs w:val="22"/>
        </w:rPr>
      </w:pPr>
      <w:r>
        <w:t>98D.</w:t>
      </w:r>
      <w:r>
        <w:tab/>
        <w:t>Maximum area of apiary site</w:t>
      </w:r>
      <w:r>
        <w:tab/>
      </w:r>
      <w:r>
        <w:fldChar w:fldCharType="begin"/>
      </w:r>
      <w:r>
        <w:instrText xml:space="preserve"> PAGEREF _Toc423343191 \h </w:instrText>
      </w:r>
      <w:r>
        <w:fldChar w:fldCharType="separate"/>
      </w:r>
      <w:r>
        <w:t>75</w:t>
      </w:r>
      <w:r>
        <w:fldChar w:fldCharType="end"/>
      </w:r>
    </w:p>
    <w:p>
      <w:pPr>
        <w:pStyle w:val="TOC8"/>
        <w:rPr>
          <w:rFonts w:asciiTheme="minorHAnsi" w:eastAsiaTheme="minorEastAsia" w:hAnsiTheme="minorHAnsi" w:cstheme="minorBidi"/>
          <w:szCs w:val="22"/>
        </w:rPr>
      </w:pPr>
      <w:r>
        <w:t>98E.</w:t>
      </w:r>
      <w:r>
        <w:tab/>
        <w:t>Form of apiary authority</w:t>
      </w:r>
      <w:r>
        <w:tab/>
      </w:r>
      <w:r>
        <w:fldChar w:fldCharType="begin"/>
      </w:r>
      <w:r>
        <w:instrText xml:space="preserve"> PAGEREF _Toc423343192 \h </w:instrText>
      </w:r>
      <w:r>
        <w:fldChar w:fldCharType="separate"/>
      </w:r>
      <w:r>
        <w:t>75</w:t>
      </w:r>
      <w:r>
        <w:fldChar w:fldCharType="end"/>
      </w:r>
    </w:p>
    <w:p>
      <w:pPr>
        <w:pStyle w:val="TOC8"/>
        <w:rPr>
          <w:rFonts w:asciiTheme="minorHAnsi" w:eastAsiaTheme="minorEastAsia" w:hAnsiTheme="minorHAnsi" w:cstheme="minorBidi"/>
          <w:szCs w:val="22"/>
        </w:rPr>
      </w:pPr>
      <w:r>
        <w:t>98F.</w:t>
      </w:r>
      <w:r>
        <w:tab/>
        <w:t>Duration of apiary authority</w:t>
      </w:r>
      <w:r>
        <w:tab/>
      </w:r>
      <w:r>
        <w:fldChar w:fldCharType="begin"/>
      </w:r>
      <w:r>
        <w:instrText xml:space="preserve"> PAGEREF _Toc423343193 \h </w:instrText>
      </w:r>
      <w:r>
        <w:fldChar w:fldCharType="separate"/>
      </w:r>
      <w:r>
        <w:t>76</w:t>
      </w:r>
      <w:r>
        <w:fldChar w:fldCharType="end"/>
      </w:r>
    </w:p>
    <w:p>
      <w:pPr>
        <w:pStyle w:val="TOC8"/>
        <w:rPr>
          <w:rFonts w:asciiTheme="minorHAnsi" w:eastAsiaTheme="minorEastAsia" w:hAnsiTheme="minorHAnsi" w:cstheme="minorBidi"/>
          <w:szCs w:val="22"/>
        </w:rPr>
      </w:pPr>
      <w:r>
        <w:t>98G.</w:t>
      </w:r>
      <w:r>
        <w:tab/>
        <w:t>Conditions</w:t>
      </w:r>
      <w:r>
        <w:tab/>
      </w:r>
      <w:r>
        <w:fldChar w:fldCharType="begin"/>
      </w:r>
      <w:r>
        <w:instrText xml:space="preserve"> PAGEREF _Toc423343194 \h </w:instrText>
      </w:r>
      <w:r>
        <w:fldChar w:fldCharType="separate"/>
      </w:r>
      <w:r>
        <w:t>76</w:t>
      </w:r>
      <w:r>
        <w:fldChar w:fldCharType="end"/>
      </w:r>
    </w:p>
    <w:p>
      <w:pPr>
        <w:pStyle w:val="TOC8"/>
        <w:rPr>
          <w:rFonts w:asciiTheme="minorHAnsi" w:eastAsiaTheme="minorEastAsia" w:hAnsiTheme="minorHAnsi" w:cstheme="minorBidi"/>
          <w:szCs w:val="22"/>
        </w:rPr>
      </w:pPr>
      <w:r>
        <w:t>98H.</w:t>
      </w:r>
      <w:r>
        <w:tab/>
        <w:t>Application of regulations to apiary sites that are not on CALM land</w:t>
      </w:r>
      <w:r>
        <w:tab/>
      </w:r>
      <w:r>
        <w:fldChar w:fldCharType="begin"/>
      </w:r>
      <w:r>
        <w:instrText xml:space="preserve"> PAGEREF _Toc423343195 \h </w:instrText>
      </w:r>
      <w:r>
        <w:fldChar w:fldCharType="separate"/>
      </w:r>
      <w:r>
        <w:t>77</w:t>
      </w:r>
      <w:r>
        <w:fldChar w:fldCharType="end"/>
      </w:r>
    </w:p>
    <w:p>
      <w:pPr>
        <w:pStyle w:val="TOC8"/>
        <w:rPr>
          <w:rFonts w:asciiTheme="minorHAnsi" w:eastAsiaTheme="minorEastAsia" w:hAnsiTheme="minorHAnsi" w:cstheme="minorBidi"/>
          <w:szCs w:val="22"/>
        </w:rPr>
      </w:pPr>
      <w:r>
        <w:t>98I.</w:t>
      </w:r>
      <w:r>
        <w:tab/>
        <w:t>Other operations not affected by apiary</w:t>
      </w:r>
      <w:r>
        <w:tab/>
      </w:r>
      <w:r>
        <w:fldChar w:fldCharType="begin"/>
      </w:r>
      <w:r>
        <w:instrText xml:space="preserve"> PAGEREF _Toc423343196 \h </w:instrText>
      </w:r>
      <w:r>
        <w:fldChar w:fldCharType="separate"/>
      </w:r>
      <w:r>
        <w:t>78</w:t>
      </w:r>
      <w:r>
        <w:fldChar w:fldCharType="end"/>
      </w:r>
    </w:p>
    <w:p>
      <w:pPr>
        <w:pStyle w:val="TOC8"/>
        <w:rPr>
          <w:rFonts w:asciiTheme="minorHAnsi" w:eastAsiaTheme="minorEastAsia" w:hAnsiTheme="minorHAnsi" w:cstheme="minorBidi"/>
          <w:szCs w:val="22"/>
        </w:rPr>
      </w:pPr>
      <w:r>
        <w:t>98J.</w:t>
      </w:r>
      <w:r>
        <w:tab/>
        <w:t>False or misleading information</w:t>
      </w:r>
      <w:r>
        <w:tab/>
      </w:r>
      <w:r>
        <w:fldChar w:fldCharType="begin"/>
      </w:r>
      <w:r>
        <w:instrText xml:space="preserve"> PAGEREF _Toc423343197 \h </w:instrText>
      </w:r>
      <w:r>
        <w:fldChar w:fldCharType="separate"/>
      </w:r>
      <w:r>
        <w:t>79</w:t>
      </w:r>
      <w:r>
        <w:fldChar w:fldCharType="end"/>
      </w:r>
    </w:p>
    <w:p>
      <w:pPr>
        <w:pStyle w:val="TOC8"/>
        <w:rPr>
          <w:rFonts w:asciiTheme="minorHAnsi" w:eastAsiaTheme="minorEastAsia" w:hAnsiTheme="minorHAnsi" w:cstheme="minorBidi"/>
          <w:szCs w:val="22"/>
        </w:rPr>
      </w:pPr>
      <w:r>
        <w:t>98K.</w:t>
      </w:r>
      <w:r>
        <w:tab/>
        <w:t>Rent for apiary sites</w:t>
      </w:r>
      <w:r>
        <w:tab/>
      </w:r>
      <w:r>
        <w:fldChar w:fldCharType="begin"/>
      </w:r>
      <w:r>
        <w:instrText xml:space="preserve"> PAGEREF _Toc423343198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8 — Fees</w:t>
      </w:r>
    </w:p>
    <w:p>
      <w:pPr>
        <w:pStyle w:val="TOC8"/>
        <w:rPr>
          <w:rFonts w:asciiTheme="minorHAnsi" w:eastAsiaTheme="minorEastAsia" w:hAnsiTheme="minorHAnsi" w:cstheme="minorBidi"/>
          <w:szCs w:val="22"/>
        </w:rPr>
      </w:pPr>
      <w:r>
        <w:t>99</w:t>
      </w:r>
      <w:r>
        <w:rPr>
          <w:snapToGrid w:val="0"/>
        </w:rPr>
        <w:t>.</w:t>
      </w:r>
      <w:r>
        <w:rPr>
          <w:snapToGrid w:val="0"/>
        </w:rPr>
        <w:tab/>
        <w:t>Entrance fees</w:t>
      </w:r>
      <w:r>
        <w:t xml:space="preserve"> for motor vehicles</w:t>
      </w:r>
      <w:r>
        <w:tab/>
      </w:r>
      <w:r>
        <w:fldChar w:fldCharType="begin"/>
      </w:r>
      <w:r>
        <w:instrText xml:space="preserve"> PAGEREF _Toc423343200 \h </w:instrText>
      </w:r>
      <w:r>
        <w:fldChar w:fldCharType="separate"/>
      </w:r>
      <w:r>
        <w:t>80</w:t>
      </w:r>
      <w:r>
        <w:fldChar w:fldCharType="end"/>
      </w:r>
    </w:p>
    <w:p>
      <w:pPr>
        <w:pStyle w:val="TOC8"/>
        <w:rPr>
          <w:rFonts w:asciiTheme="minorHAnsi" w:eastAsiaTheme="minorEastAsia" w:hAnsiTheme="minorHAnsi" w:cstheme="minorBidi"/>
          <w:szCs w:val="22"/>
        </w:rPr>
      </w:pPr>
      <w:r>
        <w:t>99A.</w:t>
      </w:r>
      <w:r>
        <w:tab/>
        <w:t>Landing fees for aircraft</w:t>
      </w:r>
      <w:r>
        <w:tab/>
      </w:r>
      <w:r>
        <w:fldChar w:fldCharType="begin"/>
      </w:r>
      <w:r>
        <w:instrText xml:space="preserve"> PAGEREF _Toc423343201 \h </w:instrText>
      </w:r>
      <w:r>
        <w:fldChar w:fldCharType="separate"/>
      </w:r>
      <w:r>
        <w:t>81</w:t>
      </w:r>
      <w:r>
        <w:fldChar w:fldCharType="end"/>
      </w:r>
    </w:p>
    <w:p>
      <w:pPr>
        <w:pStyle w:val="TOC8"/>
        <w:rPr>
          <w:rFonts w:asciiTheme="minorHAnsi" w:eastAsiaTheme="minorEastAsia" w:hAnsiTheme="minorHAnsi" w:cstheme="minorBidi"/>
          <w:szCs w:val="22"/>
        </w:rPr>
      </w:pPr>
      <w:r>
        <w:t>99B.</w:t>
      </w:r>
      <w:r>
        <w:tab/>
        <w:t>Aircraft landing areas</w:t>
      </w:r>
      <w:r>
        <w:tab/>
      </w:r>
      <w:r>
        <w:fldChar w:fldCharType="begin"/>
      </w:r>
      <w:r>
        <w:instrText xml:space="preserve"> PAGEREF _Toc423343202 \h </w:instrText>
      </w:r>
      <w:r>
        <w:fldChar w:fldCharType="separate"/>
      </w:r>
      <w:r>
        <w:t>82</w:t>
      </w:r>
      <w:r>
        <w:fldChar w:fldCharType="end"/>
      </w:r>
    </w:p>
    <w:p>
      <w:pPr>
        <w:pStyle w:val="TOC8"/>
        <w:rPr>
          <w:rFonts w:asciiTheme="minorHAnsi" w:eastAsiaTheme="minorEastAsia" w:hAnsiTheme="minorHAnsi" w:cstheme="minorBidi"/>
          <w:szCs w:val="22"/>
        </w:rPr>
      </w:pPr>
      <w:r>
        <w:t>99C.</w:t>
      </w:r>
      <w:r>
        <w:tab/>
        <w:t>Entrance fees for Monkey Mia Conservation Park</w:t>
      </w:r>
      <w:r>
        <w:tab/>
      </w:r>
      <w:r>
        <w:fldChar w:fldCharType="begin"/>
      </w:r>
      <w:r>
        <w:instrText xml:space="preserve"> PAGEREF _Toc423343203 \h </w:instrText>
      </w:r>
      <w:r>
        <w:fldChar w:fldCharType="separate"/>
      </w:r>
      <w:r>
        <w:t>82</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Entrance fees for Tree Top Walk</w:t>
      </w:r>
      <w:r>
        <w:tab/>
      </w:r>
      <w:r>
        <w:fldChar w:fldCharType="begin"/>
      </w:r>
      <w:r>
        <w:instrText xml:space="preserve"> PAGEREF _Toc423343204 \h </w:instrText>
      </w:r>
      <w:r>
        <w:fldChar w:fldCharType="separate"/>
      </w:r>
      <w:r>
        <w:t>83</w:t>
      </w:r>
      <w:r>
        <w:fldChar w:fldCharType="end"/>
      </w:r>
    </w:p>
    <w:p>
      <w:pPr>
        <w:pStyle w:val="TOC8"/>
        <w:rPr>
          <w:rFonts w:asciiTheme="minorHAnsi" w:eastAsiaTheme="minorEastAsia" w:hAnsiTheme="minorHAnsi" w:cstheme="minorBidi"/>
          <w:szCs w:val="22"/>
        </w:rPr>
      </w:pPr>
      <w:r>
        <w:t>100A.</w:t>
      </w:r>
      <w:r>
        <w:tab/>
        <w:t>Entrance fees for Crystal Cave and Calgardup and Giants Caves</w:t>
      </w:r>
      <w:r>
        <w:tab/>
      </w:r>
      <w:r>
        <w:fldChar w:fldCharType="begin"/>
      </w:r>
      <w:r>
        <w:instrText xml:space="preserve"> PAGEREF _Toc423343205 \h </w:instrText>
      </w:r>
      <w:r>
        <w:fldChar w:fldCharType="separate"/>
      </w:r>
      <w:r>
        <w:t>84</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Fees for Geikie Gorge National Park Boat Trip</w:t>
      </w:r>
      <w:r>
        <w:tab/>
      </w:r>
      <w:r>
        <w:fldChar w:fldCharType="begin"/>
      </w:r>
      <w:r>
        <w:instrText xml:space="preserve"> PAGEREF _Toc423343206 \h </w:instrText>
      </w:r>
      <w:r>
        <w:fldChar w:fldCharType="separate"/>
      </w:r>
      <w:r>
        <w:t>84</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Fees for entry on horseback</w:t>
      </w:r>
      <w:r>
        <w:tab/>
      </w:r>
      <w:r>
        <w:fldChar w:fldCharType="begin"/>
      </w:r>
      <w:r>
        <w:instrText xml:space="preserve"> PAGEREF _Toc423343207 \h </w:instrText>
      </w:r>
      <w:r>
        <w:fldChar w:fldCharType="separate"/>
      </w:r>
      <w:r>
        <w:t>84</w:t>
      </w:r>
      <w:r>
        <w:fldChar w:fldCharType="end"/>
      </w:r>
    </w:p>
    <w:p>
      <w:pPr>
        <w:pStyle w:val="TOC8"/>
        <w:rPr>
          <w:rFonts w:asciiTheme="minorHAnsi" w:eastAsiaTheme="minorEastAsia" w:hAnsiTheme="minorHAnsi" w:cstheme="minorBidi"/>
          <w:szCs w:val="22"/>
        </w:rPr>
      </w:pPr>
      <w:r>
        <w:t>102A.</w:t>
      </w:r>
      <w:r>
        <w:tab/>
        <w:t>Abseiling fee</w:t>
      </w:r>
      <w:r>
        <w:tab/>
      </w:r>
      <w:r>
        <w:fldChar w:fldCharType="begin"/>
      </w:r>
      <w:r>
        <w:instrText xml:space="preserve"> PAGEREF _Toc423343208 \h </w:instrText>
      </w:r>
      <w:r>
        <w:fldChar w:fldCharType="separate"/>
      </w:r>
      <w:r>
        <w:t>85</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Camping fees</w:t>
      </w:r>
      <w:r>
        <w:tab/>
      </w:r>
      <w:r>
        <w:fldChar w:fldCharType="begin"/>
      </w:r>
      <w:r>
        <w:instrText xml:space="preserve"> PAGEREF _Toc423343209 \h </w:instrText>
      </w:r>
      <w:r>
        <w:fldChar w:fldCharType="separate"/>
      </w:r>
      <w:r>
        <w:t>85</w:t>
      </w:r>
      <w:r>
        <w:fldChar w:fldCharType="end"/>
      </w:r>
    </w:p>
    <w:p>
      <w:pPr>
        <w:pStyle w:val="TOC8"/>
        <w:rPr>
          <w:rFonts w:asciiTheme="minorHAnsi" w:eastAsiaTheme="minorEastAsia" w:hAnsiTheme="minorHAnsi" w:cstheme="minorBidi"/>
          <w:szCs w:val="22"/>
        </w:rPr>
      </w:pPr>
      <w:r>
        <w:t>103A.</w:t>
      </w:r>
      <w:r>
        <w:tab/>
        <w:t>Companion of Companion Card holder</w:t>
      </w:r>
      <w:r>
        <w:tab/>
      </w:r>
      <w:r>
        <w:fldChar w:fldCharType="begin"/>
      </w:r>
      <w:r>
        <w:instrText xml:space="preserve"> PAGEREF _Toc423343210 \h </w:instrText>
      </w:r>
      <w:r>
        <w:fldChar w:fldCharType="separate"/>
      </w:r>
      <w:r>
        <w:t>86</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Fees may be waived or reduced</w:t>
      </w:r>
      <w:r>
        <w:tab/>
      </w:r>
      <w:r>
        <w:fldChar w:fldCharType="begin"/>
      </w:r>
      <w:r>
        <w:instrText xml:space="preserve"> PAGEREF _Toc423343211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9</w:t>
      </w:r>
      <w:r>
        <w:rPr>
          <w:b w:val="0"/>
        </w:rPr>
        <w:t> </w:t>
      </w:r>
      <w:r>
        <w:t>—</w:t>
      </w:r>
      <w:r>
        <w:rPr>
          <w:b w:val="0"/>
        </w:rPr>
        <w:t> </w:t>
      </w:r>
      <w:r>
        <w:t>Miscellaneous</w:t>
      </w:r>
    </w:p>
    <w:p>
      <w:pPr>
        <w:pStyle w:val="TOC8"/>
        <w:rPr>
          <w:rFonts w:asciiTheme="minorHAnsi" w:eastAsiaTheme="minorEastAsia" w:hAnsiTheme="minorHAnsi" w:cstheme="minorBidi"/>
          <w:szCs w:val="22"/>
        </w:rPr>
      </w:pPr>
      <w:r>
        <w:t>105</w:t>
      </w:r>
      <w:r>
        <w:rPr>
          <w:snapToGrid w:val="0"/>
        </w:rPr>
        <w:t>.</w:t>
      </w:r>
      <w:r>
        <w:rPr>
          <w:snapToGrid w:val="0"/>
        </w:rPr>
        <w:tab/>
        <w:t>Organised events and meetings</w:t>
      </w:r>
      <w:r>
        <w:tab/>
      </w:r>
      <w:r>
        <w:fldChar w:fldCharType="begin"/>
      </w:r>
      <w:r>
        <w:instrText xml:space="preserve"> PAGEREF _Toc423343213 \h </w:instrText>
      </w:r>
      <w:r>
        <w:fldChar w:fldCharType="separate"/>
      </w:r>
      <w:r>
        <w:t>87</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Unlawful commercial operations</w:t>
      </w:r>
      <w:r>
        <w:tab/>
      </w:r>
      <w:r>
        <w:fldChar w:fldCharType="begin"/>
      </w:r>
      <w:r>
        <w:instrText xml:space="preserve"> PAGEREF _Toc423343214 \h </w:instrText>
      </w:r>
      <w:r>
        <w:fldChar w:fldCharType="separate"/>
      </w:r>
      <w:r>
        <w:t>87</w:t>
      </w:r>
      <w:r>
        <w:fldChar w:fldCharType="end"/>
      </w:r>
    </w:p>
    <w:p>
      <w:pPr>
        <w:pStyle w:val="TOC8"/>
        <w:rPr>
          <w:rFonts w:asciiTheme="minorHAnsi" w:eastAsiaTheme="minorEastAsia" w:hAnsiTheme="minorHAnsi" w:cstheme="minorBidi"/>
          <w:szCs w:val="22"/>
        </w:rPr>
      </w:pPr>
      <w:r>
        <w:t>107.</w:t>
      </w:r>
      <w:r>
        <w:tab/>
        <w:t>Distribution of printed matter and advertising material</w:t>
      </w:r>
      <w:r>
        <w:tab/>
      </w:r>
      <w:r>
        <w:fldChar w:fldCharType="begin"/>
      </w:r>
      <w:r>
        <w:instrText xml:space="preserve"> PAGEREF _Toc423343215 \h </w:instrText>
      </w:r>
      <w:r>
        <w:fldChar w:fldCharType="separate"/>
      </w:r>
      <w:r>
        <w:t>87</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Photography for commercial purposes</w:t>
      </w:r>
      <w:r>
        <w:tab/>
      </w:r>
      <w:r>
        <w:fldChar w:fldCharType="begin"/>
      </w:r>
      <w:r>
        <w:instrText xml:space="preserve"> PAGEREF _Toc423343216 \h </w:instrText>
      </w:r>
      <w:r>
        <w:fldChar w:fldCharType="separate"/>
      </w:r>
      <w:r>
        <w:t>88</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Production of licences etc.</w:t>
      </w:r>
      <w:r>
        <w:tab/>
      </w:r>
      <w:r>
        <w:fldChar w:fldCharType="begin"/>
      </w:r>
      <w:r>
        <w:instrText xml:space="preserve"> PAGEREF _Toc423343217 \h </w:instrText>
      </w:r>
      <w:r>
        <w:fldChar w:fldCharType="separate"/>
      </w:r>
      <w:r>
        <w:t>88</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False or misleading information</w:t>
      </w:r>
      <w:r>
        <w:tab/>
      </w:r>
      <w:r>
        <w:fldChar w:fldCharType="begin"/>
      </w:r>
      <w:r>
        <w:instrText xml:space="preserve"> PAGEREF _Toc423343218 \h </w:instrText>
      </w:r>
      <w:r>
        <w:fldChar w:fldCharType="separate"/>
      </w:r>
      <w:r>
        <w:t>89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Signs — presumption</w:t>
      </w:r>
      <w:r>
        <w:tab/>
      </w:r>
      <w:r>
        <w:fldChar w:fldCharType="begin"/>
      </w:r>
      <w:r>
        <w:instrText xml:space="preserve"> PAGEREF _Toc423343219 \h </w:instrText>
      </w:r>
      <w:r>
        <w:fldChar w:fldCharType="separate"/>
      </w:r>
      <w:r>
        <w:t>89</w:t>
      </w:r>
      <w:r>
        <w:fldChar w:fldCharType="end"/>
      </w:r>
    </w:p>
    <w:p>
      <w:pPr>
        <w:pStyle w:val="TOC8"/>
        <w:rPr>
          <w:rFonts w:asciiTheme="minorHAnsi" w:eastAsiaTheme="minorEastAsia" w:hAnsiTheme="minorHAnsi" w:cstheme="minorBidi"/>
          <w:szCs w:val="22"/>
        </w:rPr>
      </w:pPr>
      <w:r>
        <w:t>111A.</w:t>
      </w:r>
      <w:r>
        <w:tab/>
        <w:t>Reasons for decisions</w:t>
      </w:r>
      <w:r>
        <w:tab/>
      </w:r>
      <w:r>
        <w:fldChar w:fldCharType="begin"/>
      </w:r>
      <w:r>
        <w:instrText xml:space="preserve"> PAGEREF _Toc423343220 \h </w:instrText>
      </w:r>
      <w:r>
        <w:fldChar w:fldCharType="separate"/>
      </w:r>
      <w:r>
        <w:t>89</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Infringement notices</w:t>
      </w:r>
      <w:r>
        <w:tab/>
      </w:r>
      <w:r>
        <w:fldChar w:fldCharType="begin"/>
      </w:r>
      <w:r>
        <w:instrText xml:space="preserve"> PAGEREF _Toc423343221 \h </w:instrText>
      </w:r>
      <w:r>
        <w:fldChar w:fldCharType="separate"/>
      </w:r>
      <w:r>
        <w:t>89</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Evidence</w:t>
      </w:r>
      <w:r>
        <w:tab/>
      </w:r>
      <w:r>
        <w:fldChar w:fldCharType="begin"/>
      </w:r>
      <w:r>
        <w:instrText xml:space="preserve"> PAGEREF _Toc423343222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10 — Exclusion of operation of section 103A(3)</w:t>
      </w:r>
    </w:p>
    <w:p>
      <w:pPr>
        <w:pStyle w:val="TOC8"/>
        <w:rPr>
          <w:rFonts w:asciiTheme="minorHAnsi" w:eastAsiaTheme="minorEastAsia" w:hAnsiTheme="minorHAnsi" w:cstheme="minorBidi"/>
          <w:szCs w:val="22"/>
        </w:rPr>
      </w:pPr>
      <w:r>
        <w:t>114.</w:t>
      </w:r>
      <w:r>
        <w:tab/>
        <w:t>Terms used</w:t>
      </w:r>
      <w:r>
        <w:tab/>
      </w:r>
      <w:r>
        <w:fldChar w:fldCharType="begin"/>
      </w:r>
      <w:r>
        <w:instrText xml:space="preserve"> PAGEREF _Toc423343224 \h </w:instrText>
      </w:r>
      <w:r>
        <w:fldChar w:fldCharType="separate"/>
      </w:r>
      <w:r>
        <w:t>91</w:t>
      </w:r>
      <w:r>
        <w:fldChar w:fldCharType="end"/>
      </w:r>
    </w:p>
    <w:p>
      <w:pPr>
        <w:pStyle w:val="TOC8"/>
        <w:rPr>
          <w:rFonts w:asciiTheme="minorHAnsi" w:eastAsiaTheme="minorEastAsia" w:hAnsiTheme="minorHAnsi" w:cstheme="minorBidi"/>
          <w:szCs w:val="22"/>
        </w:rPr>
      </w:pPr>
      <w:r>
        <w:t>115.</w:t>
      </w:r>
      <w:r>
        <w:tab/>
        <w:t>Exclusion of operation of section 103A(3) of the Act: animals</w:t>
      </w:r>
      <w:r>
        <w:tab/>
      </w:r>
      <w:r>
        <w:fldChar w:fldCharType="begin"/>
      </w:r>
      <w:r>
        <w:instrText xml:space="preserve"> PAGEREF _Toc423343225 \h </w:instrText>
      </w:r>
      <w:r>
        <w:fldChar w:fldCharType="separate"/>
      </w:r>
      <w:r>
        <w:t>92</w:t>
      </w:r>
      <w:r>
        <w:fldChar w:fldCharType="end"/>
      </w:r>
    </w:p>
    <w:p>
      <w:pPr>
        <w:pStyle w:val="TOC8"/>
        <w:rPr>
          <w:rFonts w:asciiTheme="minorHAnsi" w:eastAsiaTheme="minorEastAsia" w:hAnsiTheme="minorHAnsi" w:cstheme="minorBidi"/>
          <w:szCs w:val="22"/>
        </w:rPr>
      </w:pPr>
      <w:r>
        <w:t>116.</w:t>
      </w:r>
      <w:r>
        <w:tab/>
        <w:t>Exclusion of operation of section 103A(3) of the Act: vehicles</w:t>
      </w:r>
      <w:r>
        <w:tab/>
      </w:r>
      <w:r>
        <w:fldChar w:fldCharType="begin"/>
      </w:r>
      <w:r>
        <w:instrText xml:space="preserve"> PAGEREF _Toc423343226 \h </w:instrText>
      </w:r>
      <w:r>
        <w:fldChar w:fldCharType="separate"/>
      </w:r>
      <w:r>
        <w:t>93</w:t>
      </w:r>
      <w:r>
        <w:fldChar w:fldCharType="end"/>
      </w:r>
    </w:p>
    <w:p>
      <w:pPr>
        <w:pStyle w:val="TOC8"/>
        <w:rPr>
          <w:rFonts w:asciiTheme="minorHAnsi" w:eastAsiaTheme="minorEastAsia" w:hAnsiTheme="minorHAnsi" w:cstheme="minorBidi"/>
          <w:szCs w:val="22"/>
        </w:rPr>
      </w:pPr>
      <w:r>
        <w:t>117.</w:t>
      </w:r>
      <w:r>
        <w:tab/>
        <w:t>Exclusion of operation of section 103A(3) of the Act: vessel</w:t>
      </w:r>
      <w:r>
        <w:tab/>
      </w:r>
      <w:r>
        <w:fldChar w:fldCharType="begin"/>
      </w:r>
      <w:r>
        <w:instrText xml:space="preserve"> PAGEREF _Toc423343227 \h </w:instrText>
      </w:r>
      <w:r>
        <w:fldChar w:fldCharType="separate"/>
      </w:r>
      <w:r>
        <w:t>93</w:t>
      </w:r>
      <w:r>
        <w:fldChar w:fldCharType="end"/>
      </w:r>
    </w:p>
    <w:p>
      <w:pPr>
        <w:pStyle w:val="TOC8"/>
        <w:rPr>
          <w:rFonts w:asciiTheme="minorHAnsi" w:eastAsiaTheme="minorEastAsia" w:hAnsiTheme="minorHAnsi" w:cstheme="minorBidi"/>
          <w:szCs w:val="22"/>
        </w:rPr>
      </w:pPr>
      <w:r>
        <w:t>118.</w:t>
      </w:r>
      <w:r>
        <w:tab/>
        <w:t>Exclusion of operation of section 103A(3) of the Act: fire</w:t>
      </w:r>
      <w:r>
        <w:tab/>
      </w:r>
      <w:r>
        <w:fldChar w:fldCharType="begin"/>
      </w:r>
      <w:r>
        <w:instrText xml:space="preserve"> PAGEREF _Toc423343228 \h </w:instrText>
      </w:r>
      <w:r>
        <w:fldChar w:fldCharType="separate"/>
      </w:r>
      <w:r>
        <w:t>93</w:t>
      </w:r>
      <w:r>
        <w:fldChar w:fldCharType="end"/>
      </w:r>
    </w:p>
    <w:p>
      <w:pPr>
        <w:pStyle w:val="TOC8"/>
        <w:rPr>
          <w:rFonts w:asciiTheme="minorHAnsi" w:eastAsiaTheme="minorEastAsia" w:hAnsiTheme="minorHAnsi" w:cstheme="minorBidi"/>
          <w:szCs w:val="22"/>
        </w:rPr>
      </w:pPr>
      <w:r>
        <w:t>119.</w:t>
      </w:r>
      <w:r>
        <w:tab/>
        <w:t>Exclusion of operation of section 103A(3) of the Act: camping</w:t>
      </w:r>
      <w:r>
        <w:tab/>
      </w:r>
      <w:r>
        <w:fldChar w:fldCharType="begin"/>
      </w:r>
      <w:r>
        <w:instrText xml:space="preserve"> PAGEREF _Toc423343229 \h </w:instrText>
      </w:r>
      <w:r>
        <w:fldChar w:fldCharType="separate"/>
      </w:r>
      <w:r>
        <w:t>95</w:t>
      </w:r>
      <w:r>
        <w:fldChar w:fldCharType="end"/>
      </w:r>
    </w:p>
    <w:p>
      <w:pPr>
        <w:pStyle w:val="TOC8"/>
        <w:rPr>
          <w:rFonts w:asciiTheme="minorHAnsi" w:eastAsiaTheme="minorEastAsia" w:hAnsiTheme="minorHAnsi" w:cstheme="minorBidi"/>
          <w:szCs w:val="22"/>
        </w:rPr>
      </w:pPr>
      <w:r>
        <w:t>120.</w:t>
      </w:r>
      <w:r>
        <w:tab/>
        <w:t>Exclusion of operation of section 103A(3) of the Act: entering land</w:t>
      </w:r>
      <w:r>
        <w:tab/>
      </w:r>
      <w:r>
        <w:fldChar w:fldCharType="begin"/>
      </w:r>
      <w:r>
        <w:instrText xml:space="preserve"> PAGEREF _Toc423343230 \h </w:instrText>
      </w:r>
      <w:r>
        <w:fldChar w:fldCharType="separate"/>
      </w:r>
      <w:r>
        <w:t>96</w:t>
      </w:r>
      <w:r>
        <w:fldChar w:fldCharType="end"/>
      </w:r>
    </w:p>
    <w:p>
      <w:pPr>
        <w:pStyle w:val="TOC8"/>
        <w:rPr>
          <w:rFonts w:asciiTheme="minorHAnsi" w:eastAsiaTheme="minorEastAsia" w:hAnsiTheme="minorHAnsi" w:cstheme="minorBidi"/>
          <w:szCs w:val="22"/>
        </w:rPr>
      </w:pPr>
      <w:r>
        <w:t>121.</w:t>
      </w:r>
      <w:r>
        <w:tab/>
        <w:t>Exclusion of operation of section 103A(3) of the Act: protected thing</w:t>
      </w:r>
      <w:r>
        <w:tab/>
      </w:r>
      <w:r>
        <w:fldChar w:fldCharType="begin"/>
      </w:r>
      <w:r>
        <w:instrText xml:space="preserve"> PAGEREF _Toc423343231 \h </w:instrText>
      </w:r>
      <w:r>
        <w:fldChar w:fldCharType="separate"/>
      </w:r>
      <w:r>
        <w:t>96</w:t>
      </w:r>
      <w:r>
        <w:fldChar w:fldCharType="end"/>
      </w:r>
    </w:p>
    <w:p>
      <w:pPr>
        <w:pStyle w:val="TOC8"/>
        <w:rPr>
          <w:rFonts w:asciiTheme="minorHAnsi" w:eastAsiaTheme="minorEastAsia" w:hAnsiTheme="minorHAnsi" w:cstheme="minorBidi"/>
          <w:szCs w:val="22"/>
        </w:rPr>
      </w:pPr>
      <w:r>
        <w:t>122.</w:t>
      </w:r>
      <w:r>
        <w:tab/>
        <w:t>Permission of CEO</w:t>
      </w:r>
      <w:r>
        <w:tab/>
      </w:r>
      <w:r>
        <w:fldChar w:fldCharType="begin"/>
      </w:r>
      <w:r>
        <w:instrText xml:space="preserve"> PAGEREF _Toc423343232 \h </w:instrText>
      </w:r>
      <w:r>
        <w:fldChar w:fldCharType="separate"/>
      </w:r>
      <w:r>
        <w:t>99</w:t>
      </w:r>
      <w:r>
        <w:fldChar w:fldCharType="end"/>
      </w:r>
    </w:p>
    <w:p>
      <w:pPr>
        <w:pStyle w:val="TOC8"/>
        <w:rPr>
          <w:rFonts w:asciiTheme="minorHAnsi" w:eastAsiaTheme="minorEastAsia" w:hAnsiTheme="minorHAnsi" w:cstheme="minorBidi"/>
          <w:szCs w:val="22"/>
        </w:rPr>
      </w:pPr>
      <w:r>
        <w:t>123.</w:t>
      </w:r>
      <w:r>
        <w:tab/>
        <w:t>Variation and revocation of permission</w:t>
      </w:r>
      <w:r>
        <w:tab/>
      </w:r>
      <w:r>
        <w:fldChar w:fldCharType="begin"/>
      </w:r>
      <w:r>
        <w:instrText xml:space="preserve"> PAGEREF _Toc423343233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Daily entrance fees where an entrance fee is charged</w:t>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Fees for passes providing extended entrance to CALM land</w:t>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Daily entrance fees for Tree Top Walk</w:t>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Fees for Geikie Gorge National Park Boat Trip</w:t>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Horse riding</w:t>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Camping site fees</w:t>
      </w:r>
    </w:p>
    <w:p>
      <w:pPr>
        <w:pStyle w:val="TOC4"/>
        <w:tabs>
          <w:tab w:val="right" w:leader="dot" w:pos="7077"/>
        </w:tabs>
        <w:rPr>
          <w:rFonts w:asciiTheme="minorHAnsi" w:eastAsiaTheme="minorEastAsia" w:hAnsiTheme="minorHAnsi" w:cstheme="minorBidi"/>
          <w:b w:val="0"/>
          <w:szCs w:val="22"/>
        </w:rPr>
      </w:pPr>
      <w:r>
        <w:t>Division 7 — Cave entrance fees</w:t>
      </w:r>
    </w:p>
    <w:p>
      <w:pPr>
        <w:pStyle w:val="TOC4"/>
        <w:tabs>
          <w:tab w:val="right" w:leader="dot" w:pos="7077"/>
        </w:tabs>
        <w:rPr>
          <w:rFonts w:asciiTheme="minorHAnsi" w:eastAsiaTheme="minorEastAsia" w:hAnsiTheme="minorHAnsi" w:cstheme="minorBidi"/>
          <w:b w:val="0"/>
          <w:szCs w:val="22"/>
        </w:rPr>
      </w:pPr>
      <w:r>
        <w:t>Division 8 — Licence and permit fees</w:t>
      </w:r>
    </w:p>
    <w:p>
      <w:pPr>
        <w:pStyle w:val="TOC4"/>
        <w:tabs>
          <w:tab w:val="right" w:leader="dot" w:pos="7077"/>
        </w:tabs>
        <w:rPr>
          <w:rFonts w:asciiTheme="minorHAnsi" w:eastAsiaTheme="minorEastAsia" w:hAnsiTheme="minorHAnsi" w:cstheme="minorBidi"/>
          <w:b w:val="0"/>
          <w:szCs w:val="22"/>
        </w:rPr>
      </w:pPr>
      <w:r>
        <w:t>Division 9 — Fees for abseiling</w:t>
      </w:r>
    </w:p>
    <w:p>
      <w:pPr>
        <w:pStyle w:val="TOC4"/>
        <w:tabs>
          <w:tab w:val="right" w:leader="dot" w:pos="7077"/>
        </w:tabs>
        <w:rPr>
          <w:rFonts w:asciiTheme="minorHAnsi" w:eastAsiaTheme="minorEastAsia" w:hAnsiTheme="minorHAnsi" w:cstheme="minorBidi"/>
          <w:b w:val="0"/>
          <w:szCs w:val="22"/>
        </w:rPr>
      </w:pPr>
      <w:r>
        <w:t>Division 10 — Entrance fees for Monkey Mia Conservation Park</w:t>
      </w:r>
    </w:p>
    <w:p>
      <w:pPr>
        <w:pStyle w:val="TOC4"/>
        <w:tabs>
          <w:tab w:val="right" w:leader="dot" w:pos="7077"/>
        </w:tabs>
        <w:rPr>
          <w:rFonts w:asciiTheme="minorHAnsi" w:eastAsiaTheme="minorEastAsia" w:hAnsiTheme="minorHAnsi" w:cstheme="minorBidi"/>
          <w:b w:val="0"/>
          <w:szCs w:val="22"/>
        </w:rPr>
      </w:pPr>
      <w:r>
        <w:t>Division 11</w:t>
      </w:r>
      <w:r>
        <w:rPr>
          <w:b w:val="0"/>
        </w:rPr>
        <w:t> — </w:t>
      </w:r>
      <w:r>
        <w:t>Apiary permit and licence fees</w:t>
      </w:r>
    </w:p>
    <w:p>
      <w:pPr>
        <w:pStyle w:val="TOC4"/>
        <w:tabs>
          <w:tab w:val="right" w:leader="dot" w:pos="7077"/>
        </w:tabs>
        <w:rPr>
          <w:rFonts w:asciiTheme="minorHAnsi" w:eastAsiaTheme="minorEastAsia" w:hAnsiTheme="minorHAnsi" w:cstheme="minorBidi"/>
          <w:b w:val="0"/>
          <w:szCs w:val="22"/>
        </w:rPr>
      </w:pPr>
      <w:r>
        <w:t>Division 12</w:t>
      </w:r>
      <w:r>
        <w:rPr>
          <w:b w:val="0"/>
        </w:rPr>
        <w:t> — </w:t>
      </w:r>
      <w:r>
        <w:t>Landing fees for aircraft</w:t>
      </w:r>
    </w:p>
    <w:p>
      <w:pPr>
        <w:pStyle w:val="TOC2"/>
        <w:tabs>
          <w:tab w:val="right" w:leader="dot" w:pos="7077"/>
        </w:tabs>
        <w:rPr>
          <w:rFonts w:asciiTheme="minorHAnsi" w:eastAsiaTheme="minorEastAsia" w:hAnsiTheme="minorHAnsi" w:cstheme="minorBidi"/>
          <w:b w:val="0"/>
          <w:sz w:val="22"/>
          <w:szCs w:val="22"/>
        </w:rPr>
      </w:pPr>
      <w:r>
        <w:t>Schedule 2 — Offences to which modified penalties apply</w:t>
      </w:r>
    </w:p>
    <w:p>
      <w:pPr>
        <w:pStyle w:val="TOC4"/>
        <w:tabs>
          <w:tab w:val="right" w:leader="dot" w:pos="7077"/>
        </w:tabs>
        <w:rPr>
          <w:rFonts w:asciiTheme="minorHAnsi" w:eastAsiaTheme="minorEastAsia" w:hAnsiTheme="minorHAnsi" w:cstheme="minorBidi"/>
          <w:b w:val="0"/>
          <w:szCs w:val="22"/>
        </w:rPr>
      </w:pPr>
      <w:r>
        <w:t>Division 1 — Offences under the Act</w:t>
      </w:r>
    </w:p>
    <w:p>
      <w:pPr>
        <w:pStyle w:val="TOC4"/>
        <w:tabs>
          <w:tab w:val="right" w:leader="dot" w:pos="7077"/>
        </w:tabs>
        <w:rPr>
          <w:rFonts w:asciiTheme="minorHAnsi" w:eastAsiaTheme="minorEastAsia" w:hAnsiTheme="minorHAnsi" w:cstheme="minorBidi"/>
          <w:b w:val="0"/>
          <w:szCs w:val="22"/>
        </w:rPr>
      </w:pPr>
      <w:r>
        <w:t>Division 2 — Offences under these regulations</w:t>
      </w:r>
    </w:p>
    <w:p>
      <w:pPr>
        <w:pStyle w:val="TOC4"/>
        <w:tabs>
          <w:tab w:val="right" w:leader="dot" w:pos="7077"/>
        </w:tabs>
        <w:rPr>
          <w:rFonts w:asciiTheme="minorHAnsi" w:eastAsiaTheme="minorEastAsia" w:hAnsiTheme="minorHAnsi" w:cstheme="minorBidi"/>
          <w:b w:val="0"/>
          <w:szCs w:val="22"/>
        </w:rPr>
      </w:pPr>
      <w:r>
        <w:t xml:space="preserve">Division 3 — Offences under </w:t>
      </w:r>
      <w:r>
        <w:rPr>
          <w:i/>
        </w:rPr>
        <w:t>Forest Management Regulations 1993</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_Toc423343253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before="120" w:after="480"/>
      </w:pPr>
      <w:r>
        <w:t>Western Australia</w:t>
      </w:r>
    </w:p>
    <w:p>
      <w:pPr>
        <w:pStyle w:val="PrincipalActReg"/>
      </w:pPr>
      <w:r>
        <w:t>Conservation and Land Management Act 1984</w:t>
      </w:r>
    </w:p>
    <w:p>
      <w:pPr>
        <w:pStyle w:val="NameofActReg"/>
      </w:pPr>
      <w:r>
        <w:t>Conservation and Land Management Regulations 2002</w:t>
      </w:r>
    </w:p>
    <w:p>
      <w:pPr>
        <w:pStyle w:val="Heading2"/>
        <w:pageBreakBefore w:val="0"/>
        <w:spacing w:before="240"/>
      </w:pPr>
      <w:bookmarkStart w:id="3" w:name="_Toc408498770"/>
      <w:bookmarkStart w:id="4" w:name="_Toc414889192"/>
      <w:bookmarkStart w:id="5" w:name="_Toc414975135"/>
      <w:bookmarkStart w:id="6" w:name="_Toc417563617"/>
      <w:bookmarkStart w:id="7" w:name="_Toc423340438"/>
      <w:bookmarkStart w:id="8" w:name="_Toc423343036"/>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r>
        <w:rPr>
          <w:rStyle w:val="CharPartText"/>
        </w:rPr>
        <w:t xml:space="preserve"> </w:t>
      </w:r>
    </w:p>
    <w:p>
      <w:pPr>
        <w:pStyle w:val="Heading5"/>
      </w:pPr>
      <w:bookmarkStart w:id="9" w:name="_Toc408498771"/>
      <w:bookmarkStart w:id="10" w:name="_Toc423343037"/>
      <w:r>
        <w:rPr>
          <w:rStyle w:val="CharSectno"/>
        </w:rPr>
        <w:t>1</w:t>
      </w:r>
      <w:r>
        <w:t>.</w:t>
      </w:r>
      <w:r>
        <w:tab/>
        <w:t>Citation</w:t>
      </w:r>
      <w:bookmarkEnd w:id="9"/>
      <w:bookmarkEnd w:id="10"/>
    </w:p>
    <w:p>
      <w:pPr>
        <w:pStyle w:val="Subsection"/>
        <w:rPr>
          <w:i/>
        </w:rPr>
      </w:pPr>
      <w:r>
        <w:tab/>
      </w:r>
      <w:r>
        <w:tab/>
      </w:r>
      <w:r>
        <w:rPr>
          <w:spacing w:val="-2"/>
        </w:rPr>
        <w:t>These</w:t>
      </w:r>
      <w:r>
        <w:t xml:space="preserve"> </w:t>
      </w:r>
      <w:r>
        <w:rPr>
          <w:spacing w:val="-2"/>
        </w:rPr>
        <w:t>regulations</w:t>
      </w:r>
      <w:r>
        <w:t xml:space="preserve"> may be cited as the </w:t>
      </w:r>
      <w:r>
        <w:rPr>
          <w:i/>
        </w:rPr>
        <w:t>Conservation and Land Management Regulations 2002</w:t>
      </w:r>
      <w:r>
        <w:rPr>
          <w:vertAlign w:val="superscript"/>
        </w:rPr>
        <w:t> 1</w:t>
      </w:r>
      <w:r>
        <w:rPr>
          <w:iCs/>
        </w:rPr>
        <w:t>.</w:t>
      </w:r>
    </w:p>
    <w:p>
      <w:pPr>
        <w:pStyle w:val="Heading5"/>
        <w:rPr>
          <w:snapToGrid w:val="0"/>
        </w:rPr>
      </w:pPr>
      <w:bookmarkStart w:id="11" w:name="_Toc408498772"/>
      <w:bookmarkStart w:id="12" w:name="_Toc423343038"/>
      <w:r>
        <w:rPr>
          <w:rStyle w:val="CharSectno"/>
        </w:rPr>
        <w:t>2</w:t>
      </w:r>
      <w:r>
        <w:rPr>
          <w:snapToGrid w:val="0"/>
        </w:rPr>
        <w:t>.</w:t>
      </w:r>
      <w:r>
        <w:rPr>
          <w:snapToGrid w:val="0"/>
        </w:rPr>
        <w:tab/>
        <w:t>Terms used</w:t>
      </w:r>
      <w:bookmarkEnd w:id="11"/>
      <w:bookmarkEnd w:id="12"/>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Aboriginal artefact</w:t>
      </w:r>
      <w:r>
        <w:t xml:space="preserve"> means an object to which the </w:t>
      </w:r>
      <w:r>
        <w:rPr>
          <w:i/>
        </w:rPr>
        <w:t>Aboriginal Heritage Act 1972</w:t>
      </w:r>
      <w:r>
        <w:t xml:space="preserve"> applies;</w:t>
      </w:r>
    </w:p>
    <w:p>
      <w:pPr>
        <w:pStyle w:val="Defstart"/>
      </w:pPr>
      <w:r>
        <w:rPr>
          <w:b/>
        </w:rPr>
        <w:tab/>
      </w:r>
      <w:r>
        <w:rPr>
          <w:rStyle w:val="CharDefText"/>
        </w:rPr>
        <w:t>Aboriginal site</w:t>
      </w:r>
      <w:r>
        <w:t xml:space="preserve"> means a place to which the </w:t>
      </w:r>
      <w:r>
        <w:rPr>
          <w:i/>
        </w:rPr>
        <w:t>Aboriginal Heritage Act 1972</w:t>
      </w:r>
      <w:r>
        <w:t xml:space="preserve"> applies;</w:t>
      </w:r>
    </w:p>
    <w:p>
      <w:pPr>
        <w:pStyle w:val="Defstart"/>
      </w:pPr>
      <w:r>
        <w:tab/>
      </w:r>
      <w:r>
        <w:rPr>
          <w:rStyle w:val="CharDefText"/>
        </w:rPr>
        <w:t>abseiling area</w:t>
      </w:r>
      <w:r>
        <w:t xml:space="preserve"> means — </w:t>
      </w:r>
    </w:p>
    <w:p>
      <w:pPr>
        <w:pStyle w:val="Defpara"/>
      </w:pPr>
      <w:r>
        <w:tab/>
        <w:t>(a)</w:t>
      </w:r>
      <w:r>
        <w:tab/>
        <w:t>an area declared under regulation 6(1)(a) to be a designated area for the purposes of regulation 33; or</w:t>
      </w:r>
    </w:p>
    <w:p>
      <w:pPr>
        <w:pStyle w:val="Defpara"/>
      </w:pPr>
      <w:r>
        <w:tab/>
        <w:t>(b)</w:t>
      </w:r>
      <w:r>
        <w:tab/>
        <w:t>an area designated by sign as an abseiling area;</w:t>
      </w:r>
    </w:p>
    <w:p>
      <w:pPr>
        <w:pStyle w:val="Defstart"/>
      </w:pPr>
      <w:r>
        <w:tab/>
      </w:r>
      <w:r>
        <w:rPr>
          <w:rStyle w:val="CharDefText"/>
        </w:rPr>
        <w:t>aircraft</w:t>
      </w:r>
      <w:r>
        <w:t xml:space="preserve"> includes an ultra</w:t>
      </w:r>
      <w:r>
        <w:noBreakHyphen/>
        <w:t>light aircraft and a helicopter;</w:t>
      </w:r>
    </w:p>
    <w:p>
      <w:pPr>
        <w:pStyle w:val="Defstart"/>
      </w:pPr>
      <w:r>
        <w:tab/>
      </w:r>
      <w:r>
        <w:rPr>
          <w:rStyle w:val="CharDefText"/>
        </w:rPr>
        <w:t>authorised officer</w:t>
      </w:r>
      <w:r>
        <w:t xml:space="preserve"> means a wildlife officer, forest officer, ranger, conservation and land management officer and a person appointed to an honorary office under section 46 of the Act;</w:t>
      </w:r>
    </w:p>
    <w:p>
      <w:pPr>
        <w:pStyle w:val="Defstart"/>
      </w:pPr>
      <w:r>
        <w:rPr>
          <w:b/>
        </w:rPr>
        <w:tab/>
      </w:r>
      <w:r>
        <w:rPr>
          <w:rStyle w:val="CharDefText"/>
        </w:rPr>
        <w:t>bicycle</w:t>
      </w:r>
      <w:r>
        <w:t xml:space="preserve"> has the meaning given to that term in the </w:t>
      </w:r>
      <w:r>
        <w:rPr>
          <w:i/>
        </w:rPr>
        <w:t>Road Traffic Code 2000</w:t>
      </w:r>
      <w:r>
        <w:t xml:space="preserve"> regulation 3(1);</w:t>
      </w:r>
    </w:p>
    <w:p>
      <w:pPr>
        <w:pStyle w:val="Defstart"/>
      </w:pPr>
      <w:r>
        <w:tab/>
      </w:r>
      <w:r>
        <w:rPr>
          <w:rStyle w:val="CharDefText"/>
        </w:rPr>
        <w:t>CALM land</w:t>
      </w:r>
      <w:r>
        <w:rPr>
          <w:b/>
        </w:rPr>
        <w:t xml:space="preserve"> </w:t>
      </w:r>
      <w:r>
        <w:t>means land, or land and waters, to which these regulations apply, and includes caves and parts of caves on or under that land;</w:t>
      </w:r>
    </w:p>
    <w:p>
      <w:pPr>
        <w:pStyle w:val="Defstart"/>
      </w:pPr>
      <w:r>
        <w:tab/>
      </w:r>
      <w:r>
        <w:rPr>
          <w:rStyle w:val="CharDefText"/>
        </w:rPr>
        <w:t>camp</w:t>
      </w:r>
      <w:r>
        <w:t xml:space="preserve"> means — </w:t>
      </w:r>
    </w:p>
    <w:p>
      <w:pPr>
        <w:pStyle w:val="Defpara"/>
      </w:pPr>
      <w:r>
        <w:tab/>
        <w:t>(a)</w:t>
      </w:r>
      <w:r>
        <w:tab/>
        <w:t>to stay or lodge (whether in a camping unit or otherwise) during any period of the night after 9.00 p.m. and before 6.00 a.m.; or</w:t>
      </w:r>
    </w:p>
    <w:p>
      <w:pPr>
        <w:pStyle w:val="Defpara"/>
      </w:pPr>
      <w:r>
        <w:tab/>
        <w:t>(b)</w:t>
      </w:r>
      <w:r>
        <w:tab/>
        <w:t>to stay or lodge in a camping unit, building or structure during any period of the day after 6.00 a.m. and before 9.00 p.m.;</w:t>
      </w:r>
    </w:p>
    <w:p>
      <w:pPr>
        <w:pStyle w:val="Defstart"/>
      </w:pPr>
      <w:r>
        <w:tab/>
      </w:r>
      <w:r>
        <w:rPr>
          <w:rStyle w:val="CharDefText"/>
        </w:rPr>
        <w:t>camping area</w:t>
      </w:r>
      <w:r>
        <w:t xml:space="preserve"> means — </w:t>
      </w:r>
    </w:p>
    <w:p>
      <w:pPr>
        <w:pStyle w:val="Defpara"/>
      </w:pPr>
      <w:r>
        <w:tab/>
        <w:t>(a)</w:t>
      </w:r>
      <w:r>
        <w:tab/>
        <w:t>an area declared under regulation 6(1)(a) to be a designated area for the purposes of regulation 66; or</w:t>
      </w:r>
    </w:p>
    <w:p>
      <w:pPr>
        <w:pStyle w:val="Defpara"/>
      </w:pPr>
      <w:r>
        <w:tab/>
        <w:t>(b)</w:t>
      </w:r>
      <w:r>
        <w:tab/>
        <w:t>an area designated by sign as a camping area;</w:t>
      </w:r>
    </w:p>
    <w:p>
      <w:pPr>
        <w:pStyle w:val="Defstart"/>
      </w:pPr>
      <w:r>
        <w:tab/>
      </w:r>
      <w:r>
        <w:rPr>
          <w:rStyle w:val="CharDefText"/>
        </w:rPr>
        <w:t>camping unit</w:t>
      </w:r>
      <w:r>
        <w:t xml:space="preserve"> means a tent or other portable thing of any kind used or capable of being used for habitation, and includes a caravan or other vehicle;</w:t>
      </w:r>
    </w:p>
    <w:p>
      <w:pPr>
        <w:pStyle w:val="Defstart"/>
      </w:pPr>
      <w:r>
        <w:tab/>
      </w:r>
      <w:r>
        <w:rPr>
          <w:rStyle w:val="CharDefText"/>
        </w:rPr>
        <w:t>caravan</w:t>
      </w:r>
      <w:r>
        <w:t xml:space="preserve"> means a vehicle fitted or designed for habitation;</w:t>
      </w:r>
    </w:p>
    <w:p>
      <w:pPr>
        <w:pStyle w:val="Defstart"/>
      </w:pPr>
      <w:r>
        <w:tab/>
      </w:r>
      <w:r>
        <w:rPr>
          <w:rStyle w:val="CharDefText"/>
        </w:rPr>
        <w:t>commercial operations licence</w:t>
      </w:r>
      <w:r>
        <w:rPr>
          <w:b/>
        </w:rPr>
        <w:t xml:space="preserve"> </w:t>
      </w:r>
      <w:r>
        <w:t>means a licence issued under  regulation 94;</w:t>
      </w:r>
    </w:p>
    <w:p>
      <w:pPr>
        <w:pStyle w:val="Defstart"/>
      </w:pPr>
      <w:r>
        <w:rPr>
          <w:b/>
        </w:rPr>
        <w:tab/>
      </w:r>
      <w:r>
        <w:rPr>
          <w:rStyle w:val="CharDefText"/>
        </w:rPr>
        <w:t>commercial purpose</w:t>
      </w:r>
      <w:r>
        <w:t xml:space="preserve"> means the purpose of sale for profit or any other purpose that is directed to financial gain or reward;</w:t>
      </w:r>
    </w:p>
    <w:p>
      <w:pPr>
        <w:pStyle w:val="Defstart"/>
      </w:pPr>
      <w:r>
        <w:rPr>
          <w:b/>
        </w:rPr>
        <w:tab/>
      </w:r>
      <w:r>
        <w:rPr>
          <w:rStyle w:val="CharDefText"/>
        </w:rPr>
        <w:t>Companion Card</w:t>
      </w:r>
      <w:r>
        <w:t xml:space="preserve"> means a Companion Card issued by ACROD Limited (ACN 008 445 485);</w:t>
      </w:r>
    </w:p>
    <w:p>
      <w:pPr>
        <w:pStyle w:val="Defstart"/>
      </w:pPr>
      <w:r>
        <w:rPr>
          <w:b/>
        </w:rPr>
        <w:tab/>
      </w:r>
      <w:r>
        <w:rPr>
          <w:rStyle w:val="CharDefText"/>
        </w:rPr>
        <w:t>concession card</w:t>
      </w:r>
      <w:r>
        <w:t xml:space="preserve"> means — </w:t>
      </w:r>
    </w:p>
    <w:p>
      <w:pPr>
        <w:pStyle w:val="Defpara"/>
      </w:pPr>
      <w:r>
        <w:tab/>
        <w:t>(a)</w:t>
      </w:r>
      <w:r>
        <w:tab/>
        <w:t>a Seniors’ Card issued by the Office of Seniors’ Interests in this or another State or Territory; or</w:t>
      </w:r>
    </w:p>
    <w:p>
      <w:pPr>
        <w:pStyle w:val="Defpara"/>
      </w:pPr>
      <w:r>
        <w:tab/>
        <w:t>(b)</w:t>
      </w:r>
      <w:r>
        <w:tab/>
        <w:t>a Pensioner Concession Card issued by Centrelink on the basis of receipt of Aged Pension, Disability Support Pension or Carer Payment; or</w:t>
      </w:r>
    </w:p>
    <w:p>
      <w:pPr>
        <w:pStyle w:val="Defpara"/>
      </w:pPr>
      <w:r>
        <w:tab/>
        <w:t>(c)</w:t>
      </w:r>
      <w:r>
        <w:tab/>
        <w:t>any concession card issued by the Commonwealth Department of Veterans’ Affairs; or</w:t>
      </w:r>
    </w:p>
    <w:p>
      <w:pPr>
        <w:pStyle w:val="Defpara"/>
      </w:pPr>
      <w:r>
        <w:tab/>
        <w:t>(d)</w:t>
      </w:r>
      <w:r>
        <w:tab/>
        <w:t>a Companion Card;</w:t>
      </w:r>
    </w:p>
    <w:p>
      <w:pPr>
        <w:pStyle w:val="Defstart"/>
      </w:pPr>
      <w:r>
        <w:tab/>
      </w:r>
      <w:r>
        <w:rPr>
          <w:rStyle w:val="CharDefText"/>
        </w:rPr>
        <w:t>designated area</w:t>
      </w:r>
      <w:r>
        <w:rPr>
          <w:b/>
        </w:rPr>
        <w:t xml:space="preserve"> </w:t>
      </w:r>
      <w:r>
        <w:t xml:space="preserve">has the meaning given by regulation 6(6); </w:t>
      </w:r>
    </w:p>
    <w:p>
      <w:pPr>
        <w:pStyle w:val="Defstart"/>
      </w:pPr>
      <w:r>
        <w:tab/>
      </w:r>
      <w:r>
        <w:rPr>
          <w:rStyle w:val="CharDefText"/>
        </w:rPr>
        <w:t>dog area</w:t>
      </w:r>
      <w:r>
        <w:t xml:space="preserve"> means — </w:t>
      </w:r>
    </w:p>
    <w:p>
      <w:pPr>
        <w:pStyle w:val="Defpara"/>
      </w:pPr>
      <w:r>
        <w:tab/>
        <w:t>(a)</w:t>
      </w:r>
      <w:r>
        <w:tab/>
        <w:t>an area declared under regulation 6(1)(a) to be a designated area for the purposes of regulation 16; or</w:t>
      </w:r>
    </w:p>
    <w:p>
      <w:pPr>
        <w:pStyle w:val="Defpara"/>
      </w:pPr>
      <w:r>
        <w:tab/>
        <w:t>(b)</w:t>
      </w:r>
      <w:r>
        <w:tab/>
        <w:t>an area designated by sign as a dog area;</w:t>
      </w:r>
    </w:p>
    <w:p>
      <w:pPr>
        <w:pStyle w:val="Defstart"/>
      </w:pPr>
      <w:r>
        <w:tab/>
      </w:r>
      <w:r>
        <w:rPr>
          <w:rStyle w:val="CharDefText"/>
        </w:rPr>
        <w:t>horse area</w:t>
      </w:r>
      <w:r>
        <w:t xml:space="preserve"> means — </w:t>
      </w:r>
    </w:p>
    <w:p>
      <w:pPr>
        <w:pStyle w:val="Defpara"/>
      </w:pPr>
      <w:r>
        <w:tab/>
        <w:t>(a)</w:t>
      </w:r>
      <w:r>
        <w:tab/>
        <w:t>an area declared under regulation 6(1)(a) to be a designated area for the purposes of regulation 17; or</w:t>
      </w:r>
    </w:p>
    <w:p>
      <w:pPr>
        <w:pStyle w:val="Defpara"/>
      </w:pPr>
      <w:r>
        <w:tab/>
        <w:t>(b)</w:t>
      </w:r>
      <w:r>
        <w:tab/>
        <w:t>an area designated by sign as a horse area;</w:t>
      </w:r>
    </w:p>
    <w:p>
      <w:pPr>
        <w:pStyle w:val="Defstart"/>
      </w:pPr>
      <w:r>
        <w:rPr>
          <w:b/>
        </w:rPr>
        <w:tab/>
      </w:r>
      <w:r>
        <w:rPr>
          <w:rStyle w:val="CharDefText"/>
        </w:rPr>
        <w:t>mooring</w:t>
      </w:r>
      <w:r>
        <w:t xml:space="preserve"> means any structure or apparatus (other than a vessel’s anchor that is retrieved by the vessel when not in use) to which a floating vessel may be secured by a chain, cable, wire or rope, whether or not the structure or apparatus is itself beyond the shores of the water;</w:t>
      </w:r>
    </w:p>
    <w:p>
      <w:pPr>
        <w:pStyle w:val="Defstart"/>
      </w:pPr>
      <w:r>
        <w:rPr>
          <w:b/>
        </w:rPr>
        <w:tab/>
      </w:r>
      <w:r>
        <w:rPr>
          <w:rStyle w:val="CharDefText"/>
        </w:rPr>
        <w:t>non</w:t>
      </w:r>
      <w:r>
        <w:rPr>
          <w:rStyle w:val="CharDefText"/>
        </w:rPr>
        <w:noBreakHyphen/>
        <w:t>indigenous animal</w:t>
      </w:r>
      <w:r>
        <w:t>, in relation to a particular locality, means an animal that is not indigenous to that locality;</w:t>
      </w:r>
    </w:p>
    <w:p>
      <w:pPr>
        <w:pStyle w:val="Defstart"/>
      </w:pPr>
      <w:r>
        <w:tab/>
      </w:r>
      <w:r>
        <w:rPr>
          <w:rStyle w:val="CharDefText"/>
        </w:rPr>
        <w:t>public mooring</w:t>
      </w:r>
      <w:r>
        <w:t xml:space="preserve"> means a mooring designated as a public mooring under regulation 60A(1);</w:t>
      </w:r>
    </w:p>
    <w:p>
      <w:pPr>
        <w:pStyle w:val="Defstart"/>
      </w:pPr>
      <w:r>
        <w:tab/>
      </w:r>
      <w:r>
        <w:rPr>
          <w:rStyle w:val="CharDefText"/>
        </w:rPr>
        <w:t>restricted area</w:t>
      </w:r>
      <w:r>
        <w:rPr>
          <w:b/>
        </w:rPr>
        <w:t xml:space="preserve"> </w:t>
      </w:r>
      <w:r>
        <w:t>has the meaning given by regulation 5(6);</w:t>
      </w:r>
    </w:p>
    <w:p>
      <w:pPr>
        <w:pStyle w:val="Defstart"/>
      </w:pPr>
      <w:r>
        <w:rPr>
          <w:b/>
        </w:rPr>
        <w:tab/>
      </w:r>
      <w:r>
        <w:rPr>
          <w:rStyle w:val="CharDefText"/>
        </w:rPr>
        <w:t>school holidays</w:t>
      </w:r>
      <w:r>
        <w:t xml:space="preserve"> means the days between school terms determined for government schools under section 117 of the </w:t>
      </w:r>
      <w:r>
        <w:rPr>
          <w:i/>
        </w:rPr>
        <w:t>School Education Act 1999</w:t>
      </w:r>
      <w:r>
        <w:t>;</w:t>
      </w:r>
    </w:p>
    <w:p>
      <w:pPr>
        <w:pStyle w:val="Defstart"/>
      </w:pPr>
      <w:r>
        <w:tab/>
      </w:r>
      <w:r>
        <w:rPr>
          <w:rStyle w:val="CharDefText"/>
        </w:rPr>
        <w:t>scientific purposes licence</w:t>
      </w:r>
      <w:r>
        <w:rPr>
          <w:b/>
        </w:rPr>
        <w:t xml:space="preserve"> </w:t>
      </w:r>
      <w:r>
        <w:t>means a licence issued under regulation 89;</w:t>
      </w:r>
    </w:p>
    <w:p>
      <w:pPr>
        <w:pStyle w:val="Defstart"/>
      </w:pPr>
      <w:r>
        <w:tab/>
      </w:r>
      <w:r>
        <w:rPr>
          <w:rStyle w:val="CharDefText"/>
        </w:rPr>
        <w:t>sell</w:t>
      </w:r>
      <w:r>
        <w:t xml:space="preserve"> includes —</w:t>
      </w:r>
    </w:p>
    <w:p>
      <w:pPr>
        <w:pStyle w:val="Defpara"/>
      </w:pPr>
      <w:r>
        <w:tab/>
        <w:t>(a)</w:t>
      </w:r>
      <w:r>
        <w:tab/>
        <w:t>sell by wholesale or retail;</w:t>
      </w:r>
    </w:p>
    <w:p>
      <w:pPr>
        <w:pStyle w:val="Defpara"/>
      </w:pPr>
      <w:r>
        <w:tab/>
        <w:t>(b)</w:t>
      </w:r>
      <w:r>
        <w:tab/>
        <w:t>supply or perform for profit;</w:t>
      </w:r>
    </w:p>
    <w:p>
      <w:pPr>
        <w:pStyle w:val="Defpara"/>
      </w:pPr>
      <w:r>
        <w:tab/>
        <w:t>(c)</w:t>
      </w:r>
      <w:r>
        <w:tab/>
        <w:t>receive for sale;</w:t>
      </w:r>
    </w:p>
    <w:p>
      <w:pPr>
        <w:pStyle w:val="Defpara"/>
      </w:pPr>
      <w:r>
        <w:tab/>
        <w:t>(d)</w:t>
      </w:r>
      <w:r>
        <w:tab/>
        <w:t>have in possession for sale;</w:t>
      </w:r>
    </w:p>
    <w:p>
      <w:pPr>
        <w:pStyle w:val="Defpara"/>
      </w:pPr>
      <w:r>
        <w:tab/>
        <w:t>(e)</w:t>
      </w:r>
      <w:r>
        <w:tab/>
        <w:t>send, forward or deliver for sale;</w:t>
      </w:r>
    </w:p>
    <w:p>
      <w:pPr>
        <w:pStyle w:val="Defpara"/>
      </w:pPr>
      <w:r>
        <w:tab/>
        <w:t>(f)</w:t>
      </w:r>
      <w:r>
        <w:tab/>
        <w:t>cause or suffer or allow to be sold;</w:t>
      </w:r>
    </w:p>
    <w:p>
      <w:pPr>
        <w:pStyle w:val="Defpara"/>
      </w:pPr>
      <w:r>
        <w:tab/>
        <w:t>(g)</w:t>
      </w:r>
      <w:r>
        <w:tab/>
        <w:t>dispose or offer for disposal under an hire</w:t>
      </w:r>
      <w:r>
        <w:noBreakHyphen/>
        <w:t>purchase agreement;</w:t>
      </w:r>
    </w:p>
    <w:p>
      <w:pPr>
        <w:pStyle w:val="Defstart"/>
      </w:pPr>
      <w:r>
        <w:tab/>
      </w:r>
      <w:r>
        <w:rPr>
          <w:rStyle w:val="CharDefText"/>
        </w:rPr>
        <w:t>services</w:t>
      </w:r>
      <w:r>
        <w:rPr>
          <w:b/>
        </w:rPr>
        <w:t xml:space="preserve"> </w:t>
      </w:r>
      <w:r>
        <w:t>includes the supply of transport, information, instruction or supervision;</w:t>
      </w:r>
    </w:p>
    <w:p>
      <w:pPr>
        <w:pStyle w:val="Defstart"/>
        <w:spacing w:before="70"/>
      </w:pPr>
      <w:r>
        <w:tab/>
      </w:r>
      <w:r>
        <w:rPr>
          <w:rStyle w:val="CharDefText"/>
        </w:rPr>
        <w:t>sign</w:t>
      </w:r>
      <w:r>
        <w:rPr>
          <w:b/>
        </w:rPr>
        <w:t xml:space="preserve"> </w:t>
      </w:r>
      <w:r>
        <w:t>means a sign erected by authority of the CEO and includes lines or other markings on the ground made by authority of the CEO; and such a sign is taken to be a notice for the purposes of section 134 of the Act;</w:t>
      </w:r>
    </w:p>
    <w:p>
      <w:pPr>
        <w:pStyle w:val="Defstart"/>
        <w:spacing w:before="70"/>
      </w:pPr>
      <w:r>
        <w:tab/>
      </w:r>
      <w:r>
        <w:rPr>
          <w:rStyle w:val="CharDefText"/>
        </w:rPr>
        <w:t>take</w:t>
      </w:r>
      <w:r>
        <w:t xml:space="preserve"> includes — </w:t>
      </w:r>
    </w:p>
    <w:p>
      <w:pPr>
        <w:pStyle w:val="Defpara"/>
        <w:spacing w:before="60"/>
      </w:pPr>
      <w:r>
        <w:tab/>
        <w:t>(a)</w:t>
      </w:r>
      <w:r>
        <w:tab/>
        <w:t>to injure, destroy or otherwise interfere with, or cause or permit the doing of any of those things; and</w:t>
      </w:r>
    </w:p>
    <w:p>
      <w:pPr>
        <w:pStyle w:val="Defpara"/>
        <w:spacing w:before="60"/>
      </w:pPr>
      <w:r>
        <w:tab/>
        <w:t>(b)</w:t>
      </w:r>
      <w:r>
        <w:tab/>
        <w:t>to hunt any fauna even though no fauna is actually taken; and</w:t>
      </w:r>
    </w:p>
    <w:p>
      <w:pPr>
        <w:pStyle w:val="Defpara"/>
        <w:spacing w:before="60"/>
      </w:pPr>
      <w:r>
        <w:tab/>
        <w:t>(c)</w:t>
      </w:r>
      <w:r>
        <w:tab/>
        <w:t>an attempt to take;</w:t>
      </w:r>
    </w:p>
    <w:p>
      <w:pPr>
        <w:pStyle w:val="Defstart"/>
      </w:pPr>
      <w:r>
        <w:tab/>
      </w:r>
      <w:r>
        <w:rPr>
          <w:rStyle w:val="CharDefText"/>
        </w:rPr>
        <w:t>temporary mooring area</w:t>
      </w:r>
      <w:r>
        <w:t xml:space="preserve"> means — </w:t>
      </w:r>
    </w:p>
    <w:p>
      <w:pPr>
        <w:pStyle w:val="Defpara"/>
      </w:pPr>
      <w:r>
        <w:tab/>
        <w:t>(a)</w:t>
      </w:r>
      <w:r>
        <w:tab/>
        <w:t>an area declared under regulation 6(1)(a) to be a designated area for the purposes of regulation 60B; or</w:t>
      </w:r>
    </w:p>
    <w:p>
      <w:pPr>
        <w:pStyle w:val="Defpara"/>
      </w:pPr>
      <w:r>
        <w:tab/>
        <w:t>(b)</w:t>
      </w:r>
      <w:r>
        <w:tab/>
        <w:t>an area designated by sign as a temporary mooring area;</w:t>
      </w:r>
    </w:p>
    <w:p>
      <w:pPr>
        <w:pStyle w:val="Defstart"/>
      </w:pPr>
      <w:r>
        <w:tab/>
      </w:r>
      <w:r>
        <w:rPr>
          <w:rStyle w:val="CharDefText"/>
        </w:rPr>
        <w:t>tender</w:t>
      </w:r>
      <w:r>
        <w:t xml:space="preserve"> means an auxiliary vessel that is used as a life boat or means of transportation between the parent vessel and another location or for both those purposes;</w:t>
      </w:r>
    </w:p>
    <w:p>
      <w:pPr>
        <w:pStyle w:val="Defstart"/>
        <w:spacing w:before="70"/>
      </w:pPr>
      <w:r>
        <w:tab/>
      </w:r>
      <w:r>
        <w:rPr>
          <w:rStyle w:val="CharDefText"/>
        </w:rPr>
        <w:t>tree</w:t>
      </w:r>
      <w:r>
        <w:rPr>
          <w:b/>
        </w:rPr>
        <w:t xml:space="preserve"> </w:t>
      </w:r>
      <w:r>
        <w:t>includes a tree that is dead provided the tree is still standing;</w:t>
      </w:r>
    </w:p>
    <w:p>
      <w:pPr>
        <w:pStyle w:val="Defstart"/>
        <w:spacing w:before="70"/>
      </w:pPr>
      <w:r>
        <w:tab/>
      </w:r>
      <w:r>
        <w:rPr>
          <w:rStyle w:val="CharDefText"/>
        </w:rPr>
        <w:t>vehicle</w:t>
      </w:r>
      <w:r>
        <w:rPr>
          <w:b/>
        </w:rPr>
        <w:t xml:space="preserve"> </w:t>
      </w:r>
      <w:r>
        <w:t xml:space="preserve">has the meaning given in the </w:t>
      </w:r>
      <w:r>
        <w:rPr>
          <w:i/>
        </w:rPr>
        <w:t xml:space="preserve">Road Traffic (Administration) Act 2008 </w:t>
      </w:r>
      <w:r>
        <w:t>section 4;</w:t>
      </w:r>
    </w:p>
    <w:p>
      <w:pPr>
        <w:pStyle w:val="Defstart"/>
        <w:spacing w:before="70"/>
      </w:pPr>
      <w:r>
        <w:tab/>
      </w:r>
      <w:r>
        <w:rPr>
          <w:rStyle w:val="CharDefText"/>
        </w:rPr>
        <w:t>vessel</w:t>
      </w:r>
      <w:r>
        <w:t xml:space="preserve"> means any thing used, or capable of being used, to move people or things by water and it does not matter —</w:t>
      </w:r>
    </w:p>
    <w:p>
      <w:pPr>
        <w:pStyle w:val="Defpara"/>
        <w:spacing w:before="60"/>
      </w:pPr>
      <w:r>
        <w:tab/>
        <w:t>(a)</w:t>
      </w:r>
      <w:r>
        <w:tab/>
        <w:t>that such a thing is ordinarily stationary; or</w:t>
      </w:r>
    </w:p>
    <w:p>
      <w:pPr>
        <w:pStyle w:val="Defpara"/>
        <w:spacing w:before="60"/>
      </w:pPr>
      <w:r>
        <w:tab/>
        <w:t>(b)</w:t>
      </w:r>
      <w:r>
        <w:tab/>
        <w:t>how any such thing is moved or propelled.</w:t>
      </w:r>
    </w:p>
    <w:p>
      <w:pPr>
        <w:pStyle w:val="Footnotesection"/>
        <w:spacing w:before="100"/>
      </w:pPr>
      <w:r>
        <w:tab/>
        <w:t>[Regulation 2 amended in Gazette 29 Sep 2006 p. 4304</w:t>
      </w:r>
      <w:r>
        <w:noBreakHyphen/>
        <w:t>5 and 4334; 3 Dec 2010 p. 6045</w:t>
      </w:r>
      <w:r>
        <w:noBreakHyphen/>
        <w:t>6; 8 Jan 2015 p. 135</w:t>
      </w:r>
      <w:r>
        <w:noBreakHyphen/>
        <w:t>6; 24 Mar 2015 p. 1033</w:t>
      </w:r>
      <w:r>
        <w:noBreakHyphen/>
        <w:t>4.]</w:t>
      </w:r>
    </w:p>
    <w:p>
      <w:pPr>
        <w:pStyle w:val="Heading5"/>
        <w:rPr>
          <w:snapToGrid w:val="0"/>
        </w:rPr>
      </w:pPr>
      <w:bookmarkStart w:id="13" w:name="_Toc408498773"/>
      <w:bookmarkStart w:id="14" w:name="_Toc423343039"/>
      <w:r>
        <w:rPr>
          <w:rStyle w:val="CharSectno"/>
        </w:rPr>
        <w:t>3</w:t>
      </w:r>
      <w:r>
        <w:rPr>
          <w:snapToGrid w:val="0"/>
        </w:rPr>
        <w:t>.</w:t>
      </w:r>
      <w:r>
        <w:rPr>
          <w:snapToGrid w:val="0"/>
        </w:rPr>
        <w:tab/>
        <w:t>Application</w:t>
      </w:r>
      <w:bookmarkEnd w:id="13"/>
      <w:bookmarkEnd w:id="14"/>
      <w:r>
        <w:rPr>
          <w:snapToGrid w:val="0"/>
        </w:rPr>
        <w:t xml:space="preserve"> </w:t>
      </w:r>
    </w:p>
    <w:p>
      <w:pPr>
        <w:pStyle w:val="Subsection"/>
        <w:rPr>
          <w:snapToGrid w:val="0"/>
        </w:rPr>
      </w:pPr>
      <w:r>
        <w:tab/>
        <w:t>(1)</w:t>
      </w:r>
      <w:r>
        <w:tab/>
        <w:t>Unless</w:t>
      </w:r>
      <w:r>
        <w:rPr>
          <w:snapToGrid w:val="0"/>
        </w:rPr>
        <w:t xml:space="preserve"> otherwise stated, these regulations apply to — </w:t>
      </w:r>
    </w:p>
    <w:p>
      <w:pPr>
        <w:pStyle w:val="Indenta"/>
        <w:spacing w:before="60"/>
        <w:rPr>
          <w:snapToGrid w:val="0"/>
        </w:rPr>
      </w:pPr>
      <w:r>
        <w:rPr>
          <w:snapToGrid w:val="0"/>
        </w:rPr>
        <w:tab/>
        <w:t>(a)</w:t>
      </w:r>
      <w:r>
        <w:rPr>
          <w:snapToGrid w:val="0"/>
        </w:rPr>
        <w:tab/>
        <w:t>land, and land and waters, specified in section 5 of the Act; and</w:t>
      </w:r>
    </w:p>
    <w:p>
      <w:pPr>
        <w:pStyle w:val="Indenta"/>
        <w:spacing w:before="60"/>
      </w:pPr>
      <w:r>
        <w:tab/>
        <w:t>(b)</w:t>
      </w:r>
      <w:r>
        <w:tab/>
        <w:t>subject to section 130(2) of the Act, section 8A land; and</w:t>
      </w:r>
    </w:p>
    <w:p>
      <w:pPr>
        <w:pStyle w:val="Indenta"/>
        <w:spacing w:before="60"/>
      </w:pPr>
      <w:r>
        <w:tab/>
        <w:t>(c)</w:t>
      </w:r>
      <w:r>
        <w:tab/>
        <w:t>subject to subregulation (2), section 8C land; and</w:t>
      </w:r>
    </w:p>
    <w:p>
      <w:pPr>
        <w:pStyle w:val="Indenta"/>
        <w:spacing w:before="60"/>
        <w:rPr>
          <w:snapToGrid w:val="0"/>
        </w:rPr>
      </w:pPr>
      <w:r>
        <w:rPr>
          <w:snapToGrid w:val="0"/>
        </w:rPr>
        <w:tab/>
        <w:t>(d)</w:t>
      </w:r>
      <w:r>
        <w:rPr>
          <w:snapToGrid w:val="0"/>
        </w:rPr>
        <w:tab/>
        <w:t xml:space="preserve">land to which section 131 of the Act applies. </w:t>
      </w:r>
    </w:p>
    <w:p>
      <w:pPr>
        <w:pStyle w:val="Subsection"/>
      </w:pPr>
      <w:r>
        <w:tab/>
        <w:t>(2)</w:t>
      </w:r>
      <w:r>
        <w:tab/>
        <w:t>If the Governor, by order under section 8C(2)(b), has specified the CEO’s functions in relation to managing any section 8C land, a regulation does not apply to the land unless it prescribes a matter that is consistent with the functions that the CEO has in respect of the land.</w:t>
      </w:r>
    </w:p>
    <w:p>
      <w:pPr>
        <w:pStyle w:val="Footnotesection"/>
        <w:spacing w:before="100"/>
      </w:pPr>
      <w:r>
        <w:tab/>
        <w:t>[Regulation 3 amended in Gazette 29 Sep 2006 p. 4305; 7 Dec 2012 p. 5965.]</w:t>
      </w:r>
    </w:p>
    <w:p>
      <w:pPr>
        <w:pStyle w:val="Heading5"/>
        <w:rPr>
          <w:snapToGrid w:val="0"/>
        </w:rPr>
      </w:pPr>
      <w:bookmarkStart w:id="15" w:name="_Toc408498774"/>
      <w:bookmarkStart w:id="16" w:name="_Toc423343040"/>
      <w:r>
        <w:rPr>
          <w:rStyle w:val="CharSectno"/>
        </w:rPr>
        <w:t>4</w:t>
      </w:r>
      <w:r>
        <w:rPr>
          <w:snapToGrid w:val="0"/>
        </w:rPr>
        <w:t>.</w:t>
      </w:r>
      <w:r>
        <w:rPr>
          <w:snapToGrid w:val="0"/>
        </w:rPr>
        <w:tab/>
        <w:t>Lawful authority</w:t>
      </w:r>
      <w:bookmarkEnd w:id="15"/>
      <w:bookmarkEnd w:id="16"/>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by written notice, authorise a person to do an act that would, but for that notice, be unlawful under these regulations.</w:t>
      </w:r>
    </w:p>
    <w:p>
      <w:pPr>
        <w:pStyle w:val="Subsection"/>
      </w:pPr>
      <w:r>
        <w:tab/>
        <w:t>(2A)</w:t>
      </w:r>
      <w:r>
        <w:tab/>
        <w:t>The CEO is to specify in a notice under subregulation (1) the person or persons or group, body or association of persons to whom the authorisation applies.</w:t>
      </w:r>
    </w:p>
    <w:p>
      <w:pPr>
        <w:pStyle w:val="Subsection"/>
        <w:rPr>
          <w:snapToGrid w:val="0"/>
        </w:rPr>
      </w:pPr>
      <w:r>
        <w:rPr>
          <w:snapToGrid w:val="0"/>
        </w:rPr>
        <w:tab/>
        <w:t>(2)</w:t>
      </w:r>
      <w:r>
        <w:rPr>
          <w:snapToGrid w:val="0"/>
        </w:rPr>
        <w:tab/>
        <w:t>A notice under subregulation (1) may be expressed to operate in specified circumstances, for a specified period or subject to any specified condition and may be amended or revoked by the</w:t>
      </w:r>
      <w:r>
        <w:t xml:space="preserve"> CEO</w:t>
      </w:r>
      <w:r>
        <w:rPr>
          <w:snapToGrid w:val="0"/>
        </w:rPr>
        <w:t>.</w:t>
      </w:r>
    </w:p>
    <w:p>
      <w:pPr>
        <w:pStyle w:val="Subsection"/>
        <w:rPr>
          <w:snapToGrid w:val="0"/>
        </w:rPr>
      </w:pPr>
      <w:r>
        <w:rPr>
          <w:snapToGrid w:val="0"/>
        </w:rPr>
        <w:tab/>
        <w:t>(3)</w:t>
      </w:r>
      <w:r>
        <w:rPr>
          <w:snapToGrid w:val="0"/>
        </w:rPr>
        <w:tab/>
        <w:t>In order to avoid any doubt and without limiting the meaning of the expression “without lawful authority”, it is declared that, for the purposes of these regulations, an act is done without lawful authority if it is done — </w:t>
      </w:r>
    </w:p>
    <w:p>
      <w:pPr>
        <w:pStyle w:val="Indenta"/>
        <w:spacing w:before="60"/>
        <w:rPr>
          <w:snapToGrid w:val="0"/>
        </w:rPr>
      </w:pPr>
      <w:r>
        <w:rPr>
          <w:snapToGrid w:val="0"/>
        </w:rPr>
        <w:tab/>
        <w:t>(a)</w:t>
      </w:r>
      <w:r>
        <w:rPr>
          <w:snapToGrid w:val="0"/>
        </w:rPr>
        <w:tab/>
        <w:t>in contravention of any term or condition of a contract, permit, lease, licence, notice or other authority under the Act or these regulations; or</w:t>
      </w:r>
    </w:p>
    <w:p>
      <w:pPr>
        <w:pStyle w:val="Indenta"/>
        <w:spacing w:before="60"/>
        <w:rPr>
          <w:snapToGrid w:val="0"/>
        </w:rPr>
      </w:pPr>
      <w:r>
        <w:rPr>
          <w:snapToGrid w:val="0"/>
        </w:rPr>
        <w:tab/>
        <w:t>(b)</w:t>
      </w:r>
      <w:r>
        <w:rPr>
          <w:snapToGrid w:val="0"/>
        </w:rPr>
        <w:tab/>
        <w:t xml:space="preserve">in contravention of any term or condition of a licence or other authority under the </w:t>
      </w:r>
      <w:r>
        <w:rPr>
          <w:i/>
          <w:snapToGrid w:val="0"/>
        </w:rPr>
        <w:t>Wildlife Conservation Act 1950</w:t>
      </w:r>
      <w:r>
        <w:rPr>
          <w:snapToGrid w:val="0"/>
        </w:rPr>
        <w:t>; or</w:t>
      </w:r>
    </w:p>
    <w:p>
      <w:pPr>
        <w:pStyle w:val="Indenta"/>
        <w:spacing w:before="60"/>
      </w:pPr>
      <w:r>
        <w:tab/>
        <w:t>(c)</w:t>
      </w:r>
      <w:r>
        <w:tab/>
        <w:t xml:space="preserve">in contravention of a direction or authority under the </w:t>
      </w:r>
      <w:r>
        <w:rPr>
          <w:i/>
        </w:rPr>
        <w:t>Biosecurity and Agriculture Management Act 2007</w:t>
      </w:r>
      <w:r>
        <w:t>; or</w:t>
      </w:r>
    </w:p>
    <w:p>
      <w:pPr>
        <w:pStyle w:val="Indenta"/>
        <w:spacing w:before="60"/>
      </w:pPr>
      <w:r>
        <w:rPr>
          <w:snapToGrid w:val="0"/>
        </w:rPr>
        <w:tab/>
        <w:t>(d)</w:t>
      </w:r>
      <w:r>
        <w:rPr>
          <w:snapToGrid w:val="0"/>
        </w:rPr>
        <w:tab/>
      </w:r>
      <w:r>
        <w:t xml:space="preserve">in contravention of a direction or authority under the </w:t>
      </w:r>
      <w:r>
        <w:rPr>
          <w:i/>
        </w:rPr>
        <w:t>Fish Resources Management Act 1994</w:t>
      </w:r>
      <w:r>
        <w:t>; or</w:t>
      </w:r>
    </w:p>
    <w:p>
      <w:pPr>
        <w:pStyle w:val="Indenta"/>
        <w:spacing w:before="60"/>
      </w:pPr>
      <w:r>
        <w:tab/>
        <w:t>(e)</w:t>
      </w:r>
      <w:r>
        <w:tab/>
        <w:t>in contravention of a direction, or the terms and conditions of an authority (however described), under another written law; or</w:t>
      </w:r>
    </w:p>
    <w:p>
      <w:pPr>
        <w:pStyle w:val="Indenta"/>
        <w:keepNext/>
        <w:spacing w:before="60"/>
      </w:pPr>
      <w:r>
        <w:tab/>
        <w:t>(f)</w:t>
      </w:r>
      <w:r>
        <w:tab/>
        <w:t>where the person doing the act has entered the land upon which the act is done without lawful authority.</w:t>
      </w:r>
    </w:p>
    <w:p>
      <w:pPr>
        <w:pStyle w:val="Footnotesection"/>
        <w:spacing w:before="100"/>
      </w:pPr>
      <w:r>
        <w:tab/>
        <w:t>[Regulation 4 amended in Gazette 29 Sep 2006 p. 4305 and 4334; 5 Feb 2013 p. 834; 19 Sep 2014 p. 3330.]</w:t>
      </w:r>
    </w:p>
    <w:p>
      <w:pPr>
        <w:pStyle w:val="Heading5"/>
        <w:rPr>
          <w:snapToGrid w:val="0"/>
        </w:rPr>
      </w:pPr>
      <w:bookmarkStart w:id="17" w:name="_Toc408498775"/>
      <w:bookmarkStart w:id="18" w:name="_Toc423343041"/>
      <w:r>
        <w:rPr>
          <w:rStyle w:val="CharSectno"/>
        </w:rPr>
        <w:t>5</w:t>
      </w:r>
      <w:r>
        <w:rPr>
          <w:snapToGrid w:val="0"/>
        </w:rPr>
        <w:t>.</w:t>
      </w:r>
      <w:r>
        <w:rPr>
          <w:snapToGrid w:val="0"/>
        </w:rPr>
        <w:tab/>
        <w:t>Restricted areas</w:t>
      </w:r>
      <w:bookmarkEnd w:id="17"/>
      <w:bookmarkEnd w:id="18"/>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rPr>
          <w:snapToGrid w:val="0"/>
        </w:rPr>
      </w:pPr>
      <w:r>
        <w:rPr>
          <w:snapToGrid w:val="0"/>
        </w:rPr>
        <w:tab/>
        <w:t>(a)</w:t>
      </w:r>
      <w:r>
        <w:rPr>
          <w:snapToGrid w:val="0"/>
        </w:rPr>
        <w:tab/>
        <w:t xml:space="preserve">declare an area of CALM land to be a restricted area for the purposes of regulations 9 (fishing), 26 (glass), 28 (cleaning etc. fish), 39 (certain fires), </w:t>
      </w:r>
      <w:r>
        <w:t xml:space="preserve">51 (vehicles), 51A (bicycles), </w:t>
      </w:r>
      <w:r>
        <w:rPr>
          <w:snapToGrid w:val="0"/>
        </w:rPr>
        <w:t>60 (anchoring), 61 (operation of vessels) and 64 (launching etc. of vessels) or any of those regulations; and</w:t>
      </w:r>
    </w:p>
    <w:p>
      <w:pPr>
        <w:pStyle w:val="Indenta"/>
        <w:rPr>
          <w:snapToGrid w:val="0"/>
        </w:rPr>
      </w:pPr>
      <w:r>
        <w:rPr>
          <w:snapToGrid w:val="0"/>
        </w:rPr>
        <w:tab/>
        <w:t>(b)</w:t>
      </w:r>
      <w:r>
        <w:rPr>
          <w:snapToGrid w:val="0"/>
        </w:rPr>
        <w:tab/>
        <w:t>specify which activities are prohibited or restricted in the restricted area, and the nature of the restrictions.</w:t>
      </w:r>
    </w:p>
    <w:p>
      <w:pPr>
        <w:pStyle w:val="Subsection"/>
        <w:rPr>
          <w:snapToGrid w:val="0"/>
        </w:rPr>
      </w:pPr>
      <w:r>
        <w:rPr>
          <w:snapToGrid w:val="0"/>
        </w:rPr>
        <w:tab/>
        <w:t>(2)</w:t>
      </w:r>
      <w:r>
        <w:rPr>
          <w:snapToGrid w:val="0"/>
        </w:rPr>
        <w:tab/>
        <w:t>An area may be declared to be a restricted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 xml:space="preserve">CEO </w:t>
      </w:r>
      <w:r>
        <w:rPr>
          <w:snapToGrid w:val="0"/>
        </w:rPr>
        <w:t>in or in the vicinity of a restricted area indicating — </w:t>
      </w:r>
    </w:p>
    <w:p>
      <w:pPr>
        <w:pStyle w:val="Indenta"/>
        <w:rPr>
          <w:snapToGrid w:val="0"/>
        </w:rPr>
      </w:pPr>
      <w:r>
        <w:rPr>
          <w:snapToGrid w:val="0"/>
        </w:rPr>
        <w:tab/>
        <w:t>(a)</w:t>
      </w:r>
      <w:r>
        <w:rPr>
          <w:snapToGrid w:val="0"/>
        </w:rPr>
        <w:tab/>
        <w:t>that the area is a restricted area during the periods specified in the notice; and</w:t>
      </w:r>
    </w:p>
    <w:p>
      <w:pPr>
        <w:pStyle w:val="Indenta"/>
        <w:rPr>
          <w:snapToGrid w:val="0"/>
        </w:rPr>
      </w:pPr>
      <w:r>
        <w:rPr>
          <w:snapToGrid w:val="0"/>
        </w:rPr>
        <w:tab/>
        <w:t>(b)</w:t>
      </w:r>
      <w:r>
        <w:rPr>
          <w:snapToGrid w:val="0"/>
        </w:rPr>
        <w:tab/>
        <w:t>the activities in that area that are prohibited or restricted by reason of the area being a restricted area; and</w:t>
      </w:r>
    </w:p>
    <w:p>
      <w:pPr>
        <w:pStyle w:val="Indenta"/>
        <w:rPr>
          <w:snapToGrid w:val="0"/>
        </w:rPr>
      </w:pPr>
      <w:r>
        <w:rPr>
          <w:snapToGrid w:val="0"/>
        </w:rPr>
        <w:tab/>
        <w:t>(c)</w:t>
      </w:r>
      <w:r>
        <w:rPr>
          <w:snapToGrid w:val="0"/>
        </w:rPr>
        <w:tab/>
        <w:t>if activities in the restricted area are subject to restrictions, the nature of the restrictions.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Unless the contrary intention appears, a reference in a </w:t>
      </w:r>
      <w:r>
        <w:t xml:space="preserve">provision of these regulations </w:t>
      </w:r>
      <w:r>
        <w:rPr>
          <w:snapToGrid w:val="0"/>
        </w:rPr>
        <w:t>to a restricted area is a reference to an area declared to be a restricted area under subregulation (1) for the purposes of that</w:t>
      </w:r>
      <w:r>
        <w:t xml:space="preserve"> provision</w:t>
      </w:r>
      <w:r>
        <w:rPr>
          <w:snapToGrid w:val="0"/>
        </w:rPr>
        <w:t>.</w:t>
      </w:r>
    </w:p>
    <w:p>
      <w:pPr>
        <w:pStyle w:val="Footnotesection"/>
      </w:pPr>
      <w:r>
        <w:tab/>
        <w:t>[Regulation 5 amended in Gazette 29 Sep 2006 p. 4305</w:t>
      </w:r>
      <w:r>
        <w:noBreakHyphen/>
        <w:t>6 and 4334.]</w:t>
      </w:r>
    </w:p>
    <w:p>
      <w:pPr>
        <w:pStyle w:val="Heading5"/>
        <w:rPr>
          <w:snapToGrid w:val="0"/>
        </w:rPr>
      </w:pPr>
      <w:bookmarkStart w:id="19" w:name="_Toc408498776"/>
      <w:bookmarkStart w:id="20" w:name="_Toc423343042"/>
      <w:r>
        <w:rPr>
          <w:rStyle w:val="CharSectno"/>
        </w:rPr>
        <w:t>6</w:t>
      </w:r>
      <w:r>
        <w:rPr>
          <w:snapToGrid w:val="0"/>
        </w:rPr>
        <w:t>.</w:t>
      </w:r>
      <w:r>
        <w:rPr>
          <w:snapToGrid w:val="0"/>
        </w:rPr>
        <w:tab/>
        <w:t>Designated areas</w:t>
      </w:r>
      <w:bookmarkEnd w:id="19"/>
      <w:bookmarkEnd w:id="20"/>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pPr>
      <w:r>
        <w:tab/>
        <w:t>(a)</w:t>
      </w:r>
      <w:r>
        <w:tab/>
        <w:t>declare an area of CALM land to be a designated area for the purposes of any regulation listed in the Table relating to an activity listed opposite that regulation; and</w:t>
      </w:r>
    </w:p>
    <w:p>
      <w:pPr>
        <w:pStyle w:val="Indenta"/>
        <w:rPr>
          <w:snapToGrid w:val="0"/>
        </w:rPr>
      </w:pPr>
      <w:r>
        <w:rPr>
          <w:snapToGrid w:val="0"/>
        </w:rPr>
        <w:tab/>
        <w:t>(b)</w:t>
      </w:r>
      <w:r>
        <w:rPr>
          <w:snapToGrid w:val="0"/>
        </w:rPr>
        <w:tab/>
      </w:r>
      <w:r>
        <w:t>specify conditions which apply to the use of the designated area for those purposes</w:t>
      </w:r>
      <w:r>
        <w:rPr>
          <w:snapToGrid w:val="0"/>
        </w:rPr>
        <w:t>.</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3686"/>
      </w:tblGrid>
      <w:tr>
        <w:trPr>
          <w:tblHeader/>
        </w:trPr>
        <w:tc>
          <w:tcPr>
            <w:tcW w:w="1984" w:type="dxa"/>
          </w:tcPr>
          <w:p>
            <w:pPr>
              <w:pStyle w:val="TableNAm"/>
            </w:pPr>
            <w:r>
              <w:rPr>
                <w:b/>
                <w:bCs/>
              </w:rPr>
              <w:t>Regulation</w:t>
            </w:r>
          </w:p>
        </w:tc>
        <w:tc>
          <w:tcPr>
            <w:tcW w:w="3686" w:type="dxa"/>
          </w:tcPr>
          <w:p>
            <w:pPr>
              <w:pStyle w:val="TableNAm"/>
            </w:pPr>
            <w:r>
              <w:rPr>
                <w:b/>
                <w:bCs/>
              </w:rPr>
              <w:t>Activity</w:t>
            </w:r>
          </w:p>
        </w:tc>
      </w:tr>
      <w:tr>
        <w:tc>
          <w:tcPr>
            <w:tcW w:w="1984" w:type="dxa"/>
          </w:tcPr>
          <w:p>
            <w:pPr>
              <w:pStyle w:val="TableNAm"/>
            </w:pPr>
            <w:r>
              <w:t>16</w:t>
            </w:r>
          </w:p>
        </w:tc>
        <w:tc>
          <w:tcPr>
            <w:tcW w:w="3686" w:type="dxa"/>
          </w:tcPr>
          <w:p>
            <w:pPr>
              <w:pStyle w:val="TableNAm"/>
            </w:pPr>
            <w:r>
              <w:t>bringing dogs onto land</w:t>
            </w:r>
          </w:p>
        </w:tc>
      </w:tr>
      <w:tr>
        <w:tc>
          <w:tcPr>
            <w:tcW w:w="1984" w:type="dxa"/>
          </w:tcPr>
          <w:p>
            <w:pPr>
              <w:pStyle w:val="TableNAm"/>
            </w:pPr>
            <w:r>
              <w:t>17</w:t>
            </w:r>
          </w:p>
        </w:tc>
        <w:tc>
          <w:tcPr>
            <w:tcW w:w="3686" w:type="dxa"/>
          </w:tcPr>
          <w:p>
            <w:pPr>
              <w:pStyle w:val="TableNAm"/>
            </w:pPr>
            <w:r>
              <w:t>bringing horses onto land</w:t>
            </w:r>
          </w:p>
        </w:tc>
      </w:tr>
      <w:tr>
        <w:tc>
          <w:tcPr>
            <w:tcW w:w="1984" w:type="dxa"/>
          </w:tcPr>
          <w:p>
            <w:pPr>
              <w:pStyle w:val="TableNAm"/>
            </w:pPr>
            <w:r>
              <w:t>21(3)</w:t>
            </w:r>
          </w:p>
        </w:tc>
        <w:tc>
          <w:tcPr>
            <w:tcW w:w="3686" w:type="dxa"/>
          </w:tcPr>
          <w:p>
            <w:pPr>
              <w:pStyle w:val="TableNAm"/>
            </w:pPr>
            <w:r>
              <w:t>discharging sewage from vessels</w:t>
            </w:r>
          </w:p>
        </w:tc>
      </w:tr>
      <w:tr>
        <w:tc>
          <w:tcPr>
            <w:tcW w:w="1984" w:type="dxa"/>
          </w:tcPr>
          <w:p>
            <w:pPr>
              <w:pStyle w:val="TableNAm"/>
            </w:pPr>
            <w:r>
              <w:t>33</w:t>
            </w:r>
          </w:p>
        </w:tc>
        <w:tc>
          <w:tcPr>
            <w:tcW w:w="3686" w:type="dxa"/>
          </w:tcPr>
          <w:p>
            <w:pPr>
              <w:pStyle w:val="TableNAm"/>
            </w:pPr>
            <w:r>
              <w:t>abseiling</w:t>
            </w:r>
          </w:p>
        </w:tc>
      </w:tr>
      <w:tr>
        <w:tc>
          <w:tcPr>
            <w:tcW w:w="1984" w:type="dxa"/>
          </w:tcPr>
          <w:p>
            <w:pPr>
              <w:pStyle w:val="TableNAm"/>
            </w:pPr>
            <w:r>
              <w:t>51</w:t>
            </w:r>
          </w:p>
        </w:tc>
        <w:tc>
          <w:tcPr>
            <w:tcW w:w="3686" w:type="dxa"/>
          </w:tcPr>
          <w:p>
            <w:pPr>
              <w:pStyle w:val="TableNAm"/>
            </w:pPr>
            <w:r>
              <w:t xml:space="preserve">driving or using vehicles </w:t>
            </w:r>
          </w:p>
        </w:tc>
      </w:tr>
      <w:tr>
        <w:tc>
          <w:tcPr>
            <w:tcW w:w="1984" w:type="dxa"/>
          </w:tcPr>
          <w:p>
            <w:pPr>
              <w:pStyle w:val="TableNAm"/>
            </w:pPr>
            <w:r>
              <w:t>51A</w:t>
            </w:r>
          </w:p>
        </w:tc>
        <w:tc>
          <w:tcPr>
            <w:tcW w:w="3686" w:type="dxa"/>
          </w:tcPr>
          <w:p>
            <w:pPr>
              <w:pStyle w:val="TableNAm"/>
            </w:pPr>
            <w:r>
              <w:t>riding bicycles</w:t>
            </w:r>
          </w:p>
        </w:tc>
      </w:tr>
      <w:tr>
        <w:tc>
          <w:tcPr>
            <w:tcW w:w="1984" w:type="dxa"/>
          </w:tcPr>
          <w:p>
            <w:pPr>
              <w:pStyle w:val="TableNAm"/>
            </w:pPr>
            <w:r>
              <w:t>60B</w:t>
            </w:r>
          </w:p>
        </w:tc>
        <w:tc>
          <w:tcPr>
            <w:tcW w:w="3686" w:type="dxa"/>
          </w:tcPr>
          <w:p>
            <w:pPr>
              <w:pStyle w:val="TableNAm"/>
            </w:pPr>
            <w:r>
              <w:t>mooring vessels</w:t>
            </w:r>
          </w:p>
        </w:tc>
      </w:tr>
      <w:tr>
        <w:tc>
          <w:tcPr>
            <w:tcW w:w="1984" w:type="dxa"/>
          </w:tcPr>
          <w:p>
            <w:pPr>
              <w:pStyle w:val="TableNAm"/>
            </w:pPr>
            <w:r>
              <w:t>61A</w:t>
            </w:r>
          </w:p>
        </w:tc>
        <w:tc>
          <w:tcPr>
            <w:tcW w:w="3686" w:type="dxa"/>
          </w:tcPr>
          <w:p>
            <w:pPr>
              <w:pStyle w:val="TableNAm"/>
            </w:pPr>
            <w:r>
              <w:t>operating vessels in nature reserves</w:t>
            </w:r>
          </w:p>
        </w:tc>
      </w:tr>
      <w:tr>
        <w:tc>
          <w:tcPr>
            <w:tcW w:w="1984" w:type="dxa"/>
          </w:tcPr>
          <w:p>
            <w:pPr>
              <w:pStyle w:val="TableNAm"/>
            </w:pPr>
            <w:r>
              <w:t>66</w:t>
            </w:r>
          </w:p>
        </w:tc>
        <w:tc>
          <w:tcPr>
            <w:tcW w:w="3686" w:type="dxa"/>
          </w:tcPr>
          <w:p>
            <w:pPr>
              <w:pStyle w:val="TableNAm"/>
            </w:pPr>
            <w:r>
              <w:t>camping</w:t>
            </w:r>
          </w:p>
        </w:tc>
      </w:tr>
    </w:tbl>
    <w:p>
      <w:pPr>
        <w:pStyle w:val="Subsection"/>
        <w:rPr>
          <w:snapToGrid w:val="0"/>
        </w:rPr>
      </w:pPr>
      <w:r>
        <w:rPr>
          <w:snapToGrid w:val="0"/>
        </w:rPr>
        <w:tab/>
        <w:t>(2)</w:t>
      </w:r>
      <w:r>
        <w:rPr>
          <w:snapToGrid w:val="0"/>
        </w:rPr>
        <w:tab/>
        <w:t>An area may be declared to be a designated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CEO</w:t>
      </w:r>
      <w:r>
        <w:rPr>
          <w:snapToGrid w:val="0"/>
        </w:rPr>
        <w:t xml:space="preserve"> in or in the vicinity of a designated area indicating — </w:t>
      </w:r>
    </w:p>
    <w:p>
      <w:pPr>
        <w:pStyle w:val="Indenta"/>
        <w:rPr>
          <w:snapToGrid w:val="0"/>
        </w:rPr>
      </w:pPr>
      <w:r>
        <w:rPr>
          <w:snapToGrid w:val="0"/>
        </w:rPr>
        <w:tab/>
        <w:t>(a)</w:t>
      </w:r>
      <w:r>
        <w:rPr>
          <w:snapToGrid w:val="0"/>
        </w:rPr>
        <w:tab/>
        <w:t>that the area is a designated area during the periods specified in the notice; and</w:t>
      </w:r>
    </w:p>
    <w:p>
      <w:pPr>
        <w:pStyle w:val="Indenta"/>
        <w:rPr>
          <w:snapToGrid w:val="0"/>
        </w:rPr>
      </w:pPr>
      <w:r>
        <w:rPr>
          <w:snapToGrid w:val="0"/>
        </w:rPr>
        <w:tab/>
        <w:t>(b)</w:t>
      </w:r>
      <w:r>
        <w:rPr>
          <w:snapToGrid w:val="0"/>
        </w:rPr>
        <w:tab/>
        <w:t>the activities in that area that are permitted by reason of the area being a designated area; and</w:t>
      </w:r>
    </w:p>
    <w:p>
      <w:pPr>
        <w:pStyle w:val="Indenta"/>
        <w:rPr>
          <w:b/>
          <w:i/>
          <w:snapToGrid w:val="0"/>
        </w:rPr>
      </w:pPr>
      <w:r>
        <w:rPr>
          <w:snapToGrid w:val="0"/>
        </w:rPr>
        <w:tab/>
        <w:t>(c)</w:t>
      </w:r>
      <w:r>
        <w:rPr>
          <w:snapToGrid w:val="0"/>
        </w:rPr>
        <w:tab/>
        <w:t>if activities are subject to conditions, the nature of the conditions.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A reference in a </w:t>
      </w:r>
      <w:r>
        <w:t xml:space="preserve">provision of these regulations </w:t>
      </w:r>
      <w:r>
        <w:rPr>
          <w:snapToGrid w:val="0"/>
        </w:rPr>
        <w:t>to a designated area is a reference to an area declared to be a designated area under subregulation (1) for the purposes of that</w:t>
      </w:r>
      <w:r>
        <w:t xml:space="preserve"> provision</w:t>
      </w:r>
      <w:r>
        <w:rPr>
          <w:snapToGrid w:val="0"/>
        </w:rPr>
        <w:t>.</w:t>
      </w:r>
    </w:p>
    <w:p>
      <w:pPr>
        <w:pStyle w:val="Footnotesection"/>
      </w:pPr>
      <w:r>
        <w:tab/>
        <w:t>[Regulation 6 amended in Gazette 29 Sep 2006 p. 4306 and 4334; 24 Mar 2015 p. 1034.]</w:t>
      </w:r>
    </w:p>
    <w:p>
      <w:pPr>
        <w:pStyle w:val="Heading2"/>
      </w:pPr>
      <w:bookmarkStart w:id="21" w:name="_Toc408498777"/>
      <w:bookmarkStart w:id="22" w:name="_Toc414889199"/>
      <w:bookmarkStart w:id="23" w:name="_Toc414975142"/>
      <w:bookmarkStart w:id="24" w:name="_Toc417563624"/>
      <w:bookmarkStart w:id="25" w:name="_Toc423340445"/>
      <w:bookmarkStart w:id="26" w:name="_Toc423343043"/>
      <w:r>
        <w:rPr>
          <w:rStyle w:val="CharPartNo"/>
        </w:rPr>
        <w:t>Part 2</w:t>
      </w:r>
      <w:r>
        <w:t xml:space="preserve"> — </w:t>
      </w:r>
      <w:r>
        <w:rPr>
          <w:rStyle w:val="CharPartText"/>
        </w:rPr>
        <w:t>Protection of the environment</w:t>
      </w:r>
      <w:bookmarkEnd w:id="21"/>
      <w:bookmarkEnd w:id="22"/>
      <w:bookmarkEnd w:id="23"/>
      <w:bookmarkEnd w:id="24"/>
      <w:bookmarkEnd w:id="25"/>
      <w:bookmarkEnd w:id="26"/>
    </w:p>
    <w:p>
      <w:pPr>
        <w:pStyle w:val="Heading3"/>
        <w:spacing w:before="220"/>
      </w:pPr>
      <w:bookmarkStart w:id="27" w:name="_Toc408498778"/>
      <w:bookmarkStart w:id="28" w:name="_Toc414889200"/>
      <w:bookmarkStart w:id="29" w:name="_Toc414975143"/>
      <w:bookmarkStart w:id="30" w:name="_Toc417563625"/>
      <w:bookmarkStart w:id="31" w:name="_Toc423340446"/>
      <w:bookmarkStart w:id="32" w:name="_Toc423343044"/>
      <w:r>
        <w:rPr>
          <w:rStyle w:val="CharDivNo"/>
        </w:rPr>
        <w:t>Division 1</w:t>
      </w:r>
      <w:r>
        <w:t xml:space="preserve"> — </w:t>
      </w:r>
      <w:r>
        <w:rPr>
          <w:rStyle w:val="CharDivText"/>
        </w:rPr>
        <w:t>Protection of flora and fauna</w:t>
      </w:r>
      <w:bookmarkEnd w:id="27"/>
      <w:bookmarkEnd w:id="28"/>
      <w:bookmarkEnd w:id="29"/>
      <w:bookmarkEnd w:id="30"/>
      <w:bookmarkEnd w:id="31"/>
      <w:bookmarkEnd w:id="32"/>
    </w:p>
    <w:p>
      <w:pPr>
        <w:pStyle w:val="Heading5"/>
      </w:pPr>
      <w:bookmarkStart w:id="33" w:name="_Toc408498779"/>
      <w:bookmarkStart w:id="34" w:name="_Toc423343045"/>
      <w:r>
        <w:rPr>
          <w:rStyle w:val="CharSectno"/>
        </w:rPr>
        <w:t>7</w:t>
      </w:r>
      <w:r>
        <w:t>.</w:t>
      </w:r>
      <w:r>
        <w:tab/>
        <w:t>Limitation on restriction</w:t>
      </w:r>
      <w:bookmarkEnd w:id="33"/>
      <w:bookmarkEnd w:id="34"/>
    </w:p>
    <w:p>
      <w:pPr>
        <w:pStyle w:val="Subsection"/>
      </w:pPr>
      <w:r>
        <w:tab/>
      </w:r>
      <w:r>
        <w:tab/>
        <w:t xml:space="preserve">Nothing in these regulations imposes any restriction on the taking, in a marine park or marine management area — </w:t>
      </w:r>
    </w:p>
    <w:p>
      <w:pPr>
        <w:pStyle w:val="Indenta"/>
        <w:spacing w:before="60"/>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spacing w:before="60"/>
      </w:pPr>
      <w:r>
        <w:tab/>
        <w:t>(b)</w:t>
      </w:r>
      <w:r>
        <w:tab/>
        <w:t xml:space="preserve">of pearl oyster within the meaning of the </w:t>
      </w:r>
      <w:r>
        <w:rPr>
          <w:i/>
        </w:rPr>
        <w:t>Pearling Act 1990</w:t>
      </w:r>
      <w:r>
        <w:t>, in accordance with that Act,</w:t>
      </w:r>
    </w:p>
    <w:p>
      <w:pPr>
        <w:pStyle w:val="Subsection"/>
        <w:spacing w:before="120"/>
      </w:pPr>
      <w:r>
        <w:tab/>
      </w:r>
      <w:r>
        <w:tab/>
        <w:t>except to the extent that the restriction relates to conduct or activity other than the taking of fish but that incidentally affects the taking of fish.</w:t>
      </w:r>
    </w:p>
    <w:p>
      <w:pPr>
        <w:pStyle w:val="Heading5"/>
        <w:rPr>
          <w:snapToGrid w:val="0"/>
        </w:rPr>
      </w:pPr>
      <w:bookmarkStart w:id="35" w:name="_Toc408498780"/>
      <w:bookmarkStart w:id="36" w:name="_Toc423343046"/>
      <w:r>
        <w:rPr>
          <w:rStyle w:val="CharSectno"/>
        </w:rPr>
        <w:t>8</w:t>
      </w:r>
      <w:r>
        <w:rPr>
          <w:snapToGrid w:val="0"/>
        </w:rPr>
        <w:t>.</w:t>
      </w:r>
      <w:r>
        <w:rPr>
          <w:snapToGrid w:val="0"/>
        </w:rPr>
        <w:tab/>
        <w:t>Unlawful taking of flora and fauna other than fish</w:t>
      </w:r>
      <w:bookmarkEnd w:id="35"/>
      <w:bookmarkEnd w:id="36"/>
    </w:p>
    <w:p>
      <w:pPr>
        <w:pStyle w:val="Subsection"/>
        <w:spacing w:before="150"/>
        <w:rPr>
          <w:snapToGrid w:val="0"/>
        </w:rPr>
      </w:pPr>
      <w:r>
        <w:rPr>
          <w:snapToGrid w:val="0"/>
        </w:rPr>
        <w:tab/>
        <w:t>(1)</w:t>
      </w:r>
      <w:r>
        <w:rPr>
          <w:snapToGrid w:val="0"/>
        </w:rPr>
        <w:tab/>
        <w:t>Without limiting section 106(b), a person must not, without lawful authority, take any flora or fauna on CALM land.</w:t>
      </w:r>
    </w:p>
    <w:p>
      <w:pPr>
        <w:pStyle w:val="Penstart"/>
        <w:rPr>
          <w:snapToGrid w:val="0"/>
        </w:rPr>
      </w:pPr>
      <w:r>
        <w:rPr>
          <w:snapToGrid w:val="0"/>
        </w:rPr>
        <w:tab/>
        <w:t xml:space="preserve">Penalty: </w:t>
      </w:r>
      <w:r>
        <w:t>a fine of</w:t>
      </w:r>
      <w:r>
        <w:rPr>
          <w:snapToGrid w:val="0"/>
        </w:rPr>
        <w:t xml:space="preserve"> $2 000.</w:t>
      </w:r>
    </w:p>
    <w:p>
      <w:pPr>
        <w:pStyle w:val="Subsection"/>
        <w:spacing w:before="150"/>
        <w:rPr>
          <w:snapToGrid w:val="0"/>
        </w:rPr>
      </w:pPr>
      <w:r>
        <w:rPr>
          <w:snapToGrid w:val="0"/>
        </w:rPr>
        <w:tab/>
        <w:t>(2)</w:t>
      </w:r>
      <w:r>
        <w:rPr>
          <w:snapToGrid w:val="0"/>
        </w:rPr>
        <w:tab/>
        <w:t>Section 101C of the Act applies to the taking of flora or fauna in a marine reserve.</w:t>
      </w:r>
    </w:p>
    <w:p>
      <w:pPr>
        <w:pStyle w:val="Subsection"/>
        <w:spacing w:before="150"/>
        <w:rPr>
          <w:snapToGrid w:val="0"/>
        </w:rPr>
      </w:pPr>
      <w:r>
        <w:rPr>
          <w:snapToGrid w:val="0"/>
        </w:rPr>
        <w:tab/>
        <w:t>(3)</w:t>
      </w:r>
      <w:r>
        <w:rPr>
          <w:snapToGrid w:val="0"/>
        </w:rPr>
        <w:tab/>
        <w:t>In subregulation (1) — </w:t>
      </w:r>
    </w:p>
    <w:p>
      <w:pPr>
        <w:pStyle w:val="Defstart"/>
      </w:pPr>
      <w:r>
        <w:tab/>
      </w:r>
      <w:r>
        <w:rPr>
          <w:rStyle w:val="CharDefText"/>
        </w:rPr>
        <w:t>CALM land</w:t>
      </w:r>
      <w:r>
        <w:rPr>
          <w:b/>
        </w:rPr>
        <w:t xml:space="preserve"> </w:t>
      </w:r>
      <w:r>
        <w:t>does not include a marine reserve;</w:t>
      </w:r>
    </w:p>
    <w:p>
      <w:pPr>
        <w:pStyle w:val="Defstart"/>
      </w:pPr>
      <w:r>
        <w:tab/>
      </w:r>
      <w:r>
        <w:rPr>
          <w:rStyle w:val="CharDefText"/>
        </w:rPr>
        <w:t>fauna</w:t>
      </w:r>
      <w:r>
        <w:rPr>
          <w:b/>
        </w:rPr>
        <w:t xml:space="preserve"> </w:t>
      </w:r>
      <w:r>
        <w:t>does not include fish.</w:t>
      </w:r>
    </w:p>
    <w:p>
      <w:pPr>
        <w:pStyle w:val="Footnotesection"/>
        <w:spacing w:before="100"/>
      </w:pPr>
      <w:r>
        <w:tab/>
        <w:t>[Regulation 8 amended in Gazette 3 Dec 2010 p. 6052.]</w:t>
      </w:r>
    </w:p>
    <w:p>
      <w:pPr>
        <w:pStyle w:val="Heading5"/>
        <w:rPr>
          <w:snapToGrid w:val="0"/>
        </w:rPr>
      </w:pPr>
      <w:bookmarkStart w:id="37" w:name="_Toc408498781"/>
      <w:bookmarkStart w:id="38" w:name="_Toc423343047"/>
      <w:r>
        <w:rPr>
          <w:rStyle w:val="CharSectno"/>
        </w:rPr>
        <w:t>9</w:t>
      </w:r>
      <w:r>
        <w:rPr>
          <w:snapToGrid w:val="0"/>
        </w:rPr>
        <w:t>.</w:t>
      </w:r>
      <w:r>
        <w:rPr>
          <w:snapToGrid w:val="0"/>
        </w:rPr>
        <w:tab/>
        <w:t>Fishing in restricted areas</w:t>
      </w:r>
      <w:bookmarkEnd w:id="37"/>
      <w:bookmarkEnd w:id="38"/>
    </w:p>
    <w:p>
      <w:pPr>
        <w:pStyle w:val="Subsection"/>
        <w:spacing w:before="150"/>
        <w:rPr>
          <w:snapToGrid w:val="0"/>
        </w:rPr>
      </w:pPr>
      <w:r>
        <w:rPr>
          <w:snapToGrid w:val="0"/>
        </w:rPr>
        <w:tab/>
        <w:t>(1)</w:t>
      </w:r>
      <w:r>
        <w:rPr>
          <w:snapToGrid w:val="0"/>
        </w:rPr>
        <w:tab/>
        <w:t>A person must not, without lawful authority, in a restricted area — </w:t>
      </w:r>
    </w:p>
    <w:p>
      <w:pPr>
        <w:pStyle w:val="Indenta"/>
        <w:spacing w:before="60"/>
        <w:rPr>
          <w:snapToGrid w:val="0"/>
        </w:rPr>
      </w:pPr>
      <w:r>
        <w:rPr>
          <w:snapToGrid w:val="0"/>
        </w:rPr>
        <w:tab/>
        <w:t>(a)</w:t>
      </w:r>
      <w:r>
        <w:rPr>
          <w:snapToGrid w:val="0"/>
        </w:rPr>
        <w:tab/>
        <w:t>engage in a fishing activity prohibited in that area under regulation 5; or</w:t>
      </w:r>
    </w:p>
    <w:p>
      <w:pPr>
        <w:pStyle w:val="Indenta"/>
        <w:rPr>
          <w:snapToGrid w:val="0"/>
        </w:rPr>
      </w:pPr>
      <w:r>
        <w:rPr>
          <w:snapToGrid w:val="0"/>
        </w:rPr>
        <w:tab/>
        <w:t>(b)</w:t>
      </w:r>
      <w:r>
        <w:rPr>
          <w:snapToGrid w:val="0"/>
        </w:rPr>
        <w:tab/>
        <w:t>contravene a restriction imposed on a fishing activity in that area under regulation 5.</w:t>
      </w:r>
    </w:p>
    <w:p>
      <w:pPr>
        <w:pStyle w:val="Penstart"/>
        <w:spacing w:before="70"/>
        <w:rPr>
          <w:snapToGrid w:val="0"/>
        </w:rPr>
      </w:pPr>
      <w:r>
        <w:rPr>
          <w:snapToGrid w:val="0"/>
        </w:rPr>
        <w:tab/>
        <w:t xml:space="preserve">Penalty: </w:t>
      </w:r>
      <w:r>
        <w:t>a fine of</w:t>
      </w:r>
      <w:r>
        <w:rPr>
          <w:snapToGrid w:val="0"/>
        </w:rPr>
        <w:t xml:space="preserve"> $1 000.</w:t>
      </w:r>
    </w:p>
    <w:p>
      <w:pPr>
        <w:pStyle w:val="Subsection"/>
        <w:spacing w:before="140"/>
        <w:rPr>
          <w:snapToGrid w:val="0"/>
        </w:rPr>
      </w:pPr>
      <w:r>
        <w:rPr>
          <w:snapToGrid w:val="0"/>
        </w:rPr>
        <w:tab/>
        <w:t>(2)</w:t>
      </w:r>
      <w:r>
        <w:rPr>
          <w:snapToGrid w:val="0"/>
        </w:rPr>
        <w:tab/>
        <w:t>In this regulation — </w:t>
      </w:r>
    </w:p>
    <w:p>
      <w:pPr>
        <w:pStyle w:val="Defstart"/>
      </w:pPr>
      <w:r>
        <w:tab/>
      </w:r>
      <w:r>
        <w:rPr>
          <w:rStyle w:val="CharDefText"/>
        </w:rPr>
        <w:t>fishing activity</w:t>
      </w:r>
      <w:r>
        <w:rPr>
          <w:b/>
        </w:rPr>
        <w:t xml:space="preserve"> </w:t>
      </w:r>
      <w:r>
        <w:t xml:space="preserve">has the same meaning as in the </w:t>
      </w:r>
      <w:r>
        <w:rPr>
          <w:i/>
        </w:rPr>
        <w:t>Fish Resources Management Act 1994</w:t>
      </w:r>
      <w:r>
        <w:t>.</w:t>
      </w:r>
    </w:p>
    <w:p>
      <w:pPr>
        <w:pStyle w:val="Footnotesection"/>
        <w:spacing w:before="100"/>
      </w:pPr>
      <w:r>
        <w:tab/>
        <w:t>[Regulation 9 amended in Gazette 3 Dec 2010 p. 6052.]</w:t>
      </w:r>
    </w:p>
    <w:p>
      <w:pPr>
        <w:pStyle w:val="Heading5"/>
        <w:spacing w:before="200"/>
        <w:rPr>
          <w:snapToGrid w:val="0"/>
        </w:rPr>
      </w:pPr>
      <w:bookmarkStart w:id="39" w:name="_Toc408498782"/>
      <w:bookmarkStart w:id="40" w:name="_Toc423343048"/>
      <w:r>
        <w:rPr>
          <w:rStyle w:val="CharSectno"/>
        </w:rPr>
        <w:t>10</w:t>
      </w:r>
      <w:r>
        <w:rPr>
          <w:snapToGrid w:val="0"/>
        </w:rPr>
        <w:t>.</w:t>
      </w:r>
      <w:r>
        <w:rPr>
          <w:snapToGrid w:val="0"/>
        </w:rPr>
        <w:tab/>
        <w:t>Feeding of fauna</w:t>
      </w:r>
      <w:bookmarkEnd w:id="39"/>
      <w:bookmarkEnd w:id="40"/>
      <w:r>
        <w:rPr>
          <w:snapToGrid w:val="0"/>
        </w:rPr>
        <w:t xml:space="preserve"> </w:t>
      </w:r>
    </w:p>
    <w:p>
      <w:pPr>
        <w:pStyle w:val="Subsection"/>
        <w:spacing w:before="140"/>
        <w:rPr>
          <w:snapToGrid w:val="0"/>
        </w:rPr>
      </w:pPr>
      <w:r>
        <w:rPr>
          <w:snapToGrid w:val="0"/>
        </w:rPr>
        <w:tab/>
      </w:r>
      <w:r>
        <w:rPr>
          <w:snapToGrid w:val="0"/>
        </w:rPr>
        <w:tab/>
        <w:t>A person must not, without lawful authority, feed fauna, or entice fauna with food, on CALM land.</w:t>
      </w:r>
    </w:p>
    <w:p>
      <w:pPr>
        <w:pStyle w:val="Penstart"/>
        <w:spacing w:before="70"/>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10 amended in Gazette 3 Dec 2010 p. 6052; 19 Sep 2014 p. 3335.]</w:t>
      </w:r>
    </w:p>
    <w:p>
      <w:pPr>
        <w:pStyle w:val="Heading5"/>
        <w:spacing w:before="200"/>
        <w:rPr>
          <w:snapToGrid w:val="0"/>
        </w:rPr>
      </w:pPr>
      <w:bookmarkStart w:id="41" w:name="_Toc408498783"/>
      <w:bookmarkStart w:id="42" w:name="_Toc423343049"/>
      <w:r>
        <w:rPr>
          <w:rStyle w:val="CharSectno"/>
        </w:rPr>
        <w:t>11</w:t>
      </w:r>
      <w:r>
        <w:rPr>
          <w:snapToGrid w:val="0"/>
        </w:rPr>
        <w:t>.</w:t>
      </w:r>
      <w:r>
        <w:rPr>
          <w:snapToGrid w:val="0"/>
        </w:rPr>
        <w:tab/>
        <w:t>Restrictions on approaching certain marine fauna</w:t>
      </w:r>
      <w:bookmarkEnd w:id="41"/>
      <w:bookmarkEnd w:id="42"/>
      <w:r>
        <w:rPr>
          <w:snapToGrid w:val="0"/>
        </w:rPr>
        <w:t xml:space="preserve"> </w:t>
      </w:r>
    </w:p>
    <w:p>
      <w:pPr>
        <w:pStyle w:val="Subsection"/>
        <w:spacing w:before="140"/>
        <w:rPr>
          <w:snapToGrid w:val="0"/>
        </w:rPr>
      </w:pPr>
      <w:r>
        <w:rPr>
          <w:snapToGrid w:val="0"/>
        </w:rPr>
        <w:tab/>
        <w:t>(1)</w:t>
      </w:r>
      <w:r>
        <w:rPr>
          <w:snapToGrid w:val="0"/>
        </w:rPr>
        <w:tab/>
        <w:t>A person in a vessel or aircraft must not, without lawful authority, herd, chase, interfere with the movement of, or otherwise prevent the free movement of, a whale, dolphin, dugong, seal, sea lion, whale shark, manta ray, marine turtle or any other marine fauna in a marine reserve.</w:t>
      </w:r>
    </w:p>
    <w:p>
      <w:pPr>
        <w:pStyle w:val="Penstart"/>
        <w:spacing w:before="70"/>
        <w:rPr>
          <w:snapToGrid w:val="0"/>
        </w:rPr>
      </w:pPr>
      <w:r>
        <w:rPr>
          <w:snapToGrid w:val="0"/>
        </w:rPr>
        <w:tab/>
        <w:t xml:space="preserve">Penalty: </w:t>
      </w:r>
      <w:r>
        <w:t>a fine of</w:t>
      </w:r>
      <w:r>
        <w:rPr>
          <w:snapToGrid w:val="0"/>
        </w:rPr>
        <w:t xml:space="preserve"> $2 000.</w:t>
      </w:r>
    </w:p>
    <w:p>
      <w:pPr>
        <w:pStyle w:val="Subsection"/>
        <w:spacing w:before="140"/>
        <w:rPr>
          <w:snapToGrid w:val="0"/>
        </w:rPr>
      </w:pPr>
      <w:r>
        <w:rPr>
          <w:snapToGrid w:val="0"/>
        </w:rPr>
        <w:tab/>
        <w:t>(2)</w:t>
      </w:r>
      <w:r>
        <w:rPr>
          <w:snapToGrid w:val="0"/>
        </w:rPr>
        <w:tab/>
        <w:t>A person does not contravene subregulation (1) if the person is in a vessel that is underway and fauna are riding in or on the bow wave of the vessel.</w:t>
      </w:r>
    </w:p>
    <w:p>
      <w:pPr>
        <w:pStyle w:val="Footnotesection"/>
        <w:spacing w:before="100"/>
      </w:pPr>
      <w:r>
        <w:tab/>
        <w:t>[Regulation 11 amended in Gazette 3 Dec 2010 p. 6052.]</w:t>
      </w:r>
    </w:p>
    <w:p>
      <w:pPr>
        <w:pStyle w:val="Heading5"/>
        <w:spacing w:before="200"/>
        <w:rPr>
          <w:snapToGrid w:val="0"/>
        </w:rPr>
      </w:pPr>
      <w:bookmarkStart w:id="43" w:name="_Toc408498784"/>
      <w:bookmarkStart w:id="44" w:name="_Toc423343050"/>
      <w:r>
        <w:rPr>
          <w:rStyle w:val="CharSectno"/>
        </w:rPr>
        <w:t>12</w:t>
      </w:r>
      <w:r>
        <w:rPr>
          <w:snapToGrid w:val="0"/>
        </w:rPr>
        <w:t>.</w:t>
      </w:r>
      <w:r>
        <w:rPr>
          <w:snapToGrid w:val="0"/>
        </w:rPr>
        <w:tab/>
        <w:t>Possession or use of firearms, spears, restricted devices etc.</w:t>
      </w:r>
      <w:bookmarkEnd w:id="43"/>
      <w:bookmarkEnd w:id="44"/>
    </w:p>
    <w:p>
      <w:pPr>
        <w:pStyle w:val="Subsection"/>
        <w:spacing w:before="140"/>
        <w:rPr>
          <w:snapToGrid w:val="0"/>
        </w:rPr>
      </w:pPr>
      <w:r>
        <w:rPr>
          <w:snapToGrid w:val="0"/>
        </w:rPr>
        <w:tab/>
        <w:t>(1)</w:t>
      </w:r>
      <w:r>
        <w:rPr>
          <w:snapToGrid w:val="0"/>
        </w:rPr>
        <w:tab/>
        <w:t xml:space="preserve">A person must not, without lawful authority, have in his or her possession on CALM land a firearm or ammunition unless that thing — </w:t>
      </w:r>
    </w:p>
    <w:p>
      <w:pPr>
        <w:pStyle w:val="Indenta"/>
        <w:spacing w:before="60"/>
        <w:rPr>
          <w:snapToGrid w:val="0"/>
        </w:rPr>
      </w:pPr>
      <w:r>
        <w:rPr>
          <w:snapToGrid w:val="0"/>
        </w:rPr>
        <w:tab/>
        <w:t>(a)</w:t>
      </w:r>
      <w:r>
        <w:rPr>
          <w:snapToGrid w:val="0"/>
        </w:rPr>
        <w:tab/>
        <w:t>is completely stowed within a vehicle or vessel; and</w:t>
      </w:r>
    </w:p>
    <w:p>
      <w:pPr>
        <w:pStyle w:val="Indenta"/>
        <w:keepNext/>
        <w:spacing w:before="60"/>
        <w:rPr>
          <w:snapToGrid w:val="0"/>
        </w:rPr>
      </w:pPr>
      <w:r>
        <w:rPr>
          <w:snapToGrid w:val="0"/>
        </w:rPr>
        <w:tab/>
        <w:t>(b)</w:t>
      </w:r>
      <w:r>
        <w:rPr>
          <w:snapToGrid w:val="0"/>
        </w:rPr>
        <w:tab/>
      </w:r>
      <w:r>
        <w:t>in the case of a firearm, is unloaded and disassembled</w:t>
      </w:r>
      <w:r>
        <w:rPr>
          <w:snapToGrid w:val="0"/>
        </w:rPr>
        <w:t>.</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keepNext/>
        <w:rPr>
          <w:snapToGrid w:val="0"/>
        </w:rPr>
      </w:pPr>
      <w:r>
        <w:rPr>
          <w:snapToGrid w:val="0"/>
        </w:rPr>
        <w:tab/>
        <w:t>(2)</w:t>
      </w:r>
      <w:r>
        <w:rPr>
          <w:snapToGrid w:val="0"/>
        </w:rPr>
        <w:tab/>
        <w:t xml:space="preserve">A person must not, without lawful authority, have a spear, speargun, gidgie or Hawaiian sling in his or her possession in — </w:t>
      </w:r>
    </w:p>
    <w:p>
      <w:pPr>
        <w:pStyle w:val="Indenta"/>
        <w:rPr>
          <w:snapToGrid w:val="0"/>
        </w:rPr>
      </w:pPr>
      <w:r>
        <w:rPr>
          <w:snapToGrid w:val="0"/>
        </w:rPr>
        <w:tab/>
        <w:t>(a)</w:t>
      </w:r>
      <w:r>
        <w:rPr>
          <w:snapToGrid w:val="0"/>
        </w:rPr>
        <w:tab/>
        <w:t xml:space="preserve">a restricted area declared for the purposes of regulation 9; or </w:t>
      </w:r>
    </w:p>
    <w:p>
      <w:pPr>
        <w:pStyle w:val="Indenta"/>
        <w:rPr>
          <w:snapToGrid w:val="0"/>
        </w:rPr>
      </w:pPr>
      <w:r>
        <w:rPr>
          <w:snapToGrid w:val="0"/>
        </w:rPr>
        <w:tab/>
        <w:t>(b)</w:t>
      </w:r>
      <w:r>
        <w:rPr>
          <w:snapToGrid w:val="0"/>
        </w:rPr>
        <w:tab/>
        <w:t>an area classified under section 62(1a) of the Act as a sanctuary area,</w:t>
      </w:r>
    </w:p>
    <w:p>
      <w:pPr>
        <w:pStyle w:val="Subsection"/>
        <w:spacing w:before="120"/>
        <w:rPr>
          <w:snapToGrid w:val="0"/>
        </w:rPr>
      </w:pPr>
      <w:r>
        <w:rPr>
          <w:snapToGrid w:val="0"/>
        </w:rPr>
        <w:tab/>
      </w:r>
      <w:r>
        <w:rPr>
          <w:snapToGrid w:val="0"/>
        </w:rPr>
        <w:tab/>
        <w:t>unless that thing is completely stowed within a vehicle or vessel and, if it is practicable to do so, is unloaded and disassembled.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(3)</w:t>
      </w:r>
      <w:r>
        <w:rPr>
          <w:snapToGrid w:val="0"/>
        </w:rPr>
        <w:tab/>
        <w:t xml:space="preserve">A person must not, without lawful authority, have in his or her possession on CALM land any restricted device that is intended to be used for the taking of fauna or that constitutes a danger to the public. </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pPr>
      <w:r>
        <w:tab/>
        <w:t>(3a)</w:t>
      </w:r>
      <w:r>
        <w:tab/>
        <w:t xml:space="preserve">A person must not, without lawful authority — </w:t>
      </w:r>
    </w:p>
    <w:p>
      <w:pPr>
        <w:pStyle w:val="Indenta"/>
      </w:pPr>
      <w:r>
        <w:tab/>
        <w:t>(a)</w:t>
      </w:r>
      <w:r>
        <w:tab/>
        <w:t>discharge a firearm on CALM land; or</w:t>
      </w:r>
    </w:p>
    <w:p>
      <w:pPr>
        <w:pStyle w:val="Indenta"/>
      </w:pPr>
      <w:r>
        <w:tab/>
        <w:t>(b)</w:t>
      </w:r>
      <w:r>
        <w:tab/>
        <w:t xml:space="preserve">use a spear, speargun, gidgie or Hawaiian sling in — </w:t>
      </w:r>
    </w:p>
    <w:p>
      <w:pPr>
        <w:pStyle w:val="Indenti"/>
      </w:pPr>
      <w:r>
        <w:tab/>
        <w:t>(i)</w:t>
      </w:r>
      <w:r>
        <w:tab/>
        <w:t>a restricted area declared for the purposes of regulation 9; or</w:t>
      </w:r>
    </w:p>
    <w:p>
      <w:pPr>
        <w:pStyle w:val="Indenti"/>
      </w:pPr>
      <w:r>
        <w:tab/>
        <w:t>(ii)</w:t>
      </w:r>
      <w:r>
        <w:tab/>
        <w:t>an area classified under section 62(1a) of the Act as a sanctuary area;</w:t>
      </w:r>
    </w:p>
    <w:p>
      <w:pPr>
        <w:pStyle w:val="Indenta"/>
      </w:pPr>
      <w:r>
        <w:tab/>
      </w:r>
      <w:r>
        <w:tab/>
        <w:t>or</w:t>
      </w:r>
    </w:p>
    <w:p>
      <w:pPr>
        <w:pStyle w:val="Indenta"/>
      </w:pPr>
      <w:r>
        <w:tab/>
        <w:t>(c)</w:t>
      </w:r>
      <w:r>
        <w:tab/>
        <w:t>use a restricted device on CALM land for taking fauna or in a manner that constitutes a danger to the public.</w:t>
      </w:r>
    </w:p>
    <w:p>
      <w:pPr>
        <w:pStyle w:val="Penstart"/>
      </w:pPr>
      <w:r>
        <w:tab/>
        <w:t>Penalty: a fine of $2 000.</w:t>
      </w:r>
    </w:p>
    <w:p>
      <w:pPr>
        <w:pStyle w:val="Subsection"/>
      </w:pPr>
      <w:r>
        <w:rPr>
          <w:snapToGrid w:val="0"/>
        </w:rPr>
        <w:tab/>
        <w:t>(4)</w:t>
      </w:r>
      <w:r>
        <w:rPr>
          <w:snapToGrid w:val="0"/>
        </w:rPr>
        <w:tab/>
      </w:r>
      <w:r>
        <w:t>Nothing in this regulation prohibits a person from having or using a thing in his or her possession on CALM land where that person has lawful authority to take fauna using that thing.</w:t>
      </w:r>
    </w:p>
    <w:p>
      <w:pPr>
        <w:pStyle w:val="Subsection"/>
        <w:rPr>
          <w:snapToGrid w:val="0"/>
        </w:rPr>
      </w:pPr>
      <w:r>
        <w:rPr>
          <w:snapToGrid w:val="0"/>
        </w:rPr>
        <w:tab/>
        <w:t>(5)</w:t>
      </w:r>
      <w:r>
        <w:rPr>
          <w:snapToGrid w:val="0"/>
        </w:rPr>
        <w:tab/>
        <w:t xml:space="preserve">In this regulation — </w:t>
      </w:r>
    </w:p>
    <w:p>
      <w:pPr>
        <w:pStyle w:val="Defstart"/>
      </w:pPr>
      <w:r>
        <w:tab/>
      </w:r>
      <w:r>
        <w:rPr>
          <w:rStyle w:val="CharDefText"/>
        </w:rPr>
        <w:t>restricted device</w:t>
      </w:r>
      <w:r>
        <w:t xml:space="preserve"> means — </w:t>
      </w:r>
    </w:p>
    <w:p>
      <w:pPr>
        <w:pStyle w:val="Defpara"/>
      </w:pPr>
      <w:r>
        <w:tab/>
        <w:t>(a)</w:t>
      </w:r>
      <w:r>
        <w:tab/>
        <w:t>a bow or cross</w:t>
      </w:r>
      <w:r>
        <w:noBreakHyphen/>
        <w:t>bow; or</w:t>
      </w:r>
    </w:p>
    <w:p>
      <w:pPr>
        <w:pStyle w:val="Defpara"/>
        <w:spacing w:before="60"/>
      </w:pPr>
      <w:r>
        <w:tab/>
        <w:t>(b)</w:t>
      </w:r>
      <w:r>
        <w:tab/>
        <w:t>an explosive, poisonous, noxious or narcotising substance; or</w:t>
      </w:r>
    </w:p>
    <w:p>
      <w:pPr>
        <w:pStyle w:val="Defpara"/>
        <w:spacing w:before="60"/>
      </w:pPr>
      <w:r>
        <w:tab/>
        <w:t>(c)</w:t>
      </w:r>
      <w:r>
        <w:tab/>
        <w:t>a snare, trap or net; or</w:t>
      </w:r>
    </w:p>
    <w:p>
      <w:pPr>
        <w:pStyle w:val="Defpara"/>
        <w:spacing w:before="60"/>
      </w:pPr>
      <w:r>
        <w:tab/>
        <w:t>(d)</w:t>
      </w:r>
      <w:r>
        <w:tab/>
        <w:t>any other equipment, implement, device, apparatus or other thing that is used, capable of being used, or designed or adapted for use for, or in connection with, taking fauna, and is not referred to in subregulation (1) or (2).</w:t>
      </w:r>
    </w:p>
    <w:p>
      <w:pPr>
        <w:pStyle w:val="Footnotesection"/>
        <w:spacing w:before="80"/>
      </w:pPr>
      <w:r>
        <w:tab/>
        <w:t>[Regulation 12 amended in Gazette 29 Sep 2006 p. 4306</w:t>
      </w:r>
      <w:r>
        <w:noBreakHyphen/>
        <w:t>7; 27 Feb 2007 p. 625; 3 Dec 2010 p. 6052; 19 Sep 2014 p. 3335.]</w:t>
      </w:r>
    </w:p>
    <w:p>
      <w:pPr>
        <w:pStyle w:val="Heading5"/>
        <w:spacing w:before="200"/>
        <w:rPr>
          <w:snapToGrid w:val="0"/>
        </w:rPr>
      </w:pPr>
      <w:bookmarkStart w:id="45" w:name="_Toc408498785"/>
      <w:bookmarkStart w:id="46" w:name="_Toc423343051"/>
      <w:r>
        <w:rPr>
          <w:rStyle w:val="CharSectno"/>
        </w:rPr>
        <w:t>13</w:t>
      </w:r>
      <w:r>
        <w:rPr>
          <w:snapToGrid w:val="0"/>
        </w:rPr>
        <w:t>.</w:t>
      </w:r>
      <w:r>
        <w:rPr>
          <w:snapToGrid w:val="0"/>
        </w:rPr>
        <w:tab/>
        <w:t>Cultivation etc. prohibited</w:t>
      </w:r>
      <w:bookmarkEnd w:id="45"/>
      <w:bookmarkEnd w:id="46"/>
      <w:r>
        <w:rPr>
          <w:snapToGrid w:val="0"/>
        </w:rPr>
        <w:t xml:space="preserve"> </w:t>
      </w:r>
    </w:p>
    <w:p>
      <w:pPr>
        <w:pStyle w:val="Subsection"/>
        <w:spacing w:before="120"/>
        <w:rPr>
          <w:snapToGrid w:val="0"/>
        </w:rPr>
      </w:pPr>
      <w:r>
        <w:rPr>
          <w:snapToGrid w:val="0"/>
        </w:rPr>
        <w:tab/>
        <w:t>(1)</w:t>
      </w:r>
      <w:r>
        <w:rPr>
          <w:snapToGrid w:val="0"/>
        </w:rPr>
        <w:tab/>
        <w:t>A person must not, without lawful authority, plant, cultivate or abandon any plant on CALM land.</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rPr>
          <w:snapToGrid w:val="0"/>
        </w:rPr>
      </w:pPr>
      <w:r>
        <w:rPr>
          <w:snapToGrid w:val="0"/>
        </w:rPr>
        <w:tab/>
        <w:t>(2)</w:t>
      </w:r>
      <w:r>
        <w:rPr>
          <w:snapToGrid w:val="0"/>
        </w:rPr>
        <w:tab/>
        <w:t xml:space="preserve">In subregulation (1) </w:t>
      </w:r>
      <w:r>
        <w:rPr>
          <w:rStyle w:val="CharDefText"/>
        </w:rPr>
        <w:t>plant</w:t>
      </w:r>
      <w:r>
        <w:rPr>
          <w:snapToGrid w:val="0"/>
        </w:rPr>
        <w:t xml:space="preserve"> includes any part of a plant.</w:t>
      </w:r>
    </w:p>
    <w:p>
      <w:pPr>
        <w:pStyle w:val="Footnotesection"/>
        <w:spacing w:before="80"/>
      </w:pPr>
      <w:r>
        <w:tab/>
        <w:t>[Regulation 13 amended in Gazette 3 Dec 2010 p. 6052; 19 Sep 2014 p. 3335.]</w:t>
      </w:r>
    </w:p>
    <w:p>
      <w:pPr>
        <w:pStyle w:val="Heading5"/>
        <w:spacing w:before="200"/>
        <w:rPr>
          <w:snapToGrid w:val="0"/>
        </w:rPr>
      </w:pPr>
      <w:bookmarkStart w:id="47" w:name="_Toc408498786"/>
      <w:bookmarkStart w:id="48" w:name="_Toc423343052"/>
      <w:r>
        <w:rPr>
          <w:rStyle w:val="CharSectno"/>
        </w:rPr>
        <w:t>14</w:t>
      </w:r>
      <w:r>
        <w:rPr>
          <w:snapToGrid w:val="0"/>
        </w:rPr>
        <w:t>.</w:t>
      </w:r>
      <w:r>
        <w:rPr>
          <w:snapToGrid w:val="0"/>
        </w:rPr>
        <w:tab/>
        <w:t>Removal of plants</w:t>
      </w:r>
      <w:bookmarkEnd w:id="47"/>
      <w:bookmarkEnd w:id="48"/>
      <w:r>
        <w:rPr>
          <w:snapToGrid w:val="0"/>
        </w:rPr>
        <w:t xml:space="preserve"> </w:t>
      </w:r>
    </w:p>
    <w:p>
      <w:pPr>
        <w:pStyle w:val="Subsection"/>
        <w:spacing w:before="120"/>
        <w:rPr>
          <w:snapToGrid w:val="0"/>
        </w:rPr>
      </w:pPr>
      <w:r>
        <w:rPr>
          <w:snapToGrid w:val="0"/>
        </w:rPr>
        <w:tab/>
        <w:t>(1)</w:t>
      </w:r>
      <w:r>
        <w:rPr>
          <w:snapToGrid w:val="0"/>
        </w:rPr>
        <w:tab/>
        <w:t>An authorised officer who finds a person contravening regulation 13 may direct that person then and there to remove the plant the subject of the offence, and any equipment likely to be used in the cultivation of the plant, from the land.</w:t>
      </w:r>
    </w:p>
    <w:p>
      <w:pPr>
        <w:pStyle w:val="Subsection"/>
        <w:spacing w:before="120"/>
        <w:rPr>
          <w:snapToGrid w:val="0"/>
        </w:rPr>
      </w:pPr>
      <w:r>
        <w:rPr>
          <w:snapToGrid w:val="0"/>
        </w:rPr>
        <w:tab/>
        <w:t>(2)</w:t>
      </w:r>
      <w:r>
        <w:rPr>
          <w:snapToGrid w:val="0"/>
        </w:rPr>
        <w:tab/>
        <w:t>A person must comply with a direction under subregulation (1).</w:t>
      </w:r>
    </w:p>
    <w:p>
      <w:pPr>
        <w:pStyle w:val="Penstart"/>
        <w:spacing w:before="70"/>
        <w:rPr>
          <w:snapToGrid w:val="0"/>
        </w:rPr>
      </w:pPr>
      <w:r>
        <w:rPr>
          <w:snapToGrid w:val="0"/>
        </w:rPr>
        <w:tab/>
        <w:t xml:space="preserve">Penalty: </w:t>
      </w:r>
      <w:r>
        <w:t>a fine of</w:t>
      </w:r>
      <w:r>
        <w:rPr>
          <w:snapToGrid w:val="0"/>
        </w:rPr>
        <w:t xml:space="preserve"> $2 000.</w:t>
      </w:r>
    </w:p>
    <w:p>
      <w:pPr>
        <w:pStyle w:val="Footnotesection"/>
        <w:spacing w:before="80"/>
      </w:pPr>
      <w:r>
        <w:tab/>
        <w:t>[Regulation 14 amended in Gazette 3 Dec 2010 p. 6052.]</w:t>
      </w:r>
    </w:p>
    <w:p>
      <w:pPr>
        <w:pStyle w:val="Heading3"/>
        <w:keepLines/>
        <w:spacing w:before="220"/>
      </w:pPr>
      <w:bookmarkStart w:id="49" w:name="_Toc408498787"/>
      <w:bookmarkStart w:id="50" w:name="_Toc414889209"/>
      <w:bookmarkStart w:id="51" w:name="_Toc414975152"/>
      <w:bookmarkStart w:id="52" w:name="_Toc417563634"/>
      <w:bookmarkStart w:id="53" w:name="_Toc423340455"/>
      <w:bookmarkStart w:id="54" w:name="_Toc423343053"/>
      <w:r>
        <w:rPr>
          <w:rStyle w:val="CharDivNo"/>
        </w:rPr>
        <w:t>Division 2</w:t>
      </w:r>
      <w:r>
        <w:rPr>
          <w:snapToGrid w:val="0"/>
        </w:rPr>
        <w:t xml:space="preserve"> — </w:t>
      </w:r>
      <w:r>
        <w:rPr>
          <w:rStyle w:val="CharDivText"/>
        </w:rPr>
        <w:t>Animals on CALM land</w:t>
      </w:r>
      <w:bookmarkEnd w:id="49"/>
      <w:bookmarkEnd w:id="50"/>
      <w:bookmarkEnd w:id="51"/>
      <w:bookmarkEnd w:id="52"/>
      <w:bookmarkEnd w:id="53"/>
      <w:bookmarkEnd w:id="54"/>
    </w:p>
    <w:p>
      <w:pPr>
        <w:pStyle w:val="Footnoteheading"/>
        <w:keepNext/>
        <w:keepLines/>
        <w:spacing w:before="80"/>
      </w:pPr>
      <w:r>
        <w:tab/>
        <w:t>[Heading amended in Gazette 29 Sep 2006 p. 4307.]</w:t>
      </w:r>
    </w:p>
    <w:p>
      <w:pPr>
        <w:pStyle w:val="Heading5"/>
        <w:keepNext w:val="0"/>
        <w:spacing w:before="190"/>
        <w:rPr>
          <w:snapToGrid w:val="0"/>
        </w:rPr>
      </w:pPr>
      <w:bookmarkStart w:id="55" w:name="_Toc408498788"/>
      <w:bookmarkStart w:id="56" w:name="_Toc423343054"/>
      <w:r>
        <w:rPr>
          <w:rStyle w:val="CharSectno"/>
        </w:rPr>
        <w:t>15</w:t>
      </w:r>
      <w:r>
        <w:rPr>
          <w:snapToGrid w:val="0"/>
        </w:rPr>
        <w:t>.</w:t>
      </w:r>
      <w:r>
        <w:rPr>
          <w:snapToGrid w:val="0"/>
        </w:rPr>
        <w:tab/>
        <w:t>Bringing animal on to CALM land</w:t>
      </w:r>
      <w:bookmarkEnd w:id="55"/>
      <w:bookmarkEnd w:id="56"/>
      <w:r>
        <w:rPr>
          <w:snapToGrid w:val="0"/>
        </w:rPr>
        <w:t xml:space="preserve"> </w:t>
      </w:r>
    </w:p>
    <w:p>
      <w:pPr>
        <w:pStyle w:val="Subsection"/>
        <w:spacing w:before="120"/>
        <w:rPr>
          <w:snapToGrid w:val="0"/>
        </w:rPr>
      </w:pPr>
      <w:r>
        <w:rPr>
          <w:snapToGrid w:val="0"/>
        </w:rPr>
        <w:tab/>
      </w:r>
      <w:r>
        <w:rPr>
          <w:snapToGrid w:val="0"/>
        </w:rPr>
        <w:tab/>
        <w:t>Without limiting section 106(a), and subject to regulations 16 and 17, a person must not, without lawful authority — </w:t>
      </w:r>
    </w:p>
    <w:p>
      <w:pPr>
        <w:pStyle w:val="Indenta"/>
        <w:spacing w:before="60"/>
        <w:rPr>
          <w:snapToGrid w:val="0"/>
        </w:rPr>
      </w:pPr>
      <w:r>
        <w:rPr>
          <w:snapToGrid w:val="0"/>
        </w:rPr>
        <w:tab/>
        <w:t>(a)</w:t>
      </w:r>
      <w:r>
        <w:rPr>
          <w:snapToGrid w:val="0"/>
        </w:rPr>
        <w:tab/>
        <w:t>bring an animal on to CALM land; or</w:t>
      </w:r>
    </w:p>
    <w:p>
      <w:pPr>
        <w:pStyle w:val="Indenta"/>
        <w:keepNext/>
        <w:rPr>
          <w:snapToGrid w:val="0"/>
        </w:rPr>
      </w:pPr>
      <w:r>
        <w:rPr>
          <w:snapToGrid w:val="0"/>
        </w:rPr>
        <w:tab/>
        <w:t>(b)</w:t>
      </w:r>
      <w:r>
        <w:rPr>
          <w:snapToGrid w:val="0"/>
        </w:rPr>
        <w:tab/>
        <w:t>allow an animal to enter or remain on CALM land.</w:t>
      </w:r>
    </w:p>
    <w:p>
      <w:pPr>
        <w:pStyle w:val="Penstart"/>
        <w:spacing w:before="60"/>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80"/>
      </w:pPr>
      <w:r>
        <w:tab/>
        <w:t>[Regulation 15 amended in Gazette 3 Dec 2010 p. 6052; 19 Sep 2014 p. 3335.]</w:t>
      </w:r>
    </w:p>
    <w:p>
      <w:pPr>
        <w:pStyle w:val="Heading5"/>
        <w:spacing w:before="180"/>
        <w:rPr>
          <w:snapToGrid w:val="0"/>
        </w:rPr>
      </w:pPr>
      <w:bookmarkStart w:id="57" w:name="_Toc408498789"/>
      <w:bookmarkStart w:id="58" w:name="_Toc423343055"/>
      <w:r>
        <w:rPr>
          <w:rStyle w:val="CharSectno"/>
        </w:rPr>
        <w:t>16</w:t>
      </w:r>
      <w:r>
        <w:rPr>
          <w:snapToGrid w:val="0"/>
        </w:rPr>
        <w:t>.</w:t>
      </w:r>
      <w:r>
        <w:rPr>
          <w:snapToGrid w:val="0"/>
        </w:rPr>
        <w:tab/>
        <w:t>Dogs on CALM land</w:t>
      </w:r>
      <w:bookmarkEnd w:id="57"/>
      <w:bookmarkEnd w:id="58"/>
      <w:r>
        <w:rPr>
          <w:snapToGrid w:val="0"/>
        </w:rPr>
        <w:t xml:space="preserve"> </w:t>
      </w:r>
    </w:p>
    <w:p>
      <w:pPr>
        <w:pStyle w:val="Subsection"/>
        <w:spacing w:before="110"/>
        <w:rPr>
          <w:snapToGrid w:val="0"/>
        </w:rPr>
      </w:pPr>
      <w:r>
        <w:rPr>
          <w:snapToGrid w:val="0"/>
        </w:rPr>
        <w:tab/>
        <w:t>(1)</w:t>
      </w:r>
      <w:r>
        <w:rPr>
          <w:snapToGrid w:val="0"/>
        </w:rPr>
        <w:tab/>
        <w:t>A person may bring a dog on to a dog area.</w:t>
      </w:r>
    </w:p>
    <w:p>
      <w:pPr>
        <w:pStyle w:val="Subsection"/>
        <w:spacing w:before="110"/>
      </w:pPr>
      <w:r>
        <w:tab/>
        <w:t>(2)</w:t>
      </w:r>
      <w:r>
        <w:tab/>
        <w:t>A person must control and manage a dog in a dog area in accordance with conditions specified on signs erected in or in the vicinity of that area for the purposes of regulation 6(3) or signs designating that area as a dog area.</w:t>
      </w:r>
    </w:p>
    <w:p>
      <w:pPr>
        <w:pStyle w:val="Penstart"/>
        <w:spacing w:before="60"/>
      </w:pPr>
      <w:r>
        <w:tab/>
        <w:t>Penalty: a fine of $2 000.</w:t>
      </w:r>
    </w:p>
    <w:p>
      <w:pPr>
        <w:pStyle w:val="Footnotesection"/>
        <w:spacing w:before="80"/>
      </w:pPr>
      <w:r>
        <w:tab/>
        <w:t>[Regulation 16 amended in Gazette 3 Dec 2010 p. 6046; 19 Sep 2014 p. 3335.]</w:t>
      </w:r>
    </w:p>
    <w:p>
      <w:pPr>
        <w:pStyle w:val="Heading5"/>
        <w:spacing w:before="180"/>
        <w:rPr>
          <w:snapToGrid w:val="0"/>
        </w:rPr>
      </w:pPr>
      <w:bookmarkStart w:id="59" w:name="_Toc408498790"/>
      <w:bookmarkStart w:id="60" w:name="_Toc423343056"/>
      <w:r>
        <w:rPr>
          <w:rStyle w:val="CharSectno"/>
        </w:rPr>
        <w:t>17</w:t>
      </w:r>
      <w:r>
        <w:rPr>
          <w:snapToGrid w:val="0"/>
        </w:rPr>
        <w:t>.</w:t>
      </w:r>
      <w:r>
        <w:rPr>
          <w:snapToGrid w:val="0"/>
        </w:rPr>
        <w:tab/>
        <w:t>Horses on CALM land</w:t>
      </w:r>
      <w:bookmarkEnd w:id="59"/>
      <w:bookmarkEnd w:id="60"/>
      <w:r>
        <w:rPr>
          <w:snapToGrid w:val="0"/>
        </w:rPr>
        <w:t xml:space="preserve"> </w:t>
      </w:r>
    </w:p>
    <w:p>
      <w:pPr>
        <w:pStyle w:val="Subsection"/>
        <w:spacing w:before="110"/>
        <w:rPr>
          <w:snapToGrid w:val="0"/>
        </w:rPr>
      </w:pPr>
      <w:r>
        <w:rPr>
          <w:snapToGrid w:val="0"/>
        </w:rPr>
        <w:tab/>
        <w:t>(1)</w:t>
      </w:r>
      <w:r>
        <w:rPr>
          <w:snapToGrid w:val="0"/>
        </w:rPr>
        <w:tab/>
        <w:t>A person may bring a horse on to a horse area.</w:t>
      </w:r>
    </w:p>
    <w:p>
      <w:pPr>
        <w:pStyle w:val="Subsection"/>
        <w:spacing w:before="110"/>
      </w:pPr>
      <w:r>
        <w:tab/>
        <w:t>(2)</w:t>
      </w:r>
      <w:r>
        <w:tab/>
        <w:t>A person must control and manage a horse in a horse area in accordance with conditions specified on signs erected in or in the vicinity of that area for the purposes of regulation 6(3) or signs designating that area as a horse area.</w:t>
      </w:r>
    </w:p>
    <w:p>
      <w:pPr>
        <w:pStyle w:val="Penstart"/>
        <w:spacing w:before="70"/>
      </w:pPr>
      <w:r>
        <w:tab/>
        <w:t>Penalty: a fine of $2 000.</w:t>
      </w:r>
    </w:p>
    <w:p>
      <w:pPr>
        <w:pStyle w:val="Footnotesection"/>
        <w:spacing w:before="80"/>
      </w:pPr>
      <w:r>
        <w:tab/>
        <w:t>[Regulation 17 amended in Gazette 3 Dec 2010 p. 6046; 19 Sep 2014 p. 3335.]</w:t>
      </w:r>
    </w:p>
    <w:p>
      <w:pPr>
        <w:pStyle w:val="Heading5"/>
        <w:spacing w:before="180"/>
        <w:rPr>
          <w:snapToGrid w:val="0"/>
        </w:rPr>
      </w:pPr>
      <w:bookmarkStart w:id="61" w:name="_Toc408498791"/>
      <w:bookmarkStart w:id="62" w:name="_Toc423343057"/>
      <w:r>
        <w:rPr>
          <w:rStyle w:val="CharSectno"/>
        </w:rPr>
        <w:t>18</w:t>
      </w:r>
      <w:r>
        <w:rPr>
          <w:snapToGrid w:val="0"/>
        </w:rPr>
        <w:t>.</w:t>
      </w:r>
      <w:r>
        <w:rPr>
          <w:snapToGrid w:val="0"/>
        </w:rPr>
        <w:tab/>
        <w:t>Unlawful taking of non</w:t>
      </w:r>
      <w:r>
        <w:rPr>
          <w:snapToGrid w:val="0"/>
        </w:rPr>
        <w:noBreakHyphen/>
        <w:t>indigenous animals</w:t>
      </w:r>
      <w:bookmarkEnd w:id="61"/>
      <w:bookmarkEnd w:id="62"/>
      <w:r>
        <w:rPr>
          <w:snapToGrid w:val="0"/>
        </w:rPr>
        <w:t xml:space="preserve"> </w:t>
      </w:r>
    </w:p>
    <w:p>
      <w:pPr>
        <w:pStyle w:val="Subsection"/>
        <w:spacing w:before="110"/>
        <w:rPr>
          <w:snapToGrid w:val="0"/>
        </w:rPr>
      </w:pPr>
      <w:r>
        <w:rPr>
          <w:snapToGrid w:val="0"/>
        </w:rPr>
        <w:tab/>
      </w:r>
      <w:r>
        <w:rPr>
          <w:snapToGrid w:val="0"/>
        </w:rPr>
        <w:tab/>
        <w:t>A person must not, without lawful authority, take any non</w:t>
      </w:r>
      <w:r>
        <w:rPr>
          <w:snapToGrid w:val="0"/>
        </w:rPr>
        <w:noBreakHyphen/>
        <w:t>indigenous animal on CALM land.</w:t>
      </w:r>
    </w:p>
    <w:p>
      <w:pPr>
        <w:pStyle w:val="Penstart"/>
        <w:spacing w:before="60"/>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80"/>
      </w:pPr>
      <w:r>
        <w:tab/>
        <w:t>[Regulation 18 amended in Gazette 3 Dec 2010 p. 6052</w:t>
      </w:r>
      <w:r>
        <w:noBreakHyphen/>
        <w:t>3; 19 Sep 2014 p. 3335.]</w:t>
      </w:r>
    </w:p>
    <w:p>
      <w:pPr>
        <w:pStyle w:val="Heading5"/>
        <w:spacing w:before="180"/>
        <w:rPr>
          <w:snapToGrid w:val="0"/>
        </w:rPr>
      </w:pPr>
      <w:bookmarkStart w:id="63" w:name="_Toc408498792"/>
      <w:bookmarkStart w:id="64" w:name="_Toc423343058"/>
      <w:r>
        <w:rPr>
          <w:rStyle w:val="CharSectno"/>
        </w:rPr>
        <w:t>19</w:t>
      </w:r>
      <w:r>
        <w:rPr>
          <w:snapToGrid w:val="0"/>
        </w:rPr>
        <w:t>.</w:t>
      </w:r>
      <w:r>
        <w:rPr>
          <w:snapToGrid w:val="0"/>
        </w:rPr>
        <w:tab/>
        <w:t>Removal of animal by owner or person in charge</w:t>
      </w:r>
      <w:bookmarkEnd w:id="63"/>
      <w:bookmarkEnd w:id="64"/>
      <w:r>
        <w:rPr>
          <w:snapToGrid w:val="0"/>
        </w:rPr>
        <w:t xml:space="preserve"> </w:t>
      </w:r>
    </w:p>
    <w:p>
      <w:pPr>
        <w:pStyle w:val="Subsection"/>
        <w:spacing w:before="110"/>
        <w:rPr>
          <w:snapToGrid w:val="0"/>
        </w:rPr>
      </w:pPr>
      <w:r>
        <w:rPr>
          <w:snapToGrid w:val="0"/>
        </w:rPr>
        <w:tab/>
      </w:r>
      <w:r>
        <w:rPr>
          <w:snapToGrid w:val="0"/>
        </w:rPr>
        <w:tab/>
        <w:t>An owner or person in charge of an animal on CALM land in contravention of regulation 15 must remove the animal from the land when required to do so by an authorised officer.</w:t>
      </w:r>
    </w:p>
    <w:p>
      <w:pPr>
        <w:pStyle w:val="Penstart"/>
        <w:spacing w:before="60"/>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80"/>
      </w:pPr>
      <w:r>
        <w:tab/>
        <w:t>[Regulation 19 amended in Gazette 3 Dec 2010 p. 6052</w:t>
      </w:r>
      <w:r>
        <w:noBreakHyphen/>
        <w:t>3; 19 Sep 2014 p. 3335.]</w:t>
      </w:r>
    </w:p>
    <w:p>
      <w:pPr>
        <w:pStyle w:val="Heading5"/>
        <w:keepNext w:val="0"/>
        <w:keepLines w:val="0"/>
        <w:rPr>
          <w:snapToGrid w:val="0"/>
        </w:rPr>
      </w:pPr>
      <w:bookmarkStart w:id="65" w:name="_Toc408498793"/>
      <w:bookmarkStart w:id="66" w:name="_Toc423343059"/>
      <w:r>
        <w:rPr>
          <w:rStyle w:val="CharSectno"/>
        </w:rPr>
        <w:t>20</w:t>
      </w:r>
      <w:r>
        <w:rPr>
          <w:snapToGrid w:val="0"/>
        </w:rPr>
        <w:t>.</w:t>
      </w:r>
      <w:r>
        <w:rPr>
          <w:snapToGrid w:val="0"/>
        </w:rPr>
        <w:tab/>
        <w:t>Removal of animals by authorised officer</w:t>
      </w:r>
      <w:bookmarkEnd w:id="65"/>
      <w:bookmarkEnd w:id="66"/>
      <w:r>
        <w:rPr>
          <w:snapToGrid w:val="0"/>
        </w:rPr>
        <w:t xml:space="preserve"> </w:t>
      </w:r>
    </w:p>
    <w:p>
      <w:pPr>
        <w:pStyle w:val="Subsection"/>
        <w:rPr>
          <w:snapToGrid w:val="0"/>
        </w:rPr>
      </w:pPr>
      <w:r>
        <w:rPr>
          <w:snapToGrid w:val="0"/>
        </w:rPr>
        <w:tab/>
      </w:r>
      <w:r>
        <w:rPr>
          <w:snapToGrid w:val="0"/>
        </w:rPr>
        <w:tab/>
        <w:t xml:space="preserve">An authorised officer may seize and remove any animal found on CALM land </w:t>
      </w:r>
      <w:r>
        <w:t xml:space="preserve">in contravention of regulation 15 </w:t>
      </w:r>
      <w:r>
        <w:rPr>
          <w:snapToGrid w:val="0"/>
        </w:rPr>
        <w:t>if the authorised officer is unable to find the owner or person in charge of the animal.</w:t>
      </w:r>
    </w:p>
    <w:p>
      <w:pPr>
        <w:pStyle w:val="Footnotesection"/>
        <w:keepLines w:val="0"/>
        <w:ind w:left="890" w:hanging="890"/>
      </w:pPr>
      <w:r>
        <w:tab/>
        <w:t>[Regulation 20 amended in Gazette 29 Sep 2006 p. 4307.]</w:t>
      </w:r>
    </w:p>
    <w:p>
      <w:pPr>
        <w:pStyle w:val="Heading3"/>
      </w:pPr>
      <w:bookmarkStart w:id="67" w:name="_Toc408498794"/>
      <w:bookmarkStart w:id="68" w:name="_Toc414889216"/>
      <w:bookmarkStart w:id="69" w:name="_Toc414975159"/>
      <w:bookmarkStart w:id="70" w:name="_Toc417563641"/>
      <w:bookmarkStart w:id="71" w:name="_Toc423340462"/>
      <w:bookmarkStart w:id="72" w:name="_Toc423343060"/>
      <w:r>
        <w:rPr>
          <w:rStyle w:val="CharDivNo"/>
        </w:rPr>
        <w:t>Division 3</w:t>
      </w:r>
      <w:r>
        <w:rPr>
          <w:snapToGrid w:val="0"/>
        </w:rPr>
        <w:t xml:space="preserve"> — </w:t>
      </w:r>
      <w:r>
        <w:rPr>
          <w:rStyle w:val="CharDivText"/>
        </w:rPr>
        <w:t>Pollution and litter</w:t>
      </w:r>
      <w:bookmarkEnd w:id="67"/>
      <w:bookmarkEnd w:id="68"/>
      <w:bookmarkEnd w:id="69"/>
      <w:bookmarkEnd w:id="70"/>
      <w:bookmarkEnd w:id="71"/>
      <w:bookmarkEnd w:id="72"/>
      <w:r>
        <w:rPr>
          <w:rStyle w:val="CharDivText"/>
        </w:rPr>
        <w:t xml:space="preserve"> </w:t>
      </w:r>
    </w:p>
    <w:p>
      <w:pPr>
        <w:pStyle w:val="Heading5"/>
        <w:rPr>
          <w:snapToGrid w:val="0"/>
        </w:rPr>
      </w:pPr>
      <w:bookmarkStart w:id="73" w:name="_Toc408498795"/>
      <w:bookmarkStart w:id="74" w:name="_Toc423343061"/>
      <w:r>
        <w:rPr>
          <w:rStyle w:val="CharSectno"/>
        </w:rPr>
        <w:t>21</w:t>
      </w:r>
      <w:r>
        <w:rPr>
          <w:snapToGrid w:val="0"/>
        </w:rPr>
        <w:t>.</w:t>
      </w:r>
      <w:r>
        <w:rPr>
          <w:snapToGrid w:val="0"/>
        </w:rPr>
        <w:tab/>
        <w:t>Discharging or depositing waste</w:t>
      </w:r>
      <w:bookmarkEnd w:id="73"/>
      <w:bookmarkEnd w:id="74"/>
      <w:r>
        <w:rPr>
          <w:snapToGrid w:val="0"/>
        </w:rPr>
        <w:t xml:space="preserve"> </w:t>
      </w:r>
    </w:p>
    <w:p>
      <w:pPr>
        <w:pStyle w:val="Subsection"/>
        <w:rPr>
          <w:snapToGrid w:val="0"/>
        </w:rPr>
      </w:pPr>
      <w:r>
        <w:rPr>
          <w:snapToGrid w:val="0"/>
        </w:rPr>
        <w:tab/>
        <w:t>(1)</w:t>
      </w:r>
      <w:r>
        <w:rPr>
          <w:snapToGrid w:val="0"/>
        </w:rPr>
        <w:tab/>
        <w:t>Subject to subregulations (2) and (3), a person must not, without lawful authority, cause or allow waste to be discharged or placed on CALM land.</w:t>
      </w:r>
    </w:p>
    <w:p>
      <w:pPr>
        <w:pStyle w:val="Penstart"/>
        <w:rPr>
          <w:snapToGrid w:val="0"/>
        </w:rPr>
      </w:pPr>
      <w:r>
        <w:rPr>
          <w:snapToGrid w:val="0"/>
        </w:rPr>
        <w:tab/>
        <w:t xml:space="preserve">Penalty: </w:t>
      </w:r>
      <w:r>
        <w:t xml:space="preserve">a fine of </w:t>
      </w:r>
      <w:r>
        <w:rPr>
          <w:snapToGrid w:val="0"/>
        </w:rPr>
        <w:t>$2 000.</w:t>
      </w:r>
    </w:p>
    <w:p>
      <w:pPr>
        <w:pStyle w:val="Subsection"/>
        <w:rPr>
          <w:snapToGrid w:val="0"/>
        </w:rPr>
      </w:pPr>
      <w:r>
        <w:rPr>
          <w:snapToGrid w:val="0"/>
        </w:rPr>
        <w:tab/>
        <w:t>(2)</w:t>
      </w:r>
      <w:r>
        <w:rPr>
          <w:snapToGrid w:val="0"/>
        </w:rPr>
        <w:tab/>
        <w:t>Subregulation (1) does not apply to fuel discharged during the normal operation of 2 stroke outboard motors on vessels.</w:t>
      </w:r>
    </w:p>
    <w:p>
      <w:pPr>
        <w:pStyle w:val="Subsection"/>
      </w:pPr>
      <w:r>
        <w:rPr>
          <w:snapToGrid w:val="0"/>
        </w:rPr>
        <w:tab/>
        <w:t>(3)</w:t>
      </w:r>
      <w:r>
        <w:rPr>
          <w:snapToGrid w:val="0"/>
        </w:rPr>
        <w:tab/>
      </w:r>
      <w:r>
        <w:t>A person may discharge sewage from a vessel in a designated area.</w:t>
      </w:r>
    </w:p>
    <w:p>
      <w:pPr>
        <w:pStyle w:val="Subsection"/>
      </w:pPr>
      <w:r>
        <w:tab/>
        <w:t>(4)</w:t>
      </w:r>
      <w:r>
        <w:tab/>
        <w:t>A person must discharge sewage in a designated area in accordance with any conditions specified in respect of that discharge in the notice published under regulation 6(1) designating that area for the purposes of this regulation.</w:t>
      </w:r>
    </w:p>
    <w:p>
      <w:pPr>
        <w:pStyle w:val="Penstart"/>
      </w:pPr>
      <w:r>
        <w:tab/>
        <w:t>Penalty: a fine of $2 000.</w:t>
      </w:r>
    </w:p>
    <w:p>
      <w:pPr>
        <w:pStyle w:val="Subsection"/>
        <w:rPr>
          <w:snapToGrid w:val="0"/>
        </w:rPr>
      </w:pPr>
      <w:r>
        <w:rPr>
          <w:snapToGrid w:val="0"/>
        </w:rPr>
        <w:tab/>
        <w:t>(5)</w:t>
      </w:r>
      <w:r>
        <w:rPr>
          <w:snapToGrid w:val="0"/>
        </w:rPr>
        <w:tab/>
        <w:t>In subregulation (1) — </w:t>
      </w:r>
    </w:p>
    <w:p>
      <w:pPr>
        <w:pStyle w:val="Defstart"/>
      </w:pPr>
      <w:r>
        <w:tab/>
      </w:r>
      <w:r>
        <w:rPr>
          <w:rStyle w:val="CharDefText"/>
        </w:rPr>
        <w:t>waste</w:t>
      </w:r>
      <w:r>
        <w:rPr>
          <w:b/>
        </w:rPr>
        <w:t xml:space="preserve"> </w:t>
      </w:r>
      <w:r>
        <w:t xml:space="preserve">means any waste which could reasonably be expected to significantly and adversely affect the land on which it is discharged or placed, and includes liquid, solid, gaseous and radioactive matter, whether useful or useless. </w:t>
      </w:r>
    </w:p>
    <w:p>
      <w:pPr>
        <w:pStyle w:val="Footnotesection"/>
      </w:pPr>
      <w:r>
        <w:tab/>
        <w:t>[Regulation 21 amended in Gazette 3 Dec 2010 p. 6052</w:t>
      </w:r>
      <w:r>
        <w:noBreakHyphen/>
        <w:t>3.]</w:t>
      </w:r>
    </w:p>
    <w:p>
      <w:pPr>
        <w:pStyle w:val="Heading5"/>
      </w:pPr>
      <w:bookmarkStart w:id="75" w:name="_Toc408498796"/>
      <w:bookmarkStart w:id="76" w:name="_Toc423343062"/>
      <w:r>
        <w:rPr>
          <w:rStyle w:val="CharSectno"/>
        </w:rPr>
        <w:t>22</w:t>
      </w:r>
      <w:r>
        <w:t>.</w:t>
      </w:r>
      <w:r>
        <w:tab/>
        <w:t>Painting or treating vessels</w:t>
      </w:r>
      <w:bookmarkEnd w:id="75"/>
      <w:bookmarkEnd w:id="76"/>
    </w:p>
    <w:p>
      <w:pPr>
        <w:pStyle w:val="Subsection"/>
      </w:pPr>
      <w:r>
        <w:tab/>
      </w:r>
      <w:r>
        <w:tab/>
        <w:t>A person must not, without lawful authority, paint or chemically treat, or cause to be painted or chemically treated, the hull or keel of a vessel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22 amended in Gazette 3 Dec 2010 p. 6052</w:t>
      </w:r>
      <w:r>
        <w:noBreakHyphen/>
        <w:t>3.]</w:t>
      </w:r>
    </w:p>
    <w:p>
      <w:pPr>
        <w:pStyle w:val="Heading5"/>
        <w:rPr>
          <w:snapToGrid w:val="0"/>
        </w:rPr>
      </w:pPr>
      <w:bookmarkStart w:id="77" w:name="_Toc408498797"/>
      <w:bookmarkStart w:id="78" w:name="_Toc423343063"/>
      <w:r>
        <w:rPr>
          <w:rStyle w:val="CharSectno"/>
        </w:rPr>
        <w:t>23</w:t>
      </w:r>
      <w:r>
        <w:rPr>
          <w:snapToGrid w:val="0"/>
        </w:rPr>
        <w:t>.</w:t>
      </w:r>
      <w:r>
        <w:rPr>
          <w:snapToGrid w:val="0"/>
        </w:rPr>
        <w:tab/>
        <w:t>Pollution of water supply</w:t>
      </w:r>
      <w:bookmarkEnd w:id="77"/>
      <w:bookmarkEnd w:id="78"/>
      <w:r>
        <w:rPr>
          <w:snapToGrid w:val="0"/>
        </w:rPr>
        <w:t xml:space="preserve"> </w:t>
      </w:r>
    </w:p>
    <w:p>
      <w:pPr>
        <w:pStyle w:val="Subsection"/>
        <w:rPr>
          <w:snapToGrid w:val="0"/>
        </w:rPr>
      </w:pPr>
      <w:r>
        <w:rPr>
          <w:snapToGrid w:val="0"/>
        </w:rPr>
        <w:tab/>
        <w:t>(1)</w:t>
      </w:r>
      <w:r>
        <w:rPr>
          <w:snapToGrid w:val="0"/>
        </w:rPr>
        <w:tab/>
        <w:t>A person must not discharge or place any refuse or any poisonous, noxious or polluting matter, or cause any refuse or poisonous, noxious or polluting matter to be discharged or placed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CALM land, or in any area on CALM land where the matter is likely to pass to such a reservoir or tank;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public water catchment area on CALM land, or in any area on CALM land where the matter is likely to pass to a public water catchment area; or</w:t>
      </w:r>
    </w:p>
    <w:p>
      <w:pPr>
        <w:pStyle w:val="Indenta"/>
        <w:rPr>
          <w:snapToGrid w:val="0"/>
        </w:rPr>
      </w:pPr>
      <w:r>
        <w:rPr>
          <w:snapToGrid w:val="0"/>
        </w:rPr>
        <w:tab/>
        <w:t>(c)</w:t>
      </w:r>
      <w:r>
        <w:rPr>
          <w:snapToGrid w:val="0"/>
        </w:rPr>
        <w:tab/>
        <w:t>except as permitted under regulation 21, in any naturally occurring water course or water body on CALM land, or in any area on CALM land where the matter is likely to pass to a naturally occurring water course or water body.</w:t>
      </w:r>
    </w:p>
    <w:p>
      <w:pPr>
        <w:pStyle w:val="Penstart"/>
        <w:rPr>
          <w:snapToGrid w:val="0"/>
        </w:rPr>
      </w:pPr>
      <w:r>
        <w:rPr>
          <w:snapToGrid w:val="0"/>
        </w:rPr>
        <w:tab/>
        <w:t xml:space="preserve">Penalty: </w:t>
      </w:r>
      <w:r>
        <w:t>a fine of</w:t>
      </w:r>
      <w:r>
        <w:rPr>
          <w:snapToGrid w:val="0"/>
        </w:rPr>
        <w:t xml:space="preserve"> $2 000.</w:t>
      </w:r>
    </w:p>
    <w:p>
      <w:pPr>
        <w:pStyle w:val="Subsection"/>
      </w:pPr>
      <w:r>
        <w:tab/>
        <w:t>(1a)</w:t>
      </w:r>
      <w:r>
        <w:tab/>
        <w:t>Subregulation (1) does not apply to swimming or bathing in a water course or water body that is not used for storing water for human consumption.</w:t>
      </w:r>
    </w:p>
    <w:p>
      <w:pPr>
        <w:pStyle w:val="Subsection"/>
        <w:spacing w:before="150"/>
        <w:rPr>
          <w:snapToGrid w:val="0"/>
        </w:rPr>
      </w:pPr>
      <w:r>
        <w:rPr>
          <w:snapToGrid w:val="0"/>
        </w:rPr>
        <w:tab/>
        <w:t>(2)</w:t>
      </w:r>
      <w:r>
        <w:rPr>
          <w:snapToGrid w:val="0"/>
        </w:rPr>
        <w:tab/>
        <w:t>A person must not swim, bathe or wash in any reservoir or tank containing water stored for human consumption or use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100"/>
      </w:pPr>
      <w:r>
        <w:tab/>
        <w:t>[Regulation 23 amended in Gazette 29 Sep 2006 p. 4308; 3 Dec 2010 p. 6052</w:t>
      </w:r>
      <w:r>
        <w:noBreakHyphen/>
        <w:t>3; 19 Sep 2014 p. 3335.]</w:t>
      </w:r>
    </w:p>
    <w:p>
      <w:pPr>
        <w:pStyle w:val="Heading5"/>
        <w:rPr>
          <w:snapToGrid w:val="0"/>
        </w:rPr>
      </w:pPr>
      <w:bookmarkStart w:id="79" w:name="_Toc408498798"/>
      <w:bookmarkStart w:id="80" w:name="_Toc423343064"/>
      <w:r>
        <w:rPr>
          <w:rStyle w:val="CharSectno"/>
        </w:rPr>
        <w:t>24</w:t>
      </w:r>
      <w:r>
        <w:rPr>
          <w:snapToGrid w:val="0"/>
        </w:rPr>
        <w:t>.</w:t>
      </w:r>
      <w:r>
        <w:rPr>
          <w:snapToGrid w:val="0"/>
        </w:rPr>
        <w:tab/>
        <w:t>Litter</w:t>
      </w:r>
      <w:bookmarkEnd w:id="79"/>
      <w:bookmarkEnd w:id="80"/>
      <w:r>
        <w:rPr>
          <w:snapToGrid w:val="0"/>
        </w:rPr>
        <w:t xml:space="preserve"> </w:t>
      </w:r>
    </w:p>
    <w:p>
      <w:pPr>
        <w:pStyle w:val="Subsection"/>
        <w:spacing w:before="150"/>
        <w:rPr>
          <w:snapToGrid w:val="0"/>
        </w:rPr>
      </w:pPr>
      <w:r>
        <w:rPr>
          <w:snapToGrid w:val="0"/>
        </w:rPr>
        <w:tab/>
        <w:t>(1)</w:t>
      </w:r>
      <w:r>
        <w:rPr>
          <w:snapToGrid w:val="0"/>
        </w:rPr>
        <w:tab/>
        <w:t xml:space="preserve">A person must not deposit litter, or cause litter to be deposited, on CALM land (unless the person deposits the litter in a place or receptacle set aside or provided by the </w:t>
      </w:r>
      <w:r>
        <w:t xml:space="preserve">CEO </w:t>
      </w:r>
      <w:r>
        <w:rPr>
          <w:snapToGrid w:val="0"/>
        </w:rPr>
        <w:t>for that purpose).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50"/>
        <w:rPr>
          <w:snapToGrid w:val="0"/>
        </w:rPr>
      </w:pPr>
      <w:r>
        <w:rPr>
          <w:snapToGrid w:val="0"/>
        </w:rPr>
        <w:tab/>
        <w:t>(2)</w:t>
      </w:r>
      <w:r>
        <w:rPr>
          <w:snapToGrid w:val="0"/>
        </w:rPr>
        <w:tab/>
        <w:t>In this regulation — </w:t>
      </w:r>
    </w:p>
    <w:p>
      <w:pPr>
        <w:pStyle w:val="Defstart"/>
      </w:pPr>
      <w:r>
        <w:tab/>
      </w:r>
      <w:r>
        <w:rPr>
          <w:rStyle w:val="CharDefText"/>
        </w:rPr>
        <w:t>litter</w:t>
      </w:r>
      <w:r>
        <w:rPr>
          <w:b/>
        </w:rPr>
        <w:t xml:space="preserve"> </w:t>
      </w:r>
      <w:r>
        <w:t xml:space="preserve">has the same meaning as in the </w:t>
      </w:r>
      <w:r>
        <w:rPr>
          <w:i/>
        </w:rPr>
        <w:t>Litter Act 1979</w:t>
      </w:r>
      <w:r>
        <w:t>.</w:t>
      </w:r>
    </w:p>
    <w:p>
      <w:pPr>
        <w:pStyle w:val="Footnotesection"/>
        <w:spacing w:before="100"/>
      </w:pPr>
      <w:r>
        <w:tab/>
        <w:t>[Regulation 24 amended in Gazette 29 Sep 2006 p. 4334; 3 Dec 2010 p. 6052</w:t>
      </w:r>
      <w:r>
        <w:noBreakHyphen/>
        <w:t>3; 19 Sep 2014 p. 3335.]</w:t>
      </w:r>
    </w:p>
    <w:p>
      <w:pPr>
        <w:pStyle w:val="Heading5"/>
        <w:rPr>
          <w:snapToGrid w:val="0"/>
        </w:rPr>
      </w:pPr>
      <w:bookmarkStart w:id="81" w:name="_Toc408498799"/>
      <w:bookmarkStart w:id="82" w:name="_Toc423343065"/>
      <w:r>
        <w:rPr>
          <w:rStyle w:val="CharSectno"/>
        </w:rPr>
        <w:t>25</w:t>
      </w:r>
      <w:r>
        <w:rPr>
          <w:snapToGrid w:val="0"/>
        </w:rPr>
        <w:t>.</w:t>
      </w:r>
      <w:r>
        <w:rPr>
          <w:snapToGrid w:val="0"/>
        </w:rPr>
        <w:tab/>
        <w:t>Building materials and other matter</w:t>
      </w:r>
      <w:bookmarkEnd w:id="81"/>
      <w:bookmarkEnd w:id="82"/>
      <w:r>
        <w:rPr>
          <w:snapToGrid w:val="0"/>
        </w:rPr>
        <w:t xml:space="preserve"> </w:t>
      </w:r>
    </w:p>
    <w:p>
      <w:pPr>
        <w:pStyle w:val="Subsection"/>
        <w:spacing w:before="150"/>
        <w:rPr>
          <w:snapToGrid w:val="0"/>
        </w:rPr>
      </w:pPr>
      <w:r>
        <w:rPr>
          <w:snapToGrid w:val="0"/>
        </w:rPr>
        <w:tab/>
      </w:r>
      <w:r>
        <w:rPr>
          <w:snapToGrid w:val="0"/>
        </w:rPr>
        <w:tab/>
        <w:t>A person must not discharge or place building materials, soil, rocks, sand, rubble, over</w:t>
      </w:r>
      <w:r>
        <w:rPr>
          <w:snapToGrid w:val="0"/>
        </w:rPr>
        <w:noBreakHyphen/>
        <w:t>burden or waste products from any industry, or cause building materials, soil, rocks, sand, rubble, over</w:t>
      </w:r>
      <w:r>
        <w:rPr>
          <w:snapToGrid w:val="0"/>
        </w:rPr>
        <w:noBreakHyphen/>
        <w:t>burden or waste products from any industry to be discharged or placed, on CALM land.</w:t>
      </w:r>
    </w:p>
    <w:p>
      <w:pPr>
        <w:pStyle w:val="Penstart"/>
        <w:rPr>
          <w:snapToGrid w:val="0"/>
        </w:rPr>
      </w:pPr>
      <w:r>
        <w:rPr>
          <w:snapToGrid w:val="0"/>
        </w:rPr>
        <w:tab/>
        <w:t xml:space="preserve">Penalty: </w:t>
      </w:r>
      <w:r>
        <w:t>a fine of</w:t>
      </w:r>
      <w:r>
        <w:rPr>
          <w:snapToGrid w:val="0"/>
        </w:rPr>
        <w:t xml:space="preserve"> $2 000.</w:t>
      </w:r>
    </w:p>
    <w:p>
      <w:pPr>
        <w:pStyle w:val="Footnotesection"/>
        <w:spacing w:before="100"/>
      </w:pPr>
      <w:r>
        <w:tab/>
        <w:t>[Regulation 25 amended in Gazette 3 Dec 2010 p. 6052</w:t>
      </w:r>
      <w:r>
        <w:noBreakHyphen/>
        <w:t>3.]</w:t>
      </w:r>
    </w:p>
    <w:p>
      <w:pPr>
        <w:pStyle w:val="Heading5"/>
        <w:rPr>
          <w:snapToGrid w:val="0"/>
        </w:rPr>
      </w:pPr>
      <w:bookmarkStart w:id="83" w:name="_Toc408498800"/>
      <w:bookmarkStart w:id="84" w:name="_Toc423343066"/>
      <w:r>
        <w:rPr>
          <w:rStyle w:val="CharSectno"/>
        </w:rPr>
        <w:t>26</w:t>
      </w:r>
      <w:r>
        <w:rPr>
          <w:snapToGrid w:val="0"/>
        </w:rPr>
        <w:t>.</w:t>
      </w:r>
      <w:r>
        <w:rPr>
          <w:snapToGrid w:val="0"/>
        </w:rPr>
        <w:tab/>
        <w:t>Glass in restricted areas</w:t>
      </w:r>
      <w:bookmarkEnd w:id="83"/>
      <w:bookmarkEnd w:id="84"/>
      <w:r>
        <w:rPr>
          <w:snapToGrid w:val="0"/>
        </w:rPr>
        <w:t xml:space="preserve"> </w:t>
      </w:r>
    </w:p>
    <w:p>
      <w:pPr>
        <w:pStyle w:val="Subsection"/>
        <w:spacing w:before="150"/>
        <w:rPr>
          <w:snapToGrid w:val="0"/>
        </w:rPr>
      </w:pPr>
      <w:r>
        <w:rPr>
          <w:snapToGrid w:val="0"/>
        </w:rPr>
        <w:tab/>
      </w:r>
      <w:r>
        <w:rPr>
          <w:snapToGrid w:val="0"/>
        </w:rPr>
        <w:tab/>
        <w:t>A person must not — </w:t>
      </w:r>
    </w:p>
    <w:p>
      <w:pPr>
        <w:pStyle w:val="Indenta"/>
        <w:spacing w:before="60"/>
        <w:rPr>
          <w:snapToGrid w:val="0"/>
        </w:rPr>
      </w:pPr>
      <w:r>
        <w:rPr>
          <w:snapToGrid w:val="0"/>
        </w:rPr>
        <w:tab/>
        <w:t>(a)</w:t>
      </w:r>
      <w:r>
        <w:rPr>
          <w:snapToGrid w:val="0"/>
        </w:rPr>
        <w:tab/>
        <w:t>take, or have in his or her possession, any drinking glass, glass bottle or glass drinking implement in a restricted area where taking or possession of that item is prohibited under regulation 5; or</w:t>
      </w:r>
    </w:p>
    <w:p>
      <w:pPr>
        <w:pStyle w:val="Indenta"/>
        <w:spacing w:before="60"/>
        <w:rPr>
          <w:snapToGrid w:val="0"/>
        </w:rPr>
      </w:pPr>
      <w:r>
        <w:rPr>
          <w:snapToGrid w:val="0"/>
        </w:rPr>
        <w:tab/>
        <w:t>(b)</w:t>
      </w:r>
      <w:r>
        <w:rPr>
          <w:snapToGrid w:val="0"/>
        </w:rPr>
        <w:tab/>
        <w:t>contravene a restriction on taking or possession of glass in a restricted area imposed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26 amended in Gazette 3 Dec 2010 p. 6052</w:t>
      </w:r>
      <w:r>
        <w:noBreakHyphen/>
        <w:t>3; 19 Sep 2014 p. 3335.]</w:t>
      </w:r>
    </w:p>
    <w:p>
      <w:pPr>
        <w:pStyle w:val="Heading5"/>
        <w:spacing w:before="200"/>
        <w:rPr>
          <w:snapToGrid w:val="0"/>
        </w:rPr>
      </w:pPr>
      <w:bookmarkStart w:id="85" w:name="_Toc408498801"/>
      <w:bookmarkStart w:id="86" w:name="_Toc423343067"/>
      <w:r>
        <w:rPr>
          <w:rStyle w:val="CharSectno"/>
        </w:rPr>
        <w:t>27</w:t>
      </w:r>
      <w:r>
        <w:rPr>
          <w:snapToGrid w:val="0"/>
        </w:rPr>
        <w:t>.</w:t>
      </w:r>
      <w:r>
        <w:rPr>
          <w:snapToGrid w:val="0"/>
        </w:rPr>
        <w:tab/>
        <w:t>Removal of litter etc.</w:t>
      </w:r>
      <w:bookmarkEnd w:id="85"/>
      <w:bookmarkEnd w:id="86"/>
      <w:r>
        <w:rPr>
          <w:snapToGrid w:val="0"/>
        </w:rPr>
        <w:t xml:space="preserve"> </w:t>
      </w:r>
    </w:p>
    <w:p>
      <w:pPr>
        <w:pStyle w:val="Subsection"/>
        <w:spacing w:before="140"/>
        <w:rPr>
          <w:snapToGrid w:val="0"/>
        </w:rPr>
      </w:pPr>
      <w:r>
        <w:rPr>
          <w:snapToGrid w:val="0"/>
        </w:rPr>
        <w:tab/>
        <w:t>(1)</w:t>
      </w:r>
      <w:r>
        <w:rPr>
          <w:snapToGrid w:val="0"/>
        </w:rPr>
        <w:tab/>
        <w:t>An authorised officer who finds a person contravening regulation 24, 25 or 26 may direct that person then and there — </w:t>
      </w:r>
    </w:p>
    <w:p>
      <w:pPr>
        <w:pStyle w:val="Indenta"/>
        <w:spacing w:before="60"/>
        <w:rPr>
          <w:snapToGrid w:val="0"/>
        </w:rPr>
      </w:pPr>
      <w:r>
        <w:rPr>
          <w:snapToGrid w:val="0"/>
        </w:rPr>
        <w:tab/>
        <w:t>(a)</w:t>
      </w:r>
      <w:r>
        <w:rPr>
          <w:snapToGrid w:val="0"/>
        </w:rPr>
        <w:tab/>
        <w:t>to remove the thing the subject of the offence from the land; or</w:t>
      </w:r>
    </w:p>
    <w:p>
      <w:pPr>
        <w:pStyle w:val="Indenta"/>
        <w:spacing w:before="60"/>
        <w:rPr>
          <w:snapToGrid w:val="0"/>
        </w:rPr>
      </w:pPr>
      <w:r>
        <w:rPr>
          <w:snapToGrid w:val="0"/>
        </w:rPr>
        <w:tab/>
        <w:t>(b)</w:t>
      </w:r>
      <w:r>
        <w:rPr>
          <w:snapToGrid w:val="0"/>
        </w:rPr>
        <w:tab/>
        <w:t>to deposit the thing the subject of the offence in the nearest place or receptacle set aside or provided for the deposit of litter.</w:t>
      </w:r>
    </w:p>
    <w:p>
      <w:pPr>
        <w:pStyle w:val="Subsection"/>
        <w:spacing w:before="140"/>
        <w:rPr>
          <w:snapToGrid w:val="0"/>
        </w:rPr>
      </w:pPr>
      <w:r>
        <w:rPr>
          <w:snapToGrid w:val="0"/>
        </w:rPr>
        <w:tab/>
        <w:t>(2)</w:t>
      </w:r>
      <w:r>
        <w:rPr>
          <w:snapToGrid w:val="0"/>
        </w:rPr>
        <w:tab/>
        <w:t>A person must comply with a direction under subregulation (1).</w:t>
      </w:r>
    </w:p>
    <w:p>
      <w:pPr>
        <w:pStyle w:val="Penstart"/>
        <w:rPr>
          <w:snapToGrid w:val="0"/>
        </w:rPr>
      </w:pPr>
      <w:r>
        <w:rPr>
          <w:snapToGrid w:val="0"/>
        </w:rPr>
        <w:tab/>
        <w:t xml:space="preserve">Penalty: </w:t>
      </w:r>
      <w:r>
        <w:t>a fine of</w:t>
      </w:r>
      <w:r>
        <w:rPr>
          <w:snapToGrid w:val="0"/>
        </w:rPr>
        <w:t xml:space="preserve"> $2 000.</w:t>
      </w:r>
    </w:p>
    <w:p>
      <w:pPr>
        <w:pStyle w:val="Footnotesection"/>
        <w:spacing w:before="100"/>
      </w:pPr>
      <w:r>
        <w:tab/>
        <w:t>[Regulation 27 amended in Gazette 3 Dec 2010 p. 6052</w:t>
      </w:r>
      <w:r>
        <w:noBreakHyphen/>
        <w:t>3.]</w:t>
      </w:r>
    </w:p>
    <w:p>
      <w:pPr>
        <w:pStyle w:val="Heading5"/>
        <w:spacing w:before="200"/>
        <w:rPr>
          <w:snapToGrid w:val="0"/>
        </w:rPr>
      </w:pPr>
      <w:bookmarkStart w:id="87" w:name="_Toc408498802"/>
      <w:bookmarkStart w:id="88" w:name="_Toc423343068"/>
      <w:r>
        <w:rPr>
          <w:rStyle w:val="CharSectno"/>
        </w:rPr>
        <w:t>28</w:t>
      </w:r>
      <w:r>
        <w:rPr>
          <w:snapToGrid w:val="0"/>
        </w:rPr>
        <w:t>.</w:t>
      </w:r>
      <w:r>
        <w:rPr>
          <w:snapToGrid w:val="0"/>
        </w:rPr>
        <w:tab/>
        <w:t>Cleaning, scaling etc. fish</w:t>
      </w:r>
      <w:bookmarkEnd w:id="87"/>
      <w:bookmarkEnd w:id="88"/>
      <w:r>
        <w:rPr>
          <w:snapToGrid w:val="0"/>
        </w:rPr>
        <w:t xml:space="preserve"> </w:t>
      </w:r>
    </w:p>
    <w:p>
      <w:pPr>
        <w:pStyle w:val="Subsection"/>
        <w:spacing w:before="140"/>
        <w:rPr>
          <w:snapToGrid w:val="0"/>
        </w:rPr>
      </w:pPr>
      <w:r>
        <w:rPr>
          <w:snapToGrid w:val="0"/>
        </w:rPr>
        <w:tab/>
      </w:r>
      <w:r>
        <w:rPr>
          <w:snapToGrid w:val="0"/>
        </w:rPr>
        <w:tab/>
        <w:t>A person must not, without lawful authority, in a restricted area — </w:t>
      </w:r>
    </w:p>
    <w:p>
      <w:pPr>
        <w:pStyle w:val="Indenta"/>
        <w:spacing w:before="60"/>
        <w:rPr>
          <w:snapToGrid w:val="0"/>
        </w:rPr>
      </w:pPr>
      <w:r>
        <w:rPr>
          <w:snapToGrid w:val="0"/>
        </w:rPr>
        <w:tab/>
        <w:t>(a)</w:t>
      </w:r>
      <w:r>
        <w:rPr>
          <w:snapToGrid w:val="0"/>
        </w:rPr>
        <w:tab/>
        <w:t>clean, scale, gut or fillet fish if that activity is prohibited in that area under regulation 5; or</w:t>
      </w:r>
    </w:p>
    <w:p>
      <w:pPr>
        <w:pStyle w:val="Indenta"/>
        <w:spacing w:before="60"/>
        <w:rPr>
          <w:snapToGrid w:val="0"/>
        </w:rPr>
      </w:pPr>
      <w:r>
        <w:rPr>
          <w:snapToGrid w:val="0"/>
        </w:rPr>
        <w:tab/>
        <w:t>(b)</w:t>
      </w:r>
      <w:r>
        <w:rPr>
          <w:snapToGrid w:val="0"/>
        </w:rPr>
        <w:tab/>
        <w:t>contravene a restriction imposed on cleaning, scaling, gutting or filleting fish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28 amended in Gazette 3 Dec 2010 p. 6052</w:t>
      </w:r>
      <w:r>
        <w:noBreakHyphen/>
        <w:t>3; 19 Sep 2014 p. 3335.]</w:t>
      </w:r>
    </w:p>
    <w:p>
      <w:pPr>
        <w:pStyle w:val="Heading5"/>
        <w:spacing w:before="200"/>
        <w:rPr>
          <w:snapToGrid w:val="0"/>
        </w:rPr>
      </w:pPr>
      <w:bookmarkStart w:id="89" w:name="_Toc408498803"/>
      <w:bookmarkStart w:id="90" w:name="_Toc423343069"/>
      <w:r>
        <w:rPr>
          <w:rStyle w:val="CharSectno"/>
        </w:rPr>
        <w:t>29</w:t>
      </w:r>
      <w:r>
        <w:rPr>
          <w:snapToGrid w:val="0"/>
        </w:rPr>
        <w:t>.</w:t>
      </w:r>
      <w:r>
        <w:rPr>
          <w:snapToGrid w:val="0"/>
        </w:rPr>
        <w:tab/>
        <w:t>Fires and smoking in caves</w:t>
      </w:r>
      <w:bookmarkEnd w:id="89"/>
      <w:bookmarkEnd w:id="90"/>
      <w:r>
        <w:rPr>
          <w:snapToGrid w:val="0"/>
        </w:rPr>
        <w:t xml:space="preserve"> </w:t>
      </w:r>
    </w:p>
    <w:p>
      <w:pPr>
        <w:pStyle w:val="Subsection"/>
        <w:spacing w:before="140"/>
        <w:rPr>
          <w:snapToGrid w:val="0"/>
        </w:rPr>
      </w:pPr>
      <w:r>
        <w:rPr>
          <w:snapToGrid w:val="0"/>
        </w:rPr>
        <w:tab/>
        <w:t>(1)</w:t>
      </w:r>
      <w:r>
        <w:rPr>
          <w:snapToGrid w:val="0"/>
        </w:rPr>
        <w:tab/>
        <w:t>A person must not smoke a cigarette, cigar or pipe in any cave or part of a cave which is on or under CALM land.</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must not light a fire in any cave or part of a cave which is on or under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29 amended in Gazette 3 Dec 2010 p. 6052</w:t>
      </w:r>
      <w:r>
        <w:noBreakHyphen/>
        <w:t>3.]</w:t>
      </w:r>
    </w:p>
    <w:p>
      <w:pPr>
        <w:pStyle w:val="Heading3"/>
      </w:pPr>
      <w:bookmarkStart w:id="91" w:name="_Toc408498804"/>
      <w:bookmarkStart w:id="92" w:name="_Toc414889226"/>
      <w:bookmarkStart w:id="93" w:name="_Toc414975169"/>
      <w:bookmarkStart w:id="94" w:name="_Toc417563651"/>
      <w:bookmarkStart w:id="95" w:name="_Toc423340472"/>
      <w:bookmarkStart w:id="96" w:name="_Toc423343070"/>
      <w:r>
        <w:rPr>
          <w:rStyle w:val="CharDivNo"/>
        </w:rPr>
        <w:t>Division 4</w:t>
      </w:r>
      <w:r>
        <w:rPr>
          <w:snapToGrid w:val="0"/>
        </w:rPr>
        <w:t xml:space="preserve"> — </w:t>
      </w:r>
      <w:r>
        <w:rPr>
          <w:rStyle w:val="CharDivText"/>
        </w:rPr>
        <w:t>Disturbance of the landscape</w:t>
      </w:r>
      <w:bookmarkEnd w:id="91"/>
      <w:bookmarkEnd w:id="92"/>
      <w:bookmarkEnd w:id="93"/>
      <w:bookmarkEnd w:id="94"/>
      <w:bookmarkEnd w:id="95"/>
      <w:bookmarkEnd w:id="96"/>
      <w:r>
        <w:rPr>
          <w:rStyle w:val="CharDivText"/>
        </w:rPr>
        <w:t xml:space="preserve"> </w:t>
      </w:r>
    </w:p>
    <w:p>
      <w:pPr>
        <w:pStyle w:val="Heading5"/>
        <w:rPr>
          <w:snapToGrid w:val="0"/>
        </w:rPr>
      </w:pPr>
      <w:bookmarkStart w:id="97" w:name="_Toc408498805"/>
      <w:bookmarkStart w:id="98" w:name="_Toc423343071"/>
      <w:r>
        <w:rPr>
          <w:rStyle w:val="CharSectno"/>
        </w:rPr>
        <w:t>30</w:t>
      </w:r>
      <w:r>
        <w:rPr>
          <w:snapToGrid w:val="0"/>
        </w:rPr>
        <w:t>.</w:t>
      </w:r>
      <w:r>
        <w:rPr>
          <w:snapToGrid w:val="0"/>
        </w:rPr>
        <w:tab/>
        <w:t>Water</w:t>
      </w:r>
      <w:bookmarkEnd w:id="97"/>
      <w:bookmarkEnd w:id="98"/>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take water from, or interfere with water on, CALM land; or</w:t>
      </w:r>
    </w:p>
    <w:p>
      <w:pPr>
        <w:pStyle w:val="Indenta"/>
        <w:rPr>
          <w:snapToGrid w:val="0"/>
        </w:rPr>
      </w:pPr>
      <w:r>
        <w:rPr>
          <w:snapToGrid w:val="0"/>
        </w:rPr>
        <w:tab/>
        <w:t>(b)</w:t>
      </w:r>
      <w:r>
        <w:rPr>
          <w:snapToGrid w:val="0"/>
        </w:rPr>
        <w:tab/>
        <w:t>drain any part of CALM land; or</w:t>
      </w:r>
    </w:p>
    <w:p>
      <w:pPr>
        <w:pStyle w:val="Indenta"/>
        <w:rPr>
          <w:snapToGrid w:val="0"/>
        </w:rPr>
      </w:pPr>
      <w:r>
        <w:rPr>
          <w:snapToGrid w:val="0"/>
        </w:rPr>
        <w:tab/>
        <w:t>(c)</w:t>
      </w:r>
      <w:r>
        <w:rPr>
          <w:snapToGrid w:val="0"/>
        </w:rPr>
        <w:tab/>
      </w:r>
      <w:r>
        <w:t>interfere with any drain on CALM land; or</w:t>
      </w:r>
    </w:p>
    <w:p>
      <w:pPr>
        <w:pStyle w:val="Indenta"/>
        <w:rPr>
          <w:snapToGrid w:val="0"/>
        </w:rPr>
      </w:pPr>
      <w:r>
        <w:rPr>
          <w:snapToGrid w:val="0"/>
        </w:rPr>
        <w:tab/>
        <w:t>(d)</w:t>
      </w:r>
      <w:r>
        <w:rPr>
          <w:snapToGrid w:val="0"/>
        </w:rPr>
        <w:tab/>
        <w:t>divert water on or onto CALM land; or</w:t>
      </w:r>
    </w:p>
    <w:p>
      <w:pPr>
        <w:pStyle w:val="Indenta"/>
        <w:rPr>
          <w:snapToGrid w:val="0"/>
        </w:rPr>
      </w:pPr>
      <w:r>
        <w:rPr>
          <w:snapToGrid w:val="0"/>
        </w:rPr>
        <w:tab/>
        <w:t>(e)</w:t>
      </w:r>
      <w:r>
        <w:rPr>
          <w:snapToGrid w:val="0"/>
        </w:rPr>
        <w:tab/>
        <w:t>make any construction</w:t>
      </w:r>
      <w:r>
        <w:t xml:space="preserve"> for a purpose referred to in paragraph (a), (b), (c) or (d)</w:t>
      </w:r>
      <w:r>
        <w:rPr>
          <w:snapToGrid w:val="0"/>
        </w:rPr>
        <w:t>.</w:t>
      </w:r>
    </w:p>
    <w:p>
      <w:pPr>
        <w:pStyle w:val="Penstart"/>
        <w:rPr>
          <w:snapToGrid w:val="0"/>
        </w:rPr>
      </w:pPr>
      <w:r>
        <w:rPr>
          <w:snapToGrid w:val="0"/>
        </w:rPr>
        <w:tab/>
        <w:t xml:space="preserve">Penalty: </w:t>
      </w:r>
      <w:r>
        <w:t>a fine of</w:t>
      </w:r>
      <w:r>
        <w:rPr>
          <w:snapToGrid w:val="0"/>
        </w:rPr>
        <w:t xml:space="preserve"> $2 000.</w:t>
      </w:r>
    </w:p>
    <w:p>
      <w:pPr>
        <w:pStyle w:val="Subsection"/>
      </w:pPr>
      <w:r>
        <w:tab/>
        <w:t>(2)</w:t>
      </w:r>
      <w:r>
        <w:tab/>
        <w:t>Subregulation (1)(a) does not apply to an individual who takes water for the personal needs of the individual or others associated with the individual.</w:t>
      </w:r>
    </w:p>
    <w:p>
      <w:pPr>
        <w:pStyle w:val="Footnotesection"/>
      </w:pPr>
      <w:r>
        <w:tab/>
        <w:t>[Regulation 30 amended in Gazette 29 Sep 2006 p. 4308; 3 Dec 2010 p. 6052</w:t>
      </w:r>
      <w:r>
        <w:noBreakHyphen/>
        <w:t>3.]</w:t>
      </w:r>
    </w:p>
    <w:p>
      <w:pPr>
        <w:pStyle w:val="Heading5"/>
        <w:rPr>
          <w:snapToGrid w:val="0"/>
        </w:rPr>
      </w:pPr>
      <w:bookmarkStart w:id="99" w:name="_Toc408498806"/>
      <w:bookmarkStart w:id="100" w:name="_Toc423343072"/>
      <w:r>
        <w:rPr>
          <w:rStyle w:val="CharSectno"/>
        </w:rPr>
        <w:t>31</w:t>
      </w:r>
      <w:r>
        <w:rPr>
          <w:snapToGrid w:val="0"/>
        </w:rPr>
        <w:t>.</w:t>
      </w:r>
      <w:r>
        <w:rPr>
          <w:snapToGrid w:val="0"/>
        </w:rPr>
        <w:tab/>
        <w:t>Damage etc. to naturally occurring features</w:t>
      </w:r>
      <w:bookmarkEnd w:id="99"/>
      <w:bookmarkEnd w:id="100"/>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pPr>
      <w:r>
        <w:rPr>
          <w:snapToGrid w:val="0"/>
        </w:rPr>
        <w:tab/>
        <w:t>(a)</w:t>
      </w:r>
      <w:r>
        <w:rPr>
          <w:snapToGrid w:val="0"/>
        </w:rPr>
        <w:tab/>
      </w:r>
      <w:r>
        <w:t>cause any significant damage or disturbance to a naturally occurring feature on CALM land; or</w:t>
      </w:r>
    </w:p>
    <w:p>
      <w:pPr>
        <w:pStyle w:val="Indenta"/>
        <w:rPr>
          <w:snapToGrid w:val="0"/>
        </w:rPr>
      </w:pPr>
      <w:r>
        <w:rPr>
          <w:snapToGrid w:val="0"/>
        </w:rPr>
        <w:tab/>
        <w:t>(b)</w:t>
      </w:r>
      <w:r>
        <w:rPr>
          <w:snapToGrid w:val="0"/>
        </w:rPr>
        <w:tab/>
        <w:t>damage or disturb any naturally occurring feature on CALM land in a way that causes, or creates a potential for, adverse consequences to or in relation to CALM land; or</w:t>
      </w:r>
    </w:p>
    <w:p>
      <w:pPr>
        <w:pStyle w:val="Indenta"/>
        <w:rPr>
          <w:snapToGrid w:val="0"/>
        </w:rPr>
      </w:pPr>
      <w:r>
        <w:rPr>
          <w:snapToGrid w:val="0"/>
        </w:rPr>
        <w:tab/>
        <w:t>(c)</w:t>
      </w:r>
      <w:r>
        <w:rPr>
          <w:snapToGrid w:val="0"/>
        </w:rPr>
        <w:tab/>
        <w:t>remove any naturally occurring feature from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An authorised officer who believes on reasonable grounds that a naturally occurring feature found in the possession of a person is involved in the commission of an offence against subregulation (1) may direct that person to surrender the naturally occurring feature to the authorised officer immediately.</w:t>
      </w:r>
    </w:p>
    <w:p>
      <w:pPr>
        <w:pStyle w:val="Subsection"/>
        <w:rPr>
          <w:snapToGrid w:val="0"/>
        </w:rPr>
      </w:pPr>
      <w:r>
        <w:rPr>
          <w:snapToGrid w:val="0"/>
        </w:rPr>
        <w:tab/>
        <w:t>(3)</w:t>
      </w:r>
      <w:r>
        <w:rPr>
          <w:snapToGrid w:val="0"/>
        </w:rPr>
        <w:tab/>
        <w:t>A person must comply with a direction under subregulation (2).</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In this regulation — </w:t>
      </w:r>
    </w:p>
    <w:p>
      <w:pPr>
        <w:pStyle w:val="Defstart"/>
      </w:pPr>
      <w:r>
        <w:tab/>
      </w:r>
      <w:r>
        <w:rPr>
          <w:rStyle w:val="CharDefText"/>
        </w:rPr>
        <w:t>naturally occurring feature</w:t>
      </w:r>
      <w:r>
        <w:t xml:space="preserve"> includes —</w:t>
      </w:r>
    </w:p>
    <w:p>
      <w:pPr>
        <w:pStyle w:val="Defpara"/>
      </w:pPr>
      <w:r>
        <w:tab/>
        <w:t>(a)</w:t>
      </w:r>
      <w:r>
        <w:tab/>
        <w:t>a fossil; and</w:t>
      </w:r>
    </w:p>
    <w:p>
      <w:pPr>
        <w:pStyle w:val="Defpara"/>
      </w:pPr>
      <w:r>
        <w:tab/>
        <w:t>(b)</w:t>
      </w:r>
      <w:r>
        <w:tab/>
        <w:t>a mineral specimen, meteorite and tektite; and</w:t>
      </w:r>
    </w:p>
    <w:p>
      <w:pPr>
        <w:pStyle w:val="Defpara"/>
      </w:pPr>
      <w:r>
        <w:tab/>
        <w:t>(c)</w:t>
      </w:r>
      <w:r>
        <w:tab/>
        <w:t>a speleotherm and speleogen; and</w:t>
      </w:r>
    </w:p>
    <w:p>
      <w:pPr>
        <w:pStyle w:val="Defpara"/>
      </w:pPr>
      <w:r>
        <w:tab/>
        <w:t>(d)</w:t>
      </w:r>
      <w:r>
        <w:tab/>
        <w:t>a termite mound; and</w:t>
      </w:r>
    </w:p>
    <w:p>
      <w:pPr>
        <w:pStyle w:val="Defpara"/>
      </w:pPr>
      <w:r>
        <w:tab/>
        <w:t>(e)</w:t>
      </w:r>
      <w:r>
        <w:tab/>
        <w:t>guano; and</w:t>
      </w:r>
    </w:p>
    <w:p>
      <w:pPr>
        <w:pStyle w:val="Defpara"/>
      </w:pPr>
      <w:r>
        <w:tab/>
        <w:t>(f)</w:t>
      </w:r>
      <w:r>
        <w:tab/>
        <w:t>a stromatolite, sedimentary deposit associated with stromatolites or other sedimentary deposit, and cyano</w:t>
      </w:r>
      <w:r>
        <w:noBreakHyphen/>
        <w:t>bacteria responsible for building stromatolites which are present in stromatolites; and</w:t>
      </w:r>
    </w:p>
    <w:p>
      <w:pPr>
        <w:pStyle w:val="Defpara"/>
      </w:pPr>
      <w:r>
        <w:tab/>
        <w:t>(g)</w:t>
      </w:r>
      <w:r>
        <w:tab/>
        <w:t>dead marine shell, dead coral, dead sea urchin, coralline algae and live coral organisms living in dead coral.</w:t>
      </w:r>
    </w:p>
    <w:p>
      <w:pPr>
        <w:pStyle w:val="Footnotesection"/>
      </w:pPr>
      <w:r>
        <w:tab/>
        <w:t>[Regulation 31 amended in Gazette 3 Dec 2010 p. 6052</w:t>
      </w:r>
      <w:r>
        <w:noBreakHyphen/>
        <w:t>3.]</w:t>
      </w:r>
    </w:p>
    <w:p>
      <w:pPr>
        <w:pStyle w:val="Heading5"/>
        <w:rPr>
          <w:snapToGrid w:val="0"/>
        </w:rPr>
      </w:pPr>
      <w:bookmarkStart w:id="101" w:name="_Toc408498807"/>
      <w:bookmarkStart w:id="102" w:name="_Toc423343073"/>
      <w:r>
        <w:rPr>
          <w:rStyle w:val="CharSectno"/>
        </w:rPr>
        <w:t>32</w:t>
      </w:r>
      <w:r>
        <w:rPr>
          <w:snapToGrid w:val="0"/>
        </w:rPr>
        <w:t>.</w:t>
      </w:r>
      <w:r>
        <w:rPr>
          <w:snapToGrid w:val="0"/>
        </w:rPr>
        <w:tab/>
        <w:t>Sandboarding</w:t>
      </w:r>
      <w:bookmarkEnd w:id="101"/>
      <w:bookmarkEnd w:id="102"/>
      <w:r>
        <w:rPr>
          <w:snapToGrid w:val="0"/>
        </w:rPr>
        <w:t xml:space="preserve"> </w:t>
      </w:r>
    </w:p>
    <w:p>
      <w:pPr>
        <w:pStyle w:val="Subsection"/>
        <w:rPr>
          <w:snapToGrid w:val="0"/>
        </w:rPr>
      </w:pPr>
      <w:r>
        <w:rPr>
          <w:snapToGrid w:val="0"/>
        </w:rPr>
        <w:tab/>
      </w:r>
      <w:r>
        <w:rPr>
          <w:snapToGrid w:val="0"/>
        </w:rPr>
        <w:tab/>
        <w:t>A person must not, without lawful authority, on CALM land use a board or other object to slide down a slope.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32 amended in Gazette 3 Dec 2010 p. 6052</w:t>
      </w:r>
      <w:r>
        <w:noBreakHyphen/>
        <w:t>3; 19 Sep 2014 p. 3335.]</w:t>
      </w:r>
    </w:p>
    <w:p>
      <w:pPr>
        <w:pStyle w:val="Heading5"/>
      </w:pPr>
      <w:bookmarkStart w:id="103" w:name="_Toc408498808"/>
      <w:bookmarkStart w:id="104" w:name="_Toc423343074"/>
      <w:r>
        <w:rPr>
          <w:rStyle w:val="CharSectno"/>
        </w:rPr>
        <w:t>33</w:t>
      </w:r>
      <w:r>
        <w:t>.</w:t>
      </w:r>
      <w:r>
        <w:tab/>
        <w:t>Abseiling</w:t>
      </w:r>
      <w:bookmarkEnd w:id="103"/>
      <w:bookmarkEnd w:id="104"/>
    </w:p>
    <w:p>
      <w:pPr>
        <w:pStyle w:val="Subsection"/>
      </w:pPr>
      <w:r>
        <w:tab/>
        <w:t>(1)</w:t>
      </w:r>
      <w:r>
        <w:tab/>
        <w:t>A person must not, without lawful authority, abseil on CALM land except in an abseiling area.</w:t>
      </w:r>
    </w:p>
    <w:p>
      <w:pPr>
        <w:pStyle w:val="Penstart"/>
      </w:pPr>
      <w:r>
        <w:tab/>
        <w:t>Penalty: a fine of $1 000.</w:t>
      </w:r>
    </w:p>
    <w:p>
      <w:pPr>
        <w:pStyle w:val="Subsection"/>
      </w:pPr>
      <w:r>
        <w:tab/>
        <w:t>(2)</w:t>
      </w:r>
      <w:r>
        <w:tab/>
        <w:t>A person abseiling in an abseiling area must comply with conditions specified on signs erected in or in the vicinity of that area for the purposes of regulation 6(3) or signs designating the area as an abseiling area.</w:t>
      </w:r>
    </w:p>
    <w:p>
      <w:pPr>
        <w:pStyle w:val="Penstart"/>
      </w:pPr>
      <w:r>
        <w:tab/>
        <w:t>Penalty: a fine of $1 000.</w:t>
      </w:r>
    </w:p>
    <w:p>
      <w:pPr>
        <w:pStyle w:val="Footnotesection"/>
      </w:pPr>
      <w:r>
        <w:tab/>
        <w:t>[Regulation 33 inserted in Gazette 3 Dec 2010 p. 6047; amended in Gazette 19 Sep 2014 p. 3335.]</w:t>
      </w:r>
    </w:p>
    <w:p>
      <w:pPr>
        <w:pStyle w:val="Heading5"/>
        <w:rPr>
          <w:snapToGrid w:val="0"/>
        </w:rPr>
      </w:pPr>
      <w:bookmarkStart w:id="105" w:name="_Toc408498809"/>
      <w:bookmarkStart w:id="106" w:name="_Toc423343075"/>
      <w:r>
        <w:rPr>
          <w:rStyle w:val="CharSectno"/>
        </w:rPr>
        <w:t>34</w:t>
      </w:r>
      <w:r>
        <w:rPr>
          <w:snapToGrid w:val="0"/>
        </w:rPr>
        <w:t>.</w:t>
      </w:r>
      <w:r>
        <w:rPr>
          <w:snapToGrid w:val="0"/>
        </w:rPr>
        <w:tab/>
        <w:t>Unauthorised buildings etc.</w:t>
      </w:r>
      <w:bookmarkEnd w:id="105"/>
      <w:bookmarkEnd w:id="106"/>
      <w:r>
        <w:rPr>
          <w:snapToGrid w:val="0"/>
        </w:rPr>
        <w:t xml:space="preserve"> </w:t>
      </w:r>
    </w:p>
    <w:p>
      <w:pPr>
        <w:pStyle w:val="Subsection"/>
        <w:rPr>
          <w:snapToGrid w:val="0"/>
        </w:rPr>
      </w:pPr>
      <w:r>
        <w:rPr>
          <w:snapToGrid w:val="0"/>
        </w:rPr>
        <w:tab/>
        <w:t>(1)</w:t>
      </w:r>
      <w:r>
        <w:rPr>
          <w:snapToGrid w:val="0"/>
        </w:rPr>
        <w:tab/>
        <w:t>A person must not, without lawful authority, erect or place any structure on CALM land.</w:t>
      </w:r>
    </w:p>
    <w:p>
      <w:pPr>
        <w:pStyle w:val="Penstart"/>
        <w:rPr>
          <w:snapToGrid w:val="0"/>
        </w:rPr>
      </w:pPr>
      <w:r>
        <w:rPr>
          <w:snapToGrid w:val="0"/>
        </w:rPr>
        <w:tab/>
        <w:t xml:space="preserve">Penalty: </w:t>
      </w:r>
      <w:r>
        <w:t>a fine of</w:t>
      </w:r>
      <w:r>
        <w:rPr>
          <w:snapToGrid w:val="0"/>
        </w:rPr>
        <w:t xml:space="preserve"> $2 000.</w:t>
      </w:r>
    </w:p>
    <w:p>
      <w:pPr>
        <w:pStyle w:val="Subsection"/>
      </w:pPr>
      <w:r>
        <w:tab/>
        <w:t>(2)</w:t>
      </w:r>
      <w:r>
        <w:tab/>
        <w:t xml:space="preserve">In subregulation (1) — </w:t>
      </w:r>
    </w:p>
    <w:p>
      <w:pPr>
        <w:pStyle w:val="Defstart"/>
      </w:pPr>
      <w:r>
        <w:tab/>
      </w:r>
      <w:r>
        <w:rPr>
          <w:rStyle w:val="CharDefText"/>
        </w:rPr>
        <w:t>structure</w:t>
      </w:r>
      <w:r>
        <w:t xml:space="preserve"> — </w:t>
      </w:r>
    </w:p>
    <w:p>
      <w:pPr>
        <w:pStyle w:val="Defpara"/>
      </w:pPr>
      <w:r>
        <w:tab/>
        <w:t>(a)</w:t>
      </w:r>
      <w:r>
        <w:tab/>
        <w:t>includes any building, tramline, fence, post, pipeline, jetty, pontoon, cairn, memorial, ramp, barrier or gate;</w:t>
      </w:r>
    </w:p>
    <w:p>
      <w:pPr>
        <w:pStyle w:val="Defpara"/>
      </w:pPr>
      <w:r>
        <w:tab/>
        <w:t>(b)</w:t>
      </w:r>
      <w:r>
        <w:tab/>
        <w:t>does not include a mooring.</w:t>
      </w:r>
    </w:p>
    <w:p>
      <w:pPr>
        <w:pStyle w:val="Subsection"/>
      </w:pPr>
      <w:r>
        <w:tab/>
        <w:t>(3)</w:t>
      </w:r>
      <w:r>
        <w:tab/>
        <w:t>An authorised officer may direct a person who has contravened subregulation (1) to pull down, take apart or remove the structure.</w:t>
      </w:r>
    </w:p>
    <w:p>
      <w:pPr>
        <w:pStyle w:val="Subsection"/>
        <w:keepNext/>
      </w:pPr>
      <w:r>
        <w:tab/>
        <w:t>(4)</w:t>
      </w:r>
      <w:r>
        <w:tab/>
        <w:t>The person must comply with the direction.</w:t>
      </w:r>
    </w:p>
    <w:p>
      <w:pPr>
        <w:pStyle w:val="Penstart"/>
      </w:pPr>
      <w:r>
        <w:tab/>
        <w:t>Penalty: a fine of $2 000.</w:t>
      </w:r>
    </w:p>
    <w:p>
      <w:pPr>
        <w:pStyle w:val="Footnotesection"/>
      </w:pPr>
      <w:r>
        <w:tab/>
        <w:t>[Regulation 34 amended in Gazette 29 Sep 2006 p. 4308</w:t>
      </w:r>
      <w:r>
        <w:noBreakHyphen/>
        <w:t>9; 3 Dec 2010 p. 6047 and 6052</w:t>
      </w:r>
      <w:r>
        <w:noBreakHyphen/>
        <w:t>3.]</w:t>
      </w:r>
    </w:p>
    <w:p>
      <w:pPr>
        <w:pStyle w:val="Heading5"/>
        <w:rPr>
          <w:snapToGrid w:val="0"/>
        </w:rPr>
      </w:pPr>
      <w:bookmarkStart w:id="107" w:name="_Toc408498810"/>
      <w:bookmarkStart w:id="108" w:name="_Toc423343076"/>
      <w:r>
        <w:rPr>
          <w:rStyle w:val="CharSectno"/>
        </w:rPr>
        <w:t>35</w:t>
      </w:r>
      <w:r>
        <w:rPr>
          <w:snapToGrid w:val="0"/>
        </w:rPr>
        <w:t>.</w:t>
      </w:r>
      <w:r>
        <w:rPr>
          <w:snapToGrid w:val="0"/>
        </w:rPr>
        <w:tab/>
        <w:t>Unauthorised clearing</w:t>
      </w:r>
      <w:bookmarkEnd w:id="107"/>
      <w:bookmarkEnd w:id="108"/>
      <w:r>
        <w:rPr>
          <w:snapToGrid w:val="0"/>
        </w:rPr>
        <w:t xml:space="preserve"> </w:t>
      </w:r>
    </w:p>
    <w:p>
      <w:pPr>
        <w:pStyle w:val="Subsection"/>
        <w:rPr>
          <w:snapToGrid w:val="0"/>
        </w:rPr>
      </w:pPr>
      <w:r>
        <w:rPr>
          <w:snapToGrid w:val="0"/>
        </w:rPr>
        <w:tab/>
      </w:r>
      <w:r>
        <w:rPr>
          <w:snapToGrid w:val="0"/>
        </w:rPr>
        <w:tab/>
        <w:t>A person must not, without lawful authority, construct or mark out any road, track, fire break, landing strip, parking area, vessel launching area or pad or platform for building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35 amended in Gazette 3 Dec 2010 p. 6052</w:t>
      </w:r>
      <w:r>
        <w:noBreakHyphen/>
        <w:t>3.]</w:t>
      </w:r>
    </w:p>
    <w:p>
      <w:pPr>
        <w:pStyle w:val="Heading5"/>
      </w:pPr>
      <w:bookmarkStart w:id="109" w:name="_Toc408498811"/>
      <w:bookmarkStart w:id="110" w:name="_Toc423343077"/>
      <w:r>
        <w:rPr>
          <w:rStyle w:val="CharSectno"/>
        </w:rPr>
        <w:t>35A</w:t>
      </w:r>
      <w:r>
        <w:t>.</w:t>
      </w:r>
      <w:r>
        <w:tab/>
        <w:t>Quarrying, removing or disturbing soil etc.</w:t>
      </w:r>
      <w:bookmarkEnd w:id="109"/>
      <w:bookmarkEnd w:id="110"/>
    </w:p>
    <w:p>
      <w:pPr>
        <w:pStyle w:val="Subsection"/>
      </w:pPr>
      <w:r>
        <w:tab/>
        <w:t>(1)</w:t>
      </w:r>
      <w:r>
        <w:tab/>
        <w:t>A person must not, without lawful authority, disturb or remove leaf mould, rotting vegetation, humus, soil, stone or gravel on or in CALM land.</w:t>
      </w:r>
    </w:p>
    <w:p>
      <w:pPr>
        <w:pStyle w:val="Penstart"/>
      </w:pPr>
      <w:r>
        <w:tab/>
        <w:t>Penalty: a fine of $2 000.</w:t>
      </w:r>
    </w:p>
    <w:p>
      <w:pPr>
        <w:pStyle w:val="Subsection"/>
      </w:pPr>
      <w:r>
        <w:tab/>
        <w:t>(2)</w:t>
      </w:r>
      <w:r>
        <w:tab/>
        <w:t xml:space="preserve">In this regulation — </w:t>
      </w:r>
    </w:p>
    <w:p>
      <w:pPr>
        <w:pStyle w:val="Defstart"/>
      </w:pPr>
      <w:r>
        <w:rPr>
          <w:b/>
        </w:rPr>
        <w:tab/>
      </w:r>
      <w:r>
        <w:rPr>
          <w:rStyle w:val="CharDefText"/>
        </w:rPr>
        <w:t>soil</w:t>
      </w:r>
      <w:r>
        <w:t xml:space="preserve"> includes sand, shale, clay and evaporites.</w:t>
      </w:r>
    </w:p>
    <w:p>
      <w:pPr>
        <w:pStyle w:val="Footnotesection"/>
      </w:pPr>
      <w:r>
        <w:tab/>
        <w:t>[Regulation 35A inserted in Gazette 29 Sep 2006 p. 4309; amended in Gazette 3 Dec 2010 p. 6052</w:t>
      </w:r>
      <w:r>
        <w:noBreakHyphen/>
        <w:t>3.]</w:t>
      </w:r>
    </w:p>
    <w:p>
      <w:pPr>
        <w:pStyle w:val="Heading5"/>
        <w:rPr>
          <w:snapToGrid w:val="0"/>
        </w:rPr>
      </w:pPr>
      <w:bookmarkStart w:id="111" w:name="_Toc408498812"/>
      <w:bookmarkStart w:id="112" w:name="_Toc423343078"/>
      <w:r>
        <w:rPr>
          <w:rStyle w:val="CharSectno"/>
        </w:rPr>
        <w:t>36</w:t>
      </w:r>
      <w:r>
        <w:rPr>
          <w:snapToGrid w:val="0"/>
        </w:rPr>
        <w:t>.</w:t>
      </w:r>
      <w:r>
        <w:rPr>
          <w:snapToGrid w:val="0"/>
        </w:rPr>
        <w:tab/>
        <w:t>Dumping</w:t>
      </w:r>
      <w:bookmarkEnd w:id="111"/>
      <w:bookmarkEnd w:id="112"/>
      <w:r>
        <w:rPr>
          <w:snapToGrid w:val="0"/>
        </w:rPr>
        <w:t xml:space="preserve"> </w:t>
      </w:r>
    </w:p>
    <w:p>
      <w:pPr>
        <w:pStyle w:val="Subsection"/>
        <w:rPr>
          <w:snapToGrid w:val="0"/>
        </w:rPr>
      </w:pPr>
      <w:r>
        <w:rPr>
          <w:snapToGrid w:val="0"/>
        </w:rPr>
        <w:tab/>
      </w:r>
      <w:r>
        <w:rPr>
          <w:snapToGrid w:val="0"/>
        </w:rPr>
        <w:tab/>
        <w:t>A person must not, without lawful authority, abandon any vehicle, vessel, machinery or any part of a vehicle, vessel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36 amended in Gazette 3 Dec 2010 p. 6052</w:t>
      </w:r>
      <w:r>
        <w:noBreakHyphen/>
        <w:t>3.]</w:t>
      </w:r>
    </w:p>
    <w:p>
      <w:pPr>
        <w:pStyle w:val="Heading5"/>
        <w:rPr>
          <w:snapToGrid w:val="0"/>
        </w:rPr>
      </w:pPr>
      <w:bookmarkStart w:id="113" w:name="_Toc408498813"/>
      <w:bookmarkStart w:id="114" w:name="_Toc423343079"/>
      <w:r>
        <w:rPr>
          <w:rStyle w:val="CharSectno"/>
        </w:rPr>
        <w:t>37</w:t>
      </w:r>
      <w:r>
        <w:rPr>
          <w:snapToGrid w:val="0"/>
        </w:rPr>
        <w:t>.</w:t>
      </w:r>
      <w:r>
        <w:rPr>
          <w:snapToGrid w:val="0"/>
        </w:rPr>
        <w:tab/>
        <w:t>Damage to property</w:t>
      </w:r>
      <w:bookmarkEnd w:id="113"/>
      <w:bookmarkEnd w:id="114"/>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post, stick, stamp, stencil or otherwise affix any notice, handbill, placard, advertisement, paper or other document on or to any thing or structure that is part of the landscape or property on CALM land; or</w:t>
      </w:r>
    </w:p>
    <w:p>
      <w:pPr>
        <w:pStyle w:val="Indenta"/>
        <w:rPr>
          <w:snapToGrid w:val="0"/>
        </w:rPr>
      </w:pPr>
      <w:r>
        <w:rPr>
          <w:snapToGrid w:val="0"/>
        </w:rPr>
        <w:tab/>
        <w:t>(b)</w:t>
      </w:r>
      <w:r>
        <w:rPr>
          <w:snapToGrid w:val="0"/>
        </w:rPr>
        <w:tab/>
        <w:t xml:space="preserve">write, draw or paint on or deface any thing or structure that is part of the landscape or property on CALM land. </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must not, without lawful authority, cause any damage or disturbance to, or interfere with, any ticket vending machine, sign</w:t>
      </w:r>
      <w:r>
        <w:t xml:space="preserve">, Aboriginal site or artefact, </w:t>
      </w:r>
      <w:r>
        <w:rPr>
          <w:snapToGrid w:val="0"/>
        </w:rPr>
        <w:t>or other thing or structure that is part of the landscape or property on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(3)</w:t>
      </w:r>
      <w:r>
        <w:rPr>
          <w:snapToGrid w:val="0"/>
        </w:rPr>
        <w:tab/>
        <w:t xml:space="preserve">Nothing in subregulation (1)(a) applies to the use of a notice board set up with the authority of the </w:t>
      </w:r>
      <w:r>
        <w:t xml:space="preserve">CEO </w:t>
      </w:r>
      <w:r>
        <w:rPr>
          <w:snapToGrid w:val="0"/>
        </w:rPr>
        <w:t>for public use.</w:t>
      </w:r>
    </w:p>
    <w:p>
      <w:pPr>
        <w:pStyle w:val="Footnotesection"/>
      </w:pPr>
      <w:r>
        <w:tab/>
        <w:t>[Regulation 37 amended in Gazette 29 Sep 2006 p. 4309 and 4334; 3 Dec 2010 p. 6052</w:t>
      </w:r>
      <w:r>
        <w:noBreakHyphen/>
        <w:t>3.]</w:t>
      </w:r>
    </w:p>
    <w:p>
      <w:pPr>
        <w:pStyle w:val="Heading5"/>
        <w:rPr>
          <w:snapToGrid w:val="0"/>
        </w:rPr>
      </w:pPr>
      <w:bookmarkStart w:id="115" w:name="_Toc408498814"/>
      <w:bookmarkStart w:id="116" w:name="_Toc423343080"/>
      <w:r>
        <w:rPr>
          <w:rStyle w:val="CharSectno"/>
        </w:rPr>
        <w:t>38</w:t>
      </w:r>
      <w:r>
        <w:rPr>
          <w:snapToGrid w:val="0"/>
        </w:rPr>
        <w:t>.</w:t>
      </w:r>
      <w:r>
        <w:rPr>
          <w:snapToGrid w:val="0"/>
        </w:rPr>
        <w:tab/>
        <w:t>Unauthorised signs</w:t>
      </w:r>
      <w:bookmarkEnd w:id="115"/>
      <w:bookmarkEnd w:id="116"/>
      <w:r>
        <w:rPr>
          <w:snapToGrid w:val="0"/>
        </w:rPr>
        <w:t xml:space="preserve"> </w:t>
      </w:r>
    </w:p>
    <w:p>
      <w:pPr>
        <w:pStyle w:val="Subsection"/>
        <w:rPr>
          <w:snapToGrid w:val="0"/>
        </w:rPr>
      </w:pPr>
      <w:r>
        <w:rPr>
          <w:snapToGrid w:val="0"/>
        </w:rPr>
        <w:tab/>
        <w:t>(1)</w:t>
      </w:r>
      <w:r>
        <w:rPr>
          <w:snapToGrid w:val="0"/>
        </w:rPr>
        <w:tab/>
        <w:t>A person must not, without lawful authority, erect any sign or notice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An authorised officer may remove any sign or notice erected without lawful authority on CALM land.</w:t>
      </w:r>
    </w:p>
    <w:p>
      <w:pPr>
        <w:pStyle w:val="Footnotesection"/>
      </w:pPr>
      <w:r>
        <w:tab/>
        <w:t>[Regulation 38 amended in Gazette 3 Dec 2010 p. 6052</w:t>
      </w:r>
      <w:r>
        <w:noBreakHyphen/>
        <w:t>3.]</w:t>
      </w:r>
    </w:p>
    <w:p>
      <w:pPr>
        <w:pStyle w:val="Heading5"/>
        <w:rPr>
          <w:snapToGrid w:val="0"/>
        </w:rPr>
      </w:pPr>
      <w:bookmarkStart w:id="117" w:name="_Toc408498815"/>
      <w:bookmarkStart w:id="118" w:name="_Toc423343081"/>
      <w:r>
        <w:rPr>
          <w:rStyle w:val="CharSectno"/>
        </w:rPr>
        <w:t>39</w:t>
      </w:r>
      <w:r>
        <w:rPr>
          <w:snapToGrid w:val="0"/>
        </w:rPr>
        <w:t>.</w:t>
      </w:r>
      <w:r>
        <w:rPr>
          <w:snapToGrid w:val="0"/>
        </w:rPr>
        <w:tab/>
        <w:t>Unlawful lighting of campfires etc.</w:t>
      </w:r>
      <w:bookmarkEnd w:id="117"/>
      <w:bookmarkEnd w:id="118"/>
      <w:r>
        <w:rPr>
          <w:snapToGrid w:val="0"/>
        </w:rPr>
        <w:t xml:space="preserve"> </w:t>
      </w:r>
    </w:p>
    <w:p>
      <w:pPr>
        <w:pStyle w:val="Subsection"/>
        <w:rPr>
          <w:snapToGrid w:val="0"/>
        </w:rPr>
      </w:pPr>
      <w:r>
        <w:rPr>
          <w:snapToGrid w:val="0"/>
        </w:rPr>
        <w:tab/>
        <w:t>(1)</w:t>
      </w:r>
      <w:r>
        <w:rPr>
          <w:snapToGrid w:val="0"/>
        </w:rPr>
        <w:tab/>
        <w:t xml:space="preserve">A person must not, without lawful authority, </w:t>
      </w:r>
      <w:r>
        <w:t>light, kindle, maintain or use, or assist another person in lighting, kindling or maintaining</w:t>
      </w:r>
      <w:r>
        <w:rPr>
          <w:snapToGrid w:val="0"/>
        </w:rPr>
        <w:t>, a campfire, barbecue or portable stove on CALM land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in a restricted area where that activity — </w:t>
      </w:r>
    </w:p>
    <w:p>
      <w:pPr>
        <w:pStyle w:val="Indenti"/>
        <w:rPr>
          <w:snapToGrid w:val="0"/>
        </w:rPr>
      </w:pPr>
      <w:r>
        <w:rPr>
          <w:snapToGrid w:val="0"/>
        </w:rPr>
        <w:tab/>
        <w:t>(i)</w:t>
      </w:r>
      <w:r>
        <w:rPr>
          <w:snapToGrid w:val="0"/>
        </w:rPr>
        <w:tab/>
        <w:t>is prohibited under regulation 5; or</w:t>
      </w:r>
    </w:p>
    <w:p>
      <w:pPr>
        <w:pStyle w:val="Indenti"/>
        <w:rPr>
          <w:snapToGrid w:val="0"/>
        </w:rPr>
      </w:pPr>
      <w:r>
        <w:rPr>
          <w:snapToGrid w:val="0"/>
        </w:rPr>
        <w:tab/>
        <w:t>(ii)</w:t>
      </w:r>
      <w:r>
        <w:rPr>
          <w:snapToGrid w:val="0"/>
        </w:rPr>
        <w:tab/>
        <w:t>contravenes a restriction imposed on that activity under regulation 5;</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flora and forest produce is in danger of being burnt or</w:t>
      </w:r>
      <w:r>
        <w:t xml:space="preserve"> injured; or</w:t>
      </w:r>
    </w:p>
    <w:p>
      <w:pPr>
        <w:pStyle w:val="Indenta"/>
        <w:rPr>
          <w:rStyle w:val="DraftersNotes"/>
          <w:b w:val="0"/>
          <w:i w:val="0"/>
        </w:rPr>
      </w:pPr>
      <w:r>
        <w:tab/>
        <w:t>(d)</w:t>
      </w:r>
      <w:r>
        <w:tab/>
        <w:t>contrary to any direction on a sign relating to that CALM land or an area of that land specified in the sign; or</w:t>
      </w:r>
    </w:p>
    <w:p>
      <w:pPr>
        <w:pStyle w:val="Indenta"/>
      </w:pPr>
      <w:r>
        <w:tab/>
        <w:t>(e)</w:t>
      </w:r>
      <w:r>
        <w:tab/>
        <w:t>where there is in force a fire danger forecast issued by the Bureau of Meteorology of “high”, “very high”, “severe”, “extreme” or “catastrophic” that relates to, or includes, that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tab/>
        <w:t>(2)</w:t>
      </w:r>
      <w:r>
        <w:tab/>
      </w:r>
      <w:r>
        <w:rPr>
          <w:snapToGrid w:val="0"/>
        </w:rPr>
        <w:t>A person must not, without lawful authority — </w:t>
      </w:r>
    </w:p>
    <w:p>
      <w:pPr>
        <w:pStyle w:val="Indenta"/>
        <w:rPr>
          <w:snapToGrid w:val="0"/>
        </w:rPr>
      </w:pPr>
      <w:r>
        <w:rPr>
          <w:snapToGrid w:val="0"/>
        </w:rPr>
        <w:tab/>
        <w:t>(a)</w:t>
      </w:r>
      <w:r>
        <w:rPr>
          <w:snapToGrid w:val="0"/>
        </w:rPr>
        <w:tab/>
        <w:t>light, kindle, maintain or use, or assist another person in lighting, kindling or maintaining, any fire within the boundaries or within 20 m of any boundary of CALM land; or</w:t>
      </w:r>
    </w:p>
    <w:p>
      <w:pPr>
        <w:pStyle w:val="Indenta"/>
        <w:rPr>
          <w:snapToGrid w:val="0"/>
        </w:rPr>
      </w:pPr>
      <w:r>
        <w:rPr>
          <w:snapToGrid w:val="0"/>
        </w:rPr>
        <w:tab/>
        <w:t>(b)</w:t>
      </w:r>
      <w:r>
        <w:rPr>
          <w:snapToGrid w:val="0"/>
        </w:rPr>
        <w:tab/>
        <w:t>leave a fire described in paragraph (a) without taking due precaution against its spreading or causing injury,</w:t>
      </w:r>
    </w:p>
    <w:p>
      <w:pPr>
        <w:pStyle w:val="Subsection"/>
        <w:rPr>
          <w:snapToGrid w:val="0"/>
        </w:rPr>
      </w:pPr>
      <w:r>
        <w:rPr>
          <w:snapToGrid w:val="0"/>
        </w:rPr>
        <w:tab/>
      </w:r>
      <w:r>
        <w:rPr>
          <w:snapToGrid w:val="0"/>
        </w:rPr>
        <w:tab/>
        <w:t>if in either case any flora or forest produce is in danger of being burnt or injured.</w:t>
      </w:r>
    </w:p>
    <w:p>
      <w:pPr>
        <w:pStyle w:val="Penstart"/>
        <w:rPr>
          <w:snapToGrid w:val="0"/>
        </w:rPr>
      </w:pPr>
      <w:r>
        <w:rPr>
          <w:snapToGrid w:val="0"/>
        </w:rPr>
        <w:tab/>
        <w:t xml:space="preserve">Penalty: </w:t>
      </w:r>
      <w:r>
        <w:t>a fine of</w:t>
      </w:r>
      <w:r>
        <w:rPr>
          <w:snapToGrid w:val="0"/>
        </w:rPr>
        <w:t xml:space="preserve"> $2 000.</w:t>
      </w:r>
    </w:p>
    <w:p>
      <w:pPr>
        <w:pStyle w:val="Subsection"/>
      </w:pPr>
      <w:r>
        <w:tab/>
        <w:t>(3)</w:t>
      </w:r>
      <w:r>
        <w:tab/>
        <w:t>Subregulation (2) does not apply to a campfire, barbecue or portable stove on CALM land.</w:t>
      </w:r>
    </w:p>
    <w:p>
      <w:pPr>
        <w:pStyle w:val="Subsection"/>
      </w:pPr>
      <w:r>
        <w:tab/>
        <w:t>(4)</w:t>
      </w:r>
      <w:r>
        <w:tab/>
        <w:t xml:space="preserve">Nothing in this regulation affects the application of section 104 of the Act or regulation 29(2), or section 25 of the </w:t>
      </w:r>
      <w:r>
        <w:rPr>
          <w:i/>
        </w:rPr>
        <w:t>Bush Fires Act 1954</w:t>
      </w:r>
      <w:r>
        <w:t>.</w:t>
      </w:r>
    </w:p>
    <w:p>
      <w:pPr>
        <w:pStyle w:val="Footnotesection"/>
      </w:pPr>
      <w:r>
        <w:tab/>
        <w:t>[Regulation 39 amended in Gazette 29 Sep 2006 p. 4309</w:t>
      </w:r>
      <w:r>
        <w:noBreakHyphen/>
        <w:t>10; 3 Dec 2010 p. 6052</w:t>
      </w:r>
      <w:r>
        <w:noBreakHyphen/>
        <w:t>3; 19 Sep 2014 p. 3330</w:t>
      </w:r>
      <w:r>
        <w:noBreakHyphen/>
        <w:t>1.]</w:t>
      </w:r>
    </w:p>
    <w:p>
      <w:pPr>
        <w:pStyle w:val="Heading5"/>
      </w:pPr>
      <w:bookmarkStart w:id="119" w:name="_Toc408498816"/>
      <w:bookmarkStart w:id="120" w:name="_Toc423343082"/>
      <w:r>
        <w:rPr>
          <w:rStyle w:val="CharSectno"/>
        </w:rPr>
        <w:t>40</w:t>
      </w:r>
      <w:r>
        <w:t>.</w:t>
      </w:r>
      <w:r>
        <w:tab/>
        <w:t>Extinguishment of camp fires, barbeques and portable stoves</w:t>
      </w:r>
      <w:bookmarkEnd w:id="119"/>
      <w:bookmarkEnd w:id="120"/>
    </w:p>
    <w:p>
      <w:pPr>
        <w:pStyle w:val="Subsection"/>
      </w:pPr>
      <w:r>
        <w:tab/>
        <w:t>(1)</w:t>
      </w:r>
      <w:r>
        <w:tab/>
        <w:t xml:space="preserve">An authorised officer may direct any person to extinguish a camp fire, barbeque or portable stove on CALM land if the authorised officer considers that the camp fire, barbeque or stove constitutes — </w:t>
      </w:r>
    </w:p>
    <w:p>
      <w:pPr>
        <w:pStyle w:val="Indenta"/>
      </w:pPr>
      <w:r>
        <w:tab/>
        <w:t>(a)</w:t>
      </w:r>
      <w:r>
        <w:tab/>
        <w:t>a fire risk to any part of that land; or</w:t>
      </w:r>
    </w:p>
    <w:p>
      <w:pPr>
        <w:pStyle w:val="Indenta"/>
      </w:pPr>
      <w:r>
        <w:tab/>
        <w:t>(b)</w:t>
      </w:r>
      <w:r>
        <w:tab/>
        <w:t>a danger to the public.</w:t>
      </w:r>
    </w:p>
    <w:p>
      <w:pPr>
        <w:pStyle w:val="Subsection"/>
      </w:pPr>
      <w:r>
        <w:tab/>
        <w:t>(2)</w:t>
      </w:r>
      <w:r>
        <w:tab/>
        <w:t xml:space="preserve">An authorised officer may direct a person directed under subregulation (1) to extinguish a camp fire to take such other steps as the authorised officer considers reasonably necessary — </w:t>
      </w:r>
    </w:p>
    <w:p>
      <w:pPr>
        <w:pStyle w:val="Indenta"/>
      </w:pPr>
      <w:r>
        <w:tab/>
        <w:t>(a)</w:t>
      </w:r>
      <w:r>
        <w:tab/>
        <w:t>to prevent the camp fire from reigniting after it is extinguished; or</w:t>
      </w:r>
    </w:p>
    <w:p>
      <w:pPr>
        <w:pStyle w:val="Indenta"/>
      </w:pPr>
      <w:r>
        <w:tab/>
        <w:t>(b)</w:t>
      </w:r>
      <w:r>
        <w:tab/>
        <w:t>to prevent anything in or in the vicinity of the camp fire from constituting a danger to the public after it is extinguished.</w:t>
      </w:r>
    </w:p>
    <w:p>
      <w:pPr>
        <w:pStyle w:val="Subsection"/>
      </w:pPr>
      <w:r>
        <w:tab/>
        <w:t>(3)</w:t>
      </w:r>
      <w:r>
        <w:tab/>
        <w:t>A person must comply with a direction under subregulation (1) or (2).</w:t>
      </w:r>
    </w:p>
    <w:p>
      <w:pPr>
        <w:pStyle w:val="Penstart"/>
      </w:pPr>
      <w:r>
        <w:tab/>
        <w:t>Penalty: a fine of $2 000.</w:t>
      </w:r>
    </w:p>
    <w:p>
      <w:pPr>
        <w:pStyle w:val="Footnotesection"/>
      </w:pPr>
      <w:r>
        <w:tab/>
        <w:t>[Regulation 40 inserted in Gazette 3 Dec 2010 p. 6047</w:t>
      </w:r>
      <w:r>
        <w:noBreakHyphen/>
        <w:t>8.]</w:t>
      </w:r>
    </w:p>
    <w:p>
      <w:pPr>
        <w:pStyle w:val="Heading5"/>
      </w:pPr>
      <w:bookmarkStart w:id="121" w:name="_Toc408498817"/>
      <w:bookmarkStart w:id="122" w:name="_Toc423343083"/>
      <w:r>
        <w:rPr>
          <w:rStyle w:val="CharSectno"/>
        </w:rPr>
        <w:t>40A</w:t>
      </w:r>
      <w:r>
        <w:t>.</w:t>
      </w:r>
      <w:r>
        <w:tab/>
        <w:t>Unlawful lighting of fires — only one conviction</w:t>
      </w:r>
      <w:bookmarkEnd w:id="121"/>
      <w:bookmarkEnd w:id="122"/>
    </w:p>
    <w:p>
      <w:pPr>
        <w:pStyle w:val="Subsection"/>
      </w:pPr>
      <w:r>
        <w:tab/>
      </w:r>
      <w:r>
        <w:tab/>
        <w:t xml:space="preserve">A person cannot be convicted of more than one offence arising from the one act or omission that contravenes 2 or more of the following provisions — </w:t>
      </w:r>
    </w:p>
    <w:p>
      <w:pPr>
        <w:pStyle w:val="Indenta"/>
      </w:pPr>
      <w:r>
        <w:tab/>
        <w:t>(a)</w:t>
      </w:r>
      <w:r>
        <w:tab/>
        <w:t>section 104(1) of the Act;</w:t>
      </w:r>
    </w:p>
    <w:p>
      <w:pPr>
        <w:pStyle w:val="Indenta"/>
      </w:pPr>
      <w:r>
        <w:tab/>
        <w:t>(b)</w:t>
      </w:r>
      <w:r>
        <w:tab/>
        <w:t>regulation 29(2);</w:t>
      </w:r>
    </w:p>
    <w:p>
      <w:pPr>
        <w:pStyle w:val="Indenta"/>
      </w:pPr>
      <w:r>
        <w:tab/>
        <w:t>(c)</w:t>
      </w:r>
      <w:r>
        <w:tab/>
        <w:t>regulation 39(1);</w:t>
      </w:r>
    </w:p>
    <w:p>
      <w:pPr>
        <w:pStyle w:val="Indenta"/>
      </w:pPr>
      <w:r>
        <w:tab/>
        <w:t>(d)</w:t>
      </w:r>
      <w:r>
        <w:tab/>
        <w:t>regulation 39(2).</w:t>
      </w:r>
    </w:p>
    <w:p>
      <w:pPr>
        <w:pStyle w:val="Footnotesection"/>
      </w:pPr>
      <w:r>
        <w:tab/>
        <w:t>[Regulation 40A inserted in Gazette 29 Sep 2006 p. 4310</w:t>
      </w:r>
      <w:r>
        <w:noBreakHyphen/>
        <w:t>11.]</w:t>
      </w:r>
    </w:p>
    <w:p>
      <w:pPr>
        <w:pStyle w:val="Heading2"/>
      </w:pPr>
      <w:bookmarkStart w:id="123" w:name="_Toc408498818"/>
      <w:bookmarkStart w:id="124" w:name="_Toc414889240"/>
      <w:bookmarkStart w:id="125" w:name="_Toc414975183"/>
      <w:bookmarkStart w:id="126" w:name="_Toc417563665"/>
      <w:bookmarkStart w:id="127" w:name="_Toc423340486"/>
      <w:bookmarkStart w:id="128" w:name="_Toc423343084"/>
      <w:r>
        <w:rPr>
          <w:rStyle w:val="CharPartNo"/>
        </w:rPr>
        <w:t>Part 3</w:t>
      </w:r>
      <w:r>
        <w:t xml:space="preserve"> — </w:t>
      </w:r>
      <w:r>
        <w:rPr>
          <w:rStyle w:val="CharPartText"/>
        </w:rPr>
        <w:t>Access to CALM land</w:t>
      </w:r>
      <w:bookmarkEnd w:id="123"/>
      <w:bookmarkEnd w:id="124"/>
      <w:bookmarkEnd w:id="125"/>
      <w:bookmarkEnd w:id="126"/>
      <w:bookmarkEnd w:id="127"/>
      <w:bookmarkEnd w:id="128"/>
    </w:p>
    <w:p>
      <w:pPr>
        <w:pStyle w:val="Heading3"/>
      </w:pPr>
      <w:bookmarkStart w:id="129" w:name="_Toc408498819"/>
      <w:bookmarkStart w:id="130" w:name="_Toc414889241"/>
      <w:bookmarkStart w:id="131" w:name="_Toc414975184"/>
      <w:bookmarkStart w:id="132" w:name="_Toc417563666"/>
      <w:bookmarkStart w:id="133" w:name="_Toc423340487"/>
      <w:bookmarkStart w:id="134" w:name="_Toc423343085"/>
      <w:r>
        <w:rPr>
          <w:rStyle w:val="CharDivNo"/>
        </w:rPr>
        <w:t>Division 1</w:t>
      </w:r>
      <w:r>
        <w:rPr>
          <w:snapToGrid w:val="0"/>
        </w:rPr>
        <w:t xml:space="preserve"> — </w:t>
      </w:r>
      <w:r>
        <w:rPr>
          <w:rStyle w:val="CharDivText"/>
        </w:rPr>
        <w:t>General</w:t>
      </w:r>
      <w:bookmarkEnd w:id="129"/>
      <w:bookmarkEnd w:id="130"/>
      <w:bookmarkEnd w:id="131"/>
      <w:bookmarkEnd w:id="132"/>
      <w:bookmarkEnd w:id="133"/>
      <w:bookmarkEnd w:id="134"/>
    </w:p>
    <w:p>
      <w:pPr>
        <w:pStyle w:val="Heading5"/>
        <w:spacing w:before="180"/>
        <w:rPr>
          <w:snapToGrid w:val="0"/>
        </w:rPr>
      </w:pPr>
      <w:bookmarkStart w:id="135" w:name="_Toc408498820"/>
      <w:bookmarkStart w:id="136" w:name="_Toc423343086"/>
      <w:r>
        <w:rPr>
          <w:rStyle w:val="CharSectno"/>
        </w:rPr>
        <w:t>41</w:t>
      </w:r>
      <w:r>
        <w:rPr>
          <w:snapToGrid w:val="0"/>
        </w:rPr>
        <w:t>.</w:t>
      </w:r>
      <w:r>
        <w:rPr>
          <w:snapToGrid w:val="0"/>
        </w:rPr>
        <w:tab/>
        <w:t>Access to certain classified areas</w:t>
      </w:r>
      <w:bookmarkEnd w:id="135"/>
      <w:bookmarkEnd w:id="136"/>
    </w:p>
    <w:p>
      <w:pPr>
        <w:pStyle w:val="Subsection"/>
        <w:spacing w:before="120"/>
        <w:rPr>
          <w:snapToGrid w:val="0"/>
        </w:rPr>
      </w:pPr>
      <w:r>
        <w:rPr>
          <w:snapToGrid w:val="0"/>
        </w:rPr>
        <w:tab/>
      </w:r>
      <w:r>
        <w:rPr>
          <w:snapToGrid w:val="0"/>
        </w:rPr>
        <w:tab/>
        <w:t>A person must not, without lawful authority, enter any land or waters classified — </w:t>
      </w:r>
    </w:p>
    <w:p>
      <w:pPr>
        <w:pStyle w:val="Indenta"/>
        <w:spacing w:before="60"/>
        <w:rPr>
          <w:snapToGrid w:val="0"/>
        </w:rPr>
      </w:pPr>
      <w:r>
        <w:rPr>
          <w:snapToGrid w:val="0"/>
        </w:rPr>
        <w:tab/>
        <w:t>(a)</w:t>
      </w:r>
      <w:r>
        <w:rPr>
          <w:snapToGrid w:val="0"/>
        </w:rPr>
        <w:tab/>
        <w:t>under section 62(1)(b) of the Act as a prohibited area; or</w:t>
      </w:r>
    </w:p>
    <w:p>
      <w:pPr>
        <w:pStyle w:val="Indenta"/>
        <w:spacing w:before="60"/>
        <w:rPr>
          <w:snapToGrid w:val="0"/>
        </w:rPr>
      </w:pPr>
      <w:r>
        <w:rPr>
          <w:snapToGrid w:val="0"/>
        </w:rPr>
        <w:tab/>
        <w:t>(b)</w:t>
      </w:r>
      <w:r>
        <w:rPr>
          <w:snapToGrid w:val="0"/>
        </w:rPr>
        <w:tab/>
        <w:t>under section 62(1)(d) of the Act as a temporary</w:t>
      </w:r>
      <w:r>
        <w:t xml:space="preserve"> control area for a purpose referred to in section 62(2)(a)(i) or (ii) of the Act; or</w:t>
      </w:r>
    </w:p>
    <w:p>
      <w:pPr>
        <w:pStyle w:val="Indenta"/>
        <w:spacing w:before="60"/>
      </w:pPr>
      <w:r>
        <w:tab/>
        <w:t>(ca)</w:t>
      </w:r>
      <w:r>
        <w:tab/>
        <w:t>under section 62(1)(d) of the Act as a temporary control area for a purpose referred to in section 62(2)(a)(iii) of the Act; or</w:t>
      </w:r>
    </w:p>
    <w:p>
      <w:pPr>
        <w:pStyle w:val="Indenta"/>
        <w:spacing w:before="60"/>
      </w:pPr>
      <w:r>
        <w:rPr>
          <w:snapToGrid w:val="0"/>
        </w:rPr>
        <w:tab/>
        <w:t>(c)</w:t>
      </w:r>
      <w:r>
        <w:rPr>
          <w:snapToGrid w:val="0"/>
        </w:rPr>
        <w:tab/>
        <w:t xml:space="preserve">under section 62(1)(f) of the Act as </w:t>
      </w:r>
      <w:r>
        <w:t>a plant disease management area.</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41 amended in Gazette 3 Dec 2010 p. 6052</w:t>
      </w:r>
      <w:r>
        <w:noBreakHyphen/>
        <w:t>3; 7 Dec 2012 p. 5965-6.]</w:t>
      </w:r>
    </w:p>
    <w:p>
      <w:pPr>
        <w:pStyle w:val="Heading5"/>
        <w:spacing w:before="180"/>
      </w:pPr>
      <w:bookmarkStart w:id="137" w:name="_Toc408498821"/>
      <w:bookmarkStart w:id="138" w:name="_Toc423343087"/>
      <w:r>
        <w:rPr>
          <w:rStyle w:val="CharSectno"/>
        </w:rPr>
        <w:t>42</w:t>
      </w:r>
      <w:r>
        <w:t>.</w:t>
      </w:r>
      <w:r>
        <w:tab/>
        <w:t>Access to limited access areas</w:t>
      </w:r>
      <w:bookmarkEnd w:id="137"/>
      <w:bookmarkEnd w:id="138"/>
    </w:p>
    <w:p>
      <w:pPr>
        <w:pStyle w:val="Subsection"/>
        <w:spacing w:before="120"/>
      </w:pPr>
      <w:r>
        <w:tab/>
      </w:r>
      <w:r>
        <w:tab/>
        <w:t>A person must not, without lawful authority, enter otherwise than on foot or by vessel any land classified under section 62(1)(c) of the Act as a limited access area.</w:t>
      </w:r>
    </w:p>
    <w:p>
      <w:pPr>
        <w:pStyle w:val="Penstart"/>
      </w:pPr>
      <w:r>
        <w:tab/>
        <w:t>Penalty: a fine of $2 000.</w:t>
      </w:r>
    </w:p>
    <w:p>
      <w:pPr>
        <w:pStyle w:val="Footnotesection"/>
      </w:pPr>
      <w:r>
        <w:tab/>
        <w:t>[Regulation 42 inserted in Gazette 7 Dec 2012 p. 5966.]</w:t>
      </w:r>
    </w:p>
    <w:p>
      <w:pPr>
        <w:pStyle w:val="Heading5"/>
        <w:spacing w:before="180"/>
        <w:rPr>
          <w:snapToGrid w:val="0"/>
        </w:rPr>
      </w:pPr>
      <w:bookmarkStart w:id="139" w:name="_Toc408498822"/>
      <w:bookmarkStart w:id="140" w:name="_Toc423343088"/>
      <w:r>
        <w:rPr>
          <w:rStyle w:val="CharSectno"/>
        </w:rPr>
        <w:t>43</w:t>
      </w:r>
      <w:r>
        <w:rPr>
          <w:snapToGrid w:val="0"/>
        </w:rPr>
        <w:t>.</w:t>
      </w:r>
      <w:r>
        <w:rPr>
          <w:snapToGrid w:val="0"/>
        </w:rPr>
        <w:tab/>
        <w:t>Access to wilderness areas (Act s. 62(1)(a))</w:t>
      </w:r>
      <w:bookmarkEnd w:id="139"/>
      <w:bookmarkEnd w:id="140"/>
    </w:p>
    <w:p>
      <w:pPr>
        <w:pStyle w:val="Subsection"/>
        <w:keepNext/>
        <w:spacing w:before="120"/>
        <w:rPr>
          <w:snapToGrid w:val="0"/>
        </w:rPr>
      </w:pPr>
      <w:r>
        <w:rPr>
          <w:snapToGrid w:val="0"/>
        </w:rPr>
        <w:tab/>
      </w:r>
      <w:r>
        <w:rPr>
          <w:snapToGrid w:val="0"/>
        </w:rPr>
        <w:tab/>
        <w:t>A person must not, without lawful authority, enter by vehicle, powered vessel or animal any land or waters classified under section 62(1)(a) of the Act as a wilderness area.</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pPr>
      <w:r>
        <w:tab/>
        <w:t>[Regulation 43 amended in Gazette 3 Dec 2010 p. 6052</w:t>
      </w:r>
      <w:r>
        <w:noBreakHyphen/>
        <w:t>3; 19 Sep 2014 p. 3335.]</w:t>
      </w:r>
    </w:p>
    <w:p>
      <w:pPr>
        <w:pStyle w:val="Heading5"/>
        <w:rPr>
          <w:snapToGrid w:val="0"/>
        </w:rPr>
      </w:pPr>
      <w:bookmarkStart w:id="141" w:name="_Toc408498823"/>
      <w:bookmarkStart w:id="142" w:name="_Toc423343089"/>
      <w:r>
        <w:rPr>
          <w:rStyle w:val="CharSectno"/>
        </w:rPr>
        <w:t>44</w:t>
      </w:r>
      <w:r>
        <w:rPr>
          <w:snapToGrid w:val="0"/>
        </w:rPr>
        <w:t>.</w:t>
      </w:r>
      <w:r>
        <w:rPr>
          <w:snapToGrid w:val="0"/>
        </w:rPr>
        <w:tab/>
        <w:t>Direction to close area</w:t>
      </w:r>
      <w:bookmarkEnd w:id="141"/>
      <w:bookmarkEnd w:id="142"/>
      <w:r>
        <w:rPr>
          <w:snapToGrid w:val="0"/>
        </w:rPr>
        <w:t xml:space="preserve"> </w:t>
      </w:r>
    </w:p>
    <w:p>
      <w:pPr>
        <w:pStyle w:val="Subsection"/>
      </w:pPr>
      <w:r>
        <w:rPr>
          <w:snapToGrid w:val="0"/>
        </w:rPr>
        <w:tab/>
        <w:t>(1)</w:t>
      </w:r>
      <w:r>
        <w:rPr>
          <w:snapToGrid w:val="0"/>
        </w:rPr>
        <w:tab/>
        <w:t>If the CEO is satisfied that there is a significant and imminent threat of loss or harm to the safety or health of persons or fauna, or of damage to property or any part of the environment, the CEO may direct a named authorised officer to close as much CALM land as the officer thinks necessary to reduce or remove the threat.</w:t>
      </w:r>
    </w:p>
    <w:p>
      <w:pPr>
        <w:pStyle w:val="Subsection"/>
        <w:rPr>
          <w:snapToGrid w:val="0"/>
        </w:rPr>
      </w:pPr>
      <w:r>
        <w:rPr>
          <w:snapToGrid w:val="0"/>
        </w:rPr>
        <w:tab/>
        <w:t>(2)</w:t>
      </w:r>
      <w:r>
        <w:rPr>
          <w:snapToGrid w:val="0"/>
        </w:rPr>
        <w:tab/>
        <w:t xml:space="preserve">If the </w:t>
      </w:r>
      <w:r>
        <w:t xml:space="preserve">CEO </w:t>
      </w:r>
      <w:r>
        <w:rPr>
          <w:snapToGrid w:val="0"/>
        </w:rPr>
        <w:t xml:space="preserve">gives an oral direction for a closure under subregulation (1), the direction is to be confirmed by the </w:t>
      </w:r>
      <w:r>
        <w:t xml:space="preserve">CEO </w:t>
      </w:r>
      <w:r>
        <w:rPr>
          <w:snapToGrid w:val="0"/>
        </w:rPr>
        <w:t>in writing as soon as is reasonably practicable.</w:t>
      </w:r>
    </w:p>
    <w:p>
      <w:pPr>
        <w:pStyle w:val="Subsection"/>
        <w:rPr>
          <w:snapToGrid w:val="0"/>
        </w:rPr>
      </w:pPr>
      <w:r>
        <w:rPr>
          <w:snapToGrid w:val="0"/>
        </w:rPr>
        <w:tab/>
        <w:t>(3)</w:t>
      </w:r>
      <w:r>
        <w:rPr>
          <w:snapToGrid w:val="0"/>
        </w:rPr>
        <w:tab/>
        <w:t xml:space="preserve">The </w:t>
      </w:r>
      <w:r>
        <w:t xml:space="preserve">CEO </w:t>
      </w:r>
      <w:r>
        <w:rPr>
          <w:snapToGrid w:val="0"/>
        </w:rPr>
        <w:t>may vary or revoke a direction under subregulation (1) and is to revoke a direction as soon as practicable after being satisfied that the circumstances that gave rise to the direction no longer exist.</w:t>
      </w:r>
    </w:p>
    <w:p>
      <w:pPr>
        <w:pStyle w:val="Subsection"/>
      </w:pPr>
      <w:r>
        <w:tab/>
        <w:t>(4)</w:t>
      </w:r>
      <w:r>
        <w:tab/>
        <w:t>The closure of an area in a marine park or marine management area does not operate so as to prohibit a person entering or remaining in the area for the purpose of activities authorised in the area by an authorisation, licence, permit, lease, management plan or notice to which section 13D or 13E of the Act applies.</w:t>
      </w:r>
    </w:p>
    <w:p>
      <w:pPr>
        <w:pStyle w:val="Footnotesection"/>
      </w:pPr>
      <w:r>
        <w:tab/>
        <w:t>[Regulation 44 amended in Gazette 29 Sep 2006 p. 4311 and 4334.]</w:t>
      </w:r>
    </w:p>
    <w:p>
      <w:pPr>
        <w:pStyle w:val="Heading5"/>
        <w:rPr>
          <w:snapToGrid w:val="0"/>
        </w:rPr>
      </w:pPr>
      <w:bookmarkStart w:id="143" w:name="_Toc408498824"/>
      <w:bookmarkStart w:id="144" w:name="_Toc423343090"/>
      <w:r>
        <w:rPr>
          <w:rStyle w:val="CharSectno"/>
        </w:rPr>
        <w:t>45</w:t>
      </w:r>
      <w:r>
        <w:rPr>
          <w:snapToGrid w:val="0"/>
        </w:rPr>
        <w:t>.</w:t>
      </w:r>
      <w:r>
        <w:rPr>
          <w:snapToGrid w:val="0"/>
        </w:rPr>
        <w:tab/>
        <w:t>Closed area</w:t>
      </w:r>
      <w:bookmarkEnd w:id="143"/>
      <w:bookmarkEnd w:id="144"/>
      <w:r>
        <w:rPr>
          <w:snapToGrid w:val="0"/>
        </w:rPr>
        <w:t xml:space="preserve"> </w:t>
      </w:r>
    </w:p>
    <w:p>
      <w:pPr>
        <w:pStyle w:val="Subsection"/>
        <w:rPr>
          <w:snapToGrid w:val="0"/>
        </w:rPr>
      </w:pPr>
      <w:r>
        <w:rPr>
          <w:snapToGrid w:val="0"/>
        </w:rPr>
        <w:tab/>
        <w:t>(1)</w:t>
      </w:r>
      <w:r>
        <w:rPr>
          <w:snapToGrid w:val="0"/>
        </w:rPr>
        <w:tab/>
        <w:t>While a direction is in force under regulation 44, any authorised officer may by placement of signs, markings, barriers, or buoys mark out any area (whether one or more) that is for the time being closed for the purposes of that regulation.</w:t>
      </w:r>
    </w:p>
    <w:p>
      <w:pPr>
        <w:pStyle w:val="Subsection"/>
        <w:rPr>
          <w:snapToGrid w:val="0"/>
        </w:rPr>
      </w:pPr>
      <w:r>
        <w:rPr>
          <w:snapToGrid w:val="0"/>
        </w:rPr>
        <w:tab/>
        <w:t>(2)</w:t>
      </w:r>
      <w:r>
        <w:rPr>
          <w:snapToGrid w:val="0"/>
        </w:rPr>
        <w:tab/>
        <w:t>The dimensions of any closed area are not to be greater than is reasonably required for the purposes of regulation 44(1).</w:t>
      </w:r>
    </w:p>
    <w:p>
      <w:pPr>
        <w:pStyle w:val="Subsection"/>
        <w:rPr>
          <w:snapToGrid w:val="0"/>
        </w:rPr>
      </w:pPr>
      <w:r>
        <w:rPr>
          <w:snapToGrid w:val="0"/>
        </w:rPr>
        <w:tab/>
        <w:t>(3)</w:t>
      </w:r>
      <w:r>
        <w:rPr>
          <w:snapToGrid w:val="0"/>
        </w:rPr>
        <w:tab/>
        <w:t>Sufficient signs, markings, barriers or buoys are to be erected and maintained in or in the vicinity of a closed area indicating that entry to that area is prohibited without permission of an authorised officer.</w:t>
      </w:r>
    </w:p>
    <w:p>
      <w:pPr>
        <w:pStyle w:val="Subsection"/>
        <w:rPr>
          <w:snapToGrid w:val="0"/>
        </w:rPr>
      </w:pPr>
      <w:r>
        <w:rPr>
          <w:snapToGrid w:val="0"/>
        </w:rPr>
        <w:tab/>
        <w:t>(4)</w:t>
      </w:r>
      <w:r>
        <w:rPr>
          <w:snapToGrid w:val="0"/>
        </w:rPr>
        <w:tab/>
        <w:t>A sign, marking, barrier or buoy placed in the vicinity of any land or waters to which a direction under regulation 44 applies is to be presumed, in the absence of evidence to the contrary, to be a sign, marking, barrier or buoy placed by an authorised officer under subregulation (1).</w:t>
      </w:r>
    </w:p>
    <w:p>
      <w:pPr>
        <w:pStyle w:val="Footnotesection"/>
        <w:spacing w:before="100"/>
      </w:pPr>
      <w:r>
        <w:tab/>
        <w:t>[Regulation 45 amended in Gazette 29 Sep 2006 p. 4311.]</w:t>
      </w:r>
    </w:p>
    <w:p>
      <w:pPr>
        <w:pStyle w:val="Heading5"/>
        <w:rPr>
          <w:snapToGrid w:val="0"/>
        </w:rPr>
      </w:pPr>
      <w:bookmarkStart w:id="145" w:name="_Toc408498825"/>
      <w:bookmarkStart w:id="146" w:name="_Toc423343091"/>
      <w:r>
        <w:rPr>
          <w:rStyle w:val="CharSectno"/>
        </w:rPr>
        <w:t>46</w:t>
      </w:r>
      <w:r>
        <w:rPr>
          <w:snapToGrid w:val="0"/>
        </w:rPr>
        <w:t>.</w:t>
      </w:r>
      <w:r>
        <w:rPr>
          <w:snapToGrid w:val="0"/>
        </w:rPr>
        <w:tab/>
        <w:t>Offences relating to closed areas</w:t>
      </w:r>
      <w:bookmarkEnd w:id="145"/>
      <w:bookmarkEnd w:id="146"/>
      <w:r>
        <w:rPr>
          <w:snapToGrid w:val="0"/>
        </w:rPr>
        <w:t xml:space="preserve"> </w:t>
      </w:r>
    </w:p>
    <w:p>
      <w:pPr>
        <w:pStyle w:val="Subsection"/>
        <w:spacing w:before="140"/>
        <w:rPr>
          <w:snapToGrid w:val="0"/>
        </w:rPr>
      </w:pPr>
      <w:r>
        <w:rPr>
          <w:snapToGrid w:val="0"/>
        </w:rPr>
        <w:tab/>
        <w:t>(1)</w:t>
      </w:r>
      <w:r>
        <w:rPr>
          <w:snapToGrid w:val="0"/>
        </w:rPr>
        <w:tab/>
        <w:t>Subject to regulation 44(4), a person must not, without permission of an authorised officer, enter or remain in an area closed under regulation 45.</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20"/>
        <w:rPr>
          <w:snapToGrid w:val="0"/>
        </w:rPr>
      </w:pPr>
      <w:r>
        <w:rPr>
          <w:snapToGrid w:val="0"/>
        </w:rPr>
        <w:tab/>
        <w:t>(2)</w:t>
      </w:r>
      <w:r>
        <w:rPr>
          <w:snapToGrid w:val="0"/>
        </w:rPr>
        <w:tab/>
        <w:t>An authorised officer may revoke a permission given to a person for the purposes of subregulation (1) in which case if the person is in a closed area he or she must leave the area immediately.</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30"/>
        <w:rPr>
          <w:snapToGrid w:val="0"/>
        </w:rPr>
      </w:pPr>
      <w:r>
        <w:rPr>
          <w:snapToGrid w:val="0"/>
        </w:rPr>
        <w:tab/>
        <w:t>(3)</w:t>
      </w:r>
      <w:r>
        <w:rPr>
          <w:snapToGrid w:val="0"/>
        </w:rPr>
        <w:tab/>
        <w:t>An authorised officer may grant permission for the purposes of subregulation (1) subject to any condition, and during any period when the condition is not observed or performed by that person the permission is to be treated as having been revoked.</w:t>
      </w:r>
    </w:p>
    <w:p>
      <w:pPr>
        <w:pStyle w:val="Subsection"/>
        <w:spacing w:before="130"/>
        <w:rPr>
          <w:snapToGrid w:val="0"/>
        </w:rPr>
      </w:pPr>
      <w:r>
        <w:rPr>
          <w:snapToGrid w:val="0"/>
        </w:rPr>
        <w:tab/>
        <w:t>(4)</w:t>
      </w:r>
      <w:r>
        <w:rPr>
          <w:snapToGrid w:val="0"/>
        </w:rPr>
        <w:tab/>
        <w:t>It is a defence to a charge of contravening subregulation (1) or (2) for a person to show that his or her presence in a closed area without permission was necessary to prevent or mitigate injury to a person or damage to property.</w:t>
      </w:r>
    </w:p>
    <w:p>
      <w:pPr>
        <w:pStyle w:val="Footnotesection"/>
        <w:spacing w:before="100"/>
      </w:pPr>
      <w:r>
        <w:tab/>
        <w:t>[Regulation 46 amended in Gazette 3 Dec 2010 p. 6052</w:t>
      </w:r>
      <w:r>
        <w:noBreakHyphen/>
        <w:t>3; 19 Sep 2014 p. 3335.]</w:t>
      </w:r>
    </w:p>
    <w:p>
      <w:pPr>
        <w:pStyle w:val="Heading5"/>
      </w:pPr>
      <w:bookmarkStart w:id="147" w:name="_Toc408498826"/>
      <w:bookmarkStart w:id="148" w:name="_Toc423343092"/>
      <w:r>
        <w:rPr>
          <w:rStyle w:val="CharSectno"/>
        </w:rPr>
        <w:t>47</w:t>
      </w:r>
      <w:r>
        <w:t>.</w:t>
      </w:r>
      <w:r>
        <w:tab/>
        <w:t>Entering CALM land via gates etc.</w:t>
      </w:r>
      <w:bookmarkEnd w:id="147"/>
      <w:bookmarkEnd w:id="148"/>
    </w:p>
    <w:p>
      <w:pPr>
        <w:pStyle w:val="Subsection"/>
        <w:spacing w:before="130"/>
      </w:pPr>
      <w:r>
        <w:tab/>
        <w:t>(1)</w:t>
      </w:r>
      <w:r>
        <w:tab/>
        <w:t>If an entrance to an area of CALM land (other than land covered by subregulation (2)) is controlled by a gate or other barrier a person must not, without lawful authority, enter or cause a vehicle or animal to enter that area other than through that gate or barrier.</w:t>
      </w:r>
    </w:p>
    <w:p>
      <w:pPr>
        <w:pStyle w:val="Penstart"/>
      </w:pPr>
      <w:r>
        <w:tab/>
        <w:t>Penalty: a fine of $500.</w:t>
      </w:r>
    </w:p>
    <w:p>
      <w:pPr>
        <w:pStyle w:val="Subsection"/>
      </w:pPr>
      <w:r>
        <w:tab/>
        <w:t>(2)</w:t>
      </w:r>
      <w:r>
        <w:tab/>
        <w:t>A person must not, without lawful authority, unlock, dismantle or break down a locked gate or locked barrier controlling an entrance to an area of CALM land.</w:t>
      </w:r>
    </w:p>
    <w:p>
      <w:pPr>
        <w:pStyle w:val="Penstart"/>
      </w:pPr>
      <w:r>
        <w:tab/>
        <w:t>Penalty: a fine of $500.</w:t>
      </w:r>
    </w:p>
    <w:p>
      <w:pPr>
        <w:pStyle w:val="Subsection"/>
      </w:pPr>
      <w:r>
        <w:tab/>
        <w:t>(3)</w:t>
      </w:r>
      <w:r>
        <w:tab/>
        <w:t>A person must not, without lawful authority, open, remove, dismantle or breakdown a gate or barrier controlling an entrance to an area of CALM land if it is clear, by signs on or near the gate or barrier, that the gate or barrier is not meant to be opened or removed.</w:t>
      </w:r>
    </w:p>
    <w:p>
      <w:pPr>
        <w:pStyle w:val="Penstart"/>
      </w:pPr>
      <w:r>
        <w:tab/>
        <w:t>Penalty: a fine of $500.</w:t>
      </w:r>
    </w:p>
    <w:p>
      <w:pPr>
        <w:pStyle w:val="Footnotesection"/>
      </w:pPr>
      <w:r>
        <w:tab/>
        <w:t>[Regulation 47 inserted in Gazette 29 Sep 2006 p. 4311</w:t>
      </w:r>
      <w:r>
        <w:noBreakHyphen/>
        <w:t>12; amended in Gazette 3 Dec 2010 p. 6052</w:t>
      </w:r>
      <w:r>
        <w:noBreakHyphen/>
        <w:t>3.]</w:t>
      </w:r>
    </w:p>
    <w:p>
      <w:pPr>
        <w:pStyle w:val="Heading5"/>
        <w:rPr>
          <w:snapToGrid w:val="0"/>
        </w:rPr>
      </w:pPr>
      <w:bookmarkStart w:id="149" w:name="_Toc408498827"/>
      <w:bookmarkStart w:id="150" w:name="_Toc423343093"/>
      <w:r>
        <w:rPr>
          <w:rStyle w:val="CharSectno"/>
        </w:rPr>
        <w:t>48</w:t>
      </w:r>
      <w:r>
        <w:rPr>
          <w:snapToGrid w:val="0"/>
        </w:rPr>
        <w:t>.</w:t>
      </w:r>
      <w:r>
        <w:rPr>
          <w:snapToGrid w:val="0"/>
        </w:rPr>
        <w:tab/>
        <w:t xml:space="preserve">Areas set aside </w:t>
      </w:r>
      <w:r>
        <w:t>for purposes of CEO</w:t>
      </w:r>
      <w:bookmarkEnd w:id="149"/>
      <w:bookmarkEnd w:id="150"/>
    </w:p>
    <w:p>
      <w:pPr>
        <w:pStyle w:val="Subsection"/>
        <w:rPr>
          <w:snapToGrid w:val="0"/>
        </w:rPr>
      </w:pPr>
      <w:r>
        <w:rPr>
          <w:snapToGrid w:val="0"/>
        </w:rPr>
        <w:tab/>
      </w:r>
      <w:r>
        <w:rPr>
          <w:snapToGrid w:val="0"/>
        </w:rPr>
        <w:tab/>
        <w:t xml:space="preserve">A person must not, without lawful authority, enter or remain in any area of CALM land set aside for cultivation, gardens, animal enclosures, housing, education facilities or machinery sheds or any other property or facilities which are established </w:t>
      </w:r>
      <w:r>
        <w:t xml:space="preserve">for the purposes of the CEO </w:t>
      </w:r>
      <w:r>
        <w:rPr>
          <w:snapToGrid w:val="0"/>
        </w:rPr>
        <w:t>and which are not open to the public.</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48 amended in Gazette 29 Sep 2006 p. 4312; 3 Dec 2010 p. 6052</w:t>
      </w:r>
      <w:r>
        <w:noBreakHyphen/>
        <w:t>3.]</w:t>
      </w:r>
    </w:p>
    <w:p>
      <w:pPr>
        <w:pStyle w:val="Heading5"/>
        <w:rPr>
          <w:snapToGrid w:val="0"/>
        </w:rPr>
      </w:pPr>
      <w:bookmarkStart w:id="151" w:name="_Toc408498828"/>
      <w:bookmarkStart w:id="152" w:name="_Toc423343094"/>
      <w:r>
        <w:rPr>
          <w:rStyle w:val="CharSectno"/>
        </w:rPr>
        <w:t>49</w:t>
      </w:r>
      <w:r>
        <w:rPr>
          <w:snapToGrid w:val="0"/>
        </w:rPr>
        <w:t>.</w:t>
      </w:r>
      <w:r>
        <w:rPr>
          <w:snapToGrid w:val="0"/>
        </w:rPr>
        <w:tab/>
        <w:t>Caves</w:t>
      </w:r>
      <w:bookmarkEnd w:id="151"/>
      <w:bookmarkEnd w:id="152"/>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cave</w:t>
      </w:r>
      <w:r>
        <w:rPr>
          <w:b/>
        </w:rPr>
        <w:t xml:space="preserve"> </w:t>
      </w:r>
      <w:r>
        <w:t>means a cave or part of a cave which is on or under CALM land.</w:t>
      </w:r>
    </w:p>
    <w:p>
      <w:pPr>
        <w:pStyle w:val="Subsection"/>
        <w:rPr>
          <w:snapToGrid w:val="0"/>
        </w:rPr>
      </w:pPr>
      <w:r>
        <w:rPr>
          <w:snapToGrid w:val="0"/>
        </w:rPr>
        <w:tab/>
        <w:t>(2)</w:t>
      </w:r>
      <w:r>
        <w:rPr>
          <w:snapToGrid w:val="0"/>
        </w:rPr>
        <w:tab/>
        <w:t xml:space="preserve">The </w:t>
      </w:r>
      <w:r>
        <w:t xml:space="preserve">CEO </w:t>
      </w:r>
      <w:r>
        <w:rPr>
          <w:snapToGrid w:val="0"/>
        </w:rPr>
        <w:t xml:space="preserve">may, on payment of the </w:t>
      </w:r>
      <w:r>
        <w:t xml:space="preserve">appropriate </w:t>
      </w:r>
      <w:r>
        <w:rPr>
          <w:snapToGrid w:val="0"/>
        </w:rPr>
        <w:t>fee specified in Schedule 1</w:t>
      </w:r>
      <w:r>
        <w:t xml:space="preserve"> Division 8 item 1</w:t>
      </w:r>
      <w:r>
        <w:rPr>
          <w:snapToGrid w:val="0"/>
        </w:rPr>
        <w:t>, grant to any person a permit in an approved form to be in a cave.</w:t>
      </w:r>
    </w:p>
    <w:p>
      <w:pPr>
        <w:pStyle w:val="Subsection"/>
        <w:keepNext/>
        <w:rPr>
          <w:snapToGrid w:val="0"/>
        </w:rPr>
      </w:pPr>
      <w:r>
        <w:rPr>
          <w:snapToGrid w:val="0"/>
        </w:rPr>
        <w:tab/>
        <w:t>(3)</w:t>
      </w:r>
      <w:r>
        <w:rPr>
          <w:snapToGrid w:val="0"/>
        </w:rPr>
        <w:tab/>
        <w:t>A permit — </w:t>
      </w:r>
    </w:p>
    <w:p>
      <w:pPr>
        <w:pStyle w:val="Indenta"/>
        <w:rPr>
          <w:snapToGrid w:val="0"/>
        </w:rPr>
      </w:pPr>
      <w:r>
        <w:rPr>
          <w:snapToGrid w:val="0"/>
        </w:rPr>
        <w:tab/>
        <w:t>(a)</w:t>
      </w:r>
      <w:r>
        <w:rPr>
          <w:snapToGrid w:val="0"/>
        </w:rPr>
        <w:tab/>
        <w:t>authorises a person to be in a cave for the period specified in the permit; and</w:t>
      </w:r>
    </w:p>
    <w:p>
      <w:pPr>
        <w:pStyle w:val="Indenta"/>
        <w:rPr>
          <w:snapToGrid w:val="0"/>
        </w:rPr>
      </w:pPr>
      <w:r>
        <w:rPr>
          <w:snapToGrid w:val="0"/>
        </w:rPr>
        <w:tab/>
        <w:t>(b)</w:t>
      </w:r>
      <w:r>
        <w:rPr>
          <w:snapToGrid w:val="0"/>
        </w:rPr>
        <w:tab/>
        <w:t>is subject to such conditions and restrictions as are specified on the permit.</w:t>
      </w:r>
    </w:p>
    <w:p>
      <w:pPr>
        <w:pStyle w:val="Subsection"/>
      </w:pPr>
      <w:r>
        <w:tab/>
        <w:t>(3a)</w:t>
      </w:r>
      <w:r>
        <w:tab/>
        <w:t>If a person who holds a permit to be in a cave notifies the CEO more than 2 weeks before the period specified in the permit that the person is not going to use the permit, the CEO may refund the fee for the permit.</w:t>
      </w:r>
    </w:p>
    <w:p>
      <w:pPr>
        <w:pStyle w:val="Subsection"/>
        <w:rPr>
          <w:snapToGrid w:val="0"/>
        </w:rPr>
      </w:pPr>
      <w:r>
        <w:rPr>
          <w:snapToGrid w:val="0"/>
        </w:rPr>
        <w:tab/>
        <w:t>(4)</w:t>
      </w:r>
      <w:r>
        <w:rPr>
          <w:snapToGrid w:val="0"/>
        </w:rPr>
        <w:tab/>
        <w:t>A person must not, without lawful authority, enter or remain in a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(5)</w:t>
      </w:r>
      <w:r>
        <w:rPr>
          <w:snapToGrid w:val="0"/>
        </w:rPr>
        <w:tab/>
        <w:t>A person in a cave must comply with the conditions and restrictions subject to which that person was given permission to be in the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(6)</w:t>
      </w:r>
      <w:r>
        <w:rPr>
          <w:snapToGrid w:val="0"/>
        </w:rPr>
        <w:tab/>
        <w:t>Nothing in this regulation prohibits persons entering or remaining in a cave under the control of a person licensed under a commercial operations licence to take those persons into the cave.</w:t>
      </w:r>
    </w:p>
    <w:p>
      <w:pPr>
        <w:pStyle w:val="Footnotesection"/>
      </w:pPr>
      <w:r>
        <w:tab/>
        <w:t>[Regulation 49 amended in Gazette 29 Sep 2006 p. 4312 and 4334; 3 Dec 2010 p. 6052</w:t>
      </w:r>
      <w:r>
        <w:noBreakHyphen/>
        <w:t>3.]</w:t>
      </w:r>
    </w:p>
    <w:p>
      <w:pPr>
        <w:pStyle w:val="Heading5"/>
        <w:rPr>
          <w:snapToGrid w:val="0"/>
        </w:rPr>
      </w:pPr>
      <w:bookmarkStart w:id="153" w:name="_Toc408498829"/>
      <w:bookmarkStart w:id="154" w:name="_Toc423343095"/>
      <w:r>
        <w:rPr>
          <w:rStyle w:val="CharSectno"/>
        </w:rPr>
        <w:t>50</w:t>
      </w:r>
      <w:r>
        <w:rPr>
          <w:snapToGrid w:val="0"/>
        </w:rPr>
        <w:t>.</w:t>
      </w:r>
      <w:r>
        <w:rPr>
          <w:snapToGrid w:val="0"/>
        </w:rPr>
        <w:tab/>
        <w:t>Cross country and other events</w:t>
      </w:r>
      <w:bookmarkEnd w:id="153"/>
      <w:bookmarkEnd w:id="154"/>
      <w:r>
        <w:rPr>
          <w:snapToGrid w:val="0"/>
        </w:rPr>
        <w:t xml:space="preserve"> </w:t>
      </w:r>
    </w:p>
    <w:p>
      <w:pPr>
        <w:pStyle w:val="Subsection"/>
        <w:rPr>
          <w:snapToGrid w:val="0"/>
        </w:rPr>
      </w:pPr>
      <w:r>
        <w:rPr>
          <w:snapToGrid w:val="0"/>
        </w:rPr>
        <w:tab/>
      </w:r>
      <w:r>
        <w:rPr>
          <w:snapToGrid w:val="0"/>
        </w:rPr>
        <w:tab/>
        <w:t>A person must not, without lawful authority, organise, promote or conduct any event involving cross country running, orienteering, rogaining, cross country navigation exercises or equestrian events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50 amended in Gazette 3 Dec 2010 p. 6052</w:t>
      </w:r>
      <w:r>
        <w:noBreakHyphen/>
        <w:t>3.]</w:t>
      </w:r>
    </w:p>
    <w:p>
      <w:pPr>
        <w:pStyle w:val="Heading3"/>
        <w:spacing w:before="200"/>
      </w:pPr>
      <w:bookmarkStart w:id="155" w:name="_Toc408498830"/>
      <w:bookmarkStart w:id="156" w:name="_Toc414889252"/>
      <w:bookmarkStart w:id="157" w:name="_Toc414975195"/>
      <w:bookmarkStart w:id="158" w:name="_Toc417563677"/>
      <w:bookmarkStart w:id="159" w:name="_Toc423340498"/>
      <w:bookmarkStart w:id="160" w:name="_Toc423343096"/>
      <w:r>
        <w:rPr>
          <w:rStyle w:val="CharDivNo"/>
        </w:rPr>
        <w:t>Division 2</w:t>
      </w:r>
      <w:r>
        <w:rPr>
          <w:snapToGrid w:val="0"/>
        </w:rPr>
        <w:t xml:space="preserve"> — </w:t>
      </w:r>
      <w:r>
        <w:rPr>
          <w:rStyle w:val="CharDivText"/>
        </w:rPr>
        <w:t>Vehicles</w:t>
      </w:r>
      <w:bookmarkEnd w:id="155"/>
      <w:bookmarkEnd w:id="156"/>
      <w:bookmarkEnd w:id="157"/>
      <w:bookmarkEnd w:id="158"/>
      <w:bookmarkEnd w:id="159"/>
      <w:bookmarkEnd w:id="160"/>
    </w:p>
    <w:p>
      <w:pPr>
        <w:pStyle w:val="Heading5"/>
        <w:spacing w:before="180"/>
        <w:rPr>
          <w:snapToGrid w:val="0"/>
        </w:rPr>
      </w:pPr>
      <w:bookmarkStart w:id="161" w:name="_Toc408498831"/>
      <w:bookmarkStart w:id="162" w:name="_Toc423343097"/>
      <w:r>
        <w:rPr>
          <w:rStyle w:val="CharSectno"/>
        </w:rPr>
        <w:t>51</w:t>
      </w:r>
      <w:r>
        <w:rPr>
          <w:snapToGrid w:val="0"/>
        </w:rPr>
        <w:t>.</w:t>
      </w:r>
      <w:r>
        <w:rPr>
          <w:snapToGrid w:val="0"/>
        </w:rPr>
        <w:tab/>
        <w:t>Vehicles</w:t>
      </w:r>
      <w:bookmarkEnd w:id="161"/>
      <w:bookmarkEnd w:id="162"/>
      <w:r>
        <w:rPr>
          <w:snapToGrid w:val="0"/>
        </w:rPr>
        <w:t xml:space="preserve"> </w:t>
      </w:r>
    </w:p>
    <w:p>
      <w:pPr>
        <w:pStyle w:val="Subsection"/>
        <w:spacing w:before="120"/>
        <w:rPr>
          <w:snapToGrid w:val="0"/>
        </w:rPr>
      </w:pPr>
      <w:r>
        <w:rPr>
          <w:snapToGrid w:val="0"/>
        </w:rPr>
        <w:tab/>
        <w:t>(1)</w:t>
      </w:r>
      <w:r>
        <w:rPr>
          <w:snapToGrid w:val="0"/>
        </w:rPr>
        <w:tab/>
        <w:t>A person must not, without lawful authority, drive or use a vehicle (other than a bicycle) on CALM land other than on a road</w:t>
      </w:r>
      <w:r>
        <w:t xml:space="preserve"> or in a designated area</w:t>
      </w:r>
      <w:r>
        <w:rPr>
          <w:snapToGrid w:val="0"/>
        </w:rPr>
        <w:t>.</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pPr>
      <w:r>
        <w:tab/>
        <w:t>(2)</w:t>
      </w:r>
      <w:r>
        <w:tab/>
        <w:t>Subregulation (1) does not apply in respect of a road that is in a restricted area.</w:t>
      </w:r>
    </w:p>
    <w:p>
      <w:pPr>
        <w:pStyle w:val="Subsection"/>
        <w:spacing w:before="140"/>
      </w:pPr>
      <w:r>
        <w:tab/>
        <w:t>(3)</w:t>
      </w:r>
      <w:r>
        <w:tab/>
        <w:t xml:space="preserve">A person must not, without lawful authority, on a road that is in a restricted area — </w:t>
      </w:r>
    </w:p>
    <w:p>
      <w:pPr>
        <w:pStyle w:val="Indenta"/>
        <w:spacing w:before="60"/>
      </w:pPr>
      <w:r>
        <w:tab/>
        <w:t>(a)</w:t>
      </w:r>
      <w:r>
        <w:tab/>
        <w:t>drive or use a vehicle if that activity is prohibited in the area under regulation 5; or</w:t>
      </w:r>
    </w:p>
    <w:p>
      <w:pPr>
        <w:pStyle w:val="Indenta"/>
        <w:spacing w:before="60"/>
      </w:pPr>
      <w:r>
        <w:tab/>
        <w:t>(b)</w:t>
      </w:r>
      <w:r>
        <w:tab/>
        <w:t>contravene a restriction imposed on driving or using a vehicle in the area under regulation 5.</w:t>
      </w:r>
    </w:p>
    <w:p>
      <w:pPr>
        <w:pStyle w:val="Penstart"/>
        <w:spacing w:before="70"/>
      </w:pPr>
      <w:r>
        <w:tab/>
        <w:t>Penalty: a fine of $2 000.</w:t>
      </w:r>
    </w:p>
    <w:p>
      <w:pPr>
        <w:pStyle w:val="Footnotesection"/>
        <w:spacing w:before="100"/>
      </w:pPr>
      <w:r>
        <w:tab/>
        <w:t>[Regulation 51 amended in Gazette 29 Sep 2006 p. 4313; 3 Dec 2010 p. 6052</w:t>
      </w:r>
      <w:r>
        <w:noBreakHyphen/>
        <w:t>3; 19 Sep 2014 p. 3335.]</w:t>
      </w:r>
    </w:p>
    <w:p>
      <w:pPr>
        <w:pStyle w:val="Heading5"/>
        <w:spacing w:before="200"/>
      </w:pPr>
      <w:bookmarkStart w:id="163" w:name="_Toc408498832"/>
      <w:bookmarkStart w:id="164" w:name="_Toc423343098"/>
      <w:r>
        <w:rPr>
          <w:rStyle w:val="CharSectno"/>
        </w:rPr>
        <w:t>51A</w:t>
      </w:r>
      <w:r>
        <w:t>.</w:t>
      </w:r>
      <w:r>
        <w:tab/>
        <w:t>Bicycles</w:t>
      </w:r>
      <w:bookmarkEnd w:id="163"/>
      <w:bookmarkEnd w:id="164"/>
    </w:p>
    <w:p>
      <w:pPr>
        <w:pStyle w:val="Subsection"/>
        <w:spacing w:before="130"/>
      </w:pPr>
      <w:r>
        <w:tab/>
        <w:t>(1)</w:t>
      </w:r>
      <w:r>
        <w:tab/>
        <w:t>A person must not, without lawful authority, ride a bicycle on CALM land other than on a road or bicycle path or in a designated area.</w:t>
      </w:r>
    </w:p>
    <w:p>
      <w:pPr>
        <w:pStyle w:val="Penstart"/>
        <w:spacing w:before="70"/>
      </w:pPr>
      <w:r>
        <w:tab/>
        <w:t>Penalty: a fine of $500.</w:t>
      </w:r>
    </w:p>
    <w:p>
      <w:pPr>
        <w:pStyle w:val="Subsection"/>
        <w:spacing w:before="130"/>
      </w:pPr>
      <w:r>
        <w:tab/>
        <w:t>(2)</w:t>
      </w:r>
      <w:r>
        <w:tab/>
        <w:t>Subregulation (1) does not apply in respect of a road that is in a restricted area.</w:t>
      </w:r>
    </w:p>
    <w:p>
      <w:pPr>
        <w:pStyle w:val="Subsection"/>
        <w:spacing w:before="130"/>
      </w:pPr>
      <w:r>
        <w:tab/>
        <w:t>(3)</w:t>
      </w:r>
      <w:r>
        <w:tab/>
        <w:t xml:space="preserve">A person must not, without lawful authority, on a road that is in a restricted area — </w:t>
      </w:r>
    </w:p>
    <w:p>
      <w:pPr>
        <w:pStyle w:val="Indenta"/>
        <w:spacing w:before="60"/>
      </w:pPr>
      <w:r>
        <w:tab/>
        <w:t>(a)</w:t>
      </w:r>
      <w:r>
        <w:tab/>
        <w:t>ride a bicycle if that activity is prohibited in the area under regulation 5; or</w:t>
      </w:r>
    </w:p>
    <w:p>
      <w:pPr>
        <w:pStyle w:val="Indenta"/>
        <w:spacing w:before="60"/>
      </w:pPr>
      <w:r>
        <w:tab/>
        <w:t>(b)</w:t>
      </w:r>
      <w:r>
        <w:tab/>
        <w:t>contravene a restriction imposed on riding a bicycle in the area under regulation 5.</w:t>
      </w:r>
    </w:p>
    <w:p>
      <w:pPr>
        <w:pStyle w:val="Penstart"/>
        <w:spacing w:before="70"/>
      </w:pPr>
      <w:r>
        <w:tab/>
        <w:t>Penalty: a fine of $1 000.</w:t>
      </w:r>
    </w:p>
    <w:p>
      <w:pPr>
        <w:pStyle w:val="Subsection"/>
      </w:pPr>
      <w:r>
        <w:tab/>
        <w:t>(4)</w:t>
      </w:r>
      <w:r>
        <w:tab/>
        <w:t xml:space="preserve">In this regulation — </w:t>
      </w:r>
    </w:p>
    <w:p>
      <w:pPr>
        <w:pStyle w:val="Defstart"/>
        <w:spacing w:before="70"/>
      </w:pPr>
      <w:r>
        <w:rPr>
          <w:b/>
        </w:rPr>
        <w:tab/>
      </w:r>
      <w:r>
        <w:rPr>
          <w:rStyle w:val="CharDefText"/>
        </w:rPr>
        <w:t>bicycle path</w:t>
      </w:r>
      <w:r>
        <w:t xml:space="preserve"> means a path, or length of a path, at both ends of which are signs indicating that persons may ride bicycles on the path or the length between those signs.</w:t>
      </w:r>
    </w:p>
    <w:p>
      <w:pPr>
        <w:pStyle w:val="Footnotesection"/>
        <w:spacing w:before="100"/>
      </w:pPr>
      <w:r>
        <w:tab/>
        <w:t>[Regulation 51A inserted in Gazette 29 Sep 2006 p. 4313</w:t>
      </w:r>
      <w:r>
        <w:noBreakHyphen/>
        <w:t>14; amended in Gazette 3 Dec 2010 p. 6052</w:t>
      </w:r>
      <w:r>
        <w:noBreakHyphen/>
        <w:t>3.]</w:t>
      </w:r>
    </w:p>
    <w:p>
      <w:pPr>
        <w:pStyle w:val="Heading5"/>
        <w:spacing w:before="200"/>
        <w:rPr>
          <w:snapToGrid w:val="0"/>
        </w:rPr>
      </w:pPr>
      <w:bookmarkStart w:id="165" w:name="_Toc408498833"/>
      <w:bookmarkStart w:id="166" w:name="_Toc423343099"/>
      <w:r>
        <w:rPr>
          <w:rStyle w:val="CharSectno"/>
        </w:rPr>
        <w:t>52</w:t>
      </w:r>
      <w:r>
        <w:rPr>
          <w:snapToGrid w:val="0"/>
        </w:rPr>
        <w:t>.</w:t>
      </w:r>
      <w:r>
        <w:rPr>
          <w:snapToGrid w:val="0"/>
        </w:rPr>
        <w:tab/>
        <w:t>Off</w:t>
      </w:r>
      <w:r>
        <w:rPr>
          <w:snapToGrid w:val="0"/>
        </w:rPr>
        <w:noBreakHyphen/>
        <w:t>road vehicles</w:t>
      </w:r>
      <w:bookmarkEnd w:id="165"/>
      <w:bookmarkEnd w:id="166"/>
      <w:r>
        <w:rPr>
          <w:snapToGrid w:val="0"/>
        </w:rPr>
        <w:t xml:space="preserve"> </w:t>
      </w:r>
    </w:p>
    <w:p>
      <w:pPr>
        <w:pStyle w:val="Subsection"/>
        <w:spacing w:before="120"/>
        <w:rPr>
          <w:snapToGrid w:val="0"/>
        </w:rPr>
      </w:pPr>
      <w:r>
        <w:rPr>
          <w:snapToGrid w:val="0"/>
        </w:rPr>
        <w:tab/>
        <w:t>(1)</w:t>
      </w:r>
      <w:r>
        <w:rPr>
          <w:snapToGrid w:val="0"/>
        </w:rPr>
        <w:tab/>
        <w:t>A person must not drive into or within, or bring into or have within, CALM land an off</w:t>
      </w:r>
      <w:r>
        <w:rPr>
          <w:snapToGrid w:val="0"/>
        </w:rPr>
        <w:noBreakHyphen/>
        <w:t xml:space="preserve">road vehicle within the meaning of the </w:t>
      </w:r>
      <w:r>
        <w:rPr>
          <w:i/>
          <w:snapToGrid w:val="0"/>
        </w:rPr>
        <w:t>Control of Vehicles (Off</w:t>
      </w:r>
      <w:r>
        <w:rPr>
          <w:i/>
          <w:snapToGrid w:val="0"/>
        </w:rPr>
        <w:noBreakHyphen/>
        <w:t>road Areas) Act 1978</w:t>
      </w:r>
      <w:r>
        <w:rPr>
          <w:snapToGrid w:val="0"/>
        </w:rPr>
        <w:t xml:space="preserve"> unless that person — </w:t>
      </w:r>
    </w:p>
    <w:p>
      <w:pPr>
        <w:pStyle w:val="Indenta"/>
        <w:spacing w:before="60"/>
        <w:rPr>
          <w:snapToGrid w:val="0"/>
        </w:rPr>
      </w:pPr>
      <w:r>
        <w:rPr>
          <w:snapToGrid w:val="0"/>
        </w:rPr>
        <w:tab/>
        <w:t>(a)</w:t>
      </w:r>
      <w:r>
        <w:rPr>
          <w:snapToGrid w:val="0"/>
        </w:rPr>
        <w:tab/>
        <w:t>is the holder of a permit — </w:t>
      </w:r>
    </w:p>
    <w:p>
      <w:pPr>
        <w:pStyle w:val="Indenti"/>
        <w:spacing w:before="60"/>
        <w:rPr>
          <w:snapToGrid w:val="0"/>
        </w:rPr>
      </w:pPr>
      <w:r>
        <w:rPr>
          <w:snapToGrid w:val="0"/>
        </w:rPr>
        <w:tab/>
        <w:t>(i)</w:t>
      </w:r>
      <w:r>
        <w:rPr>
          <w:snapToGrid w:val="0"/>
        </w:rPr>
        <w:tab/>
        <w:t>granted under section 8(4) of that Act; and</w:t>
      </w:r>
    </w:p>
    <w:p>
      <w:pPr>
        <w:pStyle w:val="Indenti"/>
        <w:spacing w:before="60"/>
        <w:rPr>
          <w:snapToGrid w:val="0"/>
        </w:rPr>
      </w:pPr>
      <w:r>
        <w:rPr>
          <w:snapToGrid w:val="0"/>
        </w:rPr>
        <w:tab/>
        <w:t>(ii)</w:t>
      </w:r>
      <w:r>
        <w:rPr>
          <w:snapToGrid w:val="0"/>
        </w:rPr>
        <w:tab/>
        <w:t>authorising that person so to drive, bring or have that off</w:t>
      </w:r>
      <w:r>
        <w:rPr>
          <w:snapToGrid w:val="0"/>
        </w:rPr>
        <w:noBreakHyphen/>
        <w:t xml:space="preserve">road vehicle;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that person so drives, brings or has that off</w:t>
      </w:r>
      <w:r>
        <w:rPr>
          <w:snapToGrid w:val="0"/>
        </w:rPr>
        <w:noBreakHyphen/>
        <w:t>road vehicle in accordance with any restrictions, limitations or conditions to which that permit is subject.</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20"/>
      </w:pPr>
      <w:r>
        <w:tab/>
        <w:t>(2)</w:t>
      </w:r>
      <w:r>
        <w:tab/>
        <w:t xml:space="preserve">Subregulation (1) does not apply to private land (as defined in the </w:t>
      </w:r>
      <w:r>
        <w:rPr>
          <w:i/>
        </w:rPr>
        <w:t>Control of Vehicles (Off</w:t>
      </w:r>
      <w:r>
        <w:rPr>
          <w:i/>
        </w:rPr>
        <w:noBreakHyphen/>
        <w:t>road Areas) Act 1978</w:t>
      </w:r>
      <w:r>
        <w:t>) or permitted areas (as defined in that Act).</w:t>
      </w:r>
    </w:p>
    <w:p>
      <w:pPr>
        <w:pStyle w:val="Footnotesection"/>
        <w:spacing w:before="80"/>
      </w:pPr>
      <w:r>
        <w:tab/>
        <w:t>[Regulation 52 amended in Gazette 29 Sep 2006 p. 4314; 3 Dec 2010 p. 6052</w:t>
      </w:r>
      <w:r>
        <w:noBreakHyphen/>
        <w:t>3; 19 Sep 2014 p. 3335.]</w:t>
      </w:r>
    </w:p>
    <w:p>
      <w:pPr>
        <w:pStyle w:val="Heading5"/>
        <w:spacing w:before="200"/>
        <w:rPr>
          <w:snapToGrid w:val="0"/>
        </w:rPr>
      </w:pPr>
      <w:bookmarkStart w:id="167" w:name="_Toc408498834"/>
      <w:bookmarkStart w:id="168" w:name="_Toc423343100"/>
      <w:r>
        <w:rPr>
          <w:rStyle w:val="CharSectno"/>
        </w:rPr>
        <w:t>53</w:t>
      </w:r>
      <w:r>
        <w:rPr>
          <w:snapToGrid w:val="0"/>
        </w:rPr>
        <w:t>.</w:t>
      </w:r>
      <w:r>
        <w:rPr>
          <w:snapToGrid w:val="0"/>
        </w:rPr>
        <w:tab/>
        <w:t>Car rallies etc.</w:t>
      </w:r>
      <w:bookmarkEnd w:id="167"/>
      <w:bookmarkEnd w:id="168"/>
      <w:r>
        <w:rPr>
          <w:snapToGrid w:val="0"/>
        </w:rPr>
        <w:t xml:space="preserve"> </w:t>
      </w:r>
    </w:p>
    <w:p>
      <w:pPr>
        <w:pStyle w:val="Subsection"/>
        <w:spacing w:before="120"/>
        <w:rPr>
          <w:snapToGrid w:val="0"/>
        </w:rPr>
      </w:pPr>
      <w:r>
        <w:rPr>
          <w:snapToGrid w:val="0"/>
        </w:rPr>
        <w:tab/>
      </w:r>
      <w:r>
        <w:rPr>
          <w:snapToGrid w:val="0"/>
        </w:rPr>
        <w:tab/>
        <w:t>A person must not, without lawful authority, organise, promote or conduct a car rally, associated navigation exercise, mountain bike event or other race involving vehicles on or through CALM land.</w:t>
      </w:r>
    </w:p>
    <w:p>
      <w:pPr>
        <w:pStyle w:val="Penstart"/>
        <w:spacing w:before="70"/>
        <w:rPr>
          <w:snapToGrid w:val="0"/>
        </w:rPr>
      </w:pPr>
      <w:r>
        <w:rPr>
          <w:snapToGrid w:val="0"/>
        </w:rPr>
        <w:tab/>
        <w:t xml:space="preserve">Penalty: </w:t>
      </w:r>
      <w:r>
        <w:t>a fine of</w:t>
      </w:r>
      <w:r>
        <w:rPr>
          <w:snapToGrid w:val="0"/>
        </w:rPr>
        <w:t xml:space="preserve"> $2 000.</w:t>
      </w:r>
    </w:p>
    <w:p>
      <w:pPr>
        <w:pStyle w:val="Footnotesection"/>
        <w:spacing w:before="80"/>
      </w:pPr>
      <w:r>
        <w:tab/>
        <w:t>[Regulation 53 amended in Gazette 3 Dec 2010 p. 6052</w:t>
      </w:r>
      <w:r>
        <w:noBreakHyphen/>
        <w:t>3.]</w:t>
      </w:r>
    </w:p>
    <w:p>
      <w:pPr>
        <w:pStyle w:val="Heading5"/>
        <w:rPr>
          <w:snapToGrid w:val="0"/>
        </w:rPr>
      </w:pPr>
      <w:bookmarkStart w:id="169" w:name="_Toc408498835"/>
      <w:bookmarkStart w:id="170" w:name="_Toc423343101"/>
      <w:r>
        <w:rPr>
          <w:rStyle w:val="CharSectno"/>
        </w:rPr>
        <w:t>54</w:t>
      </w:r>
      <w:r>
        <w:rPr>
          <w:snapToGrid w:val="0"/>
        </w:rPr>
        <w:t>.</w:t>
      </w:r>
      <w:r>
        <w:rPr>
          <w:snapToGrid w:val="0"/>
        </w:rPr>
        <w:tab/>
        <w:t>Traffic laws apply</w:t>
      </w:r>
      <w:bookmarkEnd w:id="169"/>
      <w:bookmarkEnd w:id="170"/>
      <w:r>
        <w:rPr>
          <w:snapToGrid w:val="0"/>
        </w:rPr>
        <w:t xml:space="preserve"> </w:t>
      </w:r>
    </w:p>
    <w:p>
      <w:pPr>
        <w:pStyle w:val="Subsection"/>
        <w:rPr>
          <w:snapToGrid w:val="0"/>
        </w:rPr>
      </w:pPr>
      <w:r>
        <w:rPr>
          <w:snapToGrid w:val="0"/>
        </w:rPr>
        <w:tab/>
        <w:t>(1)</w:t>
      </w:r>
      <w:r>
        <w:rPr>
          <w:snapToGrid w:val="0"/>
        </w:rPr>
        <w:tab/>
        <w:t>A person driving or in charge of a vehicle on a road or track on CALM land must not, without lawful authority, do any act that would be a breach of a</w:t>
      </w:r>
      <w:r>
        <w:t xml:space="preserve"> road law, as defined in the </w:t>
      </w:r>
      <w:r>
        <w:rPr>
          <w:i/>
        </w:rPr>
        <w:t xml:space="preserve">Road Traffic (Administration) Act 2008 </w:t>
      </w:r>
      <w:r>
        <w:t>section 4, if that road or track were a road as defined in that section.</w:t>
      </w:r>
    </w:p>
    <w:p>
      <w:pPr>
        <w:pStyle w:val="Penstart"/>
        <w:rPr>
          <w:snapToGrid w:val="0"/>
        </w:rPr>
      </w:pPr>
      <w:r>
        <w:rPr>
          <w:snapToGrid w:val="0"/>
        </w:rPr>
        <w:tab/>
        <w:t>Penalty:</w:t>
      </w:r>
      <w:r>
        <w:t xml:space="preserve"> a fine of</w:t>
      </w:r>
      <w:r>
        <w:rPr>
          <w:snapToGrid w:val="0"/>
        </w:rPr>
        <w:t xml:space="preserve"> </w:t>
      </w:r>
      <w:r>
        <w:t>$1 000</w:t>
      </w:r>
      <w:r>
        <w:rPr>
          <w:snapToGrid w:val="0"/>
        </w:rPr>
        <w:t>.</w:t>
      </w:r>
    </w:p>
    <w:p>
      <w:pPr>
        <w:pStyle w:val="Subsection"/>
        <w:rPr>
          <w:snapToGrid w:val="0"/>
        </w:rPr>
      </w:pPr>
      <w:r>
        <w:rPr>
          <w:snapToGrid w:val="0"/>
        </w:rPr>
        <w:tab/>
        <w:t>(2)</w:t>
      </w:r>
      <w:r>
        <w:rPr>
          <w:snapToGrid w:val="0"/>
        </w:rPr>
        <w:tab/>
        <w:t>A person must not drive a vehicle on CALM land in a dangerous or careless manner or without all reasonable consideration for other persons, vehicles and animals in the vicinity.</w:t>
      </w:r>
    </w:p>
    <w:p>
      <w:pPr>
        <w:pStyle w:val="Penstart"/>
        <w:rPr>
          <w:snapToGrid w:val="0"/>
        </w:rPr>
      </w:pPr>
      <w:r>
        <w:rPr>
          <w:snapToGrid w:val="0"/>
        </w:rPr>
        <w:tab/>
        <w:t xml:space="preserve">Penalty: </w:t>
      </w:r>
      <w:r>
        <w:t>a fine of $1 000</w:t>
      </w:r>
      <w:r>
        <w:rPr>
          <w:snapToGrid w:val="0"/>
        </w:rPr>
        <w:t>.</w:t>
      </w:r>
    </w:p>
    <w:p>
      <w:pPr>
        <w:pStyle w:val="Footnotesection"/>
      </w:pPr>
      <w:r>
        <w:tab/>
        <w:t>[Regulation 54 amended in Gazette 29 Sep 2006 p. 4314; 3 Dec 2010 p. 6052</w:t>
      </w:r>
      <w:r>
        <w:noBreakHyphen/>
        <w:t>3; 19 Sep 2014 p. 3335; 8 Jan 2015 p. 136.]</w:t>
      </w:r>
    </w:p>
    <w:p>
      <w:pPr>
        <w:pStyle w:val="Heading5"/>
        <w:keepNext w:val="0"/>
        <w:keepLines w:val="0"/>
        <w:spacing w:before="200"/>
        <w:rPr>
          <w:snapToGrid w:val="0"/>
        </w:rPr>
      </w:pPr>
      <w:bookmarkStart w:id="171" w:name="_Toc408498836"/>
      <w:bookmarkStart w:id="172" w:name="_Toc423343102"/>
      <w:r>
        <w:rPr>
          <w:rStyle w:val="CharSectno"/>
        </w:rPr>
        <w:t>55</w:t>
      </w:r>
      <w:r>
        <w:rPr>
          <w:snapToGrid w:val="0"/>
        </w:rPr>
        <w:t>.</w:t>
      </w:r>
      <w:r>
        <w:rPr>
          <w:snapToGrid w:val="0"/>
        </w:rPr>
        <w:tab/>
        <w:t>Driver to obey reasonable direction</w:t>
      </w:r>
      <w:bookmarkEnd w:id="171"/>
      <w:bookmarkEnd w:id="172"/>
      <w:r>
        <w:rPr>
          <w:snapToGrid w:val="0"/>
        </w:rPr>
        <w:t xml:space="preserve"> </w:t>
      </w:r>
    </w:p>
    <w:p>
      <w:pPr>
        <w:pStyle w:val="Subsection"/>
        <w:rPr>
          <w:snapToGrid w:val="0"/>
          <w:spacing w:val="-4"/>
        </w:rPr>
      </w:pPr>
      <w:r>
        <w:rPr>
          <w:snapToGrid w:val="0"/>
          <w:spacing w:val="-4"/>
        </w:rPr>
        <w:tab/>
      </w:r>
      <w:r>
        <w:rPr>
          <w:snapToGrid w:val="0"/>
          <w:spacing w:val="-4"/>
        </w:rPr>
        <w:tab/>
        <w:t>The driver or person in charge of a vehicle must obey any reasonable direction given to him or her by an authorised officer in relation to the parking or movement of the vehicle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55 amended in Gazette 3 Dec 2010 p. 6052</w:t>
      </w:r>
      <w:r>
        <w:noBreakHyphen/>
        <w:t>3; 19 Sep 2014 p. 3336.]</w:t>
      </w:r>
    </w:p>
    <w:p>
      <w:pPr>
        <w:pStyle w:val="Heading5"/>
        <w:rPr>
          <w:snapToGrid w:val="0"/>
        </w:rPr>
      </w:pPr>
      <w:bookmarkStart w:id="173" w:name="_Toc408498837"/>
      <w:bookmarkStart w:id="174" w:name="_Toc423343103"/>
      <w:r>
        <w:rPr>
          <w:rStyle w:val="CharSectno"/>
        </w:rPr>
        <w:t>56</w:t>
      </w:r>
      <w:r>
        <w:rPr>
          <w:snapToGrid w:val="0"/>
        </w:rPr>
        <w:t>.</w:t>
      </w:r>
      <w:r>
        <w:rPr>
          <w:snapToGrid w:val="0"/>
        </w:rPr>
        <w:tab/>
        <w:t>Signs to be obeyed</w:t>
      </w:r>
      <w:bookmarkEnd w:id="173"/>
      <w:bookmarkEnd w:id="174"/>
    </w:p>
    <w:p>
      <w:pPr>
        <w:pStyle w:val="Subsection"/>
        <w:rPr>
          <w:snapToGrid w:val="0"/>
        </w:rPr>
      </w:pPr>
      <w:r>
        <w:rPr>
          <w:snapToGrid w:val="0"/>
        </w:rPr>
        <w:tab/>
        <w:t>(1)</w:t>
      </w:r>
      <w:r>
        <w:rPr>
          <w:snapToGrid w:val="0"/>
        </w:rPr>
        <w:tab/>
        <w:t>A person must not park or stand a vehicle on CALM land contrary to any direction on a sign.</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sign may direct that an area of CALM land is set aside — </w:t>
      </w:r>
    </w:p>
    <w:p>
      <w:pPr>
        <w:pStyle w:val="Indenta"/>
        <w:rPr>
          <w:snapToGrid w:val="0"/>
        </w:rPr>
      </w:pPr>
      <w:r>
        <w:rPr>
          <w:snapToGrid w:val="0"/>
        </w:rPr>
        <w:tab/>
        <w:t>(a)</w:t>
      </w:r>
      <w:r>
        <w:rPr>
          <w:snapToGrid w:val="0"/>
        </w:rPr>
        <w:tab/>
        <w:t>for the parking of a specified vehicle or specified class of vehicles;</w:t>
      </w:r>
    </w:p>
    <w:p>
      <w:pPr>
        <w:pStyle w:val="Indenta"/>
        <w:rPr>
          <w:snapToGrid w:val="0"/>
        </w:rPr>
      </w:pPr>
      <w:r>
        <w:rPr>
          <w:snapToGrid w:val="0"/>
        </w:rPr>
        <w:tab/>
        <w:t>(b)</w:t>
      </w:r>
      <w:r>
        <w:rPr>
          <w:snapToGrid w:val="0"/>
        </w:rPr>
        <w:tab/>
        <w:t>for the parking of a vehicle of a specified person or specified class of persons;</w:t>
      </w:r>
    </w:p>
    <w:p>
      <w:pPr>
        <w:pStyle w:val="Indenta"/>
        <w:rPr>
          <w:snapToGrid w:val="0"/>
        </w:rPr>
      </w:pPr>
      <w:r>
        <w:rPr>
          <w:snapToGrid w:val="0"/>
        </w:rPr>
        <w:tab/>
        <w:t>(c)</w:t>
      </w:r>
      <w:r>
        <w:rPr>
          <w:snapToGrid w:val="0"/>
        </w:rPr>
        <w:tab/>
        <w:t>for the parking of vehicles for a specified maximum period of time;</w:t>
      </w:r>
    </w:p>
    <w:p>
      <w:pPr>
        <w:pStyle w:val="Indenta"/>
        <w:spacing w:before="60"/>
        <w:rPr>
          <w:snapToGrid w:val="0"/>
        </w:rPr>
      </w:pPr>
      <w:r>
        <w:rPr>
          <w:snapToGrid w:val="0"/>
        </w:rPr>
        <w:tab/>
        <w:t>(d)</w:t>
      </w:r>
      <w:r>
        <w:rPr>
          <w:snapToGrid w:val="0"/>
        </w:rPr>
        <w:tab/>
        <w:t>for the parking of vehicles only within specified parking bays;</w:t>
      </w:r>
    </w:p>
    <w:p>
      <w:pPr>
        <w:pStyle w:val="Indenta"/>
        <w:spacing w:before="60"/>
        <w:rPr>
          <w:snapToGrid w:val="0"/>
        </w:rPr>
      </w:pPr>
      <w:r>
        <w:rPr>
          <w:snapToGrid w:val="0"/>
        </w:rPr>
        <w:tab/>
        <w:t>(e)</w:t>
      </w:r>
      <w:r>
        <w:rPr>
          <w:snapToGrid w:val="0"/>
        </w:rPr>
        <w:tab/>
        <w:t>as a “no standing” or “no parking” area.</w:t>
      </w:r>
    </w:p>
    <w:p>
      <w:pPr>
        <w:pStyle w:val="Subsection"/>
        <w:spacing w:before="120"/>
        <w:rPr>
          <w:snapToGrid w:val="0"/>
        </w:rPr>
      </w:pPr>
      <w:r>
        <w:rPr>
          <w:snapToGrid w:val="0"/>
        </w:rPr>
        <w:tab/>
        <w:t>(3)</w:t>
      </w:r>
      <w:r>
        <w:rPr>
          <w:snapToGrid w:val="0"/>
        </w:rPr>
        <w:tab/>
        <w:t>A sign may direct that an area of CALM land may be used for parking subject to the payment of a specified charge.</w:t>
      </w:r>
    </w:p>
    <w:p>
      <w:pPr>
        <w:pStyle w:val="Subsection"/>
        <w:keepNext/>
        <w:keepLines/>
        <w:spacing w:before="120"/>
        <w:rPr>
          <w:snapToGrid w:val="0"/>
        </w:rPr>
      </w:pPr>
      <w:r>
        <w:rPr>
          <w:snapToGrid w:val="0"/>
        </w:rPr>
        <w:tab/>
        <w:t>(4)</w:t>
      </w:r>
      <w:r>
        <w:rPr>
          <w:snapToGrid w:val="0"/>
        </w:rPr>
        <w:tab/>
        <w:t>A person must not park a vehicle in an area that is subject to subregulation (3) at any time when the charge applies unless — </w:t>
      </w:r>
    </w:p>
    <w:p>
      <w:pPr>
        <w:pStyle w:val="Indenta"/>
        <w:spacing w:before="56"/>
        <w:rPr>
          <w:snapToGrid w:val="0"/>
        </w:rPr>
      </w:pPr>
      <w:r>
        <w:rPr>
          <w:snapToGrid w:val="0"/>
        </w:rPr>
        <w:tab/>
        <w:t>(a)</w:t>
      </w:r>
      <w:r>
        <w:rPr>
          <w:snapToGrid w:val="0"/>
        </w:rPr>
        <w:tab/>
        <w:t>the specified charge has been paid into a ticket vending machine; and</w:t>
      </w:r>
    </w:p>
    <w:p>
      <w:pPr>
        <w:pStyle w:val="Indenta"/>
        <w:spacing w:before="56"/>
        <w:rPr>
          <w:snapToGrid w:val="0"/>
        </w:rPr>
      </w:pPr>
      <w:r>
        <w:rPr>
          <w:snapToGrid w:val="0"/>
        </w:rPr>
        <w:tab/>
        <w:t>(b)</w:t>
      </w:r>
      <w:r>
        <w:rPr>
          <w:snapToGrid w:val="0"/>
        </w:rPr>
        <w:tab/>
        <w:t>there is displayed in the vehicle at that time a parking ticket issued from a ticket vending machine that shows — </w:t>
      </w:r>
    </w:p>
    <w:p>
      <w:pPr>
        <w:pStyle w:val="Indenti"/>
        <w:spacing w:before="56"/>
        <w:rPr>
          <w:snapToGrid w:val="0"/>
        </w:rPr>
      </w:pPr>
      <w:r>
        <w:rPr>
          <w:snapToGrid w:val="0"/>
        </w:rPr>
        <w:tab/>
        <w:t>(i)</w:t>
      </w:r>
      <w:r>
        <w:rPr>
          <w:snapToGrid w:val="0"/>
        </w:rPr>
        <w:tab/>
        <w:t>the amount paid; and</w:t>
      </w:r>
    </w:p>
    <w:p>
      <w:pPr>
        <w:pStyle w:val="Indenti"/>
        <w:spacing w:before="56"/>
        <w:rPr>
          <w:snapToGrid w:val="0"/>
        </w:rPr>
      </w:pPr>
      <w:r>
        <w:rPr>
          <w:snapToGrid w:val="0"/>
        </w:rPr>
        <w:tab/>
        <w:t>(ii)</w:t>
      </w:r>
      <w:r>
        <w:rPr>
          <w:snapToGrid w:val="0"/>
        </w:rPr>
        <w:tab/>
        <w:t>the date; and</w:t>
      </w:r>
    </w:p>
    <w:p>
      <w:pPr>
        <w:pStyle w:val="Indenti"/>
        <w:spacing w:before="56"/>
        <w:rPr>
          <w:snapToGrid w:val="0"/>
        </w:rPr>
      </w:pPr>
      <w:r>
        <w:rPr>
          <w:snapToGrid w:val="0"/>
        </w:rPr>
        <w:tab/>
        <w:t>(iii)</w:t>
      </w:r>
      <w:r>
        <w:rPr>
          <w:snapToGrid w:val="0"/>
        </w:rPr>
        <w:tab/>
        <w:t>an expiry time for permitted parking that is after that time;</w:t>
      </w:r>
    </w:p>
    <w:p>
      <w:pPr>
        <w:pStyle w:val="Indenta"/>
        <w:spacing w:before="56"/>
        <w:rPr>
          <w:snapToGrid w:val="0"/>
        </w:rPr>
      </w:pPr>
      <w:r>
        <w:rPr>
          <w:snapToGrid w:val="0"/>
        </w:rPr>
        <w:tab/>
      </w:r>
      <w:r>
        <w:rPr>
          <w:snapToGrid w:val="0"/>
        </w:rPr>
        <w:tab/>
        <w:t>and</w:t>
      </w:r>
    </w:p>
    <w:p>
      <w:pPr>
        <w:pStyle w:val="Indenta"/>
        <w:spacing w:before="56"/>
        <w:rPr>
          <w:snapToGrid w:val="0"/>
        </w:rPr>
      </w:pPr>
      <w:r>
        <w:rPr>
          <w:snapToGrid w:val="0"/>
        </w:rPr>
        <w:tab/>
        <w:t>(c)</w:t>
      </w:r>
      <w:r>
        <w:rPr>
          <w:snapToGrid w:val="0"/>
        </w:rPr>
        <w:tab/>
        <w:t>the parking ticket issued from the ticket vending machine is displayed in the vehicle in such a manner that an authorised officer is able to read it from outside the vehicle.</w:t>
      </w:r>
    </w:p>
    <w:p>
      <w:pPr>
        <w:pStyle w:val="Penstart"/>
        <w:spacing w:before="60"/>
        <w:rPr>
          <w:snapToGrid w:val="0"/>
        </w:rPr>
      </w:pPr>
      <w:r>
        <w:rPr>
          <w:snapToGrid w:val="0"/>
        </w:rPr>
        <w:tab/>
        <w:t xml:space="preserve">Penalty: </w:t>
      </w:r>
      <w:r>
        <w:t>a fine of</w:t>
      </w:r>
      <w:r>
        <w:rPr>
          <w:snapToGrid w:val="0"/>
        </w:rPr>
        <w:t xml:space="preserve"> $500.</w:t>
      </w:r>
    </w:p>
    <w:p>
      <w:pPr>
        <w:pStyle w:val="Subsection"/>
        <w:spacing w:before="110"/>
        <w:rPr>
          <w:snapToGrid w:val="0"/>
        </w:rPr>
      </w:pPr>
      <w:r>
        <w:rPr>
          <w:snapToGrid w:val="0"/>
        </w:rPr>
        <w:tab/>
        <w:t>(5)</w:t>
      </w:r>
      <w:r>
        <w:rPr>
          <w:snapToGrid w:val="0"/>
        </w:rPr>
        <w:tab/>
        <w:t xml:space="preserve">The charge specified for the purposes of subregulation (3) is not to exceed — </w:t>
      </w:r>
    </w:p>
    <w:p>
      <w:pPr>
        <w:pStyle w:val="Indenta"/>
      </w:pPr>
      <w:r>
        <w:tab/>
        <w:t>(a)</w:t>
      </w:r>
      <w:r>
        <w:tab/>
        <w:t>$1.50 for every hour or part of an hour; and</w:t>
      </w:r>
    </w:p>
    <w:p>
      <w:pPr>
        <w:pStyle w:val="Indenta"/>
      </w:pPr>
      <w:r>
        <w:tab/>
        <w:t>(b)</w:t>
      </w:r>
      <w:r>
        <w:tab/>
        <w:t>$10.00 for any day or part of a day.</w:t>
      </w:r>
    </w:p>
    <w:p>
      <w:pPr>
        <w:pStyle w:val="Subsection"/>
        <w:spacing w:before="110"/>
        <w:rPr>
          <w:snapToGrid w:val="0"/>
        </w:rPr>
      </w:pPr>
      <w:r>
        <w:rPr>
          <w:snapToGrid w:val="0"/>
        </w:rPr>
        <w:tab/>
        <w:t>(6)</w:t>
      </w:r>
      <w:r>
        <w:rPr>
          <w:snapToGrid w:val="0"/>
        </w:rPr>
        <w:tab/>
        <w:t>In this regulation — </w:t>
      </w:r>
    </w:p>
    <w:p>
      <w:pPr>
        <w:pStyle w:val="Defstart"/>
        <w:spacing w:before="60"/>
      </w:pPr>
      <w:r>
        <w:tab/>
      </w:r>
      <w:r>
        <w:rPr>
          <w:rStyle w:val="CharDefText"/>
        </w:rPr>
        <w:t>specified</w:t>
      </w:r>
      <w:r>
        <w:rPr>
          <w:b/>
        </w:rPr>
        <w:t xml:space="preserve"> </w:t>
      </w:r>
      <w:r>
        <w:t xml:space="preserve">means specified by a sign; </w:t>
      </w:r>
    </w:p>
    <w:p>
      <w:pPr>
        <w:pStyle w:val="Defstart"/>
        <w:spacing w:before="60"/>
      </w:pPr>
      <w:r>
        <w:tab/>
      </w:r>
      <w:r>
        <w:rPr>
          <w:rStyle w:val="CharDefText"/>
        </w:rPr>
        <w:t>ticket vending machine</w:t>
      </w:r>
      <w:r>
        <w:rPr>
          <w:b/>
        </w:rPr>
        <w:t xml:space="preserve"> </w:t>
      </w:r>
      <w:r>
        <w:t>means a machine situated on CALM land which, following the insertion of a coin or coins, issues a parking ticket.</w:t>
      </w:r>
    </w:p>
    <w:p>
      <w:pPr>
        <w:pStyle w:val="Footnotesection"/>
        <w:spacing w:before="60"/>
      </w:pPr>
      <w:r>
        <w:tab/>
        <w:t>[Regulation 56 amended in Gazette 29 Sep 2006 p. 4315; 3 Dec 2010 p. 6048 and 6052</w:t>
      </w:r>
      <w:r>
        <w:noBreakHyphen/>
        <w:t>3; 27 Sep 2013 p. 4525.]</w:t>
      </w:r>
    </w:p>
    <w:p>
      <w:pPr>
        <w:pStyle w:val="Heading5"/>
        <w:spacing w:before="180"/>
        <w:rPr>
          <w:snapToGrid w:val="0"/>
        </w:rPr>
      </w:pPr>
      <w:bookmarkStart w:id="175" w:name="_Toc408498838"/>
      <w:bookmarkStart w:id="176" w:name="_Toc423343104"/>
      <w:r>
        <w:rPr>
          <w:rStyle w:val="CharSectno"/>
        </w:rPr>
        <w:t>57</w:t>
      </w:r>
      <w:r>
        <w:rPr>
          <w:snapToGrid w:val="0"/>
        </w:rPr>
        <w:t>.</w:t>
      </w:r>
      <w:r>
        <w:rPr>
          <w:snapToGrid w:val="0"/>
        </w:rPr>
        <w:tab/>
        <w:t>Obstructing other vehicles etc.</w:t>
      </w:r>
      <w:bookmarkEnd w:id="175"/>
      <w:bookmarkEnd w:id="176"/>
      <w:r>
        <w:rPr>
          <w:snapToGrid w:val="0"/>
        </w:rPr>
        <w:t xml:space="preserve"> </w:t>
      </w:r>
    </w:p>
    <w:p>
      <w:pPr>
        <w:pStyle w:val="Subsection"/>
        <w:spacing w:before="120"/>
        <w:rPr>
          <w:snapToGrid w:val="0"/>
        </w:rPr>
      </w:pPr>
      <w:r>
        <w:rPr>
          <w:snapToGrid w:val="0"/>
        </w:rPr>
        <w:tab/>
      </w:r>
      <w:r>
        <w:rPr>
          <w:snapToGrid w:val="0"/>
        </w:rPr>
        <w:tab/>
        <w:t>A person must not park or stand a vehicle on CALM land in such a manner as to obstruct — </w:t>
      </w:r>
    </w:p>
    <w:p>
      <w:pPr>
        <w:pStyle w:val="Indenta"/>
        <w:rPr>
          <w:snapToGrid w:val="0"/>
        </w:rPr>
      </w:pPr>
      <w:r>
        <w:rPr>
          <w:snapToGrid w:val="0"/>
        </w:rPr>
        <w:tab/>
        <w:t>(a)</w:t>
      </w:r>
      <w:r>
        <w:rPr>
          <w:snapToGrid w:val="0"/>
        </w:rPr>
        <w:tab/>
        <w:t>any other vehicle on the land; or</w:t>
      </w:r>
    </w:p>
    <w:p>
      <w:pPr>
        <w:pStyle w:val="Indenta"/>
        <w:rPr>
          <w:snapToGrid w:val="0"/>
        </w:rPr>
      </w:pPr>
      <w:r>
        <w:rPr>
          <w:snapToGrid w:val="0"/>
        </w:rPr>
        <w:tab/>
        <w:t>(b)</w:t>
      </w:r>
      <w:r>
        <w:rPr>
          <w:snapToGrid w:val="0"/>
        </w:rPr>
        <w:tab/>
        <w:t>a footpath; or</w:t>
      </w:r>
    </w:p>
    <w:p>
      <w:pPr>
        <w:pStyle w:val="Indenta"/>
        <w:rPr>
          <w:snapToGrid w:val="0"/>
        </w:rPr>
      </w:pPr>
      <w:r>
        <w:rPr>
          <w:snapToGrid w:val="0"/>
        </w:rPr>
        <w:tab/>
        <w:t>(c)</w:t>
      </w:r>
      <w:r>
        <w:rPr>
          <w:snapToGrid w:val="0"/>
        </w:rPr>
        <w:tab/>
        <w:t>access to a ticket vending machine within the meaning of regulation 56(6); or</w:t>
      </w:r>
    </w:p>
    <w:p>
      <w:pPr>
        <w:pStyle w:val="Indenta"/>
        <w:rPr>
          <w:snapToGrid w:val="0"/>
        </w:rPr>
      </w:pPr>
      <w:r>
        <w:rPr>
          <w:snapToGrid w:val="0"/>
        </w:rPr>
        <w:tab/>
        <w:t>(d)</w:t>
      </w:r>
      <w:r>
        <w:rPr>
          <w:snapToGrid w:val="0"/>
        </w:rPr>
        <w:tab/>
        <w:t>access to a facility on the land.</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57 amended in Gazette 3 Dec 2010 p. 6052</w:t>
      </w:r>
      <w:r>
        <w:noBreakHyphen/>
        <w:t>3.]</w:t>
      </w:r>
    </w:p>
    <w:p>
      <w:pPr>
        <w:pStyle w:val="Heading3"/>
      </w:pPr>
      <w:bookmarkStart w:id="177" w:name="_Toc408498839"/>
      <w:bookmarkStart w:id="178" w:name="_Toc414889261"/>
      <w:bookmarkStart w:id="179" w:name="_Toc414975204"/>
      <w:bookmarkStart w:id="180" w:name="_Toc417563686"/>
      <w:bookmarkStart w:id="181" w:name="_Toc423340507"/>
      <w:bookmarkStart w:id="182" w:name="_Toc423343105"/>
      <w:r>
        <w:rPr>
          <w:rStyle w:val="CharDivNo"/>
        </w:rPr>
        <w:t>Division 3</w:t>
      </w:r>
      <w:r>
        <w:rPr>
          <w:snapToGrid w:val="0"/>
        </w:rPr>
        <w:t xml:space="preserve"> — </w:t>
      </w:r>
      <w:r>
        <w:rPr>
          <w:rStyle w:val="CharDivText"/>
        </w:rPr>
        <w:t>Vessels</w:t>
      </w:r>
      <w:bookmarkEnd w:id="177"/>
      <w:bookmarkEnd w:id="178"/>
      <w:bookmarkEnd w:id="179"/>
      <w:bookmarkEnd w:id="180"/>
      <w:bookmarkEnd w:id="181"/>
      <w:bookmarkEnd w:id="182"/>
    </w:p>
    <w:p>
      <w:pPr>
        <w:pStyle w:val="Heading5"/>
        <w:rPr>
          <w:snapToGrid w:val="0"/>
        </w:rPr>
      </w:pPr>
      <w:bookmarkStart w:id="183" w:name="_Toc408498840"/>
      <w:bookmarkStart w:id="184" w:name="_Toc423343106"/>
      <w:r>
        <w:rPr>
          <w:rStyle w:val="CharSectno"/>
        </w:rPr>
        <w:t>58</w:t>
      </w:r>
      <w:r>
        <w:rPr>
          <w:snapToGrid w:val="0"/>
        </w:rPr>
        <w:t>.</w:t>
      </w:r>
      <w:r>
        <w:rPr>
          <w:snapToGrid w:val="0"/>
        </w:rPr>
        <w:tab/>
        <w:t>Races</w:t>
      </w:r>
      <w:bookmarkEnd w:id="183"/>
      <w:bookmarkEnd w:id="184"/>
      <w:r>
        <w:rPr>
          <w:snapToGrid w:val="0"/>
        </w:rPr>
        <w:t xml:space="preserve"> </w:t>
      </w:r>
    </w:p>
    <w:p>
      <w:pPr>
        <w:pStyle w:val="Subsection"/>
        <w:rPr>
          <w:snapToGrid w:val="0"/>
        </w:rPr>
      </w:pPr>
      <w:r>
        <w:rPr>
          <w:snapToGrid w:val="0"/>
        </w:rPr>
        <w:tab/>
      </w:r>
      <w:r>
        <w:rPr>
          <w:snapToGrid w:val="0"/>
        </w:rPr>
        <w:tab/>
        <w:t>A person must not, without lawful authority, organise, promote or conduct a race involving vessels on or through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58 amended in Gazette 3 Dec 2010 p. 6052</w:t>
      </w:r>
      <w:r>
        <w:noBreakHyphen/>
        <w:t>3.]</w:t>
      </w:r>
    </w:p>
    <w:p>
      <w:pPr>
        <w:pStyle w:val="Heading5"/>
        <w:rPr>
          <w:snapToGrid w:val="0"/>
        </w:rPr>
      </w:pPr>
      <w:bookmarkStart w:id="185" w:name="_Toc408498841"/>
      <w:bookmarkStart w:id="186" w:name="_Toc423343107"/>
      <w:r>
        <w:rPr>
          <w:rStyle w:val="CharSectno"/>
        </w:rPr>
        <w:t>59</w:t>
      </w:r>
      <w:r>
        <w:rPr>
          <w:snapToGrid w:val="0"/>
        </w:rPr>
        <w:t>.</w:t>
      </w:r>
      <w:r>
        <w:rPr>
          <w:snapToGrid w:val="0"/>
        </w:rPr>
        <w:tab/>
        <w:t>Moorings</w:t>
      </w:r>
      <w:bookmarkEnd w:id="185"/>
      <w:bookmarkEnd w:id="186"/>
      <w:r>
        <w:rPr>
          <w:snapToGrid w:val="0"/>
        </w:rPr>
        <w:t xml:space="preserve"> </w:t>
      </w:r>
    </w:p>
    <w:p>
      <w:pPr>
        <w:pStyle w:val="Subsection"/>
      </w:pPr>
      <w:r>
        <w:tab/>
        <w:t>(1)</w:t>
      </w:r>
      <w:r>
        <w:tab/>
        <w:t xml:space="preserve">A person must not, without lawful authority — </w:t>
      </w:r>
    </w:p>
    <w:p>
      <w:pPr>
        <w:pStyle w:val="Indenta"/>
      </w:pPr>
      <w:r>
        <w:tab/>
        <w:t>(a)</w:t>
      </w:r>
      <w:r>
        <w:tab/>
        <w:t>install a mooring on CALM land; or</w:t>
      </w:r>
    </w:p>
    <w:p>
      <w:pPr>
        <w:pStyle w:val="Indenta"/>
      </w:pPr>
      <w:r>
        <w:tab/>
        <w:t>(b)</w:t>
      </w:r>
      <w:r>
        <w:tab/>
        <w:t>allow a mooring which the person owns or apparently controls to remain on CALM land.</w:t>
      </w:r>
    </w:p>
    <w:p>
      <w:pPr>
        <w:pStyle w:val="Penstart"/>
      </w:pPr>
      <w:r>
        <w:tab/>
        <w:t>Penalty: a fine of $2 000.</w:t>
      </w:r>
    </w:p>
    <w:p>
      <w:pPr>
        <w:pStyle w:val="Subsection"/>
      </w:pPr>
      <w:r>
        <w:tab/>
        <w:t>(2)</w:t>
      </w:r>
      <w:r>
        <w:tab/>
        <w:t>A person must not secure a vessel, or allow it to remain secured, to a mooring that is on CALM land without lawful authority.</w:t>
      </w:r>
    </w:p>
    <w:p>
      <w:pPr>
        <w:pStyle w:val="Penstart"/>
      </w:pPr>
      <w:r>
        <w:tab/>
        <w:t>Penalty: a fine of $1 000.</w:t>
      </w:r>
    </w:p>
    <w:p>
      <w:pPr>
        <w:pStyle w:val="Subsection"/>
      </w:pPr>
      <w:r>
        <w:rPr>
          <w:snapToGrid w:val="0"/>
        </w:rPr>
        <w:tab/>
        <w:t>(3A)</w:t>
      </w:r>
      <w:r>
        <w:rPr>
          <w:snapToGrid w:val="0"/>
        </w:rPr>
        <w:tab/>
        <w:t>A person must not, without lawful authority, allow a moored vessel to be on CALM land.</w:t>
      </w:r>
    </w:p>
    <w:p>
      <w:pPr>
        <w:pStyle w:val="Penstart"/>
      </w:pPr>
      <w:r>
        <w:tab/>
        <w:t>Penalty: a fine of $1 000.</w:t>
      </w:r>
    </w:p>
    <w:p>
      <w:pPr>
        <w:pStyle w:val="Subsection"/>
        <w:rPr>
          <w:snapToGrid w:val="0"/>
        </w:rPr>
      </w:pPr>
      <w:r>
        <w:rPr>
          <w:snapToGrid w:val="0"/>
        </w:rPr>
        <w:tab/>
        <w:t>(3)</w:t>
      </w:r>
      <w:r>
        <w:rPr>
          <w:snapToGrid w:val="0"/>
        </w:rPr>
        <w:tab/>
        <w:t>A person must not secure a vessel, or allow it to remain secured, to — </w:t>
      </w:r>
    </w:p>
    <w:p>
      <w:pPr>
        <w:pStyle w:val="Indenta"/>
      </w:pPr>
      <w:r>
        <w:rPr>
          <w:snapToGrid w:val="0"/>
        </w:rPr>
        <w:tab/>
        <w:t>(a)</w:t>
      </w:r>
      <w:r>
        <w:rPr>
          <w:snapToGrid w:val="0"/>
        </w:rPr>
        <w:tab/>
      </w:r>
      <w:r>
        <w:t>a mooring on CALM land, without lawful authority; or</w:t>
      </w:r>
    </w:p>
    <w:p>
      <w:pPr>
        <w:pStyle w:val="Indenta"/>
        <w:rPr>
          <w:snapToGrid w:val="0"/>
        </w:rPr>
      </w:pPr>
      <w:r>
        <w:rPr>
          <w:snapToGrid w:val="0"/>
        </w:rPr>
        <w:tab/>
        <w:t>(b)</w:t>
      </w:r>
      <w:r>
        <w:rPr>
          <w:snapToGrid w:val="0"/>
        </w:rPr>
        <w:tab/>
        <w:t>a mooring on CALM land to which a vessel is already secured; or</w:t>
      </w:r>
    </w:p>
    <w:p>
      <w:pPr>
        <w:pStyle w:val="Indenta"/>
        <w:rPr>
          <w:snapToGrid w:val="0"/>
        </w:rPr>
      </w:pPr>
      <w:r>
        <w:rPr>
          <w:snapToGrid w:val="0"/>
        </w:rPr>
        <w:tab/>
        <w:t>(c)</w:t>
      </w:r>
      <w:r>
        <w:rPr>
          <w:snapToGrid w:val="0"/>
        </w:rPr>
        <w:tab/>
        <w:t>a vessel that is secured to a mooring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Subregulation (3) does not apply so as to prohibit a tender being attached to a vessel.</w:t>
      </w:r>
    </w:p>
    <w:p>
      <w:pPr>
        <w:pStyle w:val="Subsection"/>
        <w:rPr>
          <w:snapToGrid w:val="0"/>
        </w:rPr>
      </w:pPr>
      <w:r>
        <w:rPr>
          <w:snapToGrid w:val="0"/>
        </w:rPr>
        <w:tab/>
        <w:t>(5)</w:t>
      </w:r>
      <w:r>
        <w:rPr>
          <w:snapToGrid w:val="0"/>
        </w:rPr>
        <w:tab/>
        <w:t>For the purposes of this regulation, a person who is on a vessel that is secured to a mooring</w:t>
      </w:r>
      <w:r>
        <w:rPr>
          <w:spacing w:val="-6"/>
          <w:kern w:val="24"/>
        </w:rPr>
        <w:t>, or secured to a vessel that is secured to a mooring,</w:t>
      </w:r>
      <w:r>
        <w:t xml:space="preserve"> </w:t>
      </w:r>
      <w:r>
        <w:rPr>
          <w:snapToGrid w:val="0"/>
        </w:rPr>
        <w:t>is taken to allow it to remain secured to that mooring</w:t>
      </w:r>
      <w:r>
        <w:t xml:space="preserve"> or that vessel</w:t>
      </w:r>
      <w:r>
        <w:rPr>
          <w:snapToGrid w:val="0"/>
        </w:rPr>
        <w:t>.</w:t>
      </w:r>
    </w:p>
    <w:p>
      <w:pPr>
        <w:pStyle w:val="Footnotesection"/>
      </w:pPr>
      <w:r>
        <w:tab/>
        <w:t>[Regulation 59 amended in Gazette 29 Sep 2006 p. 4315; 3 Dec 2010 p. 6052</w:t>
      </w:r>
      <w:r>
        <w:noBreakHyphen/>
        <w:t>3; 24 Mar 2015 p. 1034</w:t>
      </w:r>
      <w:r>
        <w:noBreakHyphen/>
        <w:t>5.]</w:t>
      </w:r>
    </w:p>
    <w:p>
      <w:pPr>
        <w:pStyle w:val="Heading5"/>
      </w:pPr>
      <w:bookmarkStart w:id="187" w:name="_Toc423343108"/>
      <w:bookmarkStart w:id="188" w:name="_Toc408498842"/>
      <w:r>
        <w:rPr>
          <w:rStyle w:val="CharSectno"/>
        </w:rPr>
        <w:t>60A</w:t>
      </w:r>
      <w:r>
        <w:t>.</w:t>
      </w:r>
      <w:r>
        <w:tab/>
        <w:t>Public moorings</w:t>
      </w:r>
      <w:bookmarkEnd w:id="187"/>
    </w:p>
    <w:p>
      <w:pPr>
        <w:pStyle w:val="Subsection"/>
      </w:pPr>
      <w:r>
        <w:tab/>
        <w:t>(1)</w:t>
      </w:r>
      <w:r>
        <w:tab/>
        <w:t xml:space="preserve">The CEO may designate a mooring as a public mooring by a sign attached to the mooring. </w:t>
      </w:r>
    </w:p>
    <w:p>
      <w:pPr>
        <w:pStyle w:val="Subsection"/>
      </w:pPr>
      <w:r>
        <w:tab/>
        <w:t>(2)</w:t>
      </w:r>
      <w:r>
        <w:tab/>
        <w:t>A mooring may be designated as a public mooring at all times or during a period or periods specified on the sign.</w:t>
      </w:r>
    </w:p>
    <w:p>
      <w:pPr>
        <w:pStyle w:val="Subsection"/>
      </w:pPr>
      <w:r>
        <w:tab/>
        <w:t>(3)</w:t>
      </w:r>
      <w:r>
        <w:tab/>
        <w:t xml:space="preserve">The sign that is attached to a public mooring must indicate — </w:t>
      </w:r>
    </w:p>
    <w:p>
      <w:pPr>
        <w:pStyle w:val="Indenta"/>
      </w:pPr>
      <w:r>
        <w:tab/>
        <w:t>(a)</w:t>
      </w:r>
      <w:r>
        <w:tab/>
        <w:t>the period or periods during which the mooring is a public mooring; and</w:t>
      </w:r>
    </w:p>
    <w:p>
      <w:pPr>
        <w:pStyle w:val="Indenta"/>
      </w:pPr>
      <w:r>
        <w:tab/>
        <w:t>(b)</w:t>
      </w:r>
      <w:r>
        <w:tab/>
        <w:t>the conditions, if any, that apply to the use of the mooring.</w:t>
      </w:r>
    </w:p>
    <w:p>
      <w:pPr>
        <w:pStyle w:val="Subsection"/>
      </w:pPr>
      <w:r>
        <w:tab/>
        <w:t>(4)</w:t>
      </w:r>
      <w:r>
        <w:tab/>
        <w:t>A person has lawful authority to secure a vessel, or allow it to remain secured, to a public mooring if the person complies with the conditions specified on a sign attached to the mooring.</w:t>
      </w:r>
    </w:p>
    <w:p>
      <w:pPr>
        <w:pStyle w:val="Penstart"/>
      </w:pPr>
      <w:r>
        <w:tab/>
        <w:t>Penalty: a fine of $2 000.</w:t>
      </w:r>
    </w:p>
    <w:p>
      <w:pPr>
        <w:pStyle w:val="Footnotesection"/>
      </w:pPr>
      <w:r>
        <w:tab/>
        <w:t>[Regulation 60A inserted in Gazette 24 Mar 2015 p. 1035.]</w:t>
      </w:r>
    </w:p>
    <w:p>
      <w:pPr>
        <w:pStyle w:val="Heading5"/>
      </w:pPr>
      <w:bookmarkStart w:id="189" w:name="_Toc423343109"/>
      <w:r>
        <w:rPr>
          <w:rStyle w:val="CharSectno"/>
        </w:rPr>
        <w:t>60B</w:t>
      </w:r>
      <w:r>
        <w:t>.</w:t>
      </w:r>
      <w:r>
        <w:tab/>
        <w:t>Temporary mooring areas</w:t>
      </w:r>
      <w:bookmarkEnd w:id="189"/>
    </w:p>
    <w:p>
      <w:pPr>
        <w:pStyle w:val="Subsection"/>
      </w:pPr>
      <w:r>
        <w:tab/>
      </w:r>
      <w:r>
        <w:tab/>
        <w:t>A person has lawful authority to moor a vessel in a temporary mooring area in accordance with conditions specified on signs erected in or in the vicinity of that area for the purposes of regulation 6(3) or signs designating the area as a temporary mooring area.</w:t>
      </w:r>
    </w:p>
    <w:p>
      <w:pPr>
        <w:pStyle w:val="Footnotesection"/>
      </w:pPr>
      <w:r>
        <w:tab/>
        <w:t>[Regulation 60B inserted in Gazette 24 Mar 2015 p. 1035.]</w:t>
      </w:r>
    </w:p>
    <w:p>
      <w:pPr>
        <w:pStyle w:val="Heading5"/>
      </w:pPr>
      <w:bookmarkStart w:id="190" w:name="_Toc423343110"/>
      <w:r>
        <w:rPr>
          <w:rStyle w:val="CharSectno"/>
        </w:rPr>
        <w:t>60</w:t>
      </w:r>
      <w:r>
        <w:rPr>
          <w:snapToGrid w:val="0"/>
        </w:rPr>
        <w:t>.</w:t>
      </w:r>
      <w:r>
        <w:rPr>
          <w:snapToGrid w:val="0"/>
        </w:rPr>
        <w:tab/>
        <w:t>Anchoring vessels</w:t>
      </w:r>
      <w:bookmarkEnd w:id="188"/>
      <w:bookmarkEnd w:id="190"/>
    </w:p>
    <w:p>
      <w:pPr>
        <w:pStyle w:val="Subsection"/>
        <w:ind w:left="0" w:firstLine="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anchor a vessel in a restricted area if that activity is prohibited under regulation 5; or</w:t>
      </w:r>
    </w:p>
    <w:p>
      <w:pPr>
        <w:pStyle w:val="Indenta"/>
        <w:rPr>
          <w:snapToGrid w:val="0"/>
        </w:rPr>
      </w:pPr>
      <w:r>
        <w:rPr>
          <w:snapToGrid w:val="0"/>
        </w:rPr>
        <w:tab/>
        <w:t>(b)</w:t>
      </w:r>
      <w:r>
        <w:rPr>
          <w:snapToGrid w:val="0"/>
        </w:rPr>
        <w:tab/>
        <w:t>contravene a restriction on the anchoring of vessels in a restricted area imposed under regulation 5.</w:t>
      </w:r>
    </w:p>
    <w:p>
      <w:pPr>
        <w:pStyle w:val="Penstart"/>
        <w:rPr>
          <w:snapToGrid w:val="0"/>
        </w:rPr>
      </w:pPr>
      <w:r>
        <w:rPr>
          <w:snapToGrid w:val="0"/>
        </w:rPr>
        <w:tab/>
        <w:t xml:space="preserve">Penalty: </w:t>
      </w:r>
      <w:r>
        <w:t>a fine of</w:t>
      </w:r>
      <w:r>
        <w:rPr>
          <w:snapToGrid w:val="0"/>
        </w:rPr>
        <w:t xml:space="preserve"> $1 000.</w:t>
      </w:r>
    </w:p>
    <w:p>
      <w:pPr>
        <w:pStyle w:val="Subsection"/>
      </w:pPr>
      <w:r>
        <w:tab/>
        <w:t>(2A)</w:t>
      </w:r>
      <w:r>
        <w:tab/>
        <w:t>A person must not anchor a vessel, or allow a vessel to remain anchored, on CALM land if the vessel lies in a position where part of the vessel, or a tender attached to it, is closer than 50 metres to a mooring that is on CALM land.</w:t>
      </w:r>
    </w:p>
    <w:p>
      <w:pPr>
        <w:pStyle w:val="Penstart"/>
      </w:pPr>
      <w:r>
        <w:tab/>
        <w:t>Penalty: a fine of $1 000.</w:t>
      </w:r>
    </w:p>
    <w:p>
      <w:pPr>
        <w:pStyle w:val="Subsection"/>
        <w:rPr>
          <w:snapToGrid w:val="0"/>
        </w:rPr>
      </w:pPr>
      <w:r>
        <w:rPr>
          <w:snapToGrid w:val="0"/>
        </w:rPr>
        <w:tab/>
        <w:t>(2)</w:t>
      </w:r>
      <w:r>
        <w:rPr>
          <w:snapToGrid w:val="0"/>
        </w:rPr>
        <w:tab/>
      </w:r>
      <w:r>
        <w:t>Subregulations (1) and (2A) do</w:t>
      </w:r>
      <w:r>
        <w:rPr>
          <w:snapToGrid w:val="0"/>
        </w:rPr>
        <w:t xml:space="preserve"> not apply to a vessel that is required to anchor contrary to that subregulation to avoid or mitigate danger to human life or significant damage to property.</w:t>
      </w:r>
    </w:p>
    <w:p>
      <w:pPr>
        <w:pStyle w:val="Footnotesection"/>
      </w:pPr>
      <w:r>
        <w:tab/>
        <w:t>[Regulation 60 amended in Gazette 3 Dec 2010 p. 6052</w:t>
      </w:r>
      <w:r>
        <w:noBreakHyphen/>
        <w:t>3; 24 Mar 2015 p. 1035</w:t>
      </w:r>
      <w:r>
        <w:noBreakHyphen/>
        <w:t>6.]</w:t>
      </w:r>
    </w:p>
    <w:p>
      <w:pPr>
        <w:pStyle w:val="Heading5"/>
        <w:rPr>
          <w:snapToGrid w:val="0"/>
        </w:rPr>
      </w:pPr>
      <w:bookmarkStart w:id="191" w:name="_Toc408498843"/>
      <w:bookmarkStart w:id="192" w:name="_Toc423343111"/>
      <w:r>
        <w:rPr>
          <w:rStyle w:val="CharSectno"/>
        </w:rPr>
        <w:t>61</w:t>
      </w:r>
      <w:r>
        <w:rPr>
          <w:snapToGrid w:val="0"/>
        </w:rPr>
        <w:t>.</w:t>
      </w:r>
      <w:r>
        <w:rPr>
          <w:snapToGrid w:val="0"/>
        </w:rPr>
        <w:tab/>
        <w:t>Operation of certain vessel in restricted area</w:t>
      </w:r>
      <w:bookmarkEnd w:id="191"/>
      <w:bookmarkEnd w:id="192"/>
    </w:p>
    <w:p>
      <w:pPr>
        <w:pStyle w:val="Subsection"/>
      </w:pPr>
      <w:r>
        <w:rPr>
          <w:snapToGrid w:val="0"/>
        </w:rPr>
        <w:tab/>
      </w:r>
      <w:r>
        <w:rPr>
          <w:snapToGrid w:val="0"/>
        </w:rPr>
        <w:tab/>
      </w:r>
      <w:r>
        <w:t xml:space="preserve">A person must not, without lawful authority, in a restricted area — </w:t>
      </w:r>
    </w:p>
    <w:p>
      <w:pPr>
        <w:pStyle w:val="Indenta"/>
      </w:pPr>
      <w:r>
        <w:tab/>
        <w:t>(a)</w:t>
      </w:r>
      <w:r>
        <w:tab/>
        <w:t>operate a vessel if the operation of a vessel of that kind is prohibited in that area under regulation 5; or</w:t>
      </w:r>
    </w:p>
    <w:p>
      <w:pPr>
        <w:pStyle w:val="Indenta"/>
      </w:pPr>
      <w:r>
        <w:tab/>
        <w:t>(b)</w:t>
      </w:r>
      <w:r>
        <w:tab/>
        <w:t>contravene a restriction imposed on the operation of a vessel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61 amended in Gazette 3 Dec 2010 p. 6052</w:t>
      </w:r>
      <w:r>
        <w:noBreakHyphen/>
        <w:t>3; 19 Sep 2014 p. 3336.]</w:t>
      </w:r>
    </w:p>
    <w:p>
      <w:pPr>
        <w:pStyle w:val="Heading5"/>
      </w:pPr>
      <w:bookmarkStart w:id="193" w:name="_Toc408498844"/>
      <w:bookmarkStart w:id="194" w:name="_Toc423343112"/>
      <w:r>
        <w:rPr>
          <w:rStyle w:val="CharSectno"/>
        </w:rPr>
        <w:t>61A</w:t>
      </w:r>
      <w:r>
        <w:t>.</w:t>
      </w:r>
      <w:r>
        <w:tab/>
        <w:t>Operation of vessels in nature reserves</w:t>
      </w:r>
      <w:bookmarkEnd w:id="193"/>
      <w:bookmarkEnd w:id="194"/>
    </w:p>
    <w:p>
      <w:pPr>
        <w:pStyle w:val="Subsection"/>
      </w:pPr>
      <w:r>
        <w:tab/>
      </w:r>
      <w:r>
        <w:tab/>
        <w:t>A person must not, without lawful authority, operate a vessel in a nature reserve, except in a designated area of the reserve.</w:t>
      </w:r>
    </w:p>
    <w:p>
      <w:pPr>
        <w:pStyle w:val="Penstart"/>
      </w:pPr>
      <w:r>
        <w:tab/>
        <w:t>Penalty: a fine of $1 000.</w:t>
      </w:r>
    </w:p>
    <w:p>
      <w:pPr>
        <w:pStyle w:val="Footnotesection"/>
        <w:spacing w:before="100"/>
      </w:pPr>
      <w:r>
        <w:tab/>
        <w:t>[Regulation 61A inserted in Gazette 29 Sep 2006 p. 4315; amended in Gazette 3 Dec 2010 p. 6052</w:t>
      </w:r>
      <w:r>
        <w:noBreakHyphen/>
        <w:t>3.]</w:t>
      </w:r>
    </w:p>
    <w:p>
      <w:pPr>
        <w:pStyle w:val="Heading5"/>
      </w:pPr>
      <w:bookmarkStart w:id="195" w:name="_Toc423343113"/>
      <w:bookmarkStart w:id="196" w:name="_Toc408498845"/>
      <w:r>
        <w:rPr>
          <w:rStyle w:val="CharSectno"/>
        </w:rPr>
        <w:t>61B</w:t>
      </w:r>
      <w:r>
        <w:t>.</w:t>
      </w:r>
      <w:r>
        <w:tab/>
        <w:t>CEO may limit speed of vessels</w:t>
      </w:r>
      <w:bookmarkEnd w:id="195"/>
    </w:p>
    <w:p>
      <w:pPr>
        <w:pStyle w:val="Subsection"/>
      </w:pPr>
      <w:r>
        <w:tab/>
        <w:t>(1)</w:t>
      </w:r>
      <w:r>
        <w:tab/>
        <w:t xml:space="preserve">In this regulation — </w:t>
      </w:r>
    </w:p>
    <w:p>
      <w:pPr>
        <w:pStyle w:val="Defstart"/>
      </w:pPr>
      <w:r>
        <w:tab/>
      </w:r>
      <w:r>
        <w:rPr>
          <w:rStyle w:val="CharDefText"/>
        </w:rPr>
        <w:t>specified</w:t>
      </w:r>
      <w:r>
        <w:t xml:space="preserve"> means specified in a notice referred to in subregulation (2).</w:t>
      </w:r>
    </w:p>
    <w:p>
      <w:pPr>
        <w:pStyle w:val="Subsection"/>
      </w:pPr>
      <w:r>
        <w:tab/>
        <w:t>(2)</w:t>
      </w:r>
      <w:r>
        <w:tab/>
        <w:t xml:space="preserve">The CEO may, by notice published in the </w:t>
      </w:r>
      <w:r>
        <w:rPr>
          <w:i/>
          <w:iCs/>
        </w:rPr>
        <w:t>Gazette</w:t>
      </w:r>
      <w:r>
        <w:t>, limit the speed of any specified class or classes of vessel in any specified area of waters on CALM land.</w:t>
      </w:r>
    </w:p>
    <w:p>
      <w:pPr>
        <w:pStyle w:val="Subsection"/>
      </w:pPr>
      <w:r>
        <w:tab/>
        <w:t>(3)</w:t>
      </w:r>
      <w:r>
        <w:tab/>
        <w:t>The CEO is to ensure that signs are erected in, or in the vicinity of, each specified area indicating the speed limits that apply in the area and the class or classes of vessel to which the speed limits apply.</w:t>
      </w:r>
    </w:p>
    <w:p>
      <w:pPr>
        <w:pStyle w:val="Subsection"/>
      </w:pPr>
      <w:r>
        <w:tab/>
        <w:t>(4)</w:t>
      </w:r>
      <w:r>
        <w:tab/>
        <w:t>A person must not operate a vessel in a specified area at a speed exceeding the specified limit for a vessel of that class.</w:t>
      </w:r>
    </w:p>
    <w:p>
      <w:pPr>
        <w:pStyle w:val="Penstart"/>
      </w:pPr>
      <w:r>
        <w:tab/>
        <w:t>Penalty: a fine of $2 000.</w:t>
      </w:r>
    </w:p>
    <w:p>
      <w:pPr>
        <w:pStyle w:val="Footnotesection"/>
      </w:pPr>
      <w:r>
        <w:tab/>
        <w:t>[Regulation 61B inserted in Gazette 24 Mar 2015 p. 1036.]</w:t>
      </w:r>
    </w:p>
    <w:p>
      <w:pPr>
        <w:pStyle w:val="Heading5"/>
        <w:rPr>
          <w:snapToGrid w:val="0"/>
        </w:rPr>
      </w:pPr>
      <w:bookmarkStart w:id="197" w:name="_Toc423343114"/>
      <w:r>
        <w:rPr>
          <w:rStyle w:val="CharSectno"/>
        </w:rPr>
        <w:t>62</w:t>
      </w:r>
      <w:r>
        <w:rPr>
          <w:snapToGrid w:val="0"/>
        </w:rPr>
        <w:t>.</w:t>
      </w:r>
      <w:r>
        <w:rPr>
          <w:snapToGrid w:val="0"/>
        </w:rPr>
        <w:tab/>
        <w:t>Safe navigation of vessels</w:t>
      </w:r>
      <w:bookmarkEnd w:id="196"/>
      <w:bookmarkEnd w:id="197"/>
      <w:r>
        <w:rPr>
          <w:snapToGrid w:val="0"/>
        </w:rPr>
        <w:t xml:space="preserve"> </w:t>
      </w:r>
    </w:p>
    <w:p>
      <w:pPr>
        <w:pStyle w:val="Subsection"/>
        <w:rPr>
          <w:snapToGrid w:val="0"/>
        </w:rPr>
      </w:pPr>
      <w:r>
        <w:rPr>
          <w:snapToGrid w:val="0"/>
        </w:rPr>
        <w:tab/>
        <w:t>(1)</w:t>
      </w:r>
      <w:r>
        <w:rPr>
          <w:snapToGrid w:val="0"/>
        </w:rPr>
        <w:tab/>
        <w:t>A person must not navigate a vessel on waters on CALM land in such a manner as to — </w:t>
      </w:r>
    </w:p>
    <w:p>
      <w:pPr>
        <w:pStyle w:val="Indenta"/>
        <w:spacing w:before="60"/>
        <w:rPr>
          <w:snapToGrid w:val="0"/>
        </w:rPr>
      </w:pPr>
      <w:r>
        <w:rPr>
          <w:snapToGrid w:val="0"/>
        </w:rPr>
        <w:tab/>
        <w:t>(a)</w:t>
      </w:r>
      <w:r>
        <w:rPr>
          <w:snapToGrid w:val="0"/>
        </w:rPr>
        <w:tab/>
        <w:t>endanger the safety of that or any other vessel or any person; or</w:t>
      </w:r>
    </w:p>
    <w:p>
      <w:pPr>
        <w:pStyle w:val="Indenta"/>
        <w:spacing w:before="60"/>
        <w:rPr>
          <w:snapToGrid w:val="0"/>
        </w:rPr>
      </w:pPr>
      <w:r>
        <w:rPr>
          <w:snapToGrid w:val="0"/>
        </w:rPr>
        <w:tab/>
        <w:t>(b)</w:t>
      </w:r>
      <w:r>
        <w:rPr>
          <w:snapToGrid w:val="0"/>
        </w:rPr>
        <w:tab/>
        <w:t>cause damage to any person or to any other vessel; or</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damage vegetation, coral, shoals, sandbanks, mudflats or the bed or banks of any body of water; or</w:t>
      </w:r>
    </w:p>
    <w:p>
      <w:pPr>
        <w:pStyle w:val="Indenta"/>
        <w:spacing w:before="60"/>
        <w:rPr>
          <w:snapToGrid w:val="0"/>
        </w:rPr>
      </w:pPr>
      <w:r>
        <w:rPr>
          <w:snapToGrid w:val="0"/>
        </w:rPr>
        <w:tab/>
        <w:t>(e)</w:t>
      </w:r>
      <w:r>
        <w:rPr>
          <w:snapToGrid w:val="0"/>
        </w:rPr>
        <w:tab/>
      </w:r>
      <w:r>
        <w:t>endanger or harm any fauna</w:t>
      </w:r>
      <w:r>
        <w:rPr>
          <w:snapToGrid w:val="0"/>
        </w:rPr>
        <w:t>.</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rPr>
          <w:snapToGrid w:val="0"/>
        </w:rPr>
      </w:pPr>
      <w:r>
        <w:tab/>
        <w:t>(2)</w:t>
      </w:r>
      <w:r>
        <w:tab/>
      </w:r>
      <w:r>
        <w:rPr>
          <w:snapToGrid w:val="0"/>
        </w:rPr>
        <w:t xml:space="preserve">A person must not navigate a vessel on waters on CALM land in such a manner as to — </w:t>
      </w:r>
    </w:p>
    <w:p>
      <w:pPr>
        <w:pStyle w:val="Indenta"/>
        <w:spacing w:before="70"/>
        <w:rPr>
          <w:snapToGrid w:val="0"/>
        </w:rPr>
      </w:pPr>
      <w:r>
        <w:tab/>
        <w:t>(a)</w:t>
      </w:r>
      <w:r>
        <w:tab/>
      </w:r>
      <w:r>
        <w:rPr>
          <w:snapToGrid w:val="0"/>
        </w:rPr>
        <w:t>cause nuisance to any person or to any other vessel; or</w:t>
      </w:r>
    </w:p>
    <w:p>
      <w:pPr>
        <w:pStyle w:val="Indenta"/>
        <w:spacing w:before="70"/>
        <w:rPr>
          <w:snapToGrid w:val="0"/>
        </w:rPr>
      </w:pPr>
      <w:r>
        <w:rPr>
          <w:snapToGrid w:val="0"/>
        </w:rPr>
        <w:tab/>
        <w:t>(b)</w:t>
      </w:r>
      <w:r>
        <w:rPr>
          <w:snapToGrid w:val="0"/>
        </w:rPr>
        <w:tab/>
        <w:t>obstruct, impede or otherwise interfere with any other vessel; or</w:t>
      </w:r>
    </w:p>
    <w:p>
      <w:pPr>
        <w:pStyle w:val="Indenta"/>
        <w:spacing w:before="70"/>
        <w:rPr>
          <w:snapToGrid w:val="0"/>
        </w:rPr>
      </w:pPr>
      <w:r>
        <w:rPr>
          <w:snapToGrid w:val="0"/>
        </w:rPr>
        <w:tab/>
        <w:t>(c)</w:t>
      </w:r>
      <w:r>
        <w:rPr>
          <w:snapToGrid w:val="0"/>
        </w:rPr>
        <w:tab/>
      </w:r>
      <w:r>
        <w:t>disturb any fauna</w:t>
      </w:r>
      <w:r>
        <w:rPr>
          <w:snapToGrid w:val="0"/>
        </w:rPr>
        <w:t>.</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62 amended in Gazette 29 Sep 2006 p. 4315</w:t>
      </w:r>
      <w:r>
        <w:noBreakHyphen/>
        <w:t>16; 3 Dec 2010 p. 6052</w:t>
      </w:r>
      <w:r>
        <w:noBreakHyphen/>
        <w:t>3; 19 Sep 2014 p. 3336.]</w:t>
      </w:r>
    </w:p>
    <w:p>
      <w:pPr>
        <w:pStyle w:val="Heading5"/>
        <w:rPr>
          <w:snapToGrid w:val="0"/>
        </w:rPr>
      </w:pPr>
      <w:bookmarkStart w:id="198" w:name="_Toc408498846"/>
      <w:bookmarkStart w:id="199" w:name="_Toc423343115"/>
      <w:r>
        <w:rPr>
          <w:rStyle w:val="CharSectno"/>
        </w:rPr>
        <w:t>63</w:t>
      </w:r>
      <w:r>
        <w:rPr>
          <w:snapToGrid w:val="0"/>
        </w:rPr>
        <w:t>.</w:t>
      </w:r>
      <w:r>
        <w:rPr>
          <w:snapToGrid w:val="0"/>
        </w:rPr>
        <w:tab/>
        <w:t>Owner to obey reasonable direction</w:t>
      </w:r>
      <w:bookmarkEnd w:id="198"/>
      <w:bookmarkEnd w:id="199"/>
      <w:r>
        <w:rPr>
          <w:snapToGrid w:val="0"/>
        </w:rPr>
        <w:t xml:space="preserve"> </w:t>
      </w:r>
    </w:p>
    <w:p>
      <w:pPr>
        <w:pStyle w:val="Subsection"/>
        <w:rPr>
          <w:snapToGrid w:val="0"/>
        </w:rPr>
      </w:pPr>
      <w:r>
        <w:rPr>
          <w:snapToGrid w:val="0"/>
        </w:rPr>
        <w:tab/>
      </w:r>
      <w:r>
        <w:rPr>
          <w:snapToGrid w:val="0"/>
        </w:rPr>
        <w:tab/>
        <w:t>The owner or person in charge of a vessel must obey any reasonable direction given to him or her by an authorised officer in relation to the anchoring, mooring or movement of the vessel on CALM land.</w:t>
      </w:r>
    </w:p>
    <w:p>
      <w:pPr>
        <w:pStyle w:val="Penstart"/>
        <w:rPr>
          <w:snapToGrid w:val="0"/>
        </w:rPr>
      </w:pPr>
      <w:r>
        <w:rPr>
          <w:snapToGrid w:val="0"/>
        </w:rPr>
        <w:tab/>
        <w:t xml:space="preserve">Penalty: </w:t>
      </w:r>
      <w:r>
        <w:t>a fine of</w:t>
      </w:r>
      <w:r>
        <w:rPr>
          <w:snapToGrid w:val="0"/>
        </w:rPr>
        <w:t xml:space="preserve"> $1 000.</w:t>
      </w:r>
    </w:p>
    <w:p>
      <w:pPr>
        <w:pStyle w:val="Footnotesection"/>
        <w:spacing w:before="100"/>
      </w:pPr>
      <w:r>
        <w:tab/>
        <w:t>[Regulation 63 amended in Gazette 3 Dec 2010 p. 6052</w:t>
      </w:r>
      <w:r>
        <w:noBreakHyphen/>
        <w:t>3; 24 Mar 2015 p. 1036.]</w:t>
      </w:r>
    </w:p>
    <w:p>
      <w:pPr>
        <w:pStyle w:val="Heading5"/>
        <w:rPr>
          <w:snapToGrid w:val="0"/>
        </w:rPr>
      </w:pPr>
      <w:bookmarkStart w:id="200" w:name="_Toc408498847"/>
      <w:bookmarkStart w:id="201" w:name="_Toc423343116"/>
      <w:r>
        <w:rPr>
          <w:rStyle w:val="CharSectno"/>
        </w:rPr>
        <w:t>64</w:t>
      </w:r>
      <w:r>
        <w:rPr>
          <w:snapToGrid w:val="0"/>
        </w:rPr>
        <w:t>.</w:t>
      </w:r>
      <w:r>
        <w:rPr>
          <w:snapToGrid w:val="0"/>
        </w:rPr>
        <w:tab/>
        <w:t>Launching, beaching and retrieving</w:t>
      </w:r>
      <w:bookmarkEnd w:id="200"/>
      <w:bookmarkEnd w:id="201"/>
      <w:r>
        <w:rPr>
          <w:snapToGrid w:val="0"/>
        </w:rPr>
        <w:t xml:space="preserve"> </w:t>
      </w:r>
    </w:p>
    <w:p>
      <w:pPr>
        <w:pStyle w:val="Subsection"/>
        <w:rPr>
          <w:snapToGrid w:val="0"/>
        </w:rPr>
      </w:pPr>
      <w:r>
        <w:rPr>
          <w:snapToGrid w:val="0"/>
        </w:rPr>
        <w:tab/>
        <w:t>(1)</w:t>
      </w:r>
      <w:r>
        <w:rPr>
          <w:snapToGrid w:val="0"/>
        </w:rPr>
        <w:tab/>
        <w:t>A person must not, without lawful authority, in a restricted area — </w:t>
      </w:r>
    </w:p>
    <w:p>
      <w:pPr>
        <w:pStyle w:val="Indenta"/>
        <w:spacing w:before="60"/>
        <w:rPr>
          <w:snapToGrid w:val="0"/>
        </w:rPr>
      </w:pPr>
      <w:r>
        <w:rPr>
          <w:snapToGrid w:val="0"/>
        </w:rPr>
        <w:tab/>
        <w:t>(a)</w:t>
      </w:r>
      <w:r>
        <w:rPr>
          <w:snapToGrid w:val="0"/>
        </w:rPr>
        <w:tab/>
        <w:t>launch or beach a vessel; or</w:t>
      </w:r>
    </w:p>
    <w:p>
      <w:pPr>
        <w:pStyle w:val="Indenta"/>
        <w:spacing w:before="60"/>
        <w:rPr>
          <w:snapToGrid w:val="0"/>
        </w:rPr>
      </w:pPr>
      <w:r>
        <w:rPr>
          <w:snapToGrid w:val="0"/>
        </w:rPr>
        <w:tab/>
        <w:t>(b)</w:t>
      </w:r>
      <w:r>
        <w:rPr>
          <w:snapToGrid w:val="0"/>
        </w:rPr>
        <w:tab/>
        <w:t>anchor a vessel by placing the anchor on a beach; or</w:t>
      </w:r>
    </w:p>
    <w:p>
      <w:pPr>
        <w:pStyle w:val="Indenta"/>
        <w:spacing w:before="60"/>
        <w:rPr>
          <w:snapToGrid w:val="0"/>
        </w:rPr>
      </w:pPr>
      <w:r>
        <w:rPr>
          <w:snapToGrid w:val="0"/>
        </w:rPr>
        <w:tab/>
        <w:t>(c)</w:t>
      </w:r>
      <w:r>
        <w:rPr>
          <w:snapToGrid w:val="0"/>
        </w:rPr>
        <w:tab/>
        <w:t>access, operate or retrieve a vessel,</w:t>
      </w:r>
    </w:p>
    <w:p>
      <w:pPr>
        <w:pStyle w:val="Subsection"/>
        <w:spacing w:before="120"/>
        <w:rPr>
          <w:snapToGrid w:val="0"/>
        </w:rPr>
      </w:pPr>
      <w:r>
        <w:rPr>
          <w:snapToGrid w:val="0"/>
        </w:rPr>
        <w:tab/>
      </w:r>
      <w:r>
        <w:rPr>
          <w:snapToGrid w:val="0"/>
        </w:rPr>
        <w:tab/>
        <w:t>if that activity is prohibited under regulation 5.</w:t>
      </w:r>
    </w:p>
    <w:p>
      <w:pPr>
        <w:pStyle w:val="Penstart"/>
        <w:rPr>
          <w:snapToGrid w:val="0"/>
        </w:rPr>
      </w:pPr>
      <w:r>
        <w:rPr>
          <w:snapToGrid w:val="0"/>
        </w:rPr>
        <w:tab/>
        <w:t xml:space="preserve">Penalty: </w:t>
      </w:r>
      <w:r>
        <w:t>a fine of</w:t>
      </w:r>
      <w:r>
        <w:rPr>
          <w:snapToGrid w:val="0"/>
        </w:rPr>
        <w:t xml:space="preserve"> $1 000.</w:t>
      </w:r>
    </w:p>
    <w:p>
      <w:pPr>
        <w:pStyle w:val="Subsection"/>
        <w:spacing w:before="140"/>
        <w:rPr>
          <w:snapToGrid w:val="0"/>
        </w:rPr>
      </w:pPr>
      <w:r>
        <w:rPr>
          <w:snapToGrid w:val="0"/>
        </w:rPr>
        <w:tab/>
        <w:t>(2)</w:t>
      </w:r>
      <w:r>
        <w:rPr>
          <w:snapToGrid w:val="0"/>
        </w:rPr>
        <w:tab/>
        <w:t>A person must not, without lawful authority, in a restricted area, contravene a restriction imposed under regulation 5 in respect of — </w:t>
      </w:r>
    </w:p>
    <w:p>
      <w:pPr>
        <w:pStyle w:val="Indenta"/>
        <w:spacing w:before="60"/>
        <w:rPr>
          <w:snapToGrid w:val="0"/>
        </w:rPr>
      </w:pPr>
      <w:r>
        <w:rPr>
          <w:snapToGrid w:val="0"/>
        </w:rPr>
        <w:tab/>
        <w:t>(a)</w:t>
      </w:r>
      <w:r>
        <w:rPr>
          <w:snapToGrid w:val="0"/>
        </w:rPr>
        <w:tab/>
        <w:t>launching or beaching a vessel; or</w:t>
      </w:r>
    </w:p>
    <w:p>
      <w:pPr>
        <w:pStyle w:val="Indenta"/>
        <w:spacing w:before="60"/>
        <w:rPr>
          <w:snapToGrid w:val="0"/>
        </w:rPr>
      </w:pPr>
      <w:r>
        <w:rPr>
          <w:snapToGrid w:val="0"/>
        </w:rPr>
        <w:tab/>
        <w:t>(b)</w:t>
      </w:r>
      <w:r>
        <w:rPr>
          <w:snapToGrid w:val="0"/>
        </w:rPr>
        <w:tab/>
        <w:t>anchoring a vessel by placing the anchor on a beach; or</w:t>
      </w:r>
    </w:p>
    <w:p>
      <w:pPr>
        <w:pStyle w:val="Indenta"/>
        <w:spacing w:before="60"/>
        <w:rPr>
          <w:snapToGrid w:val="0"/>
        </w:rPr>
      </w:pPr>
      <w:r>
        <w:rPr>
          <w:snapToGrid w:val="0"/>
        </w:rPr>
        <w:tab/>
        <w:t>(c)</w:t>
      </w:r>
      <w:r>
        <w:rPr>
          <w:snapToGrid w:val="0"/>
        </w:rPr>
        <w:tab/>
        <w:t>accessing, operating or retrieving a vessel.</w:t>
      </w:r>
    </w:p>
    <w:p>
      <w:pPr>
        <w:pStyle w:val="Penstart"/>
        <w:rPr>
          <w:snapToGrid w:val="0"/>
        </w:rPr>
      </w:pPr>
      <w:r>
        <w:tab/>
        <w:t>Penalty: a fine of $1 000.</w:t>
      </w:r>
    </w:p>
    <w:p>
      <w:pPr>
        <w:pStyle w:val="Subsection"/>
        <w:spacing w:before="140"/>
        <w:rPr>
          <w:snapToGrid w:val="0"/>
        </w:rPr>
      </w:pPr>
      <w:r>
        <w:rPr>
          <w:snapToGrid w:val="0"/>
        </w:rPr>
        <w:tab/>
        <w:t>(3)</w:t>
      </w:r>
      <w:r>
        <w:rPr>
          <w:snapToGrid w:val="0"/>
        </w:rPr>
        <w:tab/>
        <w:t>An authorised officer may direct a person in charge of a vessel in a restricted area to remove the vessel from the restricted area.</w:t>
      </w:r>
    </w:p>
    <w:p>
      <w:pPr>
        <w:pStyle w:val="Subsection"/>
        <w:spacing w:before="140"/>
        <w:rPr>
          <w:snapToGrid w:val="0"/>
        </w:rPr>
      </w:pPr>
      <w:r>
        <w:rPr>
          <w:snapToGrid w:val="0"/>
        </w:rPr>
        <w:tab/>
        <w:t>(4)</w:t>
      </w:r>
      <w:r>
        <w:rPr>
          <w:snapToGrid w:val="0"/>
        </w:rPr>
        <w:tab/>
        <w:t>A person must comply with a direction under subregulation (3).</w:t>
      </w:r>
    </w:p>
    <w:p>
      <w:pPr>
        <w:pStyle w:val="Penstart"/>
        <w:rPr>
          <w:snapToGrid w:val="0"/>
        </w:rPr>
      </w:pPr>
      <w:r>
        <w:rPr>
          <w:snapToGrid w:val="0"/>
        </w:rPr>
        <w:tab/>
        <w:t xml:space="preserve">Penalty: </w:t>
      </w:r>
      <w:r>
        <w:t>a fine of</w:t>
      </w:r>
      <w:r>
        <w:rPr>
          <w:snapToGrid w:val="0"/>
        </w:rPr>
        <w:t xml:space="preserve"> $1 000.</w:t>
      </w:r>
    </w:p>
    <w:p>
      <w:pPr>
        <w:pStyle w:val="Subsection"/>
        <w:keepNext/>
        <w:spacing w:before="140"/>
        <w:rPr>
          <w:snapToGrid w:val="0"/>
        </w:rPr>
      </w:pPr>
      <w:r>
        <w:rPr>
          <w:snapToGrid w:val="0"/>
        </w:rPr>
        <w:tab/>
        <w:t>(5)</w:t>
      </w:r>
      <w:r>
        <w:rPr>
          <w:snapToGrid w:val="0"/>
        </w:rPr>
        <w:tab/>
        <w:t xml:space="preserve">If — </w:t>
      </w:r>
    </w:p>
    <w:p>
      <w:pPr>
        <w:pStyle w:val="Indenta"/>
        <w:spacing w:before="60"/>
        <w:rPr>
          <w:snapToGrid w:val="0"/>
        </w:rPr>
      </w:pPr>
      <w:r>
        <w:rPr>
          <w:snapToGrid w:val="0"/>
        </w:rPr>
        <w:tab/>
        <w:t>(a)</w:t>
      </w:r>
      <w:r>
        <w:rPr>
          <w:snapToGrid w:val="0"/>
        </w:rPr>
        <w:tab/>
        <w:t>the person in charge of a vessel does not comply with a direction under subregulation (3) within a period that the authorised officer considers reasonable; or</w:t>
      </w:r>
    </w:p>
    <w:p>
      <w:pPr>
        <w:pStyle w:val="Indenta"/>
        <w:spacing w:before="60"/>
      </w:pPr>
      <w:r>
        <w:rPr>
          <w:snapToGrid w:val="0"/>
        </w:rPr>
        <w:tab/>
        <w:t>(b)</w:t>
      </w:r>
      <w:r>
        <w:rPr>
          <w:snapToGrid w:val="0"/>
        </w:rPr>
        <w:tab/>
      </w:r>
      <w:r>
        <w:t>the authorised officer is unable to find a person who has, or appears to the authorised officer to have, possession or control of the vessel,</w:t>
      </w:r>
    </w:p>
    <w:p>
      <w:pPr>
        <w:pStyle w:val="Subsection"/>
        <w:rPr>
          <w:snapToGrid w:val="0"/>
        </w:rPr>
      </w:pPr>
      <w:r>
        <w:rPr>
          <w:snapToGrid w:val="0"/>
        </w:rPr>
        <w:tab/>
      </w:r>
      <w:r>
        <w:rPr>
          <w:snapToGrid w:val="0"/>
        </w:rPr>
        <w:tab/>
        <w:t>the authorised officer may move the vessel or cause the vessel to be moved.</w:t>
      </w:r>
    </w:p>
    <w:p>
      <w:pPr>
        <w:pStyle w:val="Subsection"/>
        <w:rPr>
          <w:snapToGrid w:val="0"/>
        </w:rPr>
      </w:pPr>
      <w:r>
        <w:rPr>
          <w:snapToGrid w:val="0"/>
        </w:rPr>
        <w:tab/>
        <w:t>(6)</w:t>
      </w:r>
      <w:r>
        <w:rPr>
          <w:snapToGrid w:val="0"/>
        </w:rPr>
        <w:tab/>
        <w:t>Nothing in subregulation (5) affects the liability of a person under subregulations (1) and (4).</w:t>
      </w:r>
    </w:p>
    <w:p>
      <w:pPr>
        <w:pStyle w:val="Subsection"/>
        <w:rPr>
          <w:snapToGrid w:val="0"/>
        </w:rPr>
      </w:pPr>
      <w:r>
        <w:rPr>
          <w:snapToGrid w:val="0"/>
        </w:rPr>
        <w:tab/>
        <w:t>(7)</w:t>
      </w:r>
      <w:r>
        <w:rPr>
          <w:snapToGrid w:val="0"/>
        </w:rPr>
        <w:tab/>
        <w:t>In this regulation — </w:t>
      </w:r>
    </w:p>
    <w:p>
      <w:pPr>
        <w:pStyle w:val="Defstart"/>
      </w:pPr>
      <w:r>
        <w:tab/>
      </w:r>
      <w:r>
        <w:rPr>
          <w:rStyle w:val="CharDefText"/>
        </w:rPr>
        <w:t>beach</w:t>
      </w:r>
      <w:r>
        <w:rPr>
          <w:b/>
        </w:rPr>
        <w:t xml:space="preserve"> </w:t>
      </w:r>
      <w:r>
        <w:t>includes any part of the foreshore that is above the low water mark whether it is covered by water or not.</w:t>
      </w:r>
    </w:p>
    <w:p>
      <w:pPr>
        <w:pStyle w:val="Footnotesection"/>
        <w:spacing w:before="100"/>
        <w:ind w:left="890" w:hanging="890"/>
      </w:pPr>
      <w:r>
        <w:tab/>
        <w:t>[Regulation 64 amended in Gazette 29 Sep 2006 p. 4316; 3 Dec 2010 p. 6052</w:t>
      </w:r>
      <w:r>
        <w:noBreakHyphen/>
        <w:t>3.]</w:t>
      </w:r>
    </w:p>
    <w:p>
      <w:pPr>
        <w:pStyle w:val="Heading5"/>
      </w:pPr>
      <w:bookmarkStart w:id="202" w:name="_Toc408498848"/>
      <w:bookmarkStart w:id="203" w:name="_Toc423343117"/>
      <w:r>
        <w:rPr>
          <w:rStyle w:val="CharSectno"/>
        </w:rPr>
        <w:t>65A</w:t>
      </w:r>
      <w:r>
        <w:t>.</w:t>
      </w:r>
      <w:r>
        <w:tab/>
        <w:t>Unlawful use of vessel storage facility</w:t>
      </w:r>
      <w:bookmarkEnd w:id="202"/>
      <w:bookmarkEnd w:id="203"/>
    </w:p>
    <w:p>
      <w:pPr>
        <w:pStyle w:val="Subsection"/>
        <w:keepNext/>
      </w:pPr>
      <w:r>
        <w:tab/>
        <w:t>(1)</w:t>
      </w:r>
      <w:r>
        <w:tab/>
        <w:t xml:space="preserve">In subregulation (2) — </w:t>
      </w:r>
    </w:p>
    <w:p>
      <w:pPr>
        <w:pStyle w:val="Defstart"/>
      </w:pPr>
      <w:r>
        <w:tab/>
      </w:r>
      <w:r>
        <w:rPr>
          <w:rStyle w:val="CharDefText"/>
        </w:rPr>
        <w:t>vessel storage facility</w:t>
      </w:r>
      <w:r>
        <w:t xml:space="preserve"> means a rack or other structure erected and maintained by the CEO for the storage of vessels but does not include a mooring.</w:t>
      </w:r>
    </w:p>
    <w:p>
      <w:pPr>
        <w:pStyle w:val="Subsection"/>
      </w:pPr>
      <w:r>
        <w:tab/>
        <w:t>(2)</w:t>
      </w:r>
      <w:r>
        <w:tab/>
        <w:t>A person must not, without lawful authority, place a vessel in or on a vessel storage facility on CALM land.</w:t>
      </w:r>
    </w:p>
    <w:p>
      <w:pPr>
        <w:pStyle w:val="Penstart"/>
      </w:pPr>
      <w:r>
        <w:tab/>
        <w:t>Penalty: a fine of $2 000.</w:t>
      </w:r>
    </w:p>
    <w:p>
      <w:pPr>
        <w:pStyle w:val="Footnotesection"/>
        <w:spacing w:before="100"/>
        <w:rPr>
          <w:b/>
          <w:i w:val="0"/>
        </w:rPr>
      </w:pPr>
      <w:r>
        <w:tab/>
        <w:t>[Regulation 65A inserted in Gazette 3 Dec 2010 p. 6048.]</w:t>
      </w:r>
    </w:p>
    <w:p>
      <w:pPr>
        <w:pStyle w:val="Heading3"/>
        <w:spacing w:before="280"/>
      </w:pPr>
      <w:bookmarkStart w:id="204" w:name="_Toc408498849"/>
      <w:bookmarkStart w:id="205" w:name="_Toc414889271"/>
      <w:bookmarkStart w:id="206" w:name="_Toc414975217"/>
      <w:bookmarkStart w:id="207" w:name="_Toc417563699"/>
      <w:bookmarkStart w:id="208" w:name="_Toc423340520"/>
      <w:bookmarkStart w:id="209" w:name="_Toc423343118"/>
      <w:r>
        <w:rPr>
          <w:rStyle w:val="CharDivNo"/>
        </w:rPr>
        <w:t>Division 4</w:t>
      </w:r>
      <w:r>
        <w:rPr>
          <w:snapToGrid w:val="0"/>
        </w:rPr>
        <w:t xml:space="preserve"> — </w:t>
      </w:r>
      <w:r>
        <w:rPr>
          <w:rStyle w:val="CharDivText"/>
        </w:rPr>
        <w:t>Aircraft</w:t>
      </w:r>
      <w:bookmarkEnd w:id="204"/>
      <w:bookmarkEnd w:id="205"/>
      <w:bookmarkEnd w:id="206"/>
      <w:bookmarkEnd w:id="207"/>
      <w:bookmarkEnd w:id="208"/>
      <w:bookmarkEnd w:id="209"/>
    </w:p>
    <w:p>
      <w:pPr>
        <w:pStyle w:val="Heading5"/>
        <w:rPr>
          <w:snapToGrid w:val="0"/>
        </w:rPr>
      </w:pPr>
      <w:bookmarkStart w:id="210" w:name="_Toc408498850"/>
      <w:bookmarkStart w:id="211" w:name="_Toc423343119"/>
      <w:r>
        <w:rPr>
          <w:rStyle w:val="CharSectno"/>
        </w:rPr>
        <w:t>65</w:t>
      </w:r>
      <w:r>
        <w:rPr>
          <w:snapToGrid w:val="0"/>
        </w:rPr>
        <w:t>.</w:t>
      </w:r>
      <w:r>
        <w:rPr>
          <w:snapToGrid w:val="0"/>
        </w:rPr>
        <w:tab/>
        <w:t>Launching or landing of aircraft</w:t>
      </w:r>
      <w:bookmarkEnd w:id="210"/>
      <w:bookmarkEnd w:id="211"/>
      <w:r>
        <w:rPr>
          <w:snapToGrid w:val="0"/>
        </w:rPr>
        <w:t xml:space="preserve"> </w:t>
      </w:r>
    </w:p>
    <w:p>
      <w:pPr>
        <w:pStyle w:val="Subsection"/>
        <w:rPr>
          <w:snapToGrid w:val="0"/>
        </w:rPr>
      </w:pPr>
      <w:r>
        <w:rPr>
          <w:snapToGrid w:val="0"/>
        </w:rPr>
        <w:tab/>
        <w:t>(1)</w:t>
      </w:r>
      <w:r>
        <w:rPr>
          <w:snapToGrid w:val="0"/>
        </w:rPr>
        <w:tab/>
      </w:r>
      <w:r>
        <w:t>A</w:t>
      </w:r>
      <w:r>
        <w:rPr>
          <w:snapToGrid w:val="0"/>
        </w:rPr>
        <w:t xml:space="preserve"> person must not, without lawful authority, launch, land or make a touch down in an aircraft on CALM land.</w:t>
      </w:r>
    </w:p>
    <w:p>
      <w:pPr>
        <w:pStyle w:val="Penstart"/>
        <w:rPr>
          <w:snapToGrid w:val="0"/>
        </w:rPr>
      </w:pPr>
      <w:r>
        <w:rPr>
          <w:snapToGrid w:val="0"/>
        </w:rPr>
        <w:tab/>
        <w:t xml:space="preserve">Penalty: </w:t>
      </w:r>
      <w:r>
        <w:t>a fine of</w:t>
      </w:r>
      <w:r>
        <w:rPr>
          <w:snapToGrid w:val="0"/>
        </w:rPr>
        <w:t xml:space="preserve"> $1 000.</w:t>
      </w:r>
    </w:p>
    <w:p>
      <w:pPr>
        <w:pStyle w:val="Subsection"/>
        <w:keepNext/>
        <w:keepLines/>
        <w:rPr>
          <w:snapToGrid w:val="0"/>
        </w:rPr>
      </w:pPr>
      <w:r>
        <w:rPr>
          <w:snapToGrid w:val="0"/>
        </w:rPr>
        <w:tab/>
        <w:t>(2)</w:t>
      </w:r>
      <w:r>
        <w:rPr>
          <w:snapToGrid w:val="0"/>
        </w:rPr>
        <w:tab/>
        <w:t>Subregulation (1) does not apply to an aircraft that is required to launch, land or touch down contrary to that subregulation to avoid or mitigate danger to human life or significant damage to property.</w:t>
      </w:r>
    </w:p>
    <w:p>
      <w:pPr>
        <w:pStyle w:val="Footnotesection"/>
      </w:pPr>
      <w:r>
        <w:tab/>
        <w:t>[Regulation 65 amended in Gazette 4 Oct 2002 p. 5065; 3 Dec 2010 p. 6048 and 6052</w:t>
      </w:r>
      <w:r>
        <w:noBreakHyphen/>
        <w:t>3.]</w:t>
      </w:r>
    </w:p>
    <w:p>
      <w:pPr>
        <w:pStyle w:val="Heading2"/>
      </w:pPr>
      <w:bookmarkStart w:id="212" w:name="_Toc408498851"/>
      <w:bookmarkStart w:id="213" w:name="_Toc414889273"/>
      <w:bookmarkStart w:id="214" w:name="_Toc414975219"/>
      <w:bookmarkStart w:id="215" w:name="_Toc417563701"/>
      <w:bookmarkStart w:id="216" w:name="_Toc423340522"/>
      <w:bookmarkStart w:id="217" w:name="_Toc423343120"/>
      <w:r>
        <w:rPr>
          <w:rStyle w:val="CharPartNo"/>
        </w:rPr>
        <w:t>Part 4</w:t>
      </w:r>
      <w:r>
        <w:rPr>
          <w:rStyle w:val="CharDivNo"/>
        </w:rPr>
        <w:t xml:space="preserve"> </w:t>
      </w:r>
      <w:r>
        <w:t>—</w:t>
      </w:r>
      <w:r>
        <w:rPr>
          <w:rStyle w:val="CharDivText"/>
        </w:rPr>
        <w:t xml:space="preserve"> </w:t>
      </w:r>
      <w:r>
        <w:rPr>
          <w:rStyle w:val="CharPartText"/>
        </w:rPr>
        <w:t>Camping</w:t>
      </w:r>
      <w:bookmarkEnd w:id="212"/>
      <w:bookmarkEnd w:id="213"/>
      <w:bookmarkEnd w:id="214"/>
      <w:bookmarkEnd w:id="215"/>
      <w:bookmarkEnd w:id="216"/>
      <w:bookmarkEnd w:id="217"/>
      <w:r>
        <w:rPr>
          <w:rStyle w:val="CharPartText"/>
        </w:rPr>
        <w:t xml:space="preserve"> </w:t>
      </w:r>
    </w:p>
    <w:p>
      <w:pPr>
        <w:pStyle w:val="Heading5"/>
        <w:spacing w:before="240"/>
        <w:rPr>
          <w:snapToGrid w:val="0"/>
        </w:rPr>
      </w:pPr>
      <w:bookmarkStart w:id="218" w:name="_Toc408498852"/>
      <w:bookmarkStart w:id="219" w:name="_Toc423343121"/>
      <w:r>
        <w:rPr>
          <w:rStyle w:val="CharSectno"/>
        </w:rPr>
        <w:t>66</w:t>
      </w:r>
      <w:r>
        <w:rPr>
          <w:snapToGrid w:val="0"/>
        </w:rPr>
        <w:t>.</w:t>
      </w:r>
      <w:r>
        <w:rPr>
          <w:snapToGrid w:val="0"/>
        </w:rPr>
        <w:tab/>
        <w:t>Camping controlled</w:t>
      </w:r>
      <w:bookmarkEnd w:id="218"/>
      <w:bookmarkEnd w:id="219"/>
      <w:r>
        <w:rPr>
          <w:snapToGrid w:val="0"/>
        </w:rPr>
        <w:t xml:space="preserve"> </w:t>
      </w:r>
    </w:p>
    <w:p>
      <w:pPr>
        <w:pStyle w:val="Subsection"/>
        <w:spacing w:before="180"/>
        <w:rPr>
          <w:snapToGrid w:val="0"/>
        </w:rPr>
      </w:pPr>
      <w:r>
        <w:rPr>
          <w:snapToGrid w:val="0"/>
        </w:rPr>
        <w:tab/>
        <w:t>(1)</w:t>
      </w:r>
      <w:r>
        <w:rPr>
          <w:snapToGrid w:val="0"/>
        </w:rPr>
        <w:tab/>
        <w:t>A person must not, without lawful authority, camp on CALM land except in a camping area or on a vessel that is moored or anchored in accordance with these regulations.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A person camping in a camping area must comply with conditions specified on signs erected in or in the vicinity of that area for the purposes of regulation 6(3) or signs designating that area as a camping area.</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66 amended in Gazette 3 Dec 2010 p. 6052</w:t>
      </w:r>
      <w:r>
        <w:noBreakHyphen/>
        <w:t>3; 19 Sep 2014 p. 3336.]</w:t>
      </w:r>
    </w:p>
    <w:p>
      <w:pPr>
        <w:pStyle w:val="Heading5"/>
        <w:spacing w:before="240"/>
        <w:rPr>
          <w:snapToGrid w:val="0"/>
        </w:rPr>
      </w:pPr>
      <w:bookmarkStart w:id="220" w:name="_Toc408498853"/>
      <w:bookmarkStart w:id="221" w:name="_Toc423343122"/>
      <w:r>
        <w:rPr>
          <w:rStyle w:val="CharSectno"/>
        </w:rPr>
        <w:t>67</w:t>
      </w:r>
      <w:r>
        <w:rPr>
          <w:snapToGrid w:val="0"/>
        </w:rPr>
        <w:t>.</w:t>
      </w:r>
      <w:r>
        <w:rPr>
          <w:snapToGrid w:val="0"/>
        </w:rPr>
        <w:tab/>
        <w:t>Direction to vacate camp</w:t>
      </w:r>
      <w:bookmarkEnd w:id="220"/>
      <w:bookmarkEnd w:id="221"/>
      <w:r>
        <w:rPr>
          <w:snapToGrid w:val="0"/>
        </w:rPr>
        <w:t xml:space="preserve"> </w:t>
      </w:r>
    </w:p>
    <w:p>
      <w:pPr>
        <w:pStyle w:val="Subsection"/>
        <w:spacing w:before="180"/>
        <w:rPr>
          <w:snapToGrid w:val="0"/>
        </w:rPr>
      </w:pPr>
      <w:r>
        <w:rPr>
          <w:snapToGrid w:val="0"/>
        </w:rPr>
        <w:tab/>
        <w:t>(1)</w:t>
      </w:r>
      <w:r>
        <w:rPr>
          <w:snapToGrid w:val="0"/>
        </w:rPr>
        <w:tab/>
        <w:t>An authorised officer may direct a person who — </w:t>
      </w:r>
    </w:p>
    <w:p>
      <w:pPr>
        <w:pStyle w:val="Indenta"/>
        <w:rPr>
          <w:snapToGrid w:val="0"/>
        </w:rPr>
      </w:pPr>
      <w:r>
        <w:rPr>
          <w:snapToGrid w:val="0"/>
        </w:rPr>
        <w:tab/>
        <w:t>(a)</w:t>
      </w:r>
      <w:r>
        <w:rPr>
          <w:snapToGrid w:val="0"/>
        </w:rPr>
        <w:tab/>
        <w:t>without lawful authority is camped on a site that is not in a camping area; or</w:t>
      </w:r>
    </w:p>
    <w:p>
      <w:pPr>
        <w:pStyle w:val="Indenta"/>
      </w:pPr>
      <w:r>
        <w:rPr>
          <w:snapToGrid w:val="0"/>
        </w:rPr>
        <w:tab/>
        <w:t>(b)</w:t>
      </w:r>
      <w:r>
        <w:rPr>
          <w:snapToGrid w:val="0"/>
        </w:rPr>
        <w:tab/>
        <w:t>has occupied a site in a camping area for more than 28 consecutive days</w:t>
      </w:r>
      <w:r>
        <w:t>; or</w:t>
      </w:r>
    </w:p>
    <w:p>
      <w:pPr>
        <w:pStyle w:val="Indenta"/>
      </w:pPr>
      <w:r>
        <w:tab/>
        <w:t>(c)</w:t>
      </w:r>
      <w:r>
        <w:tab/>
        <w:t>is occupying a site in a camping area during the school holidays and has occupied that site for more than 14 consecutive days (whether or not all of those days occur during the school holidays); or</w:t>
      </w:r>
    </w:p>
    <w:p>
      <w:pPr>
        <w:pStyle w:val="Indenta"/>
      </w:pPr>
      <w:r>
        <w:tab/>
        <w:t>(d)</w:t>
      </w:r>
      <w:r>
        <w:tab/>
        <w:t>is occupying a site in a camping area and, in the opinion of the authorised officer, has contravened a provision of the Act or these regulations; or</w:t>
      </w:r>
    </w:p>
    <w:p>
      <w:pPr>
        <w:pStyle w:val="Indenta"/>
        <w:rPr>
          <w:snapToGrid w:val="0"/>
        </w:rPr>
      </w:pPr>
      <w:r>
        <w:tab/>
        <w:t>(e)</w:t>
      </w:r>
      <w:r>
        <w:tab/>
        <w:t>is occupying a site in a camping area and, in the opinion of the authorised officer, is causing or has caused damage to the camping area,</w:t>
      </w:r>
    </w:p>
    <w:p>
      <w:pPr>
        <w:pStyle w:val="Subsection"/>
        <w:spacing w:before="180"/>
        <w:rPr>
          <w:snapToGrid w:val="0"/>
        </w:rPr>
      </w:pPr>
      <w:r>
        <w:rPr>
          <w:snapToGrid w:val="0"/>
        </w:rPr>
        <w:tab/>
      </w:r>
      <w:r>
        <w:rPr>
          <w:snapToGrid w:val="0"/>
        </w:rPr>
        <w:tab/>
        <w:t>to vacate that site.</w:t>
      </w:r>
    </w:p>
    <w:p>
      <w:pPr>
        <w:pStyle w:val="Subsection"/>
      </w:pPr>
      <w:r>
        <w:tab/>
        <w:t>(2A)</w:t>
      </w:r>
      <w:r>
        <w:tab/>
        <w:t xml:space="preserve">An authorised officer may direct a person directed to vacate a site under subregulation (1) not to camp within the park or reserve in which the site is situated during a period — </w:t>
      </w:r>
    </w:p>
    <w:p>
      <w:pPr>
        <w:pStyle w:val="Indenta"/>
      </w:pPr>
      <w:r>
        <w:tab/>
        <w:t>(a)</w:t>
      </w:r>
      <w:r>
        <w:tab/>
        <w:t>beginning on the day on which the direction is given; and</w:t>
      </w:r>
    </w:p>
    <w:p>
      <w:pPr>
        <w:pStyle w:val="Indenta"/>
      </w:pPr>
      <w:r>
        <w:tab/>
        <w:t>(b)</w:t>
      </w:r>
      <w:r>
        <w:tab/>
        <w:t>not exceeding 14 days.</w:t>
      </w:r>
    </w:p>
    <w:p>
      <w:pPr>
        <w:pStyle w:val="Subsection"/>
        <w:keepNext/>
        <w:keepLines/>
        <w:spacing w:before="180"/>
        <w:rPr>
          <w:snapToGrid w:val="0"/>
        </w:rPr>
      </w:pPr>
      <w:r>
        <w:rPr>
          <w:snapToGrid w:val="0"/>
        </w:rPr>
        <w:tab/>
        <w:t>(2)</w:t>
      </w:r>
      <w:r>
        <w:rPr>
          <w:snapToGrid w:val="0"/>
        </w:rPr>
        <w:tab/>
        <w:t>A person must comply with a direction under subregulation (1) or (2A).</w:t>
      </w:r>
    </w:p>
    <w:p>
      <w:pPr>
        <w:pStyle w:val="Penstart"/>
        <w:keepNext/>
        <w:keepLines/>
        <w:rPr>
          <w:snapToGrid w:val="0"/>
        </w:rPr>
      </w:pPr>
      <w:r>
        <w:rPr>
          <w:snapToGrid w:val="0"/>
        </w:rPr>
        <w:tab/>
        <w:t xml:space="preserve">Penalty: </w:t>
      </w:r>
      <w:r>
        <w:t>a fine of</w:t>
      </w:r>
      <w:r>
        <w:rPr>
          <w:snapToGrid w:val="0"/>
        </w:rPr>
        <w:t xml:space="preserve"> $1 000.</w:t>
      </w:r>
    </w:p>
    <w:p>
      <w:pPr>
        <w:pStyle w:val="Footnotesection"/>
        <w:keepLines w:val="0"/>
        <w:ind w:left="890" w:hanging="890"/>
      </w:pPr>
      <w:r>
        <w:tab/>
        <w:t>[Regulation 67 amended in Gazette 29 Sep 2006 p. 4316</w:t>
      </w:r>
      <w:r>
        <w:noBreakHyphen/>
        <w:t>17; 3 Dec 2010 p. 6052</w:t>
      </w:r>
      <w:r>
        <w:noBreakHyphen/>
        <w:t>3; 19 Sep 2014 p. 3331.]</w:t>
      </w:r>
    </w:p>
    <w:p>
      <w:pPr>
        <w:pStyle w:val="Heading5"/>
        <w:rPr>
          <w:snapToGrid w:val="0"/>
        </w:rPr>
      </w:pPr>
      <w:bookmarkStart w:id="222" w:name="_Toc408498854"/>
      <w:bookmarkStart w:id="223" w:name="_Toc423343123"/>
      <w:r>
        <w:rPr>
          <w:rStyle w:val="CharSectno"/>
        </w:rPr>
        <w:t>68</w:t>
      </w:r>
      <w:r>
        <w:rPr>
          <w:snapToGrid w:val="0"/>
        </w:rPr>
        <w:t>.</w:t>
      </w:r>
      <w:r>
        <w:rPr>
          <w:snapToGrid w:val="0"/>
        </w:rPr>
        <w:tab/>
        <w:t>Unauthorised persons not to enter camping unit</w:t>
      </w:r>
      <w:bookmarkEnd w:id="222"/>
      <w:bookmarkEnd w:id="223"/>
      <w:r>
        <w:rPr>
          <w:snapToGrid w:val="0"/>
        </w:rPr>
        <w:t xml:space="preserve"> </w:t>
      </w:r>
    </w:p>
    <w:p>
      <w:pPr>
        <w:pStyle w:val="Subsection"/>
        <w:rPr>
          <w:snapToGrid w:val="0"/>
        </w:rPr>
      </w:pPr>
      <w:r>
        <w:rPr>
          <w:snapToGrid w:val="0"/>
        </w:rPr>
        <w:tab/>
      </w:r>
      <w:r>
        <w:rPr>
          <w:snapToGrid w:val="0"/>
        </w:rPr>
        <w:tab/>
        <w:t>A person, other than a ranger</w:t>
      </w:r>
      <w:r>
        <w:t xml:space="preserve"> or wildlife officer</w:t>
      </w:r>
      <w:r>
        <w:rPr>
          <w:snapToGrid w:val="0"/>
        </w:rPr>
        <w:t>, must not enter or remain on a camping unit without the consent of the person occupying that camping unit.</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68 amended in Gazette 29 Sep 2006 p. 4317; 3 Dec 2010 p. 6052</w:t>
      </w:r>
      <w:r>
        <w:noBreakHyphen/>
        <w:t>3.]</w:t>
      </w:r>
    </w:p>
    <w:p>
      <w:pPr>
        <w:pStyle w:val="Heading5"/>
        <w:rPr>
          <w:snapToGrid w:val="0"/>
        </w:rPr>
      </w:pPr>
      <w:bookmarkStart w:id="224" w:name="_Toc408498855"/>
      <w:bookmarkStart w:id="225" w:name="_Toc423343124"/>
      <w:r>
        <w:rPr>
          <w:rStyle w:val="CharSectno"/>
        </w:rPr>
        <w:t>69</w:t>
      </w:r>
      <w:r>
        <w:rPr>
          <w:snapToGrid w:val="0"/>
        </w:rPr>
        <w:t>.</w:t>
      </w:r>
      <w:r>
        <w:rPr>
          <w:snapToGrid w:val="0"/>
        </w:rPr>
        <w:tab/>
        <w:t>Construction and positioning of camping units</w:t>
      </w:r>
      <w:bookmarkEnd w:id="224"/>
      <w:bookmarkEnd w:id="225"/>
      <w:r>
        <w:rPr>
          <w:snapToGrid w:val="0"/>
        </w:rPr>
        <w:t xml:space="preserve"> </w:t>
      </w:r>
    </w:p>
    <w:p>
      <w:pPr>
        <w:pStyle w:val="Subsection"/>
        <w:rPr>
          <w:snapToGrid w:val="0"/>
        </w:rPr>
      </w:pPr>
      <w:r>
        <w:rPr>
          <w:snapToGrid w:val="0"/>
        </w:rPr>
        <w:tab/>
        <w:t>(1)</w:t>
      </w:r>
      <w:r>
        <w:rPr>
          <w:snapToGrid w:val="0"/>
        </w:rPr>
        <w:tab/>
        <w:t>A person must not construct a camping unit — </w:t>
      </w:r>
    </w:p>
    <w:p>
      <w:pPr>
        <w:pStyle w:val="Indenta"/>
        <w:rPr>
          <w:snapToGrid w:val="0"/>
        </w:rPr>
      </w:pPr>
      <w:r>
        <w:rPr>
          <w:snapToGrid w:val="0"/>
        </w:rPr>
        <w:tab/>
        <w:t>(a)</w:t>
      </w:r>
      <w:r>
        <w:rPr>
          <w:snapToGrid w:val="0"/>
        </w:rPr>
        <w:tab/>
        <w:t>in a manner likely to be offensive or dangerous to other persons; or</w:t>
      </w:r>
    </w:p>
    <w:p>
      <w:pPr>
        <w:pStyle w:val="Indenta"/>
        <w:rPr>
          <w:snapToGrid w:val="0"/>
        </w:rPr>
      </w:pPr>
      <w:r>
        <w:rPr>
          <w:snapToGrid w:val="0"/>
        </w:rPr>
        <w:tab/>
        <w:t>(b)</w:t>
      </w:r>
      <w:r>
        <w:rPr>
          <w:snapToGrid w:val="0"/>
        </w:rPr>
        <w:tab/>
        <w:t>of a permanent or semi</w:t>
      </w:r>
      <w:r>
        <w:rPr>
          <w:snapToGrid w:val="0"/>
        </w:rPr>
        <w:noBreakHyphen/>
        <w:t>permanent nature.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must not position a camping unit so as to — </w:t>
      </w:r>
    </w:p>
    <w:p>
      <w:pPr>
        <w:pStyle w:val="Indenta"/>
        <w:rPr>
          <w:snapToGrid w:val="0"/>
        </w:rPr>
      </w:pPr>
      <w:r>
        <w:rPr>
          <w:snapToGrid w:val="0"/>
        </w:rPr>
        <w:tab/>
        <w:t>(a)</w:t>
      </w:r>
      <w:r>
        <w:rPr>
          <w:snapToGrid w:val="0"/>
        </w:rPr>
        <w:tab/>
        <w:t>cause inconvenience, discomfort or danger to other vehicles or to users of CALM land; or</w:t>
      </w:r>
    </w:p>
    <w:p>
      <w:pPr>
        <w:pStyle w:val="Indenta"/>
        <w:rPr>
          <w:snapToGrid w:val="0"/>
        </w:rPr>
      </w:pPr>
      <w:r>
        <w:rPr>
          <w:snapToGrid w:val="0"/>
        </w:rPr>
        <w:tab/>
        <w:t>(b)</w:t>
      </w:r>
      <w:r>
        <w:rPr>
          <w:snapToGrid w:val="0"/>
        </w:rPr>
        <w:tab/>
        <w:t>damage flora or interfere with the movement of fauna.</w:t>
      </w:r>
    </w:p>
    <w:p>
      <w:pPr>
        <w:pStyle w:val="Penstart"/>
        <w:rPr>
          <w:snapToGrid w:val="0"/>
        </w:rPr>
      </w:pPr>
      <w:r>
        <w:rPr>
          <w:snapToGrid w:val="0"/>
        </w:rPr>
        <w:tab/>
        <w:t>Penalty:</w:t>
      </w:r>
      <w:r>
        <w:t xml:space="preserve"> a fine of</w:t>
      </w:r>
      <w:r>
        <w:rPr>
          <w:snapToGrid w:val="0"/>
        </w:rPr>
        <w:t xml:space="preserve"> $500.</w:t>
      </w:r>
    </w:p>
    <w:p>
      <w:pPr>
        <w:pStyle w:val="Subsection"/>
        <w:rPr>
          <w:snapToGrid w:val="0"/>
        </w:rPr>
      </w:pPr>
      <w:r>
        <w:rPr>
          <w:snapToGrid w:val="0"/>
        </w:rPr>
        <w:tab/>
        <w:t>(3)</w:t>
      </w:r>
      <w:r>
        <w:rPr>
          <w:snapToGrid w:val="0"/>
        </w:rPr>
        <w:tab/>
        <w:t>A person must maintain the site on which that person camps in a clean and sanitary condition at all times.</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(4)</w:t>
      </w:r>
      <w:r>
        <w:rPr>
          <w:snapToGrid w:val="0"/>
        </w:rPr>
        <w:tab/>
        <w:t>An authorised officer may allot or define the site to be used by a person in a camping area and the person must confine the camp to that site.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An authorised officer may direct a person to vacate a site and move to another site in a camping area.</w:t>
      </w:r>
    </w:p>
    <w:p>
      <w:pPr>
        <w:pStyle w:val="Subsection"/>
        <w:rPr>
          <w:snapToGrid w:val="0"/>
        </w:rPr>
      </w:pPr>
      <w:r>
        <w:rPr>
          <w:snapToGrid w:val="0"/>
        </w:rPr>
        <w:tab/>
        <w:t>(6)</w:t>
      </w:r>
      <w:r>
        <w:rPr>
          <w:snapToGrid w:val="0"/>
        </w:rPr>
        <w:tab/>
        <w:t>A person must comply with a direction of an authorised officer under subregulation (5).</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69 amended in Gazette 29 Sep 2006 p. 4317; 3 Dec 2010 p. 6052</w:t>
      </w:r>
      <w:r>
        <w:noBreakHyphen/>
        <w:t>3.]</w:t>
      </w:r>
    </w:p>
    <w:p>
      <w:pPr>
        <w:pStyle w:val="Heading5"/>
        <w:rPr>
          <w:snapToGrid w:val="0"/>
        </w:rPr>
      </w:pPr>
      <w:bookmarkStart w:id="226" w:name="_Toc408498856"/>
      <w:bookmarkStart w:id="227" w:name="_Toc423343125"/>
      <w:r>
        <w:rPr>
          <w:rStyle w:val="CharSectno"/>
        </w:rPr>
        <w:t>70</w:t>
      </w:r>
      <w:r>
        <w:rPr>
          <w:snapToGrid w:val="0"/>
        </w:rPr>
        <w:t>.</w:t>
      </w:r>
      <w:r>
        <w:rPr>
          <w:snapToGrid w:val="0"/>
        </w:rPr>
        <w:tab/>
        <w:t>Power generating devices</w:t>
      </w:r>
      <w:bookmarkEnd w:id="226"/>
      <w:bookmarkEnd w:id="227"/>
      <w:r>
        <w:rPr>
          <w:snapToGrid w:val="0"/>
        </w:rPr>
        <w:t xml:space="preserve"> </w:t>
      </w:r>
    </w:p>
    <w:p>
      <w:pPr>
        <w:pStyle w:val="Subsection"/>
        <w:rPr>
          <w:snapToGrid w:val="0"/>
        </w:rPr>
      </w:pPr>
      <w:r>
        <w:rPr>
          <w:snapToGrid w:val="0"/>
        </w:rPr>
        <w:tab/>
        <w:t>(1)</w:t>
      </w:r>
      <w:r>
        <w:rPr>
          <w:snapToGrid w:val="0"/>
        </w:rPr>
        <w:tab/>
        <w:t>An authorised officer may direct a person — </w:t>
      </w:r>
    </w:p>
    <w:p>
      <w:pPr>
        <w:pStyle w:val="Indenta"/>
        <w:rPr>
          <w:snapToGrid w:val="0"/>
        </w:rPr>
      </w:pPr>
      <w:r>
        <w:rPr>
          <w:snapToGrid w:val="0"/>
        </w:rPr>
        <w:tab/>
        <w:t>(a)</w:t>
      </w:r>
      <w:r>
        <w:rPr>
          <w:snapToGrid w:val="0"/>
        </w:rPr>
        <w:tab/>
        <w:t>not to use a power generating device other than in an area directed by the authorised officer; or</w:t>
      </w:r>
    </w:p>
    <w:p>
      <w:pPr>
        <w:pStyle w:val="Indenta"/>
        <w:rPr>
          <w:snapToGrid w:val="0"/>
        </w:rPr>
      </w:pPr>
      <w:r>
        <w:rPr>
          <w:snapToGrid w:val="0"/>
        </w:rPr>
        <w:tab/>
        <w:t>(b)</w:t>
      </w:r>
      <w:r>
        <w:rPr>
          <w:snapToGrid w:val="0"/>
        </w:rPr>
        <w:tab/>
        <w:t>to stop using a power generating device in a camping area; or</w:t>
      </w:r>
    </w:p>
    <w:p>
      <w:pPr>
        <w:pStyle w:val="Indenta"/>
        <w:rPr>
          <w:snapToGrid w:val="0"/>
        </w:rPr>
      </w:pPr>
      <w:r>
        <w:rPr>
          <w:snapToGrid w:val="0"/>
        </w:rPr>
        <w:tab/>
        <w:t>(c)</w:t>
      </w:r>
      <w:r>
        <w:rPr>
          <w:snapToGrid w:val="0"/>
        </w:rPr>
        <w:tab/>
        <w:t>to use a power generating device in accordance with the directions of the authorised officer.</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70 amended in Gazette 3 Dec 2010 p. 6052</w:t>
      </w:r>
      <w:r>
        <w:noBreakHyphen/>
        <w:t>3.]</w:t>
      </w:r>
    </w:p>
    <w:p>
      <w:pPr>
        <w:pStyle w:val="Heading5"/>
        <w:rPr>
          <w:snapToGrid w:val="0"/>
        </w:rPr>
      </w:pPr>
      <w:bookmarkStart w:id="228" w:name="_Toc408498857"/>
      <w:bookmarkStart w:id="229" w:name="_Toc423343126"/>
      <w:r>
        <w:rPr>
          <w:rStyle w:val="CharSectno"/>
        </w:rPr>
        <w:t>71</w:t>
      </w:r>
      <w:r>
        <w:rPr>
          <w:snapToGrid w:val="0"/>
        </w:rPr>
        <w:t>.</w:t>
      </w:r>
      <w:r>
        <w:rPr>
          <w:snapToGrid w:val="0"/>
        </w:rPr>
        <w:tab/>
        <w:t>Firewood</w:t>
      </w:r>
      <w:bookmarkEnd w:id="228"/>
      <w:bookmarkEnd w:id="229"/>
      <w:r>
        <w:rPr>
          <w:snapToGrid w:val="0"/>
        </w:rPr>
        <w:t xml:space="preserve"> </w:t>
      </w:r>
    </w:p>
    <w:p>
      <w:pPr>
        <w:pStyle w:val="Subsection"/>
        <w:keepNext/>
        <w:rPr>
          <w:snapToGrid w:val="0"/>
        </w:rPr>
      </w:pPr>
      <w:r>
        <w:rPr>
          <w:snapToGrid w:val="0"/>
        </w:rPr>
        <w:tab/>
        <w:t>(1)</w:t>
      </w:r>
      <w:r>
        <w:rPr>
          <w:snapToGrid w:val="0"/>
        </w:rPr>
        <w:tab/>
        <w:t>A person may collect firewood from the immediate vicinity of a camping area if — </w:t>
      </w:r>
    </w:p>
    <w:p>
      <w:pPr>
        <w:pStyle w:val="Indenta"/>
        <w:rPr>
          <w:snapToGrid w:val="0"/>
        </w:rPr>
      </w:pPr>
      <w:r>
        <w:rPr>
          <w:snapToGrid w:val="0"/>
        </w:rPr>
        <w:tab/>
        <w:t>(a)</w:t>
      </w:r>
      <w:r>
        <w:rPr>
          <w:snapToGrid w:val="0"/>
        </w:rPr>
        <w:tab/>
        <w:t>there is a sign erected authorising the collection of firewood; and</w:t>
      </w:r>
    </w:p>
    <w:p>
      <w:pPr>
        <w:pStyle w:val="Indenta"/>
        <w:rPr>
          <w:snapToGrid w:val="0"/>
        </w:rPr>
      </w:pPr>
      <w:r>
        <w:rPr>
          <w:snapToGrid w:val="0"/>
        </w:rPr>
        <w:tab/>
        <w:t>(b)</w:t>
      </w:r>
      <w:r>
        <w:rPr>
          <w:snapToGrid w:val="0"/>
        </w:rPr>
        <w:tab/>
        <w:t>the firewood is intended for use on a campfire or barbecue in the area.</w:t>
      </w:r>
    </w:p>
    <w:p>
      <w:pPr>
        <w:pStyle w:val="Subsection"/>
        <w:rPr>
          <w:snapToGrid w:val="0"/>
        </w:rPr>
      </w:pPr>
      <w:r>
        <w:rPr>
          <w:snapToGrid w:val="0"/>
        </w:rPr>
        <w:tab/>
        <w:t>(2)</w:t>
      </w:r>
      <w:r>
        <w:rPr>
          <w:snapToGrid w:val="0"/>
        </w:rPr>
        <w:tab/>
        <w:t>Nothing in subregulation (1) is to be taken as authorising any person to fell, cut, injure or destroy any tree, shrub or bush.</w:t>
      </w:r>
    </w:p>
    <w:p>
      <w:pPr>
        <w:pStyle w:val="Subsection"/>
        <w:keepNext/>
      </w:pPr>
      <w:r>
        <w:tab/>
        <w:t>(2a)</w:t>
      </w:r>
      <w:r>
        <w:tab/>
        <w:t xml:space="preserve">If — </w:t>
      </w:r>
    </w:p>
    <w:p>
      <w:pPr>
        <w:pStyle w:val="Indenta"/>
      </w:pPr>
      <w:r>
        <w:tab/>
        <w:t>(a)</w:t>
      </w:r>
      <w:r>
        <w:tab/>
        <w:t>a person collects firewood from the immediate vicinity of a camping area on CALM land; and</w:t>
      </w:r>
    </w:p>
    <w:p>
      <w:pPr>
        <w:pStyle w:val="Indenta"/>
      </w:pPr>
      <w:r>
        <w:tab/>
        <w:t>(b)</w:t>
      </w:r>
      <w:r>
        <w:tab/>
        <w:t>the firewood is intended for use on a campfire or barbecue in the area; and</w:t>
      </w:r>
    </w:p>
    <w:p>
      <w:pPr>
        <w:pStyle w:val="Indenta"/>
      </w:pPr>
      <w:r>
        <w:tab/>
        <w:t>(c)</w:t>
      </w:r>
      <w:r>
        <w:tab/>
        <w:t>there are no signs authorising the collection of firewood; and</w:t>
      </w:r>
    </w:p>
    <w:p>
      <w:pPr>
        <w:pStyle w:val="Indenta"/>
      </w:pPr>
      <w:r>
        <w:tab/>
        <w:t>(d)</w:t>
      </w:r>
      <w:r>
        <w:tab/>
        <w:t>the person is not otherwise authorised to collect the firewood,</w:t>
      </w:r>
    </w:p>
    <w:p>
      <w:pPr>
        <w:pStyle w:val="Subsection"/>
      </w:pPr>
      <w:r>
        <w:tab/>
      </w:r>
      <w:r>
        <w:tab/>
        <w:t>the person commits an offence.</w:t>
      </w:r>
    </w:p>
    <w:p>
      <w:pPr>
        <w:pStyle w:val="Penstart"/>
      </w:pPr>
      <w:r>
        <w:tab/>
        <w:t>Penalty: a fine of $1 000.</w:t>
      </w:r>
    </w:p>
    <w:p>
      <w:pPr>
        <w:pStyle w:val="Subsection"/>
        <w:rPr>
          <w:snapToGrid w:val="0"/>
        </w:rPr>
      </w:pPr>
      <w:r>
        <w:rPr>
          <w:snapToGrid w:val="0"/>
        </w:rPr>
        <w:tab/>
        <w:t>(3)</w:t>
      </w:r>
      <w:r>
        <w:rPr>
          <w:snapToGrid w:val="0"/>
        </w:rPr>
        <w:tab/>
        <w:t xml:space="preserve">Part 15 of the </w:t>
      </w:r>
      <w:smartTag w:uri="urn:schemas-microsoft-com:office:smarttags" w:element="place">
        <w:r>
          <w:rPr>
            <w:i/>
            <w:snapToGrid w:val="0"/>
          </w:rPr>
          <w:t>Forest</w:t>
        </w:r>
      </w:smartTag>
      <w:r>
        <w:rPr>
          <w:i/>
          <w:snapToGrid w:val="0"/>
        </w:rPr>
        <w:t xml:space="preserve"> Management Regulations 1993</w:t>
      </w:r>
      <w:r>
        <w:rPr>
          <w:snapToGrid w:val="0"/>
        </w:rPr>
        <w:t xml:space="preserve"> applies to the collection of firewood in public firewood areas.</w:t>
      </w:r>
    </w:p>
    <w:p>
      <w:pPr>
        <w:pStyle w:val="Subsection"/>
        <w:rPr>
          <w:snapToGrid w:val="0"/>
        </w:rPr>
      </w:pPr>
      <w:r>
        <w:rPr>
          <w:snapToGrid w:val="0"/>
        </w:rPr>
        <w:tab/>
        <w:t>(4)</w:t>
      </w:r>
      <w:r>
        <w:rPr>
          <w:snapToGrid w:val="0"/>
        </w:rPr>
        <w:tab/>
        <w:t>In this regulation — </w:t>
      </w:r>
    </w:p>
    <w:p>
      <w:pPr>
        <w:pStyle w:val="Defstart"/>
      </w:pPr>
      <w:r>
        <w:tab/>
      </w:r>
      <w:r>
        <w:rPr>
          <w:rStyle w:val="CharDefText"/>
        </w:rPr>
        <w:t>firewood</w:t>
      </w:r>
      <w:r>
        <w:rPr>
          <w:b/>
        </w:rPr>
        <w:t xml:space="preserve"> </w:t>
      </w:r>
      <w:r>
        <w:t>means dead wood lying on the ground.</w:t>
      </w:r>
    </w:p>
    <w:p>
      <w:pPr>
        <w:pStyle w:val="Footnotesection"/>
      </w:pPr>
      <w:r>
        <w:tab/>
        <w:t>[Regulation 71 amended in Gazette 29 Sep 2006 p. 4317</w:t>
      </w:r>
      <w:r>
        <w:noBreakHyphen/>
        <w:t>18; 3 Dec 2010 p. 6052</w:t>
      </w:r>
      <w:r>
        <w:noBreakHyphen/>
        <w:t>3; 19 Sep 2014 p. 3336.]</w:t>
      </w:r>
    </w:p>
    <w:p>
      <w:pPr>
        <w:pStyle w:val="Heading2"/>
      </w:pPr>
      <w:bookmarkStart w:id="230" w:name="_Toc408498858"/>
      <w:bookmarkStart w:id="231" w:name="_Toc414889280"/>
      <w:bookmarkStart w:id="232" w:name="_Toc414975226"/>
      <w:bookmarkStart w:id="233" w:name="_Toc417563708"/>
      <w:bookmarkStart w:id="234" w:name="_Toc423340529"/>
      <w:bookmarkStart w:id="235" w:name="_Toc423343127"/>
      <w:r>
        <w:rPr>
          <w:rStyle w:val="CharPartNo"/>
        </w:rPr>
        <w:t>Part 5</w:t>
      </w:r>
      <w:r>
        <w:rPr>
          <w:rStyle w:val="CharDivNo"/>
        </w:rPr>
        <w:t xml:space="preserve"> </w:t>
      </w:r>
      <w:r>
        <w:t>—</w:t>
      </w:r>
      <w:r>
        <w:rPr>
          <w:rStyle w:val="CharDivText"/>
        </w:rPr>
        <w:t xml:space="preserve"> </w:t>
      </w:r>
      <w:r>
        <w:rPr>
          <w:rStyle w:val="CharPartText"/>
        </w:rPr>
        <w:t>Offensive and dangerous behaviour</w:t>
      </w:r>
      <w:bookmarkEnd w:id="230"/>
      <w:bookmarkEnd w:id="231"/>
      <w:bookmarkEnd w:id="232"/>
      <w:bookmarkEnd w:id="233"/>
      <w:bookmarkEnd w:id="234"/>
      <w:bookmarkEnd w:id="235"/>
      <w:r>
        <w:rPr>
          <w:rStyle w:val="CharPartText"/>
        </w:rPr>
        <w:t xml:space="preserve"> </w:t>
      </w:r>
    </w:p>
    <w:p>
      <w:pPr>
        <w:pStyle w:val="Heading5"/>
        <w:spacing w:before="240"/>
        <w:rPr>
          <w:snapToGrid w:val="0"/>
        </w:rPr>
      </w:pPr>
      <w:bookmarkStart w:id="236" w:name="_Toc408498859"/>
      <w:bookmarkStart w:id="237" w:name="_Toc423343128"/>
      <w:r>
        <w:rPr>
          <w:rStyle w:val="CharSectno"/>
        </w:rPr>
        <w:t>72</w:t>
      </w:r>
      <w:r>
        <w:rPr>
          <w:snapToGrid w:val="0"/>
        </w:rPr>
        <w:t>.</w:t>
      </w:r>
      <w:r>
        <w:rPr>
          <w:snapToGrid w:val="0"/>
        </w:rPr>
        <w:tab/>
        <w:t>Authorised officer may direct person to stop activity</w:t>
      </w:r>
      <w:bookmarkEnd w:id="236"/>
      <w:bookmarkEnd w:id="237"/>
      <w:r>
        <w:rPr>
          <w:snapToGrid w:val="0"/>
        </w:rPr>
        <w:t xml:space="preserve"> </w:t>
      </w:r>
    </w:p>
    <w:p>
      <w:pPr>
        <w:pStyle w:val="Subsection"/>
        <w:rPr>
          <w:snapToGrid w:val="0"/>
        </w:rPr>
      </w:pPr>
      <w:r>
        <w:rPr>
          <w:snapToGrid w:val="0"/>
        </w:rPr>
        <w:tab/>
        <w:t>(1)</w:t>
      </w:r>
      <w:r>
        <w:rPr>
          <w:snapToGrid w:val="0"/>
        </w:rPr>
        <w:tab/>
        <w:t>An authorised officer may direct a person on CALM land to cease any behaviour which is — </w:t>
      </w:r>
    </w:p>
    <w:p>
      <w:pPr>
        <w:pStyle w:val="Indenta"/>
        <w:rPr>
          <w:snapToGrid w:val="0"/>
        </w:rPr>
      </w:pPr>
      <w:r>
        <w:rPr>
          <w:snapToGrid w:val="0"/>
        </w:rPr>
        <w:tab/>
        <w:t>(a)</w:t>
      </w:r>
      <w:r>
        <w:rPr>
          <w:snapToGrid w:val="0"/>
        </w:rPr>
        <w:tab/>
        <w:t>contrary to the lawful use of the land; or</w:t>
      </w:r>
    </w:p>
    <w:p>
      <w:pPr>
        <w:pStyle w:val="Indenta"/>
        <w:rPr>
          <w:snapToGrid w:val="0"/>
        </w:rPr>
      </w:pPr>
      <w:r>
        <w:rPr>
          <w:snapToGrid w:val="0"/>
        </w:rPr>
        <w:tab/>
        <w:t>(b)</w:t>
      </w:r>
      <w:r>
        <w:rPr>
          <w:snapToGrid w:val="0"/>
        </w:rPr>
        <w:tab/>
        <w:t>causing a disturbance or annoyance to other persons or, in the opinion of the authorised officer, disorderly or offensive; or</w:t>
      </w:r>
    </w:p>
    <w:p>
      <w:pPr>
        <w:pStyle w:val="Indenta"/>
        <w:rPr>
          <w:snapToGrid w:val="0"/>
        </w:rPr>
      </w:pPr>
      <w:r>
        <w:rPr>
          <w:snapToGrid w:val="0"/>
        </w:rPr>
        <w:tab/>
        <w:t>(c)</w:t>
      </w:r>
      <w:r>
        <w:rPr>
          <w:snapToGrid w:val="0"/>
        </w:rPr>
        <w:tab/>
        <w:t>in the opinion of the authorised officer, dangerous.</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72 amended in Gazette 3 Dec 2010 p. 6052</w:t>
      </w:r>
      <w:r>
        <w:noBreakHyphen/>
        <w:t>3; 19 Sep 2014 p. 3336.]</w:t>
      </w:r>
    </w:p>
    <w:p>
      <w:pPr>
        <w:pStyle w:val="Heading5"/>
        <w:spacing w:before="240"/>
        <w:rPr>
          <w:snapToGrid w:val="0"/>
        </w:rPr>
      </w:pPr>
      <w:bookmarkStart w:id="238" w:name="_Toc408498860"/>
      <w:bookmarkStart w:id="239" w:name="_Toc423343129"/>
      <w:r>
        <w:rPr>
          <w:rStyle w:val="CharSectno"/>
        </w:rPr>
        <w:t>73</w:t>
      </w:r>
      <w:r>
        <w:rPr>
          <w:snapToGrid w:val="0"/>
        </w:rPr>
        <w:t>.</w:t>
      </w:r>
      <w:r>
        <w:rPr>
          <w:snapToGrid w:val="0"/>
        </w:rPr>
        <w:tab/>
        <w:t>Conduct generally</w:t>
      </w:r>
      <w:bookmarkEnd w:id="238"/>
      <w:bookmarkEnd w:id="239"/>
      <w:r>
        <w:rPr>
          <w:snapToGrid w:val="0"/>
        </w:rPr>
        <w:t xml:space="preserve"> </w:t>
      </w:r>
    </w:p>
    <w:p>
      <w:pPr>
        <w:pStyle w:val="Subsection"/>
        <w:rPr>
          <w:snapToGrid w:val="0"/>
        </w:rPr>
      </w:pPr>
      <w:r>
        <w:rPr>
          <w:snapToGrid w:val="0"/>
        </w:rPr>
        <w:tab/>
        <w:t>(1)</w:t>
      </w:r>
      <w:r>
        <w:rPr>
          <w:snapToGrid w:val="0"/>
        </w:rPr>
        <w:tab/>
        <w:t>A person must not, on CALM land — </w:t>
      </w:r>
    </w:p>
    <w:p>
      <w:pPr>
        <w:pStyle w:val="Indenta"/>
        <w:rPr>
          <w:snapToGrid w:val="0"/>
        </w:rPr>
      </w:pPr>
      <w:r>
        <w:rPr>
          <w:snapToGrid w:val="0"/>
        </w:rPr>
        <w:tab/>
        <w:t>(a)</w:t>
      </w:r>
      <w:r>
        <w:rPr>
          <w:snapToGrid w:val="0"/>
        </w:rPr>
        <w:tab/>
        <w:t>create or commit any nuisance; or</w:t>
      </w:r>
    </w:p>
    <w:p>
      <w:pPr>
        <w:pStyle w:val="Indenta"/>
        <w:rPr>
          <w:snapToGrid w:val="0"/>
        </w:rPr>
      </w:pPr>
      <w:r>
        <w:rPr>
          <w:snapToGrid w:val="0"/>
        </w:rPr>
        <w:tab/>
        <w:t>(b)</w:t>
      </w:r>
      <w:r>
        <w:rPr>
          <w:snapToGrid w:val="0"/>
        </w:rPr>
        <w:tab/>
        <w:t>behave in a disorderly or offensive manner; or</w:t>
      </w:r>
    </w:p>
    <w:p>
      <w:pPr>
        <w:pStyle w:val="Indenta"/>
        <w:rPr>
          <w:snapToGrid w:val="0"/>
        </w:rPr>
      </w:pPr>
      <w:r>
        <w:rPr>
          <w:snapToGrid w:val="0"/>
        </w:rPr>
        <w:tab/>
        <w:t>(c)</w:t>
      </w:r>
      <w:r>
        <w:rPr>
          <w:snapToGrid w:val="0"/>
        </w:rPr>
        <w:tab/>
        <w:t>use abusive, offensive or insulting language; or</w:t>
      </w:r>
    </w:p>
    <w:p>
      <w:pPr>
        <w:pStyle w:val="Indenta"/>
        <w:rPr>
          <w:snapToGrid w:val="0"/>
        </w:rPr>
      </w:pPr>
      <w:r>
        <w:rPr>
          <w:snapToGrid w:val="0"/>
        </w:rPr>
        <w:tab/>
        <w:t>(d)</w:t>
      </w:r>
      <w:r>
        <w:rPr>
          <w:snapToGrid w:val="0"/>
        </w:rPr>
        <w:tab/>
        <w:t>otherwise act in such a way as to cause or be likely to cause a nuisance or annoyance to other persons on the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 xml:space="preserve">A person must, on CALM land, comply with any direction on a sign on that land regarding </w:t>
      </w:r>
      <w:r>
        <w:t xml:space="preserve">any </w:t>
      </w:r>
      <w:r>
        <w:rPr>
          <w:snapToGrid w:val="0"/>
        </w:rPr>
        <w:t>activity or behaviour that is prohibited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73 amended in Gazette 3 Dec 2010 p. 6052</w:t>
      </w:r>
      <w:r>
        <w:noBreakHyphen/>
        <w:t>3; 19 Sep 2014 p. 3331 and 3336.]</w:t>
      </w:r>
    </w:p>
    <w:p>
      <w:pPr>
        <w:pStyle w:val="Heading5"/>
        <w:spacing w:before="240"/>
        <w:rPr>
          <w:snapToGrid w:val="0"/>
        </w:rPr>
      </w:pPr>
      <w:bookmarkStart w:id="240" w:name="_Toc408498861"/>
      <w:bookmarkStart w:id="241" w:name="_Toc423343130"/>
      <w:r>
        <w:rPr>
          <w:rStyle w:val="CharSectno"/>
        </w:rPr>
        <w:t>74</w:t>
      </w:r>
      <w:r>
        <w:rPr>
          <w:snapToGrid w:val="0"/>
        </w:rPr>
        <w:t>.</w:t>
      </w:r>
      <w:r>
        <w:rPr>
          <w:snapToGrid w:val="0"/>
        </w:rPr>
        <w:tab/>
        <w:t>Offensive noise</w:t>
      </w:r>
      <w:bookmarkEnd w:id="240"/>
      <w:bookmarkEnd w:id="241"/>
      <w:r>
        <w:rPr>
          <w:snapToGrid w:val="0"/>
        </w:rPr>
        <w:t xml:space="preserve"> </w:t>
      </w:r>
    </w:p>
    <w:p>
      <w:pPr>
        <w:pStyle w:val="Subsection"/>
        <w:spacing w:before="180"/>
        <w:rPr>
          <w:snapToGrid w:val="0"/>
        </w:rPr>
      </w:pPr>
      <w:r>
        <w:rPr>
          <w:snapToGrid w:val="0"/>
        </w:rPr>
        <w:tab/>
      </w:r>
      <w:r>
        <w:rPr>
          <w:snapToGrid w:val="0"/>
        </w:rPr>
        <w:tab/>
        <w:t>A person must not, while on CALM land, by the use of any electronic, mechanical or other instrument or thing or by natural means cause or produce a noise that unreasonably interferes with the convenience, comfort or amenity of any other person.</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74 amended in Gazette 3 Dec 2010 p. 6052</w:t>
      </w:r>
      <w:r>
        <w:noBreakHyphen/>
        <w:t>4.]</w:t>
      </w:r>
    </w:p>
    <w:p>
      <w:pPr>
        <w:pStyle w:val="Heading5"/>
        <w:rPr>
          <w:snapToGrid w:val="0"/>
        </w:rPr>
      </w:pPr>
      <w:bookmarkStart w:id="242" w:name="_Toc408498862"/>
      <w:bookmarkStart w:id="243" w:name="_Toc423343131"/>
      <w:r>
        <w:rPr>
          <w:rStyle w:val="CharSectno"/>
        </w:rPr>
        <w:t>75</w:t>
      </w:r>
      <w:r>
        <w:rPr>
          <w:snapToGrid w:val="0"/>
        </w:rPr>
        <w:t>.</w:t>
      </w:r>
      <w:r>
        <w:rPr>
          <w:snapToGrid w:val="0"/>
        </w:rPr>
        <w:tab/>
        <w:t>Alcohol and drugs</w:t>
      </w:r>
      <w:bookmarkEnd w:id="242"/>
      <w:bookmarkEnd w:id="243"/>
      <w:r>
        <w:rPr>
          <w:snapToGrid w:val="0"/>
        </w:rPr>
        <w:t xml:space="preserve"> </w:t>
      </w:r>
    </w:p>
    <w:p>
      <w:pPr>
        <w:pStyle w:val="Subsection"/>
        <w:rPr>
          <w:snapToGrid w:val="0"/>
        </w:rPr>
      </w:pPr>
      <w:r>
        <w:rPr>
          <w:snapToGrid w:val="0"/>
        </w:rPr>
        <w:tab/>
        <w:t>(1)</w:t>
      </w:r>
      <w:r>
        <w:rPr>
          <w:snapToGrid w:val="0"/>
        </w:rPr>
        <w:tab/>
        <w:t>A person must not enter or remain on CALM land when seriously affected apparently by alcohol, drugs or other intoxicating substance, or any combination of those things.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rPr>
          <w:snapToGrid w:val="0"/>
        </w:rPr>
      </w:pPr>
      <w:r>
        <w:rPr>
          <w:snapToGrid w:val="0"/>
        </w:rPr>
        <w:tab/>
        <w:t>(2)</w:t>
      </w:r>
      <w:r>
        <w:rPr>
          <w:snapToGrid w:val="0"/>
        </w:rPr>
        <w:tab/>
        <w:t>A person must not without lawful authority take alcohol or any other intoxicating substance into a cave or part of a cave which is on or under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rPr>
          <w:snapToGrid w:val="0"/>
        </w:rPr>
      </w:pPr>
      <w:r>
        <w:rPr>
          <w:snapToGrid w:val="0"/>
        </w:rPr>
        <w:tab/>
        <w:t>(3)</w:t>
      </w:r>
      <w:r>
        <w:rPr>
          <w:snapToGrid w:val="0"/>
        </w:rPr>
        <w:tab/>
        <w:t>Where an authorised officer is of the opinion that the consumption of alcohol or other intoxicating substance may give rise to offensive or dangerous behaviour, the authorised officer may direct a person not to bring the alcohol or intoxicating substance on to CALM land.</w:t>
      </w:r>
    </w:p>
    <w:p>
      <w:pPr>
        <w:pStyle w:val="Subsection"/>
        <w:rPr>
          <w:snapToGrid w:val="0"/>
        </w:rPr>
      </w:pPr>
      <w:r>
        <w:rPr>
          <w:snapToGrid w:val="0"/>
        </w:rPr>
        <w:tab/>
        <w:t>(4)</w:t>
      </w:r>
      <w:r>
        <w:rPr>
          <w:snapToGrid w:val="0"/>
        </w:rPr>
        <w:tab/>
        <w:t>A person must comply with a direction of an authorised officer under subregulation (3).</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75 amended in Gazette 3 Dec 2010 p. 6052</w:t>
      </w:r>
      <w:r>
        <w:noBreakHyphen/>
        <w:t>4; 19 Sep 2014 p. 3336.]</w:t>
      </w:r>
    </w:p>
    <w:p>
      <w:pPr>
        <w:pStyle w:val="Heading5"/>
        <w:rPr>
          <w:snapToGrid w:val="0"/>
        </w:rPr>
      </w:pPr>
      <w:bookmarkStart w:id="244" w:name="_Toc408498863"/>
      <w:bookmarkStart w:id="245" w:name="_Toc423343132"/>
      <w:r>
        <w:rPr>
          <w:rStyle w:val="CharSectno"/>
        </w:rPr>
        <w:t>76</w:t>
      </w:r>
      <w:r>
        <w:rPr>
          <w:snapToGrid w:val="0"/>
        </w:rPr>
        <w:t>.</w:t>
      </w:r>
      <w:r>
        <w:rPr>
          <w:snapToGrid w:val="0"/>
        </w:rPr>
        <w:tab/>
        <w:t>Removal of CALM property</w:t>
      </w:r>
      <w:bookmarkEnd w:id="244"/>
      <w:bookmarkEnd w:id="245"/>
    </w:p>
    <w:p>
      <w:pPr>
        <w:pStyle w:val="Subsection"/>
        <w:rPr>
          <w:snapToGrid w:val="0"/>
        </w:rPr>
      </w:pPr>
      <w:r>
        <w:rPr>
          <w:snapToGrid w:val="0"/>
        </w:rPr>
        <w:tab/>
        <w:t>(1)</w:t>
      </w:r>
      <w:r>
        <w:rPr>
          <w:snapToGrid w:val="0"/>
        </w:rPr>
        <w:tab/>
        <w:t>A person must not, without lawful authority, remove any or any part of, a building, fence, facility, sign, notice, device, machinery or other object on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If an authorised officer finds a person on CALM land in possession of an object removed in contravention of subregulation (1), the authorised officer may direct the person to leave the object</w:t>
      </w:r>
      <w:r>
        <w:t xml:space="preserve"> at a place on the CALM land specified by the officer</w:t>
      </w:r>
      <w:r>
        <w:rPr>
          <w:snapToGrid w:val="0"/>
        </w:rPr>
        <w:t>.</w:t>
      </w:r>
    </w:p>
    <w:p>
      <w:pPr>
        <w:pStyle w:val="Subsection"/>
        <w:rPr>
          <w:snapToGrid w:val="0"/>
        </w:rPr>
      </w:pPr>
      <w:r>
        <w:rPr>
          <w:snapToGrid w:val="0"/>
        </w:rPr>
        <w:tab/>
        <w:t>(3)</w:t>
      </w:r>
      <w:r>
        <w:rPr>
          <w:snapToGrid w:val="0"/>
        </w:rPr>
        <w:tab/>
        <w:t>A person must comply with a direction of an authorised officer under subregulation (2).</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76 amended in Gazette 29 Sep 2006 p. 4318; 3 Dec 2010 p. 6052</w:t>
      </w:r>
      <w:r>
        <w:noBreakHyphen/>
        <w:t>4.]</w:t>
      </w:r>
    </w:p>
    <w:p>
      <w:pPr>
        <w:pStyle w:val="Heading2"/>
      </w:pPr>
      <w:bookmarkStart w:id="246" w:name="_Toc408498864"/>
      <w:bookmarkStart w:id="247" w:name="_Toc414889286"/>
      <w:bookmarkStart w:id="248" w:name="_Toc414975232"/>
      <w:bookmarkStart w:id="249" w:name="_Toc417563714"/>
      <w:bookmarkStart w:id="250" w:name="_Toc423340535"/>
      <w:bookmarkStart w:id="251" w:name="_Toc423343133"/>
      <w:r>
        <w:rPr>
          <w:rStyle w:val="CharPartNo"/>
        </w:rPr>
        <w:t>Part 6</w:t>
      </w:r>
      <w:r>
        <w:rPr>
          <w:rStyle w:val="CharDivNo"/>
        </w:rPr>
        <w:t xml:space="preserve"> </w:t>
      </w:r>
      <w:r>
        <w:t>—</w:t>
      </w:r>
      <w:r>
        <w:rPr>
          <w:rStyle w:val="CharDivText"/>
        </w:rPr>
        <w:t xml:space="preserve"> </w:t>
      </w:r>
      <w:r>
        <w:rPr>
          <w:rStyle w:val="CharPartText"/>
        </w:rPr>
        <w:t>Removal and forfeiture of unauthorised property on CALM land</w:t>
      </w:r>
      <w:bookmarkEnd w:id="246"/>
      <w:bookmarkEnd w:id="247"/>
      <w:bookmarkEnd w:id="248"/>
      <w:bookmarkEnd w:id="249"/>
      <w:bookmarkEnd w:id="250"/>
      <w:bookmarkEnd w:id="251"/>
    </w:p>
    <w:p>
      <w:pPr>
        <w:pStyle w:val="Heading5"/>
      </w:pPr>
      <w:bookmarkStart w:id="252" w:name="_Toc408498865"/>
      <w:bookmarkStart w:id="253" w:name="_Toc423343134"/>
      <w:r>
        <w:rPr>
          <w:rStyle w:val="CharSectno"/>
        </w:rPr>
        <w:t>77</w:t>
      </w:r>
      <w:r>
        <w:t>.</w:t>
      </w:r>
      <w:r>
        <w:tab/>
        <w:t>Term used: property</w:t>
      </w:r>
      <w:bookmarkEnd w:id="252"/>
      <w:bookmarkEnd w:id="253"/>
    </w:p>
    <w:p>
      <w:pPr>
        <w:pStyle w:val="Subsection"/>
      </w:pPr>
      <w:r>
        <w:tab/>
        <w:t>(1)</w:t>
      </w:r>
      <w:r>
        <w:tab/>
        <w:t xml:space="preserve">In this Part — </w:t>
      </w:r>
    </w:p>
    <w:p>
      <w:pPr>
        <w:pStyle w:val="Defstart"/>
      </w:pPr>
      <w:r>
        <w:tab/>
      </w:r>
      <w:r>
        <w:rPr>
          <w:rStyle w:val="CharDefText"/>
        </w:rPr>
        <w:t>property</w:t>
      </w:r>
      <w:r>
        <w:t xml:space="preserve"> — </w:t>
      </w:r>
    </w:p>
    <w:p>
      <w:pPr>
        <w:pStyle w:val="Defpara"/>
      </w:pPr>
      <w:r>
        <w:tab/>
        <w:t>(a)</w:t>
      </w:r>
      <w:r>
        <w:tab/>
        <w:t>includes a vehicle, caravan, vessel, mooring, pontoon, platform (including a platform on water), tent or other thing related to camping, tarpaulin, tripod, log, post, picket, spike, pipe, rope, cable, chain, wire and any kind of lock or locking device;</w:t>
      </w:r>
    </w:p>
    <w:p>
      <w:pPr>
        <w:pStyle w:val="Defpara"/>
      </w:pPr>
      <w:r>
        <w:tab/>
        <w:t>(b)</w:t>
      </w:r>
      <w:r>
        <w:tab/>
        <w:t>does not include anything to which section 108A(1) of the Act applies.</w:t>
      </w:r>
    </w:p>
    <w:p>
      <w:pPr>
        <w:pStyle w:val="Subsection"/>
      </w:pPr>
      <w:r>
        <w:tab/>
        <w:t>(2)</w:t>
      </w:r>
      <w:r>
        <w:tab/>
        <w:t>Subject to subregulation (1)(b), a thing may be property for the purposes of this Part whether or not it is attached to CALM land.</w:t>
      </w:r>
    </w:p>
    <w:p>
      <w:pPr>
        <w:pStyle w:val="Footnotesection"/>
      </w:pPr>
      <w:r>
        <w:tab/>
        <w:t>[Regulation 77 amended in Gazette 3 Dec 2010 p. 6048.]</w:t>
      </w:r>
    </w:p>
    <w:p>
      <w:pPr>
        <w:pStyle w:val="Heading5"/>
      </w:pPr>
      <w:bookmarkStart w:id="254" w:name="_Toc408498866"/>
      <w:bookmarkStart w:id="255" w:name="_Toc423343135"/>
      <w:r>
        <w:rPr>
          <w:rStyle w:val="CharSectno"/>
        </w:rPr>
        <w:t>78</w:t>
      </w:r>
      <w:r>
        <w:t>.</w:t>
      </w:r>
      <w:r>
        <w:tab/>
        <w:t>Authorised officers may seize and remove unauthorised property</w:t>
      </w:r>
      <w:bookmarkEnd w:id="254"/>
      <w:bookmarkEnd w:id="255"/>
    </w:p>
    <w:p>
      <w:pPr>
        <w:pStyle w:val="Subsection"/>
      </w:pPr>
      <w:r>
        <w:tab/>
        <w:t>(1)</w:t>
      </w:r>
      <w:r>
        <w:tab/>
        <w:t>An authorised officer who finds on CALM land any property that the officer reasonably believes is not authorised under a written law to be on the land may order or request a person who has, or appears to the officer to have, possession or control of the property to remove it from the land.</w:t>
      </w:r>
    </w:p>
    <w:p>
      <w:pPr>
        <w:pStyle w:val="Subsection"/>
      </w:pPr>
      <w:r>
        <w:tab/>
        <w:t>(1a)</w:t>
      </w:r>
      <w:r>
        <w:tab/>
        <w:t>A person must comply with an order given to the person under subregulation (1).</w:t>
      </w:r>
    </w:p>
    <w:p>
      <w:pPr>
        <w:pStyle w:val="Penstart"/>
      </w:pPr>
      <w:r>
        <w:tab/>
        <w:t>Penalty: a fine of $2 000.</w:t>
      </w:r>
    </w:p>
    <w:p>
      <w:pPr>
        <w:pStyle w:val="Subsection"/>
        <w:keepNext/>
      </w:pPr>
      <w:r>
        <w:tab/>
        <w:t>(2)</w:t>
      </w:r>
      <w:r>
        <w:tab/>
        <w:t xml:space="preserve">If — </w:t>
      </w:r>
    </w:p>
    <w:p>
      <w:pPr>
        <w:pStyle w:val="Indenta"/>
      </w:pPr>
      <w:r>
        <w:tab/>
        <w:t>(a)</w:t>
      </w:r>
      <w:r>
        <w:tab/>
        <w:t>a person does not comply with an order or request under subregulation (1) within a period that the authorised officer considers reasonable; or</w:t>
      </w:r>
    </w:p>
    <w:p>
      <w:pPr>
        <w:pStyle w:val="Indenta"/>
      </w:pPr>
      <w:r>
        <w:tab/>
        <w:t>(b)</w:t>
      </w:r>
      <w:r>
        <w:tab/>
        <w:t>the officer is unable to find a person who has, or appears to the officer to have, possession or control of the property,</w:t>
      </w:r>
    </w:p>
    <w:p>
      <w:pPr>
        <w:pStyle w:val="Subsection"/>
      </w:pPr>
      <w:r>
        <w:tab/>
      </w:r>
      <w:r>
        <w:tab/>
        <w:t>the officer may seize the property and remove it from CALM land.</w:t>
      </w:r>
    </w:p>
    <w:p>
      <w:pPr>
        <w:pStyle w:val="Subsection"/>
      </w:pPr>
      <w:r>
        <w:tab/>
        <w:t>(3)</w:t>
      </w:r>
      <w:r>
        <w:tab/>
        <w:t>Property seized and removed under subregulation (2) shall be held at an office of the Department until it is collected under regulation 79 or destroyed, sold or otherwise disposed of under regulation 80.</w:t>
      </w:r>
    </w:p>
    <w:p>
      <w:pPr>
        <w:pStyle w:val="Footnotesection"/>
      </w:pPr>
      <w:r>
        <w:tab/>
        <w:t>[Regulation 78 amended in Gazette 29 Sep 2006 p. 4318</w:t>
      </w:r>
      <w:r>
        <w:noBreakHyphen/>
        <w:t>19; 3 Dec 2010 p. 6048.]</w:t>
      </w:r>
    </w:p>
    <w:p>
      <w:pPr>
        <w:pStyle w:val="Heading5"/>
      </w:pPr>
      <w:bookmarkStart w:id="256" w:name="_Toc408498867"/>
      <w:bookmarkStart w:id="257" w:name="_Toc423343136"/>
      <w:r>
        <w:rPr>
          <w:rStyle w:val="CharSectno"/>
        </w:rPr>
        <w:t>79</w:t>
      </w:r>
      <w:r>
        <w:t>.</w:t>
      </w:r>
      <w:r>
        <w:tab/>
        <w:t>Seized property may be claimed</w:t>
      </w:r>
      <w:bookmarkEnd w:id="256"/>
      <w:bookmarkEnd w:id="257"/>
    </w:p>
    <w:p>
      <w:pPr>
        <w:pStyle w:val="Subsection"/>
      </w:pPr>
      <w:r>
        <w:tab/>
        <w:t>(1)</w:t>
      </w:r>
      <w:r>
        <w:tab/>
        <w:t>A person may claim property that is seized and removed under regulation 78 if the claim is made to an authorised officer within 6 months after the property is seized and removed.</w:t>
      </w:r>
    </w:p>
    <w:p>
      <w:pPr>
        <w:pStyle w:val="Subsection"/>
      </w:pPr>
      <w:r>
        <w:tab/>
        <w:t>(2)</w:t>
      </w:r>
      <w:r>
        <w:tab/>
        <w:t>If an authorised officer is satisfied that a person who claims property under subregulation (1) is the owner of the property or is entitled to possession of the property, the officer is to make the property available to be collected by the person at a time and a place notified in writing to the person.</w:t>
      </w:r>
    </w:p>
    <w:p>
      <w:pPr>
        <w:pStyle w:val="Subsection"/>
      </w:pPr>
      <w:r>
        <w:tab/>
        <w:t>(3)</w:t>
      </w:r>
      <w:r>
        <w:tab/>
        <w:t>The time referred to in subregulation (2) is to be within 21 days after the authorised officer is satisfied in relation to the matters referred to in that subregulation.</w:t>
      </w:r>
    </w:p>
    <w:p>
      <w:pPr>
        <w:pStyle w:val="Footnotesection"/>
      </w:pPr>
      <w:r>
        <w:tab/>
        <w:t>[Regulation 79 amended in Gazette 29 Sep 2006 p. 4319.]</w:t>
      </w:r>
    </w:p>
    <w:p>
      <w:pPr>
        <w:pStyle w:val="Heading5"/>
      </w:pPr>
      <w:bookmarkStart w:id="258" w:name="_Toc408498868"/>
      <w:bookmarkStart w:id="259" w:name="_Toc423343137"/>
      <w:r>
        <w:rPr>
          <w:rStyle w:val="CharSectno"/>
        </w:rPr>
        <w:t>80</w:t>
      </w:r>
      <w:r>
        <w:t>.</w:t>
      </w:r>
      <w:r>
        <w:tab/>
        <w:t>Unclaimed property may be forfeited</w:t>
      </w:r>
      <w:bookmarkEnd w:id="258"/>
      <w:bookmarkEnd w:id="259"/>
    </w:p>
    <w:p>
      <w:pPr>
        <w:pStyle w:val="Subsection"/>
      </w:pPr>
      <w:r>
        <w:tab/>
        <w:t>(1)</w:t>
      </w:r>
      <w:r>
        <w:tab/>
        <w:t>If property is not claimed by a person who an authorised officer is satisfied is the owner of the property or is entitled to possession of the property within 6 months after the property is seized and removed under regulation 78, the property is, on the expiry of that period, forfeited to the Crown and may be destroyed, sold or otherwise disposed of as directed by the CEO.</w:t>
      </w:r>
    </w:p>
    <w:p>
      <w:pPr>
        <w:pStyle w:val="Ednotesubsection"/>
      </w:pPr>
      <w:r>
        <w:tab/>
        <w:t>[(2)</w:t>
      </w:r>
      <w:r>
        <w:tab/>
        <w:t>deleted]</w:t>
      </w:r>
    </w:p>
    <w:p>
      <w:pPr>
        <w:pStyle w:val="Footnotesection"/>
      </w:pPr>
      <w:r>
        <w:tab/>
        <w:t>[Regulation 80 amended in Gazette 29 Sep 2006 p. 4319 and 4334; 3 Dec 2010 p. 6049.]</w:t>
      </w:r>
    </w:p>
    <w:p>
      <w:pPr>
        <w:pStyle w:val="Heading2"/>
      </w:pPr>
      <w:bookmarkStart w:id="260" w:name="_Toc408498869"/>
      <w:bookmarkStart w:id="261" w:name="_Toc414889291"/>
      <w:bookmarkStart w:id="262" w:name="_Toc414975237"/>
      <w:bookmarkStart w:id="263" w:name="_Toc417563719"/>
      <w:bookmarkStart w:id="264" w:name="_Toc423340540"/>
      <w:bookmarkStart w:id="265" w:name="_Toc423343138"/>
      <w:r>
        <w:rPr>
          <w:rStyle w:val="CharPartNo"/>
        </w:rPr>
        <w:t>Part 6A</w:t>
      </w:r>
      <w:r>
        <w:rPr>
          <w:rStyle w:val="CharDivNo"/>
        </w:rPr>
        <w:t> </w:t>
      </w:r>
      <w:r>
        <w:t>—</w:t>
      </w:r>
      <w:r>
        <w:rPr>
          <w:rStyle w:val="CharDivText"/>
        </w:rPr>
        <w:t> </w:t>
      </w:r>
      <w:r>
        <w:rPr>
          <w:rStyle w:val="CharPartText"/>
        </w:rPr>
        <w:t>Management plans</w:t>
      </w:r>
      <w:bookmarkEnd w:id="260"/>
      <w:bookmarkEnd w:id="261"/>
      <w:bookmarkEnd w:id="262"/>
      <w:bookmarkEnd w:id="263"/>
      <w:bookmarkEnd w:id="264"/>
      <w:bookmarkEnd w:id="265"/>
    </w:p>
    <w:p>
      <w:pPr>
        <w:pStyle w:val="Footnoteheading"/>
        <w:tabs>
          <w:tab w:val="left" w:pos="851"/>
        </w:tabs>
      </w:pPr>
      <w:r>
        <w:tab/>
        <w:t>[Heading inserted in Gazette 4 May 2004 p. 1383.]</w:t>
      </w:r>
    </w:p>
    <w:p>
      <w:pPr>
        <w:pStyle w:val="Heading5"/>
      </w:pPr>
      <w:bookmarkStart w:id="266" w:name="_Toc408498870"/>
      <w:bookmarkStart w:id="267" w:name="_Toc423343139"/>
      <w:r>
        <w:rPr>
          <w:rStyle w:val="CharSectno"/>
        </w:rPr>
        <w:t>81</w:t>
      </w:r>
      <w:r>
        <w:t>.</w:t>
      </w:r>
      <w:r>
        <w:tab/>
        <w:t>Purposes of reserves (Act s. 55(1a))</w:t>
      </w:r>
      <w:bookmarkEnd w:id="266"/>
      <w:bookmarkEnd w:id="267"/>
    </w:p>
    <w:p>
      <w:pPr>
        <w:pStyle w:val="Subsection"/>
      </w:pPr>
      <w:r>
        <w:tab/>
      </w:r>
      <w:r>
        <w:tab/>
        <w:t xml:space="preserve">For the purposes of section 55(1a) of the Act, the other purposes for which an indigenous State forest or timber reserve may be reserved include any of the following — </w:t>
      </w:r>
    </w:p>
    <w:p>
      <w:pPr>
        <w:pStyle w:val="Indenta"/>
      </w:pPr>
      <w:r>
        <w:tab/>
        <w:t>(a)</w:t>
      </w:r>
      <w:r>
        <w:tab/>
        <w:t>the removal of water from the reserved land;</w:t>
      </w:r>
    </w:p>
    <w:p>
      <w:pPr>
        <w:pStyle w:val="Indenta"/>
      </w:pPr>
      <w:r>
        <w:tab/>
        <w:t>(b)</w:t>
      </w:r>
      <w:r>
        <w:tab/>
        <w:t>the storage of water on the reserve;</w:t>
      </w:r>
    </w:p>
    <w:p>
      <w:pPr>
        <w:pStyle w:val="Indenta"/>
      </w:pPr>
      <w:r>
        <w:tab/>
        <w:t>(c)</w:t>
      </w:r>
      <w:r>
        <w:tab/>
        <w:t>the removal of water from the reserve;</w:t>
      </w:r>
    </w:p>
    <w:p>
      <w:pPr>
        <w:pStyle w:val="Indenta"/>
      </w:pPr>
      <w:r>
        <w:tab/>
        <w:t>(d)</w:t>
      </w:r>
      <w:r>
        <w:tab/>
        <w:t>the location of infrastructure, and other similar facilities, that serve the public interest, to the extent to which locating such infrastructure and facilities is not inconsistent with achieving the other purposes for which the forest or reserve is reserved.</w:t>
      </w:r>
    </w:p>
    <w:p>
      <w:pPr>
        <w:pStyle w:val="Footnotesection"/>
      </w:pPr>
      <w:r>
        <w:tab/>
        <w:t>[Regulation 81 inserted in Gazette 4 May 2004 p. 1383; amended in Gazette 29 Jan 2008 p. 241</w:t>
      </w:r>
      <w:r>
        <w:noBreakHyphen/>
        <w:t>2.]</w:t>
      </w:r>
    </w:p>
    <w:p>
      <w:pPr>
        <w:pStyle w:val="Heading2"/>
      </w:pPr>
      <w:bookmarkStart w:id="268" w:name="_Toc408498871"/>
      <w:bookmarkStart w:id="269" w:name="_Toc414889293"/>
      <w:bookmarkStart w:id="270" w:name="_Toc414975239"/>
      <w:bookmarkStart w:id="271" w:name="_Toc417563721"/>
      <w:bookmarkStart w:id="272" w:name="_Toc423340542"/>
      <w:bookmarkStart w:id="273" w:name="_Toc423343140"/>
      <w:r>
        <w:rPr>
          <w:rStyle w:val="CharPartNo"/>
        </w:rPr>
        <w:t>Part 7</w:t>
      </w:r>
      <w:r>
        <w:t xml:space="preserve"> — </w:t>
      </w:r>
      <w:r>
        <w:rPr>
          <w:rStyle w:val="CharPartText"/>
        </w:rPr>
        <w:t>Licences</w:t>
      </w:r>
      <w:bookmarkEnd w:id="268"/>
      <w:bookmarkEnd w:id="269"/>
      <w:bookmarkEnd w:id="270"/>
      <w:bookmarkEnd w:id="271"/>
      <w:bookmarkEnd w:id="272"/>
      <w:bookmarkEnd w:id="273"/>
    </w:p>
    <w:p>
      <w:pPr>
        <w:pStyle w:val="Heading3"/>
      </w:pPr>
      <w:bookmarkStart w:id="274" w:name="_Toc408498872"/>
      <w:bookmarkStart w:id="275" w:name="_Toc414889294"/>
      <w:bookmarkStart w:id="276" w:name="_Toc414975240"/>
      <w:bookmarkStart w:id="277" w:name="_Toc417563722"/>
      <w:bookmarkStart w:id="278" w:name="_Toc423340543"/>
      <w:bookmarkStart w:id="279" w:name="_Toc423343141"/>
      <w:r>
        <w:rPr>
          <w:rStyle w:val="CharDivNo"/>
        </w:rPr>
        <w:t>Division 1</w:t>
      </w:r>
      <w:r>
        <w:rPr>
          <w:snapToGrid w:val="0"/>
        </w:rPr>
        <w:t xml:space="preserve"> — </w:t>
      </w:r>
      <w:r>
        <w:rPr>
          <w:rStyle w:val="CharDivText"/>
        </w:rPr>
        <w:t>General</w:t>
      </w:r>
      <w:bookmarkEnd w:id="274"/>
      <w:bookmarkEnd w:id="275"/>
      <w:bookmarkEnd w:id="276"/>
      <w:bookmarkEnd w:id="277"/>
      <w:bookmarkEnd w:id="278"/>
      <w:bookmarkEnd w:id="279"/>
    </w:p>
    <w:p>
      <w:pPr>
        <w:pStyle w:val="Heading5"/>
        <w:rPr>
          <w:snapToGrid w:val="0"/>
        </w:rPr>
      </w:pPr>
      <w:bookmarkStart w:id="280" w:name="_Toc408498873"/>
      <w:bookmarkStart w:id="281" w:name="_Toc423343142"/>
      <w:r>
        <w:rPr>
          <w:rStyle w:val="CharSectno"/>
        </w:rPr>
        <w:t>82</w:t>
      </w:r>
      <w:r>
        <w:rPr>
          <w:snapToGrid w:val="0"/>
        </w:rPr>
        <w:t>.</w:t>
      </w:r>
      <w:r>
        <w:rPr>
          <w:snapToGrid w:val="0"/>
        </w:rPr>
        <w:tab/>
        <w:t>Term used: licence</w:t>
      </w:r>
      <w:bookmarkEnd w:id="280"/>
      <w:bookmarkEnd w:id="281"/>
      <w:r>
        <w:rPr>
          <w:snapToGrid w:val="0"/>
        </w:rPr>
        <w:t xml:space="preserve"> </w:t>
      </w:r>
    </w:p>
    <w:p>
      <w:pPr>
        <w:pStyle w:val="Subsection"/>
        <w:rPr>
          <w:snapToGrid w:val="0"/>
        </w:rPr>
      </w:pPr>
      <w:r>
        <w:rPr>
          <w:snapToGrid w:val="0"/>
        </w:rPr>
        <w:tab/>
      </w:r>
      <w:r>
        <w:rPr>
          <w:snapToGrid w:val="0"/>
        </w:rPr>
        <w:tab/>
        <w:t>In this Part — </w:t>
      </w:r>
    </w:p>
    <w:p>
      <w:pPr>
        <w:pStyle w:val="Defstart"/>
      </w:pPr>
      <w:r>
        <w:tab/>
      </w:r>
      <w:r>
        <w:rPr>
          <w:rStyle w:val="CharDefText"/>
        </w:rPr>
        <w:t>licence</w:t>
      </w:r>
      <w:r>
        <w:rPr>
          <w:b/>
        </w:rPr>
        <w:t xml:space="preserve"> </w:t>
      </w:r>
      <w:r>
        <w:t>means a licence granted under these regulations.</w:t>
      </w:r>
    </w:p>
    <w:p>
      <w:pPr>
        <w:pStyle w:val="Heading5"/>
        <w:rPr>
          <w:snapToGrid w:val="0"/>
        </w:rPr>
      </w:pPr>
      <w:bookmarkStart w:id="282" w:name="_Toc408498874"/>
      <w:bookmarkStart w:id="283" w:name="_Toc423343143"/>
      <w:r>
        <w:rPr>
          <w:rStyle w:val="CharSectno"/>
        </w:rPr>
        <w:t>83</w:t>
      </w:r>
      <w:r>
        <w:rPr>
          <w:snapToGrid w:val="0"/>
        </w:rPr>
        <w:t>.</w:t>
      </w:r>
      <w:r>
        <w:rPr>
          <w:snapToGrid w:val="0"/>
        </w:rPr>
        <w:tab/>
        <w:t>Application for licence</w:t>
      </w:r>
      <w:bookmarkEnd w:id="282"/>
      <w:bookmarkEnd w:id="283"/>
      <w:r>
        <w:rPr>
          <w:snapToGrid w:val="0"/>
        </w:rPr>
        <w:t xml:space="preserve"> </w:t>
      </w:r>
    </w:p>
    <w:p>
      <w:pPr>
        <w:pStyle w:val="Subsection"/>
        <w:rPr>
          <w:snapToGrid w:val="0"/>
        </w:rPr>
      </w:pPr>
      <w:r>
        <w:rPr>
          <w:snapToGrid w:val="0"/>
        </w:rPr>
        <w:tab/>
        <w:t>(1)</w:t>
      </w:r>
      <w:r>
        <w:rPr>
          <w:snapToGrid w:val="0"/>
        </w:rPr>
        <w:tab/>
        <w:t>An application for a licence is to be — </w:t>
      </w:r>
    </w:p>
    <w:p>
      <w:pPr>
        <w:pStyle w:val="Indenta"/>
        <w:rPr>
          <w:snapToGrid w:val="0"/>
        </w:rPr>
      </w:pPr>
      <w:r>
        <w:rPr>
          <w:snapToGrid w:val="0"/>
        </w:rPr>
        <w:tab/>
        <w:t>(a)</w:t>
      </w:r>
      <w:r>
        <w:rPr>
          <w:snapToGrid w:val="0"/>
        </w:rPr>
        <w:tab/>
        <w:t xml:space="preserve">made to the </w:t>
      </w:r>
      <w:r>
        <w:t xml:space="preserve">CEO </w:t>
      </w:r>
      <w:r>
        <w:rPr>
          <w:snapToGrid w:val="0"/>
        </w:rPr>
        <w:t>in a form approved by the</w:t>
      </w:r>
      <w:r>
        <w:t xml:space="preserve"> CEO</w:t>
      </w:r>
      <w:r>
        <w:rPr>
          <w:snapToGrid w:val="0"/>
        </w:rPr>
        <w:t>; and</w:t>
      </w:r>
    </w:p>
    <w:p>
      <w:pPr>
        <w:pStyle w:val="Indenta"/>
        <w:rPr>
          <w:snapToGrid w:val="0"/>
        </w:rPr>
      </w:pPr>
      <w:r>
        <w:rPr>
          <w:snapToGrid w:val="0"/>
        </w:rPr>
        <w:tab/>
        <w:t>(b)</w:t>
      </w:r>
      <w:r>
        <w:rPr>
          <w:snapToGrid w:val="0"/>
        </w:rPr>
        <w:tab/>
        <w:t>accompanied by the appropriate fee specified in Schedule 1 Division 8.</w:t>
      </w:r>
    </w:p>
    <w:p>
      <w:pPr>
        <w:pStyle w:val="Subsection"/>
        <w:rPr>
          <w:snapToGrid w:val="0"/>
        </w:rPr>
      </w:pPr>
      <w:r>
        <w:rPr>
          <w:snapToGrid w:val="0"/>
        </w:rPr>
        <w:tab/>
        <w:t>(2)</w:t>
      </w:r>
      <w:r>
        <w:rPr>
          <w:snapToGrid w:val="0"/>
        </w:rPr>
        <w:tab/>
        <w:t xml:space="preserve">The applicant is to provide the </w:t>
      </w:r>
      <w:r>
        <w:t xml:space="preserve">CEO </w:t>
      </w:r>
      <w:r>
        <w:rPr>
          <w:snapToGrid w:val="0"/>
        </w:rPr>
        <w:t xml:space="preserve">with such further information as the </w:t>
      </w:r>
      <w:r>
        <w:t xml:space="preserve">CEO </w:t>
      </w:r>
      <w:r>
        <w:rPr>
          <w:snapToGrid w:val="0"/>
        </w:rPr>
        <w:t>may require in any particular case.</w:t>
      </w:r>
    </w:p>
    <w:p>
      <w:pPr>
        <w:pStyle w:val="Footnotesection"/>
      </w:pPr>
      <w:r>
        <w:tab/>
        <w:t>[Regulation 83 amended in Gazette 29 Sep 2006 p. 4334.]</w:t>
      </w:r>
    </w:p>
    <w:p>
      <w:pPr>
        <w:pStyle w:val="Heading5"/>
      </w:pPr>
      <w:bookmarkStart w:id="284" w:name="_Toc408498875"/>
      <w:bookmarkStart w:id="285" w:name="_Toc423343144"/>
      <w:r>
        <w:rPr>
          <w:rStyle w:val="CharSectno"/>
        </w:rPr>
        <w:t>84</w:t>
      </w:r>
      <w:r>
        <w:rPr>
          <w:snapToGrid w:val="0"/>
        </w:rPr>
        <w:t>.</w:t>
      </w:r>
      <w:r>
        <w:rPr>
          <w:snapToGrid w:val="0"/>
        </w:rPr>
        <w:tab/>
        <w:t>Restriction on exercise of powers</w:t>
      </w:r>
      <w:bookmarkEnd w:id="284"/>
      <w:bookmarkEnd w:id="285"/>
    </w:p>
    <w:p>
      <w:pPr>
        <w:pStyle w:val="Subsection"/>
      </w:pPr>
      <w:r>
        <w:tab/>
        <w:t>(1)</w:t>
      </w:r>
      <w:r>
        <w:tab/>
        <w:t xml:space="preserve">Subject to subregulation (2), the powers conferred on the CEO by this Part to grant or renew a licence are exercisable only — </w:t>
      </w:r>
    </w:p>
    <w:p>
      <w:pPr>
        <w:pStyle w:val="Indenta"/>
      </w:pPr>
      <w:r>
        <w:tab/>
        <w:t>(a)</w:t>
      </w:r>
      <w:r>
        <w:tab/>
        <w:t>with the approval of the Minister; and</w:t>
      </w:r>
    </w:p>
    <w:p>
      <w:pPr>
        <w:pStyle w:val="Indenta"/>
      </w:pPr>
      <w:r>
        <w:tab/>
        <w:t>(b)</w:t>
      </w:r>
      <w:r>
        <w:tab/>
        <w:t>in the case of land vested in the Conservation Commission, after consultation with the Conservation Commission and, where applicable, an associated body; and</w:t>
      </w:r>
    </w:p>
    <w:p>
      <w:pPr>
        <w:pStyle w:val="Indenta"/>
      </w:pPr>
      <w:r>
        <w:tab/>
        <w:t>(c)</w:t>
      </w:r>
      <w:r>
        <w:tab/>
        <w:t>in the case of land classified under Part V Division 2 of the Act as a forest conservation area, consistently with any management plan for the land concerned; and</w:t>
      </w:r>
    </w:p>
    <w:p>
      <w:pPr>
        <w:pStyle w:val="Indenta"/>
      </w:pPr>
      <w:r>
        <w:tab/>
        <w:t>(d)</w:t>
      </w:r>
      <w:r>
        <w:tab/>
        <w:t>in the case of land vested in the Marine Authority, after consultation with the Marine Authority; and</w:t>
      </w:r>
    </w:p>
    <w:p>
      <w:pPr>
        <w:pStyle w:val="Ednotepara"/>
      </w:pPr>
      <w:r>
        <w:tab/>
        <w:t>[(e)</w:t>
      </w:r>
      <w:r>
        <w:tab/>
        <w:t>deleted]</w:t>
      </w:r>
    </w:p>
    <w:p>
      <w:pPr>
        <w:pStyle w:val="Indenta"/>
      </w:pPr>
      <w:r>
        <w:tab/>
        <w:t>(f)</w:t>
      </w:r>
      <w:r>
        <w:tab/>
        <w:t>in the case of land for the management of which an agreement is entered into under section 16</w:t>
      </w:r>
      <w:r>
        <w:rPr>
          <w:vertAlign w:val="superscript"/>
        </w:rPr>
        <w:t> 3</w:t>
      </w:r>
      <w:r>
        <w:t xml:space="preserve"> of the Act, consistently with the agreement; and</w:t>
      </w:r>
    </w:p>
    <w:p>
      <w:pPr>
        <w:pStyle w:val="Indenta"/>
      </w:pPr>
      <w:r>
        <w:tab/>
        <w:t>(g)</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pPr>
      <w:r>
        <w:tab/>
        <w:t>(h)</w:t>
      </w:r>
      <w:r>
        <w:tab/>
        <w:t>in conformity with section 33(3) of the Act.</w:t>
      </w:r>
    </w:p>
    <w:p>
      <w:pPr>
        <w:pStyle w:val="Subsection"/>
      </w:pPr>
      <w:r>
        <w:tab/>
        <w:t>(2)</w:t>
      </w:r>
      <w:r>
        <w:tab/>
        <w:t xml:space="preserve">In the case of land other than land classified under Part V Division 2 of the Act as a forest conservation area, subregulation (1)(a), (b) and (d) do not apply to the grant or renewal of a licence under this Part where — </w:t>
      </w:r>
    </w:p>
    <w:p>
      <w:pPr>
        <w:pStyle w:val="Indenta"/>
      </w:pPr>
      <w:r>
        <w:tab/>
        <w:t>(a)</w:t>
      </w:r>
      <w:r>
        <w:tab/>
        <w:t xml:space="preserve">the appropriate approval has been given under subregulation (1)(a) and, if applicable, the appropriate consultation has taken place under subregulation (1)(b) or (1)(d) for — </w:t>
      </w:r>
    </w:p>
    <w:p>
      <w:pPr>
        <w:pStyle w:val="Indenti"/>
      </w:pPr>
      <w:r>
        <w:tab/>
        <w:t>(i)</w:t>
      </w:r>
      <w:r>
        <w:tab/>
        <w:t>the grant under this Part of certain kinds of licences or certain numbers of licences; or</w:t>
      </w:r>
    </w:p>
    <w:p>
      <w:pPr>
        <w:pStyle w:val="Indenti"/>
      </w:pPr>
      <w:r>
        <w:tab/>
        <w:t>(ii)</w:t>
      </w:r>
      <w:r>
        <w:tab/>
        <w:t>the renewal, cancellation or suspension of, or the imposition or variation of terms or conditions attached to, a licence granted under this Part,</w:t>
      </w:r>
    </w:p>
    <w:p>
      <w:pPr>
        <w:pStyle w:val="Indenta"/>
      </w:pPr>
      <w:r>
        <w:tab/>
      </w:r>
      <w:r>
        <w:tab/>
        <w:t>and the licence granted or renewed is covered by the terms of that approval and, if applicable, that consultation; or</w:t>
      </w:r>
    </w:p>
    <w:p>
      <w:pPr>
        <w:pStyle w:val="Indenta"/>
      </w:pPr>
      <w:r>
        <w:tab/>
        <w:t>(b)</w:t>
      </w:r>
      <w:r>
        <w:tab/>
        <w:t xml:space="preserve">in the case of the renewal of a licence, the licence was granted under Part 5 of the </w:t>
      </w:r>
      <w:r>
        <w:rPr>
          <w:i/>
        </w:rPr>
        <w:t>Conservation and Land Management Regulations 1992</w:t>
      </w:r>
      <w:r>
        <w:rPr>
          <w:i/>
          <w:vertAlign w:val="superscript"/>
        </w:rPr>
        <w:t> </w:t>
      </w:r>
      <w:r>
        <w:rPr>
          <w:iCs/>
          <w:vertAlign w:val="superscript"/>
        </w:rPr>
        <w:t>4</w:t>
      </w:r>
      <w:r>
        <w:t>.</w:t>
      </w:r>
    </w:p>
    <w:p>
      <w:pPr>
        <w:pStyle w:val="Footnotesection"/>
      </w:pPr>
      <w:r>
        <w:tab/>
        <w:t>[Regulation 84 amended in Gazette 29 Sep 2006 p. 4319 and 4334; 19 Jun 2015 p. 2096.]</w:t>
      </w:r>
    </w:p>
    <w:p>
      <w:pPr>
        <w:pStyle w:val="Heading5"/>
        <w:spacing w:before="600"/>
      </w:pPr>
      <w:bookmarkStart w:id="286" w:name="_Toc408498876"/>
      <w:bookmarkStart w:id="287" w:name="_Toc423343145"/>
      <w:r>
        <w:rPr>
          <w:rStyle w:val="CharSectno"/>
        </w:rPr>
        <w:t>85</w:t>
      </w:r>
      <w:r>
        <w:rPr>
          <w:snapToGrid w:val="0"/>
        </w:rPr>
        <w:t>.</w:t>
      </w:r>
      <w:r>
        <w:rPr>
          <w:snapToGrid w:val="0"/>
        </w:rPr>
        <w:tab/>
        <w:t>Refusal to renew licence</w:t>
      </w:r>
      <w:bookmarkEnd w:id="286"/>
      <w:bookmarkEnd w:id="287"/>
    </w:p>
    <w:p>
      <w:pPr>
        <w:pStyle w:val="Subsection"/>
      </w:pPr>
      <w:r>
        <w:tab/>
        <w:t>(1)</w:t>
      </w:r>
      <w:r>
        <w:tab/>
        <w:t>A licence is not renewable as of right.</w:t>
      </w:r>
    </w:p>
    <w:p>
      <w:pPr>
        <w:pStyle w:val="Subsection"/>
      </w:pPr>
      <w:r>
        <w:tab/>
        <w:t>(2)</w:t>
      </w:r>
      <w:r>
        <w:tab/>
        <w:t xml:space="preserve">The CEO may, by written notice given to the person who held the licence, refuse to renew a licence on the grounds that — </w:t>
      </w:r>
    </w:p>
    <w:p>
      <w:pPr>
        <w:pStyle w:val="Indenta"/>
      </w:pPr>
      <w:r>
        <w:tab/>
        <w:t>(a)</w:t>
      </w:r>
      <w:r>
        <w:tab/>
        <w:t xml:space="preserve">the holder of the licence has been convicted of an offence against the Act or these regulations or the </w:t>
      </w:r>
      <w:r>
        <w:rPr>
          <w:i/>
        </w:rPr>
        <w:t>Wildlife Conservation Act 1950</w:t>
      </w:r>
      <w:r>
        <w:t xml:space="preserve"> or regulations made under that Act; or</w:t>
      </w:r>
    </w:p>
    <w:p>
      <w:pPr>
        <w:pStyle w:val="Indenta"/>
      </w:pPr>
      <w:r>
        <w:tab/>
        <w:t>(b)</w:t>
      </w:r>
      <w:r>
        <w:tab/>
        <w:t>a condition imposed upon the licence has been contravened; or</w:t>
      </w:r>
    </w:p>
    <w:p>
      <w:pPr>
        <w:pStyle w:val="Indenta"/>
      </w:pPr>
      <w:r>
        <w:tab/>
        <w:t>(c)</w:t>
      </w:r>
      <w:r>
        <w:tab/>
        <w:t>the licence was obtained by fraud or misrepresentation; or</w:t>
      </w:r>
    </w:p>
    <w:p>
      <w:pPr>
        <w:pStyle w:val="Indenta"/>
      </w:pPr>
      <w:r>
        <w:tab/>
        <w:t>(d)</w:t>
      </w:r>
      <w:r>
        <w:tab/>
        <w:t xml:space="preserve">in the interests of — </w:t>
      </w:r>
    </w:p>
    <w:p>
      <w:pPr>
        <w:pStyle w:val="Indenti"/>
      </w:pPr>
      <w:r>
        <w:tab/>
        <w:t>(i)</w:t>
      </w:r>
      <w:r>
        <w:tab/>
        <w:t>the protection, management or control of CALM land or assets on CALM land; or</w:t>
      </w:r>
    </w:p>
    <w:p>
      <w:pPr>
        <w:pStyle w:val="Indenti"/>
      </w:pPr>
      <w:r>
        <w:tab/>
        <w:t>(ii)</w:t>
      </w:r>
      <w:r>
        <w:tab/>
        <w:t>the protection of persons using CALM land; or</w:t>
      </w:r>
    </w:p>
    <w:p>
      <w:pPr>
        <w:pStyle w:val="Indenti"/>
      </w:pPr>
      <w:r>
        <w:tab/>
        <w:t>(iii)</w:t>
      </w:r>
      <w:r>
        <w:tab/>
        <w:t>the conservation, protection or proper management of fauna or flora,</w:t>
      </w:r>
    </w:p>
    <w:p>
      <w:pPr>
        <w:pStyle w:val="Indenta"/>
      </w:pPr>
      <w:r>
        <w:tab/>
      </w:r>
      <w:r>
        <w:tab/>
        <w:t>the operation of the licence should not be permitted to continue.</w:t>
      </w:r>
    </w:p>
    <w:p>
      <w:pPr>
        <w:pStyle w:val="Footnotesection"/>
      </w:pPr>
      <w:r>
        <w:tab/>
        <w:t>[Regulation 85 amended in Gazette 29 Sep 2006 p. 4334.]</w:t>
      </w:r>
    </w:p>
    <w:p>
      <w:pPr>
        <w:pStyle w:val="Heading5"/>
        <w:rPr>
          <w:snapToGrid w:val="0"/>
        </w:rPr>
      </w:pPr>
      <w:bookmarkStart w:id="288" w:name="_Toc408498877"/>
      <w:bookmarkStart w:id="289" w:name="_Toc423343146"/>
      <w:r>
        <w:rPr>
          <w:rStyle w:val="CharSectno"/>
        </w:rPr>
        <w:t>86</w:t>
      </w:r>
      <w:r>
        <w:rPr>
          <w:snapToGrid w:val="0"/>
        </w:rPr>
        <w:t>.</w:t>
      </w:r>
      <w:r>
        <w:rPr>
          <w:snapToGrid w:val="0"/>
        </w:rPr>
        <w:tab/>
        <w:t xml:space="preserve">Cancellation or suspension of licence by </w:t>
      </w:r>
      <w:r>
        <w:t>CEO</w:t>
      </w:r>
      <w:bookmarkEnd w:id="288"/>
      <w:bookmarkEnd w:id="289"/>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person who holds a licence — </w:t>
      </w:r>
    </w:p>
    <w:p>
      <w:pPr>
        <w:pStyle w:val="Indenti"/>
        <w:rPr>
          <w:snapToGrid w:val="0"/>
        </w:rPr>
      </w:pPr>
      <w:r>
        <w:rPr>
          <w:snapToGrid w:val="0"/>
        </w:rPr>
        <w:tab/>
        <w:t>(i)</w:t>
      </w:r>
      <w:r>
        <w:rPr>
          <w:snapToGrid w:val="0"/>
        </w:rPr>
        <w:tab/>
        <w:t>contravenes a provision of the Act or these regulations or a condition or restriction to which the licence was subject; or</w:t>
      </w:r>
    </w:p>
    <w:p>
      <w:pPr>
        <w:pStyle w:val="Indenti"/>
        <w:rPr>
          <w:snapToGrid w:val="0"/>
        </w:rPr>
      </w:pPr>
      <w:r>
        <w:rPr>
          <w:snapToGrid w:val="0"/>
        </w:rPr>
        <w:tab/>
        <w:t>(ii)</w:t>
      </w:r>
      <w:r>
        <w:rPr>
          <w:snapToGrid w:val="0"/>
        </w:rPr>
        <w:tab/>
      </w:r>
      <w:r>
        <w:t xml:space="preserve">contravenes a provision of the </w:t>
      </w:r>
      <w:r>
        <w:rPr>
          <w:i/>
        </w:rPr>
        <w:t>Wildlife Conservation Act 1950</w:t>
      </w:r>
      <w:r>
        <w:t xml:space="preserve"> or regulations made under that Act;</w:t>
      </w:r>
      <w:r>
        <w:rPr>
          <w:snapToGrid w:val="0"/>
        </w:rPr>
        <w:t xml:space="preserve"> or</w:t>
      </w:r>
    </w:p>
    <w:p>
      <w:pPr>
        <w:pStyle w:val="Indenti"/>
        <w:rPr>
          <w:snapToGrid w:val="0"/>
        </w:rPr>
      </w:pPr>
      <w:r>
        <w:rPr>
          <w:snapToGrid w:val="0"/>
        </w:rPr>
        <w:tab/>
        <w:t>(iii)</w:t>
      </w:r>
      <w:r>
        <w:rPr>
          <w:snapToGrid w:val="0"/>
        </w:rPr>
        <w:tab/>
      </w:r>
      <w:r>
        <w:t xml:space="preserve">is otherwise in the opinion of the CEO </w:t>
      </w:r>
      <w:r>
        <w:rPr>
          <w:snapToGrid w:val="0"/>
        </w:rPr>
        <w:t xml:space="preserve">no longer a fit and proper person or otherwise suitable to hold the licence;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w:t>
      </w:r>
      <w:r>
        <w:t xml:space="preserve">CEO </w:t>
      </w:r>
      <w:r>
        <w:rPr>
          <w:snapToGrid w:val="0"/>
        </w:rPr>
        <w:t>considers that in the interests of — </w:t>
      </w:r>
    </w:p>
    <w:p>
      <w:pPr>
        <w:pStyle w:val="Indenti"/>
        <w:rPr>
          <w:snapToGrid w:val="0"/>
        </w:rPr>
      </w:pPr>
      <w:r>
        <w:rPr>
          <w:snapToGrid w:val="0"/>
        </w:rPr>
        <w:tab/>
        <w:t>(i)</w:t>
      </w:r>
      <w:r>
        <w:rPr>
          <w:snapToGrid w:val="0"/>
        </w:rPr>
        <w:tab/>
        <w:t>the protection, management or control of CALM land or assets on CALM land; or</w:t>
      </w:r>
    </w:p>
    <w:p>
      <w:pPr>
        <w:pStyle w:val="Indenti"/>
        <w:rPr>
          <w:snapToGrid w:val="0"/>
        </w:rPr>
      </w:pPr>
      <w:r>
        <w:rPr>
          <w:snapToGrid w:val="0"/>
        </w:rPr>
        <w:tab/>
        <w:t>(ii)</w:t>
      </w:r>
      <w:r>
        <w:rPr>
          <w:snapToGrid w:val="0"/>
        </w:rPr>
        <w:tab/>
        <w:t>the protection or management of persons using CALM land; or</w:t>
      </w:r>
    </w:p>
    <w:p>
      <w:pPr>
        <w:pStyle w:val="Indenti"/>
        <w:rPr>
          <w:snapToGrid w:val="0"/>
        </w:rPr>
      </w:pPr>
      <w:r>
        <w:rPr>
          <w:snapToGrid w:val="0"/>
        </w:rPr>
        <w:tab/>
        <w:t>(iii)</w:t>
      </w:r>
      <w:r>
        <w:rPr>
          <w:snapToGrid w:val="0"/>
        </w:rPr>
        <w:tab/>
        <w:t xml:space="preserve">the conservation, protection or proper management of fauna or flora, </w:t>
      </w:r>
    </w:p>
    <w:p>
      <w:pPr>
        <w:pStyle w:val="Indenta"/>
        <w:rPr>
          <w:snapToGrid w:val="0"/>
        </w:rPr>
      </w:pPr>
      <w:r>
        <w:rPr>
          <w:snapToGrid w:val="0"/>
        </w:rPr>
        <w:tab/>
      </w:r>
      <w:r>
        <w:rPr>
          <w:snapToGrid w:val="0"/>
        </w:rPr>
        <w:tab/>
        <w:t>a licence should be suspended or cancelled,</w:t>
      </w:r>
    </w:p>
    <w:p>
      <w:pPr>
        <w:pStyle w:val="Subsection"/>
        <w:rPr>
          <w:snapToGrid w:val="0"/>
        </w:rPr>
      </w:pPr>
      <w:r>
        <w:rPr>
          <w:snapToGrid w:val="0"/>
        </w:rPr>
        <w:tab/>
      </w:r>
      <w:r>
        <w:rPr>
          <w:snapToGrid w:val="0"/>
        </w:rPr>
        <w:tab/>
        <w:t xml:space="preserve">the </w:t>
      </w:r>
      <w:r>
        <w:t xml:space="preserve">CEO </w:t>
      </w:r>
      <w:r>
        <w:rPr>
          <w:snapToGrid w:val="0"/>
        </w:rPr>
        <w:t xml:space="preserve">may, by written notice given to the person, cancel the licence or suspend it for such period as the </w:t>
      </w:r>
      <w:r>
        <w:t xml:space="preserve">CEO </w:t>
      </w:r>
      <w:r>
        <w:rPr>
          <w:snapToGrid w:val="0"/>
        </w:rPr>
        <w:t>thinks fit.</w:t>
      </w:r>
    </w:p>
    <w:p>
      <w:pPr>
        <w:pStyle w:val="Subsection"/>
        <w:rPr>
          <w:snapToGrid w:val="0"/>
        </w:rPr>
      </w:pPr>
      <w:r>
        <w:rPr>
          <w:snapToGrid w:val="0"/>
        </w:rPr>
        <w:tab/>
        <w:t>(2)</w:t>
      </w:r>
      <w:r>
        <w:rPr>
          <w:snapToGrid w:val="0"/>
        </w:rPr>
        <w:tab/>
        <w:t>A suspension of a licence may relate to the doing of some, but not all, of the things authorised by the licence.</w:t>
      </w:r>
    </w:p>
    <w:p>
      <w:pPr>
        <w:pStyle w:val="Footnotesection"/>
      </w:pPr>
      <w:r>
        <w:tab/>
        <w:t>[Regulation 86 amended in Gazette 29 Sep 2006 p. 4334.]</w:t>
      </w:r>
    </w:p>
    <w:p>
      <w:pPr>
        <w:pStyle w:val="Heading5"/>
        <w:rPr>
          <w:snapToGrid w:val="0"/>
        </w:rPr>
      </w:pPr>
      <w:bookmarkStart w:id="290" w:name="_Toc408498878"/>
      <w:bookmarkStart w:id="291" w:name="_Toc423343147"/>
      <w:r>
        <w:rPr>
          <w:rStyle w:val="CharSectno"/>
        </w:rPr>
        <w:t>87</w:t>
      </w:r>
      <w:r>
        <w:rPr>
          <w:snapToGrid w:val="0"/>
        </w:rPr>
        <w:t>.</w:t>
      </w:r>
      <w:r>
        <w:rPr>
          <w:snapToGrid w:val="0"/>
        </w:rPr>
        <w:tab/>
        <w:t>Notice of proposed cancellation or suspension</w:t>
      </w:r>
      <w:bookmarkEnd w:id="290"/>
      <w:bookmarkEnd w:id="291"/>
      <w:r>
        <w:rPr>
          <w:snapToGrid w:val="0"/>
        </w:rPr>
        <w:t xml:space="preserve"> </w:t>
      </w:r>
    </w:p>
    <w:p>
      <w:pPr>
        <w:pStyle w:val="Subsection"/>
        <w:rPr>
          <w:snapToGrid w:val="0"/>
        </w:rPr>
      </w:pPr>
      <w:r>
        <w:rPr>
          <w:snapToGrid w:val="0"/>
        </w:rPr>
        <w:tab/>
        <w:t>(1)</w:t>
      </w:r>
      <w:r>
        <w:rPr>
          <w:snapToGrid w:val="0"/>
        </w:rPr>
        <w:tab/>
        <w:t xml:space="preserve">If the </w:t>
      </w:r>
      <w:r>
        <w:t xml:space="preserve">CEO </w:t>
      </w:r>
      <w:r>
        <w:rPr>
          <w:snapToGrid w:val="0"/>
        </w:rPr>
        <w:t xml:space="preserve">proposes to cancel or suspend a licence, the </w:t>
      </w:r>
      <w:r>
        <w:t xml:space="preserve">CEO </w:t>
      </w:r>
      <w:r>
        <w:rPr>
          <w:snapToGrid w:val="0"/>
        </w:rPr>
        <w:t>is to give to the holder of the licence written notice of the proposal and the CEO’s reasons for the proposal.</w:t>
      </w:r>
    </w:p>
    <w:p>
      <w:pPr>
        <w:pStyle w:val="Subsection"/>
        <w:rPr>
          <w:snapToGrid w:val="0"/>
        </w:rPr>
      </w:pPr>
      <w:r>
        <w:rPr>
          <w:snapToGrid w:val="0"/>
        </w:rPr>
        <w:tab/>
        <w:t>(2)</w:t>
      </w:r>
      <w:r>
        <w:rPr>
          <w:snapToGrid w:val="0"/>
        </w:rPr>
        <w:tab/>
        <w:t xml:space="preserve">A notice given under subregulation (1) is to state that within a specified number of days after the notice is given, the person to whom it is given may make written representations to the </w:t>
      </w:r>
      <w:r>
        <w:t xml:space="preserve">CEO </w:t>
      </w:r>
      <w:r>
        <w:rPr>
          <w:snapToGrid w:val="0"/>
        </w:rPr>
        <w:t xml:space="preserve">concerning the proposal and the </w:t>
      </w:r>
      <w:r>
        <w:t xml:space="preserve">CEO </w:t>
      </w:r>
      <w:r>
        <w:rPr>
          <w:snapToGrid w:val="0"/>
        </w:rPr>
        <w:t>is not to give effect to the proposal without considering any representations received within that period.</w:t>
      </w:r>
    </w:p>
    <w:p>
      <w:pPr>
        <w:pStyle w:val="Subsection"/>
        <w:rPr>
          <w:snapToGrid w:val="0"/>
        </w:rPr>
      </w:pPr>
      <w:r>
        <w:rPr>
          <w:snapToGrid w:val="0"/>
        </w:rPr>
        <w:tab/>
        <w:t>(3)</w:t>
      </w:r>
      <w:r>
        <w:rPr>
          <w:snapToGrid w:val="0"/>
        </w:rPr>
        <w:tab/>
        <w:t>The number of days to be specified in a notice under subregulation (2) is to be not less than — </w:t>
      </w:r>
    </w:p>
    <w:p>
      <w:pPr>
        <w:pStyle w:val="Indenta"/>
        <w:rPr>
          <w:snapToGrid w:val="0"/>
        </w:rPr>
      </w:pPr>
      <w:r>
        <w:rPr>
          <w:snapToGrid w:val="0"/>
        </w:rPr>
        <w:tab/>
        <w:t>(a)</w:t>
      </w:r>
      <w:r>
        <w:rPr>
          <w:snapToGrid w:val="0"/>
        </w:rPr>
        <w:tab/>
        <w:t>21 days in the case of a proposal to cancel a licence; or</w:t>
      </w:r>
    </w:p>
    <w:p>
      <w:pPr>
        <w:pStyle w:val="Indenta"/>
        <w:rPr>
          <w:snapToGrid w:val="0"/>
        </w:rPr>
      </w:pPr>
      <w:r>
        <w:rPr>
          <w:snapToGrid w:val="0"/>
        </w:rPr>
        <w:tab/>
        <w:t>(b)</w:t>
      </w:r>
      <w:r>
        <w:rPr>
          <w:snapToGrid w:val="0"/>
        </w:rPr>
        <w:tab/>
        <w:t>7 days in the case of a proposal to suspend a licence.</w:t>
      </w:r>
    </w:p>
    <w:p>
      <w:pPr>
        <w:pStyle w:val="Subsection"/>
        <w:rPr>
          <w:snapToGrid w:val="0"/>
        </w:rPr>
      </w:pPr>
      <w:r>
        <w:rPr>
          <w:snapToGrid w:val="0"/>
        </w:rPr>
        <w:tab/>
        <w:t>(4)</w:t>
      </w:r>
      <w:r>
        <w:rPr>
          <w:snapToGrid w:val="0"/>
        </w:rPr>
        <w:tab/>
        <w:t xml:space="preserve">If for any reason a notice cannot be given to a person under subregulation (1), when read with section 76 of the </w:t>
      </w:r>
      <w:r>
        <w:rPr>
          <w:i/>
          <w:snapToGrid w:val="0"/>
        </w:rPr>
        <w:t>Interpretation Act 1984</w:t>
      </w:r>
      <w:r>
        <w:rPr>
          <w:snapToGrid w:val="0"/>
        </w:rPr>
        <w:t>,</w:t>
      </w:r>
      <w:r>
        <w:rPr>
          <w:i/>
          <w:snapToGrid w:val="0"/>
        </w:rPr>
        <w:t xml:space="preserve"> </w:t>
      </w:r>
      <w:r>
        <w:rPr>
          <w:snapToGrid w:val="0"/>
        </w:rPr>
        <w:t xml:space="preserve">the </w:t>
      </w:r>
      <w:r>
        <w:t xml:space="preserve">CEO </w:t>
      </w:r>
      <w:r>
        <w:rPr>
          <w:snapToGrid w:val="0"/>
        </w:rPr>
        <w:t>may give the notice to that person by publishing a copy of the notice addressed to that person in a newspaper circulating in the area in which the person was last known to be.</w:t>
      </w:r>
    </w:p>
    <w:p>
      <w:pPr>
        <w:pStyle w:val="Footnotesection"/>
        <w:spacing w:before="100"/>
      </w:pPr>
      <w:r>
        <w:tab/>
        <w:t>[Regulation 87 amended in Gazette 29 Sep 2006 p. 4319 and 4334.]</w:t>
      </w:r>
    </w:p>
    <w:p>
      <w:pPr>
        <w:pStyle w:val="Heading5"/>
        <w:spacing w:before="240"/>
        <w:rPr>
          <w:snapToGrid w:val="0"/>
        </w:rPr>
      </w:pPr>
      <w:bookmarkStart w:id="292" w:name="_Toc408498879"/>
      <w:bookmarkStart w:id="293" w:name="_Toc423343148"/>
      <w:r>
        <w:rPr>
          <w:rStyle w:val="CharSectno"/>
        </w:rPr>
        <w:t>88</w:t>
      </w:r>
      <w:r>
        <w:rPr>
          <w:snapToGrid w:val="0"/>
        </w:rPr>
        <w:t>.</w:t>
      </w:r>
      <w:r>
        <w:rPr>
          <w:snapToGrid w:val="0"/>
        </w:rPr>
        <w:tab/>
        <w:t>Return of licence</w:t>
      </w:r>
      <w:bookmarkEnd w:id="292"/>
      <w:bookmarkEnd w:id="293"/>
      <w:r>
        <w:rPr>
          <w:snapToGrid w:val="0"/>
        </w:rPr>
        <w:t xml:space="preserve"> </w:t>
      </w:r>
    </w:p>
    <w:p>
      <w:pPr>
        <w:pStyle w:val="Subsection"/>
        <w:spacing w:before="150"/>
        <w:rPr>
          <w:snapToGrid w:val="0"/>
        </w:rPr>
      </w:pPr>
      <w:r>
        <w:rPr>
          <w:snapToGrid w:val="0"/>
        </w:rPr>
        <w:tab/>
        <w:t>(1)</w:t>
      </w:r>
      <w:r>
        <w:rPr>
          <w:snapToGrid w:val="0"/>
        </w:rPr>
        <w:tab/>
        <w:t xml:space="preserve">The </w:t>
      </w:r>
      <w:r>
        <w:t xml:space="preserve">CEO </w:t>
      </w:r>
      <w:r>
        <w:rPr>
          <w:snapToGrid w:val="0"/>
        </w:rPr>
        <w:t xml:space="preserve">may require the holder of a licence to return the licence to the </w:t>
      </w:r>
      <w:r>
        <w:t xml:space="preserve">CEO </w:t>
      </w:r>
      <w:r>
        <w:rPr>
          <w:snapToGrid w:val="0"/>
        </w:rPr>
        <w:t>where the licence has been cancelled, suspended or has not been renewed.</w:t>
      </w:r>
    </w:p>
    <w:p>
      <w:pPr>
        <w:pStyle w:val="Subsection"/>
        <w:spacing w:before="150"/>
        <w:rPr>
          <w:snapToGrid w:val="0"/>
        </w:rPr>
      </w:pPr>
      <w:r>
        <w:rPr>
          <w:snapToGrid w:val="0"/>
        </w:rPr>
        <w:tab/>
        <w:t>(2)</w:t>
      </w:r>
      <w:r>
        <w:rPr>
          <w:snapToGrid w:val="0"/>
        </w:rPr>
        <w:tab/>
        <w:t xml:space="preserve">A person must comply with a requirement made of that person by the </w:t>
      </w:r>
      <w:r>
        <w:t xml:space="preserve">CEO </w:t>
      </w:r>
      <w:r>
        <w:rPr>
          <w:snapToGrid w:val="0"/>
        </w:rPr>
        <w:t>under subregulation (1).</w:t>
      </w:r>
    </w:p>
    <w:p>
      <w:pPr>
        <w:pStyle w:val="Penstart"/>
        <w:rPr>
          <w:snapToGrid w:val="0"/>
        </w:rPr>
      </w:pPr>
      <w:r>
        <w:rPr>
          <w:snapToGrid w:val="0"/>
        </w:rPr>
        <w:tab/>
        <w:t>Penalty:</w:t>
      </w:r>
      <w:r>
        <w:t xml:space="preserve"> a fine of</w:t>
      </w:r>
      <w:r>
        <w:rPr>
          <w:snapToGrid w:val="0"/>
        </w:rPr>
        <w:t xml:space="preserve"> $500.</w:t>
      </w:r>
    </w:p>
    <w:p>
      <w:pPr>
        <w:pStyle w:val="Footnotesection"/>
        <w:spacing w:before="100"/>
      </w:pPr>
      <w:r>
        <w:tab/>
        <w:t>[Regulation 88 amended in Gazette 29 Sep 2006 p. 4334; 3 Dec 2010 p. 6052</w:t>
      </w:r>
      <w:r>
        <w:noBreakHyphen/>
        <w:t>4.]</w:t>
      </w:r>
    </w:p>
    <w:p>
      <w:pPr>
        <w:pStyle w:val="Heading3"/>
      </w:pPr>
      <w:bookmarkStart w:id="294" w:name="_Toc408498880"/>
      <w:bookmarkStart w:id="295" w:name="_Toc414889302"/>
      <w:bookmarkStart w:id="296" w:name="_Toc414975248"/>
      <w:bookmarkStart w:id="297" w:name="_Toc417563730"/>
      <w:bookmarkStart w:id="298" w:name="_Toc423340551"/>
      <w:bookmarkStart w:id="299" w:name="_Toc423343149"/>
      <w:r>
        <w:rPr>
          <w:rStyle w:val="CharDivNo"/>
        </w:rPr>
        <w:t>Division 2</w:t>
      </w:r>
      <w:r>
        <w:rPr>
          <w:snapToGrid w:val="0"/>
        </w:rPr>
        <w:t xml:space="preserve"> — </w:t>
      </w:r>
      <w:r>
        <w:rPr>
          <w:rStyle w:val="CharDivText"/>
        </w:rPr>
        <w:t>Scientific purposes licences</w:t>
      </w:r>
      <w:bookmarkEnd w:id="294"/>
      <w:bookmarkEnd w:id="295"/>
      <w:bookmarkEnd w:id="296"/>
      <w:bookmarkEnd w:id="297"/>
      <w:bookmarkEnd w:id="298"/>
      <w:bookmarkEnd w:id="299"/>
      <w:r>
        <w:rPr>
          <w:rStyle w:val="CharDivText"/>
        </w:rPr>
        <w:t xml:space="preserve"> </w:t>
      </w:r>
    </w:p>
    <w:p>
      <w:pPr>
        <w:pStyle w:val="Heading5"/>
        <w:spacing w:before="240"/>
        <w:rPr>
          <w:snapToGrid w:val="0"/>
        </w:rPr>
      </w:pPr>
      <w:bookmarkStart w:id="300" w:name="_Toc408498881"/>
      <w:bookmarkStart w:id="301" w:name="_Toc423343150"/>
      <w:r>
        <w:rPr>
          <w:rStyle w:val="CharSectno"/>
        </w:rPr>
        <w:t>89</w:t>
      </w:r>
      <w:r>
        <w:rPr>
          <w:snapToGrid w:val="0"/>
        </w:rPr>
        <w:t>.</w:t>
      </w:r>
      <w:r>
        <w:rPr>
          <w:snapToGrid w:val="0"/>
        </w:rPr>
        <w:tab/>
        <w:t>Scientific purposes licence</w:t>
      </w:r>
      <w:bookmarkEnd w:id="300"/>
      <w:bookmarkEnd w:id="301"/>
      <w:r>
        <w:rPr>
          <w:snapToGrid w:val="0"/>
        </w:rPr>
        <w:t xml:space="preserve"> </w:t>
      </w:r>
    </w:p>
    <w:p>
      <w:pPr>
        <w:pStyle w:val="Subsection"/>
        <w:spacing w:before="150"/>
        <w:rPr>
          <w:snapToGrid w:val="0"/>
        </w:rPr>
      </w:pPr>
      <w:r>
        <w:rPr>
          <w:snapToGrid w:val="0"/>
        </w:rPr>
        <w:tab/>
      </w:r>
      <w:r>
        <w:rPr>
          <w:snapToGrid w:val="0"/>
        </w:rPr>
        <w:tab/>
        <w:t xml:space="preserve">The </w:t>
      </w:r>
      <w:r>
        <w:t xml:space="preserve">CEO </w:t>
      </w:r>
      <w:r>
        <w:rPr>
          <w:snapToGrid w:val="0"/>
        </w:rPr>
        <w:t>may grant a licence to take flora and fauna (including fish and pearl oyster) in a marine nature reserve, marine park or marine management area for scientific purposes.</w:t>
      </w:r>
    </w:p>
    <w:p>
      <w:pPr>
        <w:pStyle w:val="Footnotesection"/>
        <w:spacing w:before="100"/>
      </w:pPr>
      <w:r>
        <w:tab/>
        <w:t>[Regulation 89 amended in Gazette 29 Sep 2006 p. 4334.]</w:t>
      </w:r>
    </w:p>
    <w:p>
      <w:pPr>
        <w:pStyle w:val="Heading5"/>
        <w:spacing w:before="240"/>
        <w:rPr>
          <w:snapToGrid w:val="0"/>
        </w:rPr>
      </w:pPr>
      <w:bookmarkStart w:id="302" w:name="_Toc408498882"/>
      <w:bookmarkStart w:id="303" w:name="_Toc423343151"/>
      <w:r>
        <w:rPr>
          <w:rStyle w:val="CharSectno"/>
        </w:rPr>
        <w:t>90</w:t>
      </w:r>
      <w:r>
        <w:rPr>
          <w:snapToGrid w:val="0"/>
        </w:rPr>
        <w:t>.</w:t>
      </w:r>
      <w:r>
        <w:rPr>
          <w:snapToGrid w:val="0"/>
        </w:rPr>
        <w:tab/>
        <w:t>Application for scientific purposes licence</w:t>
      </w:r>
      <w:bookmarkEnd w:id="302"/>
      <w:bookmarkEnd w:id="303"/>
      <w:r>
        <w:rPr>
          <w:snapToGrid w:val="0"/>
        </w:rPr>
        <w:t xml:space="preserve"> </w:t>
      </w:r>
    </w:p>
    <w:p>
      <w:pPr>
        <w:pStyle w:val="Subsection"/>
        <w:rPr>
          <w:snapToGrid w:val="0"/>
        </w:rPr>
      </w:pPr>
      <w:r>
        <w:rPr>
          <w:snapToGrid w:val="0"/>
        </w:rPr>
        <w:tab/>
      </w:r>
      <w:r>
        <w:rPr>
          <w:snapToGrid w:val="0"/>
        </w:rPr>
        <w:tab/>
        <w:t xml:space="preserve">An application for a scientific purposes licence is to specify the flora and fauna the applicant proposes to take. </w:t>
      </w:r>
    </w:p>
    <w:p>
      <w:pPr>
        <w:pStyle w:val="Heading5"/>
        <w:spacing w:before="240"/>
        <w:rPr>
          <w:snapToGrid w:val="0"/>
        </w:rPr>
      </w:pPr>
      <w:bookmarkStart w:id="304" w:name="_Toc408498883"/>
      <w:bookmarkStart w:id="305" w:name="_Toc423343152"/>
      <w:r>
        <w:rPr>
          <w:rStyle w:val="CharSectno"/>
        </w:rPr>
        <w:t>91</w:t>
      </w:r>
      <w:r>
        <w:rPr>
          <w:snapToGrid w:val="0"/>
        </w:rPr>
        <w:t>.</w:t>
      </w:r>
      <w:r>
        <w:rPr>
          <w:snapToGrid w:val="0"/>
        </w:rPr>
        <w:tab/>
        <w:t>Duration of scientific purposes licence</w:t>
      </w:r>
      <w:bookmarkEnd w:id="304"/>
      <w:bookmarkEnd w:id="305"/>
      <w:r>
        <w:rPr>
          <w:snapToGrid w:val="0"/>
        </w:rPr>
        <w:t xml:space="preserve"> </w:t>
      </w:r>
    </w:p>
    <w:p>
      <w:pPr>
        <w:pStyle w:val="Subsection"/>
        <w:rPr>
          <w:snapToGrid w:val="0"/>
        </w:rPr>
      </w:pPr>
      <w:r>
        <w:rPr>
          <w:snapToGrid w:val="0"/>
        </w:rPr>
        <w:tab/>
      </w:r>
      <w:r>
        <w:rPr>
          <w:snapToGrid w:val="0"/>
        </w:rPr>
        <w:tab/>
        <w:t>Subject to this Part, a scientific purposes licence remains current for the period specified in the licence.</w:t>
      </w:r>
    </w:p>
    <w:p>
      <w:pPr>
        <w:pStyle w:val="Heading5"/>
        <w:rPr>
          <w:snapToGrid w:val="0"/>
        </w:rPr>
      </w:pPr>
      <w:bookmarkStart w:id="306" w:name="_Toc408498884"/>
      <w:bookmarkStart w:id="307" w:name="_Toc423343153"/>
      <w:r>
        <w:rPr>
          <w:rStyle w:val="CharSectno"/>
        </w:rPr>
        <w:t>92</w:t>
      </w:r>
      <w:r>
        <w:rPr>
          <w:snapToGrid w:val="0"/>
        </w:rPr>
        <w:t>.</w:t>
      </w:r>
      <w:r>
        <w:rPr>
          <w:snapToGrid w:val="0"/>
        </w:rPr>
        <w:tab/>
        <w:t>Renewal of scientific purposes licence</w:t>
      </w:r>
      <w:bookmarkEnd w:id="306"/>
      <w:bookmarkEnd w:id="307"/>
    </w:p>
    <w:p>
      <w:pPr>
        <w:pStyle w:val="Subsection"/>
        <w:spacing w:before="180"/>
      </w:pPr>
      <w:r>
        <w:tab/>
      </w:r>
      <w:r>
        <w:tab/>
        <w:t>The CEO may, on payment of the appropriate fee specified in Schedule 1 Division 8, renew the scientific purposes licence of any person for a further period determined by the CEO.</w:t>
      </w:r>
    </w:p>
    <w:p>
      <w:pPr>
        <w:pStyle w:val="Footnotesection"/>
      </w:pPr>
      <w:r>
        <w:tab/>
        <w:t>[Regulation 92 amended in Gazette 29 Sep 2006 p. 4334.]</w:t>
      </w:r>
    </w:p>
    <w:p>
      <w:pPr>
        <w:pStyle w:val="Heading5"/>
        <w:spacing w:before="240"/>
        <w:rPr>
          <w:snapToGrid w:val="0"/>
        </w:rPr>
      </w:pPr>
      <w:bookmarkStart w:id="308" w:name="_Toc408498885"/>
      <w:bookmarkStart w:id="309" w:name="_Toc423343154"/>
      <w:r>
        <w:rPr>
          <w:rStyle w:val="CharSectno"/>
        </w:rPr>
        <w:t>93</w:t>
      </w:r>
      <w:r>
        <w:rPr>
          <w:snapToGrid w:val="0"/>
        </w:rPr>
        <w:t>.</w:t>
      </w:r>
      <w:r>
        <w:rPr>
          <w:snapToGrid w:val="0"/>
        </w:rPr>
        <w:tab/>
        <w:t>Conditions and restrictions</w:t>
      </w:r>
      <w:bookmarkEnd w:id="308"/>
      <w:bookmarkEnd w:id="309"/>
      <w:r>
        <w:rPr>
          <w:snapToGrid w:val="0"/>
        </w:rPr>
        <w:t xml:space="preserve"> </w:t>
      </w:r>
    </w:p>
    <w:p>
      <w:pPr>
        <w:pStyle w:val="Subsection"/>
        <w:spacing w:before="180"/>
        <w:rPr>
          <w:snapToGrid w:val="0"/>
        </w:rPr>
      </w:pPr>
      <w:r>
        <w:rPr>
          <w:snapToGrid w:val="0"/>
        </w:rPr>
        <w:tab/>
        <w:t>(1)</w:t>
      </w:r>
      <w:r>
        <w:rPr>
          <w:snapToGrid w:val="0"/>
        </w:rPr>
        <w:tab/>
        <w:t xml:space="preserve">A scientific purposes licence may be granted subject to such conditions and restrictions as the </w:t>
      </w:r>
      <w:r>
        <w:t xml:space="preserve">CEO </w:t>
      </w:r>
      <w:r>
        <w:rPr>
          <w:snapToGrid w:val="0"/>
        </w:rPr>
        <w:t>thinks fit, including conditions and restrictions as to — </w:t>
      </w:r>
    </w:p>
    <w:p>
      <w:pPr>
        <w:pStyle w:val="Indenta"/>
        <w:rPr>
          <w:snapToGrid w:val="0"/>
        </w:rPr>
      </w:pPr>
      <w:r>
        <w:rPr>
          <w:snapToGrid w:val="0"/>
        </w:rPr>
        <w:tab/>
        <w:t>(a)</w:t>
      </w:r>
      <w:r>
        <w:rPr>
          <w:snapToGrid w:val="0"/>
        </w:rPr>
        <w:tab/>
        <w:t>the marine nature reserves, marine parks and marine management areas in which the holder of the licence may take flora and fauna for scientific purposes; and</w:t>
      </w:r>
    </w:p>
    <w:p>
      <w:pPr>
        <w:pStyle w:val="Indenta"/>
        <w:rPr>
          <w:snapToGrid w:val="0"/>
        </w:rPr>
      </w:pPr>
      <w:r>
        <w:rPr>
          <w:snapToGrid w:val="0"/>
        </w:rPr>
        <w:tab/>
        <w:t>(b)</w:t>
      </w:r>
      <w:r>
        <w:rPr>
          <w:snapToGrid w:val="0"/>
        </w:rPr>
        <w:tab/>
        <w:t>the scientific purposes for which the flora and fauna may be used; and</w:t>
      </w:r>
    </w:p>
    <w:p>
      <w:pPr>
        <w:pStyle w:val="Indenta"/>
        <w:rPr>
          <w:snapToGrid w:val="0"/>
        </w:rPr>
      </w:pPr>
      <w:r>
        <w:rPr>
          <w:snapToGrid w:val="0"/>
        </w:rPr>
        <w:tab/>
        <w:t>(c)</w:t>
      </w:r>
      <w:r>
        <w:rPr>
          <w:snapToGrid w:val="0"/>
        </w:rPr>
        <w:tab/>
        <w:t>the species, and the greatest number of each or any species, that may be taken, held or disposed of; and</w:t>
      </w:r>
    </w:p>
    <w:p>
      <w:pPr>
        <w:pStyle w:val="Indenta"/>
        <w:rPr>
          <w:snapToGrid w:val="0"/>
        </w:rPr>
      </w:pPr>
      <w:r>
        <w:rPr>
          <w:snapToGrid w:val="0"/>
        </w:rPr>
        <w:tab/>
        <w:t>(d)</w:t>
      </w:r>
      <w:r>
        <w:rPr>
          <w:snapToGrid w:val="0"/>
        </w:rPr>
        <w:tab/>
        <w:t>the part or parts of the State in which the flora or fauna may be taken, held or released.</w:t>
      </w:r>
    </w:p>
    <w:p>
      <w:pPr>
        <w:pStyle w:val="Subsection"/>
        <w:spacing w:before="180"/>
        <w:rPr>
          <w:snapToGrid w:val="0"/>
        </w:rPr>
      </w:pPr>
      <w:r>
        <w:rPr>
          <w:snapToGrid w:val="0"/>
        </w:rPr>
        <w:tab/>
        <w:t>(2)</w:t>
      </w:r>
      <w:r>
        <w:rPr>
          <w:snapToGrid w:val="0"/>
        </w:rPr>
        <w:tab/>
        <w:t xml:space="preserve">The </w:t>
      </w:r>
      <w:r>
        <w:t xml:space="preserve">CEO </w:t>
      </w:r>
      <w:r>
        <w:rPr>
          <w:snapToGrid w:val="0"/>
        </w:rPr>
        <w:t xml:space="preserve">is not to impose any restrictions on the taking, in a marine park or marine management area — </w:t>
      </w:r>
    </w:p>
    <w:p>
      <w:pPr>
        <w:pStyle w:val="Indenta"/>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pPr>
      <w:r>
        <w:tab/>
        <w:t>(b)</w:t>
      </w:r>
      <w:r>
        <w:tab/>
        <w:t xml:space="preserve">of pearl oyster, within the meaning of the </w:t>
      </w:r>
      <w:r>
        <w:rPr>
          <w:i/>
        </w:rPr>
        <w:t>Pearling Act 1990</w:t>
      </w:r>
      <w:r>
        <w:t xml:space="preserve">, in accordance with that Act. </w:t>
      </w:r>
    </w:p>
    <w:p>
      <w:pPr>
        <w:pStyle w:val="Subsection"/>
      </w:pPr>
      <w:r>
        <w:tab/>
        <w:t>(3)</w:t>
      </w:r>
      <w:r>
        <w:tab/>
        <w:t>The prohibition in subregulation (2)(a) does not include a restriction that relates to conduct or activity other than the taking of fish but that incidentally affects the taking of fish.</w:t>
      </w:r>
    </w:p>
    <w:p>
      <w:pPr>
        <w:pStyle w:val="Subsection"/>
        <w:keepNext/>
        <w:rPr>
          <w:snapToGrid w:val="0"/>
        </w:rPr>
      </w:pPr>
      <w:r>
        <w:rPr>
          <w:snapToGrid w:val="0"/>
        </w:rPr>
        <w:tab/>
        <w:t>(4)</w:t>
      </w:r>
      <w:r>
        <w:rPr>
          <w:snapToGrid w:val="0"/>
        </w:rPr>
        <w:tab/>
        <w:t>Where a scientific purposes licence is granted subject to conditions or restrictions, those conditions or restrictions — </w:t>
      </w:r>
    </w:p>
    <w:p>
      <w:pPr>
        <w:pStyle w:val="Indenta"/>
        <w:rPr>
          <w:snapToGrid w:val="0"/>
        </w:rPr>
      </w:pPr>
      <w:r>
        <w:rPr>
          <w:snapToGrid w:val="0"/>
        </w:rPr>
        <w:tab/>
        <w:t>(a)</w:t>
      </w:r>
      <w:r>
        <w:rPr>
          <w:snapToGrid w:val="0"/>
        </w:rPr>
        <w:tab/>
        <w:t>are to be endorsed upon or attached to the licence when granted;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(5)</w:t>
      </w:r>
      <w:r>
        <w:rPr>
          <w:snapToGrid w:val="0"/>
        </w:rPr>
        <w:tab/>
        <w:t>The holder of a scientific purposes licence must not contravene a condition or restriction endorsed upon or attached to the licence.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93 amended in Gazette 4 Oct 2002 p. 5065; 29 Sep 2006 p. 4334; 3 Dec 2010 p. 6052</w:t>
      </w:r>
      <w:r>
        <w:noBreakHyphen/>
        <w:t>4; 19 Sep 2014 p. 3336.]</w:t>
      </w:r>
    </w:p>
    <w:p>
      <w:pPr>
        <w:pStyle w:val="Heading3"/>
      </w:pPr>
      <w:bookmarkStart w:id="310" w:name="_Toc408498886"/>
      <w:bookmarkStart w:id="311" w:name="_Toc414889308"/>
      <w:bookmarkStart w:id="312" w:name="_Toc414975254"/>
      <w:bookmarkStart w:id="313" w:name="_Toc417563736"/>
      <w:bookmarkStart w:id="314" w:name="_Toc423340557"/>
      <w:bookmarkStart w:id="315" w:name="_Toc423343155"/>
      <w:r>
        <w:rPr>
          <w:rStyle w:val="CharDivNo"/>
        </w:rPr>
        <w:t>Division 3</w:t>
      </w:r>
      <w:r>
        <w:rPr>
          <w:snapToGrid w:val="0"/>
        </w:rPr>
        <w:t xml:space="preserve"> — </w:t>
      </w:r>
      <w:r>
        <w:rPr>
          <w:rStyle w:val="CharDivText"/>
        </w:rPr>
        <w:t>Commercial operations licences</w:t>
      </w:r>
      <w:bookmarkEnd w:id="310"/>
      <w:bookmarkEnd w:id="311"/>
      <w:bookmarkEnd w:id="312"/>
      <w:bookmarkEnd w:id="313"/>
      <w:bookmarkEnd w:id="314"/>
      <w:bookmarkEnd w:id="315"/>
      <w:r>
        <w:rPr>
          <w:rStyle w:val="CharDivText"/>
        </w:rPr>
        <w:t xml:space="preserve"> </w:t>
      </w:r>
    </w:p>
    <w:p>
      <w:pPr>
        <w:pStyle w:val="Heading5"/>
        <w:rPr>
          <w:snapToGrid w:val="0"/>
        </w:rPr>
      </w:pPr>
      <w:bookmarkStart w:id="316" w:name="_Toc408498887"/>
      <w:bookmarkStart w:id="317" w:name="_Toc423343156"/>
      <w:r>
        <w:rPr>
          <w:rStyle w:val="CharSectno"/>
        </w:rPr>
        <w:t>94</w:t>
      </w:r>
      <w:r>
        <w:rPr>
          <w:snapToGrid w:val="0"/>
        </w:rPr>
        <w:t>.</w:t>
      </w:r>
      <w:r>
        <w:rPr>
          <w:snapToGrid w:val="0"/>
        </w:rPr>
        <w:tab/>
        <w:t>Commercial operations licence</w:t>
      </w:r>
      <w:bookmarkEnd w:id="316"/>
      <w:bookmarkEnd w:id="317"/>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grant a licence to any person to sell goods or services, or to undertake an activity for a commercial purpose, on an area of CALM land.</w:t>
      </w:r>
    </w:p>
    <w:p>
      <w:pPr>
        <w:pStyle w:val="Subsection"/>
      </w:pPr>
      <w:r>
        <w:rPr>
          <w:snapToGrid w:val="0"/>
        </w:rPr>
        <w:tab/>
        <w:t>(2)</w:t>
      </w:r>
      <w:r>
        <w:rPr>
          <w:snapToGrid w:val="0"/>
        </w:rPr>
        <w:tab/>
      </w:r>
      <w:r>
        <w:t>The CEO may not grant a licence under this regulation to take or remove forest produce or other flora from land to which Part VIII Division 2 of the Act applies and which is vested in the Conservation Commission.</w:t>
      </w:r>
    </w:p>
    <w:p>
      <w:pPr>
        <w:pStyle w:val="Footnotesection"/>
      </w:pPr>
      <w:r>
        <w:tab/>
        <w:t>[Regulation 94 amended in Gazette 29 Sep 2006 p. 4334.]</w:t>
      </w:r>
    </w:p>
    <w:p>
      <w:pPr>
        <w:pStyle w:val="Heading5"/>
        <w:rPr>
          <w:snapToGrid w:val="0"/>
        </w:rPr>
      </w:pPr>
      <w:bookmarkStart w:id="318" w:name="_Toc408498888"/>
      <w:bookmarkStart w:id="319" w:name="_Toc423343157"/>
      <w:r>
        <w:rPr>
          <w:rStyle w:val="CharSectno"/>
        </w:rPr>
        <w:t>95</w:t>
      </w:r>
      <w:r>
        <w:rPr>
          <w:snapToGrid w:val="0"/>
        </w:rPr>
        <w:t>.</w:t>
      </w:r>
      <w:r>
        <w:rPr>
          <w:snapToGrid w:val="0"/>
        </w:rPr>
        <w:tab/>
        <w:t>Application for commercial operations licence</w:t>
      </w:r>
      <w:bookmarkEnd w:id="318"/>
      <w:bookmarkEnd w:id="319"/>
      <w:r>
        <w:rPr>
          <w:snapToGrid w:val="0"/>
        </w:rPr>
        <w:t xml:space="preserve"> </w:t>
      </w:r>
    </w:p>
    <w:p>
      <w:pPr>
        <w:pStyle w:val="Subsection"/>
        <w:rPr>
          <w:snapToGrid w:val="0"/>
        </w:rPr>
      </w:pPr>
      <w:r>
        <w:rPr>
          <w:snapToGrid w:val="0"/>
        </w:rPr>
        <w:tab/>
      </w:r>
      <w:r>
        <w:rPr>
          <w:snapToGrid w:val="0"/>
        </w:rPr>
        <w:tab/>
        <w:t>An application for a commercial operations licence is to specify — </w:t>
      </w:r>
    </w:p>
    <w:p>
      <w:pPr>
        <w:pStyle w:val="Indenta"/>
        <w:rPr>
          <w:snapToGrid w:val="0"/>
        </w:rPr>
      </w:pPr>
      <w:r>
        <w:rPr>
          <w:snapToGrid w:val="0"/>
        </w:rPr>
        <w:tab/>
        <w:t>(a)</w:t>
      </w:r>
      <w:r>
        <w:rPr>
          <w:snapToGrid w:val="0"/>
        </w:rPr>
        <w:tab/>
        <w:t>the goods or services the applicant proposes to sell or the activity the applicant proposes to undertake; and</w:t>
      </w:r>
    </w:p>
    <w:p>
      <w:pPr>
        <w:pStyle w:val="Indenta"/>
        <w:rPr>
          <w:snapToGrid w:val="0"/>
        </w:rPr>
      </w:pPr>
      <w:r>
        <w:rPr>
          <w:snapToGrid w:val="0"/>
        </w:rPr>
        <w:tab/>
        <w:t>(b)</w:t>
      </w:r>
      <w:r>
        <w:rPr>
          <w:snapToGrid w:val="0"/>
        </w:rPr>
        <w:tab/>
        <w:t>the places where it is proposed to sell the goods or services or undertake the activity.</w:t>
      </w:r>
    </w:p>
    <w:p>
      <w:pPr>
        <w:pStyle w:val="Heading5"/>
        <w:rPr>
          <w:snapToGrid w:val="0"/>
        </w:rPr>
      </w:pPr>
      <w:bookmarkStart w:id="320" w:name="_Toc408498889"/>
      <w:bookmarkStart w:id="321" w:name="_Toc423343158"/>
      <w:r>
        <w:rPr>
          <w:rStyle w:val="CharSectno"/>
        </w:rPr>
        <w:t>96</w:t>
      </w:r>
      <w:r>
        <w:rPr>
          <w:snapToGrid w:val="0"/>
        </w:rPr>
        <w:t>.</w:t>
      </w:r>
      <w:r>
        <w:rPr>
          <w:snapToGrid w:val="0"/>
        </w:rPr>
        <w:tab/>
        <w:t>Duration of commercial operations licence</w:t>
      </w:r>
      <w:bookmarkEnd w:id="320"/>
      <w:bookmarkEnd w:id="321"/>
      <w:r>
        <w:rPr>
          <w:snapToGrid w:val="0"/>
        </w:rPr>
        <w:t xml:space="preserve"> </w:t>
      </w:r>
    </w:p>
    <w:p>
      <w:pPr>
        <w:pStyle w:val="Subsection"/>
        <w:rPr>
          <w:snapToGrid w:val="0"/>
        </w:rPr>
      </w:pPr>
      <w:r>
        <w:rPr>
          <w:snapToGrid w:val="0"/>
        </w:rPr>
        <w:tab/>
      </w:r>
      <w:r>
        <w:rPr>
          <w:snapToGrid w:val="0"/>
        </w:rPr>
        <w:tab/>
        <w:t>Subject to this Part, a commercial operations licence is valid for such period, not exceeding 10 years, as is specified in the licence.</w:t>
      </w:r>
    </w:p>
    <w:p>
      <w:pPr>
        <w:pStyle w:val="Footnotesection"/>
      </w:pPr>
      <w:r>
        <w:tab/>
        <w:t>[Regulation 96 amended in Gazette 3 Dec 2010 p. 6049.]</w:t>
      </w:r>
    </w:p>
    <w:p>
      <w:pPr>
        <w:pStyle w:val="Heading5"/>
        <w:rPr>
          <w:snapToGrid w:val="0"/>
        </w:rPr>
      </w:pPr>
      <w:bookmarkStart w:id="322" w:name="_Toc408498890"/>
      <w:bookmarkStart w:id="323" w:name="_Toc423343159"/>
      <w:r>
        <w:rPr>
          <w:rStyle w:val="CharSectno"/>
        </w:rPr>
        <w:t>97</w:t>
      </w:r>
      <w:r>
        <w:rPr>
          <w:snapToGrid w:val="0"/>
        </w:rPr>
        <w:t>.</w:t>
      </w:r>
      <w:r>
        <w:rPr>
          <w:snapToGrid w:val="0"/>
        </w:rPr>
        <w:tab/>
        <w:t>Renewal of commercial operations licence</w:t>
      </w:r>
      <w:bookmarkEnd w:id="322"/>
      <w:bookmarkEnd w:id="323"/>
    </w:p>
    <w:p>
      <w:pPr>
        <w:pStyle w:val="Subsection"/>
        <w:rPr>
          <w:snapToGrid w:val="0"/>
        </w:rPr>
      </w:pPr>
      <w:r>
        <w:rPr>
          <w:snapToGrid w:val="0"/>
        </w:rPr>
        <w:tab/>
      </w:r>
      <w:r>
        <w:rPr>
          <w:snapToGrid w:val="0"/>
        </w:rPr>
        <w:tab/>
        <w:t xml:space="preserve">The </w:t>
      </w:r>
      <w:r>
        <w:t xml:space="preserve">CEO </w:t>
      </w:r>
      <w:r>
        <w:rPr>
          <w:snapToGrid w:val="0"/>
        </w:rPr>
        <w:t>may, on payment of the appropriate fee specified in Schedule 1 Division 8, renew the commercial operations licence of any person for a further period not exceeding 5 years.</w:t>
      </w:r>
    </w:p>
    <w:p>
      <w:pPr>
        <w:pStyle w:val="Footnotesection"/>
      </w:pPr>
      <w:r>
        <w:tab/>
        <w:t>[Regulation 97 amended in Gazette 29 Sep 2006 p. 4334.]</w:t>
      </w:r>
    </w:p>
    <w:p>
      <w:pPr>
        <w:pStyle w:val="Heading5"/>
        <w:rPr>
          <w:snapToGrid w:val="0"/>
        </w:rPr>
      </w:pPr>
      <w:bookmarkStart w:id="324" w:name="_Toc408498891"/>
      <w:bookmarkStart w:id="325" w:name="_Toc423343160"/>
      <w:r>
        <w:rPr>
          <w:rStyle w:val="CharSectno"/>
        </w:rPr>
        <w:t>98</w:t>
      </w:r>
      <w:r>
        <w:rPr>
          <w:snapToGrid w:val="0"/>
        </w:rPr>
        <w:t>.</w:t>
      </w:r>
      <w:r>
        <w:rPr>
          <w:snapToGrid w:val="0"/>
        </w:rPr>
        <w:tab/>
        <w:t>Conditions</w:t>
      </w:r>
      <w:bookmarkEnd w:id="324"/>
      <w:bookmarkEnd w:id="325"/>
      <w:r>
        <w:rPr>
          <w:snapToGrid w:val="0"/>
        </w:rPr>
        <w:t xml:space="preserve"> </w:t>
      </w:r>
    </w:p>
    <w:p>
      <w:pPr>
        <w:pStyle w:val="Subsection"/>
        <w:rPr>
          <w:snapToGrid w:val="0"/>
        </w:rPr>
      </w:pPr>
      <w:r>
        <w:rPr>
          <w:snapToGrid w:val="0"/>
        </w:rPr>
        <w:tab/>
        <w:t>(1)</w:t>
      </w:r>
      <w:r>
        <w:rPr>
          <w:snapToGrid w:val="0"/>
        </w:rPr>
        <w:tab/>
        <w:t xml:space="preserve">A commercial operations licence may be granted or renewed subject to such conditions as the </w:t>
      </w:r>
      <w:r>
        <w:t xml:space="preserve">CEO </w:t>
      </w:r>
      <w:r>
        <w:rPr>
          <w:snapToGrid w:val="0"/>
        </w:rPr>
        <w:t>thinks fit, including conditions as to — </w:t>
      </w:r>
    </w:p>
    <w:p>
      <w:pPr>
        <w:pStyle w:val="Indenta"/>
        <w:rPr>
          <w:snapToGrid w:val="0"/>
        </w:rPr>
      </w:pPr>
      <w:r>
        <w:rPr>
          <w:snapToGrid w:val="0"/>
        </w:rPr>
        <w:tab/>
        <w:t>(a)</w:t>
      </w:r>
      <w:r>
        <w:rPr>
          <w:snapToGrid w:val="0"/>
        </w:rPr>
        <w:tab/>
        <w:t>the land to which the licence applies; and</w:t>
      </w:r>
    </w:p>
    <w:p>
      <w:pPr>
        <w:pStyle w:val="Indenta"/>
        <w:rPr>
          <w:snapToGrid w:val="0"/>
        </w:rPr>
      </w:pPr>
      <w:r>
        <w:rPr>
          <w:snapToGrid w:val="0"/>
        </w:rPr>
        <w:tab/>
        <w:t>(b)</w:t>
      </w:r>
      <w:r>
        <w:rPr>
          <w:snapToGrid w:val="0"/>
        </w:rPr>
        <w:tab/>
        <w:t>the class or description of goods, services or activity to which the licence applies; and</w:t>
      </w:r>
    </w:p>
    <w:p>
      <w:pPr>
        <w:pStyle w:val="Indenta"/>
        <w:rPr>
          <w:snapToGrid w:val="0"/>
        </w:rPr>
      </w:pPr>
      <w:r>
        <w:rPr>
          <w:snapToGrid w:val="0"/>
        </w:rPr>
        <w:tab/>
        <w:t>(c)</w:t>
      </w:r>
      <w:r>
        <w:rPr>
          <w:snapToGrid w:val="0"/>
        </w:rPr>
        <w:tab/>
        <w:t>the manner in which the goods or services are to be supplied (including conditions as to the viewing and feeding of fauna) or the activity is to be undertaken; and</w:t>
      </w:r>
    </w:p>
    <w:p>
      <w:pPr>
        <w:pStyle w:val="Indenta"/>
        <w:rPr>
          <w:snapToGrid w:val="0"/>
        </w:rPr>
      </w:pPr>
      <w:r>
        <w:rPr>
          <w:snapToGrid w:val="0"/>
        </w:rPr>
        <w:tab/>
        <w:t>(d)</w:t>
      </w:r>
      <w:r>
        <w:rPr>
          <w:snapToGrid w:val="0"/>
        </w:rPr>
        <w:tab/>
        <w:t>the payment of any charge in relation to the use of land to which these regulations apply and the equipment, services and facilities of the Department.</w:t>
      </w:r>
    </w:p>
    <w:p>
      <w:pPr>
        <w:pStyle w:val="Subsection"/>
        <w:rPr>
          <w:snapToGrid w:val="0"/>
        </w:rPr>
      </w:pPr>
      <w:r>
        <w:rPr>
          <w:snapToGrid w:val="0"/>
        </w:rPr>
        <w:tab/>
        <w:t>(2)</w:t>
      </w:r>
      <w:r>
        <w:rPr>
          <w:snapToGrid w:val="0"/>
        </w:rPr>
        <w:tab/>
        <w:t>Where a commercial operations licence is granted or renewed subject to conditions, those conditions — </w:t>
      </w:r>
    </w:p>
    <w:p>
      <w:pPr>
        <w:pStyle w:val="Indenta"/>
        <w:rPr>
          <w:snapToGrid w:val="0"/>
        </w:rPr>
      </w:pPr>
      <w:r>
        <w:rPr>
          <w:snapToGrid w:val="0"/>
        </w:rPr>
        <w:tab/>
        <w:t>(a)</w:t>
      </w:r>
      <w:r>
        <w:rPr>
          <w:snapToGrid w:val="0"/>
        </w:rPr>
        <w:tab/>
        <w:t>are to be endorsed upon or attached to the licence when granted or renewed, as the case may be;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(3)</w:t>
      </w:r>
      <w:r>
        <w:rPr>
          <w:snapToGrid w:val="0"/>
        </w:rPr>
        <w:tab/>
        <w:t>The holder of a commercial operations licence must not contravene a condition endorsed upon or attached to the licence.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pPr>
      <w:r>
        <w:tab/>
        <w:t>[Regulation 98 amended in Gazette 29 Sep 2006 p. 4334; 3 Dec 2010 p. 6052</w:t>
      </w:r>
      <w:r>
        <w:noBreakHyphen/>
        <w:t>4; 19 Sep 2014 p. 3336.]</w:t>
      </w:r>
    </w:p>
    <w:p>
      <w:pPr>
        <w:pStyle w:val="Heading3"/>
      </w:pPr>
      <w:bookmarkStart w:id="326" w:name="_Toc414975260"/>
      <w:bookmarkStart w:id="327" w:name="_Toc417563742"/>
      <w:bookmarkStart w:id="328" w:name="_Toc423340563"/>
      <w:bookmarkStart w:id="329" w:name="_Toc423343161"/>
      <w:r>
        <w:rPr>
          <w:rStyle w:val="CharDivNo"/>
        </w:rPr>
        <w:t>Division 4</w:t>
      </w:r>
      <w:r>
        <w:t> — </w:t>
      </w:r>
      <w:r>
        <w:rPr>
          <w:rStyle w:val="CharDivText"/>
        </w:rPr>
        <w:t>Rental mooring licence</w:t>
      </w:r>
      <w:bookmarkEnd w:id="326"/>
      <w:bookmarkEnd w:id="327"/>
      <w:bookmarkEnd w:id="328"/>
      <w:bookmarkEnd w:id="329"/>
    </w:p>
    <w:p>
      <w:pPr>
        <w:pStyle w:val="Footnoteheading"/>
      </w:pPr>
      <w:r>
        <w:tab/>
        <w:t>[Heading inserted in Gazette 24 Mar 2015 p. 1036.]</w:t>
      </w:r>
    </w:p>
    <w:p>
      <w:pPr>
        <w:pStyle w:val="Heading5"/>
      </w:pPr>
      <w:bookmarkStart w:id="330" w:name="_Toc423343162"/>
      <w:r>
        <w:rPr>
          <w:rStyle w:val="CharSectno"/>
        </w:rPr>
        <w:t>98AA</w:t>
      </w:r>
      <w:r>
        <w:t>.</w:t>
      </w:r>
      <w:r>
        <w:tab/>
        <w:t>Terms used</w:t>
      </w:r>
      <w:bookmarkEnd w:id="330"/>
    </w:p>
    <w:p>
      <w:pPr>
        <w:pStyle w:val="Subsection"/>
      </w:pPr>
      <w:r>
        <w:tab/>
      </w:r>
      <w:r>
        <w:tab/>
        <w:t xml:space="preserve">In this Division — </w:t>
      </w:r>
    </w:p>
    <w:p>
      <w:pPr>
        <w:pStyle w:val="Defstart"/>
      </w:pPr>
      <w:r>
        <w:tab/>
      </w:r>
      <w:r>
        <w:rPr>
          <w:rStyle w:val="CharDefText"/>
        </w:rPr>
        <w:t>licence holder</w:t>
      </w:r>
      <w:r>
        <w:t xml:space="preserve"> means the holder of a licence granted under regulation 98AC;</w:t>
      </w:r>
    </w:p>
    <w:p>
      <w:pPr>
        <w:pStyle w:val="Defstart"/>
      </w:pPr>
      <w:r>
        <w:tab/>
      </w:r>
      <w:r>
        <w:rPr>
          <w:rStyle w:val="CharDefText"/>
        </w:rPr>
        <w:t>rental mooring</w:t>
      </w:r>
      <w:r>
        <w:t xml:space="preserve"> means a mooring designated as a rental mooring under regulation 98AB;</w:t>
      </w:r>
    </w:p>
    <w:p>
      <w:pPr>
        <w:pStyle w:val="Defstart"/>
      </w:pPr>
      <w:r>
        <w:tab/>
      </w:r>
      <w:r>
        <w:rPr>
          <w:rStyle w:val="CharDefText"/>
        </w:rPr>
        <w:t>rental mooring licence</w:t>
      </w:r>
      <w:r>
        <w:t xml:space="preserve"> means a licence granted under regulation 98AC.</w:t>
      </w:r>
    </w:p>
    <w:p>
      <w:pPr>
        <w:pStyle w:val="Footnotesection"/>
      </w:pPr>
      <w:r>
        <w:tab/>
        <w:t>[Regulation 98AA inserted in Gazette 24 Mar 2015 p. 1036</w:t>
      </w:r>
      <w:r>
        <w:noBreakHyphen/>
        <w:t>7.]</w:t>
      </w:r>
    </w:p>
    <w:p>
      <w:pPr>
        <w:pStyle w:val="Heading5"/>
      </w:pPr>
      <w:bookmarkStart w:id="331" w:name="_Toc423343163"/>
      <w:r>
        <w:t>98AB.</w:t>
      </w:r>
      <w:r>
        <w:tab/>
        <w:t>CEO may designate rental mooring</w:t>
      </w:r>
      <w:bookmarkEnd w:id="331"/>
    </w:p>
    <w:p>
      <w:pPr>
        <w:pStyle w:val="Subsection"/>
      </w:pPr>
      <w:r>
        <w:tab/>
        <w:t>(1)</w:t>
      </w:r>
      <w:r>
        <w:tab/>
        <w:t xml:space="preserve">The CEO may, by notice published in the </w:t>
      </w:r>
      <w:r>
        <w:rPr>
          <w:i/>
        </w:rPr>
        <w:t>Gazette</w:t>
      </w:r>
      <w:r>
        <w:t>, designate a mooring (other than a public mooring) that is on CALM land as a rental mooring.</w:t>
      </w:r>
    </w:p>
    <w:p>
      <w:pPr>
        <w:pStyle w:val="Subsection"/>
      </w:pPr>
      <w:r>
        <w:tab/>
        <w:t>(2)</w:t>
      </w:r>
      <w:r>
        <w:tab/>
        <w:t>A mooring may be declared to be a rental mooring at all times or during a period or periods specified in the notice.</w:t>
      </w:r>
    </w:p>
    <w:p>
      <w:pPr>
        <w:pStyle w:val="Subsection"/>
      </w:pPr>
      <w:r>
        <w:tab/>
        <w:t>(3)</w:t>
      </w:r>
      <w:r>
        <w:tab/>
        <w:t xml:space="preserve">The CEO may, by notice published in the </w:t>
      </w:r>
      <w:r>
        <w:rPr>
          <w:i/>
        </w:rPr>
        <w:t>Gazette</w:t>
      </w:r>
      <w:r>
        <w:t>, amend or revoke any previous notice published under this regulation.</w:t>
      </w:r>
    </w:p>
    <w:p>
      <w:pPr>
        <w:pStyle w:val="Subsection"/>
      </w:pPr>
      <w:r>
        <w:tab/>
        <w:t>(4)</w:t>
      </w:r>
      <w:r>
        <w:tab/>
        <w:t>A notice published under this regulation takes effect on such day after publication as is specified in the notice.</w:t>
      </w:r>
    </w:p>
    <w:p>
      <w:pPr>
        <w:pStyle w:val="Footnotesection"/>
      </w:pPr>
      <w:r>
        <w:tab/>
        <w:t>[Regulation 98AB inserted in Gazette 24 Mar 2015 p. 1037.]</w:t>
      </w:r>
    </w:p>
    <w:p>
      <w:pPr>
        <w:pStyle w:val="Heading5"/>
      </w:pPr>
      <w:bookmarkStart w:id="332" w:name="_Toc423343164"/>
      <w:r>
        <w:rPr>
          <w:rStyle w:val="CharSectno"/>
        </w:rPr>
        <w:t>98AC</w:t>
      </w:r>
      <w:r>
        <w:t>.</w:t>
      </w:r>
      <w:r>
        <w:tab/>
        <w:t>Rental mooring licence</w:t>
      </w:r>
      <w:bookmarkEnd w:id="332"/>
    </w:p>
    <w:p>
      <w:pPr>
        <w:pStyle w:val="Subsection"/>
      </w:pPr>
      <w:r>
        <w:tab/>
        <w:t>(1)</w:t>
      </w:r>
      <w:r>
        <w:tab/>
        <w:t xml:space="preserve">In this regulation — </w:t>
      </w:r>
    </w:p>
    <w:p>
      <w:pPr>
        <w:pStyle w:val="Defstart"/>
      </w:pPr>
      <w:r>
        <w:tab/>
      </w:r>
      <w:r>
        <w:rPr>
          <w:rStyle w:val="CharDefText"/>
        </w:rPr>
        <w:t>specified</w:t>
      </w:r>
      <w:r>
        <w:t xml:space="preserve"> means specified in a licence.</w:t>
      </w:r>
    </w:p>
    <w:p>
      <w:pPr>
        <w:pStyle w:val="Subsection"/>
      </w:pPr>
      <w:r>
        <w:tab/>
        <w:t>(2)</w:t>
      </w:r>
      <w:r>
        <w:tab/>
        <w:t>The CEO may grant a licence authorising the use of a specified rental mooring by a specified vessel for a specified period.</w:t>
      </w:r>
    </w:p>
    <w:p>
      <w:pPr>
        <w:pStyle w:val="Footnotesection"/>
      </w:pPr>
      <w:r>
        <w:tab/>
        <w:t>[Regulation 98AC inserted in Gazette 24 Mar 2015 p. 1037.]</w:t>
      </w:r>
    </w:p>
    <w:p>
      <w:pPr>
        <w:pStyle w:val="Heading5"/>
      </w:pPr>
      <w:bookmarkStart w:id="333" w:name="_Toc423343165"/>
      <w:r>
        <w:rPr>
          <w:rStyle w:val="CharSectno"/>
        </w:rPr>
        <w:t>98AD</w:t>
      </w:r>
      <w:r>
        <w:t>.</w:t>
      </w:r>
      <w:r>
        <w:tab/>
        <w:t>Application for rental mooring licence</w:t>
      </w:r>
      <w:bookmarkEnd w:id="333"/>
    </w:p>
    <w:p>
      <w:pPr>
        <w:pStyle w:val="Subsection"/>
      </w:pPr>
      <w:r>
        <w:rPr>
          <w:snapToGrid w:val="0"/>
        </w:rPr>
        <w:tab/>
      </w:r>
      <w:r>
        <w:rPr>
          <w:snapToGrid w:val="0"/>
        </w:rPr>
        <w:tab/>
        <w:t xml:space="preserve">An </w:t>
      </w:r>
      <w:r>
        <w:t xml:space="preserve">application for a rental mooring licence must specify — </w:t>
      </w:r>
    </w:p>
    <w:p>
      <w:pPr>
        <w:pStyle w:val="Indenta"/>
        <w:rPr>
          <w:snapToGrid w:val="0"/>
        </w:rPr>
      </w:pPr>
      <w:r>
        <w:tab/>
        <w:t>(a)</w:t>
      </w:r>
      <w:r>
        <w:tab/>
        <w:t>the rental mooring to which the application relates</w:t>
      </w:r>
      <w:r>
        <w:rPr>
          <w:snapToGrid w:val="0"/>
        </w:rPr>
        <w:t>; and</w:t>
      </w:r>
    </w:p>
    <w:p>
      <w:pPr>
        <w:pStyle w:val="Indenta"/>
        <w:rPr>
          <w:snapToGrid w:val="0"/>
        </w:rPr>
      </w:pPr>
      <w:r>
        <w:rPr>
          <w:snapToGrid w:val="0"/>
        </w:rPr>
        <w:tab/>
        <w:t>(b)</w:t>
      </w:r>
      <w:r>
        <w:rPr>
          <w:snapToGrid w:val="0"/>
        </w:rPr>
        <w:tab/>
        <w:t>particulars of the vessel to which the application relates; and</w:t>
      </w:r>
    </w:p>
    <w:p>
      <w:pPr>
        <w:pStyle w:val="Indenta"/>
        <w:rPr>
          <w:snapToGrid w:val="0"/>
        </w:rPr>
      </w:pPr>
      <w:r>
        <w:rPr>
          <w:snapToGrid w:val="0"/>
        </w:rPr>
        <w:tab/>
        <w:t>(c)</w:t>
      </w:r>
      <w:r>
        <w:rPr>
          <w:snapToGrid w:val="0"/>
        </w:rPr>
        <w:tab/>
        <w:t>the period for which the licence is sought.</w:t>
      </w:r>
    </w:p>
    <w:p>
      <w:pPr>
        <w:pStyle w:val="Footnotesection"/>
      </w:pPr>
      <w:r>
        <w:tab/>
        <w:t>[Regulation 98AD inserted in Gazette 24 Mar 2015 p. 1037.]</w:t>
      </w:r>
    </w:p>
    <w:p>
      <w:pPr>
        <w:pStyle w:val="Heading5"/>
      </w:pPr>
      <w:bookmarkStart w:id="334" w:name="_Toc423343166"/>
      <w:r>
        <w:rPr>
          <w:rStyle w:val="CharSectno"/>
        </w:rPr>
        <w:t>98AE</w:t>
      </w:r>
      <w:r>
        <w:t>.</w:t>
      </w:r>
      <w:r>
        <w:tab/>
        <w:t>Duration of rental mooring licence</w:t>
      </w:r>
      <w:bookmarkEnd w:id="334"/>
    </w:p>
    <w:p>
      <w:pPr>
        <w:pStyle w:val="Subsection"/>
      </w:pPr>
      <w:r>
        <w:tab/>
      </w:r>
      <w:r>
        <w:tab/>
        <w:t>Subject to this Part, a rental mooring licence remains in force for the period specified in the licence.</w:t>
      </w:r>
    </w:p>
    <w:p>
      <w:pPr>
        <w:pStyle w:val="Footnotesection"/>
      </w:pPr>
      <w:r>
        <w:tab/>
        <w:t>[Regulation 98AE inserted in Gazette 24 Mar 2015 p. 1037.]</w:t>
      </w:r>
    </w:p>
    <w:p>
      <w:pPr>
        <w:pStyle w:val="Heading5"/>
      </w:pPr>
      <w:bookmarkStart w:id="335" w:name="_Toc423343167"/>
      <w:r>
        <w:rPr>
          <w:rStyle w:val="CharSectno"/>
        </w:rPr>
        <w:t>98AF</w:t>
      </w:r>
      <w:r>
        <w:t>.</w:t>
      </w:r>
      <w:r>
        <w:tab/>
        <w:t>Conditions</w:t>
      </w:r>
      <w:bookmarkEnd w:id="335"/>
    </w:p>
    <w:p>
      <w:pPr>
        <w:pStyle w:val="Subsection"/>
      </w:pPr>
      <w:r>
        <w:tab/>
        <w:t>(1)</w:t>
      </w:r>
      <w:r>
        <w:tab/>
        <w:t xml:space="preserve">A rental mooring licence may be granted subject to such conditions as the CEO thinks fit including conditions as to — </w:t>
      </w:r>
    </w:p>
    <w:p>
      <w:pPr>
        <w:pStyle w:val="Indenta"/>
      </w:pPr>
      <w:r>
        <w:tab/>
        <w:t>(a)</w:t>
      </w:r>
      <w:r>
        <w:tab/>
        <w:t>the manner in which the specified vessel may be secured to the mooring; and</w:t>
      </w:r>
    </w:p>
    <w:p>
      <w:pPr>
        <w:pStyle w:val="Indenta"/>
      </w:pPr>
      <w:r>
        <w:tab/>
        <w:t>(b)</w:t>
      </w:r>
      <w:r>
        <w:tab/>
        <w:t>the payment of any charge in respect of the use of the land on which the mooring is located.</w:t>
      </w:r>
    </w:p>
    <w:p>
      <w:pPr>
        <w:pStyle w:val="Subsection"/>
      </w:pPr>
      <w:r>
        <w:tab/>
        <w:t>(2)</w:t>
      </w:r>
      <w:r>
        <w:tab/>
        <w:t xml:space="preserve">If a rental mooring licence is granted subject to conditions, those conditions — </w:t>
      </w:r>
    </w:p>
    <w:p>
      <w:pPr>
        <w:pStyle w:val="Indenta"/>
      </w:pPr>
      <w:r>
        <w:tab/>
        <w:t>(a)</w:t>
      </w:r>
      <w:r>
        <w:tab/>
        <w:t>are to be endorsed upon or attached to the licence when granted;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98AF inserted in Gazette 24 Mar 2015 p. 1037</w:t>
      </w:r>
      <w:r>
        <w:noBreakHyphen/>
        <w:t>8.]</w:t>
      </w:r>
    </w:p>
    <w:p>
      <w:pPr>
        <w:pStyle w:val="Heading5"/>
      </w:pPr>
      <w:bookmarkStart w:id="336" w:name="_Toc423343168"/>
      <w:r>
        <w:rPr>
          <w:rStyle w:val="CharSectno"/>
        </w:rPr>
        <w:t>98AG</w:t>
      </w:r>
      <w:r>
        <w:t>.</w:t>
      </w:r>
      <w:r>
        <w:tab/>
        <w:t>Cancellation of licence at request of licence holder</w:t>
      </w:r>
      <w:bookmarkEnd w:id="336"/>
    </w:p>
    <w:p>
      <w:pPr>
        <w:pStyle w:val="Subsection"/>
      </w:pPr>
      <w:r>
        <w:tab/>
        <w:t>(1)</w:t>
      </w:r>
      <w:r>
        <w:tab/>
        <w:t>The licence holder may request the CEO to cancel a rental mooring licence.</w:t>
      </w:r>
    </w:p>
    <w:p>
      <w:pPr>
        <w:pStyle w:val="Subsection"/>
      </w:pPr>
      <w:r>
        <w:tab/>
        <w:t>(2)</w:t>
      </w:r>
      <w:r>
        <w:tab/>
        <w:t xml:space="preserve">On a request made under subregulation (1) the CEO must cancel the licence and may refund to the licence holder, in whole or in part, the charge paid in respect of the licence if the CEO considers it appropriate to do so in the circumstances. </w:t>
      </w:r>
    </w:p>
    <w:p>
      <w:pPr>
        <w:pStyle w:val="Footnotesection"/>
      </w:pPr>
      <w:r>
        <w:tab/>
        <w:t>[Regulation 98AG inserted in Gazette 24 Mar 2015 p. 1038.]</w:t>
      </w:r>
    </w:p>
    <w:p>
      <w:pPr>
        <w:pStyle w:val="Heading5"/>
      </w:pPr>
      <w:bookmarkStart w:id="337" w:name="_Toc423343169"/>
      <w:r>
        <w:rPr>
          <w:rStyle w:val="CharSectno"/>
        </w:rPr>
        <w:t>98AH</w:t>
      </w:r>
      <w:r>
        <w:t>.</w:t>
      </w:r>
      <w:r>
        <w:tab/>
        <w:t>Damage to rental mooring</w:t>
      </w:r>
      <w:bookmarkEnd w:id="337"/>
    </w:p>
    <w:p>
      <w:pPr>
        <w:pStyle w:val="Subsection"/>
      </w:pPr>
      <w:r>
        <w:tab/>
        <w:t>(1)</w:t>
      </w:r>
      <w:r>
        <w:tab/>
        <w:t xml:space="preserve">If a rental mooring is damaged or destroyed (the </w:t>
      </w:r>
      <w:r>
        <w:rPr>
          <w:rStyle w:val="CharDefText"/>
        </w:rPr>
        <w:t>loss</w:t>
      </w:r>
      <w:r>
        <w:t xml:space="preserve">) during the period specified in a rental mooring licence in respect of that rental mooring, the cost of repair or replacement is a debt due to the State by the licence holder and is recoverable in a court of competent jurisdiction unless the person can show that — </w:t>
      </w:r>
    </w:p>
    <w:p>
      <w:pPr>
        <w:pStyle w:val="Indenta"/>
      </w:pPr>
      <w:r>
        <w:tab/>
        <w:t>(a)</w:t>
      </w:r>
      <w:r>
        <w:tab/>
        <w:t>the loss was caused by the act or omission of some other person; and</w:t>
      </w:r>
    </w:p>
    <w:p>
      <w:pPr>
        <w:pStyle w:val="Indenta"/>
      </w:pPr>
      <w:r>
        <w:tab/>
        <w:t>(b)</w:t>
      </w:r>
      <w:r>
        <w:tab/>
        <w:t>the licence holder could not have prevented the loss by the exercise of responsible care.</w:t>
      </w:r>
    </w:p>
    <w:p>
      <w:pPr>
        <w:pStyle w:val="Subsection"/>
      </w:pPr>
      <w:r>
        <w:tab/>
        <w:t>(2)</w:t>
      </w:r>
      <w:r>
        <w:tab/>
        <w:t xml:space="preserve">For the purposes of subregulation (1), the loss is taken to have occurred during the period specified in the licence if — </w:t>
      </w:r>
    </w:p>
    <w:p>
      <w:pPr>
        <w:pStyle w:val="Indenta"/>
      </w:pPr>
      <w:r>
        <w:tab/>
        <w:t>(a)</w:t>
      </w:r>
      <w:r>
        <w:tab/>
        <w:t>the mooring is found to be damaged or destroyed at the end of the period specified in the licence; and</w:t>
      </w:r>
    </w:p>
    <w:p>
      <w:pPr>
        <w:pStyle w:val="Indenta"/>
      </w:pPr>
      <w:r>
        <w:tab/>
        <w:t>(b)</w:t>
      </w:r>
      <w:r>
        <w:tab/>
        <w:t>the licence holder did not report the loss to the CEO at the commencement of the period specified in the licence.</w:t>
      </w:r>
    </w:p>
    <w:p>
      <w:pPr>
        <w:pStyle w:val="Footnotesection"/>
      </w:pPr>
      <w:r>
        <w:tab/>
        <w:t>[Regulation 98AH inserted in Gazette 24 Mar 2015 p. 1038.]</w:t>
      </w:r>
    </w:p>
    <w:p>
      <w:pPr>
        <w:pStyle w:val="Heading3"/>
      </w:pPr>
      <w:bookmarkStart w:id="338" w:name="_Toc414975269"/>
      <w:bookmarkStart w:id="339" w:name="_Toc417563751"/>
      <w:bookmarkStart w:id="340" w:name="_Toc423340572"/>
      <w:bookmarkStart w:id="341" w:name="_Toc423343170"/>
      <w:r>
        <w:rPr>
          <w:rStyle w:val="CharDivNo"/>
        </w:rPr>
        <w:t>Division 5</w:t>
      </w:r>
      <w:r>
        <w:t> — </w:t>
      </w:r>
      <w:r>
        <w:rPr>
          <w:rStyle w:val="CharDivText"/>
        </w:rPr>
        <w:t>Private mooring licence</w:t>
      </w:r>
      <w:bookmarkEnd w:id="338"/>
      <w:bookmarkEnd w:id="339"/>
      <w:bookmarkEnd w:id="340"/>
      <w:bookmarkEnd w:id="341"/>
    </w:p>
    <w:p>
      <w:pPr>
        <w:pStyle w:val="Footnoteheading"/>
      </w:pPr>
      <w:r>
        <w:tab/>
        <w:t>[Heading inserted in Gazette 24 Mar 2015 p. 1038.]</w:t>
      </w:r>
    </w:p>
    <w:p>
      <w:pPr>
        <w:pStyle w:val="Heading5"/>
        <w:rPr>
          <w:snapToGrid w:val="0"/>
        </w:rPr>
      </w:pPr>
      <w:bookmarkStart w:id="342" w:name="_Toc423343171"/>
      <w:r>
        <w:rPr>
          <w:rStyle w:val="CharSectno"/>
        </w:rPr>
        <w:t>98AI</w:t>
      </w:r>
      <w:r>
        <w:rPr>
          <w:snapToGrid w:val="0"/>
        </w:rPr>
        <w:t>.</w:t>
      </w:r>
      <w:r>
        <w:rPr>
          <w:snapToGrid w:val="0"/>
        </w:rPr>
        <w:tab/>
        <w:t>Terms used</w:t>
      </w:r>
      <w:bookmarkEnd w:id="342"/>
    </w:p>
    <w:p>
      <w:pPr>
        <w:pStyle w:val="Subsection"/>
        <w:rPr>
          <w:snapToGrid w:val="0"/>
        </w:rPr>
      </w:pPr>
      <w:r>
        <w:rPr>
          <w:snapToGrid w:val="0"/>
        </w:rPr>
        <w:tab/>
        <w:t>(1)</w:t>
      </w:r>
      <w:r>
        <w:rPr>
          <w:snapToGrid w:val="0"/>
        </w:rPr>
        <w:tab/>
        <w:t>In this Division — </w:t>
      </w:r>
    </w:p>
    <w:p>
      <w:pPr>
        <w:pStyle w:val="Defstart"/>
      </w:pPr>
      <w:r>
        <w:tab/>
      </w:r>
      <w:r>
        <w:rPr>
          <w:rStyle w:val="CharDefText"/>
        </w:rPr>
        <w:t>current inspection report</w:t>
      </w:r>
      <w:r>
        <w:t xml:space="preserve"> has the meaning given in subregulation (2); </w:t>
      </w:r>
    </w:p>
    <w:p>
      <w:pPr>
        <w:pStyle w:val="Defstart"/>
      </w:pPr>
      <w:r>
        <w:tab/>
      </w:r>
      <w:r>
        <w:rPr>
          <w:rStyle w:val="CharDefText"/>
        </w:rPr>
        <w:t>inspection report</w:t>
      </w:r>
      <w:r>
        <w:t xml:space="preserve"> means a report about the condition of a mooring prepared by a person approved by the CEO after the person has inspected the mooring;</w:t>
      </w:r>
    </w:p>
    <w:p>
      <w:pPr>
        <w:pStyle w:val="Defstart"/>
      </w:pPr>
      <w:r>
        <w:tab/>
      </w:r>
      <w:r>
        <w:rPr>
          <w:rStyle w:val="CharDefText"/>
        </w:rPr>
        <w:t>licence holder</w:t>
      </w:r>
      <w:r>
        <w:t xml:space="preserve"> means the holder of a private mooring licence for a mooring;</w:t>
      </w:r>
    </w:p>
    <w:p>
      <w:pPr>
        <w:pStyle w:val="Defstart"/>
      </w:pPr>
      <w:r>
        <w:tab/>
      </w:r>
      <w:r>
        <w:rPr>
          <w:rStyle w:val="CharDefText"/>
        </w:rPr>
        <w:t>licensed mooring</w:t>
      </w:r>
      <w:r>
        <w:t xml:space="preserve"> means a mooring for which a private mooring licence is in force;</w:t>
      </w:r>
    </w:p>
    <w:p>
      <w:pPr>
        <w:pStyle w:val="Defstart"/>
      </w:pPr>
      <w:r>
        <w:tab/>
      </w:r>
      <w:r>
        <w:rPr>
          <w:rStyle w:val="CharDefText"/>
        </w:rPr>
        <w:t>mooring licence area</w:t>
      </w:r>
      <w:r>
        <w:t xml:space="preserve"> means an area declared under regulation 98AJ to be a mooring licence area;</w:t>
      </w:r>
    </w:p>
    <w:p>
      <w:pPr>
        <w:pStyle w:val="Defstart"/>
      </w:pPr>
      <w:r>
        <w:tab/>
      </w:r>
      <w:r>
        <w:rPr>
          <w:rStyle w:val="CharDefText"/>
        </w:rPr>
        <w:t>private mooring</w:t>
      </w:r>
      <w:r>
        <w:t xml:space="preserve"> means a mooring on CALM land that is not — </w:t>
      </w:r>
    </w:p>
    <w:p>
      <w:pPr>
        <w:pStyle w:val="Defpara"/>
      </w:pPr>
      <w:r>
        <w:tab/>
        <w:t>(a)</w:t>
      </w:r>
      <w:r>
        <w:tab/>
        <w:t>a public mooring; or</w:t>
      </w:r>
    </w:p>
    <w:p>
      <w:pPr>
        <w:pStyle w:val="Defpara"/>
      </w:pPr>
      <w:r>
        <w:tab/>
        <w:t>(b)</w:t>
      </w:r>
      <w:r>
        <w:tab/>
        <w:t>a rental mooring; or</w:t>
      </w:r>
    </w:p>
    <w:p>
      <w:pPr>
        <w:pStyle w:val="Defpara"/>
      </w:pPr>
      <w:r>
        <w:tab/>
        <w:t>(c)</w:t>
      </w:r>
      <w:r>
        <w:tab/>
        <w:t>a mooring that is approved by the CEO for use in connection with a commercial operations licence;</w:t>
      </w:r>
    </w:p>
    <w:p>
      <w:pPr>
        <w:pStyle w:val="Defstart"/>
      </w:pPr>
      <w:r>
        <w:tab/>
      </w:r>
      <w:r>
        <w:rPr>
          <w:rStyle w:val="CharDefText"/>
        </w:rPr>
        <w:t>private mooring licence</w:t>
      </w:r>
      <w:r>
        <w:t xml:space="preserve"> means a licence under this Division.</w:t>
      </w:r>
    </w:p>
    <w:p>
      <w:pPr>
        <w:pStyle w:val="Subsection"/>
      </w:pPr>
      <w:r>
        <w:tab/>
        <w:t>(2)</w:t>
      </w:r>
      <w:r>
        <w:tab/>
        <w:t>An inspection report is current for the period of 12 months commencing on the day the mooring is inspected.</w:t>
      </w:r>
    </w:p>
    <w:p>
      <w:pPr>
        <w:pStyle w:val="Footnotesection"/>
      </w:pPr>
      <w:r>
        <w:tab/>
        <w:t>[Regulation 98AI inserted in Gazette 24 Mar 2015 p. 1038</w:t>
      </w:r>
      <w:r>
        <w:noBreakHyphen/>
        <w:t>9.]</w:t>
      </w:r>
    </w:p>
    <w:p>
      <w:pPr>
        <w:pStyle w:val="Heading5"/>
      </w:pPr>
      <w:bookmarkStart w:id="343" w:name="_Toc423343172"/>
      <w:r>
        <w:rPr>
          <w:rStyle w:val="CharSectno"/>
        </w:rPr>
        <w:t>98AJ</w:t>
      </w:r>
      <w:r>
        <w:t>.</w:t>
      </w:r>
      <w:r>
        <w:tab/>
        <w:t>Mooring licence areas</w:t>
      </w:r>
      <w:bookmarkEnd w:id="343"/>
    </w:p>
    <w:p>
      <w:pPr>
        <w:pStyle w:val="Subsection"/>
      </w:pPr>
      <w:r>
        <w:tab/>
        <w:t>(1)</w:t>
      </w:r>
      <w:r>
        <w:tab/>
        <w:t xml:space="preserve">The CEO may, by notice published in the </w:t>
      </w:r>
      <w:r>
        <w:rPr>
          <w:i/>
        </w:rPr>
        <w:t>Gazette</w:t>
      </w:r>
      <w:r>
        <w:t>, declare an area of CALM land specified in the notice to be a mooring licence area.</w:t>
      </w:r>
    </w:p>
    <w:p>
      <w:pPr>
        <w:pStyle w:val="Subsection"/>
      </w:pPr>
      <w:r>
        <w:tab/>
        <w:t>(2)</w:t>
      </w:r>
      <w:r>
        <w:tab/>
        <w:t>A notice published under this regulation takes effect on such day after publication as is specified in the notice.</w:t>
      </w:r>
    </w:p>
    <w:p>
      <w:pPr>
        <w:pStyle w:val="Footnotesection"/>
      </w:pPr>
      <w:r>
        <w:tab/>
        <w:t>[Regulation 98AJ inserted in Gazette 24 Mar 2015 p. 1039.]</w:t>
      </w:r>
    </w:p>
    <w:p>
      <w:pPr>
        <w:pStyle w:val="Heading5"/>
      </w:pPr>
      <w:bookmarkStart w:id="344" w:name="_Toc423343173"/>
      <w:r>
        <w:rPr>
          <w:rStyle w:val="CharSectno"/>
        </w:rPr>
        <w:t>98AK</w:t>
      </w:r>
      <w:r>
        <w:t>.</w:t>
      </w:r>
      <w:r>
        <w:tab/>
        <w:t>Private mooring licence</w:t>
      </w:r>
      <w:bookmarkEnd w:id="344"/>
    </w:p>
    <w:p>
      <w:pPr>
        <w:pStyle w:val="Subsection"/>
      </w:pPr>
      <w:r>
        <w:tab/>
      </w:r>
      <w:r>
        <w:tab/>
        <w:t xml:space="preserve">The CEO may grant a licence for either or both of the following purposes — </w:t>
      </w:r>
    </w:p>
    <w:p>
      <w:pPr>
        <w:pStyle w:val="Indenta"/>
      </w:pPr>
      <w:r>
        <w:tab/>
        <w:t>(a)</w:t>
      </w:r>
      <w:r>
        <w:tab/>
        <w:t>to install a private mooring in a mooring licence area;</w:t>
      </w:r>
    </w:p>
    <w:p>
      <w:pPr>
        <w:pStyle w:val="Indenta"/>
      </w:pPr>
      <w:r>
        <w:tab/>
        <w:t>(b)</w:t>
      </w:r>
      <w:r>
        <w:tab/>
        <w:t>to own and control a private mooring located in a mooring licence area.</w:t>
      </w:r>
    </w:p>
    <w:p>
      <w:pPr>
        <w:pStyle w:val="Footnotesection"/>
      </w:pPr>
      <w:r>
        <w:tab/>
        <w:t>[Regulation 98AK inserted in Gazette 24 Mar 2015 p. 1039.]</w:t>
      </w:r>
    </w:p>
    <w:p>
      <w:pPr>
        <w:pStyle w:val="Heading5"/>
      </w:pPr>
      <w:bookmarkStart w:id="345" w:name="_Toc423343174"/>
      <w:r>
        <w:rPr>
          <w:rStyle w:val="CharSectno"/>
        </w:rPr>
        <w:t>98AL</w:t>
      </w:r>
      <w:r>
        <w:t>.</w:t>
      </w:r>
      <w:r>
        <w:tab/>
        <w:t>Effect of private mooring licence</w:t>
      </w:r>
      <w:bookmarkEnd w:id="345"/>
    </w:p>
    <w:p>
      <w:pPr>
        <w:pStyle w:val="Subsection"/>
      </w:pPr>
      <w:r>
        <w:tab/>
        <w:t>(1)</w:t>
      </w:r>
      <w:r>
        <w:tab/>
        <w:t>A licensed mooring is authorised to be in a mooring licence area.</w:t>
      </w:r>
    </w:p>
    <w:p>
      <w:pPr>
        <w:pStyle w:val="Subsection"/>
      </w:pPr>
      <w:r>
        <w:tab/>
        <w:t>(2)</w:t>
      </w:r>
      <w:r>
        <w:tab/>
        <w:t>A licence holder is authorised to use a licensed mooring in accordance with a private mooring licence that is in force for the mooring.</w:t>
      </w:r>
    </w:p>
    <w:p>
      <w:pPr>
        <w:pStyle w:val="Subsection"/>
        <w:rPr>
          <w:snapToGrid w:val="0"/>
        </w:rPr>
      </w:pPr>
      <w:r>
        <w:rPr>
          <w:snapToGrid w:val="0"/>
        </w:rPr>
        <w:tab/>
        <w:t>(3)</w:t>
      </w:r>
      <w:r>
        <w:rPr>
          <w:snapToGrid w:val="0"/>
        </w:rPr>
        <w:tab/>
        <w:t>A person who has the written consent of the licence holder is authorised to use a licensed mooring in accordance with a private mooring licence that is in force for the mooring.</w:t>
      </w:r>
    </w:p>
    <w:p>
      <w:pPr>
        <w:pStyle w:val="Subsection"/>
        <w:keepNext/>
        <w:rPr>
          <w:snapToGrid w:val="0"/>
        </w:rPr>
      </w:pPr>
      <w:r>
        <w:rPr>
          <w:snapToGrid w:val="0"/>
        </w:rPr>
        <w:tab/>
        <w:t>(4)</w:t>
      </w:r>
      <w:r>
        <w:rPr>
          <w:snapToGrid w:val="0"/>
        </w:rPr>
        <w:tab/>
        <w:t>A person referred to in subregulation (3) must have in his or her possession the written consent of the licence holder at any time the person has a vessel secured to the mooring.</w:t>
      </w:r>
    </w:p>
    <w:p>
      <w:pPr>
        <w:pStyle w:val="Penstart"/>
      </w:pPr>
      <w:r>
        <w:tab/>
        <w:t>Penalty: a fine of $1 000.</w:t>
      </w:r>
    </w:p>
    <w:p>
      <w:pPr>
        <w:pStyle w:val="Footnotesection"/>
      </w:pPr>
      <w:r>
        <w:tab/>
        <w:t>[Regulation 98AL inserted in Gazette 24 Mar 2015 p. 1039</w:t>
      </w:r>
      <w:r>
        <w:noBreakHyphen/>
        <w:t>40.]</w:t>
      </w:r>
    </w:p>
    <w:p>
      <w:pPr>
        <w:pStyle w:val="Heading5"/>
      </w:pPr>
      <w:bookmarkStart w:id="346" w:name="_Toc423343175"/>
      <w:r>
        <w:rPr>
          <w:rStyle w:val="CharSectno"/>
        </w:rPr>
        <w:t>98AM</w:t>
      </w:r>
      <w:r>
        <w:t>.</w:t>
      </w:r>
      <w:r>
        <w:tab/>
        <w:t>Application for private mooring licence</w:t>
      </w:r>
      <w:bookmarkEnd w:id="346"/>
    </w:p>
    <w:p>
      <w:pPr>
        <w:pStyle w:val="Subsection"/>
      </w:pPr>
      <w:r>
        <w:rPr>
          <w:snapToGrid w:val="0"/>
        </w:rPr>
        <w:tab/>
        <w:t>(1)</w:t>
      </w:r>
      <w:r>
        <w:rPr>
          <w:snapToGrid w:val="0"/>
        </w:rPr>
        <w:tab/>
        <w:t xml:space="preserve">An </w:t>
      </w:r>
      <w:r>
        <w:t xml:space="preserve">application for a private mooring licence must specify — </w:t>
      </w:r>
    </w:p>
    <w:p>
      <w:pPr>
        <w:pStyle w:val="Indenta"/>
        <w:rPr>
          <w:snapToGrid w:val="0"/>
        </w:rPr>
      </w:pPr>
      <w:r>
        <w:tab/>
        <w:t>(a)</w:t>
      </w:r>
      <w:r>
        <w:tab/>
        <w:t>the location of the mooring or proposed mooring in a form approved by the CEO; and</w:t>
      </w:r>
    </w:p>
    <w:p>
      <w:pPr>
        <w:pStyle w:val="Indenta"/>
        <w:rPr>
          <w:snapToGrid w:val="0"/>
        </w:rPr>
      </w:pPr>
      <w:r>
        <w:rPr>
          <w:snapToGrid w:val="0"/>
        </w:rPr>
        <w:tab/>
        <w:t>(b)</w:t>
      </w:r>
      <w:r>
        <w:rPr>
          <w:snapToGrid w:val="0"/>
        </w:rPr>
        <w:tab/>
        <w:t>particulars of the purposes for which the mooring or proposed mooring is to be used, including particulars of each vessel or class of vessel that may be secured to the mooring; and</w:t>
      </w:r>
    </w:p>
    <w:p>
      <w:pPr>
        <w:pStyle w:val="Indenta"/>
        <w:rPr>
          <w:snapToGrid w:val="0"/>
        </w:rPr>
      </w:pPr>
      <w:r>
        <w:rPr>
          <w:snapToGrid w:val="0"/>
        </w:rPr>
        <w:tab/>
        <w:t>(c)</w:t>
      </w:r>
      <w:r>
        <w:rPr>
          <w:snapToGrid w:val="0"/>
        </w:rPr>
        <w:tab/>
        <w:t>if the applicant is not a natural person, the name, address and telephone numbers of a natural person who may be contacted on behalf of the applicant in relation to the mooring.</w:t>
      </w:r>
    </w:p>
    <w:p>
      <w:pPr>
        <w:pStyle w:val="Subsection"/>
        <w:rPr>
          <w:snapToGrid w:val="0"/>
        </w:rPr>
      </w:pPr>
      <w:r>
        <w:rPr>
          <w:snapToGrid w:val="0"/>
        </w:rPr>
        <w:tab/>
        <w:t>(2)</w:t>
      </w:r>
      <w:r>
        <w:rPr>
          <w:snapToGrid w:val="0"/>
        </w:rPr>
        <w:tab/>
        <w:t>The applicant must provide the CEO, or a person nominated by the CEO, with any assistance that the CEO or the person requires to inspect the mooring.</w:t>
      </w:r>
    </w:p>
    <w:p>
      <w:pPr>
        <w:pStyle w:val="Footnotesection"/>
      </w:pPr>
      <w:r>
        <w:tab/>
        <w:t>[Regulation 98AM inserted in Gazette 24 Mar 2015 p. 1040.]</w:t>
      </w:r>
    </w:p>
    <w:p>
      <w:pPr>
        <w:pStyle w:val="Heading5"/>
      </w:pPr>
      <w:bookmarkStart w:id="347" w:name="_Toc423343176"/>
      <w:r>
        <w:rPr>
          <w:rStyle w:val="CharSectno"/>
        </w:rPr>
        <w:t>98AN</w:t>
      </w:r>
      <w:r>
        <w:t>.</w:t>
      </w:r>
      <w:r>
        <w:tab/>
        <w:t>Grant of private mooring licence</w:t>
      </w:r>
      <w:bookmarkEnd w:id="347"/>
    </w:p>
    <w:p>
      <w:pPr>
        <w:pStyle w:val="Subsection"/>
      </w:pPr>
      <w:r>
        <w:rPr>
          <w:snapToGrid w:val="0"/>
        </w:rPr>
        <w:tab/>
      </w:r>
      <w:r>
        <w:tab/>
        <w:t xml:space="preserve">The CEO may grant a private mooring licence for a mooring or a proposed mooring if the CEO is satisfied that the mooring or proposed mooring — </w:t>
      </w:r>
    </w:p>
    <w:p>
      <w:pPr>
        <w:pStyle w:val="Indenta"/>
        <w:rPr>
          <w:snapToGrid w:val="0"/>
        </w:rPr>
      </w:pPr>
      <w:r>
        <w:rPr>
          <w:snapToGrid w:val="0"/>
        </w:rPr>
        <w:tab/>
        <w:t>(a)</w:t>
      </w:r>
      <w:r>
        <w:rPr>
          <w:snapToGrid w:val="0"/>
        </w:rPr>
        <w:tab/>
        <w:t>is suitable for each vessel or class of vessel that may be secured to the mooring; and</w:t>
      </w:r>
    </w:p>
    <w:p>
      <w:pPr>
        <w:pStyle w:val="Indenta"/>
        <w:rPr>
          <w:snapToGrid w:val="0"/>
        </w:rPr>
      </w:pPr>
      <w:r>
        <w:rPr>
          <w:snapToGrid w:val="0"/>
        </w:rPr>
        <w:tab/>
        <w:t>(b)</w:t>
      </w:r>
      <w:r>
        <w:rPr>
          <w:snapToGrid w:val="0"/>
        </w:rPr>
        <w:tab/>
        <w:t>does not constitute a danger or interfere with the navigation of other craft or any other usage of the land on which the mooring is, or is to be, located.</w:t>
      </w:r>
    </w:p>
    <w:p>
      <w:pPr>
        <w:pStyle w:val="Footnotesection"/>
      </w:pPr>
      <w:r>
        <w:tab/>
        <w:t>[Regulation 98AN inserted in Gazette 24 Mar 2015 p. 1040.]</w:t>
      </w:r>
    </w:p>
    <w:p>
      <w:pPr>
        <w:pStyle w:val="Heading5"/>
      </w:pPr>
      <w:bookmarkStart w:id="348" w:name="_Toc423343177"/>
      <w:r>
        <w:rPr>
          <w:rStyle w:val="CharSectno"/>
        </w:rPr>
        <w:t>98AO</w:t>
      </w:r>
      <w:r>
        <w:t>.</w:t>
      </w:r>
      <w:r>
        <w:tab/>
        <w:t>Private mooring licence not transferable</w:t>
      </w:r>
      <w:bookmarkEnd w:id="348"/>
    </w:p>
    <w:p>
      <w:pPr>
        <w:pStyle w:val="Subsection"/>
      </w:pPr>
      <w:r>
        <w:tab/>
      </w:r>
      <w:r>
        <w:tab/>
        <w:t>A private mooring licence is not transferable.</w:t>
      </w:r>
    </w:p>
    <w:p>
      <w:pPr>
        <w:pStyle w:val="Footnotesection"/>
      </w:pPr>
      <w:r>
        <w:tab/>
        <w:t>[Regulation 98AO inserted in Gazette 24 Mar 2015 p. 1040.]</w:t>
      </w:r>
    </w:p>
    <w:p>
      <w:pPr>
        <w:pStyle w:val="Heading5"/>
      </w:pPr>
      <w:bookmarkStart w:id="349" w:name="_Toc423343178"/>
      <w:r>
        <w:rPr>
          <w:rStyle w:val="CharSectno"/>
        </w:rPr>
        <w:t>98AP</w:t>
      </w:r>
      <w:r>
        <w:t>.</w:t>
      </w:r>
      <w:r>
        <w:tab/>
        <w:t>Duration of private mooring licence</w:t>
      </w:r>
      <w:bookmarkEnd w:id="349"/>
    </w:p>
    <w:p>
      <w:pPr>
        <w:pStyle w:val="Subsection"/>
      </w:pPr>
      <w:r>
        <w:tab/>
      </w:r>
      <w:r>
        <w:tab/>
        <w:t>Subject to this Part, a private mooring licence remains in force for the period specified in the licence.</w:t>
      </w:r>
    </w:p>
    <w:p>
      <w:pPr>
        <w:pStyle w:val="Footnotesection"/>
      </w:pPr>
      <w:r>
        <w:tab/>
        <w:t>[Regulation 98AP inserted in Gazette 24 Mar 2015 p. 1040.]</w:t>
      </w:r>
    </w:p>
    <w:p>
      <w:pPr>
        <w:pStyle w:val="Heading5"/>
      </w:pPr>
      <w:bookmarkStart w:id="350" w:name="_Toc423343179"/>
      <w:r>
        <w:rPr>
          <w:rStyle w:val="CharSectno"/>
        </w:rPr>
        <w:t>98AQ</w:t>
      </w:r>
      <w:r>
        <w:t>.</w:t>
      </w:r>
      <w:r>
        <w:tab/>
        <w:t>Renewal of private mooring licence</w:t>
      </w:r>
      <w:bookmarkEnd w:id="350"/>
    </w:p>
    <w:p>
      <w:pPr>
        <w:pStyle w:val="Subsection"/>
      </w:pPr>
      <w:r>
        <w:tab/>
        <w:t>(1)</w:t>
      </w:r>
      <w:r>
        <w:tab/>
        <w:t>A licence holder may apply to the CEO for renewal of a licence.</w:t>
      </w:r>
    </w:p>
    <w:p>
      <w:pPr>
        <w:pStyle w:val="Subsection"/>
      </w:pPr>
      <w:r>
        <w:tab/>
        <w:t>(2)</w:t>
      </w:r>
      <w:r>
        <w:tab/>
        <w:t xml:space="preserve">An application for renewal must be — </w:t>
      </w:r>
    </w:p>
    <w:p>
      <w:pPr>
        <w:pStyle w:val="Indenta"/>
      </w:pPr>
      <w:r>
        <w:tab/>
        <w:t>(a)</w:t>
      </w:r>
      <w:r>
        <w:tab/>
        <w:t>in a form approved by the CEO; and</w:t>
      </w:r>
    </w:p>
    <w:p>
      <w:pPr>
        <w:pStyle w:val="Indenta"/>
        <w:rPr>
          <w:snapToGrid w:val="0"/>
        </w:rPr>
      </w:pPr>
      <w:r>
        <w:tab/>
        <w:t>(b)</w:t>
      </w:r>
      <w:r>
        <w:tab/>
        <w:t xml:space="preserve">accompanied by the </w:t>
      </w:r>
      <w:r>
        <w:rPr>
          <w:snapToGrid w:val="0"/>
        </w:rPr>
        <w:t>appropriate fee specified in Schedule 1 Division 8 (if any); and</w:t>
      </w:r>
    </w:p>
    <w:p>
      <w:pPr>
        <w:pStyle w:val="Indenta"/>
        <w:rPr>
          <w:snapToGrid w:val="0"/>
        </w:rPr>
      </w:pPr>
      <w:r>
        <w:rPr>
          <w:snapToGrid w:val="0"/>
        </w:rPr>
        <w:tab/>
        <w:t>(c)</w:t>
      </w:r>
      <w:r>
        <w:rPr>
          <w:snapToGrid w:val="0"/>
        </w:rPr>
        <w:tab/>
        <w:t>accompanied by a current inspection report in respect of the mooring.</w:t>
      </w:r>
    </w:p>
    <w:p>
      <w:pPr>
        <w:pStyle w:val="Subsection"/>
        <w:rPr>
          <w:snapToGrid w:val="0"/>
        </w:rPr>
      </w:pPr>
      <w:r>
        <w:rPr>
          <w:snapToGrid w:val="0"/>
        </w:rPr>
        <w:tab/>
        <w:t>(3)</w:t>
      </w:r>
      <w:r>
        <w:rPr>
          <w:snapToGrid w:val="0"/>
        </w:rPr>
        <w:tab/>
        <w:t>The applicant must provide the CEO, or a person nominated by the CEO, with any assistance that the CEO or the person requires to inspect the mooring.</w:t>
      </w:r>
    </w:p>
    <w:p>
      <w:pPr>
        <w:pStyle w:val="Subsection"/>
        <w:rPr>
          <w:snapToGrid w:val="0"/>
        </w:rPr>
      </w:pPr>
      <w:r>
        <w:rPr>
          <w:snapToGrid w:val="0"/>
        </w:rPr>
        <w:tab/>
        <w:t>(4)</w:t>
      </w:r>
      <w:r>
        <w:rPr>
          <w:snapToGrid w:val="0"/>
        </w:rPr>
        <w:tab/>
        <w:t>The CEO may renew a private mooring licence if the CEO is satisfied that the mooring is in good condition and repair.</w:t>
      </w:r>
    </w:p>
    <w:p>
      <w:pPr>
        <w:pStyle w:val="Footnotesection"/>
      </w:pPr>
      <w:r>
        <w:tab/>
        <w:t>[Regulation 98AQ inserted in Gazette 24 Mar 2015 p. 1040-1.]</w:t>
      </w:r>
    </w:p>
    <w:p>
      <w:pPr>
        <w:pStyle w:val="Heading5"/>
      </w:pPr>
      <w:bookmarkStart w:id="351" w:name="_Toc423343180"/>
      <w:r>
        <w:rPr>
          <w:rStyle w:val="CharSectno"/>
        </w:rPr>
        <w:t>98AR</w:t>
      </w:r>
      <w:r>
        <w:t>.</w:t>
      </w:r>
      <w:r>
        <w:tab/>
        <w:t>Conditions</w:t>
      </w:r>
      <w:bookmarkEnd w:id="351"/>
    </w:p>
    <w:p>
      <w:pPr>
        <w:pStyle w:val="Subsection"/>
      </w:pPr>
      <w:r>
        <w:tab/>
        <w:t>(1)</w:t>
      </w:r>
      <w:r>
        <w:tab/>
        <w:t xml:space="preserve">A private mooring licence may be granted or renewed subject to such conditions as the CEO thinks fit including conditions as to — </w:t>
      </w:r>
    </w:p>
    <w:p>
      <w:pPr>
        <w:pStyle w:val="Indenta"/>
      </w:pPr>
      <w:r>
        <w:tab/>
        <w:t>(a)</w:t>
      </w:r>
      <w:r>
        <w:tab/>
        <w:t>the class or description of vessel that may be secured to the mooring; and</w:t>
      </w:r>
    </w:p>
    <w:p>
      <w:pPr>
        <w:pStyle w:val="Indenta"/>
      </w:pPr>
      <w:r>
        <w:tab/>
        <w:t>(b)</w:t>
      </w:r>
      <w:r>
        <w:tab/>
        <w:t>the manner in which a vessel may be secured to the mooring; and</w:t>
      </w:r>
    </w:p>
    <w:p>
      <w:pPr>
        <w:pStyle w:val="Indenta"/>
      </w:pPr>
      <w:r>
        <w:tab/>
        <w:t>(c)</w:t>
      </w:r>
      <w:r>
        <w:tab/>
        <w:t>the payment of any charge in relation to the use of the land on which the mooring is located.</w:t>
      </w:r>
    </w:p>
    <w:p>
      <w:pPr>
        <w:pStyle w:val="Subsection"/>
      </w:pPr>
      <w:r>
        <w:tab/>
        <w:t>(2)</w:t>
      </w:r>
      <w:r>
        <w:tab/>
        <w:t xml:space="preserve">If a private mooring licence is granted or renewed subject to conditions, those conditions — </w:t>
      </w:r>
    </w:p>
    <w:p>
      <w:pPr>
        <w:pStyle w:val="Indenta"/>
      </w:pPr>
      <w:r>
        <w:tab/>
        <w:t>(a)</w:t>
      </w:r>
      <w:r>
        <w:tab/>
        <w:t>are to be endorsed upon or attached to the licence when granted or renewed, as the case may be;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98AR inserted in Gazette 24 Mar 2015 p. 1041.]</w:t>
      </w:r>
    </w:p>
    <w:p>
      <w:pPr>
        <w:pStyle w:val="Heading5"/>
      </w:pPr>
      <w:bookmarkStart w:id="352" w:name="_Toc423343181"/>
      <w:r>
        <w:rPr>
          <w:rStyle w:val="CharSectno"/>
        </w:rPr>
        <w:t>98AS</w:t>
      </w:r>
      <w:r>
        <w:t>.</w:t>
      </w:r>
      <w:r>
        <w:tab/>
        <w:t>Form of licence</w:t>
      </w:r>
      <w:bookmarkEnd w:id="352"/>
    </w:p>
    <w:p>
      <w:pPr>
        <w:pStyle w:val="Subsection"/>
      </w:pPr>
      <w:r>
        <w:tab/>
      </w:r>
      <w:r>
        <w:tab/>
        <w:t xml:space="preserve">A licence for a private mooring must be in a form approved by the CEO and must contain the following information — </w:t>
      </w:r>
    </w:p>
    <w:p>
      <w:pPr>
        <w:pStyle w:val="Indenta"/>
      </w:pPr>
      <w:r>
        <w:tab/>
        <w:t>(a)</w:t>
      </w:r>
      <w:r>
        <w:tab/>
        <w:t>the location of the mooring;</w:t>
      </w:r>
    </w:p>
    <w:p>
      <w:pPr>
        <w:pStyle w:val="Indenta"/>
      </w:pPr>
      <w:r>
        <w:tab/>
        <w:t>(b)</w:t>
      </w:r>
      <w:r>
        <w:tab/>
        <w:t>the name of the licence holder;</w:t>
      </w:r>
    </w:p>
    <w:p>
      <w:pPr>
        <w:pStyle w:val="Indenta"/>
      </w:pPr>
      <w:r>
        <w:tab/>
        <w:t>(c)</w:t>
      </w:r>
      <w:r>
        <w:tab/>
        <w:t>particulars of each vessel or each class of vessel authorised to use the mooring;</w:t>
      </w:r>
    </w:p>
    <w:p>
      <w:pPr>
        <w:pStyle w:val="Indenta"/>
      </w:pPr>
      <w:r>
        <w:tab/>
        <w:t>(d)</w:t>
      </w:r>
      <w:r>
        <w:tab/>
        <w:t>the period for which the licence is granted.</w:t>
      </w:r>
    </w:p>
    <w:p>
      <w:pPr>
        <w:pStyle w:val="Footnotesection"/>
      </w:pPr>
      <w:r>
        <w:tab/>
        <w:t>[Regulation 98AS inserted in Gazette 24 Mar 2015 p. 1041.]</w:t>
      </w:r>
    </w:p>
    <w:p>
      <w:pPr>
        <w:pStyle w:val="Heading5"/>
        <w:rPr>
          <w:snapToGrid w:val="0"/>
        </w:rPr>
      </w:pPr>
      <w:bookmarkStart w:id="353" w:name="_Toc423343182"/>
      <w:r>
        <w:rPr>
          <w:rStyle w:val="CharSectno"/>
        </w:rPr>
        <w:t>98AT</w:t>
      </w:r>
      <w:r>
        <w:rPr>
          <w:snapToGrid w:val="0"/>
        </w:rPr>
        <w:t>.</w:t>
      </w:r>
      <w:r>
        <w:rPr>
          <w:snapToGrid w:val="0"/>
        </w:rPr>
        <w:tab/>
        <w:t>Private moorings to be maintained</w:t>
      </w:r>
      <w:bookmarkEnd w:id="353"/>
      <w:r>
        <w:rPr>
          <w:snapToGrid w:val="0"/>
        </w:rPr>
        <w:t xml:space="preserve"> </w:t>
      </w:r>
    </w:p>
    <w:p>
      <w:pPr>
        <w:pStyle w:val="Subsection"/>
        <w:rPr>
          <w:snapToGrid w:val="0"/>
        </w:rPr>
      </w:pPr>
      <w:r>
        <w:rPr>
          <w:snapToGrid w:val="0"/>
        </w:rPr>
        <w:tab/>
        <w:t>(1)</w:t>
      </w:r>
      <w:r>
        <w:rPr>
          <w:snapToGrid w:val="0"/>
        </w:rPr>
        <w:tab/>
        <w:t>It is a condition of a licence to use a private mooring that the licence holder must maintain the mooring in good condition and repair.</w:t>
      </w:r>
    </w:p>
    <w:p>
      <w:pPr>
        <w:pStyle w:val="Subsection"/>
        <w:rPr>
          <w:snapToGrid w:val="0"/>
        </w:rPr>
      </w:pPr>
      <w:r>
        <w:rPr>
          <w:snapToGrid w:val="0"/>
        </w:rPr>
        <w:tab/>
        <w:t>(2)</w:t>
      </w:r>
      <w:r>
        <w:rPr>
          <w:snapToGrid w:val="0"/>
        </w:rPr>
        <w:tab/>
        <w:t>The CEO may, by notice in writing, require a licence holder to provide a current inspection report for the licensed mooring.</w:t>
      </w:r>
    </w:p>
    <w:p>
      <w:pPr>
        <w:pStyle w:val="Subsection"/>
        <w:rPr>
          <w:snapToGrid w:val="0"/>
        </w:rPr>
      </w:pPr>
      <w:r>
        <w:rPr>
          <w:snapToGrid w:val="0"/>
        </w:rPr>
        <w:tab/>
        <w:t>(3)</w:t>
      </w:r>
      <w:r>
        <w:rPr>
          <w:snapToGrid w:val="0"/>
        </w:rPr>
        <w:tab/>
        <w:t>The licence holder must comply with a notice under subregulation (2) within the time specified in the notice.</w:t>
      </w:r>
    </w:p>
    <w:p>
      <w:pPr>
        <w:pStyle w:val="Penstart"/>
      </w:pPr>
      <w:r>
        <w:tab/>
        <w:t>Penalty: a fine of $1 000.</w:t>
      </w:r>
    </w:p>
    <w:p>
      <w:pPr>
        <w:pStyle w:val="Footnotesection"/>
      </w:pPr>
      <w:r>
        <w:tab/>
        <w:t>[Regulation 98AT inserted in Gazette 24 Mar 2015 p. 1042.]</w:t>
      </w:r>
    </w:p>
    <w:p>
      <w:pPr>
        <w:pStyle w:val="Heading5"/>
        <w:rPr>
          <w:snapToGrid w:val="0"/>
        </w:rPr>
      </w:pPr>
      <w:bookmarkStart w:id="354" w:name="_Toc423343183"/>
      <w:r>
        <w:rPr>
          <w:rStyle w:val="CharSectno"/>
        </w:rPr>
        <w:t>98AU</w:t>
      </w:r>
      <w:r>
        <w:rPr>
          <w:snapToGrid w:val="0"/>
        </w:rPr>
        <w:t>.</w:t>
      </w:r>
      <w:r>
        <w:rPr>
          <w:snapToGrid w:val="0"/>
        </w:rPr>
        <w:tab/>
        <w:t>Requirement to repair, relocate or remove private mooring</w:t>
      </w:r>
      <w:bookmarkEnd w:id="354"/>
    </w:p>
    <w:p>
      <w:pPr>
        <w:pStyle w:val="Subsection"/>
        <w:rPr>
          <w:snapToGrid w:val="0"/>
        </w:rPr>
      </w:pPr>
      <w:r>
        <w:rPr>
          <w:snapToGrid w:val="0"/>
        </w:rPr>
        <w:tab/>
        <w:t>(1)</w:t>
      </w:r>
      <w:r>
        <w:rPr>
          <w:snapToGrid w:val="0"/>
        </w:rPr>
        <w:tab/>
        <w:t xml:space="preserve">The CEO may, by notice in writing, require a licence holder to repair the licensed mooring within a specified time if </w:t>
      </w:r>
      <w:r>
        <w:t>the CEO considers that the</w:t>
      </w:r>
      <w:r>
        <w:rPr>
          <w:snapToGrid w:val="0"/>
        </w:rPr>
        <w:t xml:space="preserve"> mooring has deteriorated to the extent that it is dangerous, unusable or in need of repair.</w:t>
      </w:r>
    </w:p>
    <w:p>
      <w:pPr>
        <w:pStyle w:val="Subsection"/>
      </w:pPr>
      <w:r>
        <w:tab/>
        <w:t>(2)</w:t>
      </w:r>
      <w:r>
        <w:tab/>
      </w:r>
      <w:r>
        <w:rPr>
          <w:snapToGrid w:val="0"/>
        </w:rPr>
        <w:t xml:space="preserve">The CEO may, by notice in writing, require a licence holder, or a person who was a licence holder, to relocate or remove the licensed mooring within a specified time if — </w:t>
      </w:r>
    </w:p>
    <w:p>
      <w:pPr>
        <w:pStyle w:val="Indenta"/>
        <w:rPr>
          <w:snapToGrid w:val="0"/>
        </w:rPr>
      </w:pPr>
      <w:r>
        <w:rPr>
          <w:snapToGrid w:val="0"/>
        </w:rPr>
        <w:tab/>
        <w:t>(a)</w:t>
      </w:r>
      <w:r>
        <w:rPr>
          <w:snapToGrid w:val="0"/>
        </w:rPr>
        <w:tab/>
        <w:t>the CEO cancels the licence; or</w:t>
      </w:r>
    </w:p>
    <w:p>
      <w:pPr>
        <w:pStyle w:val="Indenta"/>
        <w:rPr>
          <w:snapToGrid w:val="0"/>
        </w:rPr>
      </w:pPr>
      <w:r>
        <w:rPr>
          <w:snapToGrid w:val="0"/>
        </w:rPr>
        <w:tab/>
        <w:t>(b)</w:t>
      </w:r>
      <w:r>
        <w:rPr>
          <w:snapToGrid w:val="0"/>
        </w:rPr>
        <w:tab/>
        <w:t>the licence holder surrenders the licence; or</w:t>
      </w:r>
    </w:p>
    <w:p>
      <w:pPr>
        <w:pStyle w:val="Indenta"/>
        <w:rPr>
          <w:snapToGrid w:val="0"/>
        </w:rPr>
      </w:pPr>
      <w:r>
        <w:rPr>
          <w:snapToGrid w:val="0"/>
        </w:rPr>
        <w:tab/>
        <w:t>(c)</w:t>
      </w:r>
      <w:r>
        <w:rPr>
          <w:snapToGrid w:val="0"/>
        </w:rPr>
        <w:tab/>
        <w:t>the relocation or removal is necessary to comply with any management plan for the land on which the mooring is located; or</w:t>
      </w:r>
    </w:p>
    <w:p>
      <w:pPr>
        <w:pStyle w:val="Indenta"/>
        <w:rPr>
          <w:snapToGrid w:val="0"/>
        </w:rPr>
      </w:pPr>
      <w:r>
        <w:rPr>
          <w:snapToGrid w:val="0"/>
        </w:rPr>
        <w:tab/>
        <w:t>(d)</w:t>
      </w:r>
      <w:r>
        <w:rPr>
          <w:snapToGrid w:val="0"/>
        </w:rPr>
        <w:tab/>
        <w:t>the CEO considers that it is in the public interest for the mooring to be relocated or removed.</w:t>
      </w:r>
    </w:p>
    <w:p>
      <w:pPr>
        <w:pStyle w:val="Subsection"/>
      </w:pPr>
      <w:r>
        <w:tab/>
        <w:t>(3)</w:t>
      </w:r>
      <w:r>
        <w:tab/>
        <w:t>A person to whom a notice is given under subregulation (1) or (2) must comply with the requirements specified in the notice within the time specified in the notice.</w:t>
      </w:r>
    </w:p>
    <w:p>
      <w:pPr>
        <w:pStyle w:val="Penstart"/>
      </w:pPr>
      <w:r>
        <w:tab/>
        <w:t>Penalty: a fine of $2 000.</w:t>
      </w:r>
    </w:p>
    <w:p>
      <w:pPr>
        <w:pStyle w:val="Subsection"/>
      </w:pPr>
      <w:r>
        <w:tab/>
        <w:t>(4)</w:t>
      </w:r>
      <w:r>
        <w:tab/>
        <w:t>A mooring that is not relocated or removed within the period specified in a notice given under subregulation (2) is, on the expiry of that period, forfeited to the Crown and may be destroyed, sold or otherwise disposed of as directed by the CEO.</w:t>
      </w:r>
    </w:p>
    <w:p>
      <w:pPr>
        <w:pStyle w:val="Footnotesection"/>
      </w:pPr>
      <w:r>
        <w:tab/>
        <w:t>[Regulation 98AU inserted in Gazette 24 Mar 2015 p. 1042.]</w:t>
      </w:r>
    </w:p>
    <w:p>
      <w:pPr>
        <w:pStyle w:val="Heading5"/>
        <w:rPr>
          <w:snapToGrid w:val="0"/>
        </w:rPr>
      </w:pPr>
      <w:bookmarkStart w:id="355" w:name="_Toc423343184"/>
      <w:r>
        <w:rPr>
          <w:rStyle w:val="CharSectno"/>
        </w:rPr>
        <w:t>98AV</w:t>
      </w:r>
      <w:r>
        <w:rPr>
          <w:snapToGrid w:val="0"/>
        </w:rPr>
        <w:t>.</w:t>
      </w:r>
      <w:r>
        <w:rPr>
          <w:snapToGrid w:val="0"/>
        </w:rPr>
        <w:tab/>
        <w:t>Cancellation of private mooring licence</w:t>
      </w:r>
      <w:bookmarkEnd w:id="355"/>
      <w:r>
        <w:rPr>
          <w:snapToGrid w:val="0"/>
        </w:rPr>
        <w:t xml:space="preserve"> </w:t>
      </w:r>
    </w:p>
    <w:p>
      <w:pPr>
        <w:pStyle w:val="Subsection"/>
        <w:rPr>
          <w:snapToGrid w:val="0"/>
        </w:rPr>
      </w:pPr>
      <w:r>
        <w:rPr>
          <w:snapToGrid w:val="0"/>
        </w:rPr>
        <w:tab/>
        <w:t>(1)</w:t>
      </w:r>
      <w:r>
        <w:rPr>
          <w:snapToGrid w:val="0"/>
        </w:rPr>
        <w:tab/>
        <w:t>The CEO may, by written notice given to the licence holder, cancel a private mooring licence if — </w:t>
      </w:r>
    </w:p>
    <w:p>
      <w:pPr>
        <w:pStyle w:val="Indenta"/>
        <w:rPr>
          <w:snapToGrid w:val="0"/>
        </w:rPr>
      </w:pPr>
      <w:r>
        <w:rPr>
          <w:snapToGrid w:val="0"/>
        </w:rPr>
        <w:tab/>
        <w:t>(a)</w:t>
      </w:r>
      <w:r>
        <w:rPr>
          <w:snapToGrid w:val="0"/>
        </w:rPr>
        <w:tab/>
        <w:t>the licence holder ceases to own, or no longer appears to control, the mooring; or</w:t>
      </w:r>
    </w:p>
    <w:p>
      <w:pPr>
        <w:pStyle w:val="Indenta"/>
        <w:rPr>
          <w:snapToGrid w:val="0"/>
        </w:rPr>
      </w:pPr>
      <w:r>
        <w:rPr>
          <w:snapToGrid w:val="0"/>
        </w:rPr>
        <w:tab/>
        <w:t>(b)</w:t>
      </w:r>
      <w:r>
        <w:rPr>
          <w:snapToGrid w:val="0"/>
        </w:rPr>
        <w:tab/>
        <w:t>the licence holder fails to provide an inspection report for the mooring in accordance with regulation 98AT(2); or</w:t>
      </w:r>
    </w:p>
    <w:p>
      <w:pPr>
        <w:pStyle w:val="Indenta"/>
        <w:rPr>
          <w:snapToGrid w:val="0"/>
        </w:rPr>
      </w:pPr>
      <w:r>
        <w:rPr>
          <w:snapToGrid w:val="0"/>
        </w:rPr>
        <w:tab/>
        <w:t>(c)</w:t>
      </w:r>
      <w:r>
        <w:rPr>
          <w:snapToGrid w:val="0"/>
        </w:rPr>
        <w:tab/>
        <w:t>the licence holder fails to comply with a requirement under regulation 98AU(1) or (2).</w:t>
      </w:r>
    </w:p>
    <w:p>
      <w:pPr>
        <w:pStyle w:val="Subsection"/>
      </w:pPr>
      <w:r>
        <w:tab/>
        <w:t>(2)</w:t>
      </w:r>
      <w:r>
        <w:tab/>
        <w:t>The powers of the CEO referred to in subregulation (1) are in addition to, and do not derogate from, the powers referred to in regulation 86(1).</w:t>
      </w:r>
    </w:p>
    <w:p>
      <w:pPr>
        <w:pStyle w:val="Footnotesection"/>
      </w:pPr>
      <w:r>
        <w:tab/>
        <w:t>[Regulation 98AV inserted in Gazette 24 Mar 2015 p. 1043.]</w:t>
      </w:r>
    </w:p>
    <w:p>
      <w:pPr>
        <w:pStyle w:val="Heading5"/>
        <w:rPr>
          <w:snapToGrid w:val="0"/>
        </w:rPr>
      </w:pPr>
      <w:bookmarkStart w:id="356" w:name="_Toc423343185"/>
      <w:r>
        <w:rPr>
          <w:rStyle w:val="CharSectno"/>
        </w:rPr>
        <w:t>98AW</w:t>
      </w:r>
      <w:r>
        <w:rPr>
          <w:snapToGrid w:val="0"/>
        </w:rPr>
        <w:t>.</w:t>
      </w:r>
      <w:r>
        <w:rPr>
          <w:snapToGrid w:val="0"/>
        </w:rPr>
        <w:tab/>
        <w:t>Giving notice of change of registered particulars</w:t>
      </w:r>
      <w:bookmarkEnd w:id="356"/>
    </w:p>
    <w:p>
      <w:pPr>
        <w:pStyle w:val="Subsection"/>
        <w:rPr>
          <w:snapToGrid w:val="0"/>
        </w:rPr>
      </w:pPr>
      <w:r>
        <w:rPr>
          <w:snapToGrid w:val="0"/>
        </w:rPr>
        <w:tab/>
      </w:r>
      <w:r>
        <w:rPr>
          <w:snapToGrid w:val="0"/>
        </w:rPr>
        <w:tab/>
        <w:t>A licence holder must, within 7 days, notify the CEO of any alteration in the particulars of the licensed mooring, including any change of address or telephone number of the licence holder or the natural person who may be contacted on behalf of a body corporate or partnership.</w:t>
      </w:r>
    </w:p>
    <w:p>
      <w:pPr>
        <w:pStyle w:val="Penstart"/>
      </w:pPr>
      <w:r>
        <w:tab/>
        <w:t>Penalty: a fine of $1 000.</w:t>
      </w:r>
    </w:p>
    <w:p>
      <w:pPr>
        <w:pStyle w:val="Footnotesection"/>
      </w:pPr>
      <w:r>
        <w:tab/>
        <w:t>[Regulation 98AW inserted in Gazette 24 Mar 2015 p. 1043.]</w:t>
      </w:r>
    </w:p>
    <w:p>
      <w:pPr>
        <w:pStyle w:val="Heading5"/>
        <w:rPr>
          <w:snapToGrid w:val="0"/>
        </w:rPr>
      </w:pPr>
      <w:bookmarkStart w:id="357" w:name="_Toc423343186"/>
      <w:r>
        <w:rPr>
          <w:rStyle w:val="CharSectno"/>
        </w:rPr>
        <w:t>98AX</w:t>
      </w:r>
      <w:r>
        <w:rPr>
          <w:snapToGrid w:val="0"/>
        </w:rPr>
        <w:t>.</w:t>
      </w:r>
      <w:r>
        <w:rPr>
          <w:snapToGrid w:val="0"/>
        </w:rPr>
        <w:tab/>
        <w:t>Surrender of private mooring licence</w:t>
      </w:r>
      <w:bookmarkEnd w:id="357"/>
    </w:p>
    <w:p>
      <w:pPr>
        <w:pStyle w:val="Subsection"/>
        <w:rPr>
          <w:snapToGrid w:val="0"/>
        </w:rPr>
      </w:pPr>
      <w:r>
        <w:rPr>
          <w:snapToGrid w:val="0"/>
        </w:rPr>
        <w:tab/>
        <w:t>(1)</w:t>
      </w:r>
      <w:r>
        <w:rPr>
          <w:snapToGrid w:val="0"/>
        </w:rPr>
        <w:tab/>
        <w:t xml:space="preserve">A licence holder may by notice in writing to the CEO surrender a licence. </w:t>
      </w:r>
    </w:p>
    <w:p>
      <w:pPr>
        <w:pStyle w:val="Subsection"/>
        <w:rPr>
          <w:snapToGrid w:val="0"/>
        </w:rPr>
      </w:pPr>
      <w:r>
        <w:rPr>
          <w:snapToGrid w:val="0"/>
        </w:rPr>
        <w:tab/>
        <w:t>(2)</w:t>
      </w:r>
      <w:r>
        <w:rPr>
          <w:snapToGrid w:val="0"/>
        </w:rPr>
        <w:tab/>
        <w:t>A licence holder who surrenders a licence is not entitled to the refund of any fees paid in respect of a period after the date of surrender.</w:t>
      </w:r>
    </w:p>
    <w:p>
      <w:pPr>
        <w:pStyle w:val="Footnotesection"/>
      </w:pPr>
      <w:r>
        <w:tab/>
        <w:t>[Regulation 98AX inserted in Gazette 24 Mar 2015 p. 1043.]</w:t>
      </w:r>
    </w:p>
    <w:p>
      <w:pPr>
        <w:pStyle w:val="Ednotepart"/>
      </w:pPr>
      <w:r>
        <w:t>[Part 7A deleted in Gazette 27 Feb 2009 p. 530.]</w:t>
      </w:r>
    </w:p>
    <w:p>
      <w:pPr>
        <w:pStyle w:val="Heading2"/>
      </w:pPr>
      <w:bookmarkStart w:id="358" w:name="_Toc408498892"/>
      <w:bookmarkStart w:id="359" w:name="_Toc414889314"/>
      <w:bookmarkStart w:id="360" w:name="_Toc414975286"/>
      <w:bookmarkStart w:id="361" w:name="_Toc417563768"/>
      <w:bookmarkStart w:id="362" w:name="_Toc423340589"/>
      <w:bookmarkStart w:id="363" w:name="_Toc423343187"/>
      <w:r>
        <w:rPr>
          <w:rStyle w:val="CharPartNo"/>
        </w:rPr>
        <w:t>Part 8A</w:t>
      </w:r>
      <w:r>
        <w:rPr>
          <w:rStyle w:val="CharDivNo"/>
        </w:rPr>
        <w:t> </w:t>
      </w:r>
      <w:r>
        <w:t>—</w:t>
      </w:r>
      <w:r>
        <w:rPr>
          <w:rStyle w:val="CharDivText"/>
        </w:rPr>
        <w:t> </w:t>
      </w:r>
      <w:r>
        <w:rPr>
          <w:rStyle w:val="CharPartText"/>
        </w:rPr>
        <w:t>Apiary permits and licences</w:t>
      </w:r>
      <w:bookmarkEnd w:id="358"/>
      <w:bookmarkEnd w:id="359"/>
      <w:bookmarkEnd w:id="360"/>
      <w:bookmarkEnd w:id="361"/>
      <w:bookmarkEnd w:id="362"/>
      <w:bookmarkEnd w:id="363"/>
    </w:p>
    <w:p>
      <w:pPr>
        <w:pStyle w:val="yFootnoteheading"/>
      </w:pPr>
      <w:r>
        <w:tab/>
        <w:t>[Heading inserted in Gazette 3 Sep 2010 p. 4278.]</w:t>
      </w:r>
    </w:p>
    <w:p>
      <w:pPr>
        <w:pStyle w:val="Heading5"/>
      </w:pPr>
      <w:bookmarkStart w:id="364" w:name="_Toc408498893"/>
      <w:bookmarkStart w:id="365" w:name="_Toc423343188"/>
      <w:r>
        <w:rPr>
          <w:rStyle w:val="CharSectno"/>
        </w:rPr>
        <w:t>98A</w:t>
      </w:r>
      <w:r>
        <w:t>.</w:t>
      </w:r>
      <w:r>
        <w:tab/>
        <w:t>Terms used</w:t>
      </w:r>
      <w:bookmarkEnd w:id="364"/>
      <w:bookmarkEnd w:id="365"/>
    </w:p>
    <w:p>
      <w:pPr>
        <w:pStyle w:val="Subsection"/>
      </w:pPr>
      <w:r>
        <w:tab/>
      </w:r>
      <w:r>
        <w:tab/>
        <w:t xml:space="preserve">In this Part — </w:t>
      </w:r>
    </w:p>
    <w:p>
      <w:pPr>
        <w:pStyle w:val="Defstart"/>
      </w:pPr>
      <w:r>
        <w:rPr>
          <w:b/>
        </w:rPr>
        <w:tab/>
      </w:r>
      <w:r>
        <w:rPr>
          <w:rStyle w:val="CharDefText"/>
        </w:rPr>
        <w:t>apiary authority</w:t>
      </w:r>
      <w:r>
        <w:t xml:space="preserve"> means an apiary licence or apiary permit;</w:t>
      </w:r>
    </w:p>
    <w:p>
      <w:pPr>
        <w:pStyle w:val="Defstart"/>
      </w:pPr>
      <w:r>
        <w:rPr>
          <w:b/>
        </w:rPr>
        <w:tab/>
      </w:r>
      <w:r>
        <w:rPr>
          <w:rStyle w:val="CharDefText"/>
        </w:rPr>
        <w:t>apiary licence</w:t>
      </w:r>
      <w:r>
        <w:t xml:space="preserve"> means a licence granted under Part VIII Division 2 of the Act to — </w:t>
      </w:r>
    </w:p>
    <w:p>
      <w:pPr>
        <w:pStyle w:val="Defpara"/>
      </w:pPr>
      <w:r>
        <w:tab/>
        <w:t>(a)</w:t>
      </w:r>
      <w:r>
        <w:tab/>
        <w:t>enter and use the land specified in the licence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permit</w:t>
      </w:r>
      <w:r>
        <w:t xml:space="preserve"> means a permit granted under Part VIII Division 1 of the Act to — </w:t>
      </w:r>
    </w:p>
    <w:p>
      <w:pPr>
        <w:pStyle w:val="Defpara"/>
      </w:pPr>
      <w:r>
        <w:tab/>
        <w:t>(a)</w:t>
      </w:r>
      <w:r>
        <w:tab/>
        <w:t>occupy the land specified in the permit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site</w:t>
      </w:r>
      <w:r>
        <w:t xml:space="preserve"> means the land specified in an apiary authority as the land to which the authority relates;</w:t>
      </w:r>
    </w:p>
    <w:p>
      <w:pPr>
        <w:pStyle w:val="Defstart"/>
      </w:pPr>
      <w:r>
        <w:rPr>
          <w:b/>
        </w:rPr>
        <w:tab/>
      </w:r>
      <w:r>
        <w:rPr>
          <w:rStyle w:val="CharDefText"/>
        </w:rPr>
        <w:t>South</w:t>
      </w:r>
      <w:r>
        <w:rPr>
          <w:rStyle w:val="CharDefText"/>
        </w:rPr>
        <w:noBreakHyphen/>
        <w:t>west zone</w:t>
      </w:r>
      <w:r>
        <w:t xml:space="preserve"> means those parts of the South</w:t>
      </w:r>
      <w:r>
        <w:noBreakHyphen/>
        <w:t xml:space="preserve">west Division and Eucla Division of the State (as described in the </w:t>
      </w:r>
      <w:r>
        <w:rPr>
          <w:i/>
          <w:iCs/>
        </w:rPr>
        <w:t>Land Administration Act 1997</w:t>
      </w:r>
      <w:r>
        <w:t xml:space="preserve"> Schedule 1) depicted as the South</w:t>
      </w:r>
      <w:r>
        <w:noBreakHyphen/>
        <w:t>west zone on the Department of Environment and Conservation</w:t>
      </w:r>
      <w:r>
        <w:rPr>
          <w:vertAlign w:val="superscript"/>
        </w:rPr>
        <w:t> 5</w:t>
      </w:r>
      <w:r>
        <w:t xml:space="preserve"> plan entitled “South</w:t>
      </w:r>
      <w:r>
        <w:noBreakHyphen/>
        <w:t>west zone — Apiary Permits and Licenses” dated August 2009.</w:t>
      </w:r>
    </w:p>
    <w:p>
      <w:pPr>
        <w:pStyle w:val="Footnotesection"/>
      </w:pPr>
      <w:r>
        <w:tab/>
        <w:t>[Regulation 98A inserted in Gazette 3 Sep 2010 p. 4278</w:t>
      </w:r>
      <w:r>
        <w:noBreakHyphen/>
        <w:t>9.]</w:t>
      </w:r>
    </w:p>
    <w:p>
      <w:pPr>
        <w:pStyle w:val="Heading5"/>
      </w:pPr>
      <w:bookmarkStart w:id="366" w:name="_Toc408498894"/>
      <w:bookmarkStart w:id="367" w:name="_Toc423343189"/>
      <w:r>
        <w:rPr>
          <w:rStyle w:val="CharSectno"/>
        </w:rPr>
        <w:t>98B</w:t>
      </w:r>
      <w:r>
        <w:t>.</w:t>
      </w:r>
      <w:r>
        <w:tab/>
        <w:t>Application of Part 8A</w:t>
      </w:r>
      <w:bookmarkEnd w:id="366"/>
      <w:bookmarkEnd w:id="367"/>
    </w:p>
    <w:p>
      <w:pPr>
        <w:pStyle w:val="Subsection"/>
      </w:pPr>
      <w:r>
        <w:tab/>
      </w:r>
      <w:r>
        <w:tab/>
        <w:t>This Part applies to all land in respect of which an apiary licence or apiary permit may be granted.</w:t>
      </w:r>
    </w:p>
    <w:p>
      <w:pPr>
        <w:pStyle w:val="Footnotesection"/>
      </w:pPr>
      <w:r>
        <w:tab/>
        <w:t>[Regulation 98B inserted in Gazette 3 Sep 2010 p. 4279.]</w:t>
      </w:r>
    </w:p>
    <w:p>
      <w:pPr>
        <w:pStyle w:val="Heading5"/>
      </w:pPr>
      <w:bookmarkStart w:id="368" w:name="_Toc408498895"/>
      <w:bookmarkStart w:id="369" w:name="_Toc423343190"/>
      <w:r>
        <w:rPr>
          <w:rStyle w:val="CharSectno"/>
        </w:rPr>
        <w:t>98C</w:t>
      </w:r>
      <w:r>
        <w:t>.</w:t>
      </w:r>
      <w:r>
        <w:tab/>
        <w:t>Applications</w:t>
      </w:r>
      <w:bookmarkEnd w:id="368"/>
      <w:bookmarkEnd w:id="369"/>
    </w:p>
    <w:p>
      <w:pPr>
        <w:pStyle w:val="Subsection"/>
      </w:pPr>
      <w:r>
        <w:tab/>
        <w:t>(1)</w:t>
      </w:r>
      <w:r>
        <w:tab/>
        <w:t xml:space="preserve">An application — </w:t>
      </w:r>
    </w:p>
    <w:p>
      <w:pPr>
        <w:pStyle w:val="Indenta"/>
      </w:pPr>
      <w:r>
        <w:tab/>
        <w:t>(a)</w:t>
      </w:r>
      <w:r>
        <w:tab/>
        <w:t>for the grant, renewal or transfer of an apiary authority; or</w:t>
      </w:r>
    </w:p>
    <w:p>
      <w:pPr>
        <w:pStyle w:val="Indenta"/>
      </w:pPr>
      <w:r>
        <w:tab/>
        <w:t>(b)</w:t>
      </w:r>
      <w:r>
        <w:tab/>
        <w:t>for the variation of an apiary licence to change the site to which it relates; or</w:t>
      </w:r>
    </w:p>
    <w:p>
      <w:pPr>
        <w:pStyle w:val="Indenta"/>
      </w:pPr>
      <w:r>
        <w:tab/>
        <w:t>(c)</w:t>
      </w:r>
      <w:r>
        <w:tab/>
        <w:t>otherwise relating to an apiary authority,</w:t>
      </w:r>
    </w:p>
    <w:p>
      <w:pPr>
        <w:pStyle w:val="Subsection"/>
      </w:pPr>
      <w:r>
        <w:tab/>
      </w:r>
      <w:r>
        <w:tab/>
        <w:t>must be made to the CEO in writing.</w:t>
      </w:r>
    </w:p>
    <w:p>
      <w:pPr>
        <w:pStyle w:val="Subsection"/>
      </w:pPr>
      <w:r>
        <w:tab/>
        <w:t>(2)</w:t>
      </w:r>
      <w:r>
        <w:tab/>
        <w:t>An applicant must provide the CEO with any relevant information requested by the CEO.</w:t>
      </w:r>
    </w:p>
    <w:p>
      <w:pPr>
        <w:pStyle w:val="Subsection"/>
      </w:pPr>
      <w:r>
        <w:tab/>
        <w:t>(3)</w:t>
      </w:r>
      <w:r>
        <w:tab/>
        <w:t xml:space="preserve">An application may be made in relation to 2 or more apiary authorities in the same form. </w:t>
      </w:r>
    </w:p>
    <w:p>
      <w:pPr>
        <w:pStyle w:val="Subsection"/>
      </w:pPr>
      <w:r>
        <w:tab/>
        <w:t>(4)</w:t>
      </w:r>
      <w:r>
        <w:tab/>
        <w:t>The fees specified in Schedule 1 Division 11 are payable in respect of an application made in relation to an apiary authority.</w:t>
      </w:r>
    </w:p>
    <w:p>
      <w:pPr>
        <w:pStyle w:val="Footnotesection"/>
      </w:pPr>
      <w:r>
        <w:tab/>
        <w:t>[Regulation 98C inserted in Gazette 3 Sep 2010 p. 4279.]</w:t>
      </w:r>
    </w:p>
    <w:p>
      <w:pPr>
        <w:pStyle w:val="Heading5"/>
      </w:pPr>
      <w:bookmarkStart w:id="370" w:name="_Toc408498896"/>
      <w:bookmarkStart w:id="371" w:name="_Toc423343191"/>
      <w:r>
        <w:rPr>
          <w:rStyle w:val="CharSectno"/>
        </w:rPr>
        <w:t>98D</w:t>
      </w:r>
      <w:r>
        <w:t>.</w:t>
      </w:r>
      <w:r>
        <w:tab/>
        <w:t>Maximum area of apiary site</w:t>
      </w:r>
      <w:bookmarkEnd w:id="370"/>
      <w:bookmarkEnd w:id="371"/>
    </w:p>
    <w:p>
      <w:pPr>
        <w:pStyle w:val="Subsection"/>
      </w:pPr>
      <w:r>
        <w:tab/>
      </w:r>
      <w:r>
        <w:tab/>
        <w:t xml:space="preserve">The area of an apiary site for which an apiary authority is granted must not exceed the area that the CEO considers is reasonably necessary to enable an apiary to be efficiently operated on the site. </w:t>
      </w:r>
    </w:p>
    <w:p>
      <w:pPr>
        <w:pStyle w:val="Footnotesection"/>
      </w:pPr>
      <w:r>
        <w:tab/>
        <w:t>[Regulation 98D inserted in Gazette 3 Sep 2010 p. 4279.]</w:t>
      </w:r>
    </w:p>
    <w:p>
      <w:pPr>
        <w:pStyle w:val="Heading5"/>
      </w:pPr>
      <w:bookmarkStart w:id="372" w:name="_Toc408498897"/>
      <w:bookmarkStart w:id="373" w:name="_Toc423343192"/>
      <w:r>
        <w:rPr>
          <w:rStyle w:val="CharSectno"/>
        </w:rPr>
        <w:t>98E</w:t>
      </w:r>
      <w:r>
        <w:t>.</w:t>
      </w:r>
      <w:r>
        <w:tab/>
        <w:t>Form of apiary authority</w:t>
      </w:r>
      <w:bookmarkEnd w:id="372"/>
      <w:bookmarkEnd w:id="373"/>
    </w:p>
    <w:p>
      <w:pPr>
        <w:pStyle w:val="Subsection"/>
      </w:pPr>
      <w:r>
        <w:tab/>
        <w:t>(1)</w:t>
      </w:r>
      <w:r>
        <w:tab/>
        <w:t>An apiary permit is to be in the form of Schedule 3 Form 3.</w:t>
      </w:r>
    </w:p>
    <w:p>
      <w:pPr>
        <w:pStyle w:val="Subsection"/>
      </w:pPr>
      <w:r>
        <w:tab/>
        <w:t>(2)</w:t>
      </w:r>
      <w:r>
        <w:tab/>
        <w:t>An apiary licence is to be in writing in such form as the CEO thinks fit.</w:t>
      </w:r>
    </w:p>
    <w:p>
      <w:pPr>
        <w:pStyle w:val="Footnotesection"/>
      </w:pPr>
      <w:r>
        <w:tab/>
        <w:t>[Regulation 98E inserted in Gazette 3 Sep 2010 p. 4279</w:t>
      </w:r>
      <w:r>
        <w:noBreakHyphen/>
        <w:t>80.]</w:t>
      </w:r>
    </w:p>
    <w:p>
      <w:pPr>
        <w:pStyle w:val="Heading5"/>
      </w:pPr>
      <w:bookmarkStart w:id="374" w:name="_Toc408498898"/>
      <w:bookmarkStart w:id="375" w:name="_Toc423343193"/>
      <w:r>
        <w:rPr>
          <w:rStyle w:val="CharSectno"/>
        </w:rPr>
        <w:t>98F</w:t>
      </w:r>
      <w:r>
        <w:t>.</w:t>
      </w:r>
      <w:r>
        <w:tab/>
        <w:t>Duration of apiary authority</w:t>
      </w:r>
      <w:bookmarkEnd w:id="374"/>
      <w:bookmarkEnd w:id="375"/>
    </w:p>
    <w:p>
      <w:pPr>
        <w:pStyle w:val="Subsection"/>
      </w:pPr>
      <w:r>
        <w:tab/>
        <w:t>(1)</w:t>
      </w:r>
      <w:r>
        <w:tab/>
        <w:t>An apiary authority —</w:t>
      </w:r>
    </w:p>
    <w:p>
      <w:pPr>
        <w:pStyle w:val="Indenta"/>
      </w:pPr>
      <w:r>
        <w:tab/>
        <w:t>(a)</w:t>
      </w:r>
      <w:r>
        <w:tab/>
        <w:t>takes effect on the day on which it is granted or any later day specified in it; and</w:t>
      </w:r>
    </w:p>
    <w:p>
      <w:pPr>
        <w:pStyle w:val="Indenta"/>
      </w:pPr>
      <w:r>
        <w:tab/>
        <w:t>(b)</w:t>
      </w:r>
      <w:r>
        <w:tab/>
        <w:t>remains in force for the period specified in it unless before then it expires under subregulation (2), is surrendered or is cancelled.</w:t>
      </w:r>
    </w:p>
    <w:p>
      <w:pPr>
        <w:pStyle w:val="Subsection"/>
      </w:pPr>
      <w:r>
        <w:tab/>
        <w:t>(2)</w:t>
      </w:r>
      <w:r>
        <w:tab/>
        <w:t>An apiary authority expires if the apiary site ceases to be land in respect of which the authority can be granted under Part VIII Division 1 or 2, as the case requires, of the Act.</w:t>
      </w:r>
    </w:p>
    <w:p>
      <w:pPr>
        <w:pStyle w:val="Subsection"/>
      </w:pPr>
      <w:r>
        <w:tab/>
        <w:t>(3)</w:t>
      </w:r>
      <w:r>
        <w:tab/>
        <w:t>The holder of an apiary authority may surrender it at any time by returning the permit or licence to the CEO, in which case it ceases to have effect when it is received by the CEO.</w:t>
      </w:r>
    </w:p>
    <w:p>
      <w:pPr>
        <w:pStyle w:val="Footnotesection"/>
      </w:pPr>
      <w:r>
        <w:tab/>
        <w:t>[Regulation 98F inserted in Gazette 3 Sep 2010 p. 4280.]</w:t>
      </w:r>
    </w:p>
    <w:p>
      <w:pPr>
        <w:pStyle w:val="Heading5"/>
      </w:pPr>
      <w:bookmarkStart w:id="376" w:name="_Toc408498899"/>
      <w:bookmarkStart w:id="377" w:name="_Toc423343194"/>
      <w:r>
        <w:rPr>
          <w:rStyle w:val="CharSectno"/>
        </w:rPr>
        <w:t>98G</w:t>
      </w:r>
      <w:r>
        <w:t>.</w:t>
      </w:r>
      <w:r>
        <w:tab/>
        <w:t>Conditions</w:t>
      </w:r>
      <w:bookmarkEnd w:id="376"/>
      <w:bookmarkEnd w:id="377"/>
    </w:p>
    <w:p>
      <w:pPr>
        <w:pStyle w:val="Subsection"/>
      </w:pPr>
      <w:r>
        <w:tab/>
        <w:t>(1)</w:t>
      </w:r>
      <w:r>
        <w:tab/>
        <w:t xml:space="preserve">In this regulation — </w:t>
      </w:r>
    </w:p>
    <w:p>
      <w:pPr>
        <w:pStyle w:val="Defstart"/>
      </w:pPr>
      <w:r>
        <w:rPr>
          <w:b/>
        </w:rPr>
        <w:tab/>
      </w:r>
      <w:r>
        <w:rPr>
          <w:rStyle w:val="CharDefText"/>
        </w:rPr>
        <w:t>apiarist</w:t>
      </w:r>
      <w:r>
        <w:t xml:space="preserve"> includes an employee or agent of the apiarist; </w:t>
      </w:r>
    </w:p>
    <w:p>
      <w:pPr>
        <w:pStyle w:val="Defstart"/>
      </w:pPr>
      <w:r>
        <w:rPr>
          <w:b/>
        </w:rPr>
        <w:tab/>
      </w:r>
      <w:r>
        <w:rPr>
          <w:rStyle w:val="CharDefText"/>
        </w:rPr>
        <w:t>local departmental office</w:t>
      </w:r>
      <w:r>
        <w:rPr>
          <w:bCs/>
        </w:rPr>
        <w:t xml:space="preserve">, in relation to an apiary site, </w:t>
      </w:r>
      <w:r>
        <w:t>means the office of the Department responsible for the day</w:t>
      </w:r>
      <w:r>
        <w:noBreakHyphen/>
        <w:t>to</w:t>
      </w:r>
      <w:r>
        <w:noBreakHyphen/>
        <w:t>day management of the area that includes the apiary site.</w:t>
      </w:r>
    </w:p>
    <w:p>
      <w:pPr>
        <w:pStyle w:val="Subsection"/>
      </w:pPr>
      <w:r>
        <w:tab/>
        <w:t>(2)</w:t>
      </w:r>
      <w:r>
        <w:tab/>
        <w:t xml:space="preserve">The following conditions apply to every apiary authority — </w:t>
      </w:r>
    </w:p>
    <w:p>
      <w:pPr>
        <w:pStyle w:val="Indenta"/>
      </w:pPr>
      <w:r>
        <w:tab/>
        <w:t>(a)</w:t>
      </w:r>
      <w:r>
        <w:tab/>
        <w:t>the apiarist must immediately report any outbreak of fire on or near the apiary site to the local departmental office;</w:t>
      </w:r>
    </w:p>
    <w:p>
      <w:pPr>
        <w:pStyle w:val="Indenta"/>
      </w:pPr>
      <w:r>
        <w:tab/>
        <w:t>(b)</w:t>
      </w:r>
      <w:r>
        <w:tab/>
        <w:t>the apiarist must cooperate with the Department and any other authority or person lawfully carrying out fire prevention or control activities on or near the apiary site;</w:t>
      </w:r>
    </w:p>
    <w:p>
      <w:pPr>
        <w:pStyle w:val="Indenta"/>
      </w:pPr>
      <w:r>
        <w:tab/>
        <w:t>(c)</w:t>
      </w:r>
      <w:r>
        <w:tab/>
        <w:t>the apiarist must ensure that there is adequate water on the apiary site for all apiary requirements;</w:t>
      </w:r>
    </w:p>
    <w:p>
      <w:pPr>
        <w:pStyle w:val="Indenta"/>
        <w:keepNext/>
      </w:pPr>
      <w:r>
        <w:tab/>
        <w:t>(d)</w:t>
      </w:r>
      <w:r>
        <w:tab/>
        <w:t xml:space="preserve">before placing hives on the apiary site the apiarist must give notice to — </w:t>
      </w:r>
    </w:p>
    <w:p>
      <w:pPr>
        <w:pStyle w:val="Indenti"/>
      </w:pPr>
      <w:r>
        <w:tab/>
        <w:t>(i)</w:t>
      </w:r>
      <w:r>
        <w:tab/>
        <w:t>the local departmental office; and</w:t>
      </w:r>
    </w:p>
    <w:p>
      <w:pPr>
        <w:pStyle w:val="Indenti"/>
      </w:pPr>
      <w:r>
        <w:tab/>
        <w:t>(ii)</w:t>
      </w:r>
      <w:r>
        <w:tab/>
        <w:t>if the site is on a pastoral lease or mining tenement — the employee or agent of the pastoral lessee or tenement holder who is responsible for the day</w:t>
      </w:r>
      <w:r>
        <w:noBreakHyphen/>
        <w:t>to</w:t>
      </w:r>
      <w:r>
        <w:noBreakHyphen/>
        <w:t>day management of the area of the lease or tenement where the site is located;</w:t>
      </w:r>
    </w:p>
    <w:p>
      <w:pPr>
        <w:pStyle w:val="Indenta"/>
      </w:pPr>
      <w:r>
        <w:tab/>
        <w:t>(e)</w:t>
      </w:r>
      <w:r>
        <w:tab/>
        <w:t>the apiarist must take all reasonably practicable steps to ensure that the apiarist’s activities do not infect the site with, or spread, a forest disease;</w:t>
      </w:r>
    </w:p>
    <w:p>
      <w:pPr>
        <w:pStyle w:val="Indenta"/>
      </w:pPr>
      <w:r>
        <w:tab/>
        <w:t>(f)</w:t>
      </w:r>
      <w:r>
        <w:tab/>
        <w:t xml:space="preserve">the apiarist must comply with the following written laws — </w:t>
      </w:r>
    </w:p>
    <w:p>
      <w:pPr>
        <w:pStyle w:val="Indenti"/>
        <w:rPr>
          <w:snapToGrid w:val="0"/>
        </w:rPr>
      </w:pPr>
      <w:r>
        <w:rPr>
          <w:snapToGrid w:val="0"/>
        </w:rPr>
        <w:tab/>
        <w:t>(i)</w:t>
      </w:r>
      <w:r>
        <w:rPr>
          <w:snapToGrid w:val="0"/>
        </w:rPr>
        <w:tab/>
      </w:r>
      <w:r>
        <w:rPr>
          <w:i/>
          <w:iCs/>
          <w:snapToGrid w:val="0"/>
        </w:rPr>
        <w:t>Conservation and Land Management Act 1984</w:t>
      </w:r>
      <w:r>
        <w:rPr>
          <w:snapToGrid w:val="0"/>
        </w:rPr>
        <w:t>;</w:t>
      </w:r>
    </w:p>
    <w:p>
      <w:pPr>
        <w:pStyle w:val="Indenti"/>
        <w:rPr>
          <w:snapToGrid w:val="0"/>
        </w:rPr>
      </w:pPr>
      <w:r>
        <w:rPr>
          <w:snapToGrid w:val="0"/>
        </w:rPr>
        <w:tab/>
        <w:t>(ii)</w:t>
      </w:r>
      <w:r>
        <w:rPr>
          <w:snapToGrid w:val="0"/>
        </w:rPr>
        <w:tab/>
      </w:r>
      <w:r>
        <w:rPr>
          <w:i/>
          <w:iCs/>
          <w:snapToGrid w:val="0"/>
        </w:rPr>
        <w:t>Bush Fires Act 1954</w:t>
      </w:r>
      <w:r>
        <w:rPr>
          <w:snapToGrid w:val="0"/>
        </w:rPr>
        <w:t>;</w:t>
      </w:r>
    </w:p>
    <w:p>
      <w:pPr>
        <w:pStyle w:val="Indenti"/>
        <w:rPr>
          <w:snapToGrid w:val="0"/>
        </w:rPr>
      </w:pPr>
      <w:r>
        <w:rPr>
          <w:snapToGrid w:val="0"/>
        </w:rPr>
        <w:tab/>
        <w:t>(iii)</w:t>
      </w:r>
      <w:r>
        <w:rPr>
          <w:snapToGrid w:val="0"/>
        </w:rPr>
        <w:tab/>
      </w:r>
      <w:r>
        <w:rPr>
          <w:i/>
          <w:iCs/>
          <w:snapToGrid w:val="0"/>
        </w:rPr>
        <w:t>Health Act 1911</w:t>
      </w:r>
      <w:r>
        <w:rPr>
          <w:snapToGrid w:val="0"/>
        </w:rPr>
        <w:t>;</w:t>
      </w:r>
    </w:p>
    <w:p>
      <w:pPr>
        <w:pStyle w:val="Indenti"/>
        <w:rPr>
          <w:snapToGrid w:val="0"/>
        </w:rPr>
      </w:pPr>
      <w:r>
        <w:tab/>
        <w:t>(iv)</w:t>
      </w:r>
      <w:r>
        <w:tab/>
        <w:t xml:space="preserve">any written law relating to </w:t>
      </w:r>
      <w:r>
        <w:rPr>
          <w:snapToGrid w:val="0"/>
        </w:rPr>
        <w:t>protection of water catchments or regulation of water supplies.</w:t>
      </w:r>
    </w:p>
    <w:p>
      <w:pPr>
        <w:pStyle w:val="Subsection"/>
      </w:pPr>
      <w:r>
        <w:tab/>
        <w:t>(3)</w:t>
      </w:r>
      <w:r>
        <w:tab/>
        <w:t xml:space="preserve">A notice for the purposes of subregulation (2)(d) must include the following information — </w:t>
      </w:r>
    </w:p>
    <w:p>
      <w:pPr>
        <w:pStyle w:val="Indenta"/>
      </w:pPr>
      <w:r>
        <w:tab/>
        <w:t>(a)</w:t>
      </w:r>
      <w:r>
        <w:tab/>
        <w:t>the proposed location of the hives;</w:t>
      </w:r>
    </w:p>
    <w:p>
      <w:pPr>
        <w:pStyle w:val="Indenta"/>
      </w:pPr>
      <w:r>
        <w:tab/>
        <w:t>(b)</w:t>
      </w:r>
      <w:r>
        <w:tab/>
        <w:t>the number of hives proposed to be placed on the site;</w:t>
      </w:r>
    </w:p>
    <w:p>
      <w:pPr>
        <w:pStyle w:val="Indenta"/>
      </w:pPr>
      <w:r>
        <w:tab/>
        <w:t>(c)</w:t>
      </w:r>
      <w:r>
        <w:tab/>
        <w:t>how long it is proposed the hives will remain on the site;</w:t>
      </w:r>
    </w:p>
    <w:p>
      <w:pPr>
        <w:pStyle w:val="Indenta"/>
      </w:pPr>
      <w:r>
        <w:tab/>
        <w:t>(d)</w:t>
      </w:r>
      <w:r>
        <w:tab/>
        <w:t>the names of the people who are expected to be entering the site for apiary purposes.</w:t>
      </w:r>
    </w:p>
    <w:p>
      <w:pPr>
        <w:pStyle w:val="Footnotesection"/>
      </w:pPr>
      <w:r>
        <w:tab/>
        <w:t>[Regulation 98G inserted in Gazette 3 Sep 2010 p. 4280</w:t>
      </w:r>
      <w:r>
        <w:noBreakHyphen/>
        <w:t>1.]</w:t>
      </w:r>
    </w:p>
    <w:p>
      <w:pPr>
        <w:pStyle w:val="Heading5"/>
      </w:pPr>
      <w:bookmarkStart w:id="378" w:name="_Toc408498900"/>
      <w:bookmarkStart w:id="379" w:name="_Toc423343195"/>
      <w:r>
        <w:rPr>
          <w:rStyle w:val="CharSectno"/>
        </w:rPr>
        <w:t>98H</w:t>
      </w:r>
      <w:r>
        <w:t>.</w:t>
      </w:r>
      <w:r>
        <w:tab/>
        <w:t>Application of regulations to apiary sites that are not on CALM land</w:t>
      </w:r>
      <w:bookmarkEnd w:id="378"/>
      <w:bookmarkEnd w:id="379"/>
    </w:p>
    <w:p>
      <w:pPr>
        <w:pStyle w:val="Subsection"/>
      </w:pPr>
      <w:r>
        <w:tab/>
      </w:r>
      <w:r>
        <w:tab/>
        <w:t>If an apiary site is on land that is not CALM land, the regulations listed in the Table apply in relation to the apiarist, any employee or agent of the apiarist and any other person who is on the site for a purpose related to the operation of the apiary, as if the apiary site were CALM land.</w:t>
      </w:r>
    </w:p>
    <w:p>
      <w:pPr>
        <w:pStyle w:val="THeadingNAm"/>
        <w:outlineLvl w:val="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t>r. 21</w:t>
            </w:r>
          </w:p>
        </w:tc>
        <w:tc>
          <w:tcPr>
            <w:tcW w:w="2764" w:type="dxa"/>
          </w:tcPr>
          <w:p>
            <w:pPr>
              <w:pStyle w:val="TableNAm"/>
            </w:pPr>
            <w:r>
              <w:t>r. 23</w:t>
            </w:r>
          </w:p>
        </w:tc>
      </w:tr>
      <w:tr>
        <w:tc>
          <w:tcPr>
            <w:tcW w:w="2764" w:type="dxa"/>
          </w:tcPr>
          <w:p>
            <w:pPr>
              <w:pStyle w:val="TableNAm"/>
            </w:pPr>
            <w:r>
              <w:t>r. 24</w:t>
            </w:r>
          </w:p>
        </w:tc>
        <w:tc>
          <w:tcPr>
            <w:tcW w:w="2764" w:type="dxa"/>
          </w:tcPr>
          <w:p>
            <w:pPr>
              <w:pStyle w:val="TableNAm"/>
            </w:pPr>
            <w:r>
              <w:t>r. 25</w:t>
            </w:r>
          </w:p>
        </w:tc>
      </w:tr>
      <w:tr>
        <w:tc>
          <w:tcPr>
            <w:tcW w:w="2764" w:type="dxa"/>
          </w:tcPr>
          <w:p>
            <w:pPr>
              <w:pStyle w:val="TableNAm"/>
            </w:pPr>
            <w:r>
              <w:t>r. 27</w:t>
            </w:r>
          </w:p>
        </w:tc>
        <w:tc>
          <w:tcPr>
            <w:tcW w:w="2764" w:type="dxa"/>
          </w:tcPr>
          <w:p>
            <w:pPr>
              <w:pStyle w:val="TableNAm"/>
            </w:pPr>
            <w:r>
              <w:t>r. 31</w:t>
            </w:r>
          </w:p>
        </w:tc>
      </w:tr>
      <w:tr>
        <w:tc>
          <w:tcPr>
            <w:tcW w:w="2764" w:type="dxa"/>
          </w:tcPr>
          <w:p>
            <w:pPr>
              <w:pStyle w:val="TableNAm"/>
            </w:pPr>
            <w:r>
              <w:t>r. 34</w:t>
            </w:r>
          </w:p>
        </w:tc>
        <w:tc>
          <w:tcPr>
            <w:tcW w:w="2764" w:type="dxa"/>
          </w:tcPr>
          <w:p>
            <w:pPr>
              <w:pStyle w:val="TableNAm"/>
            </w:pPr>
            <w:r>
              <w:t>r. 35</w:t>
            </w:r>
          </w:p>
        </w:tc>
      </w:tr>
      <w:tr>
        <w:tc>
          <w:tcPr>
            <w:tcW w:w="2764" w:type="dxa"/>
          </w:tcPr>
          <w:p>
            <w:pPr>
              <w:pStyle w:val="TableNAm"/>
            </w:pPr>
            <w:r>
              <w:t>r. 36</w:t>
            </w:r>
          </w:p>
        </w:tc>
        <w:tc>
          <w:tcPr>
            <w:tcW w:w="2764" w:type="dxa"/>
          </w:tcPr>
          <w:p>
            <w:pPr>
              <w:pStyle w:val="TableNAm"/>
            </w:pPr>
            <w:r>
              <w:t>r. 38</w:t>
            </w:r>
          </w:p>
        </w:tc>
      </w:tr>
    </w:tbl>
    <w:p>
      <w:pPr>
        <w:pStyle w:val="Footnotesection"/>
      </w:pPr>
      <w:r>
        <w:tab/>
        <w:t>[Regulation 98H inserted in Gazette 3 Sep 2010 p. 4281.]</w:t>
      </w:r>
    </w:p>
    <w:p>
      <w:pPr>
        <w:pStyle w:val="Heading5"/>
      </w:pPr>
      <w:bookmarkStart w:id="380" w:name="_Toc408498901"/>
      <w:bookmarkStart w:id="381" w:name="_Toc423343196"/>
      <w:r>
        <w:rPr>
          <w:rStyle w:val="CharSectno"/>
        </w:rPr>
        <w:t>98I</w:t>
      </w:r>
      <w:r>
        <w:t>.</w:t>
      </w:r>
      <w:r>
        <w:tab/>
        <w:t>Other operations not affected by apiary</w:t>
      </w:r>
      <w:bookmarkEnd w:id="380"/>
      <w:bookmarkEnd w:id="381"/>
    </w:p>
    <w:p>
      <w:pPr>
        <w:pStyle w:val="Subsection"/>
      </w:pPr>
      <w:r>
        <w:tab/>
        <w:t>(1)</w:t>
      </w:r>
      <w:r>
        <w:tab/>
        <w:t>The fact that an apiary authority is in force in respect of a site does not affect the right of any person who has lawful authority to do so from doing any of the following, whether on the site or elsewhere —</w:t>
      </w:r>
    </w:p>
    <w:p>
      <w:pPr>
        <w:pStyle w:val="Indenta"/>
      </w:pPr>
      <w:r>
        <w:tab/>
        <w:t>(a)</w:t>
      </w:r>
      <w:r>
        <w:tab/>
        <w:t>felling, cutting or removing any forest produce;</w:t>
      </w:r>
    </w:p>
    <w:p>
      <w:pPr>
        <w:pStyle w:val="Indenta"/>
      </w:pPr>
      <w:r>
        <w:tab/>
        <w:t>(b)</w:t>
      </w:r>
      <w:r>
        <w:tab/>
        <w:t>carrying out any fire control or prevention activity, including the construction and maintenance of firebreaks and managed burning;</w:t>
      </w:r>
    </w:p>
    <w:p>
      <w:pPr>
        <w:pStyle w:val="Indenta"/>
      </w:pPr>
      <w:r>
        <w:tab/>
        <w:t>(c)</w:t>
      </w:r>
      <w:r>
        <w:tab/>
        <w:t>doing anything that is required or permitted to be done under a management plan.</w:t>
      </w:r>
    </w:p>
    <w:p>
      <w:pPr>
        <w:pStyle w:val="Subsection"/>
      </w:pPr>
      <w:r>
        <w:tab/>
        <w:t>(2)</w:t>
      </w:r>
      <w:r>
        <w:tab/>
        <w:t>The holder of an apiary authority is not entitled to compensation for any loss or damage arising from the carrying out of any such activity.</w:t>
      </w:r>
    </w:p>
    <w:p>
      <w:pPr>
        <w:pStyle w:val="Footnotesection"/>
      </w:pPr>
      <w:r>
        <w:tab/>
        <w:t>[Regulation 98I inserted in Gazette 3 Sep 2010 p. 4282.]</w:t>
      </w:r>
    </w:p>
    <w:p>
      <w:pPr>
        <w:pStyle w:val="Heading5"/>
      </w:pPr>
      <w:bookmarkStart w:id="382" w:name="_Toc408498902"/>
      <w:bookmarkStart w:id="383" w:name="_Toc423343197"/>
      <w:r>
        <w:rPr>
          <w:rStyle w:val="CharSectno"/>
        </w:rPr>
        <w:t>98J</w:t>
      </w:r>
      <w:r>
        <w:t>.</w:t>
      </w:r>
      <w:r>
        <w:tab/>
        <w:t>False or misleading information</w:t>
      </w:r>
      <w:bookmarkEnd w:id="382"/>
      <w:bookmarkEnd w:id="383"/>
    </w:p>
    <w:p>
      <w:pPr>
        <w:pStyle w:val="Subsection"/>
      </w:pPr>
      <w:r>
        <w:tab/>
      </w:r>
      <w:r>
        <w:tab/>
        <w:t>A person must not, in relation to an apiary authority, give information orally or in writing to the CEO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98J inserted in Gazette 3 Sep 2010 p. 4282.]</w:t>
      </w:r>
    </w:p>
    <w:p>
      <w:pPr>
        <w:pStyle w:val="Heading5"/>
      </w:pPr>
      <w:bookmarkStart w:id="384" w:name="_Toc408498903"/>
      <w:bookmarkStart w:id="385" w:name="_Toc423343198"/>
      <w:r>
        <w:rPr>
          <w:rStyle w:val="CharSectno"/>
        </w:rPr>
        <w:t>98K</w:t>
      </w:r>
      <w:r>
        <w:t>.</w:t>
      </w:r>
      <w:r>
        <w:tab/>
        <w:t>Rent for apiary sites</w:t>
      </w:r>
      <w:bookmarkEnd w:id="384"/>
      <w:bookmarkEnd w:id="385"/>
    </w:p>
    <w:p>
      <w:pPr>
        <w:pStyle w:val="Subsection"/>
      </w:pPr>
      <w:r>
        <w:tab/>
        <w:t>(1)</w:t>
      </w:r>
      <w:r>
        <w:tab/>
        <w:t>The holder of an apiary authority is to pay to the CEO annual rent for each apiary site at the rate set out in subregulation (2).</w:t>
      </w:r>
    </w:p>
    <w:p>
      <w:pPr>
        <w:pStyle w:val="Subsection"/>
      </w:pPr>
      <w:r>
        <w:tab/>
        <w:t>(2)</w:t>
      </w:r>
      <w:r>
        <w:tab/>
        <w:t xml:space="preserve">The rate of rent is — </w:t>
      </w:r>
    </w:p>
    <w:p>
      <w:pPr>
        <w:pStyle w:val="Indenta"/>
      </w:pPr>
      <w:r>
        <w:tab/>
        <w:t>(a)</w:t>
      </w:r>
      <w:r>
        <w:tab/>
        <w:t>if the site is in the South</w:t>
      </w:r>
      <w:r>
        <w:noBreakHyphen/>
        <w:t>west zone — $84; or</w:t>
      </w:r>
    </w:p>
    <w:p>
      <w:pPr>
        <w:pStyle w:val="Indenta"/>
      </w:pPr>
      <w:r>
        <w:tab/>
        <w:t>(b)</w:t>
      </w:r>
      <w:r>
        <w:tab/>
        <w:t>if the site is outside the South</w:t>
      </w:r>
      <w:r>
        <w:noBreakHyphen/>
        <w:t>west zone — $42.</w:t>
      </w:r>
    </w:p>
    <w:p>
      <w:pPr>
        <w:pStyle w:val="Subsection"/>
      </w:pPr>
      <w:r>
        <w:tab/>
        <w:t>(3)</w:t>
      </w:r>
      <w:r>
        <w:tab/>
        <w:t>The rent is payable annually in advance on the date on which the apiary authority takes effect and each anniversary of that date.</w:t>
      </w:r>
    </w:p>
    <w:p>
      <w:pPr>
        <w:pStyle w:val="Subsection"/>
      </w:pPr>
      <w:r>
        <w:tab/>
        <w:t>(4)</w:t>
      </w:r>
      <w:r>
        <w:tab/>
        <w:t>If an apiary authority is to be in force for part only of a year the rent payable for that year is reduced proportionately.</w:t>
      </w:r>
    </w:p>
    <w:p>
      <w:pPr>
        <w:pStyle w:val="Subsection"/>
      </w:pPr>
      <w:r>
        <w:tab/>
        <w:t>(5)</w:t>
      </w:r>
      <w:r>
        <w:tab/>
        <w:t>The rent is payable whether or not the apiarist places any hives on, or removes any forest produce from, the apiary site.</w:t>
      </w:r>
    </w:p>
    <w:p>
      <w:pPr>
        <w:pStyle w:val="Footnotesection"/>
      </w:pPr>
      <w:r>
        <w:tab/>
        <w:t>[Regulation 98K inserted in Gazette 3 Sep 2010 p. 4282.]</w:t>
      </w:r>
    </w:p>
    <w:p>
      <w:pPr>
        <w:pStyle w:val="Heading2"/>
      </w:pPr>
      <w:bookmarkStart w:id="386" w:name="_Toc408498904"/>
      <w:bookmarkStart w:id="387" w:name="_Toc414889326"/>
      <w:bookmarkStart w:id="388" w:name="_Toc414975298"/>
      <w:bookmarkStart w:id="389" w:name="_Toc417563780"/>
      <w:bookmarkStart w:id="390" w:name="_Toc423340601"/>
      <w:bookmarkStart w:id="391" w:name="_Toc423343199"/>
      <w:r>
        <w:rPr>
          <w:rStyle w:val="CharPartNo"/>
        </w:rPr>
        <w:t>Part 8</w:t>
      </w:r>
      <w:r>
        <w:rPr>
          <w:rStyle w:val="CharDivNo"/>
        </w:rPr>
        <w:t xml:space="preserve"> </w:t>
      </w:r>
      <w:r>
        <w:t>—</w:t>
      </w:r>
      <w:r>
        <w:rPr>
          <w:rStyle w:val="CharDivText"/>
        </w:rPr>
        <w:t xml:space="preserve"> </w:t>
      </w:r>
      <w:r>
        <w:rPr>
          <w:rStyle w:val="CharPartText"/>
        </w:rPr>
        <w:t>Fees</w:t>
      </w:r>
      <w:bookmarkEnd w:id="386"/>
      <w:bookmarkEnd w:id="387"/>
      <w:bookmarkEnd w:id="388"/>
      <w:bookmarkEnd w:id="389"/>
      <w:bookmarkEnd w:id="390"/>
      <w:bookmarkEnd w:id="391"/>
    </w:p>
    <w:p>
      <w:pPr>
        <w:pStyle w:val="Footnoteheading"/>
      </w:pPr>
      <w:r>
        <w:tab/>
        <w:t>[Heading amended in Gazette 29 Sep 2006 p. 4319.]</w:t>
      </w:r>
    </w:p>
    <w:p>
      <w:pPr>
        <w:pStyle w:val="Heading5"/>
        <w:spacing w:before="240"/>
        <w:rPr>
          <w:snapToGrid w:val="0"/>
        </w:rPr>
      </w:pPr>
      <w:bookmarkStart w:id="392" w:name="_Toc408498905"/>
      <w:bookmarkStart w:id="393" w:name="_Toc423343200"/>
      <w:r>
        <w:rPr>
          <w:rStyle w:val="CharSectno"/>
        </w:rPr>
        <w:t>99</w:t>
      </w:r>
      <w:r>
        <w:rPr>
          <w:snapToGrid w:val="0"/>
        </w:rPr>
        <w:t>.</w:t>
      </w:r>
      <w:r>
        <w:rPr>
          <w:snapToGrid w:val="0"/>
        </w:rPr>
        <w:tab/>
        <w:t>Entrance fees</w:t>
      </w:r>
      <w:r>
        <w:rPr>
          <w:b w:val="0"/>
        </w:rPr>
        <w:t xml:space="preserve"> </w:t>
      </w:r>
      <w:r>
        <w:t>for motor vehicles</w:t>
      </w:r>
      <w:bookmarkEnd w:id="392"/>
      <w:bookmarkEnd w:id="393"/>
      <w:r>
        <w:rPr>
          <w:snapToGrid w:val="0"/>
        </w:rPr>
        <w:t xml:space="preserve"> </w:t>
      </w:r>
    </w:p>
    <w:p>
      <w:pPr>
        <w:pStyle w:val="Subsection"/>
        <w:spacing w:before="180"/>
        <w:rPr>
          <w:snapToGrid w:val="0"/>
        </w:rPr>
      </w:pPr>
      <w:r>
        <w:rPr>
          <w:snapToGrid w:val="0"/>
        </w:rPr>
        <w:tab/>
        <w:t>(1)</w:t>
      </w:r>
      <w:r>
        <w:rPr>
          <w:snapToGrid w:val="0"/>
        </w:rPr>
        <w:tab/>
        <w:t>In this regulation — </w:t>
      </w:r>
    </w:p>
    <w:p>
      <w:pPr>
        <w:pStyle w:val="Defstart"/>
      </w:pPr>
      <w:r>
        <w:tab/>
      </w:r>
      <w:r>
        <w:rPr>
          <w:rStyle w:val="CharDefText"/>
        </w:rPr>
        <w:t>non</w:t>
      </w:r>
      <w:r>
        <w:rPr>
          <w:rStyle w:val="CharDefText"/>
        </w:rPr>
        <w:noBreakHyphen/>
        <w:t>tour motor vehicle</w:t>
      </w:r>
      <w:r>
        <w:rPr>
          <w:b/>
        </w:rPr>
        <w:t xml:space="preserve"> </w:t>
      </w:r>
      <w:r>
        <w:t>means a motor vehicle that is not a tour vehicle;</w:t>
      </w:r>
    </w:p>
    <w:p>
      <w:pPr>
        <w:pStyle w:val="Defstart"/>
      </w:pPr>
      <w:r>
        <w:tab/>
      </w:r>
      <w:r>
        <w:rPr>
          <w:rStyle w:val="CharDefText"/>
        </w:rPr>
        <w:t>tour vehicle</w:t>
      </w:r>
      <w:r>
        <w:t xml:space="preserve"> means — </w:t>
      </w:r>
    </w:p>
    <w:p>
      <w:pPr>
        <w:pStyle w:val="Defpara"/>
        <w:spacing w:before="60"/>
      </w:pPr>
      <w:r>
        <w:tab/>
        <w:t>(a)</w:t>
      </w:r>
      <w:r>
        <w:tab/>
        <w:t>a vehicle that is fitted with seats for 8 or more adult persons, including the driver, and is being used to carry passengers for separate fares; or</w:t>
      </w:r>
    </w:p>
    <w:p>
      <w:pPr>
        <w:pStyle w:val="Defpara"/>
        <w:spacing w:before="60"/>
      </w:pPr>
      <w:r>
        <w:tab/>
        <w:t>(b)</w:t>
      </w:r>
      <w:r>
        <w:tab/>
        <w:t xml:space="preserve">a taxi within the meaning of the </w:t>
      </w:r>
      <w:r>
        <w:rPr>
          <w:i/>
        </w:rPr>
        <w:t>Taxi Act 1994</w:t>
      </w:r>
      <w:r>
        <w:t>; or</w:t>
      </w:r>
    </w:p>
    <w:p>
      <w:pPr>
        <w:pStyle w:val="Defpara"/>
        <w:spacing w:before="60"/>
      </w:pPr>
      <w:r>
        <w:tab/>
        <w:t>(c)</w:t>
      </w:r>
      <w:r>
        <w:tab/>
        <w:t>a vehicle that is licensed to stand or ply for the carriage of passengers for reward; or</w:t>
      </w:r>
    </w:p>
    <w:p>
      <w:pPr>
        <w:pStyle w:val="Defpara"/>
        <w:spacing w:before="60"/>
      </w:pPr>
      <w:r>
        <w:tab/>
        <w:t>(d)</w:t>
      </w:r>
      <w:r>
        <w:tab/>
        <w:t>a vehicle that is fitted with seats for 13 or more persons, including the driver of the vehicle, and is being used to carry 13 or more persons, including the driver.</w:t>
      </w:r>
    </w:p>
    <w:p>
      <w:pPr>
        <w:pStyle w:val="Subsection"/>
        <w:spacing w:before="180"/>
        <w:rPr>
          <w:snapToGrid w:val="0"/>
        </w:rPr>
      </w:pPr>
      <w:r>
        <w:rPr>
          <w:snapToGrid w:val="0"/>
        </w:rPr>
        <w:tab/>
        <w:t>(2)</w:t>
      </w:r>
      <w:r>
        <w:rPr>
          <w:snapToGrid w:val="0"/>
        </w:rPr>
        <w:tab/>
        <w:t>Subject to subregulations (3) and (4) and Schedule 1 Division 1 — </w:t>
      </w:r>
    </w:p>
    <w:p>
      <w:pPr>
        <w:pStyle w:val="Indenta"/>
        <w:spacing w:before="60"/>
        <w:rPr>
          <w:snapToGrid w:val="0"/>
        </w:rPr>
      </w:pPr>
      <w:r>
        <w:rPr>
          <w:snapToGrid w:val="0"/>
        </w:rPr>
        <w:tab/>
        <w:t>(a)</w:t>
      </w:r>
      <w:r>
        <w:rPr>
          <w:snapToGrid w:val="0"/>
        </w:rPr>
        <w:tab/>
        <w:t>the relevant fee specified in Schedule 1 Division 1 item 1, 2 or 5 is payable daily per non</w:t>
      </w:r>
      <w:r>
        <w:rPr>
          <w:snapToGrid w:val="0"/>
        </w:rPr>
        <w:noBreakHyphen/>
        <w:t>tour motor vehicle entering an area of CALM land, and the person in charge of the vehicle is liable to pay the relevant fee; and</w:t>
      </w:r>
    </w:p>
    <w:p>
      <w:pPr>
        <w:pStyle w:val="Indenta"/>
        <w:spacing w:before="60"/>
        <w:rPr>
          <w:snapToGrid w:val="0"/>
        </w:rPr>
      </w:pPr>
      <w:r>
        <w:rPr>
          <w:snapToGrid w:val="0"/>
        </w:rPr>
        <w:tab/>
        <w:t>(b)</w:t>
      </w:r>
      <w:r>
        <w:rPr>
          <w:snapToGrid w:val="0"/>
        </w:rPr>
        <w:tab/>
        <w:t>the relevant fee specified in Schedule 1 Division 1 item 3, 4, or 6 is payable daily per occupant of a tour vehicle entering an area of CALM land, and the owner or operator of the tour vehicle is liable to pay the fee for every occupant of the tour vehicle.</w:t>
      </w:r>
    </w:p>
    <w:p>
      <w:pPr>
        <w:pStyle w:val="Subsection"/>
      </w:pPr>
      <w:r>
        <w:tab/>
        <w:t>(3)</w:t>
      </w:r>
      <w:r>
        <w:tab/>
        <w:t xml:space="preserve">Fees are not payable under this regulation unless the CEO has erected — </w:t>
      </w:r>
    </w:p>
    <w:p>
      <w:pPr>
        <w:pStyle w:val="Indenta"/>
        <w:spacing w:before="60"/>
      </w:pPr>
      <w:r>
        <w:tab/>
        <w:t>(a)</w:t>
      </w:r>
      <w:r>
        <w:tab/>
        <w:t>signs at or near the entrances to the area of CALM land stating that fees are payable for entry to that area; and</w:t>
      </w:r>
    </w:p>
    <w:p>
      <w:pPr>
        <w:pStyle w:val="Indenta"/>
      </w:pPr>
      <w:r>
        <w:tab/>
        <w:t>(b)</w:t>
      </w:r>
      <w:r>
        <w:tab/>
        <w:t xml:space="preserve">signs at or near the entrances to the area of CALM land, or at or near the place on CALM land at which the fees are collected, specifying — </w:t>
      </w:r>
    </w:p>
    <w:p>
      <w:pPr>
        <w:pStyle w:val="Indenti"/>
      </w:pPr>
      <w:r>
        <w:tab/>
        <w:t>(i)</w:t>
      </w:r>
      <w:r>
        <w:tab/>
        <w:t>the fees that are payable; and</w:t>
      </w:r>
    </w:p>
    <w:p>
      <w:pPr>
        <w:pStyle w:val="Indenti"/>
      </w:pPr>
      <w:r>
        <w:tab/>
        <w:t>(ii)</w:t>
      </w:r>
      <w:r>
        <w:tab/>
        <w:t>the manner in which the fees are to be paid.</w:t>
      </w:r>
    </w:p>
    <w:p>
      <w:pPr>
        <w:pStyle w:val="Subsection"/>
        <w:rPr>
          <w:snapToGrid w:val="0"/>
        </w:rPr>
      </w:pPr>
      <w:r>
        <w:tab/>
        <w:t>(4)</w:t>
      </w:r>
      <w:r>
        <w:tab/>
      </w:r>
      <w:r>
        <w:rPr>
          <w:snapToGrid w:val="0"/>
        </w:rPr>
        <w:t>A person is not liable to pay a fee under this regulation for entry in a non</w:t>
      </w:r>
      <w:r>
        <w:rPr>
          <w:snapToGrid w:val="0"/>
        </w:rPr>
        <w:noBreakHyphen/>
        <w:t xml:space="preserve">tour motor vehicle to an area of CALM land if that person has — </w:t>
      </w:r>
    </w:p>
    <w:p>
      <w:pPr>
        <w:pStyle w:val="Indenta"/>
        <w:spacing w:before="70"/>
        <w:rPr>
          <w:snapToGrid w:val="0"/>
        </w:rPr>
      </w:pPr>
      <w:r>
        <w:rPr>
          <w:snapToGrid w:val="0"/>
        </w:rPr>
        <w:tab/>
        <w:t>(a)</w:t>
      </w:r>
      <w:r>
        <w:rPr>
          <w:snapToGrid w:val="0"/>
        </w:rPr>
        <w:tab/>
        <w:t>paid the fee prescribed in Schedule 1 Division 2 for an extended pass for that person to enter that area at the relevant time and complied with any conditions on entry set out in that Division for that fee; or</w:t>
      </w:r>
    </w:p>
    <w:p>
      <w:pPr>
        <w:pStyle w:val="Indenta"/>
        <w:spacing w:before="70"/>
      </w:pPr>
      <w:r>
        <w:rPr>
          <w:snapToGrid w:val="0"/>
        </w:rPr>
        <w:tab/>
        <w:t>(b)</w:t>
      </w:r>
      <w:r>
        <w:rPr>
          <w:snapToGrid w:val="0"/>
        </w:rPr>
        <w:tab/>
        <w:t>been otherwise authorised by the CEO to enter that area.</w:t>
      </w:r>
    </w:p>
    <w:p>
      <w:pPr>
        <w:pStyle w:val="Subsection"/>
        <w:rPr>
          <w:snapToGrid w:val="0"/>
        </w:rPr>
      </w:pPr>
      <w:r>
        <w:rPr>
          <w:snapToGrid w:val="0"/>
        </w:rPr>
        <w:tab/>
        <w:t>(5)</w:t>
      </w:r>
      <w:r>
        <w:rPr>
          <w:snapToGrid w:val="0"/>
        </w:rPr>
        <w:tab/>
        <w:t>A person must pay, in the manner specified on a sign under subregulation (3)</w:t>
      </w:r>
      <w:r>
        <w:t>(b)(ii),</w:t>
      </w:r>
      <w:r>
        <w:rPr>
          <w:snapToGrid w:val="0"/>
        </w:rPr>
        <w:t xml:space="preserve">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pPr>
      <w:r>
        <w:tab/>
        <w:t>(6)</w:t>
      </w:r>
      <w:r>
        <w:tab/>
        <w:t>This regulation does not apply to aircraft.</w:t>
      </w:r>
    </w:p>
    <w:p>
      <w:pPr>
        <w:pStyle w:val="Footnotesection"/>
      </w:pPr>
      <w:r>
        <w:tab/>
        <w:t>[Regulation 99 amended in Gazette 29 Sep 2006 p. 4320 and 4334; 3 Dec 2010 p. 6049 and 6052</w:t>
      </w:r>
      <w:r>
        <w:noBreakHyphen/>
        <w:t>4.]</w:t>
      </w:r>
    </w:p>
    <w:p>
      <w:pPr>
        <w:pStyle w:val="Heading5"/>
      </w:pPr>
      <w:bookmarkStart w:id="394" w:name="_Toc408498906"/>
      <w:bookmarkStart w:id="395" w:name="_Toc423343201"/>
      <w:r>
        <w:rPr>
          <w:rStyle w:val="CharSectno"/>
        </w:rPr>
        <w:t>99A</w:t>
      </w:r>
      <w:r>
        <w:t>.</w:t>
      </w:r>
      <w:r>
        <w:tab/>
        <w:t>Landing fees for aircraft</w:t>
      </w:r>
      <w:bookmarkEnd w:id="394"/>
      <w:bookmarkEnd w:id="395"/>
    </w:p>
    <w:p>
      <w:pPr>
        <w:pStyle w:val="Subsection"/>
      </w:pPr>
      <w:r>
        <w:tab/>
        <w:t>(1)</w:t>
      </w:r>
      <w:r>
        <w:tab/>
        <w:t xml:space="preserve">In this regulation and Schedule 1 Division 12 — </w:t>
      </w:r>
    </w:p>
    <w:p>
      <w:pPr>
        <w:pStyle w:val="Defstart"/>
      </w:pPr>
      <w:r>
        <w:tab/>
      </w:r>
      <w:r>
        <w:rPr>
          <w:rStyle w:val="CharDefText"/>
        </w:rPr>
        <w:t>aircraft landing area</w:t>
      </w:r>
      <w:r>
        <w:t xml:space="preserve"> means an area declared under regulation 99B to be an aircraft landing area for the purposes of this regulation;</w:t>
      </w:r>
    </w:p>
    <w:p>
      <w:pPr>
        <w:pStyle w:val="Defstart"/>
      </w:pPr>
      <w:r>
        <w:tab/>
      </w:r>
      <w:r>
        <w:rPr>
          <w:rStyle w:val="CharDefText"/>
        </w:rPr>
        <w:t>occupant</w:t>
      </w:r>
      <w:r>
        <w:t xml:space="preserve"> does not include — </w:t>
      </w:r>
    </w:p>
    <w:p>
      <w:pPr>
        <w:pStyle w:val="Defpara"/>
        <w:spacing w:before="70"/>
      </w:pPr>
      <w:r>
        <w:tab/>
        <w:t>(a)</w:t>
      </w:r>
      <w:r>
        <w:tab/>
        <w:t>a person who is under 6 years of age; or</w:t>
      </w:r>
    </w:p>
    <w:p>
      <w:pPr>
        <w:pStyle w:val="Indenta"/>
        <w:spacing w:before="70"/>
      </w:pPr>
      <w:r>
        <w:tab/>
        <w:t>(b)</w:t>
      </w:r>
      <w:r>
        <w:tab/>
        <w:t>the pilot or other crew of an aircraft operating under a commercial operations licence.</w:t>
      </w:r>
    </w:p>
    <w:p>
      <w:pPr>
        <w:pStyle w:val="Subsection"/>
      </w:pPr>
      <w:r>
        <w:tab/>
        <w:t>(2)</w:t>
      </w:r>
      <w:r>
        <w:tab/>
        <w:t>The fee specified in Schedule 1 Division 12 is payable daily per occupant of an aircraft that lands on an aircraft landing area.</w:t>
      </w:r>
    </w:p>
    <w:p>
      <w:pPr>
        <w:pStyle w:val="Subsection"/>
      </w:pPr>
      <w:r>
        <w:tab/>
        <w:t>(3)</w:t>
      </w:r>
      <w:r>
        <w:tab/>
        <w:t xml:space="preserve">The person liable to pay the fee is — </w:t>
      </w:r>
    </w:p>
    <w:p>
      <w:pPr>
        <w:pStyle w:val="Indenta"/>
        <w:spacing w:before="60"/>
      </w:pPr>
      <w:r>
        <w:tab/>
        <w:t>(a)</w:t>
      </w:r>
      <w:r>
        <w:tab/>
        <w:t>if the aircraft is operating under a commercial operations licence — the holder of the licence; or</w:t>
      </w:r>
    </w:p>
    <w:p>
      <w:pPr>
        <w:pStyle w:val="Indenta"/>
        <w:spacing w:before="60"/>
      </w:pPr>
      <w:r>
        <w:tab/>
        <w:t>(b)</w:t>
      </w:r>
      <w:r>
        <w:tab/>
        <w:t xml:space="preserve">in any other case — </w:t>
      </w:r>
    </w:p>
    <w:p>
      <w:pPr>
        <w:pStyle w:val="Indenti"/>
        <w:spacing w:before="60"/>
      </w:pPr>
      <w:r>
        <w:tab/>
        <w:t>(i)</w:t>
      </w:r>
      <w:r>
        <w:tab/>
        <w:t>the person in charge of the aircraft; or</w:t>
      </w:r>
    </w:p>
    <w:p>
      <w:pPr>
        <w:pStyle w:val="Indenti"/>
        <w:spacing w:before="60"/>
      </w:pPr>
      <w:r>
        <w:tab/>
        <w:t>(ii)</w:t>
      </w:r>
      <w:r>
        <w:tab/>
        <w:t>if the person in charge of the aircraft is employed or engaged by another person who is the owner or operator of the aircraft — that other person.</w:t>
      </w:r>
    </w:p>
    <w:p>
      <w:pPr>
        <w:pStyle w:val="Subsection"/>
        <w:spacing w:before="120"/>
      </w:pPr>
      <w:r>
        <w:tab/>
        <w:t>(4)</w:t>
      </w:r>
      <w:r>
        <w:tab/>
        <w:t>The person liable under subregulation (3) to pay the fee must pay the fee.</w:t>
      </w:r>
    </w:p>
    <w:p>
      <w:pPr>
        <w:pStyle w:val="Penstart"/>
      </w:pPr>
      <w:r>
        <w:tab/>
        <w:t>Penalty: a fine of $1 000.</w:t>
      </w:r>
    </w:p>
    <w:p>
      <w:pPr>
        <w:pStyle w:val="Footnotesection"/>
        <w:spacing w:before="100"/>
      </w:pPr>
      <w:r>
        <w:tab/>
        <w:t>[Regulation 99A inserted in Gazette 3 Dec 2010 p. 6049</w:t>
      </w:r>
      <w:r>
        <w:noBreakHyphen/>
        <w:t>50.]</w:t>
      </w:r>
    </w:p>
    <w:p>
      <w:pPr>
        <w:pStyle w:val="Heading5"/>
        <w:spacing w:before="200"/>
      </w:pPr>
      <w:bookmarkStart w:id="396" w:name="_Toc408498907"/>
      <w:bookmarkStart w:id="397" w:name="_Toc423343202"/>
      <w:r>
        <w:rPr>
          <w:rStyle w:val="CharSectno"/>
        </w:rPr>
        <w:t>99B</w:t>
      </w:r>
      <w:r>
        <w:t>.</w:t>
      </w:r>
      <w:r>
        <w:tab/>
        <w:t>Aircraft landing areas</w:t>
      </w:r>
      <w:bookmarkEnd w:id="396"/>
      <w:bookmarkEnd w:id="397"/>
    </w:p>
    <w:p>
      <w:pPr>
        <w:pStyle w:val="Subsection"/>
        <w:spacing w:before="120"/>
      </w:pPr>
      <w:r>
        <w:tab/>
        <w:t>(1)</w:t>
      </w:r>
      <w:r>
        <w:tab/>
        <w:t xml:space="preserve">The CEO may, by notice published in the </w:t>
      </w:r>
      <w:r>
        <w:rPr>
          <w:i/>
          <w:iCs/>
        </w:rPr>
        <w:t>Gazette</w:t>
      </w:r>
      <w:r>
        <w:t>, declare an area of CALM land specified in the notice to be an aircraft landing area for the purposes of regulation 99A.</w:t>
      </w:r>
    </w:p>
    <w:p>
      <w:pPr>
        <w:pStyle w:val="Subsection"/>
        <w:spacing w:before="120"/>
      </w:pPr>
      <w:r>
        <w:tab/>
        <w:t>(2)</w:t>
      </w:r>
      <w:r>
        <w:tab/>
        <w:t>An area may be declared to be an aircraft landing area at all times or during a period or periods specified in the notice.</w:t>
      </w:r>
    </w:p>
    <w:p>
      <w:pPr>
        <w:pStyle w:val="Subsection"/>
        <w:spacing w:before="120"/>
      </w:pPr>
      <w:r>
        <w:tab/>
        <w:t>(3)</w:t>
      </w:r>
      <w:r>
        <w:tab/>
        <w:t xml:space="preserve">The CEO may, by notice published in the </w:t>
      </w:r>
      <w:r>
        <w:rPr>
          <w:i/>
          <w:iCs/>
        </w:rPr>
        <w:t>Gazette</w:t>
      </w:r>
      <w:r>
        <w:t>,</w:t>
      </w:r>
      <w:r>
        <w:rPr>
          <w:i/>
          <w:iCs/>
        </w:rPr>
        <w:t xml:space="preserve"> </w:t>
      </w:r>
      <w:r>
        <w:t>amend or revoke any previous notice published under this regulation.</w:t>
      </w:r>
    </w:p>
    <w:p>
      <w:pPr>
        <w:pStyle w:val="Subsection"/>
        <w:spacing w:before="120"/>
      </w:pPr>
      <w:r>
        <w:tab/>
        <w:t>(4)</w:t>
      </w:r>
      <w:r>
        <w:tab/>
        <w:t>A notice published under this regulation takes effect on such day after publication as is specified in the notice.</w:t>
      </w:r>
    </w:p>
    <w:p>
      <w:pPr>
        <w:pStyle w:val="Footnotesection"/>
        <w:spacing w:before="100"/>
      </w:pPr>
      <w:r>
        <w:tab/>
        <w:t>[Regulation 99B inserted in Gazette 3 Dec 2010 p. 6050.]</w:t>
      </w:r>
    </w:p>
    <w:p>
      <w:pPr>
        <w:pStyle w:val="Heading5"/>
        <w:spacing w:before="200"/>
      </w:pPr>
      <w:bookmarkStart w:id="398" w:name="_Toc408498908"/>
      <w:bookmarkStart w:id="399" w:name="_Toc423343203"/>
      <w:r>
        <w:rPr>
          <w:rStyle w:val="CharSectno"/>
        </w:rPr>
        <w:t>99C</w:t>
      </w:r>
      <w:r>
        <w:t>.</w:t>
      </w:r>
      <w:r>
        <w:tab/>
        <w:t xml:space="preserve">Entrance fees for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bookmarkEnd w:id="398"/>
      <w:bookmarkEnd w:id="399"/>
    </w:p>
    <w:p>
      <w:pPr>
        <w:pStyle w:val="Subsection"/>
        <w:spacing w:before="120"/>
      </w:pPr>
      <w:r>
        <w:tab/>
        <w:t>(1)</w:t>
      </w:r>
      <w:r>
        <w:tab/>
        <w:t xml:space="preserve">The relevant fee specified in Schedule 1 Division 10 item 1, 2, 3 or 4 is payable by a person entering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w:t>
      </w:r>
    </w:p>
    <w:p>
      <w:pPr>
        <w:pStyle w:val="Subsection"/>
        <w:spacing w:before="120"/>
      </w:pPr>
      <w:r>
        <w:tab/>
        <w:t>(2)</w:t>
      </w:r>
      <w:r>
        <w:tab/>
        <w:t xml:space="preserve">The CEO is to erect signs at or near the entrance to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 xml:space="preserve"> — </w:t>
      </w:r>
    </w:p>
    <w:p>
      <w:pPr>
        <w:pStyle w:val="Indenta"/>
        <w:spacing w:before="60"/>
      </w:pPr>
      <w:r>
        <w:tab/>
        <w:t>(a)</w:t>
      </w:r>
      <w:r>
        <w:tab/>
        <w:t>specifying the fees that are payable under this regulation; and</w:t>
      </w:r>
    </w:p>
    <w:p>
      <w:pPr>
        <w:pStyle w:val="Indenta"/>
      </w:pPr>
      <w:r>
        <w:tab/>
        <w:t>(b)</w:t>
      </w:r>
      <w:r>
        <w:tab/>
        <w:t>specifying the manner in which the fees are to be paid.</w:t>
      </w:r>
    </w:p>
    <w:p>
      <w:pPr>
        <w:pStyle w:val="Subsection"/>
      </w:pPr>
      <w:r>
        <w:tab/>
        <w:t>(3)</w:t>
      </w:r>
      <w:r>
        <w:tab/>
        <w:t xml:space="preserve">A person is not liable to pay a fee under subregulation (1) for entry to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 xml:space="preserve"> if that person has paid the fee specified in Schedule 1 Division 10 item 5, 6, 7 or 8 for an extended pass for that person to enter the Park at the relevant time.</w:t>
      </w:r>
    </w:p>
    <w:p>
      <w:pPr>
        <w:pStyle w:val="Subsection"/>
      </w:pPr>
      <w:r>
        <w:tab/>
        <w:t>(4)</w:t>
      </w:r>
      <w:r>
        <w:tab/>
        <w:t>A person must pay, in the manner specified on a sign under subregulation (2)(b), a fee for which the person is liable under subregulation (1).</w:t>
      </w:r>
    </w:p>
    <w:p>
      <w:pPr>
        <w:pStyle w:val="Penstart"/>
      </w:pPr>
      <w:r>
        <w:tab/>
        <w:t>Penalty: a fine of $200.</w:t>
      </w:r>
    </w:p>
    <w:p>
      <w:pPr>
        <w:pStyle w:val="Footnotesection"/>
      </w:pPr>
      <w:r>
        <w:tab/>
        <w:t>[Regulation 99C inserted in Gazette 3 Dec 2010 p. 6050</w:t>
      </w:r>
      <w:r>
        <w:noBreakHyphen/>
        <w:t>1.]</w:t>
      </w:r>
    </w:p>
    <w:p>
      <w:pPr>
        <w:pStyle w:val="Heading5"/>
        <w:rPr>
          <w:snapToGrid w:val="0"/>
        </w:rPr>
      </w:pPr>
      <w:bookmarkStart w:id="400" w:name="_Toc408498909"/>
      <w:bookmarkStart w:id="401" w:name="_Toc423343204"/>
      <w:r>
        <w:rPr>
          <w:rStyle w:val="CharSectno"/>
        </w:rPr>
        <w:t>100</w:t>
      </w:r>
      <w:r>
        <w:rPr>
          <w:snapToGrid w:val="0"/>
        </w:rPr>
        <w:t>.</w:t>
      </w:r>
      <w:r>
        <w:rPr>
          <w:snapToGrid w:val="0"/>
        </w:rPr>
        <w:tab/>
        <w:t>Entrance fees for Tree Top Walk</w:t>
      </w:r>
      <w:bookmarkEnd w:id="400"/>
      <w:bookmarkEnd w:id="401"/>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Tree Top Walk</w:t>
      </w:r>
      <w:r>
        <w:rPr>
          <w:b/>
        </w:rPr>
        <w:t xml:space="preserve"> </w:t>
      </w:r>
      <w:r>
        <w:t xml:space="preserve">means the walkway known as the “Tree Top Walk” constructed within the area known as the “Valley of the Giants”, near </w:t>
      </w:r>
      <w:smartTag w:uri="urn:schemas-microsoft-com:office:smarttags" w:element="place">
        <w:smartTag w:uri="urn:schemas-microsoft-com:office:smarttags" w:element="City">
          <w:r>
            <w:t>Walpole</w:t>
          </w:r>
        </w:smartTag>
      </w:smartTag>
      <w:r>
        <w:t>.</w:t>
      </w:r>
    </w:p>
    <w:p>
      <w:pPr>
        <w:pStyle w:val="Subsection"/>
        <w:rPr>
          <w:snapToGrid w:val="0"/>
        </w:rPr>
      </w:pPr>
      <w:r>
        <w:rPr>
          <w:snapToGrid w:val="0"/>
        </w:rPr>
        <w:tab/>
        <w:t>(2)</w:t>
      </w:r>
      <w:r>
        <w:rPr>
          <w:snapToGrid w:val="0"/>
        </w:rPr>
        <w:tab/>
        <w:t>The relevant fee specified in Schedule 1 Division 3 is payable by a person entering the Tree Top Walk.</w:t>
      </w:r>
    </w:p>
    <w:p>
      <w:pPr>
        <w:pStyle w:val="Subsection"/>
        <w:rPr>
          <w:snapToGrid w:val="0"/>
        </w:rPr>
      </w:pPr>
      <w:r>
        <w:rPr>
          <w:snapToGrid w:val="0"/>
        </w:rPr>
        <w:tab/>
        <w:t>(3)</w:t>
      </w:r>
      <w:r>
        <w:rPr>
          <w:snapToGrid w:val="0"/>
        </w:rPr>
        <w:tab/>
        <w:t xml:space="preserve">The </w:t>
      </w:r>
      <w:r>
        <w:t xml:space="preserve">CEO </w:t>
      </w:r>
      <w:r>
        <w:rPr>
          <w:snapToGrid w:val="0"/>
        </w:rPr>
        <w:t>is to erect a sign at the entrance to the Tree Top Walk — </w:t>
      </w:r>
    </w:p>
    <w:p>
      <w:pPr>
        <w:pStyle w:val="Indenta"/>
        <w:rPr>
          <w:snapToGrid w:val="0"/>
        </w:rPr>
      </w:pPr>
      <w:r>
        <w:rPr>
          <w:snapToGrid w:val="0"/>
        </w:rPr>
        <w:tab/>
        <w:t>(a)</w:t>
      </w:r>
      <w:r>
        <w:rPr>
          <w:snapToGrid w:val="0"/>
        </w:rPr>
        <w:tab/>
        <w:t>specifying the fees payable under this regulation; and</w:t>
      </w:r>
    </w:p>
    <w:p>
      <w:pPr>
        <w:pStyle w:val="Indenta"/>
        <w:rPr>
          <w:snapToGrid w:val="0"/>
        </w:rPr>
      </w:pPr>
      <w:r>
        <w:rPr>
          <w:snapToGrid w:val="0"/>
        </w:rPr>
        <w:tab/>
        <w:t>(b)</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100 amended in Gazette 29 Sep 2006 p. 4334; 3 Dec 2010 p. 6052</w:t>
      </w:r>
      <w:r>
        <w:noBreakHyphen/>
        <w:t>4.]</w:t>
      </w:r>
    </w:p>
    <w:p>
      <w:pPr>
        <w:pStyle w:val="Heading5"/>
      </w:pPr>
      <w:bookmarkStart w:id="402" w:name="_Toc408498910"/>
      <w:bookmarkStart w:id="403" w:name="_Toc423343205"/>
      <w:r>
        <w:rPr>
          <w:rStyle w:val="CharSectno"/>
        </w:rPr>
        <w:t>100A</w:t>
      </w:r>
      <w:r>
        <w:t>.</w:t>
      </w:r>
      <w:r>
        <w:tab/>
        <w:t xml:space="preserve">Entrance fees for </w:t>
      </w:r>
      <w:smartTag w:uri="urn:schemas-microsoft-com:office:smarttags" w:element="PlaceName">
        <w:r>
          <w:t>Crystal</w:t>
        </w:r>
      </w:smartTag>
      <w:r>
        <w:t xml:space="preserve"> </w:t>
      </w:r>
      <w:smartTag w:uri="urn:schemas-microsoft-com:office:smarttags" w:element="PlaceName">
        <w:r>
          <w:t>Cave</w:t>
        </w:r>
      </w:smartTag>
      <w:r>
        <w:t xml:space="preserve"> and Calgardup and </w:t>
      </w:r>
      <w:smartTag w:uri="urn:schemas-microsoft-com:office:smarttags" w:element="place">
        <w:smartTag w:uri="urn:schemas-microsoft-com:office:smarttags" w:element="PlaceName">
          <w:r>
            <w:t>Giants</w:t>
          </w:r>
        </w:smartTag>
        <w:r>
          <w:t xml:space="preserve"> </w:t>
        </w:r>
        <w:smartTag w:uri="urn:schemas-microsoft-com:office:smarttags" w:element="PlaceType">
          <w:r>
            <w:t>Caves</w:t>
          </w:r>
        </w:smartTag>
      </w:smartTag>
      <w:bookmarkEnd w:id="402"/>
      <w:bookmarkEnd w:id="403"/>
    </w:p>
    <w:p>
      <w:pPr>
        <w:pStyle w:val="Subsection"/>
        <w:spacing w:before="120"/>
        <w:rPr>
          <w:snapToGrid w:val="0"/>
        </w:rPr>
      </w:pPr>
      <w:r>
        <w:rPr>
          <w:snapToGrid w:val="0"/>
        </w:rPr>
        <w:tab/>
        <w:t>(1)</w:t>
      </w:r>
      <w:r>
        <w:rPr>
          <w:snapToGrid w:val="0"/>
        </w:rPr>
        <w:tab/>
        <w:t xml:space="preserve">The relevant fee specified in Schedule 1 Division 7 item 1 is payable by a person entering </w:t>
      </w:r>
      <w:smartTag w:uri="urn:schemas-microsoft-com:office:smarttags" w:element="PlaceName">
        <w:r>
          <w:rPr>
            <w:snapToGrid w:val="0"/>
          </w:rPr>
          <w:t>Crystal</w:t>
        </w:r>
      </w:smartTag>
      <w:r>
        <w:rPr>
          <w:snapToGrid w:val="0"/>
        </w:rPr>
        <w:t xml:space="preserve"> </w:t>
      </w:r>
      <w:smartTag w:uri="urn:schemas-microsoft-com:office:smarttags" w:element="PlaceName">
        <w:r>
          <w:rPr>
            <w:snapToGrid w:val="0"/>
          </w:rPr>
          <w:t>Cave</w:t>
        </w:r>
      </w:smartTag>
      <w:r>
        <w:rPr>
          <w:snapToGrid w:val="0"/>
        </w:rPr>
        <w:t xml:space="preserve">, </w:t>
      </w:r>
      <w:smartTag w:uri="urn:schemas-microsoft-com:office:smarttags" w:element="place">
        <w:smartTag w:uri="urn:schemas-microsoft-com:office:smarttags" w:element="PlaceName">
          <w:r>
            <w:rPr>
              <w:snapToGrid w:val="0"/>
            </w:rPr>
            <w:t>Yanchep</w:t>
          </w:r>
        </w:smartTag>
        <w:r>
          <w:rPr>
            <w:snapToGrid w:val="0"/>
          </w:rPr>
          <w:t xml:space="preserve"> </w:t>
        </w:r>
        <w:smartTag w:uri="urn:schemas-microsoft-com:office:smarttags" w:element="PlaceType">
          <w:r>
            <w:rPr>
              <w:snapToGrid w:val="0"/>
            </w:rPr>
            <w:t>National Park</w:t>
          </w:r>
        </w:smartTag>
      </w:smartTag>
      <w:r>
        <w:rPr>
          <w:snapToGrid w:val="0"/>
        </w:rPr>
        <w:t>.</w:t>
      </w:r>
    </w:p>
    <w:p>
      <w:pPr>
        <w:pStyle w:val="Subsection"/>
        <w:spacing w:before="120"/>
        <w:rPr>
          <w:snapToGrid w:val="0"/>
        </w:rPr>
      </w:pPr>
      <w:r>
        <w:rPr>
          <w:snapToGrid w:val="0"/>
        </w:rPr>
        <w:tab/>
        <w:t>(2)</w:t>
      </w:r>
      <w:r>
        <w:rPr>
          <w:snapToGrid w:val="0"/>
        </w:rPr>
        <w:tab/>
        <w:t xml:space="preserve">The relevant fee specified in Schedule 1 Division 7 item 2 is payable by a person entering Calgardup or </w:t>
      </w:r>
      <w:smartTag w:uri="urn:schemas-microsoft-com:office:smarttags" w:element="place">
        <w:smartTag w:uri="urn:schemas-microsoft-com:office:smarttags" w:element="PlaceName">
          <w:r>
            <w:rPr>
              <w:snapToGrid w:val="0"/>
            </w:rPr>
            <w:t>Giants</w:t>
          </w:r>
        </w:smartTag>
        <w:r>
          <w:rPr>
            <w:snapToGrid w:val="0"/>
          </w:rPr>
          <w:t xml:space="preserve"> </w:t>
        </w:r>
        <w:smartTag w:uri="urn:schemas-microsoft-com:office:smarttags" w:element="PlaceType">
          <w:r>
            <w:rPr>
              <w:snapToGrid w:val="0"/>
            </w:rPr>
            <w:t>Caves</w:t>
          </w:r>
        </w:smartTag>
      </w:smartTag>
      <w:r>
        <w:rPr>
          <w:snapToGrid w:val="0"/>
        </w:rPr>
        <w:t>, Leeuwin</w:t>
      </w:r>
      <w:r>
        <w:rPr>
          <w:snapToGrid w:val="0"/>
        </w:rPr>
        <w:noBreakHyphen/>
        <w:t>Naturaliste National Park.</w:t>
      </w:r>
    </w:p>
    <w:p>
      <w:pPr>
        <w:pStyle w:val="Subsection"/>
        <w:spacing w:before="120"/>
        <w:rPr>
          <w:snapToGrid w:val="0"/>
        </w:rPr>
      </w:pPr>
      <w:r>
        <w:rPr>
          <w:snapToGrid w:val="0"/>
        </w:rPr>
        <w:tab/>
        <w:t>(3)</w:t>
      </w:r>
      <w:r>
        <w:rPr>
          <w:snapToGrid w:val="0"/>
        </w:rPr>
        <w:tab/>
        <w:t>The CEO is to erect signs at the entrance to each of the caves —</w:t>
      </w:r>
    </w:p>
    <w:p>
      <w:pPr>
        <w:pStyle w:val="Indenta"/>
        <w:spacing w:before="60"/>
        <w:rPr>
          <w:snapToGrid w:val="0"/>
        </w:rPr>
      </w:pPr>
      <w:r>
        <w:rPr>
          <w:snapToGrid w:val="0"/>
        </w:rPr>
        <w:tab/>
        <w:t>(a)</w:t>
      </w:r>
      <w:r>
        <w:rPr>
          <w:snapToGrid w:val="0"/>
        </w:rPr>
        <w:tab/>
        <w:t>specifying the fees payable under this regulation; and</w:t>
      </w:r>
    </w:p>
    <w:p>
      <w:pPr>
        <w:pStyle w:val="Indenta"/>
        <w:spacing w:before="60"/>
        <w:rPr>
          <w:snapToGrid w:val="0"/>
        </w:rPr>
      </w:pPr>
      <w:r>
        <w:rPr>
          <w:snapToGrid w:val="0"/>
        </w:rPr>
        <w:tab/>
        <w:t>(b)</w:t>
      </w:r>
      <w:r>
        <w:rPr>
          <w:snapToGrid w:val="0"/>
        </w:rPr>
        <w:tab/>
        <w:t>specifying the manner in which the fees are to be paid.</w:t>
      </w:r>
    </w:p>
    <w:p>
      <w:pPr>
        <w:pStyle w:val="Subsection"/>
        <w:spacing w:before="120"/>
        <w:rPr>
          <w:snapToGrid w:val="0"/>
        </w:rPr>
      </w:pPr>
      <w:r>
        <w:rPr>
          <w:snapToGrid w:val="0"/>
        </w:rPr>
        <w:tab/>
        <w:t>(4)</w:t>
      </w:r>
      <w:r>
        <w:rPr>
          <w:snapToGrid w:val="0"/>
        </w:rPr>
        <w:tab/>
        <w:t>A person must pay, in the manner specified on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spacing w:before="80"/>
      </w:pPr>
      <w:r>
        <w:tab/>
        <w:t>[Regulation 100A inserted in Gazette 29 Sep 2006 p. 4321</w:t>
      </w:r>
      <w:r>
        <w:noBreakHyphen/>
        <w:t>2; amended in Gazette 3 Dec 2010 p. 6052</w:t>
      </w:r>
      <w:r>
        <w:noBreakHyphen/>
        <w:t>4.]</w:t>
      </w:r>
    </w:p>
    <w:p>
      <w:pPr>
        <w:pStyle w:val="Heading5"/>
        <w:spacing w:before="200"/>
        <w:rPr>
          <w:snapToGrid w:val="0"/>
        </w:rPr>
      </w:pPr>
      <w:bookmarkStart w:id="404" w:name="_Toc408498911"/>
      <w:bookmarkStart w:id="405" w:name="_Toc423343206"/>
      <w:r>
        <w:rPr>
          <w:rStyle w:val="CharSectno"/>
        </w:rPr>
        <w:t>101</w:t>
      </w:r>
      <w:r>
        <w:rPr>
          <w:snapToGrid w:val="0"/>
        </w:rPr>
        <w:t>.</w:t>
      </w:r>
      <w:r>
        <w:rPr>
          <w:snapToGrid w:val="0"/>
        </w:rPr>
        <w:tab/>
        <w:t xml:space="preserve">Fees for </w:t>
      </w:r>
      <w:smartTag w:uri="urn:schemas-microsoft-com:office:smarttags" w:element="place">
        <w:smartTag w:uri="urn:schemas-microsoft-com:office:smarttags" w:element="PlaceName">
          <w:r>
            <w:rPr>
              <w:snapToGrid w:val="0"/>
            </w:rPr>
            <w:t>Geikie</w:t>
          </w:r>
        </w:smartTag>
        <w:r>
          <w:rPr>
            <w:snapToGrid w:val="0"/>
          </w:rPr>
          <w:t xml:space="preserve"> </w:t>
        </w:r>
        <w:smartTag w:uri="urn:schemas-microsoft-com:office:smarttags" w:element="PlaceName">
          <w:r>
            <w:rPr>
              <w:snapToGrid w:val="0"/>
            </w:rPr>
            <w:t>Gorge</w:t>
          </w:r>
        </w:smartTag>
        <w:r>
          <w:rPr>
            <w:snapToGrid w:val="0"/>
          </w:rPr>
          <w:t xml:space="preserve"> </w:t>
        </w:r>
        <w:smartTag w:uri="urn:schemas-microsoft-com:office:smarttags" w:element="PlaceType">
          <w:r>
            <w:rPr>
              <w:snapToGrid w:val="0"/>
            </w:rPr>
            <w:t>National Park</w:t>
          </w:r>
        </w:smartTag>
      </w:smartTag>
      <w:r>
        <w:rPr>
          <w:snapToGrid w:val="0"/>
        </w:rPr>
        <w:t xml:space="preserve"> Boat Trip</w:t>
      </w:r>
      <w:bookmarkEnd w:id="404"/>
      <w:bookmarkEnd w:id="405"/>
      <w:r>
        <w:rPr>
          <w:snapToGrid w:val="0"/>
        </w:rPr>
        <w:t xml:space="preserve"> </w:t>
      </w:r>
    </w:p>
    <w:p>
      <w:pPr>
        <w:pStyle w:val="Subsection"/>
        <w:spacing w:before="120"/>
        <w:rPr>
          <w:snapToGrid w:val="0"/>
        </w:rPr>
      </w:pPr>
      <w:r>
        <w:rPr>
          <w:snapToGrid w:val="0"/>
        </w:rPr>
        <w:tab/>
      </w:r>
      <w:r>
        <w:rPr>
          <w:snapToGrid w:val="0"/>
        </w:rPr>
        <w:tab/>
        <w:t>The fees for the Geikie Gorge National Park Boat Trip are as prescribed in Schedule 1 Division 4.</w:t>
      </w:r>
    </w:p>
    <w:p>
      <w:pPr>
        <w:pStyle w:val="Heading5"/>
        <w:spacing w:before="200"/>
        <w:rPr>
          <w:snapToGrid w:val="0"/>
        </w:rPr>
      </w:pPr>
      <w:bookmarkStart w:id="406" w:name="_Toc408498912"/>
      <w:bookmarkStart w:id="407" w:name="_Toc423343207"/>
      <w:r>
        <w:rPr>
          <w:rStyle w:val="CharSectno"/>
        </w:rPr>
        <w:t>102</w:t>
      </w:r>
      <w:r>
        <w:rPr>
          <w:snapToGrid w:val="0"/>
        </w:rPr>
        <w:t>.</w:t>
      </w:r>
      <w:r>
        <w:rPr>
          <w:snapToGrid w:val="0"/>
        </w:rPr>
        <w:tab/>
        <w:t>Fees for entry on horseback</w:t>
      </w:r>
      <w:bookmarkEnd w:id="406"/>
      <w:bookmarkEnd w:id="407"/>
    </w:p>
    <w:p>
      <w:pPr>
        <w:pStyle w:val="Subsection"/>
        <w:spacing w:before="120"/>
        <w:rPr>
          <w:snapToGrid w:val="0"/>
        </w:rPr>
      </w:pPr>
      <w:r>
        <w:rPr>
          <w:snapToGrid w:val="0"/>
        </w:rPr>
        <w:tab/>
      </w:r>
      <w:r>
        <w:rPr>
          <w:snapToGrid w:val="0"/>
        </w:rPr>
        <w:tab/>
        <w:t>A person must not enter an area of CALM land on horseback unless the relevant fee specified in Schedule 1 Division 5 has been paid — </w:t>
      </w:r>
    </w:p>
    <w:p>
      <w:pPr>
        <w:pStyle w:val="Indenta"/>
        <w:spacing w:before="60"/>
        <w:rPr>
          <w:snapToGrid w:val="0"/>
        </w:rPr>
      </w:pPr>
      <w:r>
        <w:rPr>
          <w:snapToGrid w:val="0"/>
        </w:rPr>
        <w:tab/>
        <w:t>(a)</w:t>
      </w:r>
      <w:r>
        <w:rPr>
          <w:snapToGrid w:val="0"/>
        </w:rPr>
        <w:tab/>
        <w:t>in the case of a daily entrance fee, to an authorised officer; and</w:t>
      </w:r>
    </w:p>
    <w:p>
      <w:pPr>
        <w:pStyle w:val="Indenta"/>
        <w:spacing w:before="60"/>
        <w:rPr>
          <w:snapToGrid w:val="0"/>
        </w:rPr>
      </w:pPr>
      <w:r>
        <w:rPr>
          <w:snapToGrid w:val="0"/>
        </w:rPr>
        <w:tab/>
        <w:t>(b)</w:t>
      </w:r>
      <w:r>
        <w:rPr>
          <w:snapToGrid w:val="0"/>
        </w:rPr>
        <w:tab/>
        <w:t>in the case of an annual pass, to the</w:t>
      </w:r>
      <w:r>
        <w:t xml:space="preserve"> CEO</w:t>
      </w:r>
      <w:r>
        <w:rPr>
          <w:snapToGrid w:val="0"/>
        </w:rPr>
        <w:t xml:space="preserve">, </w:t>
      </w:r>
    </w:p>
    <w:p>
      <w:pPr>
        <w:pStyle w:val="Subsection"/>
        <w:spacing w:before="120"/>
        <w:rPr>
          <w:snapToGrid w:val="0"/>
        </w:rPr>
      </w:pPr>
      <w:r>
        <w:rPr>
          <w:snapToGrid w:val="0"/>
        </w:rPr>
        <w:tab/>
      </w:r>
      <w:r>
        <w:rPr>
          <w:snapToGrid w:val="0"/>
        </w:rPr>
        <w:tab/>
        <w:t>before entering that area.</w:t>
      </w:r>
    </w:p>
    <w:p>
      <w:pPr>
        <w:pStyle w:val="Penstart"/>
        <w:rPr>
          <w:snapToGrid w:val="0"/>
        </w:rPr>
      </w:pPr>
      <w:r>
        <w:rPr>
          <w:snapToGrid w:val="0"/>
        </w:rPr>
        <w:tab/>
        <w:t>Penalty:</w:t>
      </w:r>
      <w:r>
        <w:t xml:space="preserve"> a fine of</w:t>
      </w:r>
      <w:r>
        <w:rPr>
          <w:snapToGrid w:val="0"/>
        </w:rPr>
        <w:t xml:space="preserve"> $200.</w:t>
      </w:r>
    </w:p>
    <w:p>
      <w:pPr>
        <w:pStyle w:val="Footnotesection"/>
        <w:spacing w:before="80"/>
      </w:pPr>
      <w:r>
        <w:tab/>
        <w:t>[Regulation 102 amended in Gazette 29 Sep 2006 p. 4334; 3 Dec 2010 p. 6052</w:t>
      </w:r>
      <w:r>
        <w:noBreakHyphen/>
        <w:t>4.]</w:t>
      </w:r>
    </w:p>
    <w:p>
      <w:pPr>
        <w:pStyle w:val="Heading5"/>
      </w:pPr>
      <w:bookmarkStart w:id="408" w:name="_Toc408498913"/>
      <w:bookmarkStart w:id="409" w:name="_Toc423343208"/>
      <w:r>
        <w:rPr>
          <w:rStyle w:val="CharSectno"/>
        </w:rPr>
        <w:t>102A</w:t>
      </w:r>
      <w:r>
        <w:t>.</w:t>
      </w:r>
      <w:r>
        <w:tab/>
        <w:t>Abseiling fee</w:t>
      </w:r>
      <w:bookmarkEnd w:id="408"/>
      <w:bookmarkEnd w:id="409"/>
    </w:p>
    <w:p>
      <w:pPr>
        <w:pStyle w:val="Subsection"/>
        <w:spacing w:before="140"/>
        <w:rPr>
          <w:snapToGrid w:val="0"/>
        </w:rPr>
      </w:pPr>
      <w:r>
        <w:rPr>
          <w:snapToGrid w:val="0"/>
        </w:rPr>
        <w:tab/>
        <w:t>(1)</w:t>
      </w:r>
      <w:r>
        <w:rPr>
          <w:snapToGrid w:val="0"/>
        </w:rPr>
        <w:tab/>
        <w:t>Subject to subregulation (2), a person who intends to abseil in an abseiling area during a particular half</w:t>
      </w:r>
      <w:r>
        <w:rPr>
          <w:snapToGrid w:val="0"/>
        </w:rPr>
        <w:noBreakHyphen/>
        <w:t>day, or day in the case of Wilyabrup Cliffs, is liable to pay the relevant fee specified in Schedule 1 Division 9 in respect of the half</w:t>
      </w:r>
      <w:r>
        <w:rPr>
          <w:snapToGrid w:val="0"/>
        </w:rPr>
        <w:noBreakHyphen/>
        <w:t>day or day.</w:t>
      </w:r>
    </w:p>
    <w:p>
      <w:pPr>
        <w:pStyle w:val="Subsection"/>
        <w:spacing w:before="140"/>
        <w:rPr>
          <w:snapToGrid w:val="0"/>
        </w:rPr>
      </w:pPr>
      <w:r>
        <w:rPr>
          <w:snapToGrid w:val="0"/>
        </w:rPr>
        <w:tab/>
        <w:t>(2)</w:t>
      </w:r>
      <w:r>
        <w:rPr>
          <w:snapToGrid w:val="0"/>
        </w:rPr>
        <w:tab/>
        <w:t>Fees are not payable under this regulation unless the CEO has erected a sign at the abseiling area — </w:t>
      </w:r>
    </w:p>
    <w:p>
      <w:pPr>
        <w:pStyle w:val="Indenta"/>
        <w:spacing w:before="60"/>
        <w:rPr>
          <w:snapToGrid w:val="0"/>
        </w:rPr>
      </w:pPr>
      <w:r>
        <w:rPr>
          <w:snapToGrid w:val="0"/>
        </w:rPr>
        <w:tab/>
        <w:t>(a)</w:t>
      </w:r>
      <w:r>
        <w:rPr>
          <w:snapToGrid w:val="0"/>
        </w:rPr>
        <w:tab/>
        <w:t>stating that fees are payable for abseiling; and</w:t>
      </w:r>
    </w:p>
    <w:p>
      <w:pPr>
        <w:pStyle w:val="Indenta"/>
        <w:spacing w:before="60"/>
        <w:rPr>
          <w:snapToGrid w:val="0"/>
        </w:rPr>
      </w:pPr>
      <w:r>
        <w:rPr>
          <w:snapToGrid w:val="0"/>
        </w:rPr>
        <w:tab/>
        <w:t>(b)</w:t>
      </w:r>
      <w:r>
        <w:rPr>
          <w:snapToGrid w:val="0"/>
        </w:rPr>
        <w:tab/>
        <w:t>specifying the fees that are payable; and</w:t>
      </w:r>
    </w:p>
    <w:p>
      <w:pPr>
        <w:pStyle w:val="Indenta"/>
        <w:spacing w:before="60"/>
        <w:rPr>
          <w:snapToGrid w:val="0"/>
        </w:rPr>
      </w:pPr>
      <w:r>
        <w:rPr>
          <w:snapToGrid w:val="0"/>
        </w:rPr>
        <w:tab/>
        <w:t>(c)</w:t>
      </w:r>
      <w:r>
        <w:rPr>
          <w:snapToGrid w:val="0"/>
        </w:rPr>
        <w:tab/>
        <w:t>specifying the manner in which the fees are to be paid.</w:t>
      </w:r>
    </w:p>
    <w:p>
      <w:pPr>
        <w:pStyle w:val="Subsection"/>
        <w:spacing w:before="140"/>
        <w:rPr>
          <w:snapToGrid w:val="0"/>
        </w:rPr>
      </w:pPr>
      <w:r>
        <w:rPr>
          <w:snapToGrid w:val="0"/>
        </w:rPr>
        <w:tab/>
        <w:t>(3)</w:t>
      </w:r>
      <w:r>
        <w:rPr>
          <w:snapToGrid w:val="0"/>
        </w:rPr>
        <w:tab/>
        <w:t>A person must pay, in the manner specified in a sign under subregulation (2)(c), the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spacing w:before="130"/>
      </w:pPr>
      <w:r>
        <w:tab/>
        <w:t>(4)</w:t>
      </w:r>
      <w:r>
        <w:tab/>
        <w:t xml:space="preserve">If a person, who has paid </w:t>
      </w:r>
      <w:r>
        <w:rPr>
          <w:snapToGrid w:val="0"/>
        </w:rPr>
        <w:t xml:space="preserve">the relevant fee in advance, </w:t>
      </w:r>
      <w:r>
        <w:t>notifies the CEO more than 2 weeks before the half</w:t>
      </w:r>
      <w:r>
        <w:noBreakHyphen/>
        <w:t>day, or day, in respect of which the fee was paid that the person is not going to abseil on that half</w:t>
      </w:r>
      <w:r>
        <w:noBreakHyphen/>
        <w:t>day, or day, in the area in respect of which the fee was paid, the CEO may refund the fee.</w:t>
      </w:r>
    </w:p>
    <w:p>
      <w:pPr>
        <w:pStyle w:val="Footnotesection"/>
        <w:spacing w:before="100"/>
      </w:pPr>
      <w:r>
        <w:tab/>
        <w:t>[Regulation 102A inserted in Gazette 29 Sep 2006 p. 4322</w:t>
      </w:r>
      <w:r>
        <w:noBreakHyphen/>
        <w:t>3; amended in Gazette 3 Dec 2010 p. 6051 and 6052</w:t>
      </w:r>
      <w:r>
        <w:noBreakHyphen/>
        <w:t>4.]</w:t>
      </w:r>
    </w:p>
    <w:p>
      <w:pPr>
        <w:pStyle w:val="Heading5"/>
        <w:spacing w:before="180"/>
        <w:rPr>
          <w:snapToGrid w:val="0"/>
        </w:rPr>
      </w:pPr>
      <w:bookmarkStart w:id="410" w:name="_Toc408498914"/>
      <w:bookmarkStart w:id="411" w:name="_Toc423343209"/>
      <w:r>
        <w:rPr>
          <w:rStyle w:val="CharSectno"/>
        </w:rPr>
        <w:t>103</w:t>
      </w:r>
      <w:r>
        <w:rPr>
          <w:snapToGrid w:val="0"/>
        </w:rPr>
        <w:t>.</w:t>
      </w:r>
      <w:r>
        <w:rPr>
          <w:snapToGrid w:val="0"/>
        </w:rPr>
        <w:tab/>
        <w:t>Camping fees</w:t>
      </w:r>
      <w:bookmarkEnd w:id="410"/>
      <w:bookmarkEnd w:id="411"/>
      <w:r>
        <w:rPr>
          <w:snapToGrid w:val="0"/>
        </w:rPr>
        <w:t xml:space="preserve"> </w:t>
      </w:r>
    </w:p>
    <w:p>
      <w:pPr>
        <w:pStyle w:val="Subsection"/>
        <w:spacing w:before="130"/>
        <w:rPr>
          <w:snapToGrid w:val="0"/>
        </w:rPr>
      </w:pPr>
      <w:r>
        <w:rPr>
          <w:snapToGrid w:val="0"/>
        </w:rPr>
        <w:tab/>
        <w:t>(1)</w:t>
      </w:r>
      <w:r>
        <w:rPr>
          <w:snapToGrid w:val="0"/>
        </w:rPr>
        <w:tab/>
        <w:t>Subject to subregulation (3) the fees specified in Schedule 1 Division 6 are payable in respect of persons who camp in camping areas on CALM land.</w:t>
      </w:r>
    </w:p>
    <w:p>
      <w:pPr>
        <w:pStyle w:val="Subsection"/>
        <w:spacing w:before="130"/>
        <w:rPr>
          <w:snapToGrid w:val="0"/>
        </w:rPr>
      </w:pPr>
      <w:r>
        <w:rPr>
          <w:snapToGrid w:val="0"/>
        </w:rPr>
        <w:tab/>
        <w:t>(2)</w:t>
      </w:r>
      <w:r>
        <w:rPr>
          <w:snapToGrid w:val="0"/>
        </w:rPr>
        <w:tab/>
        <w:t>A person occupying a camping site is liable to pay the fee referred to in subregulation (1) or, if there is more than one person occupying the site, the persons occupying the site are jointly and severally liable to pay the fee.</w:t>
      </w:r>
    </w:p>
    <w:p>
      <w:pPr>
        <w:pStyle w:val="Subsection"/>
        <w:spacing w:before="130"/>
        <w:rPr>
          <w:snapToGrid w:val="0"/>
        </w:rPr>
      </w:pPr>
      <w:r>
        <w:rPr>
          <w:snapToGrid w:val="0"/>
        </w:rPr>
        <w:tab/>
        <w:t>(3)</w:t>
      </w:r>
      <w:r>
        <w:rPr>
          <w:snapToGrid w:val="0"/>
        </w:rPr>
        <w:tab/>
        <w:t xml:space="preserve">Fees are not payable under this regulation unless the </w:t>
      </w:r>
      <w:r>
        <w:t xml:space="preserve">CEO </w:t>
      </w:r>
      <w:r>
        <w:rPr>
          <w:snapToGrid w:val="0"/>
        </w:rPr>
        <w:t>has erected a sign at the camping area — </w:t>
      </w:r>
    </w:p>
    <w:p>
      <w:pPr>
        <w:pStyle w:val="Indenta"/>
        <w:spacing w:before="60"/>
        <w:rPr>
          <w:snapToGrid w:val="0"/>
        </w:rPr>
      </w:pPr>
      <w:r>
        <w:rPr>
          <w:snapToGrid w:val="0"/>
        </w:rPr>
        <w:tab/>
        <w:t>(a)</w:t>
      </w:r>
      <w:r>
        <w:rPr>
          <w:snapToGrid w:val="0"/>
        </w:rPr>
        <w:tab/>
        <w:t>stating that fees are payable for camping; and</w:t>
      </w:r>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(3)(c),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103 amended in Gazette 29 Sep 2006 p. 4334; 3 Dec 2010 p. 6052</w:t>
      </w:r>
      <w:r>
        <w:noBreakHyphen/>
        <w:t>4.]</w:t>
      </w:r>
    </w:p>
    <w:p>
      <w:pPr>
        <w:pStyle w:val="Heading5"/>
      </w:pPr>
      <w:bookmarkStart w:id="412" w:name="_Toc408498915"/>
      <w:bookmarkStart w:id="413" w:name="_Toc423343210"/>
      <w:r>
        <w:rPr>
          <w:rStyle w:val="CharSectno"/>
        </w:rPr>
        <w:t>103A</w:t>
      </w:r>
      <w:r>
        <w:t>.</w:t>
      </w:r>
      <w:r>
        <w:tab/>
        <w:t>Companion of Companion Card holder</w:t>
      </w:r>
      <w:bookmarkEnd w:id="412"/>
      <w:bookmarkEnd w:id="413"/>
    </w:p>
    <w:p>
      <w:pPr>
        <w:pStyle w:val="Subsection"/>
      </w:pPr>
      <w:r>
        <w:tab/>
      </w:r>
      <w:r>
        <w:tab/>
        <w:t xml:space="preserve">Despite anything in this Part, a person need not pay a fee under this Part to enter a place or do a thing if — </w:t>
      </w:r>
    </w:p>
    <w:p>
      <w:pPr>
        <w:pStyle w:val="Indenta"/>
      </w:pPr>
      <w:r>
        <w:tab/>
        <w:t>(a)</w:t>
      </w:r>
      <w:r>
        <w:tab/>
        <w:t>the person is, at the time of entering the place or doing the thing, the companion of a person who holds a Companion Card; and</w:t>
      </w:r>
    </w:p>
    <w:p>
      <w:pPr>
        <w:pStyle w:val="Indenta"/>
      </w:pPr>
      <w:r>
        <w:tab/>
        <w:t>(b)</w:t>
      </w:r>
      <w:r>
        <w:tab/>
        <w:t>the person who holds the Companion Card is entitled to pay a concession fee to enter the place or do the thing.</w:t>
      </w:r>
    </w:p>
    <w:p>
      <w:pPr>
        <w:pStyle w:val="Footnotesection"/>
      </w:pPr>
      <w:r>
        <w:tab/>
        <w:t>[Regulation 103A inserted in Gazette 29 Sep 2006 p. 4323.]</w:t>
      </w:r>
    </w:p>
    <w:p>
      <w:pPr>
        <w:pStyle w:val="Heading5"/>
      </w:pPr>
      <w:bookmarkStart w:id="414" w:name="_Toc408498916"/>
      <w:bookmarkStart w:id="415" w:name="_Toc423343211"/>
      <w:r>
        <w:rPr>
          <w:rStyle w:val="CharSectno"/>
        </w:rPr>
        <w:t>104</w:t>
      </w:r>
      <w:r>
        <w:rPr>
          <w:snapToGrid w:val="0"/>
        </w:rPr>
        <w:t>.</w:t>
      </w:r>
      <w:r>
        <w:rPr>
          <w:snapToGrid w:val="0"/>
        </w:rPr>
        <w:tab/>
        <w:t>Fees may be waived or reduced</w:t>
      </w:r>
      <w:bookmarkEnd w:id="414"/>
      <w:bookmarkEnd w:id="415"/>
    </w:p>
    <w:p>
      <w:pPr>
        <w:pStyle w:val="Subsection"/>
      </w:pPr>
      <w:r>
        <w:tab/>
      </w:r>
      <w:r>
        <w:tab/>
        <w:t>The CEO may waive payment of a fee or part of a fee prescribed or provided for in these regulations.</w:t>
      </w:r>
    </w:p>
    <w:p>
      <w:pPr>
        <w:pStyle w:val="Footnotesection"/>
      </w:pPr>
      <w:r>
        <w:tab/>
        <w:t>[Regulation 104 amended in Gazette 29 Sep 2006 p. 4334.]</w:t>
      </w:r>
    </w:p>
    <w:p>
      <w:pPr>
        <w:pStyle w:val="Heading2"/>
      </w:pPr>
      <w:bookmarkStart w:id="416" w:name="_Toc408498917"/>
      <w:bookmarkStart w:id="417" w:name="_Toc414889339"/>
      <w:bookmarkStart w:id="418" w:name="_Toc414975311"/>
      <w:bookmarkStart w:id="419" w:name="_Toc417563793"/>
      <w:bookmarkStart w:id="420" w:name="_Toc423340614"/>
      <w:bookmarkStart w:id="421" w:name="_Toc423343212"/>
      <w:r>
        <w:rPr>
          <w:rStyle w:val="CharPartNo"/>
        </w:rPr>
        <w:t>Part 9</w:t>
      </w:r>
      <w:r>
        <w:rPr>
          <w:b w:val="0"/>
        </w:rPr>
        <w:t> </w:t>
      </w:r>
      <w:r>
        <w:t>—</w:t>
      </w:r>
      <w:r>
        <w:rPr>
          <w:b w:val="0"/>
        </w:rPr>
        <w:t> </w:t>
      </w:r>
      <w:r>
        <w:rPr>
          <w:rStyle w:val="CharPartText"/>
        </w:rPr>
        <w:t>Miscellaneous</w:t>
      </w:r>
      <w:bookmarkEnd w:id="416"/>
      <w:bookmarkEnd w:id="417"/>
      <w:bookmarkEnd w:id="418"/>
      <w:bookmarkEnd w:id="419"/>
      <w:bookmarkEnd w:id="420"/>
      <w:bookmarkEnd w:id="421"/>
    </w:p>
    <w:p>
      <w:pPr>
        <w:pStyle w:val="Footnoteheading"/>
        <w:spacing w:before="100"/>
      </w:pPr>
      <w:r>
        <w:tab/>
        <w:t>[Heading inserted in Gazette 29 Sep 2006 p. 4323.]</w:t>
      </w:r>
    </w:p>
    <w:p>
      <w:pPr>
        <w:pStyle w:val="Heading5"/>
        <w:rPr>
          <w:snapToGrid w:val="0"/>
        </w:rPr>
      </w:pPr>
      <w:bookmarkStart w:id="422" w:name="_Toc408498918"/>
      <w:bookmarkStart w:id="423" w:name="_Toc423343213"/>
      <w:r>
        <w:rPr>
          <w:rStyle w:val="CharSectno"/>
        </w:rPr>
        <w:t>105</w:t>
      </w:r>
      <w:r>
        <w:rPr>
          <w:snapToGrid w:val="0"/>
        </w:rPr>
        <w:t>.</w:t>
      </w:r>
      <w:r>
        <w:rPr>
          <w:snapToGrid w:val="0"/>
        </w:rPr>
        <w:tab/>
        <w:t>Organised events and meetings</w:t>
      </w:r>
      <w:bookmarkEnd w:id="422"/>
      <w:bookmarkEnd w:id="423"/>
      <w:r>
        <w:rPr>
          <w:snapToGrid w:val="0"/>
        </w:rPr>
        <w:t xml:space="preserve"> </w:t>
      </w:r>
    </w:p>
    <w:p>
      <w:pPr>
        <w:pStyle w:val="Subsection"/>
        <w:spacing w:before="140"/>
        <w:rPr>
          <w:snapToGrid w:val="0"/>
        </w:rPr>
      </w:pPr>
      <w:r>
        <w:rPr>
          <w:snapToGrid w:val="0"/>
        </w:rPr>
        <w:tab/>
        <w:t>(1)</w:t>
      </w:r>
      <w:r>
        <w:rPr>
          <w:snapToGrid w:val="0"/>
        </w:rPr>
        <w:tab/>
        <w:t xml:space="preserve">A person must not, without lawful authority, organise, advertise or hold a meeting, function or event on CALM land which is likely to involve or involves the attendance of more than 100 persons. </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The CEO cannot refuse to authorise a person for the purposes of subregulation (1) except on grounds relating to the adverse effects of the meeting, function or event on the environment or other users of the land.</w:t>
      </w:r>
    </w:p>
    <w:p>
      <w:pPr>
        <w:pStyle w:val="Footnotesection"/>
        <w:spacing w:before="100"/>
      </w:pPr>
      <w:r>
        <w:tab/>
        <w:t>[Regulation 105 amended in Gazette 29 Sep 2006 p. 4323</w:t>
      </w:r>
      <w:r>
        <w:noBreakHyphen/>
        <w:t>4; 3 Dec 2010 p. 6052</w:t>
      </w:r>
      <w:r>
        <w:noBreakHyphen/>
        <w:t>4.]</w:t>
      </w:r>
    </w:p>
    <w:p>
      <w:pPr>
        <w:pStyle w:val="Heading5"/>
        <w:rPr>
          <w:snapToGrid w:val="0"/>
        </w:rPr>
      </w:pPr>
      <w:bookmarkStart w:id="424" w:name="_Toc408498919"/>
      <w:bookmarkStart w:id="425" w:name="_Toc423343214"/>
      <w:r>
        <w:rPr>
          <w:rStyle w:val="CharSectno"/>
        </w:rPr>
        <w:t>106</w:t>
      </w:r>
      <w:r>
        <w:rPr>
          <w:snapToGrid w:val="0"/>
        </w:rPr>
        <w:t>.</w:t>
      </w:r>
      <w:r>
        <w:rPr>
          <w:snapToGrid w:val="0"/>
        </w:rPr>
        <w:tab/>
        <w:t>Unlawful commercial operations</w:t>
      </w:r>
      <w:bookmarkEnd w:id="424"/>
      <w:bookmarkEnd w:id="425"/>
      <w:r>
        <w:rPr>
          <w:snapToGrid w:val="0"/>
        </w:rPr>
        <w:t xml:space="preserve"> </w:t>
      </w:r>
    </w:p>
    <w:p>
      <w:pPr>
        <w:pStyle w:val="Subsection"/>
        <w:spacing w:before="140"/>
        <w:rPr>
          <w:snapToGrid w:val="0"/>
        </w:rPr>
      </w:pPr>
      <w:r>
        <w:rPr>
          <w:snapToGrid w:val="0"/>
        </w:rPr>
        <w:tab/>
        <w:t>(1)</w:t>
      </w:r>
      <w:r>
        <w:rPr>
          <w:snapToGrid w:val="0"/>
        </w:rPr>
        <w:tab/>
        <w:t>A person must not, without lawful authority, sell any goods or services, or carry on any business, on CALM land.</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A person must not advertise that the person is willing to sell any goods or services, or that the person carries on or will carry on a business, on CALM land unless the person has lawful authority to sell the goods or services, or carry on the business, on the CALM land.</w:t>
      </w:r>
    </w:p>
    <w:p>
      <w:pPr>
        <w:pStyle w:val="Penstart"/>
      </w:pPr>
      <w:r>
        <w:tab/>
        <w:t>Penalty: a fine of $2 000.</w:t>
      </w:r>
    </w:p>
    <w:p>
      <w:pPr>
        <w:pStyle w:val="Footnotesection"/>
        <w:spacing w:before="100"/>
      </w:pPr>
      <w:r>
        <w:tab/>
        <w:t>[Regulation 106 amended in Gazette 29 Sep 2006 p. 4324; 3 Dec 2010 p. 6052</w:t>
      </w:r>
      <w:r>
        <w:noBreakHyphen/>
        <w:t>4.]</w:t>
      </w:r>
    </w:p>
    <w:p>
      <w:pPr>
        <w:pStyle w:val="Heading5"/>
      </w:pPr>
      <w:bookmarkStart w:id="426" w:name="_Toc408498920"/>
      <w:bookmarkStart w:id="427" w:name="_Toc423343215"/>
      <w:r>
        <w:rPr>
          <w:rStyle w:val="CharSectno"/>
        </w:rPr>
        <w:t>107</w:t>
      </w:r>
      <w:r>
        <w:t>.</w:t>
      </w:r>
      <w:r>
        <w:tab/>
        <w:t>Distribution of printed matter and advertising material</w:t>
      </w:r>
      <w:bookmarkEnd w:id="426"/>
      <w:bookmarkEnd w:id="427"/>
    </w:p>
    <w:p>
      <w:pPr>
        <w:pStyle w:val="Subsection"/>
        <w:spacing w:before="140"/>
      </w:pPr>
      <w:r>
        <w:tab/>
      </w:r>
      <w:r>
        <w:tab/>
        <w:t xml:space="preserve">A person must not, without lawful authority, on CALM land — </w:t>
      </w:r>
    </w:p>
    <w:p>
      <w:pPr>
        <w:pStyle w:val="Indenta"/>
      </w:pPr>
      <w:r>
        <w:tab/>
        <w:t>(a)</w:t>
      </w:r>
      <w:r>
        <w:tab/>
        <w:t>sell or distribute or carry or expose for sale any printed or written matter; or</w:t>
      </w:r>
    </w:p>
    <w:p>
      <w:pPr>
        <w:pStyle w:val="Indenta"/>
        <w:spacing w:before="60"/>
      </w:pPr>
      <w:r>
        <w:tab/>
        <w:t>(b)</w:t>
      </w:r>
      <w:r>
        <w:tab/>
        <w:t>distribute any printed or written matter for a commercial purpose; or</w:t>
      </w:r>
    </w:p>
    <w:p>
      <w:pPr>
        <w:pStyle w:val="Indenta"/>
        <w:spacing w:before="60"/>
      </w:pPr>
      <w:r>
        <w:tab/>
        <w:t>(c)</w:t>
      </w:r>
      <w:r>
        <w:tab/>
        <w:t>advertise or promote any product, service or event for a commercial purpose.</w:t>
      </w:r>
    </w:p>
    <w:p>
      <w:pPr>
        <w:pStyle w:val="Penstart"/>
      </w:pPr>
      <w:r>
        <w:tab/>
        <w:t>Penalty: a fine of $500.</w:t>
      </w:r>
    </w:p>
    <w:p>
      <w:pPr>
        <w:pStyle w:val="Footnotesection"/>
        <w:spacing w:before="100"/>
      </w:pPr>
      <w:r>
        <w:tab/>
        <w:t>[Regulation 107 inserted in Gazette 29 Sep 2006 p. 4324</w:t>
      </w:r>
      <w:r>
        <w:noBreakHyphen/>
        <w:t>5; amended in Gazette 3 Dec 2010 p. 6052</w:t>
      </w:r>
      <w:r>
        <w:noBreakHyphen/>
        <w:t>4.]</w:t>
      </w:r>
    </w:p>
    <w:p>
      <w:pPr>
        <w:pStyle w:val="Heading5"/>
        <w:spacing w:before="200"/>
        <w:rPr>
          <w:snapToGrid w:val="0"/>
        </w:rPr>
      </w:pPr>
      <w:bookmarkStart w:id="428" w:name="_Toc408498921"/>
      <w:bookmarkStart w:id="429" w:name="_Toc423343216"/>
      <w:r>
        <w:rPr>
          <w:rStyle w:val="CharSectno"/>
        </w:rPr>
        <w:t>108</w:t>
      </w:r>
      <w:r>
        <w:rPr>
          <w:snapToGrid w:val="0"/>
        </w:rPr>
        <w:t>.</w:t>
      </w:r>
      <w:r>
        <w:rPr>
          <w:snapToGrid w:val="0"/>
        </w:rPr>
        <w:tab/>
        <w:t>Photography for commercial purposes</w:t>
      </w:r>
      <w:bookmarkEnd w:id="428"/>
      <w:bookmarkEnd w:id="429"/>
      <w:r>
        <w:rPr>
          <w:snapToGrid w:val="0"/>
        </w:rPr>
        <w:t xml:space="preserve"> </w:t>
      </w:r>
    </w:p>
    <w:p>
      <w:pPr>
        <w:pStyle w:val="Subsection"/>
        <w:spacing w:before="140"/>
        <w:rPr>
          <w:snapToGrid w:val="0"/>
        </w:rPr>
      </w:pPr>
      <w:r>
        <w:rPr>
          <w:snapToGrid w:val="0"/>
        </w:rPr>
        <w:tab/>
      </w:r>
      <w:r>
        <w:rPr>
          <w:snapToGrid w:val="0"/>
        </w:rPr>
        <w:tab/>
        <w:t>A person must not, without lawful authority, take — </w:t>
      </w:r>
    </w:p>
    <w:p>
      <w:pPr>
        <w:pStyle w:val="Indenta"/>
        <w:spacing w:before="60"/>
        <w:rPr>
          <w:snapToGrid w:val="0"/>
        </w:rPr>
      </w:pPr>
      <w:r>
        <w:rPr>
          <w:snapToGrid w:val="0"/>
        </w:rPr>
        <w:tab/>
        <w:t>(a)</w:t>
      </w:r>
      <w:r>
        <w:rPr>
          <w:snapToGrid w:val="0"/>
        </w:rPr>
        <w:tab/>
        <w:t xml:space="preserve">still pictures on CALM land by photographic or electronic means if the pictures are to be used for </w:t>
      </w:r>
      <w:r>
        <w:t xml:space="preserve">commercial </w:t>
      </w:r>
      <w:r>
        <w:rPr>
          <w:snapToGrid w:val="0"/>
        </w:rPr>
        <w:t>purposes; or</w:t>
      </w:r>
    </w:p>
    <w:p>
      <w:pPr>
        <w:pStyle w:val="Indenta"/>
        <w:spacing w:before="60"/>
        <w:rPr>
          <w:snapToGrid w:val="0"/>
        </w:rPr>
      </w:pPr>
      <w:r>
        <w:rPr>
          <w:snapToGrid w:val="0"/>
        </w:rPr>
        <w:tab/>
        <w:t>(b)</w:t>
      </w:r>
      <w:r>
        <w:rPr>
          <w:snapToGrid w:val="0"/>
        </w:rPr>
        <w:tab/>
        <w:t>motion pictures on CALM land by photographic or electronic means if the pictures are to be used for commercial purposes.</w:t>
      </w:r>
    </w:p>
    <w:p>
      <w:pPr>
        <w:pStyle w:val="Penstart"/>
        <w:rPr>
          <w:snapToGrid w:val="0"/>
        </w:rPr>
      </w:pPr>
      <w:r>
        <w:rPr>
          <w:snapToGrid w:val="0"/>
        </w:rPr>
        <w:tab/>
        <w:t>Penalty:</w:t>
      </w:r>
      <w:r>
        <w:t xml:space="preserve"> a fine of</w:t>
      </w:r>
      <w:r>
        <w:rPr>
          <w:snapToGrid w:val="0"/>
        </w:rPr>
        <w:t xml:space="preserve"> $500.</w:t>
      </w:r>
    </w:p>
    <w:p>
      <w:pPr>
        <w:pStyle w:val="Footnotesection"/>
        <w:spacing w:before="100"/>
      </w:pPr>
      <w:r>
        <w:tab/>
        <w:t>[Regulation 108 amended in Gazette 29 Sep 2006 p. 4325; 3 Dec 2010 p. 6052</w:t>
      </w:r>
      <w:r>
        <w:noBreakHyphen/>
        <w:t>4.]</w:t>
      </w:r>
    </w:p>
    <w:p>
      <w:pPr>
        <w:pStyle w:val="Heading5"/>
        <w:spacing w:before="200"/>
        <w:rPr>
          <w:snapToGrid w:val="0"/>
        </w:rPr>
      </w:pPr>
      <w:bookmarkStart w:id="430" w:name="_Toc408498922"/>
      <w:bookmarkStart w:id="431" w:name="_Toc423343217"/>
      <w:r>
        <w:rPr>
          <w:rStyle w:val="CharSectno"/>
        </w:rPr>
        <w:t>109</w:t>
      </w:r>
      <w:r>
        <w:rPr>
          <w:snapToGrid w:val="0"/>
        </w:rPr>
        <w:t>.</w:t>
      </w:r>
      <w:r>
        <w:rPr>
          <w:snapToGrid w:val="0"/>
        </w:rPr>
        <w:tab/>
        <w:t>Production of licences etc.</w:t>
      </w:r>
      <w:bookmarkEnd w:id="430"/>
      <w:bookmarkEnd w:id="431"/>
      <w:r>
        <w:rPr>
          <w:snapToGrid w:val="0"/>
        </w:rPr>
        <w:t xml:space="preserve"> </w:t>
      </w:r>
    </w:p>
    <w:p>
      <w:pPr>
        <w:pStyle w:val="Subsection"/>
        <w:spacing w:before="140"/>
      </w:pPr>
      <w:r>
        <w:rPr>
          <w:snapToGrid w:val="0"/>
        </w:rPr>
        <w:tab/>
      </w:r>
      <w:r>
        <w:rPr>
          <w:snapToGrid w:val="0"/>
        </w:rPr>
        <w:tab/>
        <w:t xml:space="preserve">The holder of a licence, permit, written authorisation or pass issued under the Act or these regulations must, if requested by an authorised officer, produce the licence, permit, authorisation or pass for </w:t>
      </w:r>
      <w:r>
        <w:t xml:space="preserve">inspection — </w:t>
      </w:r>
    </w:p>
    <w:p>
      <w:pPr>
        <w:pStyle w:val="Indenta"/>
        <w:spacing w:before="60"/>
      </w:pPr>
      <w:r>
        <w:tab/>
        <w:t>(a)</w:t>
      </w:r>
      <w:r>
        <w:tab/>
        <w:t>if it is a condition of the licence, permit, authorisation or pass that the holder produce the licence, permit, authorisation or pass upon demand of an authorised officer — at the time of the request; or</w:t>
      </w:r>
    </w:p>
    <w:p>
      <w:pPr>
        <w:pStyle w:val="Indenta"/>
        <w:spacing w:before="60"/>
        <w:rPr>
          <w:snapToGrid w:val="0"/>
        </w:rPr>
      </w:pPr>
      <w:r>
        <w:tab/>
        <w:t>(b)</w:t>
      </w:r>
      <w:r>
        <w:tab/>
        <w:t>if paragraph (a) does not apply — as soon as is practicable.</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spacing w:before="100"/>
      </w:pPr>
      <w:r>
        <w:tab/>
        <w:t>[Regulation 109 amended in Gazette 29 Sep 2006 p. 4325; 3 Dec 2010 p. 6052</w:t>
      </w:r>
      <w:r>
        <w:noBreakHyphen/>
        <w:t>4; 19 Sep 2014 p. 3336.]</w:t>
      </w:r>
    </w:p>
    <w:p>
      <w:pPr>
        <w:pStyle w:val="Heading5"/>
        <w:rPr>
          <w:snapToGrid w:val="0"/>
        </w:rPr>
      </w:pPr>
      <w:bookmarkStart w:id="432" w:name="_Toc408498923"/>
      <w:bookmarkStart w:id="433" w:name="_Toc423343218"/>
      <w:r>
        <w:rPr>
          <w:rStyle w:val="CharSectno"/>
        </w:rPr>
        <w:t>110</w:t>
      </w:r>
      <w:r>
        <w:rPr>
          <w:snapToGrid w:val="0"/>
        </w:rPr>
        <w:t>.</w:t>
      </w:r>
      <w:r>
        <w:rPr>
          <w:snapToGrid w:val="0"/>
        </w:rPr>
        <w:tab/>
        <w:t>False or misleading information</w:t>
      </w:r>
      <w:bookmarkEnd w:id="432"/>
      <w:bookmarkEnd w:id="433"/>
      <w:r>
        <w:rPr>
          <w:snapToGrid w:val="0"/>
        </w:rPr>
        <w:t xml:space="preserve"> </w:t>
      </w:r>
    </w:p>
    <w:p>
      <w:pPr>
        <w:pStyle w:val="Subsection"/>
        <w:rPr>
          <w:snapToGrid w:val="0"/>
        </w:rPr>
      </w:pPr>
      <w:r>
        <w:rPr>
          <w:snapToGrid w:val="0"/>
        </w:rPr>
        <w:tab/>
      </w:r>
      <w:r>
        <w:rPr>
          <w:snapToGrid w:val="0"/>
        </w:rPr>
        <w:tab/>
        <w:t>A person must not, in relation to the holding of a lease, licence or permit or the payment of a fee, give information orally or in writing to an authorised officer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pPr>
      <w:r>
        <w:tab/>
        <w:t>[Regulation 110 amended in Gazette 3 Dec 2010 p. 6052</w:t>
      </w:r>
      <w:r>
        <w:noBreakHyphen/>
        <w:t>4; 19 Sep 2014 p. 3336.]</w:t>
      </w:r>
    </w:p>
    <w:p>
      <w:pPr>
        <w:pStyle w:val="Heading5"/>
        <w:rPr>
          <w:snapToGrid w:val="0"/>
        </w:rPr>
      </w:pPr>
      <w:bookmarkStart w:id="434" w:name="_Toc408498924"/>
      <w:bookmarkStart w:id="435" w:name="_Toc423343219"/>
      <w:r>
        <w:rPr>
          <w:rStyle w:val="CharSectno"/>
        </w:rPr>
        <w:t>111</w:t>
      </w:r>
      <w:r>
        <w:rPr>
          <w:snapToGrid w:val="0"/>
        </w:rPr>
        <w:t>.</w:t>
      </w:r>
      <w:r>
        <w:rPr>
          <w:snapToGrid w:val="0"/>
        </w:rPr>
        <w:tab/>
        <w:t>Signs — presumption</w:t>
      </w:r>
      <w:bookmarkEnd w:id="434"/>
      <w:bookmarkEnd w:id="435"/>
      <w:r>
        <w:rPr>
          <w:snapToGrid w:val="0"/>
        </w:rPr>
        <w:t xml:space="preserve"> </w:t>
      </w:r>
    </w:p>
    <w:p>
      <w:pPr>
        <w:pStyle w:val="Subsection"/>
        <w:rPr>
          <w:snapToGrid w:val="0"/>
        </w:rPr>
      </w:pPr>
      <w:r>
        <w:rPr>
          <w:snapToGrid w:val="0"/>
        </w:rPr>
        <w:tab/>
      </w:r>
      <w:r>
        <w:rPr>
          <w:snapToGrid w:val="0"/>
        </w:rPr>
        <w:tab/>
        <w:t xml:space="preserve">A sign on CALM land is to be taken to have been erected or made by the authority of the </w:t>
      </w:r>
      <w:r>
        <w:t xml:space="preserve">CEO </w:t>
      </w:r>
      <w:r>
        <w:rPr>
          <w:snapToGrid w:val="0"/>
        </w:rPr>
        <w:t>unless the contrary is shown.</w:t>
      </w:r>
    </w:p>
    <w:p>
      <w:pPr>
        <w:pStyle w:val="Footnotesection"/>
      </w:pPr>
      <w:r>
        <w:tab/>
        <w:t>[Regulation 111 amended in Gazette 29 Sep 2006 p. 4334.]</w:t>
      </w:r>
    </w:p>
    <w:p>
      <w:pPr>
        <w:pStyle w:val="Heading5"/>
      </w:pPr>
      <w:bookmarkStart w:id="436" w:name="_Toc408498925"/>
      <w:bookmarkStart w:id="437" w:name="_Toc423343220"/>
      <w:r>
        <w:rPr>
          <w:rStyle w:val="CharSectno"/>
        </w:rPr>
        <w:t>111A</w:t>
      </w:r>
      <w:r>
        <w:t>.</w:t>
      </w:r>
      <w:r>
        <w:tab/>
        <w:t>Reasons for decisions</w:t>
      </w:r>
      <w:bookmarkEnd w:id="436"/>
      <w:bookmarkEnd w:id="437"/>
    </w:p>
    <w:p>
      <w:pPr>
        <w:pStyle w:val="Subsection"/>
      </w:pPr>
      <w:r>
        <w:tab/>
        <w:t>(1)</w:t>
      </w:r>
      <w:r>
        <w:tab/>
        <w:t>A person aggrieved by a decision of the CEO under these regulations may apply to the CEO for reasons for the decision.</w:t>
      </w:r>
    </w:p>
    <w:p>
      <w:pPr>
        <w:pStyle w:val="Subsection"/>
      </w:pPr>
      <w:r>
        <w:tab/>
        <w:t>(2)</w:t>
      </w:r>
      <w:r>
        <w:tab/>
        <w:t>The CEO must give the reasons for the decision to the person.</w:t>
      </w:r>
    </w:p>
    <w:p>
      <w:pPr>
        <w:pStyle w:val="Footnotesection"/>
      </w:pPr>
      <w:r>
        <w:tab/>
        <w:t>[Regulation 111A inserted in Gazette 29 Sep 2006 p. 4326.]</w:t>
      </w:r>
    </w:p>
    <w:p>
      <w:pPr>
        <w:pStyle w:val="Heading5"/>
        <w:rPr>
          <w:snapToGrid w:val="0"/>
        </w:rPr>
      </w:pPr>
      <w:bookmarkStart w:id="438" w:name="_Toc408498926"/>
      <w:bookmarkStart w:id="439" w:name="_Toc423343221"/>
      <w:r>
        <w:rPr>
          <w:rStyle w:val="CharSectno"/>
        </w:rPr>
        <w:t>112</w:t>
      </w:r>
      <w:r>
        <w:rPr>
          <w:snapToGrid w:val="0"/>
        </w:rPr>
        <w:t>.</w:t>
      </w:r>
      <w:r>
        <w:rPr>
          <w:snapToGrid w:val="0"/>
        </w:rPr>
        <w:tab/>
        <w:t>Infringement notices</w:t>
      </w:r>
      <w:bookmarkEnd w:id="438"/>
      <w:bookmarkEnd w:id="439"/>
      <w:r>
        <w:rPr>
          <w:snapToGrid w:val="0"/>
        </w:rPr>
        <w:t xml:space="preserve"> </w:t>
      </w:r>
    </w:p>
    <w:p>
      <w:pPr>
        <w:pStyle w:val="Subsection"/>
        <w:rPr>
          <w:snapToGrid w:val="0"/>
        </w:rPr>
      </w:pPr>
      <w:r>
        <w:rPr>
          <w:snapToGrid w:val="0"/>
        </w:rPr>
        <w:tab/>
        <w:t>(1)</w:t>
      </w:r>
      <w:r>
        <w:rPr>
          <w:snapToGrid w:val="0"/>
        </w:rPr>
        <w:tab/>
        <w:t>The offences described in Schedule 2 columns 1 and 2 are prescribed offences for the purposes of section 114A of the Act.</w:t>
      </w:r>
    </w:p>
    <w:p>
      <w:pPr>
        <w:pStyle w:val="Subsection"/>
        <w:rPr>
          <w:snapToGrid w:val="0"/>
        </w:rPr>
      </w:pPr>
      <w:r>
        <w:rPr>
          <w:snapToGrid w:val="0"/>
        </w:rPr>
        <w:tab/>
        <w:t>(2)</w:t>
      </w:r>
      <w:r>
        <w:rPr>
          <w:snapToGrid w:val="0"/>
        </w:rPr>
        <w:tab/>
        <w:t>The penalties set out in Schedule 2 column 3 are prescribed modified penalties for the offence in columns 1 and 2 to which the penalties correspond, for the purposes of section 114A of the Act.</w:t>
      </w:r>
    </w:p>
    <w:p>
      <w:pPr>
        <w:pStyle w:val="Subsection"/>
        <w:rPr>
          <w:snapToGrid w:val="0"/>
        </w:rPr>
      </w:pPr>
      <w:r>
        <w:rPr>
          <w:snapToGrid w:val="0"/>
        </w:rPr>
        <w:tab/>
        <w:t>(3)</w:t>
      </w:r>
      <w:r>
        <w:rPr>
          <w:snapToGrid w:val="0"/>
        </w:rPr>
        <w:tab/>
        <w:t>Schedule 3 Form 1 is prescribed for the purposes of section 114A(1) of the Act.</w:t>
      </w:r>
    </w:p>
    <w:p>
      <w:pPr>
        <w:pStyle w:val="Subsection"/>
        <w:rPr>
          <w:snapToGrid w:val="0"/>
        </w:rPr>
      </w:pPr>
      <w:r>
        <w:rPr>
          <w:snapToGrid w:val="0"/>
        </w:rPr>
        <w:tab/>
        <w:t>(4)</w:t>
      </w:r>
      <w:r>
        <w:rPr>
          <w:snapToGrid w:val="0"/>
        </w:rPr>
        <w:tab/>
        <w:t>Schedule 3 Form 2 is prescribed for the purposes of section 114A(6) of the Act.</w:t>
      </w:r>
    </w:p>
    <w:p>
      <w:pPr>
        <w:pStyle w:val="Heading5"/>
        <w:rPr>
          <w:snapToGrid w:val="0"/>
        </w:rPr>
      </w:pPr>
      <w:bookmarkStart w:id="440" w:name="_Toc408498927"/>
      <w:bookmarkStart w:id="441" w:name="_Toc423343222"/>
      <w:r>
        <w:rPr>
          <w:rStyle w:val="CharSectno"/>
        </w:rPr>
        <w:t>113</w:t>
      </w:r>
      <w:r>
        <w:rPr>
          <w:snapToGrid w:val="0"/>
        </w:rPr>
        <w:t>.</w:t>
      </w:r>
      <w:r>
        <w:rPr>
          <w:snapToGrid w:val="0"/>
        </w:rPr>
        <w:tab/>
        <w:t>Evidence</w:t>
      </w:r>
      <w:bookmarkEnd w:id="440"/>
      <w:bookmarkEnd w:id="441"/>
      <w:r>
        <w:rPr>
          <w:snapToGrid w:val="0"/>
        </w:rPr>
        <w:t xml:space="preserve"> </w:t>
      </w:r>
    </w:p>
    <w:p>
      <w:pPr>
        <w:pStyle w:val="Subsection"/>
        <w:rPr>
          <w:snapToGrid w:val="0"/>
        </w:rPr>
      </w:pPr>
      <w:r>
        <w:rPr>
          <w:snapToGrid w:val="0"/>
        </w:rPr>
        <w:tab/>
      </w:r>
      <w:r>
        <w:rPr>
          <w:snapToGrid w:val="0"/>
        </w:rPr>
        <w:tab/>
        <w:t>In any prosecution under these regulations an averment in the complaint — </w:t>
      </w:r>
    </w:p>
    <w:p>
      <w:pPr>
        <w:pStyle w:val="Indenta"/>
        <w:rPr>
          <w:snapToGrid w:val="0"/>
        </w:rPr>
      </w:pPr>
      <w:r>
        <w:rPr>
          <w:snapToGrid w:val="0"/>
        </w:rPr>
        <w:tab/>
        <w:t>(a)</w:t>
      </w:r>
      <w:r>
        <w:rPr>
          <w:snapToGrid w:val="0"/>
        </w:rPr>
        <w:tab/>
        <w:t>that the place at or in respect of which a contravention of a regulation is alleged to have occurred was, or was within, a restricted area declared for the purpose of that regulation; or</w:t>
      </w:r>
    </w:p>
    <w:p>
      <w:pPr>
        <w:pStyle w:val="Indenta"/>
        <w:rPr>
          <w:snapToGrid w:val="0"/>
        </w:rPr>
      </w:pPr>
      <w:r>
        <w:rPr>
          <w:snapToGrid w:val="0"/>
        </w:rPr>
        <w:tab/>
        <w:t>(b)</w:t>
      </w:r>
      <w:r>
        <w:rPr>
          <w:snapToGrid w:val="0"/>
        </w:rPr>
        <w:tab/>
        <w:t>that the place at or in respect of which a contravention of a regulation is alleged to have occurred was, or was within, a designated area declared for the purpose of that regulation; or</w:t>
      </w:r>
    </w:p>
    <w:p>
      <w:pPr>
        <w:pStyle w:val="Indenta"/>
        <w:rPr>
          <w:snapToGrid w:val="0"/>
        </w:rPr>
      </w:pPr>
      <w:r>
        <w:rPr>
          <w:snapToGrid w:val="0"/>
        </w:rPr>
        <w:tab/>
        <w:t>(c)</w:t>
      </w:r>
      <w:r>
        <w:rPr>
          <w:snapToGrid w:val="0"/>
        </w:rPr>
        <w:tab/>
        <w:t>that an act or state of affairs occurred without lawful authority,</w:t>
      </w:r>
    </w:p>
    <w:p>
      <w:pPr>
        <w:pStyle w:val="Subsection"/>
        <w:rPr>
          <w:snapToGrid w:val="0"/>
        </w:rPr>
      </w:pPr>
      <w:r>
        <w:rPr>
          <w:snapToGrid w:val="0"/>
        </w:rPr>
        <w:tab/>
      </w:r>
      <w:r>
        <w:rPr>
          <w:snapToGrid w:val="0"/>
        </w:rPr>
        <w:tab/>
        <w:t>is taken to have been proved in the absence of evidence to the contrary.</w:t>
      </w:r>
    </w:p>
    <w:p>
      <w:pPr>
        <w:pStyle w:val="Heading2"/>
        <w:tabs>
          <w:tab w:val="left" w:pos="840"/>
        </w:tabs>
      </w:pPr>
      <w:bookmarkStart w:id="442" w:name="_Toc408498928"/>
      <w:bookmarkStart w:id="443" w:name="_Toc414889350"/>
      <w:bookmarkStart w:id="444" w:name="_Toc414975322"/>
      <w:bookmarkStart w:id="445" w:name="_Toc417563804"/>
      <w:bookmarkStart w:id="446" w:name="_Toc423340625"/>
      <w:bookmarkStart w:id="447" w:name="_Toc423343223"/>
      <w:r>
        <w:rPr>
          <w:rStyle w:val="CharPartNo"/>
        </w:rPr>
        <w:t>Part 10</w:t>
      </w:r>
      <w:r>
        <w:rPr>
          <w:rStyle w:val="CharDivNo"/>
        </w:rPr>
        <w:t> </w:t>
      </w:r>
      <w:r>
        <w:t>—</w:t>
      </w:r>
      <w:r>
        <w:rPr>
          <w:rStyle w:val="CharDivText"/>
        </w:rPr>
        <w:t> </w:t>
      </w:r>
      <w:r>
        <w:rPr>
          <w:rStyle w:val="CharPartText"/>
        </w:rPr>
        <w:t>Exclusion of operation of section 103A(3)</w:t>
      </w:r>
      <w:bookmarkEnd w:id="442"/>
      <w:bookmarkEnd w:id="443"/>
      <w:bookmarkEnd w:id="444"/>
      <w:bookmarkEnd w:id="445"/>
      <w:bookmarkEnd w:id="446"/>
      <w:bookmarkEnd w:id="447"/>
    </w:p>
    <w:p>
      <w:pPr>
        <w:pStyle w:val="Footnoteheading"/>
      </w:pPr>
      <w:r>
        <w:tab/>
        <w:t>[Heading inserted in Gazette 7 Dec 2012 p. 5966.]</w:t>
      </w:r>
    </w:p>
    <w:p>
      <w:pPr>
        <w:pStyle w:val="Heading5"/>
      </w:pPr>
      <w:bookmarkStart w:id="448" w:name="_Toc408498929"/>
      <w:bookmarkStart w:id="449" w:name="_Toc423343224"/>
      <w:r>
        <w:rPr>
          <w:rStyle w:val="CharSectno"/>
        </w:rPr>
        <w:t>114</w:t>
      </w:r>
      <w:r>
        <w:t>.</w:t>
      </w:r>
      <w:r>
        <w:tab/>
        <w:t>Terms used</w:t>
      </w:r>
      <w:bookmarkEnd w:id="448"/>
      <w:bookmarkEnd w:id="449"/>
    </w:p>
    <w:p>
      <w:pPr>
        <w:pStyle w:val="Subsection"/>
      </w:pPr>
      <w:r>
        <w:tab/>
      </w:r>
      <w:r>
        <w:tab/>
        <w:t xml:space="preserve">In this Part — </w:t>
      </w:r>
    </w:p>
    <w:p>
      <w:pPr>
        <w:pStyle w:val="Defstart"/>
      </w:pPr>
      <w:r>
        <w:tab/>
      </w:r>
      <w:r>
        <w:rPr>
          <w:rStyle w:val="CharDefText"/>
        </w:rPr>
        <w:t>recreational land</w:t>
      </w:r>
      <w:r>
        <w:t xml:space="preserve"> means CALM land that is, or is within 500 m of, any of the following —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Defstart"/>
      </w:pPr>
      <w:r>
        <w:tab/>
      </w:r>
      <w:r>
        <w:rPr>
          <w:rStyle w:val="CharDefText"/>
        </w:rPr>
        <w:t>townsite</w:t>
      </w:r>
      <w:r>
        <w:t xml:space="preserve"> has the meaning given in the </w:t>
      </w:r>
      <w:r>
        <w:rPr>
          <w:i/>
        </w:rPr>
        <w:t>Land Administration Act 1997</w:t>
      </w:r>
      <w:r>
        <w:t xml:space="preserve"> section 26(1);</w:t>
      </w:r>
    </w:p>
    <w:p>
      <w:pPr>
        <w:pStyle w:val="Defstart"/>
      </w:pPr>
      <w:r>
        <w:tab/>
      </w:r>
      <w:r>
        <w:rPr>
          <w:rStyle w:val="CharDefText"/>
        </w:rPr>
        <w:t>urban land</w:t>
      </w:r>
      <w:r>
        <w:t xml:space="preserve"> means land within the metropolitan region as defined in the </w:t>
      </w:r>
      <w:r>
        <w:rPr>
          <w:i/>
        </w:rPr>
        <w:t>Planning and Development Act 2005</w:t>
      </w:r>
      <w:r>
        <w:t xml:space="preserve"> section 4(1), the Peel Region described in Schedule 4 to that Act or the local government district of Bunbury;</w:t>
      </w:r>
    </w:p>
    <w:p>
      <w:pPr>
        <w:pStyle w:val="Defstart"/>
      </w:pPr>
      <w:r>
        <w:tab/>
      </w:r>
      <w:r>
        <w:rPr>
          <w:rStyle w:val="CharDefText"/>
        </w:rPr>
        <w:t>visitor area</w:t>
      </w:r>
      <w:r>
        <w:t xml:space="preserve"> includes any of the following — </w:t>
      </w:r>
    </w:p>
    <w:p>
      <w:pPr>
        <w:pStyle w:val="Defpara"/>
      </w:pPr>
      <w:r>
        <w:tab/>
        <w:t>(a)</w:t>
      </w:r>
      <w:r>
        <w:tab/>
        <w:t>an area of cultivated lawn;</w:t>
      </w:r>
    </w:p>
    <w:p>
      <w:pPr>
        <w:pStyle w:val="Defpara"/>
      </w:pPr>
      <w:r>
        <w:tab/>
        <w:t>(b)</w:t>
      </w:r>
      <w:r>
        <w:tab/>
        <w:t>an area signposted as a picnic area;</w:t>
      </w:r>
    </w:p>
    <w:p>
      <w:pPr>
        <w:pStyle w:val="Defpara"/>
      </w:pPr>
      <w:r>
        <w:tab/>
        <w:t>(c)</w:t>
      </w:r>
      <w:r>
        <w:tab/>
        <w:t>an area signposted as an historical, natural or cultural point of interest;</w:t>
      </w:r>
    </w:p>
    <w:p>
      <w:pPr>
        <w:pStyle w:val="Defpara"/>
      </w:pPr>
      <w:r>
        <w:tab/>
        <w:t>(d)</w:t>
      </w:r>
      <w:r>
        <w:tab/>
        <w:t xml:space="preserve">an area where any of the following have been provided for visitors — </w:t>
      </w:r>
    </w:p>
    <w:p>
      <w:pPr>
        <w:pStyle w:val="Indenti"/>
      </w:pPr>
      <w:r>
        <w:tab/>
        <w:t>(i)</w:t>
      </w:r>
      <w:r>
        <w:tab/>
        <w:t>tables and seating;</w:t>
      </w:r>
    </w:p>
    <w:p>
      <w:pPr>
        <w:pStyle w:val="Defsubpara"/>
      </w:pPr>
      <w:r>
        <w:tab/>
        <w:t>(ii)</w:t>
      </w:r>
      <w:r>
        <w:tab/>
        <w:t>a lookout or platform;</w:t>
      </w:r>
    </w:p>
    <w:p>
      <w:pPr>
        <w:pStyle w:val="Defsubpara"/>
      </w:pPr>
      <w:r>
        <w:tab/>
        <w:t>(iii)</w:t>
      </w:r>
      <w:r>
        <w:tab/>
        <w:t>a toilet facility;</w:t>
      </w:r>
    </w:p>
    <w:p>
      <w:pPr>
        <w:pStyle w:val="Defsubpara"/>
      </w:pPr>
      <w:r>
        <w:tab/>
        <w:t>(iv)</w:t>
      </w:r>
      <w:r>
        <w:tab/>
        <w:t>a rubbish bin;</w:t>
      </w:r>
    </w:p>
    <w:p>
      <w:pPr>
        <w:pStyle w:val="Defsubpara"/>
      </w:pPr>
      <w:r>
        <w:tab/>
        <w:t>(v)</w:t>
      </w:r>
      <w:r>
        <w:tab/>
        <w:t>interpretive information;</w:t>
      </w:r>
    </w:p>
    <w:p>
      <w:pPr>
        <w:pStyle w:val="Defsubpara"/>
      </w:pPr>
      <w:r>
        <w:tab/>
        <w:t>(vi)</w:t>
      </w:r>
      <w:r>
        <w:tab/>
        <w:t>any building, facility or other erected or constructed thing,</w:t>
      </w:r>
    </w:p>
    <w:p>
      <w:pPr>
        <w:pStyle w:val="Defpara"/>
      </w:pPr>
      <w:r>
        <w:tab/>
      </w:r>
      <w:r>
        <w:tab/>
        <w:t>but does not include a walk trail or unsealed road.</w:t>
      </w:r>
    </w:p>
    <w:p>
      <w:pPr>
        <w:pStyle w:val="Footnotesection"/>
      </w:pPr>
      <w:r>
        <w:tab/>
        <w:t>[Regulation 114 inserted in Gazette 7 Dec 2012 p. 5966-7.]</w:t>
      </w:r>
    </w:p>
    <w:p>
      <w:pPr>
        <w:pStyle w:val="Heading5"/>
      </w:pPr>
      <w:bookmarkStart w:id="450" w:name="_Toc408498930"/>
      <w:bookmarkStart w:id="451" w:name="_Toc423343225"/>
      <w:r>
        <w:rPr>
          <w:rStyle w:val="CharSectno"/>
        </w:rPr>
        <w:t>115</w:t>
      </w:r>
      <w:r>
        <w:t>.</w:t>
      </w:r>
      <w:r>
        <w:tab/>
        <w:t>Exclusion of operation of section 103A(3) of the Act: animals</w:t>
      </w:r>
      <w:bookmarkEnd w:id="450"/>
      <w:bookmarkEnd w:id="451"/>
    </w:p>
    <w:p>
      <w:pPr>
        <w:pStyle w:val="Subsection"/>
      </w:pPr>
      <w:r>
        <w:tab/>
        <w:t>(1)</w:t>
      </w:r>
      <w:r>
        <w:tab/>
        <w:t xml:space="preserve">In this regulation — </w:t>
      </w:r>
    </w:p>
    <w:p>
      <w:pPr>
        <w:pStyle w:val="Defstart"/>
      </w:pPr>
      <w:r>
        <w:tab/>
      </w:r>
      <w:r>
        <w:rPr>
          <w:rStyle w:val="CharDefText"/>
        </w:rPr>
        <w:t>poison risk area</w:t>
      </w:r>
      <w:r>
        <w:t xml:space="preserve"> means an area shown on a poison risk map in which poison baits to control vertebrates may be present;</w:t>
      </w:r>
    </w:p>
    <w:p>
      <w:pPr>
        <w:pStyle w:val="Defstart"/>
      </w:pPr>
      <w:r>
        <w:tab/>
      </w:r>
      <w:r>
        <w:rPr>
          <w:rStyle w:val="CharDefText"/>
        </w:rPr>
        <w:t>poison risk map</w:t>
      </w:r>
      <w:r>
        <w:t xml:space="preserve"> means a map produced by the Department that — </w:t>
      </w:r>
    </w:p>
    <w:p>
      <w:pPr>
        <w:pStyle w:val="Defpara"/>
      </w:pPr>
      <w:r>
        <w:tab/>
        <w:t>(a)</w:t>
      </w:r>
      <w:r>
        <w:tab/>
        <w:t>shows poison risk areas; and</w:t>
      </w:r>
    </w:p>
    <w:p>
      <w:pPr>
        <w:pStyle w:val="Defpara"/>
      </w:pPr>
      <w:r>
        <w:tab/>
        <w:t>(b)</w:t>
      </w:r>
      <w:r>
        <w:tab/>
        <w:t>is available for inspection by the public during normal office hours at each district office of the Department nearest to a poison risk area.</w:t>
      </w:r>
    </w:p>
    <w:p>
      <w:pPr>
        <w:pStyle w:val="Subsection"/>
      </w:pPr>
      <w:r>
        <w:tab/>
        <w:t>(2)</w:t>
      </w:r>
      <w:r>
        <w:tab/>
        <w:t xml:space="preserve">The operation of section 103A(3) of the Act is excluded in relation to bringing an animal on to CALM land contrary to regulation 15(a) if — </w:t>
      </w:r>
    </w:p>
    <w:p>
      <w:pPr>
        <w:pStyle w:val="Indenta"/>
      </w:pPr>
      <w:r>
        <w:tab/>
        <w:t>(a)</w:t>
      </w:r>
      <w:r>
        <w:tab/>
        <w:t>the animal is brought on to the land without the written permission of the CEO; and</w:t>
      </w:r>
    </w:p>
    <w:p>
      <w:pPr>
        <w:pStyle w:val="Indenta"/>
      </w:pPr>
      <w:r>
        <w:tab/>
        <w:t>(b)</w:t>
      </w:r>
      <w:r>
        <w:tab/>
        <w:t>the land is in a poison risk area.</w:t>
      </w:r>
    </w:p>
    <w:p>
      <w:pPr>
        <w:pStyle w:val="Subsection"/>
      </w:pPr>
      <w:r>
        <w:tab/>
        <w:t>(3)</w:t>
      </w:r>
      <w:r>
        <w:tab/>
        <w:t xml:space="preserve">The operation of section 103A(3) of the Act is excluded in relation to bringing an animal on to CALM land contrary to regulation 15(a) if — </w:t>
      </w:r>
    </w:p>
    <w:p>
      <w:pPr>
        <w:pStyle w:val="Indenta"/>
        <w:spacing w:before="70"/>
      </w:pPr>
      <w:r>
        <w:tab/>
        <w:t>(a)</w:t>
      </w:r>
      <w:r>
        <w:tab/>
        <w:t>the animal is brought on to the land without the written permission of the CEO; and</w:t>
      </w:r>
    </w:p>
    <w:p>
      <w:pPr>
        <w:pStyle w:val="Indenta"/>
        <w:spacing w:before="70"/>
      </w:pPr>
      <w:r>
        <w:tab/>
        <w:t>(b)</w:t>
      </w:r>
      <w:r>
        <w:tab/>
        <w:t>the animal is not kept in a vehicle while on the land; and</w:t>
      </w:r>
    </w:p>
    <w:p>
      <w:pPr>
        <w:pStyle w:val="Indenta"/>
        <w:spacing w:before="70"/>
      </w:pPr>
      <w:r>
        <w:tab/>
        <w:t>(c)</w:t>
      </w:r>
      <w:r>
        <w:tab/>
        <w:t xml:space="preserve">the land is — </w:t>
      </w:r>
    </w:p>
    <w:p>
      <w:pPr>
        <w:pStyle w:val="Indenti"/>
        <w:spacing w:before="70"/>
      </w:pPr>
      <w:r>
        <w:tab/>
        <w:t>(i)</w:t>
      </w:r>
      <w:r>
        <w:tab/>
        <w:t>recreational land or urban land; or</w:t>
      </w:r>
    </w:p>
    <w:p>
      <w:pPr>
        <w:pStyle w:val="Indenti"/>
        <w:spacing w:before="70"/>
      </w:pPr>
      <w:r>
        <w:tab/>
        <w:t>(ii)</w:t>
      </w:r>
      <w:r>
        <w:tab/>
        <w:t>in a townsite; or</w:t>
      </w:r>
    </w:p>
    <w:p>
      <w:pPr>
        <w:pStyle w:val="Indenti"/>
        <w:spacing w:before="70"/>
      </w:pPr>
      <w:r>
        <w:tab/>
        <w:t>(iii)</w:t>
      </w:r>
      <w:r>
        <w:tab/>
        <w:t xml:space="preserve">in Tunnel Creek National Park (Reserve No. 26890), </w:t>
      </w:r>
      <w:smartTag w:uri="urn:schemas-microsoft-com:office:smarttags" w:element="place">
        <w:smartTag w:uri="urn:schemas-microsoft-com:office:smarttags" w:element="PlaceName">
          <w:r>
            <w:t>Geikie</w:t>
          </w:r>
        </w:smartTag>
        <w:r>
          <w:t xml:space="preserve"> </w:t>
        </w:r>
        <w:smartTag w:uri="urn:schemas-microsoft-com:office:smarttags" w:element="PlaceName">
          <w:r>
            <w:t>Gorge</w:t>
          </w:r>
        </w:smartTag>
        <w:r>
          <w:t xml:space="preserve"> </w:t>
        </w:r>
        <w:smartTag w:uri="urn:schemas-microsoft-com:office:smarttags" w:element="PlaceType">
          <w:r>
            <w:t>National Park</w:t>
          </w:r>
        </w:smartTag>
      </w:smartTag>
      <w:r>
        <w:t xml:space="preserve"> (Reserve No. 28401), or Marlgu Billabong and Telegraph Hill in Parry Lagoons Nature Reserve (Reserve No. 42155).</w:t>
      </w:r>
    </w:p>
    <w:p>
      <w:pPr>
        <w:pStyle w:val="Footnotesection"/>
      </w:pPr>
      <w:r>
        <w:tab/>
        <w:t>[Regulation 115 inserted in Gazette 7 Dec 2012 p. 5967-8.]</w:t>
      </w:r>
    </w:p>
    <w:p>
      <w:pPr>
        <w:pStyle w:val="Heading5"/>
      </w:pPr>
      <w:bookmarkStart w:id="452" w:name="_Toc408498931"/>
      <w:bookmarkStart w:id="453" w:name="_Toc423343226"/>
      <w:r>
        <w:rPr>
          <w:rStyle w:val="CharSectno"/>
        </w:rPr>
        <w:t>116</w:t>
      </w:r>
      <w:r>
        <w:t>.</w:t>
      </w:r>
      <w:r>
        <w:tab/>
        <w:t>Exclusion of operation of section 103A(3) of the Act: vehicles</w:t>
      </w:r>
      <w:bookmarkEnd w:id="452"/>
      <w:bookmarkEnd w:id="453"/>
    </w:p>
    <w:p>
      <w:pPr>
        <w:pStyle w:val="Subsection"/>
      </w:pPr>
      <w:r>
        <w:tab/>
        <w:t>(1)</w:t>
      </w:r>
      <w:r>
        <w:tab/>
        <w:t xml:space="preserve">The operation of section 103A(3) of the Act is excluded in relation to driving or riding a vehicle contrary to regulation 51(1) if the vehicle is driven or ridden without the written permission of the CEO — </w:t>
      </w:r>
    </w:p>
    <w:p>
      <w:pPr>
        <w:pStyle w:val="Indenta"/>
      </w:pPr>
      <w:r>
        <w:tab/>
        <w:t>(a)</w:t>
      </w:r>
      <w:r>
        <w:tab/>
        <w:t>on recreational land or urban land; or</w:t>
      </w:r>
    </w:p>
    <w:p>
      <w:pPr>
        <w:pStyle w:val="Indenta"/>
      </w:pPr>
      <w:r>
        <w:tab/>
        <w:t>(b)</w:t>
      </w:r>
      <w:r>
        <w:tab/>
        <w:t>in a townsite; or</w:t>
      </w:r>
    </w:p>
    <w:p>
      <w:pPr>
        <w:pStyle w:val="Indenta"/>
      </w:pPr>
      <w:r>
        <w:tab/>
        <w:t>(c)</w:t>
      </w:r>
      <w:r>
        <w:tab/>
        <w:t xml:space="preserve">in Boonanaring Nature Reserve (Reserve No. 41805), Drummond Nature Reserve (Reserve No. 42808) or </w:t>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Subsection"/>
      </w:pPr>
      <w:r>
        <w:tab/>
        <w:t>(2)</w:t>
      </w:r>
      <w:r>
        <w:tab/>
        <w:t>The operation of section 103A(3) of the Act is excluded in relation to driving or riding a vehicle contrary to regulation 51(3)(a) if the vehicle is so driven or ridden without the written permission of the CEO.</w:t>
      </w:r>
    </w:p>
    <w:p>
      <w:pPr>
        <w:pStyle w:val="Footnotesection"/>
      </w:pPr>
      <w:r>
        <w:tab/>
        <w:t>[Regulation 116 inserted in Gazette 7 Dec 2012 p. 5968.]</w:t>
      </w:r>
    </w:p>
    <w:p>
      <w:pPr>
        <w:pStyle w:val="Heading5"/>
      </w:pPr>
      <w:bookmarkStart w:id="454" w:name="_Toc408498932"/>
      <w:bookmarkStart w:id="455" w:name="_Toc423343227"/>
      <w:r>
        <w:rPr>
          <w:rStyle w:val="CharSectno"/>
        </w:rPr>
        <w:t>117</w:t>
      </w:r>
      <w:r>
        <w:t>.</w:t>
      </w:r>
      <w:r>
        <w:tab/>
        <w:t>Exclusion of operation of section 103A(3) of the Act: vessel</w:t>
      </w:r>
      <w:bookmarkEnd w:id="454"/>
      <w:bookmarkEnd w:id="455"/>
    </w:p>
    <w:p>
      <w:pPr>
        <w:pStyle w:val="Subsection"/>
      </w:pPr>
      <w:r>
        <w:tab/>
      </w:r>
      <w:r>
        <w:tab/>
        <w:t>The operation of section 103A(3) of the Act is excluded in relation to navigating a vessel contrary to regulation 61(a) or 64(1)(c) or (2)(c) if the vessel is so navigated without the written permission of the CEO.</w:t>
      </w:r>
    </w:p>
    <w:p>
      <w:pPr>
        <w:pStyle w:val="Footnotesection"/>
      </w:pPr>
      <w:r>
        <w:tab/>
        <w:t>[Regulation 117 inserted in Gazette 7 Dec 2012 p. 5968.]</w:t>
      </w:r>
    </w:p>
    <w:p>
      <w:pPr>
        <w:pStyle w:val="Heading5"/>
      </w:pPr>
      <w:bookmarkStart w:id="456" w:name="_Toc408498933"/>
      <w:bookmarkStart w:id="457" w:name="_Toc423343228"/>
      <w:r>
        <w:rPr>
          <w:rStyle w:val="CharSectno"/>
        </w:rPr>
        <w:t>118</w:t>
      </w:r>
      <w:r>
        <w:t>.</w:t>
      </w:r>
      <w:r>
        <w:tab/>
        <w:t>Exclusion of operation of section 103A(3) of the Act: fire</w:t>
      </w:r>
      <w:bookmarkEnd w:id="456"/>
      <w:bookmarkEnd w:id="457"/>
    </w:p>
    <w:p>
      <w:pPr>
        <w:pStyle w:val="Subsection"/>
      </w:pPr>
      <w:r>
        <w:tab/>
        <w:t>(1)</w:t>
      </w:r>
      <w:r>
        <w:tab/>
        <w:t xml:space="preserve">The operation of section 103A(3) of the Act is excluded in relation to lighting or kindling a fire contrary to section 104(1) of the Act or regulation 39(2) if the fire is lit or kindled without the written permission of the CEO on or in any of the following — </w:t>
      </w:r>
    </w:p>
    <w:p>
      <w:pPr>
        <w:pStyle w:val="Indenta"/>
        <w:spacing w:before="60"/>
      </w:pPr>
      <w:r>
        <w:tab/>
        <w:t>(a)</w:t>
      </w:r>
      <w:r>
        <w:tab/>
        <w:t>recreational land;</w:t>
      </w:r>
    </w:p>
    <w:p>
      <w:pPr>
        <w:pStyle w:val="Indenta"/>
        <w:spacing w:before="60"/>
      </w:pPr>
      <w:r>
        <w:tab/>
        <w:t>(b)</w:t>
      </w:r>
      <w:r>
        <w:tab/>
        <w:t>a townsite;</w:t>
      </w:r>
    </w:p>
    <w:p>
      <w:pPr>
        <w:pStyle w:val="Indenta"/>
        <w:spacing w:before="60"/>
      </w:pPr>
      <w:r>
        <w:tab/>
        <w:t>(c)</w:t>
      </w:r>
      <w:r>
        <w:tab/>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Indenta"/>
        <w:spacing w:before="60"/>
      </w:pPr>
      <w:r>
        <w:tab/>
        <w:t>(d)</w:t>
      </w:r>
      <w:r>
        <w:tab/>
        <w:t>urban land.</w:t>
      </w:r>
    </w:p>
    <w:p>
      <w:pPr>
        <w:pStyle w:val="Subsection"/>
      </w:pPr>
      <w:r>
        <w:tab/>
        <w:t>(2)</w:t>
      </w:r>
      <w:r>
        <w:tab/>
        <w:t xml:space="preserve">In subregulation (1)(d) — </w:t>
      </w:r>
    </w:p>
    <w:p>
      <w:pPr>
        <w:pStyle w:val="Defstart"/>
      </w:pPr>
      <w:r>
        <w:tab/>
      </w:r>
      <w:r>
        <w:rPr>
          <w:rStyle w:val="CharDefText"/>
        </w:rPr>
        <w:t>urban land</w:t>
      </w:r>
      <w:r>
        <w:t xml:space="preserve"> does not include land in — </w:t>
      </w:r>
    </w:p>
    <w:p>
      <w:pPr>
        <w:pStyle w:val="Defpara"/>
        <w:spacing w:before="60"/>
      </w:pPr>
      <w:r>
        <w:tab/>
        <w:t>(a)</w:t>
      </w:r>
      <w:r>
        <w:tab/>
      </w: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r>
          <w:t xml:space="preserve"> </w:t>
        </w:r>
        <w:smartTag w:uri="urn:schemas-microsoft-com:office:smarttags" w:element="PlaceType">
          <w:r>
            <w:t>National Park</w:t>
          </w:r>
        </w:smartTag>
      </w:smartTag>
      <w:r>
        <w:t xml:space="preserve"> (Reserve No. 30192);</w:t>
      </w:r>
    </w:p>
    <w:p>
      <w:pPr>
        <w:pStyle w:val="Defpara"/>
        <w:spacing w:before="60"/>
      </w:pPr>
      <w:r>
        <w:tab/>
        <w:t>(b)</w:t>
      </w:r>
      <w:r>
        <w:tab/>
      </w:r>
      <w:smartTag w:uri="urn:schemas-microsoft-com:office:smarttags" w:element="PlaceName">
        <w:r>
          <w:t>Dwellingup</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14);</w:t>
      </w:r>
    </w:p>
    <w:p>
      <w:pPr>
        <w:pStyle w:val="Defpara"/>
        <w:spacing w:before="60"/>
      </w:pPr>
      <w:r>
        <w:tab/>
        <w:t>(c)</w:t>
      </w:r>
      <w:r>
        <w:tab/>
        <w:t>Lane Poole Reserve (Reserve No. 39827);</w:t>
      </w:r>
    </w:p>
    <w:p>
      <w:pPr>
        <w:pStyle w:val="Defpara"/>
        <w:spacing w:before="60"/>
      </w:pPr>
      <w:r>
        <w:tab/>
        <w:t>(d)</w:t>
      </w:r>
      <w:r>
        <w:tab/>
      </w:r>
      <w:smartTag w:uri="urn:schemas-microsoft-com:office:smarttags" w:element="PlaceName">
        <w:r>
          <w:t>Jarrahdale</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22);</w:t>
      </w:r>
    </w:p>
    <w:p>
      <w:pPr>
        <w:pStyle w:val="Defpara"/>
        <w:spacing w:before="60"/>
      </w:pPr>
      <w:r>
        <w:tab/>
        <w:t>(e)</w:t>
      </w:r>
      <w:r>
        <w:tab/>
      </w:r>
      <w:smartTag w:uri="urn:schemas-microsoft-com:office:smarttags" w:element="PlaceName">
        <w:r>
          <w:t>Moore</w:t>
        </w:r>
      </w:smartTag>
      <w:r>
        <w:t xml:space="preserve"> </w:t>
      </w:r>
      <w:smartTag w:uri="urn:schemas-microsoft-com:office:smarttags" w:element="PlaceType">
        <w:r>
          <w:t>River</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xml:space="preserve"> 65);</w:t>
      </w:r>
    </w:p>
    <w:p>
      <w:pPr>
        <w:pStyle w:val="Defpara"/>
        <w:spacing w:before="60"/>
      </w:pPr>
      <w:r>
        <w:tab/>
        <w:t>(f)</w:t>
      </w:r>
      <w:r>
        <w:tab/>
      </w:r>
      <w:smartTag w:uri="urn:schemas-microsoft-com:office:smarttags" w:element="place">
        <w:smartTag w:uri="urn:schemas-microsoft-com:office:smarttags" w:element="PlaceName">
          <w:r>
            <w:t>Walyunga</w:t>
          </w:r>
        </w:smartTag>
        <w:r>
          <w:t xml:space="preserve"> </w:t>
        </w:r>
        <w:smartTag w:uri="urn:schemas-microsoft-com:office:smarttags" w:element="PlaceType">
          <w:r>
            <w:t>National Park</w:t>
          </w:r>
        </w:smartTag>
      </w:smartTag>
      <w:r>
        <w:t xml:space="preserve"> (Reserve No. 2065).</w:t>
      </w:r>
    </w:p>
    <w:p>
      <w:pPr>
        <w:pStyle w:val="Subsection"/>
      </w:pPr>
      <w:r>
        <w:tab/>
        <w:t>(3)</w:t>
      </w:r>
      <w:r>
        <w:tab/>
        <w:t xml:space="preserve">The operation of section 103A(3) of the Act is excluded in relation to lighting or kindling a fire contrary to section 104(1) of the Act or regulation 39(2) on land, defined in section 102(1) of the Act as </w:t>
      </w:r>
      <w:r>
        <w:rPr>
          <w:b/>
          <w:i/>
        </w:rPr>
        <w:t>land to which this Part applies</w:t>
      </w:r>
      <w:r>
        <w:t xml:space="preserve">, other than land referred to in subregulation (1), unless it is lit or kindled — </w:t>
      </w:r>
    </w:p>
    <w:p>
      <w:pPr>
        <w:pStyle w:val="Indenta"/>
        <w:spacing w:before="60"/>
      </w:pPr>
      <w:r>
        <w:tab/>
        <w:t>(a)</w:t>
      </w:r>
      <w:r>
        <w:tab/>
        <w:t>for the purpose of cooking food; or</w:t>
      </w:r>
    </w:p>
    <w:p>
      <w:pPr>
        <w:pStyle w:val="Indenta"/>
        <w:spacing w:before="60"/>
      </w:pPr>
      <w:r>
        <w:tab/>
        <w:t>(b)</w:t>
      </w:r>
      <w:r>
        <w:tab/>
        <w:t>for the purpose of a camp fire; or</w:t>
      </w:r>
    </w:p>
    <w:p>
      <w:pPr>
        <w:pStyle w:val="Indenta"/>
        <w:spacing w:before="60"/>
      </w:pPr>
      <w:r>
        <w:tab/>
        <w:t>(c)</w:t>
      </w:r>
      <w:r>
        <w:tab/>
        <w:t>for the purpose of a ceremonial activity, such as a smoking ceremony, during which activity the fire is confined to an area of less than 1 m</w:t>
      </w:r>
      <w:r>
        <w:rPr>
          <w:vertAlign w:val="superscript"/>
        </w:rPr>
        <w:t>2</w:t>
      </w:r>
      <w:r>
        <w:t>; or</w:t>
      </w:r>
    </w:p>
    <w:p>
      <w:pPr>
        <w:pStyle w:val="Indenta"/>
        <w:spacing w:before="60"/>
      </w:pPr>
      <w:r>
        <w:tab/>
        <w:t>(d)</w:t>
      </w:r>
      <w:r>
        <w:tab/>
        <w:t>for an Aboriginal customary purpose, other than a purpose referred to in paragraph (a), (b) or (c), with the written permission of the CEO.</w:t>
      </w:r>
    </w:p>
    <w:p>
      <w:pPr>
        <w:pStyle w:val="Subsection"/>
      </w:pPr>
      <w:r>
        <w:tab/>
        <w:t>(4)</w:t>
      </w:r>
      <w:r>
        <w:tab/>
        <w:t>The operation of section 103A(3) of the Act is excluded in relation to lighting or kindling a fire contrary to regulation 39(1)(b) if the fire is lit or kindled without the written permission of the CEO.</w:t>
      </w:r>
    </w:p>
    <w:p>
      <w:pPr>
        <w:pStyle w:val="Footnotesection"/>
      </w:pPr>
      <w:r>
        <w:tab/>
        <w:t>[Regulation 118 inserted in Gazette 7 Dec 2012 p. 5968-9.]</w:t>
      </w:r>
    </w:p>
    <w:p>
      <w:pPr>
        <w:pStyle w:val="Heading5"/>
      </w:pPr>
      <w:bookmarkStart w:id="458" w:name="_Toc408498934"/>
      <w:bookmarkStart w:id="459" w:name="_Toc423343229"/>
      <w:r>
        <w:rPr>
          <w:rStyle w:val="CharSectno"/>
        </w:rPr>
        <w:t>119</w:t>
      </w:r>
      <w:r>
        <w:t>.</w:t>
      </w:r>
      <w:r>
        <w:tab/>
        <w:t>Exclusion of operation of section 103A(3) of the Act: camping</w:t>
      </w:r>
      <w:bookmarkEnd w:id="458"/>
      <w:bookmarkEnd w:id="459"/>
    </w:p>
    <w:p>
      <w:pPr>
        <w:pStyle w:val="Subsection"/>
      </w:pPr>
      <w:r>
        <w:tab/>
        <w:t>(1)</w:t>
      </w:r>
      <w:r>
        <w:tab/>
        <w:t xml:space="preserve">The operation of section 103A(3) of the Act is excluded in relation to a person camping temporarily on CALM land contrary to regulation 66(1) if the person camps on the land — </w:t>
      </w:r>
    </w:p>
    <w:p>
      <w:pPr>
        <w:pStyle w:val="Indenta"/>
      </w:pPr>
      <w:r>
        <w:tab/>
        <w:t>(a)</w:t>
      </w:r>
      <w:r>
        <w:tab/>
        <w:t>without the written permission of the CEO; and</w:t>
      </w:r>
    </w:p>
    <w:p>
      <w:pPr>
        <w:pStyle w:val="Indenta"/>
      </w:pPr>
      <w:r>
        <w:tab/>
        <w:t>(b)</w:t>
      </w:r>
      <w:r>
        <w:tab/>
        <w:t>for more than 28 consecutive days, unless it is necessary to camp on the land for a longer period (not exceeding 84 consecutive days) for ceremonial purposes.</w:t>
      </w:r>
    </w:p>
    <w:p>
      <w:pPr>
        <w:pStyle w:val="Subsection"/>
      </w:pPr>
      <w:r>
        <w:tab/>
        <w:t>(2)</w:t>
      </w:r>
      <w:r>
        <w:tab/>
        <w:t xml:space="preserve">The operation of section 103A(3) of the Act is excluded in relation to a person camping temporarily on CALM land contrary to regulation 66(1) if the person camps on the land without the written permission of the CEO and the land is — </w:t>
      </w:r>
    </w:p>
    <w:p>
      <w:pPr>
        <w:pStyle w:val="Indenta"/>
      </w:pPr>
      <w:r>
        <w:tab/>
        <w:t>(a)</w:t>
      </w:r>
      <w:r>
        <w:tab/>
        <w:t>recreational land; or</w:t>
      </w:r>
    </w:p>
    <w:p>
      <w:pPr>
        <w:pStyle w:val="Indenta"/>
      </w:pPr>
      <w:r>
        <w:tab/>
        <w:t>(b)</w:t>
      </w:r>
      <w:r>
        <w:tab/>
        <w:t xml:space="preserve">in one of the following — </w:t>
      </w:r>
    </w:p>
    <w:p>
      <w:pPr>
        <w:pStyle w:val="Indenti"/>
      </w:pPr>
      <w:r>
        <w:tab/>
        <w:t>(i)</w:t>
      </w:r>
      <w:r>
        <w:tab/>
        <w:t>a townsite;</w:t>
      </w:r>
    </w:p>
    <w:p>
      <w:pPr>
        <w:pStyle w:val="Indenti"/>
      </w:pPr>
      <w:r>
        <w:tab/>
        <w:t>(ii)</w:t>
      </w:r>
      <w:r>
        <w:tab/>
        <w:t>Boonanaring Nature Reserve (Reserve No. 41805);</w:t>
      </w:r>
    </w:p>
    <w:p>
      <w:pPr>
        <w:pStyle w:val="Indenti"/>
      </w:pPr>
      <w:r>
        <w:tab/>
        <w:t>(iii)</w:t>
      </w:r>
      <w:r>
        <w:tab/>
        <w:t>Drummond Nature Reserve (Reserve No. 42808);</w:t>
      </w:r>
    </w:p>
    <w:p>
      <w:pPr>
        <w:pStyle w:val="Indenti"/>
      </w:pPr>
      <w:r>
        <w:tab/>
        <w:t>(iv)</w:t>
      </w:r>
      <w:r>
        <w:tab/>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Indenti"/>
      </w:pPr>
      <w:r>
        <w:tab/>
        <w:t>(v)</w:t>
      </w:r>
      <w:r>
        <w:tab/>
      </w:r>
      <w:smartTag w:uri="urn:schemas-microsoft-com:office:smarttags" w:element="place">
        <w:smartTag w:uri="urn:schemas-microsoft-com:office:smarttags" w:element="PlaceName">
          <w:r>
            <w:t>Tunnel</w:t>
          </w:r>
        </w:smartTag>
        <w:r>
          <w:t xml:space="preserve"> </w:t>
        </w:r>
        <w:smartTag w:uri="urn:schemas-microsoft-com:office:smarttags" w:element="PlaceType">
          <w:r>
            <w:t>Creek</w:t>
          </w:r>
        </w:smartTag>
        <w:r>
          <w:t xml:space="preserve"> </w:t>
        </w:r>
        <w:smartTag w:uri="urn:schemas-microsoft-com:office:smarttags" w:element="PlaceType">
          <w:r>
            <w:t>National Park</w:t>
          </w:r>
        </w:smartTag>
      </w:smartTag>
      <w:r>
        <w:t>;</w:t>
      </w:r>
    </w:p>
    <w:p>
      <w:pPr>
        <w:pStyle w:val="Indenta"/>
      </w:pPr>
      <w:r>
        <w:tab/>
      </w:r>
      <w:r>
        <w:tab/>
        <w:t>or</w:t>
      </w:r>
    </w:p>
    <w:p>
      <w:pPr>
        <w:pStyle w:val="Indenta"/>
      </w:pPr>
      <w:r>
        <w:tab/>
        <w:t>(c)</w:t>
      </w:r>
      <w:r>
        <w:tab/>
        <w:t>urban land.</w:t>
      </w:r>
    </w:p>
    <w:p>
      <w:pPr>
        <w:pStyle w:val="Subsection"/>
        <w:keepNext/>
      </w:pPr>
      <w:r>
        <w:tab/>
        <w:t>(3)</w:t>
      </w:r>
      <w:r>
        <w:tab/>
        <w:t xml:space="preserve">In subregulation (2)(c) — </w:t>
      </w:r>
    </w:p>
    <w:p>
      <w:pPr>
        <w:pStyle w:val="Defstart"/>
        <w:keepNext/>
      </w:pPr>
      <w:r>
        <w:tab/>
      </w:r>
      <w:r>
        <w:rPr>
          <w:rStyle w:val="CharDefText"/>
        </w:rPr>
        <w:t>urban land</w:t>
      </w:r>
      <w:r>
        <w:t xml:space="preserve"> does not include land in — </w:t>
      </w:r>
    </w:p>
    <w:p>
      <w:pPr>
        <w:pStyle w:val="Defpara"/>
      </w:pPr>
      <w:r>
        <w:tab/>
        <w:t>(a)</w:t>
      </w:r>
      <w:r>
        <w:tab/>
      </w: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r>
          <w:t xml:space="preserve"> </w:t>
        </w:r>
        <w:smartTag w:uri="urn:schemas-microsoft-com:office:smarttags" w:element="PlaceType">
          <w:r>
            <w:t>National Park</w:t>
          </w:r>
        </w:smartTag>
      </w:smartTag>
      <w:r>
        <w:t xml:space="preserve"> (Reserve No. 30192);</w:t>
      </w:r>
    </w:p>
    <w:p>
      <w:pPr>
        <w:pStyle w:val="Defpara"/>
      </w:pPr>
      <w:r>
        <w:tab/>
        <w:t>(b)</w:t>
      </w:r>
      <w:r>
        <w:tab/>
      </w:r>
      <w:smartTag w:uri="urn:schemas-microsoft-com:office:smarttags" w:element="PlaceName">
        <w:r>
          <w:t>Dwellingup</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14);</w:t>
      </w:r>
    </w:p>
    <w:p>
      <w:pPr>
        <w:pStyle w:val="Defpara"/>
      </w:pPr>
      <w:r>
        <w:tab/>
        <w:t>(c)</w:t>
      </w:r>
      <w:r>
        <w:tab/>
        <w:t>Lane Poole Reserve (Reserve No. 39827);</w:t>
      </w:r>
    </w:p>
    <w:p>
      <w:pPr>
        <w:pStyle w:val="Defpara"/>
      </w:pPr>
      <w:r>
        <w:tab/>
        <w:t>(d)</w:t>
      </w:r>
      <w:r>
        <w:tab/>
      </w:r>
      <w:smartTag w:uri="urn:schemas-microsoft-com:office:smarttags" w:element="PlaceName">
        <w:r>
          <w:t>Jarrahdale</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22);</w:t>
      </w:r>
    </w:p>
    <w:p>
      <w:pPr>
        <w:pStyle w:val="Defpara"/>
      </w:pPr>
      <w:r>
        <w:tab/>
        <w:t>(e)</w:t>
      </w:r>
      <w:r>
        <w:tab/>
      </w:r>
      <w:smartTag w:uri="urn:schemas-microsoft-com:office:smarttags" w:element="PlaceName">
        <w:r>
          <w:t>Moore</w:t>
        </w:r>
      </w:smartTag>
      <w:r>
        <w:t xml:space="preserve"> </w:t>
      </w:r>
      <w:smartTag w:uri="urn:schemas-microsoft-com:office:smarttags" w:element="PlaceType">
        <w:r>
          <w:t>River</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xml:space="preserve"> 65);</w:t>
      </w:r>
    </w:p>
    <w:p>
      <w:pPr>
        <w:pStyle w:val="Defpara"/>
      </w:pPr>
      <w:r>
        <w:tab/>
        <w:t>(f)</w:t>
      </w:r>
      <w:r>
        <w:tab/>
      </w:r>
      <w:smartTag w:uri="urn:schemas-microsoft-com:office:smarttags" w:element="place">
        <w:smartTag w:uri="urn:schemas-microsoft-com:office:smarttags" w:element="PlaceName">
          <w:r>
            <w:t>Walyunga</w:t>
          </w:r>
        </w:smartTag>
        <w:r>
          <w:t xml:space="preserve"> </w:t>
        </w:r>
        <w:smartTag w:uri="urn:schemas-microsoft-com:office:smarttags" w:element="PlaceType">
          <w:r>
            <w:t>National Park</w:t>
          </w:r>
        </w:smartTag>
      </w:smartTag>
      <w:r>
        <w:t xml:space="preserve"> (Reserve No. 2065).</w:t>
      </w:r>
    </w:p>
    <w:p>
      <w:pPr>
        <w:pStyle w:val="Footnotesection"/>
      </w:pPr>
      <w:r>
        <w:tab/>
        <w:t>[Regulation 119 inserted in Gazette 7 Dec 2012 p. 5969-70.]</w:t>
      </w:r>
    </w:p>
    <w:p>
      <w:pPr>
        <w:pStyle w:val="Heading5"/>
      </w:pPr>
      <w:bookmarkStart w:id="460" w:name="_Toc408498935"/>
      <w:bookmarkStart w:id="461" w:name="_Toc423343230"/>
      <w:r>
        <w:rPr>
          <w:rStyle w:val="CharSectno"/>
        </w:rPr>
        <w:t>120</w:t>
      </w:r>
      <w:r>
        <w:t>.</w:t>
      </w:r>
      <w:r>
        <w:tab/>
        <w:t>Exclusion of operation of section 103A(3) of the Act: entering land</w:t>
      </w:r>
      <w:bookmarkEnd w:id="460"/>
      <w:bookmarkEnd w:id="461"/>
    </w:p>
    <w:p>
      <w:pPr>
        <w:pStyle w:val="Subsection"/>
      </w:pPr>
      <w:r>
        <w:tab/>
        <w:t>(1)</w:t>
      </w:r>
      <w:r>
        <w:tab/>
        <w:t>The operation of section 103A(3) of the Act is excluded in relation to entering land contrary to regulation 41(a), (b) and (c), 42 or 43 if the entry is made without the written permission of the CEO.</w:t>
      </w:r>
    </w:p>
    <w:p>
      <w:pPr>
        <w:pStyle w:val="Subsection"/>
      </w:pPr>
      <w:r>
        <w:tab/>
        <w:t>(2)</w:t>
      </w:r>
      <w:r>
        <w:tab/>
        <w:t>The operation of section 103A(3) of the Act is excluded in relation to entering land contrary to regulation 46(1) or 48 if the entry is made without the written permission of the CEO.</w:t>
      </w:r>
    </w:p>
    <w:p>
      <w:pPr>
        <w:pStyle w:val="Footnotesection"/>
      </w:pPr>
      <w:r>
        <w:tab/>
        <w:t>[Regulation 120 inserted in Gazette 7 Dec 2012 p. 5970.]</w:t>
      </w:r>
    </w:p>
    <w:p>
      <w:pPr>
        <w:pStyle w:val="Heading5"/>
      </w:pPr>
      <w:bookmarkStart w:id="462" w:name="_Toc408498936"/>
      <w:bookmarkStart w:id="463" w:name="_Toc423343231"/>
      <w:r>
        <w:rPr>
          <w:rStyle w:val="CharSectno"/>
        </w:rPr>
        <w:t>121</w:t>
      </w:r>
      <w:r>
        <w:t>.</w:t>
      </w:r>
      <w:r>
        <w:tab/>
        <w:t>Exclusion of operation of section 103A(3) of the Act: protected thing</w:t>
      </w:r>
      <w:bookmarkEnd w:id="462"/>
      <w:bookmarkEnd w:id="463"/>
    </w:p>
    <w:p>
      <w:pPr>
        <w:pStyle w:val="Subsection"/>
      </w:pPr>
      <w:r>
        <w:tab/>
        <w:t>(1)</w:t>
      </w:r>
      <w:r>
        <w:tab/>
        <w:t xml:space="preserve">In this regulation — </w:t>
      </w:r>
    </w:p>
    <w:p>
      <w:pPr>
        <w:pStyle w:val="Defstart"/>
      </w:pPr>
      <w:r>
        <w:tab/>
      </w:r>
      <w:r>
        <w:rPr>
          <w:rStyle w:val="CharDefText"/>
        </w:rPr>
        <w:t>category A firearm</w:t>
      </w:r>
      <w:r>
        <w:t xml:space="preserve"> means a firearm of category A under the </w:t>
      </w:r>
      <w:r>
        <w:rPr>
          <w:i/>
        </w:rPr>
        <w:t>Firearms Regulations 1974</w:t>
      </w:r>
      <w:r>
        <w:t xml:space="preserve"> regulation 6A(1);</w:t>
      </w:r>
    </w:p>
    <w:p>
      <w:pPr>
        <w:pStyle w:val="Defstart"/>
      </w:pPr>
      <w:r>
        <w:tab/>
      </w:r>
      <w:r>
        <w:rPr>
          <w:rStyle w:val="CharDefText"/>
        </w:rPr>
        <w:t>category B firearm</w:t>
      </w:r>
      <w:r>
        <w:t xml:space="preserve"> means a firearm of category B under the </w:t>
      </w:r>
      <w:r>
        <w:rPr>
          <w:i/>
        </w:rPr>
        <w:t>Firearms Regulations 1974</w:t>
      </w:r>
      <w:r>
        <w:t xml:space="preserve"> regulation 6A(1);</w:t>
      </w:r>
    </w:p>
    <w:p>
      <w:pPr>
        <w:pStyle w:val="Defstart"/>
      </w:pPr>
      <w:r>
        <w:tab/>
      </w:r>
      <w:r>
        <w:rPr>
          <w:rStyle w:val="CharDefText"/>
        </w:rPr>
        <w:t>fish</w:t>
      </w:r>
      <w:r>
        <w:t xml:space="preserve"> has the meaning given in the </w:t>
      </w:r>
      <w:r>
        <w:rPr>
          <w:i/>
        </w:rPr>
        <w:t>Fish Resources Management Act 1994</w:t>
      </w:r>
      <w:r>
        <w:t xml:space="preserve"> section 4(1);</w:t>
      </w:r>
    </w:p>
    <w:p>
      <w:pPr>
        <w:pStyle w:val="Defstart"/>
      </w:pPr>
      <w:r>
        <w:tab/>
      </w:r>
      <w:r>
        <w:rPr>
          <w:rStyle w:val="CharDefText"/>
        </w:rPr>
        <w:t>relevant area</w:t>
      </w:r>
      <w:r>
        <w:t xml:space="preserve"> means any of the following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Subsection"/>
      </w:pPr>
      <w:r>
        <w:tab/>
        <w:t>(2)</w:t>
      </w:r>
      <w:r>
        <w:tab/>
        <w:t xml:space="preserve">Subject to subregulation (3), the operation of section 103A(3) of the Act is excluded in relation to — </w:t>
      </w:r>
    </w:p>
    <w:p>
      <w:pPr>
        <w:pStyle w:val="Indenta"/>
      </w:pPr>
      <w:r>
        <w:tab/>
        <w:t>(a)</w:t>
      </w:r>
      <w:r>
        <w:tab/>
        <w:t>taking fauna that is fish contrary to section 101C of the Act; and</w:t>
      </w:r>
    </w:p>
    <w:p>
      <w:pPr>
        <w:pStyle w:val="Indenta"/>
      </w:pPr>
      <w:r>
        <w:tab/>
        <w:t>(b)</w:t>
      </w:r>
      <w:r>
        <w:tab/>
        <w:t>taking flora or fauna other than fish contrary to section 101C of the Act if the flora or fauna is taken in a marine nature reserve or any land or water in a marine park classified as a sanctuary area.</w:t>
      </w:r>
    </w:p>
    <w:p>
      <w:pPr>
        <w:pStyle w:val="Subsection"/>
        <w:spacing w:before="140"/>
      </w:pPr>
      <w:r>
        <w:tab/>
        <w:t>(3)</w:t>
      </w:r>
      <w:r>
        <w:tab/>
        <w:t xml:space="preserve">Subregulation (2)(a) does not apply in relation to fish taken in accordance with the </w:t>
      </w:r>
      <w:r>
        <w:rPr>
          <w:i/>
        </w:rPr>
        <w:t>Fish Resources Management Act 1994</w:t>
      </w:r>
      <w:r>
        <w:t>.</w:t>
      </w:r>
    </w:p>
    <w:p>
      <w:pPr>
        <w:pStyle w:val="Subsection"/>
        <w:spacing w:before="140"/>
      </w:pPr>
      <w:r>
        <w:tab/>
        <w:t>(4)</w:t>
      </w:r>
      <w:r>
        <w:tab/>
        <w:t>The operation of section 103A(3) of the Act is excluded in relation to removing firewood contrary to section 103(1) of the Act if the firewood is removed without the written permission of the CEO.</w:t>
      </w:r>
    </w:p>
    <w:p>
      <w:pPr>
        <w:pStyle w:val="Subsection"/>
      </w:pPr>
      <w:r>
        <w:tab/>
        <w:t>(5A)</w:t>
      </w:r>
      <w:r>
        <w:tab/>
        <w:t>The operation of section 103A(3) of the Act is excluded in relation to taking fauna contrary to regulation 8(1) if the fauna is taken with a firearm other than a category A firearm or a category B firearm.</w:t>
      </w:r>
    </w:p>
    <w:p>
      <w:pPr>
        <w:pStyle w:val="Subsection"/>
        <w:spacing w:before="140"/>
      </w:pPr>
      <w:r>
        <w:tab/>
        <w:t>(5)</w:t>
      </w:r>
      <w:r>
        <w:tab/>
        <w:t xml:space="preserve">The operation of section 103A(3) of the Act is excluded in relation to taking fauna contrary to regulation 8(1) if the fauna is taken — </w:t>
      </w:r>
    </w:p>
    <w:p>
      <w:pPr>
        <w:pStyle w:val="Indenta"/>
        <w:spacing w:before="60"/>
      </w:pPr>
      <w:r>
        <w:tab/>
        <w:t>(a)</w:t>
      </w:r>
      <w:r>
        <w:tab/>
        <w:t>without the written permission of the CEO; and</w:t>
      </w:r>
    </w:p>
    <w:p>
      <w:pPr>
        <w:pStyle w:val="Indenta"/>
        <w:spacing w:before="60"/>
      </w:pPr>
      <w:r>
        <w:tab/>
        <w:t>(b)</w:t>
      </w:r>
      <w:r>
        <w:tab/>
        <w:t>on urban land or in a townsite.</w:t>
      </w:r>
    </w:p>
    <w:p>
      <w:pPr>
        <w:pStyle w:val="Subsection"/>
      </w:pPr>
      <w:r>
        <w:tab/>
        <w:t>(6A)</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land that is a relevant area or — </w:t>
      </w:r>
    </w:p>
    <w:p>
      <w:pPr>
        <w:pStyle w:val="Indenti"/>
      </w:pPr>
      <w:r>
        <w:tab/>
        <w:t>(i)</w:t>
      </w:r>
      <w:r>
        <w:tab/>
        <w:t>if the fauna is taken with a category A firearm — within 1.5 km of a relevant area; or</w:t>
      </w:r>
    </w:p>
    <w:p>
      <w:pPr>
        <w:pStyle w:val="Indenti"/>
      </w:pPr>
      <w:r>
        <w:tab/>
        <w:t>(ii)</w:t>
      </w:r>
      <w:r>
        <w:tab/>
        <w:t>if the fauna is taken with a category B firearm — within 3 km of a relevant area.</w:t>
      </w:r>
    </w:p>
    <w:p>
      <w:pPr>
        <w:pStyle w:val="Subsection"/>
      </w:pPr>
      <w:r>
        <w:tab/>
        <w:t>(6B)</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Subsection"/>
        <w:spacing w:before="140"/>
      </w:pPr>
      <w:r>
        <w:tab/>
        <w:t>(6)</w:t>
      </w:r>
      <w:r>
        <w:tab/>
        <w:t xml:space="preserve">The operation of section 103A(3) of the Act is excluded in relation to taking flora contrary to regulation 8(1) if the flora is taken — </w:t>
      </w:r>
    </w:p>
    <w:p>
      <w:pPr>
        <w:pStyle w:val="Indenta"/>
        <w:spacing w:before="60"/>
      </w:pPr>
      <w:r>
        <w:tab/>
        <w:t>(a)</w:t>
      </w:r>
      <w:r>
        <w:tab/>
        <w:t>without the written permission of the CEO; and</w:t>
      </w:r>
    </w:p>
    <w:p>
      <w:pPr>
        <w:pStyle w:val="Indenta"/>
        <w:spacing w:before="60"/>
      </w:pPr>
      <w:r>
        <w:tab/>
        <w:t>(b)</w:t>
      </w:r>
      <w:r>
        <w:tab/>
        <w:t>on recreational land, urban land or in a townsite.</w:t>
      </w:r>
    </w:p>
    <w:p>
      <w:pPr>
        <w:pStyle w:val="Subsection"/>
      </w:pPr>
      <w:r>
        <w:tab/>
        <w:t>(7A)</w:t>
      </w:r>
      <w:r>
        <w:tab/>
        <w:t>The operation of section 103A(3) of the Act is excluded in relation to taking a non</w:t>
      </w:r>
      <w:r>
        <w:noBreakHyphen/>
        <w:t>indigenous animal contrary to regulation 18 if the animal is taken with a firearm other than a category A firearm or a category B firearm.</w:t>
      </w:r>
    </w:p>
    <w:p>
      <w:pPr>
        <w:pStyle w:val="Subsection"/>
        <w:spacing w:before="130"/>
      </w:pPr>
      <w:r>
        <w:tab/>
        <w:t>(7)</w:t>
      </w:r>
      <w:r>
        <w:tab/>
        <w:t>The operation of section 103A(3) of the Act is excluded in relation to taking a non</w:t>
      </w:r>
      <w:r>
        <w:noBreakHyphen/>
        <w:t xml:space="preserve">indigenous animal contrary to regulation 18 if the animal is taken — </w:t>
      </w:r>
    </w:p>
    <w:p>
      <w:pPr>
        <w:pStyle w:val="Indenta"/>
        <w:spacing w:before="60"/>
      </w:pPr>
      <w:r>
        <w:tab/>
        <w:t>(a)</w:t>
      </w:r>
      <w:r>
        <w:tab/>
        <w:t>without the written permission of the CEO; and</w:t>
      </w:r>
    </w:p>
    <w:p>
      <w:pPr>
        <w:pStyle w:val="Indenta"/>
        <w:keepNext/>
        <w:spacing w:before="60"/>
      </w:pPr>
      <w:r>
        <w:tab/>
        <w:t>(b)</w:t>
      </w:r>
      <w:r>
        <w:tab/>
        <w:t>on urban land or in a townsite.</w:t>
      </w:r>
    </w:p>
    <w:p>
      <w:pPr>
        <w:pStyle w:val="Subsection"/>
      </w:pPr>
      <w:r>
        <w:tab/>
        <w:t>(8)</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land that is a relevant area or — </w:t>
      </w:r>
    </w:p>
    <w:p>
      <w:pPr>
        <w:pStyle w:val="Indenti"/>
      </w:pPr>
      <w:r>
        <w:tab/>
        <w:t>(i)</w:t>
      </w:r>
      <w:r>
        <w:tab/>
        <w:t>if the animal is taken with a category A firearm — within 1.5 km of a relevant area; or</w:t>
      </w:r>
    </w:p>
    <w:p>
      <w:pPr>
        <w:pStyle w:val="Indenti"/>
      </w:pPr>
      <w:r>
        <w:tab/>
        <w:t>(ii)</w:t>
      </w:r>
      <w:r>
        <w:tab/>
        <w:t>if the animal is taken with a category B firearm — within 3 km of a relevant area.</w:t>
      </w:r>
    </w:p>
    <w:p>
      <w:pPr>
        <w:pStyle w:val="Subsection"/>
      </w:pPr>
      <w:r>
        <w:tab/>
        <w:t>(9)</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Footnotesection"/>
        <w:spacing w:before="100"/>
      </w:pPr>
      <w:r>
        <w:tab/>
        <w:t>[Regulation 121 inserted in Gazette 7 Dec 2012 p. 5970-1; amended in Gazette 19 Sep 2014 p. 3331</w:t>
      </w:r>
      <w:r>
        <w:noBreakHyphen/>
        <w:t>3.]</w:t>
      </w:r>
    </w:p>
    <w:p>
      <w:pPr>
        <w:pStyle w:val="Heading5"/>
        <w:spacing w:before="200"/>
      </w:pPr>
      <w:bookmarkStart w:id="464" w:name="_Toc408498937"/>
      <w:bookmarkStart w:id="465" w:name="_Toc423343232"/>
      <w:r>
        <w:rPr>
          <w:rStyle w:val="CharSectno"/>
        </w:rPr>
        <w:t>122</w:t>
      </w:r>
      <w:r>
        <w:t>.</w:t>
      </w:r>
      <w:r>
        <w:tab/>
        <w:t>Permission of CEO</w:t>
      </w:r>
      <w:bookmarkEnd w:id="464"/>
      <w:bookmarkEnd w:id="465"/>
    </w:p>
    <w:p>
      <w:pPr>
        <w:pStyle w:val="Subsection"/>
        <w:spacing w:before="130"/>
      </w:pPr>
      <w:r>
        <w:tab/>
        <w:t>(1)</w:t>
      </w:r>
      <w:r>
        <w:tab/>
        <w:t xml:space="preserve">When giving written permission for the purpose of regulations 115 to 121, the CEO is to specify in the permission — </w:t>
      </w:r>
    </w:p>
    <w:p>
      <w:pPr>
        <w:pStyle w:val="Indenta"/>
        <w:spacing w:before="60"/>
      </w:pPr>
      <w:r>
        <w:tab/>
        <w:t>(a)</w:t>
      </w:r>
      <w:r>
        <w:tab/>
        <w:t>the person or persons or group, body or association of persons to whom the permission applies; and</w:t>
      </w:r>
    </w:p>
    <w:p>
      <w:pPr>
        <w:pStyle w:val="Indenta"/>
        <w:spacing w:before="60"/>
      </w:pPr>
      <w:r>
        <w:tab/>
        <w:t>(b)</w:t>
      </w:r>
      <w:r>
        <w:tab/>
        <w:t>the conditions, if any, subject to which the permission is given.</w:t>
      </w:r>
    </w:p>
    <w:p>
      <w:pPr>
        <w:pStyle w:val="Subsection"/>
        <w:spacing w:before="104"/>
      </w:pPr>
      <w:r>
        <w:tab/>
        <w:t>(2)</w:t>
      </w:r>
      <w:r>
        <w:tab/>
        <w:t xml:space="preserve">The permission has effect — </w:t>
      </w:r>
    </w:p>
    <w:p>
      <w:pPr>
        <w:pStyle w:val="Indenta"/>
        <w:spacing w:before="56"/>
      </w:pPr>
      <w:r>
        <w:tab/>
        <w:t>(a)</w:t>
      </w:r>
      <w:r>
        <w:tab/>
        <w:t>for the period of effect specified in the permission, unless sooner revoked by the CEO under regulation 123(2); or</w:t>
      </w:r>
    </w:p>
    <w:p>
      <w:pPr>
        <w:pStyle w:val="Indenta"/>
        <w:spacing w:before="56"/>
      </w:pPr>
      <w:r>
        <w:tab/>
        <w:t>(b)</w:t>
      </w:r>
      <w:r>
        <w:tab/>
        <w:t>if no period of effect is specified in the permission, until it is revoked by the CEO under regulation 123(2).</w:t>
      </w:r>
    </w:p>
    <w:p>
      <w:pPr>
        <w:pStyle w:val="Subsection"/>
        <w:spacing w:before="104"/>
      </w:pPr>
      <w:r>
        <w:tab/>
        <w:t>(3)</w:t>
      </w:r>
      <w:r>
        <w:tab/>
        <w:t xml:space="preserve">The permission has no effect — </w:t>
      </w:r>
    </w:p>
    <w:p>
      <w:pPr>
        <w:pStyle w:val="Indenta"/>
        <w:spacing w:before="56"/>
      </w:pPr>
      <w:r>
        <w:tab/>
        <w:t>(a)</w:t>
      </w:r>
      <w:r>
        <w:tab/>
        <w:t>in respect of any person to whom the permission applies who does not observe or perform a condition; and</w:t>
      </w:r>
    </w:p>
    <w:p>
      <w:pPr>
        <w:pStyle w:val="Indenta"/>
        <w:spacing w:before="56"/>
      </w:pPr>
      <w:r>
        <w:tab/>
        <w:t>(b)</w:t>
      </w:r>
      <w:r>
        <w:tab/>
        <w:t>during any period in which the condition is not observed or performed by that person.</w:t>
      </w:r>
    </w:p>
    <w:p>
      <w:pPr>
        <w:pStyle w:val="Footnotesection"/>
        <w:spacing w:before="70"/>
      </w:pPr>
      <w:r>
        <w:tab/>
        <w:t>[Regulation 122 inserted in Gazette 7 Dec 2012 p. 5971-2.]</w:t>
      </w:r>
    </w:p>
    <w:p>
      <w:pPr>
        <w:pStyle w:val="Heading5"/>
        <w:spacing w:before="170"/>
      </w:pPr>
      <w:bookmarkStart w:id="466" w:name="_Toc408498938"/>
      <w:bookmarkStart w:id="467" w:name="_Toc423343233"/>
      <w:r>
        <w:rPr>
          <w:rStyle w:val="CharSectno"/>
        </w:rPr>
        <w:t>123</w:t>
      </w:r>
      <w:r>
        <w:t>.</w:t>
      </w:r>
      <w:r>
        <w:tab/>
        <w:t>Variation and revocation of permission</w:t>
      </w:r>
      <w:bookmarkEnd w:id="466"/>
      <w:bookmarkEnd w:id="467"/>
    </w:p>
    <w:p>
      <w:pPr>
        <w:pStyle w:val="Subsection"/>
        <w:spacing w:before="104"/>
      </w:pPr>
      <w:r>
        <w:tab/>
        <w:t>(1)</w:t>
      </w:r>
      <w:r>
        <w:tab/>
        <w:t xml:space="preserve">If written permission for the purpose of regulations 115 to 121 (the </w:t>
      </w:r>
      <w:r>
        <w:rPr>
          <w:rStyle w:val="CharDefText"/>
        </w:rPr>
        <w:t>permission</w:t>
      </w:r>
      <w:r>
        <w:t xml:space="preserve">) is given subject to conditions, those conditions may be added to, cancelled, suspended or otherwise varied by written notice given by the CEO to the person or persons or group, body or association of persons to whom the permission applies (the </w:t>
      </w:r>
      <w:r>
        <w:rPr>
          <w:rStyle w:val="CharDefText"/>
        </w:rPr>
        <w:t>permission holder</w:t>
      </w:r>
      <w:r>
        <w:t>).</w:t>
      </w:r>
    </w:p>
    <w:p>
      <w:pPr>
        <w:pStyle w:val="Subsection"/>
        <w:spacing w:before="104"/>
      </w:pPr>
      <w:r>
        <w:tab/>
        <w:t>(2)</w:t>
      </w:r>
      <w:r>
        <w:tab/>
        <w:t>The CEO may at any time revoke the permission by written notice given to the permission holder.</w:t>
      </w:r>
    </w:p>
    <w:p>
      <w:pPr>
        <w:pStyle w:val="Subsection"/>
        <w:spacing w:before="104"/>
      </w:pPr>
      <w:r>
        <w:tab/>
        <w:t>(3)</w:t>
      </w:r>
      <w:r>
        <w:tab/>
        <w:t>If the CEO proposes to revoke the permission under subregulation (2), the CEO is to give the permission holder written notice of the proposal and the CEO’s reasons for the proposal.</w:t>
      </w:r>
    </w:p>
    <w:p>
      <w:pPr>
        <w:pStyle w:val="Subsection"/>
        <w:spacing w:before="104"/>
      </w:pPr>
      <w:r>
        <w:tab/>
        <w:t>(4)</w:t>
      </w:r>
      <w:r>
        <w:tab/>
        <w:t>The notice is to state that the permission holder may make written representations to the CEO concerning the proposal within 21 days after the notice is given.</w:t>
      </w:r>
    </w:p>
    <w:p>
      <w:pPr>
        <w:pStyle w:val="Subsection"/>
        <w:spacing w:before="104"/>
      </w:pPr>
      <w:r>
        <w:tab/>
        <w:t>(5)</w:t>
      </w:r>
      <w:r>
        <w:tab/>
        <w:t>The CEO is not to give effect to the proposal without considering any representations received within that period.</w:t>
      </w:r>
    </w:p>
    <w:p>
      <w:pPr>
        <w:pStyle w:val="Footnotesection"/>
        <w:spacing w:before="70"/>
      </w:pPr>
      <w:r>
        <w:tab/>
        <w:t>[Regulation 123 inserted in Gazette 7 Dec 2012 p. 5972.]</w:t>
      </w:r>
    </w:p>
    <w:p>
      <w:pPr>
        <w:sectPr>
          <w:headerReference w:type="even" r:id="rId22"/>
          <w:headerReference w:type="default" r:id="rId23"/>
          <w:footerReference w:type="even" r:id="rId24"/>
          <w:foot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468" w:name="_Toc408498939"/>
      <w:bookmarkStart w:id="469" w:name="_Toc414889361"/>
      <w:bookmarkStart w:id="470" w:name="_Toc414975333"/>
      <w:bookmarkStart w:id="471" w:name="_Toc417563815"/>
      <w:bookmarkStart w:id="472" w:name="_Toc423340636"/>
      <w:bookmarkStart w:id="473" w:name="_Toc423343234"/>
      <w:r>
        <w:rPr>
          <w:rStyle w:val="CharSchNo"/>
        </w:rPr>
        <w:t>Schedule 1</w:t>
      </w:r>
      <w:r>
        <w:t xml:space="preserve"> — </w:t>
      </w:r>
      <w:r>
        <w:rPr>
          <w:rStyle w:val="CharSchText"/>
        </w:rPr>
        <w:t>Fees</w:t>
      </w:r>
      <w:bookmarkEnd w:id="468"/>
      <w:bookmarkEnd w:id="469"/>
      <w:bookmarkEnd w:id="470"/>
      <w:bookmarkEnd w:id="471"/>
      <w:bookmarkEnd w:id="472"/>
      <w:bookmarkEnd w:id="473"/>
    </w:p>
    <w:p>
      <w:pPr>
        <w:pStyle w:val="yShoulderClause"/>
        <w:ind w:left="3544"/>
      </w:pPr>
      <w:r>
        <w:t>[r. 49, 83, 92, 97, 98C, 99, 99A, 99C, 100, 100A, 101, 102, 102A and 103]</w:t>
      </w:r>
    </w:p>
    <w:p>
      <w:pPr>
        <w:pStyle w:val="yFootnoteheading"/>
        <w:spacing w:before="160"/>
      </w:pPr>
      <w:r>
        <w:tab/>
        <w:t>[Heading amended in Gazette 29 Sep 2006 p. 4326; 3 Sep 2010 p. 4283; 3 Dec 2010 p. 6051.]</w:t>
      </w:r>
    </w:p>
    <w:p>
      <w:pPr>
        <w:pStyle w:val="yHeading3"/>
        <w:rPr>
          <w:snapToGrid w:val="0"/>
        </w:rPr>
      </w:pPr>
      <w:bookmarkStart w:id="474" w:name="_Toc408498940"/>
      <w:bookmarkStart w:id="475" w:name="_Toc414889362"/>
      <w:bookmarkStart w:id="476" w:name="_Toc414975334"/>
      <w:bookmarkStart w:id="477" w:name="_Toc417563816"/>
      <w:bookmarkStart w:id="478" w:name="_Toc423340637"/>
      <w:bookmarkStart w:id="479" w:name="_Toc423343235"/>
      <w:r>
        <w:rPr>
          <w:rStyle w:val="CharSDivNo"/>
        </w:rPr>
        <w:t>Division 1</w:t>
      </w:r>
      <w:r>
        <w:rPr>
          <w:snapToGrid w:val="0"/>
        </w:rPr>
        <w:t> — </w:t>
      </w:r>
      <w:r>
        <w:rPr>
          <w:rStyle w:val="CharSDivText"/>
        </w:rPr>
        <w:t>Daily entrance fees where an entrance fee is charged</w:t>
      </w:r>
      <w:bookmarkEnd w:id="474"/>
      <w:bookmarkEnd w:id="475"/>
      <w:bookmarkEnd w:id="476"/>
      <w:bookmarkEnd w:id="477"/>
      <w:bookmarkEnd w:id="478"/>
      <w:bookmarkEnd w:id="479"/>
    </w:p>
    <w:p>
      <w:pPr>
        <w:pStyle w:val="yFootnoteheading"/>
        <w:keepNext/>
        <w:keepLines/>
        <w:spacing w:after="60"/>
        <w:rPr>
          <w:snapToGrid w:val="0"/>
        </w:rPr>
      </w:pPr>
      <w:r>
        <w:tab/>
        <w:t>[Heading inserted in Gazette 27 Sep 2013 p. 4525.]</w:t>
      </w:r>
    </w:p>
    <w:tbl>
      <w:tblPr>
        <w:tblW w:w="0" w:type="auto"/>
        <w:tblInd w:w="227" w:type="dxa"/>
        <w:tblLayout w:type="fixed"/>
        <w:tblCellMar>
          <w:left w:w="85" w:type="dxa"/>
          <w:right w:w="85" w:type="dxa"/>
        </w:tblCellMar>
        <w:tblLook w:val="0000" w:firstRow="0" w:lastRow="0" w:firstColumn="0" w:lastColumn="0" w:noHBand="0" w:noVBand="0"/>
      </w:tblPr>
      <w:tblGrid>
        <w:gridCol w:w="709"/>
        <w:gridCol w:w="5269"/>
        <w:gridCol w:w="968"/>
      </w:tblGrid>
      <w:tr>
        <w:trPr>
          <w:cantSplit/>
          <w:tblHeader/>
        </w:trPr>
        <w:tc>
          <w:tcPr>
            <w:tcW w:w="709" w:type="dxa"/>
          </w:tcPr>
          <w:p>
            <w:pPr>
              <w:pStyle w:val="zyTableNAm"/>
            </w:pPr>
          </w:p>
        </w:tc>
        <w:tc>
          <w:tcPr>
            <w:tcW w:w="5269" w:type="dxa"/>
          </w:tcPr>
          <w:p>
            <w:pPr>
              <w:pStyle w:val="zyTableNAm"/>
            </w:pPr>
          </w:p>
        </w:tc>
        <w:tc>
          <w:tcPr>
            <w:tcW w:w="968" w:type="dxa"/>
          </w:tcPr>
          <w:p>
            <w:pPr>
              <w:pStyle w:val="yTableNAm"/>
              <w:jc w:val="center"/>
            </w:pPr>
            <w:r>
              <w:rPr>
                <w:b/>
              </w:rPr>
              <w:t>$</w:t>
            </w:r>
          </w:p>
        </w:tc>
      </w:tr>
      <w:tr>
        <w:trPr>
          <w:cantSplit/>
        </w:trPr>
        <w:tc>
          <w:tcPr>
            <w:tcW w:w="709" w:type="dxa"/>
          </w:tcPr>
          <w:p>
            <w:pPr>
              <w:pStyle w:val="yTableNAm"/>
            </w:pPr>
            <w:r>
              <w:t>1.</w:t>
            </w:r>
          </w:p>
        </w:tc>
        <w:tc>
          <w:tcPr>
            <w:tcW w:w="5269" w:type="dxa"/>
          </w:tcPr>
          <w:p>
            <w:pPr>
              <w:pStyle w:val="yTableNAm"/>
              <w:ind w:left="198" w:hanging="198"/>
            </w:pPr>
            <w:r>
              <w:t>*Daily entrance fee for non</w:t>
            </w:r>
            <w:r>
              <w:noBreakHyphen/>
              <w:t>tour motor vehicle that is a motorcycle</w:t>
            </w:r>
          </w:p>
        </w:tc>
        <w:tc>
          <w:tcPr>
            <w:tcW w:w="968" w:type="dxa"/>
            <w:vAlign w:val="bottom"/>
          </w:tcPr>
          <w:p>
            <w:pPr>
              <w:pStyle w:val="yTableNAm"/>
              <w:jc w:val="center"/>
            </w:pPr>
            <w:r>
              <w:t>6.00</w:t>
            </w:r>
          </w:p>
        </w:tc>
      </w:tr>
      <w:tr>
        <w:trPr>
          <w:cantSplit/>
        </w:trPr>
        <w:tc>
          <w:tcPr>
            <w:tcW w:w="709" w:type="dxa"/>
          </w:tcPr>
          <w:p>
            <w:pPr>
              <w:pStyle w:val="yTableNAm"/>
            </w:pPr>
            <w:r>
              <w:t>2.</w:t>
            </w:r>
          </w:p>
        </w:tc>
        <w:tc>
          <w:tcPr>
            <w:tcW w:w="5269" w:type="dxa"/>
          </w:tcPr>
          <w:p>
            <w:pPr>
              <w:pStyle w:val="yTableNAm"/>
              <w:ind w:left="198" w:hanging="198"/>
            </w:pPr>
            <w:r>
              <w:t>*Daily entrance fee for non</w:t>
            </w:r>
            <w:r>
              <w:noBreakHyphen/>
              <w:t>tour motor vehicle that is not a motorcycle (unless item 5 applies)</w:t>
            </w:r>
          </w:p>
        </w:tc>
        <w:tc>
          <w:tcPr>
            <w:tcW w:w="968" w:type="dxa"/>
            <w:vAlign w:val="bottom"/>
          </w:tcPr>
          <w:p>
            <w:pPr>
              <w:pStyle w:val="yTableNAm"/>
              <w:jc w:val="center"/>
            </w:pPr>
            <w:r>
              <w:t>12.00</w:t>
            </w:r>
          </w:p>
        </w:tc>
      </w:tr>
      <w:tr>
        <w:trPr>
          <w:cantSplit/>
        </w:trPr>
        <w:tc>
          <w:tcPr>
            <w:tcW w:w="709" w:type="dxa"/>
          </w:tcPr>
          <w:p>
            <w:pPr>
              <w:pStyle w:val="yTableNAm"/>
            </w:pPr>
            <w:r>
              <w:t>3.</w:t>
            </w:r>
          </w:p>
        </w:tc>
        <w:tc>
          <w:tcPr>
            <w:tcW w:w="5269" w:type="dxa"/>
          </w:tcPr>
          <w:p>
            <w:pPr>
              <w:pStyle w:val="yTableNAm"/>
              <w:ind w:left="198" w:hanging="198"/>
            </w:pPr>
            <w:r>
              <w:t>*Daily entrance for each occupant (6 years of age or older) of tour vehicle (unless entry is to Yanchep National Park or Nambung National Park, or item 6 applies)</w:t>
            </w:r>
          </w:p>
        </w:tc>
        <w:tc>
          <w:tcPr>
            <w:tcW w:w="968" w:type="dxa"/>
            <w:vAlign w:val="bottom"/>
          </w:tcPr>
          <w:p>
            <w:pPr>
              <w:pStyle w:val="yTableNAm"/>
              <w:jc w:val="center"/>
            </w:pPr>
            <w:r>
              <w:t>5.50</w:t>
            </w:r>
          </w:p>
        </w:tc>
      </w:tr>
      <w:tr>
        <w:trPr>
          <w:cantSplit/>
        </w:trPr>
        <w:tc>
          <w:tcPr>
            <w:tcW w:w="709" w:type="dxa"/>
          </w:tcPr>
          <w:p>
            <w:pPr>
              <w:pStyle w:val="yTableNAm"/>
            </w:pPr>
            <w:r>
              <w:t>4.</w:t>
            </w:r>
          </w:p>
        </w:tc>
        <w:tc>
          <w:tcPr>
            <w:tcW w:w="5269" w:type="dxa"/>
          </w:tcPr>
          <w:p>
            <w:pPr>
              <w:pStyle w:val="yTableNAm"/>
              <w:ind w:left="198" w:hanging="198"/>
            </w:pPr>
            <w:r>
              <w:t>Daily entrance for each occupant (6 years of age or older) of tour vehicle — Yanchep National Park, Nambung National Park</w:t>
            </w:r>
          </w:p>
        </w:tc>
        <w:tc>
          <w:tcPr>
            <w:tcW w:w="968" w:type="dxa"/>
            <w:vAlign w:val="bottom"/>
          </w:tcPr>
          <w:p>
            <w:pPr>
              <w:pStyle w:val="yTableNAm"/>
              <w:jc w:val="center"/>
            </w:pPr>
            <w:r>
              <w:t>5.50</w:t>
            </w:r>
          </w:p>
        </w:tc>
      </w:tr>
      <w:tr>
        <w:trPr>
          <w:cantSplit/>
        </w:trPr>
        <w:tc>
          <w:tcPr>
            <w:tcW w:w="709" w:type="dxa"/>
          </w:tcPr>
          <w:p>
            <w:pPr>
              <w:pStyle w:val="yTableNAm"/>
            </w:pPr>
            <w:r>
              <w:t>5.</w:t>
            </w:r>
          </w:p>
        </w:tc>
        <w:tc>
          <w:tcPr>
            <w:tcW w:w="5269" w:type="dxa"/>
          </w:tcPr>
          <w:p>
            <w:pPr>
              <w:pStyle w:val="yTableNAm"/>
              <w:ind w:left="198" w:hanging="198"/>
            </w:pPr>
            <w:r>
              <w:t>*Daily entrance concession fee for non</w:t>
            </w:r>
            <w:r>
              <w:noBreakHyphen/>
              <w:t xml:space="preserve">tour motor vehicle if the driver holds a concession card </w:t>
            </w:r>
          </w:p>
        </w:tc>
        <w:tc>
          <w:tcPr>
            <w:tcW w:w="968" w:type="dxa"/>
            <w:vAlign w:val="bottom"/>
          </w:tcPr>
          <w:p>
            <w:pPr>
              <w:pStyle w:val="yTableNAm"/>
              <w:jc w:val="center"/>
            </w:pPr>
            <w:r>
              <w:t>6.00</w:t>
            </w:r>
          </w:p>
        </w:tc>
      </w:tr>
      <w:tr>
        <w:trPr>
          <w:cantSplit/>
        </w:trPr>
        <w:tc>
          <w:tcPr>
            <w:tcW w:w="709" w:type="dxa"/>
          </w:tcPr>
          <w:p>
            <w:pPr>
              <w:pStyle w:val="yTableNAm"/>
            </w:pPr>
            <w:r>
              <w:t>6.</w:t>
            </w:r>
          </w:p>
        </w:tc>
        <w:tc>
          <w:tcPr>
            <w:tcW w:w="5269" w:type="dxa"/>
          </w:tcPr>
          <w:p>
            <w:pPr>
              <w:pStyle w:val="yTableNAm"/>
              <w:ind w:left="198" w:hanging="198"/>
            </w:pPr>
            <w:r>
              <w:t>*Daily entrance concession fee for occupant of tour vehicle if the occupant holds a concession card (except where tour vehicle is operating for profit)</w:t>
            </w:r>
          </w:p>
        </w:tc>
        <w:tc>
          <w:tcPr>
            <w:tcW w:w="968" w:type="dxa"/>
            <w:vAlign w:val="bottom"/>
          </w:tcPr>
          <w:p>
            <w:pPr>
              <w:pStyle w:val="yTableNAm"/>
              <w:jc w:val="center"/>
            </w:pPr>
            <w:r>
              <w:t>1.70</w:t>
            </w:r>
          </w:p>
        </w:tc>
      </w:tr>
    </w:tbl>
    <w:p>
      <w:pPr>
        <w:pStyle w:val="yMiscellaneousBody"/>
        <w:spacing w:before="200"/>
        <w:rPr>
          <w:sz w:val="16"/>
        </w:rPr>
      </w:pPr>
      <w:r>
        <w:rPr>
          <w:sz w:val="16"/>
        </w:rPr>
        <w:t xml:space="preserve">[* Payment of a daily entrance fee under this item entitles the visitor on that day to enter any other area of CALM land for which an entrance fee is charged under the same item.] </w:t>
      </w:r>
    </w:p>
    <w:p>
      <w:pPr>
        <w:pStyle w:val="yFootnotesection"/>
      </w:pPr>
      <w:r>
        <w:tab/>
        <w:t>[Division 1 inserted in Gazette 27 Sep 2013 p. 4525-6.]</w:t>
      </w:r>
    </w:p>
    <w:p>
      <w:pPr>
        <w:pStyle w:val="yHeading3"/>
        <w:rPr>
          <w:rStyle w:val="CharSDivText"/>
        </w:rPr>
      </w:pPr>
      <w:bookmarkStart w:id="480" w:name="_Toc408498941"/>
      <w:bookmarkStart w:id="481" w:name="_Toc414889363"/>
      <w:bookmarkStart w:id="482" w:name="_Toc414975335"/>
      <w:bookmarkStart w:id="483" w:name="_Toc417563817"/>
      <w:bookmarkStart w:id="484" w:name="_Toc423340638"/>
      <w:bookmarkStart w:id="485" w:name="_Toc423343236"/>
      <w:r>
        <w:rPr>
          <w:rStyle w:val="CharSDivNo"/>
        </w:rPr>
        <w:t>Division 2</w:t>
      </w:r>
      <w:r>
        <w:rPr>
          <w:snapToGrid w:val="0"/>
        </w:rPr>
        <w:t> — </w:t>
      </w:r>
      <w:r>
        <w:rPr>
          <w:rStyle w:val="CharSDivText"/>
        </w:rPr>
        <w:t>Fees for passes providing extended entrance to CALM land</w:t>
      </w:r>
      <w:bookmarkEnd w:id="480"/>
      <w:bookmarkEnd w:id="481"/>
      <w:bookmarkEnd w:id="482"/>
      <w:bookmarkEnd w:id="483"/>
      <w:bookmarkEnd w:id="484"/>
      <w:bookmarkEnd w:id="485"/>
    </w:p>
    <w:p>
      <w:pPr>
        <w:pStyle w:val="yFootnoteheading"/>
        <w:keepNext/>
        <w:keepLines/>
        <w:spacing w:after="60"/>
        <w:rPr>
          <w:snapToGrid w:val="0"/>
        </w:rPr>
      </w:pPr>
      <w:r>
        <w:tab/>
        <w:t>[Heading inserted in Gazette 27 Sep 2013 p. 4526.]</w:t>
      </w:r>
    </w:p>
    <w:tbl>
      <w:tblPr>
        <w:tblW w:w="6946" w:type="dxa"/>
        <w:tblInd w:w="150" w:type="dxa"/>
        <w:tblLayout w:type="fixed"/>
        <w:tblCellMar>
          <w:left w:w="8" w:type="dxa"/>
          <w:right w:w="8" w:type="dxa"/>
        </w:tblCellMar>
        <w:tblLook w:val="0000" w:firstRow="0" w:lastRow="0" w:firstColumn="0" w:lastColumn="0" w:noHBand="0" w:noVBand="0"/>
      </w:tblPr>
      <w:tblGrid>
        <w:gridCol w:w="709"/>
        <w:gridCol w:w="5276"/>
        <w:gridCol w:w="961"/>
      </w:tblGrid>
      <w:tr>
        <w:trPr>
          <w:cantSplit/>
          <w:tblHeader/>
        </w:trPr>
        <w:tc>
          <w:tcPr>
            <w:tcW w:w="709" w:type="dxa"/>
          </w:tcPr>
          <w:p>
            <w:pPr>
              <w:pStyle w:val="zyTableNAm"/>
              <w:keepNext/>
            </w:pPr>
          </w:p>
        </w:tc>
        <w:tc>
          <w:tcPr>
            <w:tcW w:w="5276" w:type="dxa"/>
          </w:tcPr>
          <w:p>
            <w:pPr>
              <w:pStyle w:val="zyTableNAm"/>
              <w:keepNext/>
            </w:pPr>
          </w:p>
        </w:tc>
        <w:tc>
          <w:tcPr>
            <w:tcW w:w="961" w:type="dxa"/>
            <w:vAlign w:val="bottom"/>
          </w:tcPr>
          <w:p>
            <w:pPr>
              <w:pStyle w:val="yTableNAm"/>
              <w:keepNext/>
              <w:jc w:val="center"/>
            </w:pPr>
            <w:r>
              <w:rPr>
                <w:b/>
              </w:rPr>
              <w:t>$</w:t>
            </w:r>
          </w:p>
        </w:tc>
      </w:tr>
      <w:tr>
        <w:trPr>
          <w:cantSplit/>
        </w:trPr>
        <w:tc>
          <w:tcPr>
            <w:tcW w:w="709" w:type="dxa"/>
          </w:tcPr>
          <w:p>
            <w:pPr>
              <w:pStyle w:val="yTableNAm"/>
            </w:pPr>
            <w:r>
              <w:t>1.</w:t>
            </w:r>
          </w:p>
        </w:tc>
        <w:tc>
          <w:tcPr>
            <w:tcW w:w="5276" w:type="dxa"/>
          </w:tcPr>
          <w:p>
            <w:pPr>
              <w:pStyle w:val="yTableNAm"/>
            </w:pPr>
            <w:r>
              <w:t>For an annual pass for a non</w:t>
            </w:r>
            <w:r>
              <w:noBreakHyphen/>
              <w:t xml:space="preserve">tour motor vehicle with up to 12 occupants to all CALM land where an entrance fee is charged except the Monkey Mia Conservation Park </w:t>
            </w:r>
          </w:p>
        </w:tc>
        <w:tc>
          <w:tcPr>
            <w:tcW w:w="961" w:type="dxa"/>
            <w:vAlign w:val="bottom"/>
          </w:tcPr>
          <w:p>
            <w:pPr>
              <w:pStyle w:val="yTableNAm"/>
              <w:jc w:val="center"/>
            </w:pPr>
            <w:r>
              <w:t>88.00</w:t>
            </w:r>
          </w:p>
        </w:tc>
      </w:tr>
      <w:tr>
        <w:trPr>
          <w:cantSplit/>
        </w:trPr>
        <w:tc>
          <w:tcPr>
            <w:tcW w:w="709" w:type="dxa"/>
          </w:tcPr>
          <w:p>
            <w:pPr>
              <w:pStyle w:val="yTableNAm"/>
            </w:pPr>
            <w:r>
              <w:t>2.</w:t>
            </w:r>
          </w:p>
        </w:tc>
        <w:tc>
          <w:tcPr>
            <w:tcW w:w="5276" w:type="dxa"/>
          </w:tcPr>
          <w:p>
            <w:pPr>
              <w:pStyle w:val="yTableNAm"/>
            </w:pPr>
            <w:r>
              <w:t>For an annual concession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t>55.00</w:t>
            </w:r>
          </w:p>
        </w:tc>
      </w:tr>
      <w:tr>
        <w:trPr>
          <w:cantSplit/>
        </w:trPr>
        <w:tc>
          <w:tcPr>
            <w:tcW w:w="709" w:type="dxa"/>
          </w:tcPr>
          <w:p>
            <w:pPr>
              <w:pStyle w:val="zyTableNAm"/>
            </w:pPr>
          </w:p>
        </w:tc>
        <w:tc>
          <w:tcPr>
            <w:tcW w:w="5276" w:type="dxa"/>
          </w:tcPr>
          <w:p>
            <w:pPr>
              <w:pStyle w:val="yTableNAm"/>
            </w:pPr>
            <w:r>
              <w:t>Conditions on entry: the driver holds a concession card</w:t>
            </w:r>
          </w:p>
        </w:tc>
        <w:tc>
          <w:tcPr>
            <w:tcW w:w="961" w:type="dxa"/>
            <w:vAlign w:val="bottom"/>
          </w:tcPr>
          <w:p>
            <w:pPr>
              <w:pStyle w:val="yTableNAm"/>
              <w:jc w:val="center"/>
            </w:pPr>
          </w:p>
        </w:tc>
      </w:tr>
      <w:tr>
        <w:trPr>
          <w:cantSplit/>
        </w:trPr>
        <w:tc>
          <w:tcPr>
            <w:tcW w:w="709" w:type="dxa"/>
          </w:tcPr>
          <w:p>
            <w:pPr>
              <w:pStyle w:val="yTableNAm"/>
            </w:pPr>
            <w:r>
              <w:t>3.</w:t>
            </w:r>
          </w:p>
        </w:tc>
        <w:tc>
          <w:tcPr>
            <w:tcW w:w="5276" w:type="dxa"/>
          </w:tcPr>
          <w:p>
            <w:pPr>
              <w:pStyle w:val="yTableNAm"/>
            </w:pPr>
            <w:r>
              <w:t>For a 4 week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br/>
            </w:r>
            <w:r>
              <w:br/>
              <w:t>44.00</w:t>
            </w:r>
          </w:p>
        </w:tc>
      </w:tr>
      <w:tr>
        <w:trPr>
          <w:cantSplit/>
        </w:trPr>
        <w:tc>
          <w:tcPr>
            <w:tcW w:w="709" w:type="dxa"/>
          </w:tcPr>
          <w:p>
            <w:pPr>
              <w:pStyle w:val="yTableNAm"/>
            </w:pPr>
            <w:r>
              <w:rPr>
                <w:sz w:val="24"/>
              </w:rPr>
              <w:br w:type="page"/>
            </w:r>
            <w:r>
              <w:t>4.</w:t>
            </w:r>
          </w:p>
        </w:tc>
        <w:tc>
          <w:tcPr>
            <w:tcW w:w="5276" w:type="dxa"/>
          </w:tcPr>
          <w:p>
            <w:pPr>
              <w:pStyle w:val="yTableNAm"/>
            </w:pPr>
            <w:r>
              <w:t>For an annual local pass for a non</w:t>
            </w:r>
            <w:r>
              <w:noBreakHyphen/>
              <w:t>tour vehicle with up to 12 occupants for any one national park or reserve or for any one of the following groups of national parks, conservation parks and reserves —</w:t>
            </w:r>
          </w:p>
          <w:p>
            <w:pPr>
              <w:pStyle w:val="yTableNAm"/>
              <w:tabs>
                <w:tab w:val="clear" w:pos="567"/>
                <w:tab w:val="left" w:pos="389"/>
                <w:tab w:val="left" w:pos="984"/>
              </w:tabs>
              <w:ind w:left="984" w:hanging="984"/>
            </w:pPr>
            <w:r>
              <w:tab/>
              <w:t>(a)</w:t>
            </w:r>
            <w:r>
              <w:tab/>
              <w:t>Walyunga, Avon Valley and John Forrest</w:t>
            </w:r>
          </w:p>
          <w:p>
            <w:pPr>
              <w:pStyle w:val="yTableNAm"/>
              <w:tabs>
                <w:tab w:val="clear" w:pos="567"/>
                <w:tab w:val="left" w:pos="389"/>
                <w:tab w:val="left" w:pos="984"/>
              </w:tabs>
              <w:ind w:left="984" w:hanging="984"/>
            </w:pPr>
            <w:r>
              <w:tab/>
              <w:t>(b)</w:t>
            </w:r>
            <w:r>
              <w:tab/>
              <w:t>Gloucester, Warren, Beedelup, Greater Beedelup, Shannon and D’Entrecasteaux</w:t>
            </w:r>
          </w:p>
          <w:p>
            <w:pPr>
              <w:pStyle w:val="yTableNAm"/>
              <w:tabs>
                <w:tab w:val="clear" w:pos="567"/>
                <w:tab w:val="left" w:pos="389"/>
                <w:tab w:val="left" w:pos="984"/>
              </w:tabs>
              <w:ind w:left="984" w:hanging="984"/>
            </w:pPr>
            <w:r>
              <w:tab/>
              <w:t>(c)</w:t>
            </w:r>
            <w:r>
              <w:tab/>
              <w:t>Stirling Range, Porongurup and Fitzgerald River</w:t>
            </w:r>
          </w:p>
          <w:p>
            <w:pPr>
              <w:pStyle w:val="yTableNAm"/>
              <w:tabs>
                <w:tab w:val="clear" w:pos="567"/>
                <w:tab w:val="left" w:pos="389"/>
                <w:tab w:val="left" w:pos="984"/>
              </w:tabs>
              <w:ind w:left="984" w:hanging="984"/>
            </w:pPr>
            <w:r>
              <w:tab/>
              <w:t>(d)</w:t>
            </w:r>
            <w:r>
              <w:tab/>
              <w:t>Stokes, Cape Le Grand, Cape Arid and Fitzgerald River</w:t>
            </w:r>
          </w:p>
          <w:p>
            <w:pPr>
              <w:pStyle w:val="yTableNAm"/>
              <w:tabs>
                <w:tab w:val="clear" w:pos="567"/>
                <w:tab w:val="left" w:pos="389"/>
                <w:tab w:val="left" w:pos="984"/>
              </w:tabs>
              <w:ind w:left="984" w:hanging="984"/>
            </w:pPr>
            <w:r>
              <w:tab/>
              <w:t>(e)</w:t>
            </w:r>
            <w:r>
              <w:tab/>
              <w:t>Karijini and Millstream</w:t>
            </w:r>
            <w:r>
              <w:noBreakHyphen/>
              <w:t>Chichester</w:t>
            </w:r>
          </w:p>
          <w:p>
            <w:pPr>
              <w:pStyle w:val="yTableNAm"/>
              <w:tabs>
                <w:tab w:val="clear" w:pos="567"/>
                <w:tab w:val="left" w:pos="389"/>
                <w:tab w:val="left" w:pos="984"/>
              </w:tabs>
              <w:ind w:left="984" w:hanging="984"/>
            </w:pPr>
            <w:r>
              <w:tab/>
              <w:t>(f)</w:t>
            </w:r>
            <w:r>
              <w:tab/>
              <w:t>Mirima, Purnululu and Mitchell River</w:t>
            </w:r>
          </w:p>
          <w:p>
            <w:pPr>
              <w:pStyle w:val="yTableNAm"/>
              <w:tabs>
                <w:tab w:val="clear" w:pos="567"/>
                <w:tab w:val="left" w:pos="389"/>
                <w:tab w:val="left" w:pos="984"/>
              </w:tabs>
              <w:ind w:left="984" w:hanging="984"/>
            </w:pPr>
            <w:r>
              <w:tab/>
              <w:t>(g)</w:t>
            </w:r>
            <w:r>
              <w:tab/>
              <w:t>Windjana, King Leopold Ranges and Tunnel Creek</w:t>
            </w:r>
          </w:p>
          <w:p>
            <w:pPr>
              <w:pStyle w:val="yTableNAm"/>
              <w:tabs>
                <w:tab w:val="clear" w:pos="567"/>
                <w:tab w:val="left" w:pos="389"/>
                <w:tab w:val="left" w:pos="984"/>
              </w:tabs>
              <w:ind w:left="984" w:hanging="984"/>
            </w:pPr>
            <w:r>
              <w:tab/>
              <w:t>(h)</w:t>
            </w:r>
            <w:r>
              <w:tab/>
              <w:t>Nambung and Lesueur</w:t>
            </w:r>
          </w:p>
        </w:tc>
        <w:tc>
          <w:tcPr>
            <w:tcW w:w="961" w:type="dxa"/>
            <w:vAlign w:val="bottom"/>
          </w:tcPr>
          <w:p>
            <w:pPr>
              <w:pStyle w:val="yTableNAm"/>
              <w:jc w:val="center"/>
            </w:pPr>
          </w:p>
          <w:p>
            <w:pPr>
              <w:pStyle w:val="yTableNAm"/>
              <w:jc w:val="center"/>
            </w:pPr>
          </w:p>
          <w:p>
            <w:pPr>
              <w:pStyle w:val="yTableNAm"/>
              <w:jc w:val="center"/>
            </w:pPr>
            <w:r>
              <w:br/>
            </w:r>
          </w:p>
          <w:p>
            <w:pPr>
              <w:pStyle w:val="yTableNAm"/>
              <w:jc w:val="center"/>
            </w:pPr>
          </w:p>
          <w:p>
            <w:pPr>
              <w:pStyle w:val="yTableNAm"/>
              <w:jc w:val="center"/>
            </w:pPr>
            <w:r>
              <w:br/>
            </w:r>
          </w:p>
          <w:p>
            <w:pPr>
              <w:pStyle w:val="yTableNAm"/>
              <w:jc w:val="center"/>
            </w:pPr>
          </w:p>
          <w:p>
            <w:pPr>
              <w:pStyle w:val="yTableNAm"/>
              <w:jc w:val="center"/>
            </w:pPr>
          </w:p>
          <w:p>
            <w:pPr>
              <w:pStyle w:val="yTableNAm"/>
              <w:jc w:val="center"/>
            </w:pPr>
            <w:r>
              <w:br/>
            </w:r>
          </w:p>
          <w:p>
            <w:pPr>
              <w:pStyle w:val="yTableNAm"/>
              <w:jc w:val="center"/>
            </w:pPr>
            <w:r>
              <w:t>22.00</w:t>
            </w:r>
          </w:p>
        </w:tc>
      </w:tr>
      <w:tr>
        <w:trPr>
          <w:cantSplit/>
        </w:trPr>
        <w:tc>
          <w:tcPr>
            <w:tcW w:w="709" w:type="dxa"/>
          </w:tcPr>
          <w:p>
            <w:pPr>
              <w:pStyle w:val="yTableNAm"/>
            </w:pPr>
            <w:r>
              <w:rPr>
                <w:sz w:val="24"/>
              </w:rPr>
              <w:t>5.</w:t>
            </w:r>
          </w:p>
        </w:tc>
        <w:tc>
          <w:tcPr>
            <w:tcW w:w="5276" w:type="dxa"/>
          </w:tcPr>
          <w:p>
            <w:pPr>
              <w:pStyle w:val="yTableNAm"/>
            </w:pPr>
            <w:r>
              <w:t>For an annual pass for a non</w:t>
            </w:r>
            <w:r>
              <w:noBreakHyphen/>
              <w:t>tour motor vehicle with up to 12 occupants to all CALM land where an entrance fee is charged, except the Monkey Mia Conservation Park, and an annual subscription to the magazine “Landscope”</w:t>
            </w:r>
          </w:p>
        </w:tc>
        <w:tc>
          <w:tcPr>
            <w:tcW w:w="961" w:type="dxa"/>
            <w:vAlign w:val="bottom"/>
          </w:tcPr>
          <w:p>
            <w:pPr>
              <w:pStyle w:val="yTableNAm"/>
              <w:jc w:val="center"/>
            </w:pPr>
            <w:r>
              <w:t>110.00</w:t>
            </w:r>
          </w:p>
        </w:tc>
      </w:tr>
      <w:tr>
        <w:trPr>
          <w:cantSplit/>
        </w:trPr>
        <w:tc>
          <w:tcPr>
            <w:tcW w:w="709" w:type="dxa"/>
          </w:tcPr>
          <w:p>
            <w:pPr>
              <w:pStyle w:val="yTableNAm"/>
            </w:pPr>
            <w:r>
              <w:t>6.</w:t>
            </w:r>
          </w:p>
        </w:tc>
        <w:tc>
          <w:tcPr>
            <w:tcW w:w="5276" w:type="dxa"/>
          </w:tcPr>
          <w:p>
            <w:pPr>
              <w:pStyle w:val="yTableNAm"/>
            </w:pPr>
            <w:r>
              <w:t>For a pass for one group entering the Yanchep National Park in one or more non</w:t>
            </w:r>
            <w:r>
              <w:noBreakHyphen/>
              <w:t>tour motor vehicles for the purposes of a wedding or other function</w:t>
            </w:r>
          </w:p>
        </w:tc>
        <w:tc>
          <w:tcPr>
            <w:tcW w:w="961" w:type="dxa"/>
            <w:vAlign w:val="bottom"/>
          </w:tcPr>
          <w:p>
            <w:pPr>
              <w:pStyle w:val="yTableNAm"/>
              <w:jc w:val="center"/>
            </w:pPr>
            <w:r>
              <w:t>100.00</w:t>
            </w:r>
          </w:p>
        </w:tc>
      </w:tr>
    </w:tbl>
    <w:p>
      <w:pPr>
        <w:pStyle w:val="yFootnotesection"/>
      </w:pPr>
      <w:r>
        <w:tab/>
        <w:t>[Division 2 inserted in Gazette 27 Sep 2013 p. 4526-7; amended in Gazette 19 Sep 2014 p. 3333.]</w:t>
      </w:r>
    </w:p>
    <w:p>
      <w:pPr>
        <w:pStyle w:val="yHeading3"/>
        <w:rPr>
          <w:snapToGrid w:val="0"/>
        </w:rPr>
      </w:pPr>
      <w:bookmarkStart w:id="486" w:name="_Toc408498942"/>
      <w:bookmarkStart w:id="487" w:name="_Toc414889364"/>
      <w:bookmarkStart w:id="488" w:name="_Toc414975336"/>
      <w:bookmarkStart w:id="489" w:name="_Toc417563818"/>
      <w:bookmarkStart w:id="490" w:name="_Toc423340639"/>
      <w:bookmarkStart w:id="491" w:name="_Toc423343237"/>
      <w:r>
        <w:rPr>
          <w:rStyle w:val="CharSDivNo"/>
        </w:rPr>
        <w:t>Division 3</w:t>
      </w:r>
      <w:r>
        <w:rPr>
          <w:snapToGrid w:val="0"/>
        </w:rPr>
        <w:t> — </w:t>
      </w:r>
      <w:r>
        <w:rPr>
          <w:rStyle w:val="CharSDivText"/>
        </w:rPr>
        <w:t>Daily entrance fees for Tree Top Walk</w:t>
      </w:r>
      <w:bookmarkEnd w:id="486"/>
      <w:bookmarkEnd w:id="487"/>
      <w:bookmarkEnd w:id="488"/>
      <w:bookmarkEnd w:id="489"/>
      <w:bookmarkEnd w:id="490"/>
      <w:bookmarkEnd w:id="491"/>
    </w:p>
    <w:p>
      <w:pPr>
        <w:pStyle w:val="yFootnoteheading"/>
        <w:keepNext/>
        <w:keepLines/>
        <w:spacing w:after="60"/>
        <w:rPr>
          <w:snapToGrid w:val="0"/>
        </w:rPr>
      </w:pPr>
      <w:r>
        <w:tab/>
        <w:t>[Heading inserted in Gazette 27 Sep 2013 p. 4527.]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zyTableNAm"/>
            </w:pPr>
          </w:p>
        </w:tc>
        <w:tc>
          <w:tcPr>
            <w:tcW w:w="5245" w:type="dxa"/>
          </w:tcPr>
          <w:p>
            <w:pPr>
              <w:pStyle w:val="z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992" w:type="dxa"/>
          </w:tcPr>
          <w:p>
            <w:pPr>
              <w:pStyle w:val="yTableNAm"/>
              <w:jc w:val="center"/>
            </w:pPr>
            <w:r>
              <w:t>15.00</w:t>
            </w:r>
          </w:p>
        </w:tc>
      </w:tr>
      <w:tr>
        <w:trPr>
          <w:cantSplit/>
        </w:trPr>
        <w:tc>
          <w:tcPr>
            <w:tcW w:w="709" w:type="dxa"/>
          </w:tcPr>
          <w:p>
            <w:pPr>
              <w:pStyle w:val="yTableNAm"/>
            </w:pPr>
            <w:r>
              <w:t>2.</w:t>
            </w:r>
          </w:p>
        </w:tc>
        <w:tc>
          <w:tcPr>
            <w:tcW w:w="5245" w:type="dxa"/>
          </w:tcPr>
          <w:p>
            <w:pPr>
              <w:pStyle w:val="yTableNAm"/>
            </w:pPr>
            <w:r>
              <w:t xml:space="preserve">For person of more than 5 and less than 16 years of age </w:t>
            </w:r>
          </w:p>
        </w:tc>
        <w:tc>
          <w:tcPr>
            <w:tcW w:w="992" w:type="dxa"/>
          </w:tcPr>
          <w:p>
            <w:pPr>
              <w:pStyle w:val="yTableNAm"/>
              <w:jc w:val="center"/>
            </w:pPr>
            <w:r>
              <w:t>7.50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tcPr>
          <w:p>
            <w:pPr>
              <w:pStyle w:val="yTableNAm"/>
              <w:jc w:val="center"/>
            </w:pPr>
            <w:r>
              <w:br/>
              <w:t>37.50</w:t>
            </w:r>
          </w:p>
        </w:tc>
      </w:tr>
      <w:tr>
        <w:trPr>
          <w:cantSplit/>
        </w:trP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10.50</w:t>
            </w:r>
          </w:p>
        </w:tc>
      </w:tr>
    </w:tbl>
    <w:p>
      <w:pPr>
        <w:pStyle w:val="yFootnotesection"/>
      </w:pPr>
      <w:r>
        <w:tab/>
        <w:t>[Division 3 inserted in Gazette 27 Sep 2013 p. 4527.]</w:t>
      </w:r>
    </w:p>
    <w:p>
      <w:pPr>
        <w:pStyle w:val="yHeading3"/>
        <w:rPr>
          <w:snapToGrid w:val="0"/>
        </w:rPr>
      </w:pPr>
      <w:bookmarkStart w:id="492" w:name="_Toc408498943"/>
      <w:bookmarkStart w:id="493" w:name="_Toc414889365"/>
      <w:bookmarkStart w:id="494" w:name="_Toc414975337"/>
      <w:bookmarkStart w:id="495" w:name="_Toc417563819"/>
      <w:bookmarkStart w:id="496" w:name="_Toc423340640"/>
      <w:bookmarkStart w:id="497" w:name="_Toc423343238"/>
      <w:r>
        <w:rPr>
          <w:rStyle w:val="CharSDivNo"/>
        </w:rPr>
        <w:t>Division 4</w:t>
      </w:r>
      <w:r>
        <w:rPr>
          <w:snapToGrid w:val="0"/>
        </w:rPr>
        <w:t> — </w:t>
      </w:r>
      <w:r>
        <w:rPr>
          <w:rStyle w:val="CharSDivText"/>
        </w:rPr>
        <w:t xml:space="preserve">Fees for </w:t>
      </w:r>
      <w:smartTag w:uri="urn:schemas-microsoft-com:office:smarttags" w:element="place">
        <w:smartTag w:uri="urn:schemas-microsoft-com:office:smarttags" w:element="PlaceName">
          <w:r>
            <w:rPr>
              <w:rStyle w:val="CharSDivText"/>
            </w:rPr>
            <w:t>Geikie</w:t>
          </w:r>
        </w:smartTag>
        <w:r>
          <w:rPr>
            <w:rStyle w:val="CharSDivText"/>
          </w:rPr>
          <w:t xml:space="preserve"> </w:t>
        </w:r>
        <w:smartTag w:uri="urn:schemas-microsoft-com:office:smarttags" w:element="PlaceName">
          <w:r>
            <w:rPr>
              <w:rStyle w:val="CharSDivText"/>
            </w:rPr>
            <w:t>Gorge</w:t>
          </w:r>
        </w:smartTag>
        <w:r>
          <w:rPr>
            <w:rStyle w:val="CharSDivText"/>
          </w:rPr>
          <w:t xml:space="preserve"> </w:t>
        </w:r>
        <w:smartTag w:uri="urn:schemas-microsoft-com:office:smarttags" w:element="PlaceType">
          <w:r>
            <w:rPr>
              <w:rStyle w:val="CharSDivText"/>
            </w:rPr>
            <w:t>National Park</w:t>
          </w:r>
        </w:smartTag>
      </w:smartTag>
      <w:r>
        <w:rPr>
          <w:rStyle w:val="CharSDivText"/>
        </w:rPr>
        <w:t xml:space="preserve"> Boat Trip</w:t>
      </w:r>
      <w:bookmarkEnd w:id="492"/>
      <w:bookmarkEnd w:id="493"/>
      <w:bookmarkEnd w:id="494"/>
      <w:bookmarkEnd w:id="495"/>
      <w:bookmarkEnd w:id="496"/>
      <w:bookmarkEnd w:id="497"/>
    </w:p>
    <w:p>
      <w:pPr>
        <w:pStyle w:val="yFootnoteheading"/>
        <w:keepNext/>
        <w:keepLines/>
        <w:spacing w:after="60"/>
        <w:rPr>
          <w:snapToGrid w:val="0"/>
        </w:rPr>
      </w:pPr>
      <w:r>
        <w:tab/>
        <w:t>[Heading inserted in Gazette 27 Sep 2013 p. 4527.]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c>
          <w:tcPr>
            <w:tcW w:w="709" w:type="dxa"/>
          </w:tcPr>
          <w:p>
            <w:pPr>
              <w:pStyle w:val="zyTableNAm"/>
            </w:pPr>
          </w:p>
        </w:tc>
        <w:tc>
          <w:tcPr>
            <w:tcW w:w="5245" w:type="dxa"/>
          </w:tcPr>
          <w:p>
            <w:pPr>
              <w:pStyle w:val="zyTableNAm"/>
            </w:pPr>
          </w:p>
        </w:tc>
        <w:tc>
          <w:tcPr>
            <w:tcW w:w="992" w:type="dxa"/>
          </w:tcPr>
          <w:p>
            <w:pPr>
              <w:pStyle w:val="yTableNAm"/>
              <w:jc w:val="center"/>
            </w:pPr>
            <w:r>
              <w:rPr>
                <w:b/>
              </w:rPr>
              <w:t>$</w:t>
            </w:r>
          </w:p>
        </w:tc>
      </w:tr>
      <w:tr>
        <w:tc>
          <w:tcPr>
            <w:tcW w:w="709" w:type="dxa"/>
          </w:tcPr>
          <w:p>
            <w:pPr>
              <w:pStyle w:val="yTableNAm"/>
            </w:pPr>
            <w:r>
              <w:t>1.</w:t>
            </w:r>
          </w:p>
        </w:tc>
        <w:tc>
          <w:tcPr>
            <w:tcW w:w="5245" w:type="dxa"/>
          </w:tcPr>
          <w:p>
            <w:pPr>
              <w:pStyle w:val="yTableNAm"/>
            </w:pPr>
            <w:r>
              <w:t>For person 16 years of age and over</w:t>
            </w:r>
          </w:p>
        </w:tc>
        <w:tc>
          <w:tcPr>
            <w:tcW w:w="992" w:type="dxa"/>
          </w:tcPr>
          <w:p>
            <w:pPr>
              <w:pStyle w:val="yTableNAm"/>
              <w:jc w:val="center"/>
            </w:pPr>
            <w:r>
              <w:t>30.50</w:t>
            </w:r>
          </w:p>
        </w:tc>
      </w:tr>
      <w:tr>
        <w:trPr>
          <w:cantSplit/>
        </w:trPr>
        <w:tc>
          <w:tcPr>
            <w:tcW w:w="709" w:type="dxa"/>
          </w:tcPr>
          <w:p>
            <w:pPr>
              <w:pStyle w:val="yTableNAm"/>
            </w:pPr>
            <w:r>
              <w:t>2.</w:t>
            </w:r>
          </w:p>
        </w:tc>
        <w:tc>
          <w:tcPr>
            <w:tcW w:w="5245" w:type="dxa"/>
          </w:tcPr>
          <w:p>
            <w:pPr>
              <w:pStyle w:val="yTableNAm"/>
            </w:pPr>
            <w:r>
              <w:t>For person of more than 5 and less than 16 years of age</w:t>
            </w:r>
          </w:p>
        </w:tc>
        <w:tc>
          <w:tcPr>
            <w:tcW w:w="992" w:type="dxa"/>
          </w:tcPr>
          <w:p>
            <w:pPr>
              <w:pStyle w:val="yTableNAm"/>
              <w:jc w:val="center"/>
            </w:pPr>
            <w:r>
              <w:t>7.70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tcPr>
          <w:p>
            <w:pPr>
              <w:pStyle w:val="yTableNAm"/>
              <w:jc w:val="center"/>
            </w:pPr>
            <w:r>
              <w:br/>
              <w:t>64.00</w:t>
            </w:r>
          </w:p>
        </w:tc>
      </w:tr>
      <w:t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22.00</w:t>
            </w:r>
          </w:p>
        </w:tc>
      </w:tr>
    </w:tbl>
    <w:p>
      <w:pPr>
        <w:pStyle w:val="yFootnotesection"/>
      </w:pPr>
      <w:r>
        <w:tab/>
        <w:t>[Division 4 inserted in Gazette 27 Sep 2013 p. 4527.]</w:t>
      </w:r>
    </w:p>
    <w:p>
      <w:pPr>
        <w:pStyle w:val="yHeading3"/>
        <w:rPr>
          <w:snapToGrid w:val="0"/>
        </w:rPr>
      </w:pPr>
      <w:bookmarkStart w:id="498" w:name="_Toc408498944"/>
      <w:bookmarkStart w:id="499" w:name="_Toc414889366"/>
      <w:bookmarkStart w:id="500" w:name="_Toc414975338"/>
      <w:bookmarkStart w:id="501" w:name="_Toc417563820"/>
      <w:bookmarkStart w:id="502" w:name="_Toc423340641"/>
      <w:bookmarkStart w:id="503" w:name="_Toc423343239"/>
      <w:r>
        <w:rPr>
          <w:rStyle w:val="CharSDivNo"/>
        </w:rPr>
        <w:t>Division 5</w:t>
      </w:r>
      <w:r>
        <w:rPr>
          <w:snapToGrid w:val="0"/>
        </w:rPr>
        <w:t> — </w:t>
      </w:r>
      <w:r>
        <w:rPr>
          <w:rStyle w:val="CharSDivText"/>
        </w:rPr>
        <w:t>Horse riding</w:t>
      </w:r>
      <w:bookmarkEnd w:id="498"/>
      <w:bookmarkEnd w:id="499"/>
      <w:bookmarkEnd w:id="500"/>
      <w:bookmarkEnd w:id="501"/>
      <w:bookmarkEnd w:id="502"/>
      <w:bookmarkEnd w:id="503"/>
    </w:p>
    <w:p>
      <w:pPr>
        <w:pStyle w:val="yFootnoteheading"/>
        <w:keepNext/>
        <w:keepLines/>
        <w:spacing w:after="60"/>
        <w:rPr>
          <w:snapToGrid w:val="0"/>
        </w:rPr>
      </w:pPr>
      <w:r>
        <w:tab/>
        <w:t>[Heading inserted in Gazette 27 Sep 2013 p. 4527.]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zyTableNAm"/>
            </w:pPr>
          </w:p>
        </w:tc>
        <w:tc>
          <w:tcPr>
            <w:tcW w:w="5245" w:type="dxa"/>
          </w:tcPr>
          <w:p>
            <w:pPr>
              <w:pStyle w:val="z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 xml:space="preserve">Daily fee for one person </w:t>
            </w:r>
          </w:p>
        </w:tc>
        <w:tc>
          <w:tcPr>
            <w:tcW w:w="992" w:type="dxa"/>
          </w:tcPr>
          <w:p>
            <w:pPr>
              <w:pStyle w:val="yTableNAm"/>
              <w:jc w:val="center"/>
            </w:pPr>
            <w:r>
              <w:t>7.00</w:t>
            </w:r>
          </w:p>
        </w:tc>
      </w:tr>
      <w:tr>
        <w:tc>
          <w:tcPr>
            <w:tcW w:w="709" w:type="dxa"/>
          </w:tcPr>
          <w:p>
            <w:pPr>
              <w:pStyle w:val="yTableNAm"/>
            </w:pPr>
            <w:r>
              <w:t>2.</w:t>
            </w:r>
          </w:p>
        </w:tc>
        <w:tc>
          <w:tcPr>
            <w:tcW w:w="5245" w:type="dxa"/>
          </w:tcPr>
          <w:p>
            <w:pPr>
              <w:pStyle w:val="yTableNAm"/>
            </w:pPr>
            <w:r>
              <w:t>Annual pass for family</w:t>
            </w:r>
          </w:p>
        </w:tc>
        <w:tc>
          <w:tcPr>
            <w:tcW w:w="992" w:type="dxa"/>
          </w:tcPr>
          <w:p>
            <w:pPr>
              <w:pStyle w:val="yTableNAm"/>
              <w:jc w:val="center"/>
            </w:pPr>
            <w:r>
              <w:t>54.00</w:t>
            </w:r>
          </w:p>
        </w:tc>
      </w:tr>
    </w:tbl>
    <w:p>
      <w:pPr>
        <w:pStyle w:val="yFootnotesection"/>
      </w:pPr>
      <w:r>
        <w:tab/>
        <w:t>[Division 5 inserted in Gazette 27 Sep 2013 p. 4527.]</w:t>
      </w:r>
    </w:p>
    <w:p>
      <w:pPr>
        <w:pStyle w:val="yHeading3"/>
        <w:rPr>
          <w:snapToGrid w:val="0"/>
        </w:rPr>
      </w:pPr>
      <w:bookmarkStart w:id="504" w:name="_Toc408498945"/>
      <w:bookmarkStart w:id="505" w:name="_Toc414889367"/>
      <w:bookmarkStart w:id="506" w:name="_Toc414975339"/>
      <w:bookmarkStart w:id="507" w:name="_Toc417563821"/>
      <w:bookmarkStart w:id="508" w:name="_Toc423340642"/>
      <w:bookmarkStart w:id="509" w:name="_Toc423343240"/>
      <w:r>
        <w:rPr>
          <w:rStyle w:val="CharSDivNo"/>
        </w:rPr>
        <w:t>Division 6</w:t>
      </w:r>
      <w:r>
        <w:rPr>
          <w:snapToGrid w:val="0"/>
        </w:rPr>
        <w:t> — </w:t>
      </w:r>
      <w:r>
        <w:rPr>
          <w:rStyle w:val="CharSDivText"/>
        </w:rPr>
        <w:t>Camping site fees</w:t>
      </w:r>
      <w:bookmarkEnd w:id="504"/>
      <w:bookmarkEnd w:id="505"/>
      <w:bookmarkEnd w:id="506"/>
      <w:bookmarkEnd w:id="507"/>
      <w:bookmarkEnd w:id="508"/>
      <w:bookmarkEnd w:id="509"/>
    </w:p>
    <w:p>
      <w:pPr>
        <w:pStyle w:val="yFootnoteheading"/>
        <w:keepNext/>
        <w:keepLines/>
        <w:spacing w:after="60"/>
        <w:rPr>
          <w:snapToGrid w:val="0"/>
        </w:rPr>
      </w:pPr>
      <w:r>
        <w:tab/>
        <w:t>[Heading inserted in Gazette 27 Sep 2013 p. 4527.]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zyTableNAm"/>
              <w:keepNext/>
              <w:keepLines/>
            </w:pPr>
          </w:p>
        </w:tc>
        <w:tc>
          <w:tcPr>
            <w:tcW w:w="5245" w:type="dxa"/>
          </w:tcPr>
          <w:p>
            <w:pPr>
              <w:pStyle w:val="zyTableNAm"/>
              <w:keepNext/>
              <w:keepLines/>
            </w:pPr>
          </w:p>
        </w:tc>
        <w:tc>
          <w:tcPr>
            <w:tcW w:w="992" w:type="dxa"/>
            <w:vAlign w:val="center"/>
          </w:tcPr>
          <w:p>
            <w:pPr>
              <w:pStyle w:val="yTableNAm"/>
              <w:jc w:val="center"/>
            </w:pPr>
            <w:r>
              <w:rPr>
                <w:b/>
              </w:rPr>
              <w:t>Fee per night</w:t>
            </w:r>
            <w:r>
              <w:rPr>
                <w:b/>
              </w:rPr>
              <w:br/>
              <w:t>$</w:t>
            </w:r>
          </w:p>
        </w:tc>
      </w:tr>
      <w:tr>
        <w:trPr>
          <w:cantSplit/>
        </w:trPr>
        <w:tc>
          <w:tcPr>
            <w:tcW w:w="709" w:type="dxa"/>
          </w:tcPr>
          <w:p>
            <w:pPr>
              <w:pStyle w:val="yTableNAm"/>
            </w:pPr>
            <w:r>
              <w:t>1.</w:t>
            </w:r>
          </w:p>
        </w:tc>
        <w:tc>
          <w:tcPr>
            <w:tcW w:w="5245" w:type="dxa"/>
          </w:tcPr>
          <w:p>
            <w:pPr>
              <w:pStyle w:val="yTableNAm"/>
            </w:pPr>
            <w:r>
              <w:t xml:space="preserve">Fee for site without facilities or with only basic facilities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br/>
              <w:t>7.50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t>5.50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t>2.20</w:t>
            </w:r>
          </w:p>
        </w:tc>
      </w:tr>
      <w:tr>
        <w:trPr>
          <w:cantSplit/>
        </w:trPr>
        <w:tc>
          <w:tcPr>
            <w:tcW w:w="709" w:type="dxa"/>
          </w:tcPr>
          <w:p>
            <w:pPr>
              <w:pStyle w:val="yTableNAm"/>
            </w:pPr>
            <w:r>
              <w:t xml:space="preserve">2. </w:t>
            </w:r>
          </w:p>
        </w:tc>
        <w:tc>
          <w:tcPr>
            <w:tcW w:w="5245" w:type="dxa"/>
          </w:tcPr>
          <w:p>
            <w:pPr>
              <w:pStyle w:val="yTableNAm"/>
            </w:pPr>
            <w:r>
              <w:t xml:space="preserve">Fee for site with facilities such as ablutions or showers, camp kitchens or picnic shelters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br/>
              <w:t>10.00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t>6.60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t>2.20</w:t>
            </w:r>
          </w:p>
        </w:tc>
      </w:tr>
      <w:tr>
        <w:trPr>
          <w:cantSplit/>
        </w:trPr>
        <w:tc>
          <w:tcPr>
            <w:tcW w:w="709" w:type="dxa"/>
          </w:tcPr>
          <w:p>
            <w:pPr>
              <w:pStyle w:val="yTableNAm"/>
            </w:pPr>
            <w:r>
              <w:t>3.</w:t>
            </w:r>
          </w:p>
        </w:tc>
        <w:tc>
          <w:tcPr>
            <w:tcW w:w="5245" w:type="dxa"/>
          </w:tcPr>
          <w:p>
            <w:pPr>
              <w:pStyle w:val="yTableNAm"/>
            </w:pPr>
            <w:r>
              <w:t xml:space="preserve">Fee for site in Windjana Gorge National Park, Purnululu National Park or King Leopold Ranges Conservation Park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br/>
            </w:r>
            <w:r>
              <w:br/>
              <w:t>12.00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t>8.80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t>2.20</w:t>
            </w:r>
          </w:p>
        </w:tc>
      </w:tr>
      <w:tr>
        <w:trPr>
          <w:cantSplit/>
        </w:trPr>
        <w:tc>
          <w:tcPr>
            <w:tcW w:w="709" w:type="dxa"/>
          </w:tcPr>
          <w:p>
            <w:pPr>
              <w:pStyle w:val="yTableNAm"/>
            </w:pPr>
            <w:r>
              <w:t>4.</w:t>
            </w:r>
          </w:p>
        </w:tc>
        <w:tc>
          <w:tcPr>
            <w:tcW w:w="5245" w:type="dxa"/>
          </w:tcPr>
          <w:p>
            <w:pPr>
              <w:pStyle w:val="yTableNAm"/>
            </w:pPr>
            <w:r>
              <w:t xml:space="preserve">Fee for site in Dirk Hartog Island National Park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t>19.00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t>13.50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t>2.00</w:t>
            </w:r>
          </w:p>
        </w:tc>
      </w:tr>
    </w:tbl>
    <w:p>
      <w:pPr>
        <w:pStyle w:val="yFootnotesection"/>
      </w:pPr>
      <w:r>
        <w:tab/>
        <w:t>[Division 6 inserted in Gazette 27 Sep 2013 p. 4527-8.]</w:t>
      </w:r>
    </w:p>
    <w:p>
      <w:pPr>
        <w:pStyle w:val="yHeading3"/>
      </w:pPr>
      <w:bookmarkStart w:id="510" w:name="_Toc408498946"/>
      <w:bookmarkStart w:id="511" w:name="_Toc414889368"/>
      <w:bookmarkStart w:id="512" w:name="_Toc414975340"/>
      <w:bookmarkStart w:id="513" w:name="_Toc417563822"/>
      <w:bookmarkStart w:id="514" w:name="_Toc423340643"/>
      <w:bookmarkStart w:id="515" w:name="_Toc423343241"/>
      <w:r>
        <w:rPr>
          <w:rStyle w:val="CharSDivNo"/>
        </w:rPr>
        <w:t>Division 7</w:t>
      </w:r>
      <w:r>
        <w:t> — </w:t>
      </w:r>
      <w:r>
        <w:rPr>
          <w:rStyle w:val="CharSDivText"/>
        </w:rPr>
        <w:t>Cave entrance fees</w:t>
      </w:r>
      <w:bookmarkEnd w:id="510"/>
      <w:bookmarkEnd w:id="511"/>
      <w:bookmarkEnd w:id="512"/>
      <w:bookmarkEnd w:id="513"/>
      <w:bookmarkEnd w:id="514"/>
      <w:bookmarkEnd w:id="515"/>
    </w:p>
    <w:p>
      <w:pPr>
        <w:pStyle w:val="yFootnoteheading"/>
        <w:keepNext/>
        <w:keepLines/>
        <w:spacing w:after="60"/>
        <w:rPr>
          <w:snapToGrid w:val="0"/>
        </w:rPr>
      </w:pPr>
      <w:r>
        <w:tab/>
        <w:t>[Heading inserted in Gazette 27 Sep 2013 p. 4528.]</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yTable"/>
              <w:keepNext/>
              <w:keepLines/>
            </w:pPr>
          </w:p>
        </w:tc>
        <w:tc>
          <w:tcPr>
            <w:tcW w:w="5245" w:type="dxa"/>
          </w:tcPr>
          <w:p>
            <w:pPr>
              <w:pStyle w:val="yTable"/>
              <w:keepNext/>
              <w:keepLines/>
            </w:pPr>
          </w:p>
        </w:tc>
        <w:tc>
          <w:tcPr>
            <w:tcW w:w="992" w:type="dxa"/>
          </w:tcPr>
          <w:p>
            <w:pPr>
              <w:pStyle w:val="yTable"/>
              <w:keepNext/>
              <w:keepLines/>
              <w:jc w:val="center"/>
              <w:rPr>
                <w:b/>
                <w:bCs/>
              </w:rPr>
            </w:pPr>
            <w:r>
              <w:rPr>
                <w:b/>
                <w:bCs/>
              </w:rPr>
              <w:t>$</w:t>
            </w:r>
          </w:p>
        </w:tc>
      </w:tr>
      <w:tr>
        <w:tc>
          <w:tcPr>
            <w:tcW w:w="709" w:type="dxa"/>
          </w:tcPr>
          <w:p>
            <w:pPr>
              <w:pStyle w:val="yTableNAm"/>
            </w:pPr>
            <w:r>
              <w:t>1.</w:t>
            </w:r>
          </w:p>
        </w:tc>
        <w:tc>
          <w:tcPr>
            <w:tcW w:w="5245" w:type="dxa"/>
          </w:tcPr>
          <w:p>
            <w:pPr>
              <w:pStyle w:val="yTableNAm"/>
            </w:pPr>
            <w:r>
              <w:t xml:space="preserve">Crystal Cave, Yanchep National Park — </w:t>
            </w:r>
          </w:p>
          <w:p>
            <w:pPr>
              <w:pStyle w:val="yTableNAm"/>
              <w:tabs>
                <w:tab w:val="clear" w:pos="567"/>
                <w:tab w:val="left" w:pos="417"/>
              </w:tabs>
              <w:ind w:left="417" w:hanging="417"/>
            </w:pPr>
            <w:r>
              <w:tab/>
              <w:t>each person 16 years of age or over</w:t>
            </w:r>
          </w:p>
          <w:p>
            <w:pPr>
              <w:pStyle w:val="yTableNAm"/>
              <w:tabs>
                <w:tab w:val="clear" w:pos="567"/>
                <w:tab w:val="left" w:pos="417"/>
              </w:tabs>
              <w:ind w:left="417" w:hanging="417"/>
            </w:pPr>
            <w:r>
              <w:tab/>
              <w:t>each person of more than 5 and less than 16 years of age</w:t>
            </w:r>
          </w:p>
          <w:p>
            <w:pPr>
              <w:pStyle w:val="yTableNAm"/>
              <w:tabs>
                <w:tab w:val="clear" w:pos="567"/>
                <w:tab w:val="left" w:pos="417"/>
              </w:tabs>
              <w:ind w:left="417" w:hanging="417"/>
            </w:pPr>
            <w:r>
              <w:tab/>
              <w:t>a family (2 adults and 2 children of more than 5 and less than 16 years of age)</w:t>
            </w:r>
          </w:p>
          <w:p>
            <w:pPr>
              <w:pStyle w:val="yTableNAm"/>
              <w:tabs>
                <w:tab w:val="clear" w:pos="567"/>
                <w:tab w:val="left" w:pos="417"/>
              </w:tabs>
              <w:ind w:left="417" w:hanging="417"/>
            </w:pPr>
            <w:r>
              <w:tab/>
              <w:t>each person who holds a concession card</w:t>
            </w:r>
          </w:p>
        </w:tc>
        <w:tc>
          <w:tcPr>
            <w:tcW w:w="992" w:type="dxa"/>
          </w:tcPr>
          <w:p>
            <w:pPr>
              <w:pStyle w:val="yTableNAm"/>
              <w:jc w:val="center"/>
            </w:pPr>
          </w:p>
          <w:p>
            <w:pPr>
              <w:pStyle w:val="yTableNAm"/>
              <w:jc w:val="center"/>
            </w:pPr>
            <w:r>
              <w:t>11.00</w:t>
            </w:r>
          </w:p>
          <w:p>
            <w:pPr>
              <w:pStyle w:val="yTableNAm"/>
              <w:jc w:val="center"/>
            </w:pPr>
            <w:r>
              <w:br/>
              <w:t>5.50</w:t>
            </w:r>
          </w:p>
          <w:p>
            <w:pPr>
              <w:pStyle w:val="yTableNAm"/>
              <w:jc w:val="center"/>
            </w:pPr>
            <w:r>
              <w:br/>
              <w:t>27.50</w:t>
            </w:r>
          </w:p>
          <w:p>
            <w:pPr>
              <w:pStyle w:val="yTableNAm"/>
              <w:jc w:val="center"/>
              <w:rPr>
                <w:bCs/>
              </w:rPr>
            </w:pPr>
            <w:r>
              <w:t>9.00</w:t>
            </w:r>
          </w:p>
        </w:tc>
      </w:tr>
      <w:tr>
        <w:trPr>
          <w:cantSplit/>
        </w:trPr>
        <w:tc>
          <w:tcPr>
            <w:tcW w:w="709" w:type="dxa"/>
          </w:tcPr>
          <w:p>
            <w:pPr>
              <w:pStyle w:val="yTable"/>
            </w:pPr>
            <w:r>
              <w:t>2.</w:t>
            </w:r>
          </w:p>
        </w:tc>
        <w:tc>
          <w:tcPr>
            <w:tcW w:w="5245" w:type="dxa"/>
          </w:tcPr>
          <w:p>
            <w:pPr>
              <w:pStyle w:val="yTable"/>
              <w:tabs>
                <w:tab w:val="left" w:pos="276"/>
                <w:tab w:val="left" w:pos="418"/>
              </w:tabs>
            </w:pPr>
            <w:r>
              <w:t xml:space="preserve">Calgardup and </w:t>
            </w:r>
            <w:smartTag w:uri="urn:schemas-microsoft-com:office:smarttags" w:element="place">
              <w:smartTag w:uri="urn:schemas-microsoft-com:office:smarttags" w:element="PlaceName">
                <w:r>
                  <w:t>Giants</w:t>
                </w:r>
              </w:smartTag>
              <w:r>
                <w:t xml:space="preserve"> </w:t>
              </w:r>
              <w:smartTag w:uri="urn:schemas-microsoft-com:office:smarttags" w:element="PlaceType">
                <w:r>
                  <w:t>Caves</w:t>
                </w:r>
              </w:smartTag>
            </w:smartTag>
            <w:r>
              <w:t>, Leeuwin</w:t>
            </w:r>
            <w:r>
              <w:noBreakHyphen/>
              <w:t>Naturaliste National Park —</w:t>
            </w:r>
          </w:p>
          <w:p>
            <w:pPr>
              <w:pStyle w:val="yTableNAm"/>
              <w:tabs>
                <w:tab w:val="clear" w:pos="567"/>
                <w:tab w:val="left" w:pos="417"/>
              </w:tabs>
              <w:ind w:left="417" w:hanging="417"/>
            </w:pPr>
            <w:r>
              <w:tab/>
              <w:t>each person 16 years of age or over</w:t>
            </w:r>
          </w:p>
        </w:tc>
        <w:tc>
          <w:tcPr>
            <w:tcW w:w="992" w:type="dxa"/>
            <w:vAlign w:val="bottom"/>
          </w:tcPr>
          <w:p>
            <w:pPr>
              <w:pStyle w:val="yTableNAm"/>
              <w:jc w:val="center"/>
            </w:pPr>
            <w:r>
              <w:t>16.00</w:t>
            </w:r>
          </w:p>
        </w:tc>
      </w:tr>
      <w:tr>
        <w:tc>
          <w:tcPr>
            <w:tcW w:w="709" w:type="dxa"/>
          </w:tcPr>
          <w:p>
            <w:pPr>
              <w:pStyle w:val="yTable"/>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bottom"/>
          </w:tcPr>
          <w:p>
            <w:pPr>
              <w:pStyle w:val="yTableNAm"/>
              <w:jc w:val="center"/>
            </w:pPr>
            <w:r>
              <w:t>8.50</w:t>
            </w:r>
          </w:p>
        </w:tc>
      </w:tr>
      <w:tr>
        <w:tc>
          <w:tcPr>
            <w:tcW w:w="709" w:type="dxa"/>
          </w:tcPr>
          <w:p>
            <w:pPr>
              <w:pStyle w:val="yTable"/>
            </w:pPr>
          </w:p>
        </w:tc>
        <w:tc>
          <w:tcPr>
            <w:tcW w:w="5245" w:type="dxa"/>
          </w:tcPr>
          <w:p>
            <w:pPr>
              <w:pStyle w:val="yTableNAm"/>
              <w:tabs>
                <w:tab w:val="clear" w:pos="567"/>
                <w:tab w:val="left" w:pos="417"/>
              </w:tabs>
              <w:ind w:left="417" w:hanging="417"/>
            </w:pPr>
            <w:r>
              <w:tab/>
              <w:t>a family (2 adults and 2 children of more than 5 and less than 16 years of age)</w:t>
            </w:r>
          </w:p>
        </w:tc>
        <w:tc>
          <w:tcPr>
            <w:tcW w:w="992" w:type="dxa"/>
            <w:vAlign w:val="bottom"/>
          </w:tcPr>
          <w:p>
            <w:pPr>
              <w:pStyle w:val="yTableNAm"/>
              <w:jc w:val="center"/>
            </w:pPr>
            <w:r>
              <w:t>44.00</w:t>
            </w:r>
          </w:p>
        </w:tc>
      </w:tr>
      <w:tr>
        <w:tc>
          <w:tcPr>
            <w:tcW w:w="709" w:type="dxa"/>
          </w:tcPr>
          <w:p>
            <w:pPr>
              <w:pStyle w:val="yTable"/>
            </w:pPr>
          </w:p>
        </w:tc>
        <w:tc>
          <w:tcPr>
            <w:tcW w:w="5245" w:type="dxa"/>
          </w:tcPr>
          <w:p>
            <w:pPr>
              <w:pStyle w:val="yTableNAm"/>
              <w:tabs>
                <w:tab w:val="clear" w:pos="567"/>
                <w:tab w:val="left" w:pos="417"/>
              </w:tabs>
              <w:ind w:left="417" w:hanging="417"/>
            </w:pPr>
            <w:r>
              <w:tab/>
              <w:t>each person who holds a concession card</w:t>
            </w:r>
          </w:p>
        </w:tc>
        <w:tc>
          <w:tcPr>
            <w:tcW w:w="992" w:type="dxa"/>
            <w:vAlign w:val="bottom"/>
          </w:tcPr>
          <w:p>
            <w:pPr>
              <w:pStyle w:val="yTableNAm"/>
              <w:jc w:val="center"/>
            </w:pPr>
            <w:r>
              <w:t>11.00</w:t>
            </w:r>
          </w:p>
        </w:tc>
      </w:tr>
    </w:tbl>
    <w:p>
      <w:pPr>
        <w:pStyle w:val="yFootnotesection"/>
      </w:pPr>
      <w:r>
        <w:tab/>
        <w:t>[Division 7 inserted in Gazette 27 Sep 2013 p. 4528.]</w:t>
      </w:r>
    </w:p>
    <w:p>
      <w:pPr>
        <w:pStyle w:val="yHeading3"/>
      </w:pPr>
      <w:bookmarkStart w:id="516" w:name="_Toc408498947"/>
      <w:bookmarkStart w:id="517" w:name="_Toc414889369"/>
      <w:bookmarkStart w:id="518" w:name="_Toc414975341"/>
      <w:bookmarkStart w:id="519" w:name="_Toc417563823"/>
      <w:bookmarkStart w:id="520" w:name="_Toc423340644"/>
      <w:bookmarkStart w:id="521" w:name="_Toc423343242"/>
      <w:r>
        <w:rPr>
          <w:rStyle w:val="CharSDivNo"/>
        </w:rPr>
        <w:t>Division 8</w:t>
      </w:r>
      <w:r>
        <w:t> — </w:t>
      </w:r>
      <w:r>
        <w:rPr>
          <w:rStyle w:val="CharSDivText"/>
        </w:rPr>
        <w:t>Licence and permit fees</w:t>
      </w:r>
      <w:bookmarkEnd w:id="516"/>
      <w:bookmarkEnd w:id="517"/>
      <w:bookmarkEnd w:id="518"/>
      <w:bookmarkEnd w:id="519"/>
      <w:bookmarkEnd w:id="520"/>
      <w:bookmarkEnd w:id="521"/>
    </w:p>
    <w:p>
      <w:pPr>
        <w:pStyle w:val="yFootnoteheading"/>
        <w:keepNext/>
        <w:keepLines/>
        <w:spacing w:after="60"/>
        <w:rPr>
          <w:snapToGrid w:val="0"/>
        </w:rPr>
      </w:pPr>
      <w:r>
        <w:tab/>
        <w:t>[Heading inserted in Gazette 27 Sep 2013 p. 4528.]</w:t>
      </w:r>
    </w:p>
    <w:tbl>
      <w:tblPr>
        <w:tblW w:w="0" w:type="auto"/>
        <w:tblInd w:w="250" w:type="dxa"/>
        <w:tblLayout w:type="fixed"/>
        <w:tblCellMar>
          <w:bottom w:w="113" w:type="dxa"/>
        </w:tblCellMar>
        <w:tblLook w:val="0000" w:firstRow="0" w:lastRow="0" w:firstColumn="0" w:lastColumn="0" w:noHBand="0" w:noVBand="0"/>
      </w:tblPr>
      <w:tblGrid>
        <w:gridCol w:w="709"/>
        <w:gridCol w:w="5245"/>
        <w:gridCol w:w="992"/>
      </w:tblGrid>
      <w:tr>
        <w:trPr>
          <w:tblHeader/>
        </w:trPr>
        <w:tc>
          <w:tcPr>
            <w:tcW w:w="709" w:type="dxa"/>
          </w:tcPr>
          <w:p>
            <w:pPr>
              <w:pStyle w:val="zyTableNAm"/>
              <w:jc w:val="center"/>
              <w:rPr>
                <w:b/>
                <w:bCs/>
              </w:rPr>
            </w:pPr>
          </w:p>
        </w:tc>
        <w:tc>
          <w:tcPr>
            <w:tcW w:w="5245" w:type="dxa"/>
          </w:tcPr>
          <w:p>
            <w:pPr>
              <w:pStyle w:val="zyTableNAm"/>
              <w:jc w:val="center"/>
              <w:rPr>
                <w:b/>
                <w:bCs/>
              </w:rPr>
            </w:pPr>
          </w:p>
        </w:tc>
        <w:tc>
          <w:tcPr>
            <w:tcW w:w="992" w:type="dxa"/>
          </w:tcPr>
          <w:p>
            <w:pPr>
              <w:pStyle w:val="yTableNAm"/>
              <w:jc w:val="center"/>
            </w:pPr>
            <w:r>
              <w:rPr>
                <w:b/>
                <w:bCs/>
              </w:rPr>
              <w:t>$</w:t>
            </w:r>
          </w:p>
        </w:tc>
      </w:tr>
      <w:tr>
        <w:tc>
          <w:tcPr>
            <w:tcW w:w="709" w:type="dxa"/>
          </w:tcPr>
          <w:p>
            <w:pPr>
              <w:pStyle w:val="yTableNAm"/>
            </w:pPr>
            <w:r>
              <w:t>1.</w:t>
            </w:r>
          </w:p>
        </w:tc>
        <w:tc>
          <w:tcPr>
            <w:tcW w:w="5245" w:type="dxa"/>
          </w:tcPr>
          <w:p>
            <w:pPr>
              <w:pStyle w:val="yTableNAm"/>
            </w:pPr>
            <w:r>
              <w:t>Application for cave permit per person per half day (r. 49)</w:t>
            </w:r>
          </w:p>
        </w:tc>
        <w:tc>
          <w:tcPr>
            <w:tcW w:w="992" w:type="dxa"/>
          </w:tcPr>
          <w:p>
            <w:pPr>
              <w:pStyle w:val="yTableNAm"/>
              <w:jc w:val="center"/>
            </w:pPr>
            <w:r>
              <w:br/>
              <w:t>5.50</w:t>
            </w:r>
          </w:p>
        </w:tc>
      </w:tr>
      <w:tr>
        <w:tc>
          <w:tcPr>
            <w:tcW w:w="709" w:type="dxa"/>
          </w:tcPr>
          <w:p>
            <w:pPr>
              <w:pStyle w:val="yTableNAm"/>
            </w:pPr>
            <w:r>
              <w:t>2.</w:t>
            </w:r>
          </w:p>
        </w:tc>
        <w:tc>
          <w:tcPr>
            <w:tcW w:w="5245" w:type="dxa"/>
          </w:tcPr>
          <w:p>
            <w:pPr>
              <w:pStyle w:val="yTableNAm"/>
            </w:pPr>
            <w:r>
              <w:t>Application for scientific purposes licence (r. 83)</w:t>
            </w:r>
          </w:p>
        </w:tc>
        <w:tc>
          <w:tcPr>
            <w:tcW w:w="992" w:type="dxa"/>
            <w:vAlign w:val="center"/>
          </w:tcPr>
          <w:p>
            <w:pPr>
              <w:pStyle w:val="yTableNAm"/>
              <w:jc w:val="center"/>
            </w:pPr>
            <w:r>
              <w:t>25.00</w:t>
            </w:r>
          </w:p>
        </w:tc>
      </w:tr>
      <w:tr>
        <w:tc>
          <w:tcPr>
            <w:tcW w:w="709" w:type="dxa"/>
          </w:tcPr>
          <w:p>
            <w:pPr>
              <w:pStyle w:val="yTableNAm"/>
            </w:pPr>
            <w:r>
              <w:t>3.</w:t>
            </w:r>
          </w:p>
        </w:tc>
        <w:tc>
          <w:tcPr>
            <w:tcW w:w="5245" w:type="dxa"/>
          </w:tcPr>
          <w:p>
            <w:pPr>
              <w:pStyle w:val="yTableNAm"/>
            </w:pPr>
            <w:r>
              <w:t>Application for renewal of scientific purposes licence (r. 92)</w:t>
            </w:r>
          </w:p>
        </w:tc>
        <w:tc>
          <w:tcPr>
            <w:tcW w:w="992" w:type="dxa"/>
            <w:vAlign w:val="center"/>
          </w:tcPr>
          <w:p>
            <w:pPr>
              <w:pStyle w:val="yTableNAm"/>
              <w:jc w:val="center"/>
            </w:pPr>
            <w:r>
              <w:t>25.00</w:t>
            </w:r>
          </w:p>
        </w:tc>
      </w:tr>
      <w:tr>
        <w:tc>
          <w:tcPr>
            <w:tcW w:w="709" w:type="dxa"/>
          </w:tcPr>
          <w:p>
            <w:pPr>
              <w:pStyle w:val="yTableNAm"/>
            </w:pPr>
            <w:r>
              <w:t>4.</w:t>
            </w:r>
          </w:p>
        </w:tc>
        <w:tc>
          <w:tcPr>
            <w:tcW w:w="5245" w:type="dxa"/>
          </w:tcPr>
          <w:p>
            <w:pPr>
              <w:pStyle w:val="yTableNAm"/>
            </w:pPr>
            <w:r>
              <w:t>Application for commercial operations licence (r. 83)</w:t>
            </w:r>
          </w:p>
        </w:tc>
        <w:tc>
          <w:tcPr>
            <w:tcW w:w="992" w:type="dxa"/>
            <w:vAlign w:val="center"/>
          </w:tcPr>
          <w:p>
            <w:pPr>
              <w:pStyle w:val="yTableNAm"/>
              <w:jc w:val="center"/>
            </w:pPr>
            <w:r>
              <w:t>100.00</w:t>
            </w:r>
          </w:p>
        </w:tc>
      </w:tr>
      <w:tr>
        <w:tc>
          <w:tcPr>
            <w:tcW w:w="709" w:type="dxa"/>
          </w:tcPr>
          <w:p>
            <w:pPr>
              <w:pStyle w:val="yTableNAm"/>
            </w:pPr>
            <w:r>
              <w:t>5.</w:t>
            </w:r>
          </w:p>
        </w:tc>
        <w:tc>
          <w:tcPr>
            <w:tcW w:w="5245" w:type="dxa"/>
          </w:tcPr>
          <w:p>
            <w:pPr>
              <w:pStyle w:val="yTableNAm"/>
            </w:pPr>
            <w:r>
              <w:t>Application for renewal of commercial operations licence (r. 97)</w:t>
            </w:r>
          </w:p>
        </w:tc>
        <w:tc>
          <w:tcPr>
            <w:tcW w:w="992" w:type="dxa"/>
          </w:tcPr>
          <w:p>
            <w:pPr>
              <w:pStyle w:val="yTableNAm"/>
              <w:jc w:val="center"/>
            </w:pPr>
            <w:r>
              <w:br/>
              <w:t>100.00</w:t>
            </w:r>
          </w:p>
        </w:tc>
      </w:tr>
      <w:tr>
        <w:tc>
          <w:tcPr>
            <w:tcW w:w="709" w:type="dxa"/>
          </w:tcPr>
          <w:p>
            <w:pPr>
              <w:pStyle w:val="yTableNAm"/>
            </w:pPr>
            <w:r>
              <w:t>6.</w:t>
            </w:r>
            <w:r>
              <w:tab/>
            </w:r>
          </w:p>
        </w:tc>
        <w:tc>
          <w:tcPr>
            <w:tcW w:w="5245" w:type="dxa"/>
          </w:tcPr>
          <w:p>
            <w:pPr>
              <w:pStyle w:val="yTableNAm"/>
            </w:pPr>
            <w:r>
              <w:t>Application for private mooring licence (r. 83)</w:t>
            </w:r>
          </w:p>
        </w:tc>
        <w:tc>
          <w:tcPr>
            <w:tcW w:w="992" w:type="dxa"/>
            <w:vAlign w:val="bottom"/>
          </w:tcPr>
          <w:p>
            <w:pPr>
              <w:pStyle w:val="yTableNAm"/>
              <w:jc w:val="center"/>
            </w:pPr>
            <w:r>
              <w:t>50.00</w:t>
            </w:r>
          </w:p>
        </w:tc>
      </w:tr>
    </w:tbl>
    <w:p>
      <w:pPr>
        <w:pStyle w:val="yFootnotesection"/>
      </w:pPr>
      <w:r>
        <w:tab/>
        <w:t>[Division 8 inserted in Gazette 27 Sep 2013 p. 4528-9; amended in Gazette 24 Mar 2015 p. 1043.]</w:t>
      </w:r>
    </w:p>
    <w:p>
      <w:pPr>
        <w:pStyle w:val="yHeading3"/>
      </w:pPr>
      <w:bookmarkStart w:id="522" w:name="_Toc408498948"/>
      <w:bookmarkStart w:id="523" w:name="_Toc414889370"/>
      <w:bookmarkStart w:id="524" w:name="_Toc414975342"/>
      <w:bookmarkStart w:id="525" w:name="_Toc417563824"/>
      <w:bookmarkStart w:id="526" w:name="_Toc423340645"/>
      <w:bookmarkStart w:id="527" w:name="_Toc423343243"/>
      <w:r>
        <w:rPr>
          <w:rStyle w:val="CharSDivNo"/>
        </w:rPr>
        <w:t>Division 9</w:t>
      </w:r>
      <w:r>
        <w:t> — </w:t>
      </w:r>
      <w:r>
        <w:rPr>
          <w:rStyle w:val="CharSDivText"/>
        </w:rPr>
        <w:t>Fees for abseiling</w:t>
      </w:r>
      <w:bookmarkEnd w:id="522"/>
      <w:bookmarkEnd w:id="523"/>
      <w:bookmarkEnd w:id="524"/>
      <w:bookmarkEnd w:id="525"/>
      <w:bookmarkEnd w:id="526"/>
      <w:bookmarkEnd w:id="527"/>
    </w:p>
    <w:p>
      <w:pPr>
        <w:pStyle w:val="yFootnoteheading"/>
        <w:keepNext/>
        <w:keepLines/>
        <w:spacing w:after="60"/>
        <w:rPr>
          <w:snapToGrid w:val="0"/>
        </w:rPr>
      </w:pPr>
      <w:r>
        <w:tab/>
        <w:t>[Heading inserted in Gazette 27 Sep 2013 p. 4529.]</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zyTableNAm"/>
              <w:keepNext/>
              <w:keepLines/>
            </w:pPr>
          </w:p>
        </w:tc>
        <w:tc>
          <w:tcPr>
            <w:tcW w:w="5245" w:type="dxa"/>
          </w:tcPr>
          <w:p>
            <w:pPr>
              <w:pStyle w:val="zyTableNAm"/>
              <w:keepNext/>
              <w:keepLines/>
            </w:pPr>
          </w:p>
        </w:tc>
        <w:tc>
          <w:tcPr>
            <w:tcW w:w="992" w:type="dxa"/>
            <w:vAlign w:val="center"/>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Fee for abseiling other than at Wilyabrup Cliffs (r. 102A)</w:t>
            </w:r>
          </w:p>
          <w:p>
            <w:pPr>
              <w:pStyle w:val="yTableNAm"/>
              <w:tabs>
                <w:tab w:val="clear" w:pos="567"/>
                <w:tab w:val="left" w:pos="417"/>
              </w:tabs>
              <w:ind w:left="417" w:hanging="417"/>
            </w:pPr>
            <w:r>
              <w:tab/>
              <w:t>per person per half</w:t>
            </w:r>
            <w:r>
              <w:noBreakHyphen/>
              <w:t>day</w:t>
            </w:r>
          </w:p>
        </w:tc>
        <w:tc>
          <w:tcPr>
            <w:tcW w:w="992" w:type="dxa"/>
            <w:vAlign w:val="center"/>
          </w:tcPr>
          <w:p>
            <w:pPr>
              <w:pStyle w:val="yTableNAm"/>
              <w:jc w:val="center"/>
            </w:pPr>
          </w:p>
          <w:p>
            <w:pPr>
              <w:pStyle w:val="yTableNAm"/>
              <w:jc w:val="center"/>
            </w:pPr>
            <w:r>
              <w:t>8.50</w:t>
            </w:r>
          </w:p>
        </w:tc>
      </w:tr>
      <w:tr>
        <w:trPr>
          <w:cantSplit/>
        </w:trPr>
        <w:tc>
          <w:tcPr>
            <w:tcW w:w="709" w:type="dxa"/>
          </w:tcPr>
          <w:p>
            <w:pPr>
              <w:pStyle w:val="yTableNAm"/>
            </w:pPr>
            <w:r>
              <w:t>2.</w:t>
            </w:r>
          </w:p>
        </w:tc>
        <w:tc>
          <w:tcPr>
            <w:tcW w:w="5245" w:type="dxa"/>
          </w:tcPr>
          <w:p>
            <w:pPr>
              <w:pStyle w:val="yTableNAm"/>
            </w:pPr>
            <w:r>
              <w:t>Fee for abseiling at Wilyabrup Cliffs (r. 102A)</w:t>
            </w:r>
          </w:p>
        </w:tc>
        <w:tc>
          <w:tcPr>
            <w:tcW w:w="992" w:type="dxa"/>
          </w:tcPr>
          <w:p>
            <w:pPr>
              <w:pStyle w:val="yTableNAm"/>
              <w:jc w:val="center"/>
            </w:pPr>
            <w:r>
              <w:t>8.50</w:t>
            </w:r>
          </w:p>
        </w:tc>
      </w:tr>
    </w:tbl>
    <w:p>
      <w:pPr>
        <w:pStyle w:val="yFootnotesection"/>
      </w:pPr>
      <w:r>
        <w:tab/>
        <w:t>[Division 9 inserted in Gazette 27 Sep 2013 p. 4529.]</w:t>
      </w:r>
    </w:p>
    <w:p>
      <w:pPr>
        <w:pStyle w:val="yHeading3"/>
      </w:pPr>
      <w:bookmarkStart w:id="528" w:name="_Toc408498949"/>
      <w:bookmarkStart w:id="529" w:name="_Toc414889371"/>
      <w:bookmarkStart w:id="530" w:name="_Toc414975343"/>
      <w:bookmarkStart w:id="531" w:name="_Toc417563825"/>
      <w:bookmarkStart w:id="532" w:name="_Toc423340646"/>
      <w:bookmarkStart w:id="533" w:name="_Toc423343244"/>
      <w:r>
        <w:rPr>
          <w:rStyle w:val="CharSDivNo"/>
        </w:rPr>
        <w:t>Division 10</w:t>
      </w:r>
      <w:r>
        <w:t> — </w:t>
      </w:r>
      <w:r>
        <w:rPr>
          <w:rStyle w:val="CharSDivText"/>
        </w:rPr>
        <w:t xml:space="preserve">Entrance fees for </w:t>
      </w:r>
      <w:smartTag w:uri="urn:schemas-microsoft-com:office:smarttags" w:element="PlaceName">
        <w:r>
          <w:rPr>
            <w:rStyle w:val="CharSDivText"/>
          </w:rPr>
          <w:t>Monkey</w:t>
        </w:r>
      </w:smartTag>
      <w:r>
        <w:rPr>
          <w:rStyle w:val="CharSDivText"/>
        </w:rPr>
        <w:t xml:space="preserve"> </w:t>
      </w:r>
      <w:smartTag w:uri="urn:schemas-microsoft-com:office:smarttags" w:element="PlaceName">
        <w:r>
          <w:rPr>
            <w:rStyle w:val="CharSDivText"/>
          </w:rPr>
          <w:t>Mia</w:t>
        </w:r>
      </w:smartTag>
      <w:r>
        <w:rPr>
          <w:rStyle w:val="CharSDivText"/>
        </w:rPr>
        <w:t xml:space="preserve"> Conservation Park</w:t>
      </w:r>
      <w:bookmarkEnd w:id="528"/>
      <w:bookmarkEnd w:id="529"/>
      <w:bookmarkEnd w:id="530"/>
      <w:bookmarkEnd w:id="531"/>
      <w:bookmarkEnd w:id="532"/>
      <w:bookmarkEnd w:id="533"/>
    </w:p>
    <w:p>
      <w:pPr>
        <w:pStyle w:val="yFootnoteheading"/>
        <w:keepNext/>
        <w:keepLines/>
        <w:spacing w:after="60"/>
        <w:rPr>
          <w:snapToGrid w:val="0"/>
        </w:rPr>
      </w:pPr>
      <w:r>
        <w:tab/>
        <w:t>[Heading inserted in Gazette 27 Sep 2013 p. 4529.]</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zyTableNAm"/>
            </w:pPr>
          </w:p>
        </w:tc>
        <w:tc>
          <w:tcPr>
            <w:tcW w:w="5245" w:type="dxa"/>
          </w:tcPr>
          <w:p>
            <w:pPr>
              <w:pStyle w:val="zyTableNAm"/>
            </w:pPr>
          </w:p>
        </w:tc>
        <w:tc>
          <w:tcPr>
            <w:tcW w:w="992" w:type="dxa"/>
            <w:vAlign w:val="center"/>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992" w:type="dxa"/>
          </w:tcPr>
          <w:p>
            <w:pPr>
              <w:pStyle w:val="yTableNAm"/>
              <w:jc w:val="center"/>
            </w:pPr>
            <w:r>
              <w:t>8.50</w:t>
            </w:r>
          </w:p>
        </w:tc>
      </w:tr>
      <w:tr>
        <w:trPr>
          <w:cantSplit/>
        </w:trPr>
        <w:tc>
          <w:tcPr>
            <w:tcW w:w="709" w:type="dxa"/>
          </w:tcPr>
          <w:p>
            <w:pPr>
              <w:pStyle w:val="yTableNAm"/>
            </w:pPr>
            <w:r>
              <w:t>2.</w:t>
            </w:r>
          </w:p>
        </w:tc>
        <w:tc>
          <w:tcPr>
            <w:tcW w:w="5245" w:type="dxa"/>
          </w:tcPr>
          <w:p>
            <w:pPr>
              <w:pStyle w:val="yTableNAm"/>
            </w:pPr>
            <w:r>
              <w:t xml:space="preserve">For person of more than 5 and less than 16 years of age </w:t>
            </w:r>
          </w:p>
        </w:tc>
        <w:tc>
          <w:tcPr>
            <w:tcW w:w="992" w:type="dxa"/>
          </w:tcPr>
          <w:p>
            <w:pPr>
              <w:pStyle w:val="yTableNAm"/>
              <w:jc w:val="center"/>
            </w:pPr>
            <w:r>
              <w:t>3.20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vAlign w:val="center"/>
          </w:tcPr>
          <w:p>
            <w:pPr>
              <w:pStyle w:val="yTableNAm"/>
              <w:jc w:val="center"/>
            </w:pPr>
            <w:r>
              <w:br/>
              <w:t>17.00</w:t>
            </w:r>
          </w:p>
        </w:tc>
      </w:tr>
      <w:tr>
        <w:trPr>
          <w:cantSplit/>
        </w:trP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6.40</w:t>
            </w:r>
          </w:p>
        </w:tc>
      </w:tr>
      <w:tr>
        <w:trPr>
          <w:cantSplit/>
        </w:trPr>
        <w:tc>
          <w:tcPr>
            <w:tcW w:w="709" w:type="dxa"/>
          </w:tcPr>
          <w:p>
            <w:pPr>
              <w:pStyle w:val="yTableNAm"/>
            </w:pPr>
            <w:r>
              <w:t>5.</w:t>
            </w:r>
          </w:p>
        </w:tc>
        <w:tc>
          <w:tcPr>
            <w:tcW w:w="5245" w:type="dxa"/>
          </w:tcPr>
          <w:p>
            <w:pPr>
              <w:pStyle w:val="yTableNAm"/>
            </w:pPr>
            <w:r>
              <w:t>One month pass for person 16 years of age or over</w:t>
            </w:r>
          </w:p>
        </w:tc>
        <w:tc>
          <w:tcPr>
            <w:tcW w:w="992" w:type="dxa"/>
          </w:tcPr>
          <w:p>
            <w:pPr>
              <w:pStyle w:val="yTableNAm"/>
              <w:jc w:val="center"/>
            </w:pPr>
            <w:r>
              <w:t>13.00</w:t>
            </w:r>
          </w:p>
        </w:tc>
      </w:tr>
      <w:tr>
        <w:trPr>
          <w:cantSplit/>
        </w:trPr>
        <w:tc>
          <w:tcPr>
            <w:tcW w:w="709" w:type="dxa"/>
          </w:tcPr>
          <w:p>
            <w:pPr>
              <w:pStyle w:val="yTableNAm"/>
            </w:pPr>
            <w:r>
              <w:t>6.</w:t>
            </w:r>
          </w:p>
        </w:tc>
        <w:tc>
          <w:tcPr>
            <w:tcW w:w="5245" w:type="dxa"/>
          </w:tcPr>
          <w:p>
            <w:pPr>
              <w:pStyle w:val="yTableNAm"/>
            </w:pPr>
            <w:r>
              <w:t>One month pass for person of more than 5 and less than 16 years of age</w:t>
            </w:r>
          </w:p>
        </w:tc>
        <w:tc>
          <w:tcPr>
            <w:tcW w:w="992" w:type="dxa"/>
          </w:tcPr>
          <w:p>
            <w:pPr>
              <w:pStyle w:val="yTableNAm"/>
              <w:jc w:val="center"/>
            </w:pPr>
            <w:r>
              <w:br/>
              <w:t>5.40</w:t>
            </w:r>
          </w:p>
        </w:tc>
      </w:tr>
      <w:tr>
        <w:trPr>
          <w:cantSplit/>
        </w:trPr>
        <w:tc>
          <w:tcPr>
            <w:tcW w:w="709" w:type="dxa"/>
          </w:tcPr>
          <w:p>
            <w:pPr>
              <w:pStyle w:val="yTableNAm"/>
            </w:pPr>
            <w:r>
              <w:t>7.</w:t>
            </w:r>
          </w:p>
        </w:tc>
        <w:tc>
          <w:tcPr>
            <w:tcW w:w="5245" w:type="dxa"/>
          </w:tcPr>
          <w:p>
            <w:pPr>
              <w:pStyle w:val="yTableNAm"/>
            </w:pPr>
            <w:r>
              <w:t>One month pass for family (2 adults and 2 children of more than 5 and less than 16 years of age)</w:t>
            </w:r>
          </w:p>
        </w:tc>
        <w:tc>
          <w:tcPr>
            <w:tcW w:w="992" w:type="dxa"/>
          </w:tcPr>
          <w:p>
            <w:pPr>
              <w:pStyle w:val="yTableNAm"/>
              <w:jc w:val="center"/>
            </w:pPr>
            <w:r>
              <w:br/>
              <w:t>32.00</w:t>
            </w:r>
          </w:p>
        </w:tc>
      </w:tr>
      <w:tr>
        <w:trPr>
          <w:cantSplit/>
        </w:trPr>
        <w:tc>
          <w:tcPr>
            <w:tcW w:w="709" w:type="dxa"/>
          </w:tcPr>
          <w:p>
            <w:pPr>
              <w:pStyle w:val="yTableNAm"/>
            </w:pPr>
            <w:r>
              <w:t>8.</w:t>
            </w:r>
          </w:p>
        </w:tc>
        <w:tc>
          <w:tcPr>
            <w:tcW w:w="5245" w:type="dxa"/>
          </w:tcPr>
          <w:p>
            <w:pPr>
              <w:pStyle w:val="yTableNAm"/>
            </w:pPr>
            <w:r>
              <w:t>One month pass for holder of a concession card</w:t>
            </w:r>
          </w:p>
        </w:tc>
        <w:tc>
          <w:tcPr>
            <w:tcW w:w="992" w:type="dxa"/>
          </w:tcPr>
          <w:p>
            <w:pPr>
              <w:pStyle w:val="yTableNAm"/>
              <w:jc w:val="center"/>
            </w:pPr>
            <w:r>
              <w:t>10.80</w:t>
            </w:r>
          </w:p>
        </w:tc>
      </w:tr>
    </w:tbl>
    <w:p>
      <w:pPr>
        <w:pStyle w:val="yFootnotesection"/>
      </w:pPr>
      <w:r>
        <w:tab/>
        <w:t>[Division 10 inserted in Gazette 27 Sep 2013 p. 4529.]</w:t>
      </w:r>
    </w:p>
    <w:p>
      <w:pPr>
        <w:pStyle w:val="yHeading3"/>
      </w:pPr>
      <w:bookmarkStart w:id="534" w:name="_Toc408498950"/>
      <w:bookmarkStart w:id="535" w:name="_Toc414889372"/>
      <w:bookmarkStart w:id="536" w:name="_Toc414975344"/>
      <w:bookmarkStart w:id="537" w:name="_Toc417563826"/>
      <w:bookmarkStart w:id="538" w:name="_Toc423340647"/>
      <w:bookmarkStart w:id="539" w:name="_Toc423343245"/>
      <w:r>
        <w:rPr>
          <w:rStyle w:val="CharSDivNo"/>
        </w:rPr>
        <w:t>Division 11</w:t>
      </w:r>
      <w:r>
        <w:rPr>
          <w:b w:val="0"/>
        </w:rPr>
        <w:t> — </w:t>
      </w:r>
      <w:r>
        <w:rPr>
          <w:rStyle w:val="CharSDivText"/>
        </w:rPr>
        <w:t>Apiary permit and licence fees</w:t>
      </w:r>
      <w:bookmarkEnd w:id="534"/>
      <w:bookmarkEnd w:id="535"/>
      <w:bookmarkEnd w:id="536"/>
      <w:bookmarkEnd w:id="537"/>
      <w:bookmarkEnd w:id="538"/>
      <w:bookmarkEnd w:id="539"/>
    </w:p>
    <w:p>
      <w:pPr>
        <w:pStyle w:val="yFootnoteheading"/>
        <w:keepNext/>
        <w:keepLines/>
      </w:pPr>
      <w:r>
        <w:tab/>
        <w:t>[Heading inserted in Gazette 3 Sep 2010 p. 4283.]</w:t>
      </w:r>
    </w:p>
    <w:tbl>
      <w:tblPr>
        <w:tblW w:w="0" w:type="auto"/>
        <w:tblInd w:w="85" w:type="dxa"/>
        <w:tblLayout w:type="fixed"/>
        <w:tblCellMar>
          <w:left w:w="85" w:type="dxa"/>
          <w:bottom w:w="57" w:type="dxa"/>
          <w:right w:w="85" w:type="dxa"/>
        </w:tblCellMar>
        <w:tblLook w:val="0000" w:firstRow="0" w:lastRow="0" w:firstColumn="0" w:lastColumn="0" w:noHBand="0" w:noVBand="0"/>
      </w:tblPr>
      <w:tblGrid>
        <w:gridCol w:w="652"/>
        <w:gridCol w:w="5444"/>
        <w:gridCol w:w="992"/>
      </w:tblGrid>
      <w:tr>
        <w:trPr>
          <w:tblHeader/>
        </w:trPr>
        <w:tc>
          <w:tcPr>
            <w:tcW w:w="652" w:type="dxa"/>
          </w:tcPr>
          <w:p>
            <w:pPr>
              <w:pStyle w:val="yTableNAm"/>
              <w:keepNext/>
              <w:keepLines/>
              <w:spacing w:before="60"/>
            </w:pPr>
          </w:p>
        </w:tc>
        <w:tc>
          <w:tcPr>
            <w:tcW w:w="5444" w:type="dxa"/>
          </w:tcPr>
          <w:p>
            <w:pPr>
              <w:pStyle w:val="yTableNAm"/>
              <w:keepNext/>
              <w:keepLines/>
              <w:spacing w:before="60"/>
            </w:pPr>
          </w:p>
        </w:tc>
        <w:tc>
          <w:tcPr>
            <w:tcW w:w="992" w:type="dxa"/>
            <w:vAlign w:val="bottom"/>
          </w:tcPr>
          <w:p>
            <w:pPr>
              <w:pStyle w:val="yTableNAm"/>
              <w:keepNext/>
              <w:keepLines/>
              <w:tabs>
                <w:tab w:val="clear" w:pos="567"/>
              </w:tabs>
              <w:spacing w:before="60"/>
              <w:jc w:val="center"/>
              <w:rPr>
                <w:b/>
                <w:bCs/>
              </w:rPr>
            </w:pPr>
            <w:r>
              <w:rPr>
                <w:b/>
                <w:bCs/>
              </w:rPr>
              <w:t>$</w:t>
            </w:r>
          </w:p>
        </w:tc>
      </w:tr>
      <w:tr>
        <w:trPr>
          <w:cantSplit/>
        </w:trPr>
        <w:tc>
          <w:tcPr>
            <w:tcW w:w="652" w:type="dxa"/>
          </w:tcPr>
          <w:p>
            <w:pPr>
              <w:pStyle w:val="yTableNAm"/>
              <w:spacing w:before="60"/>
            </w:pPr>
            <w:r>
              <w:t>1.</w:t>
            </w:r>
          </w:p>
        </w:tc>
        <w:tc>
          <w:tcPr>
            <w:tcW w:w="5444" w:type="dxa"/>
          </w:tcPr>
          <w:p>
            <w:pPr>
              <w:pStyle w:val="yTableNAm"/>
              <w:spacing w:before="60"/>
            </w:pPr>
            <w:r>
              <w:t xml:space="preserve">Application for grant of apiary authority where item 4 does not apply — </w:t>
            </w:r>
          </w:p>
          <w:p>
            <w:pPr>
              <w:pStyle w:val="yTableNAm"/>
              <w:spacing w:before="60"/>
              <w:ind w:left="567" w:hanging="567"/>
            </w:pPr>
            <w:r>
              <w:t>(a)</w:t>
            </w:r>
            <w:r>
              <w:tab/>
              <w:t>for apiary site in South</w:t>
            </w:r>
            <w:r>
              <w:noBreakHyphen/>
              <w:t>west zone</w:t>
            </w:r>
            <w:r>
              <w:br/>
              <w:t>(fee per 5 sites)</w:t>
            </w:r>
          </w:p>
          <w:p>
            <w:pPr>
              <w:pStyle w:val="yTableNAm"/>
              <w:spacing w:before="60"/>
              <w:ind w:left="567" w:hanging="567"/>
            </w:pPr>
            <w:r>
              <w:t>(b)</w:t>
            </w:r>
            <w:r>
              <w:tab/>
              <w:t>for apiary site outside the South</w:t>
            </w:r>
            <w:r>
              <w:noBreakHyphen/>
              <w:t xml:space="preserve">west zone </w:t>
            </w:r>
            <w:r>
              <w:br/>
              <w:t>(fee per 5 sites)</w:t>
            </w:r>
          </w:p>
        </w:tc>
        <w:tc>
          <w:tcPr>
            <w:tcW w:w="992" w:type="dxa"/>
            <w:vAlign w:val="bottom"/>
          </w:tcPr>
          <w:p>
            <w:pPr>
              <w:pStyle w:val="yTableNAm"/>
              <w:tabs>
                <w:tab w:val="clear" w:pos="567"/>
              </w:tabs>
              <w:spacing w:before="60"/>
              <w:jc w:val="right"/>
            </w:pPr>
            <w:r>
              <w:br/>
            </w:r>
          </w:p>
          <w:p>
            <w:pPr>
              <w:pStyle w:val="yTableNAm"/>
              <w:tabs>
                <w:tab w:val="clear" w:pos="567"/>
              </w:tabs>
              <w:spacing w:before="60"/>
              <w:jc w:val="right"/>
            </w:pPr>
            <w:r>
              <w:br/>
              <w:t>135.00</w:t>
            </w:r>
          </w:p>
          <w:p>
            <w:pPr>
              <w:pStyle w:val="yTableNAm"/>
              <w:tabs>
                <w:tab w:val="clear" w:pos="567"/>
              </w:tabs>
              <w:spacing w:before="60"/>
              <w:jc w:val="right"/>
            </w:pPr>
            <w:r>
              <w:br/>
              <w:t>65.00</w:t>
            </w:r>
          </w:p>
        </w:tc>
      </w:tr>
      <w:tr>
        <w:tc>
          <w:tcPr>
            <w:tcW w:w="652" w:type="dxa"/>
          </w:tcPr>
          <w:p>
            <w:pPr>
              <w:pStyle w:val="yTableNAm"/>
              <w:spacing w:before="60"/>
            </w:pPr>
            <w:r>
              <w:t>2.</w:t>
            </w:r>
          </w:p>
        </w:tc>
        <w:tc>
          <w:tcPr>
            <w:tcW w:w="5444" w:type="dxa"/>
          </w:tcPr>
          <w:p>
            <w:pPr>
              <w:pStyle w:val="yTableNAm"/>
              <w:spacing w:before="60"/>
              <w:rPr>
                <w:rStyle w:val="DraftersNotes"/>
              </w:rPr>
            </w:pPr>
            <w:r>
              <w:t>Application to transfer apiary authority</w:t>
            </w:r>
          </w:p>
        </w:tc>
        <w:tc>
          <w:tcPr>
            <w:tcW w:w="992" w:type="dxa"/>
            <w:vAlign w:val="bottom"/>
          </w:tcPr>
          <w:p>
            <w:pPr>
              <w:pStyle w:val="yTableNAm"/>
              <w:tabs>
                <w:tab w:val="clear" w:pos="567"/>
              </w:tabs>
              <w:spacing w:before="60"/>
              <w:jc w:val="right"/>
            </w:pPr>
            <w:r>
              <w:t>12.00</w:t>
            </w:r>
          </w:p>
        </w:tc>
      </w:tr>
      <w:tr>
        <w:tc>
          <w:tcPr>
            <w:tcW w:w="652" w:type="dxa"/>
          </w:tcPr>
          <w:p>
            <w:pPr>
              <w:pStyle w:val="yTableNAm"/>
              <w:spacing w:before="60"/>
            </w:pPr>
            <w:r>
              <w:t>3.</w:t>
            </w:r>
          </w:p>
        </w:tc>
        <w:tc>
          <w:tcPr>
            <w:tcW w:w="5444" w:type="dxa"/>
          </w:tcPr>
          <w:p>
            <w:pPr>
              <w:pStyle w:val="yTableNAm"/>
              <w:spacing w:before="60"/>
            </w:pPr>
            <w:r>
              <w:t xml:space="preserve">Application to vary apiary licence to change the site to which it relates — </w:t>
            </w:r>
          </w:p>
          <w:p>
            <w:pPr>
              <w:pStyle w:val="yTableNAm"/>
              <w:spacing w:before="60"/>
              <w:ind w:left="567" w:hanging="567"/>
            </w:pPr>
            <w:r>
              <w:t>(a)</w:t>
            </w:r>
            <w:r>
              <w:tab/>
              <w:t>where new site is in the South</w:t>
            </w:r>
            <w:r>
              <w:noBreakHyphen/>
              <w:t xml:space="preserve">west zone </w:t>
            </w:r>
            <w:r>
              <w:br/>
              <w:t>(fee per 5 new sites)</w:t>
            </w:r>
          </w:p>
          <w:p>
            <w:pPr>
              <w:pStyle w:val="yTableNAm"/>
              <w:spacing w:before="60"/>
              <w:ind w:left="567" w:hanging="567"/>
            </w:pPr>
            <w:r>
              <w:t>(b)</w:t>
            </w:r>
            <w:r>
              <w:tab/>
              <w:t>where new site is outside the South</w:t>
            </w:r>
            <w:r>
              <w:noBreakHyphen/>
              <w:t>west zone (fee per 5 new sites)</w:t>
            </w:r>
          </w:p>
        </w:tc>
        <w:tc>
          <w:tcPr>
            <w:tcW w:w="992" w:type="dxa"/>
            <w:vAlign w:val="bottom"/>
          </w:tcPr>
          <w:p>
            <w:pPr>
              <w:pStyle w:val="yTableNAm"/>
              <w:tabs>
                <w:tab w:val="clear" w:pos="567"/>
              </w:tabs>
              <w:spacing w:before="60"/>
              <w:jc w:val="right"/>
            </w:pPr>
            <w:r>
              <w:br/>
            </w:r>
          </w:p>
          <w:p>
            <w:pPr>
              <w:pStyle w:val="yTableNAm"/>
              <w:tabs>
                <w:tab w:val="clear" w:pos="567"/>
              </w:tabs>
              <w:spacing w:before="60"/>
              <w:jc w:val="right"/>
            </w:pPr>
            <w:r>
              <w:br/>
              <w:t>100.00</w:t>
            </w:r>
          </w:p>
          <w:p>
            <w:pPr>
              <w:pStyle w:val="yTableNAm"/>
              <w:tabs>
                <w:tab w:val="clear" w:pos="567"/>
              </w:tabs>
              <w:spacing w:before="60"/>
              <w:jc w:val="right"/>
            </w:pPr>
            <w:r>
              <w:br/>
              <w:t>50.00</w:t>
            </w:r>
          </w:p>
        </w:tc>
      </w:tr>
      <w:tr>
        <w:tc>
          <w:tcPr>
            <w:tcW w:w="652" w:type="dxa"/>
          </w:tcPr>
          <w:p>
            <w:pPr>
              <w:pStyle w:val="yTableNAm"/>
              <w:spacing w:before="80"/>
            </w:pPr>
            <w:r>
              <w:t>4.</w:t>
            </w:r>
          </w:p>
        </w:tc>
        <w:tc>
          <w:tcPr>
            <w:tcW w:w="5444" w:type="dxa"/>
          </w:tcPr>
          <w:p>
            <w:pPr>
              <w:pStyle w:val="yTableNAm"/>
              <w:spacing w:before="80"/>
            </w:pPr>
            <w:r>
              <w:t xml:space="preserve">Application for grant of apiary permit where permit is sought to replace a permit held by the applicant for a different site which will be surrendered if the application is granted — </w:t>
            </w:r>
          </w:p>
          <w:p>
            <w:pPr>
              <w:pStyle w:val="yTableNAm"/>
              <w:spacing w:before="80"/>
              <w:ind w:left="567" w:hanging="567"/>
            </w:pPr>
            <w:r>
              <w:t>(a)</w:t>
            </w:r>
            <w:r>
              <w:tab/>
              <w:t>where new site is in the South</w:t>
            </w:r>
            <w:r>
              <w:noBreakHyphen/>
              <w:t xml:space="preserve">west zone </w:t>
            </w:r>
            <w:r>
              <w:br/>
              <w:t>(fee per 5 new sites)</w:t>
            </w:r>
          </w:p>
          <w:p>
            <w:pPr>
              <w:pStyle w:val="yTableNAm"/>
              <w:spacing w:before="80"/>
              <w:ind w:left="567" w:hanging="567"/>
            </w:pPr>
            <w:r>
              <w:t>(b)</w:t>
            </w:r>
            <w:r>
              <w:tab/>
              <w:t>where new site is outside the South</w:t>
            </w:r>
            <w:r>
              <w:noBreakHyphen/>
              <w:t>west zone (fee per 5 new sites)</w:t>
            </w:r>
          </w:p>
        </w:tc>
        <w:tc>
          <w:tcPr>
            <w:tcW w:w="992" w:type="dxa"/>
            <w:vAlign w:val="bottom"/>
          </w:tcPr>
          <w:p>
            <w:pPr>
              <w:pStyle w:val="yTableNAm"/>
              <w:tabs>
                <w:tab w:val="clear" w:pos="567"/>
              </w:tabs>
              <w:spacing w:before="80"/>
              <w:jc w:val="right"/>
            </w:pPr>
            <w:r>
              <w:br/>
            </w:r>
            <w:r>
              <w:br/>
            </w:r>
            <w:r>
              <w:br/>
            </w:r>
          </w:p>
          <w:p>
            <w:pPr>
              <w:pStyle w:val="yTableNAm"/>
              <w:tabs>
                <w:tab w:val="clear" w:pos="567"/>
              </w:tabs>
              <w:spacing w:before="80"/>
              <w:jc w:val="right"/>
            </w:pPr>
            <w:r>
              <w:br/>
              <w:t>100.00</w:t>
            </w:r>
          </w:p>
          <w:p>
            <w:pPr>
              <w:pStyle w:val="yTableNAm"/>
              <w:tabs>
                <w:tab w:val="clear" w:pos="567"/>
              </w:tabs>
              <w:spacing w:before="80"/>
              <w:jc w:val="right"/>
            </w:pPr>
            <w:r>
              <w:br/>
              <w:t>50.00</w:t>
            </w:r>
          </w:p>
        </w:tc>
      </w:tr>
    </w:tbl>
    <w:p>
      <w:pPr>
        <w:pStyle w:val="yFootnotesection"/>
      </w:pPr>
      <w:r>
        <w:tab/>
        <w:t>[Division 11 inserted in Gazette 3 Sep 2010 p. 4283.]</w:t>
      </w:r>
    </w:p>
    <w:p>
      <w:pPr>
        <w:pStyle w:val="yHeading3"/>
      </w:pPr>
      <w:bookmarkStart w:id="540" w:name="_Toc408498951"/>
      <w:bookmarkStart w:id="541" w:name="_Toc414889373"/>
      <w:bookmarkStart w:id="542" w:name="_Toc414975345"/>
      <w:bookmarkStart w:id="543" w:name="_Toc417563827"/>
      <w:bookmarkStart w:id="544" w:name="_Toc423340648"/>
      <w:bookmarkStart w:id="545" w:name="_Toc423343246"/>
      <w:r>
        <w:rPr>
          <w:rStyle w:val="CharSDivNo"/>
        </w:rPr>
        <w:t>Division 12</w:t>
      </w:r>
      <w:r>
        <w:rPr>
          <w:b w:val="0"/>
        </w:rPr>
        <w:t> — </w:t>
      </w:r>
      <w:r>
        <w:rPr>
          <w:rStyle w:val="CharSDivText"/>
        </w:rPr>
        <w:t>Landing fees for aircraft</w:t>
      </w:r>
      <w:bookmarkEnd w:id="540"/>
      <w:bookmarkEnd w:id="541"/>
      <w:bookmarkEnd w:id="542"/>
      <w:bookmarkEnd w:id="543"/>
      <w:bookmarkEnd w:id="544"/>
      <w:bookmarkEnd w:id="545"/>
    </w:p>
    <w:p>
      <w:pPr>
        <w:pStyle w:val="yFootnoteheading"/>
        <w:keepNext/>
        <w:keepLines/>
        <w:spacing w:after="60"/>
      </w:pPr>
      <w:r>
        <w:tab/>
        <w:t>[Heading inserted in Gazette 3 Dec 2010 p. 6052.]</w:t>
      </w:r>
    </w:p>
    <w:tbl>
      <w:tblPr>
        <w:tblW w:w="0" w:type="auto"/>
        <w:tblInd w:w="85" w:type="dxa"/>
        <w:tblLayout w:type="fixed"/>
        <w:tblCellMar>
          <w:left w:w="85" w:type="dxa"/>
          <w:right w:w="85" w:type="dxa"/>
        </w:tblCellMar>
        <w:tblLook w:val="0000" w:firstRow="0" w:lastRow="0" w:firstColumn="0" w:lastColumn="0" w:noHBand="0" w:noVBand="0"/>
      </w:tblPr>
      <w:tblGrid>
        <w:gridCol w:w="652"/>
        <w:gridCol w:w="5444"/>
        <w:gridCol w:w="992"/>
      </w:tblGrid>
      <w:tr>
        <w:tc>
          <w:tcPr>
            <w:tcW w:w="652" w:type="dxa"/>
          </w:tcPr>
          <w:p>
            <w:pPr>
              <w:pStyle w:val="yTableNAm"/>
            </w:pPr>
            <w:r>
              <w:t>1.</w:t>
            </w:r>
          </w:p>
        </w:tc>
        <w:tc>
          <w:tcPr>
            <w:tcW w:w="5444" w:type="dxa"/>
          </w:tcPr>
          <w:p>
            <w:pPr>
              <w:pStyle w:val="yTableNAm"/>
            </w:pPr>
            <w:r>
              <w:t>Daily landing fee for each occupant of an aircraft landing on an aircraft landing area</w:t>
            </w:r>
          </w:p>
        </w:tc>
        <w:tc>
          <w:tcPr>
            <w:tcW w:w="992" w:type="dxa"/>
          </w:tcPr>
          <w:p>
            <w:pPr>
              <w:pStyle w:val="yTableNAm"/>
              <w:jc w:val="right"/>
            </w:pPr>
            <w:r>
              <w:br/>
              <w:t>11.00</w:t>
            </w:r>
          </w:p>
        </w:tc>
      </w:tr>
    </w:tbl>
    <w:p>
      <w:pPr>
        <w:pStyle w:val="yFootnotesection"/>
      </w:pPr>
      <w:r>
        <w:tab/>
        <w:t>[Division 12 inserted in Gazette 3 Dec 2010 p. 6052.]</w:t>
      </w:r>
    </w:p>
    <w:p>
      <w:pPr>
        <w:pStyle w:val="yScheduleHeading"/>
        <w:outlineLvl w:val="0"/>
      </w:pPr>
      <w:bookmarkStart w:id="546" w:name="_Toc408498952"/>
      <w:bookmarkStart w:id="547" w:name="_Toc414889374"/>
      <w:bookmarkStart w:id="548" w:name="_Toc414975346"/>
      <w:bookmarkStart w:id="549" w:name="_Toc417563828"/>
      <w:bookmarkStart w:id="550" w:name="_Toc423340649"/>
      <w:bookmarkStart w:id="551" w:name="_Toc423343247"/>
      <w:r>
        <w:rPr>
          <w:rStyle w:val="CharSchNo"/>
        </w:rPr>
        <w:t>Schedule 2</w:t>
      </w:r>
      <w:r>
        <w:t xml:space="preserve"> — </w:t>
      </w:r>
      <w:r>
        <w:rPr>
          <w:rStyle w:val="CharSchText"/>
        </w:rPr>
        <w:t>Offences to which modified penalties apply</w:t>
      </w:r>
      <w:bookmarkEnd w:id="546"/>
      <w:bookmarkEnd w:id="547"/>
      <w:bookmarkEnd w:id="548"/>
      <w:bookmarkEnd w:id="549"/>
      <w:bookmarkEnd w:id="550"/>
      <w:bookmarkEnd w:id="551"/>
    </w:p>
    <w:p>
      <w:pPr>
        <w:pStyle w:val="yShoulderClause"/>
      </w:pPr>
      <w:r>
        <w:t xml:space="preserve">[r. 112] </w:t>
      </w:r>
    </w:p>
    <w:p>
      <w:pPr>
        <w:pStyle w:val="yHeading3"/>
      </w:pPr>
      <w:bookmarkStart w:id="552" w:name="_Toc408498953"/>
      <w:bookmarkStart w:id="553" w:name="_Toc414889375"/>
      <w:bookmarkStart w:id="554" w:name="_Toc414975347"/>
      <w:bookmarkStart w:id="555" w:name="_Toc417563829"/>
      <w:bookmarkStart w:id="556" w:name="_Toc423340650"/>
      <w:bookmarkStart w:id="557" w:name="_Toc423343248"/>
      <w:r>
        <w:rPr>
          <w:rStyle w:val="CharSDivNo"/>
        </w:rPr>
        <w:t>Division 1</w:t>
      </w:r>
      <w:r>
        <w:rPr>
          <w:rStyle w:val="CharDivNo"/>
        </w:rPr>
        <w:t xml:space="preserve"> </w:t>
      </w:r>
      <w:r>
        <w:t xml:space="preserve">— </w:t>
      </w:r>
      <w:r>
        <w:rPr>
          <w:rStyle w:val="CharSDivText"/>
        </w:rPr>
        <w:t>Offences under the Act</w:t>
      </w:r>
      <w:bookmarkEnd w:id="552"/>
      <w:bookmarkEnd w:id="553"/>
      <w:bookmarkEnd w:id="554"/>
      <w:bookmarkEnd w:id="555"/>
      <w:bookmarkEnd w:id="556"/>
      <w:bookmarkEnd w:id="557"/>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c>
          <w:tcPr>
            <w:tcW w:w="840" w:type="dxa"/>
            <w:vAlign w:val="center"/>
          </w:tcPr>
          <w:p>
            <w:pPr>
              <w:pStyle w:val="yTable"/>
              <w:rPr>
                <w:b/>
              </w:rPr>
            </w:pPr>
          </w:p>
        </w:tc>
        <w:tc>
          <w:tcPr>
            <w:tcW w:w="1320" w:type="dxa"/>
          </w:tcPr>
          <w:p>
            <w:pPr>
              <w:pStyle w:val="yTable"/>
              <w:rPr>
                <w:b/>
              </w:rPr>
            </w:pPr>
            <w:r>
              <w:rPr>
                <w:b/>
              </w:rPr>
              <w:t>Column 1</w:t>
            </w:r>
          </w:p>
        </w:tc>
        <w:tc>
          <w:tcPr>
            <w:tcW w:w="3720" w:type="dxa"/>
          </w:tcPr>
          <w:p>
            <w:pPr>
              <w:pStyle w:val="yTable"/>
              <w:jc w:val="center"/>
              <w:rPr>
                <w:b/>
              </w:rPr>
            </w:pPr>
            <w:r>
              <w:rPr>
                <w:b/>
              </w:rPr>
              <w:t>Column 2</w:t>
            </w:r>
          </w:p>
        </w:tc>
        <w:tc>
          <w:tcPr>
            <w:tcW w:w="1200" w:type="dxa"/>
          </w:tcPr>
          <w:p>
            <w:pPr>
              <w:pStyle w:val="yTable"/>
              <w:jc w:val="center"/>
              <w:rPr>
                <w:b/>
              </w:rPr>
            </w:pPr>
            <w:r>
              <w:rPr>
                <w:b/>
              </w:rPr>
              <w:t>Column 3</w:t>
            </w:r>
          </w:p>
        </w:tc>
      </w:tr>
      <w:tr>
        <w:tc>
          <w:tcPr>
            <w:tcW w:w="840" w:type="dxa"/>
            <w:vAlign w:val="center"/>
          </w:tcPr>
          <w:p>
            <w:pPr>
              <w:pStyle w:val="yTable"/>
              <w:rPr>
                <w:b/>
              </w:rPr>
            </w:pPr>
            <w:r>
              <w:rPr>
                <w:b/>
              </w:rPr>
              <w:t>Item No.</w:t>
            </w:r>
            <w:r>
              <w:rPr>
                <w:b/>
              </w:rPr>
              <w:br/>
            </w:r>
          </w:p>
        </w:tc>
        <w:tc>
          <w:tcPr>
            <w:tcW w:w="1320" w:type="dxa"/>
          </w:tcPr>
          <w:p>
            <w:pPr>
              <w:pStyle w:val="yTable"/>
              <w:rPr>
                <w:b/>
              </w:rPr>
            </w:pPr>
            <w:r>
              <w:rPr>
                <w:b/>
              </w:rPr>
              <w:t>Section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c>
          <w:tcPr>
            <w:tcW w:w="840" w:type="dxa"/>
          </w:tcPr>
          <w:p>
            <w:pPr>
              <w:pStyle w:val="yTable"/>
            </w:pPr>
            <w:r>
              <w:t>1.</w:t>
            </w:r>
          </w:p>
        </w:tc>
        <w:tc>
          <w:tcPr>
            <w:tcW w:w="1320" w:type="dxa"/>
          </w:tcPr>
          <w:p>
            <w:pPr>
              <w:pStyle w:val="yTable"/>
            </w:pPr>
            <w:r>
              <w:t>101C</w:t>
            </w:r>
          </w:p>
        </w:tc>
        <w:tc>
          <w:tcPr>
            <w:tcW w:w="3720" w:type="dxa"/>
          </w:tcPr>
          <w:p>
            <w:pPr>
              <w:pStyle w:val="yTable"/>
            </w:pPr>
            <w:r>
              <w:t>Unlawfully taking flora or fauna in marine nature reserve, marine park or marine management area</w:t>
            </w:r>
          </w:p>
        </w:tc>
        <w:tc>
          <w:tcPr>
            <w:tcW w:w="1200" w:type="dxa"/>
            <w:vAlign w:val="bottom"/>
          </w:tcPr>
          <w:p>
            <w:pPr>
              <w:pStyle w:val="yTable"/>
              <w:jc w:val="center"/>
            </w:pPr>
            <w:r>
              <w:t>200</w:t>
            </w:r>
          </w:p>
        </w:tc>
      </w:tr>
      <w:tr>
        <w:trPr>
          <w:cantSplit/>
        </w:trPr>
        <w:tc>
          <w:tcPr>
            <w:tcW w:w="840" w:type="dxa"/>
          </w:tcPr>
          <w:p>
            <w:pPr>
              <w:pStyle w:val="yTable"/>
            </w:pPr>
            <w:r>
              <w:t>2.</w:t>
            </w:r>
          </w:p>
        </w:tc>
        <w:tc>
          <w:tcPr>
            <w:tcW w:w="1320" w:type="dxa"/>
          </w:tcPr>
          <w:p>
            <w:pPr>
              <w:pStyle w:val="yTable"/>
              <w:tabs>
                <w:tab w:val="decimal" w:pos="340"/>
              </w:tabs>
            </w:pPr>
            <w:r>
              <w:t>103(1)</w:t>
            </w:r>
          </w:p>
        </w:tc>
        <w:tc>
          <w:tcPr>
            <w:tcW w:w="3720" w:type="dxa"/>
          </w:tcPr>
          <w:p>
            <w:pPr>
              <w:pStyle w:val="yTable"/>
            </w:pPr>
            <w:r>
              <w:t>Unlawful taking of forest produce</w:t>
            </w:r>
          </w:p>
        </w:tc>
        <w:tc>
          <w:tcPr>
            <w:tcW w:w="1200" w:type="dxa"/>
            <w:vAlign w:val="bottom"/>
          </w:tcPr>
          <w:p>
            <w:pPr>
              <w:pStyle w:val="yTable"/>
              <w:jc w:val="center"/>
            </w:pPr>
            <w:r>
              <w:t>200</w:t>
            </w:r>
          </w:p>
        </w:tc>
      </w:tr>
      <w:tr>
        <w:trPr>
          <w:cantSplit/>
        </w:trPr>
        <w:tc>
          <w:tcPr>
            <w:tcW w:w="840" w:type="dxa"/>
          </w:tcPr>
          <w:p>
            <w:pPr>
              <w:pStyle w:val="yTable"/>
            </w:pPr>
            <w:r>
              <w:t>3.</w:t>
            </w:r>
          </w:p>
        </w:tc>
        <w:tc>
          <w:tcPr>
            <w:tcW w:w="1320" w:type="dxa"/>
          </w:tcPr>
          <w:p>
            <w:pPr>
              <w:pStyle w:val="yTable"/>
              <w:tabs>
                <w:tab w:val="decimal" w:pos="177"/>
              </w:tabs>
            </w:pPr>
            <w:r>
              <w:t>106</w:t>
            </w:r>
          </w:p>
        </w:tc>
        <w:tc>
          <w:tcPr>
            <w:tcW w:w="3720" w:type="dxa"/>
          </w:tcPr>
          <w:p>
            <w:pPr>
              <w:pStyle w:val="yTable"/>
            </w:pPr>
            <w:r>
              <w:t>Unlawful occupation of land</w:t>
            </w:r>
          </w:p>
        </w:tc>
        <w:tc>
          <w:tcPr>
            <w:tcW w:w="1200" w:type="dxa"/>
            <w:vAlign w:val="bottom"/>
          </w:tcPr>
          <w:p>
            <w:pPr>
              <w:pStyle w:val="yTable"/>
              <w:jc w:val="center"/>
            </w:pPr>
            <w:r>
              <w:t>200</w:t>
            </w:r>
          </w:p>
        </w:tc>
      </w:tr>
      <w:tr>
        <w:trPr>
          <w:cantSplit/>
        </w:trPr>
        <w:tc>
          <w:tcPr>
            <w:tcW w:w="840" w:type="dxa"/>
          </w:tcPr>
          <w:p>
            <w:pPr>
              <w:pStyle w:val="yTable"/>
            </w:pPr>
            <w:r>
              <w:t>4.</w:t>
            </w:r>
          </w:p>
        </w:tc>
        <w:tc>
          <w:tcPr>
            <w:tcW w:w="1320" w:type="dxa"/>
          </w:tcPr>
          <w:p>
            <w:pPr>
              <w:pStyle w:val="yTable"/>
              <w:tabs>
                <w:tab w:val="decimal" w:pos="340"/>
              </w:tabs>
            </w:pPr>
            <w:r>
              <w:t>107(b)</w:t>
            </w:r>
          </w:p>
        </w:tc>
        <w:tc>
          <w:tcPr>
            <w:tcW w:w="3720" w:type="dxa"/>
          </w:tcPr>
          <w:p>
            <w:pPr>
              <w:pStyle w:val="yTable"/>
            </w:pPr>
            <w:r>
              <w:t>Unlawfully altering signs etc.</w:t>
            </w:r>
          </w:p>
        </w:tc>
        <w:tc>
          <w:tcPr>
            <w:tcW w:w="1200" w:type="dxa"/>
            <w:vAlign w:val="bottom"/>
          </w:tcPr>
          <w:p>
            <w:pPr>
              <w:pStyle w:val="yTable"/>
              <w:jc w:val="center"/>
            </w:pPr>
            <w:r>
              <w:t>200</w:t>
            </w:r>
          </w:p>
        </w:tc>
      </w:tr>
      <w:tr>
        <w:trPr>
          <w:cantSplit/>
        </w:trPr>
        <w:tc>
          <w:tcPr>
            <w:tcW w:w="840" w:type="dxa"/>
          </w:tcPr>
          <w:p>
            <w:pPr>
              <w:pStyle w:val="yTable"/>
            </w:pPr>
            <w:r>
              <w:t>5.</w:t>
            </w:r>
          </w:p>
        </w:tc>
        <w:tc>
          <w:tcPr>
            <w:tcW w:w="1320" w:type="dxa"/>
          </w:tcPr>
          <w:p>
            <w:pPr>
              <w:pStyle w:val="yTable"/>
              <w:tabs>
                <w:tab w:val="decimal" w:pos="340"/>
              </w:tabs>
            </w:pPr>
            <w:r>
              <w:t>107(c)</w:t>
            </w:r>
          </w:p>
        </w:tc>
        <w:tc>
          <w:tcPr>
            <w:tcW w:w="3720" w:type="dxa"/>
          </w:tcPr>
          <w:p>
            <w:pPr>
              <w:pStyle w:val="yTable"/>
            </w:pPr>
            <w:r>
              <w:t>Damaging buildings etc.</w:t>
            </w:r>
          </w:p>
        </w:tc>
        <w:tc>
          <w:tcPr>
            <w:tcW w:w="1200" w:type="dxa"/>
            <w:vAlign w:val="bottom"/>
          </w:tcPr>
          <w:p>
            <w:pPr>
              <w:pStyle w:val="yTable"/>
              <w:jc w:val="center"/>
            </w:pPr>
            <w:r>
              <w:t>200</w:t>
            </w:r>
          </w:p>
        </w:tc>
      </w:tr>
      <w:tr>
        <w:trPr>
          <w:cantSplit/>
        </w:trPr>
        <w:tc>
          <w:tcPr>
            <w:tcW w:w="840" w:type="dxa"/>
          </w:tcPr>
          <w:p>
            <w:pPr>
              <w:pStyle w:val="yTable"/>
            </w:pPr>
            <w:r>
              <w:t>6.</w:t>
            </w:r>
          </w:p>
        </w:tc>
        <w:tc>
          <w:tcPr>
            <w:tcW w:w="1320" w:type="dxa"/>
          </w:tcPr>
          <w:p>
            <w:pPr>
              <w:pStyle w:val="yTable"/>
              <w:tabs>
                <w:tab w:val="decimal" w:pos="340"/>
              </w:tabs>
            </w:pPr>
            <w:r>
              <w:t>107(d)</w:t>
            </w:r>
          </w:p>
        </w:tc>
        <w:tc>
          <w:tcPr>
            <w:tcW w:w="3720" w:type="dxa"/>
          </w:tcPr>
          <w:p>
            <w:pPr>
              <w:pStyle w:val="yTable"/>
            </w:pPr>
            <w:r>
              <w:t>Destroying dams etc.</w:t>
            </w:r>
          </w:p>
        </w:tc>
        <w:tc>
          <w:tcPr>
            <w:tcW w:w="1200" w:type="dxa"/>
            <w:vAlign w:val="bottom"/>
          </w:tcPr>
          <w:p>
            <w:pPr>
              <w:pStyle w:val="yTable"/>
              <w:jc w:val="center"/>
            </w:pPr>
            <w:r>
              <w:t>200</w:t>
            </w:r>
          </w:p>
        </w:tc>
      </w:tr>
      <w:tr>
        <w:trPr>
          <w:cantSplit/>
        </w:trPr>
        <w:tc>
          <w:tcPr>
            <w:tcW w:w="840" w:type="dxa"/>
          </w:tcPr>
          <w:p>
            <w:pPr>
              <w:pStyle w:val="yTable"/>
            </w:pPr>
            <w:r>
              <w:t>7.</w:t>
            </w:r>
          </w:p>
        </w:tc>
        <w:tc>
          <w:tcPr>
            <w:tcW w:w="1320" w:type="dxa"/>
          </w:tcPr>
          <w:p>
            <w:pPr>
              <w:pStyle w:val="yTable"/>
              <w:tabs>
                <w:tab w:val="decimal" w:pos="340"/>
              </w:tabs>
            </w:pPr>
            <w:r>
              <w:t>107(i)</w:t>
            </w:r>
          </w:p>
        </w:tc>
        <w:tc>
          <w:tcPr>
            <w:tcW w:w="3720" w:type="dxa"/>
          </w:tcPr>
          <w:p>
            <w:pPr>
              <w:pStyle w:val="yTable"/>
            </w:pPr>
            <w:r>
              <w:t>Removing forest produce without paying</w:t>
            </w:r>
          </w:p>
        </w:tc>
        <w:tc>
          <w:tcPr>
            <w:tcW w:w="1200" w:type="dxa"/>
            <w:vAlign w:val="bottom"/>
          </w:tcPr>
          <w:p>
            <w:pPr>
              <w:pStyle w:val="yTable"/>
              <w:jc w:val="center"/>
            </w:pPr>
            <w:r>
              <w:t>200</w:t>
            </w:r>
          </w:p>
        </w:tc>
      </w:tr>
    </w:tbl>
    <w:p>
      <w:pPr>
        <w:pStyle w:val="yFootnotesection"/>
        <w:rPr>
          <w:rStyle w:val="CharPartNo"/>
        </w:rPr>
      </w:pPr>
      <w:r>
        <w:tab/>
        <w:t>[Division 1 amended in Gazette 29 Sep 2006 p. 4330</w:t>
      </w:r>
      <w:r>
        <w:noBreakHyphen/>
        <w:t>1.]</w:t>
      </w:r>
    </w:p>
    <w:p>
      <w:pPr>
        <w:pStyle w:val="yHeading3"/>
      </w:pPr>
      <w:bookmarkStart w:id="558" w:name="_Toc408498954"/>
      <w:bookmarkStart w:id="559" w:name="_Toc414889376"/>
      <w:bookmarkStart w:id="560" w:name="_Toc414975348"/>
      <w:bookmarkStart w:id="561" w:name="_Toc417563830"/>
      <w:bookmarkStart w:id="562" w:name="_Toc423340651"/>
      <w:bookmarkStart w:id="563" w:name="_Toc423343249"/>
      <w:r>
        <w:rPr>
          <w:rStyle w:val="CharSDivNo"/>
        </w:rPr>
        <w:t>Division 2</w:t>
      </w:r>
      <w:r>
        <w:rPr>
          <w:rStyle w:val="CharDivNo"/>
        </w:rPr>
        <w:t xml:space="preserve"> </w:t>
      </w:r>
      <w:r>
        <w:t>—</w:t>
      </w:r>
      <w:r>
        <w:rPr>
          <w:rStyle w:val="CharDivText"/>
        </w:rPr>
        <w:t xml:space="preserve"> </w:t>
      </w:r>
      <w:r>
        <w:rPr>
          <w:rStyle w:val="CharSDivText"/>
        </w:rPr>
        <w:t>Offences under these regulations</w:t>
      </w:r>
      <w:bookmarkEnd w:id="558"/>
      <w:bookmarkEnd w:id="559"/>
      <w:bookmarkEnd w:id="560"/>
      <w:bookmarkEnd w:id="561"/>
      <w:bookmarkEnd w:id="562"/>
      <w:bookmarkEnd w:id="563"/>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jc w:val="center"/>
              <w:rPr>
                <w:b/>
              </w:rPr>
            </w:pPr>
          </w:p>
        </w:tc>
        <w:tc>
          <w:tcPr>
            <w:tcW w:w="1320" w:type="dxa"/>
            <w:vAlign w:val="center"/>
          </w:tcPr>
          <w:p>
            <w:pPr>
              <w:pStyle w:val="yTable"/>
              <w:rPr>
                <w:b/>
              </w:rPr>
            </w:pPr>
            <w:r>
              <w:rPr>
                <w:b/>
              </w:rPr>
              <w:t>Column 1</w:t>
            </w:r>
          </w:p>
        </w:tc>
        <w:tc>
          <w:tcPr>
            <w:tcW w:w="3720" w:type="dxa"/>
            <w:vAlign w:val="center"/>
          </w:tcPr>
          <w:p>
            <w:pPr>
              <w:pStyle w:val="yTable"/>
              <w:jc w:val="center"/>
              <w:rPr>
                <w:b/>
              </w:rPr>
            </w:pPr>
            <w:r>
              <w:rPr>
                <w:b/>
              </w:rPr>
              <w:t>Column 2</w:t>
            </w:r>
          </w:p>
        </w:tc>
        <w:tc>
          <w:tcPr>
            <w:tcW w:w="1200" w:type="dxa"/>
            <w:vAlign w:val="center"/>
          </w:tcPr>
          <w:p>
            <w:pPr>
              <w:pStyle w:val="yTable"/>
              <w:jc w:val="center"/>
              <w:rPr>
                <w:b/>
              </w:rPr>
            </w:pPr>
            <w:r>
              <w:rPr>
                <w:b/>
              </w:rPr>
              <w:t>Column 3</w:t>
            </w:r>
          </w:p>
        </w:tc>
      </w:tr>
      <w:tr>
        <w:trPr>
          <w:cantSplit/>
          <w:trHeight w:val="240"/>
          <w:tblHeader/>
        </w:trPr>
        <w:tc>
          <w:tcPr>
            <w:tcW w:w="840" w:type="dxa"/>
          </w:tcPr>
          <w:p>
            <w:pPr>
              <w:pStyle w:val="yTable"/>
              <w:rPr>
                <w:b/>
              </w:rPr>
            </w:pPr>
            <w:r>
              <w:rPr>
                <w:b/>
              </w:rPr>
              <w:t>Item No.</w:t>
            </w:r>
          </w:p>
          <w:p>
            <w:pPr>
              <w:pStyle w:val="yTable"/>
              <w:rPr>
                <w:b/>
              </w:rPr>
            </w:pPr>
          </w:p>
        </w:tc>
        <w:tc>
          <w:tcPr>
            <w:tcW w:w="1320" w:type="dxa"/>
          </w:tcPr>
          <w:p>
            <w:pPr>
              <w:pStyle w:val="yTable"/>
              <w:rPr>
                <w:b/>
              </w:rPr>
            </w:pPr>
            <w:r>
              <w:rPr>
                <w:b/>
              </w:rPr>
              <w:t>Regulation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rPr>
          <w:cantSplit/>
        </w:trPr>
        <w:tc>
          <w:tcPr>
            <w:tcW w:w="840" w:type="dxa"/>
          </w:tcPr>
          <w:p>
            <w:pPr>
              <w:pStyle w:val="yTable"/>
            </w:pPr>
            <w:r>
              <w:t>1.</w:t>
            </w:r>
          </w:p>
        </w:tc>
        <w:tc>
          <w:tcPr>
            <w:tcW w:w="1320" w:type="dxa"/>
          </w:tcPr>
          <w:p>
            <w:pPr>
              <w:pStyle w:val="yTable"/>
            </w:pPr>
            <w:r>
              <w:t>8(1)</w:t>
            </w:r>
          </w:p>
        </w:tc>
        <w:tc>
          <w:tcPr>
            <w:tcW w:w="3720" w:type="dxa"/>
          </w:tcPr>
          <w:p>
            <w:pPr>
              <w:pStyle w:val="yTable"/>
              <w:tabs>
                <w:tab w:val="left" w:pos="340"/>
              </w:tabs>
            </w:pPr>
            <w:r>
              <w:t>Taking flora or fauna</w:t>
            </w:r>
          </w:p>
        </w:tc>
        <w:tc>
          <w:tcPr>
            <w:tcW w:w="1200" w:type="dxa"/>
          </w:tcPr>
          <w:p>
            <w:pPr>
              <w:pStyle w:val="yTable"/>
              <w:tabs>
                <w:tab w:val="decimal" w:pos="766"/>
              </w:tabs>
              <w:rPr>
                <w:rFonts w:ascii="NewCenturySchlbk" w:hAnsi="NewCenturySchlbk"/>
                <w:b/>
                <w:i/>
                <w:sz w:val="19"/>
              </w:rPr>
            </w:pPr>
            <w:r>
              <w:t>200</w:t>
            </w:r>
          </w:p>
        </w:tc>
      </w:tr>
      <w:tr>
        <w:trPr>
          <w:cantSplit/>
          <w:trHeight w:val="360"/>
        </w:trPr>
        <w:tc>
          <w:tcPr>
            <w:tcW w:w="840" w:type="dxa"/>
          </w:tcPr>
          <w:p>
            <w:pPr>
              <w:pStyle w:val="yTable"/>
            </w:pPr>
            <w:r>
              <w:t>2.</w:t>
            </w:r>
          </w:p>
        </w:tc>
        <w:tc>
          <w:tcPr>
            <w:tcW w:w="1320" w:type="dxa"/>
          </w:tcPr>
          <w:p>
            <w:pPr>
              <w:pStyle w:val="yTable"/>
            </w:pPr>
            <w:r>
              <w:t>9(1)</w:t>
            </w:r>
          </w:p>
        </w:tc>
        <w:tc>
          <w:tcPr>
            <w:tcW w:w="3720" w:type="dxa"/>
          </w:tcPr>
          <w:p>
            <w:pPr>
              <w:pStyle w:val="yTable"/>
              <w:tabs>
                <w:tab w:val="left" w:pos="340"/>
              </w:tabs>
            </w:pPr>
            <w:r>
              <w:t>Fishing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3.</w:t>
            </w:r>
          </w:p>
        </w:tc>
        <w:tc>
          <w:tcPr>
            <w:tcW w:w="1320" w:type="dxa"/>
          </w:tcPr>
          <w:p>
            <w:pPr>
              <w:pStyle w:val="yTable"/>
            </w:pPr>
            <w:r>
              <w:t>10</w:t>
            </w:r>
          </w:p>
        </w:tc>
        <w:tc>
          <w:tcPr>
            <w:tcW w:w="3720" w:type="dxa"/>
          </w:tcPr>
          <w:p>
            <w:pPr>
              <w:pStyle w:val="yTable"/>
            </w:pPr>
            <w:r>
              <w:t>Feeding fauna</w:t>
            </w:r>
          </w:p>
        </w:tc>
        <w:tc>
          <w:tcPr>
            <w:tcW w:w="1200" w:type="dxa"/>
          </w:tcPr>
          <w:p>
            <w:pPr>
              <w:pStyle w:val="yTable"/>
              <w:tabs>
                <w:tab w:val="decimal" w:pos="766"/>
              </w:tabs>
            </w:pPr>
            <w:r>
              <w:rPr>
                <w:szCs w:val="22"/>
              </w:rPr>
              <w:t>100</w:t>
            </w:r>
          </w:p>
        </w:tc>
      </w:tr>
      <w:tr>
        <w:trPr>
          <w:cantSplit/>
        </w:trPr>
        <w:tc>
          <w:tcPr>
            <w:tcW w:w="840" w:type="dxa"/>
          </w:tcPr>
          <w:p>
            <w:pPr>
              <w:pStyle w:val="yTable"/>
            </w:pPr>
            <w:r>
              <w:t>4.</w:t>
            </w:r>
          </w:p>
        </w:tc>
        <w:tc>
          <w:tcPr>
            <w:tcW w:w="1320" w:type="dxa"/>
          </w:tcPr>
          <w:p>
            <w:pPr>
              <w:pStyle w:val="yTable"/>
            </w:pPr>
            <w:r>
              <w:t>12(1)</w:t>
            </w:r>
          </w:p>
        </w:tc>
        <w:tc>
          <w:tcPr>
            <w:tcW w:w="3720" w:type="dxa"/>
          </w:tcPr>
          <w:p>
            <w:pPr>
              <w:pStyle w:val="yTable"/>
            </w:pPr>
            <w:r>
              <w:t>Failing to stow firearm or ammunition</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5.</w:t>
            </w:r>
          </w:p>
        </w:tc>
        <w:tc>
          <w:tcPr>
            <w:tcW w:w="1320" w:type="dxa"/>
          </w:tcPr>
          <w:p>
            <w:pPr>
              <w:pStyle w:val="yTable"/>
            </w:pPr>
            <w:r>
              <w:t>12(2)</w:t>
            </w:r>
          </w:p>
        </w:tc>
        <w:tc>
          <w:tcPr>
            <w:tcW w:w="3720" w:type="dxa"/>
          </w:tcPr>
          <w:p>
            <w:pPr>
              <w:pStyle w:val="yTable"/>
            </w:pPr>
            <w:r>
              <w:t>Possession in restricted or classified area of unstowed spear, speargun or gidgie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w:t>
            </w:r>
          </w:p>
        </w:tc>
        <w:tc>
          <w:tcPr>
            <w:tcW w:w="1320" w:type="dxa"/>
          </w:tcPr>
          <w:p>
            <w:pPr>
              <w:pStyle w:val="yTable"/>
            </w:pPr>
            <w:r>
              <w:t>12(3)</w:t>
            </w:r>
          </w:p>
        </w:tc>
        <w:tc>
          <w:tcPr>
            <w:tcW w:w="3720" w:type="dxa"/>
          </w:tcPr>
          <w:p>
            <w:pPr>
              <w:pStyle w:val="yTable"/>
            </w:pPr>
            <w:r>
              <w:t>Possession of restricted device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6a.</w:t>
            </w:r>
          </w:p>
        </w:tc>
        <w:tc>
          <w:tcPr>
            <w:tcW w:w="1320" w:type="dxa"/>
          </w:tcPr>
          <w:p>
            <w:pPr>
              <w:pStyle w:val="yTable"/>
            </w:pPr>
            <w:r>
              <w:t>12(3a)</w:t>
            </w:r>
          </w:p>
        </w:tc>
        <w:tc>
          <w:tcPr>
            <w:tcW w:w="3720" w:type="dxa"/>
          </w:tcPr>
          <w:p>
            <w:pPr>
              <w:pStyle w:val="yTable"/>
            </w:pPr>
            <w:r>
              <w:t>Unauthorised use of firearm, spear gun etc.</w:t>
            </w:r>
          </w:p>
        </w:tc>
        <w:tc>
          <w:tcPr>
            <w:tcW w:w="1200" w:type="dxa"/>
            <w:vAlign w:val="bottom"/>
          </w:tcPr>
          <w:p>
            <w:pPr>
              <w:pStyle w:val="yTable"/>
              <w:tabs>
                <w:tab w:val="decimal" w:pos="766"/>
              </w:tabs>
            </w:pPr>
            <w:r>
              <w:t>200</w:t>
            </w:r>
          </w:p>
        </w:tc>
      </w:tr>
      <w:tr>
        <w:trPr>
          <w:cantSplit/>
        </w:trPr>
        <w:tc>
          <w:tcPr>
            <w:tcW w:w="840" w:type="dxa"/>
          </w:tcPr>
          <w:p>
            <w:pPr>
              <w:pStyle w:val="yTable"/>
            </w:pPr>
            <w:r>
              <w:t>6B.</w:t>
            </w:r>
          </w:p>
        </w:tc>
        <w:tc>
          <w:tcPr>
            <w:tcW w:w="1320" w:type="dxa"/>
          </w:tcPr>
          <w:p>
            <w:pPr>
              <w:pStyle w:val="yTable"/>
            </w:pPr>
            <w:r>
              <w:t>13(1)</w:t>
            </w:r>
          </w:p>
        </w:tc>
        <w:tc>
          <w:tcPr>
            <w:tcW w:w="3720" w:type="dxa"/>
          </w:tcPr>
          <w:p>
            <w:pPr>
              <w:pStyle w:val="yTable"/>
            </w:pPr>
            <w:r>
              <w:t>Cultivating plants</w:t>
            </w:r>
          </w:p>
        </w:tc>
        <w:tc>
          <w:tcPr>
            <w:tcW w:w="1200" w:type="dxa"/>
            <w:vAlign w:val="bottom"/>
          </w:tcPr>
          <w:p>
            <w:pPr>
              <w:pStyle w:val="yTable"/>
              <w:tabs>
                <w:tab w:val="decimal" w:pos="766"/>
              </w:tabs>
            </w:pPr>
            <w:r>
              <w:t>200</w:t>
            </w:r>
          </w:p>
        </w:tc>
      </w:tr>
      <w:tr>
        <w:trPr>
          <w:cantSplit/>
        </w:trPr>
        <w:tc>
          <w:tcPr>
            <w:tcW w:w="840" w:type="dxa"/>
          </w:tcPr>
          <w:p>
            <w:pPr>
              <w:pStyle w:val="yTable"/>
            </w:pPr>
            <w:r>
              <w:t>6C.</w:t>
            </w:r>
          </w:p>
        </w:tc>
        <w:tc>
          <w:tcPr>
            <w:tcW w:w="1320" w:type="dxa"/>
          </w:tcPr>
          <w:p>
            <w:pPr>
              <w:pStyle w:val="yTable"/>
            </w:pPr>
            <w:r>
              <w:t>14(2)</w:t>
            </w:r>
          </w:p>
        </w:tc>
        <w:tc>
          <w:tcPr>
            <w:tcW w:w="3720" w:type="dxa"/>
          </w:tcPr>
          <w:p>
            <w:pPr>
              <w:pStyle w:val="yTable"/>
            </w:pPr>
            <w:r>
              <w:t>Failing to comply with direction to remove plants, equipment</w:t>
            </w:r>
          </w:p>
        </w:tc>
        <w:tc>
          <w:tcPr>
            <w:tcW w:w="1200" w:type="dxa"/>
            <w:vAlign w:val="bottom"/>
          </w:tcPr>
          <w:p>
            <w:pPr>
              <w:pStyle w:val="yTable"/>
              <w:tabs>
                <w:tab w:val="decimal" w:pos="766"/>
              </w:tabs>
            </w:pPr>
            <w:r>
              <w:br/>
              <w:t>200</w:t>
            </w:r>
          </w:p>
        </w:tc>
      </w:tr>
      <w:tr>
        <w:trPr>
          <w:cantSplit/>
        </w:trPr>
        <w:tc>
          <w:tcPr>
            <w:tcW w:w="840" w:type="dxa"/>
          </w:tcPr>
          <w:p>
            <w:pPr>
              <w:pStyle w:val="yTable"/>
            </w:pPr>
            <w:r>
              <w:t>7.</w:t>
            </w:r>
          </w:p>
        </w:tc>
        <w:tc>
          <w:tcPr>
            <w:tcW w:w="1320" w:type="dxa"/>
          </w:tcPr>
          <w:p>
            <w:pPr>
              <w:pStyle w:val="yTable"/>
            </w:pPr>
            <w:r>
              <w:t>15</w:t>
            </w:r>
          </w:p>
        </w:tc>
        <w:tc>
          <w:tcPr>
            <w:tcW w:w="3720" w:type="dxa"/>
          </w:tcPr>
          <w:p>
            <w:pPr>
              <w:pStyle w:val="yTable"/>
            </w:pPr>
            <w:r>
              <w:t>Bringing animal on to, or allowing animal to enter or remain, on CALM land</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8.</w:t>
            </w:r>
          </w:p>
        </w:tc>
        <w:tc>
          <w:tcPr>
            <w:tcW w:w="1320" w:type="dxa"/>
          </w:tcPr>
          <w:p>
            <w:pPr>
              <w:pStyle w:val="yTable"/>
            </w:pPr>
            <w:r>
              <w:t>16(2)</w:t>
            </w:r>
          </w:p>
        </w:tc>
        <w:tc>
          <w:tcPr>
            <w:tcW w:w="3720" w:type="dxa"/>
          </w:tcPr>
          <w:p>
            <w:pPr>
              <w:pStyle w:val="yTable"/>
            </w:pPr>
            <w:r>
              <w:t>Failing to control or manage dog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9.</w:t>
            </w:r>
          </w:p>
        </w:tc>
        <w:tc>
          <w:tcPr>
            <w:tcW w:w="1320" w:type="dxa"/>
          </w:tcPr>
          <w:p>
            <w:pPr>
              <w:pStyle w:val="yTable"/>
            </w:pPr>
            <w:r>
              <w:t>17(2)</w:t>
            </w:r>
          </w:p>
        </w:tc>
        <w:tc>
          <w:tcPr>
            <w:tcW w:w="3720" w:type="dxa"/>
          </w:tcPr>
          <w:p>
            <w:pPr>
              <w:pStyle w:val="yTable"/>
            </w:pPr>
            <w:r>
              <w:t>Failing to control or manage horse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10.</w:t>
            </w:r>
          </w:p>
        </w:tc>
        <w:tc>
          <w:tcPr>
            <w:tcW w:w="1320" w:type="dxa"/>
          </w:tcPr>
          <w:p>
            <w:pPr>
              <w:pStyle w:val="yTable"/>
            </w:pPr>
            <w:r>
              <w:t>18</w:t>
            </w:r>
          </w:p>
        </w:tc>
        <w:tc>
          <w:tcPr>
            <w:tcW w:w="3720" w:type="dxa"/>
          </w:tcPr>
          <w:p>
            <w:pPr>
              <w:pStyle w:val="yTable"/>
            </w:pPr>
            <w:r>
              <w:t>Hunting etc. non</w:t>
            </w:r>
            <w:r>
              <w:noBreakHyphen/>
              <w:t>indigenous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11.</w:t>
            </w:r>
          </w:p>
        </w:tc>
        <w:tc>
          <w:tcPr>
            <w:tcW w:w="1320" w:type="dxa"/>
          </w:tcPr>
          <w:p>
            <w:pPr>
              <w:pStyle w:val="yTable"/>
            </w:pPr>
            <w:r>
              <w:t>19</w:t>
            </w:r>
          </w:p>
        </w:tc>
        <w:tc>
          <w:tcPr>
            <w:tcW w:w="3720" w:type="dxa"/>
          </w:tcPr>
          <w:p>
            <w:pPr>
              <w:pStyle w:val="yTable"/>
            </w:pPr>
            <w:r>
              <w:t>Failing to remove animal</w:t>
            </w:r>
          </w:p>
        </w:tc>
        <w:tc>
          <w:tcPr>
            <w:tcW w:w="1200" w:type="dxa"/>
          </w:tcPr>
          <w:p>
            <w:pPr>
              <w:pStyle w:val="yTable"/>
              <w:tabs>
                <w:tab w:val="decimal" w:pos="766"/>
              </w:tabs>
            </w:pPr>
            <w:r>
              <w:rPr>
                <w:szCs w:val="22"/>
              </w:rPr>
              <w:t>200</w:t>
            </w:r>
          </w:p>
        </w:tc>
      </w:tr>
      <w:tr>
        <w:trPr>
          <w:cantSplit/>
        </w:trPr>
        <w:tc>
          <w:tcPr>
            <w:tcW w:w="840" w:type="dxa"/>
          </w:tcPr>
          <w:p>
            <w:pPr>
              <w:pStyle w:val="yTable"/>
            </w:pPr>
            <w:r>
              <w:t>12.</w:t>
            </w:r>
          </w:p>
        </w:tc>
        <w:tc>
          <w:tcPr>
            <w:tcW w:w="1320" w:type="dxa"/>
          </w:tcPr>
          <w:p>
            <w:pPr>
              <w:pStyle w:val="yTable"/>
            </w:pPr>
            <w:r>
              <w:t>21(1)</w:t>
            </w:r>
          </w:p>
        </w:tc>
        <w:tc>
          <w:tcPr>
            <w:tcW w:w="3720" w:type="dxa"/>
          </w:tcPr>
          <w:p>
            <w:pPr>
              <w:pStyle w:val="yTable"/>
            </w:pPr>
            <w:r>
              <w:t>Causing or allowing waste to be discharged or placed on CALM land</w:t>
            </w:r>
          </w:p>
        </w:tc>
        <w:tc>
          <w:tcPr>
            <w:tcW w:w="1200" w:type="dxa"/>
            <w:vAlign w:val="bottom"/>
          </w:tcPr>
          <w:p>
            <w:pPr>
              <w:pStyle w:val="yTable"/>
              <w:tabs>
                <w:tab w:val="decimal" w:pos="766"/>
              </w:tabs>
            </w:pPr>
            <w:r>
              <w:t>200</w:t>
            </w:r>
          </w:p>
        </w:tc>
      </w:tr>
      <w:tr>
        <w:trPr>
          <w:cantSplit/>
        </w:trPr>
        <w:tc>
          <w:tcPr>
            <w:tcW w:w="840" w:type="dxa"/>
          </w:tcPr>
          <w:p>
            <w:pPr>
              <w:pStyle w:val="yTable"/>
            </w:pPr>
            <w:r>
              <w:t>13.</w:t>
            </w:r>
          </w:p>
        </w:tc>
        <w:tc>
          <w:tcPr>
            <w:tcW w:w="1320" w:type="dxa"/>
          </w:tcPr>
          <w:p>
            <w:pPr>
              <w:pStyle w:val="yTable"/>
            </w:pPr>
            <w:r>
              <w:t>21(4)</w:t>
            </w:r>
          </w:p>
        </w:tc>
        <w:tc>
          <w:tcPr>
            <w:tcW w:w="3720" w:type="dxa"/>
          </w:tcPr>
          <w:p>
            <w:pPr>
              <w:pStyle w:val="yTable"/>
            </w:pPr>
            <w:r>
              <w:t>Failing to comply with conditions for discharging sewage in designated area</w:t>
            </w:r>
          </w:p>
        </w:tc>
        <w:tc>
          <w:tcPr>
            <w:tcW w:w="1200" w:type="dxa"/>
            <w:vAlign w:val="bottom"/>
          </w:tcPr>
          <w:p>
            <w:pPr>
              <w:pStyle w:val="yTable"/>
              <w:tabs>
                <w:tab w:val="decimal" w:pos="766"/>
              </w:tabs>
            </w:pPr>
            <w:r>
              <w:t>200</w:t>
            </w:r>
          </w:p>
        </w:tc>
      </w:tr>
      <w:tr>
        <w:trPr>
          <w:cantSplit/>
        </w:trPr>
        <w:tc>
          <w:tcPr>
            <w:tcW w:w="840" w:type="dxa"/>
          </w:tcPr>
          <w:p>
            <w:pPr>
              <w:pStyle w:val="yTable"/>
            </w:pPr>
            <w:r>
              <w:t>14.</w:t>
            </w:r>
          </w:p>
        </w:tc>
        <w:tc>
          <w:tcPr>
            <w:tcW w:w="1320" w:type="dxa"/>
          </w:tcPr>
          <w:p>
            <w:pPr>
              <w:pStyle w:val="yTable"/>
            </w:pPr>
            <w:r>
              <w:t>22</w:t>
            </w:r>
          </w:p>
        </w:tc>
        <w:tc>
          <w:tcPr>
            <w:tcW w:w="3720" w:type="dxa"/>
          </w:tcPr>
          <w:p>
            <w:pPr>
              <w:pStyle w:val="yTable"/>
            </w:pPr>
            <w:r>
              <w:t>Painting or treating vessels</w:t>
            </w:r>
          </w:p>
        </w:tc>
        <w:tc>
          <w:tcPr>
            <w:tcW w:w="1200" w:type="dxa"/>
            <w:vAlign w:val="bottom"/>
          </w:tcPr>
          <w:p>
            <w:pPr>
              <w:pStyle w:val="yTable"/>
              <w:tabs>
                <w:tab w:val="decimal" w:pos="766"/>
              </w:tabs>
            </w:pPr>
            <w:r>
              <w:t>200</w:t>
            </w:r>
          </w:p>
        </w:tc>
      </w:tr>
      <w:tr>
        <w:trPr>
          <w:cantSplit/>
        </w:trPr>
        <w:tc>
          <w:tcPr>
            <w:tcW w:w="840" w:type="dxa"/>
          </w:tcPr>
          <w:p>
            <w:pPr>
              <w:pStyle w:val="yTable"/>
            </w:pPr>
            <w:r>
              <w:t>15.</w:t>
            </w:r>
          </w:p>
        </w:tc>
        <w:tc>
          <w:tcPr>
            <w:tcW w:w="1320" w:type="dxa"/>
          </w:tcPr>
          <w:p>
            <w:pPr>
              <w:pStyle w:val="yTable"/>
            </w:pPr>
            <w:r>
              <w:t>23(1)</w:t>
            </w:r>
          </w:p>
        </w:tc>
        <w:tc>
          <w:tcPr>
            <w:tcW w:w="3720" w:type="dxa"/>
          </w:tcPr>
          <w:p>
            <w:pPr>
              <w:pStyle w:val="yTable"/>
            </w:pPr>
            <w:r>
              <w:t>Polluting water supply</w:t>
            </w:r>
          </w:p>
        </w:tc>
        <w:tc>
          <w:tcPr>
            <w:tcW w:w="1200" w:type="dxa"/>
            <w:vAlign w:val="bottom"/>
          </w:tcPr>
          <w:p>
            <w:pPr>
              <w:pStyle w:val="yTable"/>
              <w:tabs>
                <w:tab w:val="decimal" w:pos="766"/>
              </w:tabs>
            </w:pPr>
            <w:r>
              <w:t>200</w:t>
            </w:r>
          </w:p>
        </w:tc>
      </w:tr>
      <w:tr>
        <w:trPr>
          <w:cantSplit/>
        </w:trPr>
        <w:tc>
          <w:tcPr>
            <w:tcW w:w="840" w:type="dxa"/>
          </w:tcPr>
          <w:p>
            <w:pPr>
              <w:pStyle w:val="yTable"/>
            </w:pPr>
            <w:r>
              <w:t>16.</w:t>
            </w:r>
          </w:p>
        </w:tc>
        <w:tc>
          <w:tcPr>
            <w:tcW w:w="1320" w:type="dxa"/>
          </w:tcPr>
          <w:p>
            <w:pPr>
              <w:pStyle w:val="yTable"/>
            </w:pPr>
            <w:r>
              <w:t>23(2)</w:t>
            </w:r>
          </w:p>
        </w:tc>
        <w:tc>
          <w:tcPr>
            <w:tcW w:w="3720" w:type="dxa"/>
          </w:tcPr>
          <w:p>
            <w:pPr>
              <w:pStyle w:val="yTable"/>
            </w:pPr>
            <w:r>
              <w:t>Swimming etc. in reservoir or tank</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17.</w:t>
            </w:r>
          </w:p>
        </w:tc>
        <w:tc>
          <w:tcPr>
            <w:tcW w:w="1320" w:type="dxa"/>
          </w:tcPr>
          <w:p>
            <w:pPr>
              <w:pStyle w:val="yTable"/>
            </w:pPr>
            <w:r>
              <w:t>24(1)</w:t>
            </w:r>
          </w:p>
        </w:tc>
        <w:tc>
          <w:tcPr>
            <w:tcW w:w="3720" w:type="dxa"/>
          </w:tcPr>
          <w:p>
            <w:pPr>
              <w:pStyle w:val="yTable"/>
            </w:pPr>
            <w:r>
              <w:t>Littering</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18.</w:t>
            </w:r>
          </w:p>
        </w:tc>
        <w:tc>
          <w:tcPr>
            <w:tcW w:w="1320" w:type="dxa"/>
          </w:tcPr>
          <w:p>
            <w:pPr>
              <w:pStyle w:val="yTable"/>
            </w:pPr>
            <w:r>
              <w:t>26</w:t>
            </w:r>
          </w:p>
        </w:tc>
        <w:tc>
          <w:tcPr>
            <w:tcW w:w="3720" w:type="dxa"/>
          </w:tcPr>
          <w:p>
            <w:pPr>
              <w:pStyle w:val="yTable"/>
            </w:pPr>
            <w:r>
              <w:t>Taking glass into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19.</w:t>
            </w:r>
          </w:p>
        </w:tc>
        <w:tc>
          <w:tcPr>
            <w:tcW w:w="1320" w:type="dxa"/>
          </w:tcPr>
          <w:p>
            <w:pPr>
              <w:pStyle w:val="yTable"/>
            </w:pPr>
            <w:r>
              <w:t>27(2)</w:t>
            </w:r>
          </w:p>
        </w:tc>
        <w:tc>
          <w:tcPr>
            <w:tcW w:w="3720" w:type="dxa"/>
          </w:tcPr>
          <w:p>
            <w:pPr>
              <w:pStyle w:val="yTable"/>
            </w:pPr>
            <w:r>
              <w:t>Failing to comply with direction to remove litter</w:t>
            </w:r>
          </w:p>
        </w:tc>
        <w:tc>
          <w:tcPr>
            <w:tcW w:w="1200" w:type="dxa"/>
            <w:vAlign w:val="bottom"/>
          </w:tcPr>
          <w:p>
            <w:pPr>
              <w:pStyle w:val="yTable"/>
              <w:tabs>
                <w:tab w:val="decimal" w:pos="766"/>
              </w:tabs>
            </w:pPr>
            <w:r>
              <w:t>200</w:t>
            </w:r>
          </w:p>
        </w:tc>
      </w:tr>
      <w:tr>
        <w:trPr>
          <w:cantSplit/>
        </w:trPr>
        <w:tc>
          <w:tcPr>
            <w:tcW w:w="840" w:type="dxa"/>
          </w:tcPr>
          <w:p>
            <w:pPr>
              <w:pStyle w:val="yTable"/>
            </w:pPr>
            <w:r>
              <w:t>20.</w:t>
            </w:r>
          </w:p>
        </w:tc>
        <w:tc>
          <w:tcPr>
            <w:tcW w:w="1320" w:type="dxa"/>
          </w:tcPr>
          <w:p>
            <w:pPr>
              <w:pStyle w:val="yTable"/>
            </w:pPr>
            <w:r>
              <w:t>28</w:t>
            </w:r>
          </w:p>
        </w:tc>
        <w:tc>
          <w:tcPr>
            <w:tcW w:w="3720" w:type="dxa"/>
          </w:tcPr>
          <w:p>
            <w:pPr>
              <w:pStyle w:val="yTable"/>
            </w:pPr>
            <w:r>
              <w:t>Cleaning etc. fish in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21.</w:t>
            </w:r>
          </w:p>
        </w:tc>
        <w:tc>
          <w:tcPr>
            <w:tcW w:w="1320" w:type="dxa"/>
          </w:tcPr>
          <w:p>
            <w:pPr>
              <w:pStyle w:val="yTable"/>
            </w:pPr>
            <w:r>
              <w:t>29(1)</w:t>
            </w:r>
          </w:p>
        </w:tc>
        <w:tc>
          <w:tcPr>
            <w:tcW w:w="3720" w:type="dxa"/>
          </w:tcPr>
          <w:p>
            <w:pPr>
              <w:pStyle w:val="yTable"/>
            </w:pPr>
            <w:r>
              <w:t>Smoking in cave</w:t>
            </w:r>
          </w:p>
        </w:tc>
        <w:tc>
          <w:tcPr>
            <w:tcW w:w="1200" w:type="dxa"/>
            <w:vAlign w:val="bottom"/>
          </w:tcPr>
          <w:p>
            <w:pPr>
              <w:pStyle w:val="yTable"/>
              <w:tabs>
                <w:tab w:val="decimal" w:pos="766"/>
              </w:tabs>
            </w:pPr>
            <w:r>
              <w:t>50</w:t>
            </w:r>
          </w:p>
        </w:tc>
      </w:tr>
      <w:tr>
        <w:trPr>
          <w:cantSplit/>
        </w:trPr>
        <w:tc>
          <w:tcPr>
            <w:tcW w:w="840" w:type="dxa"/>
          </w:tcPr>
          <w:p>
            <w:pPr>
              <w:pStyle w:val="yTable"/>
            </w:pPr>
            <w:r>
              <w:t>22.</w:t>
            </w:r>
          </w:p>
        </w:tc>
        <w:tc>
          <w:tcPr>
            <w:tcW w:w="1320" w:type="dxa"/>
          </w:tcPr>
          <w:p>
            <w:pPr>
              <w:pStyle w:val="yTable"/>
            </w:pPr>
            <w:r>
              <w:t>29(2)</w:t>
            </w:r>
          </w:p>
        </w:tc>
        <w:tc>
          <w:tcPr>
            <w:tcW w:w="3720" w:type="dxa"/>
          </w:tcPr>
          <w:p>
            <w:pPr>
              <w:pStyle w:val="yTable"/>
            </w:pPr>
            <w:r>
              <w:t>Lighting a fire in a cave</w:t>
            </w:r>
          </w:p>
        </w:tc>
        <w:tc>
          <w:tcPr>
            <w:tcW w:w="1200" w:type="dxa"/>
            <w:vAlign w:val="bottom"/>
          </w:tcPr>
          <w:p>
            <w:pPr>
              <w:pStyle w:val="yTable"/>
              <w:tabs>
                <w:tab w:val="decimal" w:pos="766"/>
              </w:tabs>
            </w:pPr>
            <w:r>
              <w:t>200</w:t>
            </w:r>
          </w:p>
        </w:tc>
      </w:tr>
      <w:tr>
        <w:trPr>
          <w:cantSplit/>
        </w:trPr>
        <w:tc>
          <w:tcPr>
            <w:tcW w:w="840" w:type="dxa"/>
          </w:tcPr>
          <w:p>
            <w:pPr>
              <w:pStyle w:val="yTable"/>
            </w:pPr>
            <w:r>
              <w:t>23.</w:t>
            </w:r>
          </w:p>
        </w:tc>
        <w:tc>
          <w:tcPr>
            <w:tcW w:w="1320" w:type="dxa"/>
          </w:tcPr>
          <w:p>
            <w:pPr>
              <w:pStyle w:val="yTable"/>
            </w:pPr>
            <w:r>
              <w:t>31(1)</w:t>
            </w:r>
          </w:p>
        </w:tc>
        <w:tc>
          <w:tcPr>
            <w:tcW w:w="3720" w:type="dxa"/>
          </w:tcPr>
          <w:p>
            <w:pPr>
              <w:pStyle w:val="yTable"/>
            </w:pPr>
            <w:r>
              <w:t>Damaging, disturbing or removing naturally occurring feature</w:t>
            </w:r>
          </w:p>
        </w:tc>
        <w:tc>
          <w:tcPr>
            <w:tcW w:w="1200" w:type="dxa"/>
            <w:vAlign w:val="bottom"/>
          </w:tcPr>
          <w:p>
            <w:pPr>
              <w:pStyle w:val="yTable"/>
              <w:tabs>
                <w:tab w:val="decimal" w:pos="766"/>
              </w:tabs>
            </w:pPr>
            <w:r>
              <w:t>200</w:t>
            </w:r>
          </w:p>
        </w:tc>
      </w:tr>
      <w:tr>
        <w:trPr>
          <w:cantSplit/>
        </w:trPr>
        <w:tc>
          <w:tcPr>
            <w:tcW w:w="840" w:type="dxa"/>
          </w:tcPr>
          <w:p>
            <w:pPr>
              <w:pStyle w:val="yTable"/>
            </w:pPr>
            <w:r>
              <w:t>24.</w:t>
            </w:r>
          </w:p>
        </w:tc>
        <w:tc>
          <w:tcPr>
            <w:tcW w:w="1320" w:type="dxa"/>
          </w:tcPr>
          <w:p>
            <w:pPr>
              <w:pStyle w:val="yTable"/>
            </w:pPr>
            <w:r>
              <w:t>32</w:t>
            </w:r>
          </w:p>
        </w:tc>
        <w:tc>
          <w:tcPr>
            <w:tcW w:w="3720" w:type="dxa"/>
          </w:tcPr>
          <w:p>
            <w:pPr>
              <w:pStyle w:val="yTable"/>
            </w:pPr>
            <w:r>
              <w:t>Sandboarding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25.</w:t>
            </w:r>
          </w:p>
        </w:tc>
        <w:tc>
          <w:tcPr>
            <w:tcW w:w="1320" w:type="dxa"/>
          </w:tcPr>
          <w:p>
            <w:pPr>
              <w:pStyle w:val="yTable"/>
            </w:pPr>
            <w:r>
              <w:t>33</w:t>
            </w:r>
          </w:p>
        </w:tc>
        <w:tc>
          <w:tcPr>
            <w:tcW w:w="3720" w:type="dxa"/>
          </w:tcPr>
          <w:p>
            <w:pPr>
              <w:pStyle w:val="yTable"/>
            </w:pPr>
            <w:r>
              <w:t>Abseiling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25a.</w:t>
            </w:r>
          </w:p>
        </w:tc>
        <w:tc>
          <w:tcPr>
            <w:tcW w:w="1320" w:type="dxa"/>
          </w:tcPr>
          <w:p>
            <w:pPr>
              <w:pStyle w:val="yTable"/>
            </w:pPr>
            <w:r>
              <w:t>34(1)</w:t>
            </w:r>
          </w:p>
        </w:tc>
        <w:tc>
          <w:tcPr>
            <w:tcW w:w="3720" w:type="dxa"/>
          </w:tcPr>
          <w:p>
            <w:pPr>
              <w:pStyle w:val="yTable"/>
            </w:pPr>
            <w:r>
              <w:t>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25b.</w:t>
            </w:r>
          </w:p>
        </w:tc>
        <w:tc>
          <w:tcPr>
            <w:tcW w:w="1320" w:type="dxa"/>
          </w:tcPr>
          <w:p>
            <w:pPr>
              <w:pStyle w:val="yTable"/>
            </w:pPr>
            <w:r>
              <w:t>34(4)</w:t>
            </w:r>
          </w:p>
        </w:tc>
        <w:tc>
          <w:tcPr>
            <w:tcW w:w="3720" w:type="dxa"/>
          </w:tcPr>
          <w:p>
            <w:pPr>
              <w:pStyle w:val="yTable"/>
            </w:pPr>
            <w:r>
              <w:t>Failing to comply with direction to pull down etc. 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25c.</w:t>
            </w:r>
          </w:p>
        </w:tc>
        <w:tc>
          <w:tcPr>
            <w:tcW w:w="1320" w:type="dxa"/>
          </w:tcPr>
          <w:p>
            <w:pPr>
              <w:pStyle w:val="yTable"/>
            </w:pPr>
            <w:r>
              <w:t>35A(1)</w:t>
            </w:r>
          </w:p>
        </w:tc>
        <w:tc>
          <w:tcPr>
            <w:tcW w:w="3720" w:type="dxa"/>
          </w:tcPr>
          <w:p>
            <w:pPr>
              <w:pStyle w:val="yTable"/>
            </w:pPr>
            <w:r>
              <w:t>Quarrying, removing or disturbing soil etc.</w:t>
            </w:r>
          </w:p>
        </w:tc>
        <w:tc>
          <w:tcPr>
            <w:tcW w:w="1200" w:type="dxa"/>
            <w:vAlign w:val="bottom"/>
          </w:tcPr>
          <w:p>
            <w:pPr>
              <w:pStyle w:val="yTable"/>
              <w:tabs>
                <w:tab w:val="decimal" w:pos="766"/>
              </w:tabs>
            </w:pPr>
            <w:r>
              <w:t>200</w:t>
            </w:r>
          </w:p>
        </w:tc>
      </w:tr>
      <w:tr>
        <w:trPr>
          <w:cantSplit/>
        </w:trPr>
        <w:tc>
          <w:tcPr>
            <w:tcW w:w="840" w:type="dxa"/>
          </w:tcPr>
          <w:p>
            <w:pPr>
              <w:pStyle w:val="yTable"/>
            </w:pPr>
            <w:r>
              <w:t>26.</w:t>
            </w:r>
          </w:p>
        </w:tc>
        <w:tc>
          <w:tcPr>
            <w:tcW w:w="1320" w:type="dxa"/>
          </w:tcPr>
          <w:p>
            <w:pPr>
              <w:pStyle w:val="yTable"/>
            </w:pPr>
            <w:r>
              <w:t>36</w:t>
            </w:r>
          </w:p>
        </w:tc>
        <w:tc>
          <w:tcPr>
            <w:tcW w:w="3720" w:type="dxa"/>
          </w:tcPr>
          <w:p>
            <w:pPr>
              <w:pStyle w:val="yTable"/>
            </w:pPr>
            <w:r>
              <w:t>Dumping of vehicles etc.</w:t>
            </w:r>
          </w:p>
        </w:tc>
        <w:tc>
          <w:tcPr>
            <w:tcW w:w="1200" w:type="dxa"/>
            <w:vAlign w:val="bottom"/>
          </w:tcPr>
          <w:p>
            <w:pPr>
              <w:pStyle w:val="yTable"/>
              <w:tabs>
                <w:tab w:val="decimal" w:pos="766"/>
              </w:tabs>
            </w:pPr>
            <w:r>
              <w:t>200</w:t>
            </w:r>
          </w:p>
        </w:tc>
      </w:tr>
      <w:tr>
        <w:trPr>
          <w:cantSplit/>
        </w:trPr>
        <w:tc>
          <w:tcPr>
            <w:tcW w:w="840" w:type="dxa"/>
          </w:tcPr>
          <w:p>
            <w:pPr>
              <w:pStyle w:val="yTable"/>
            </w:pPr>
            <w:r>
              <w:t>27.</w:t>
            </w:r>
          </w:p>
        </w:tc>
        <w:tc>
          <w:tcPr>
            <w:tcW w:w="1320" w:type="dxa"/>
          </w:tcPr>
          <w:p>
            <w:pPr>
              <w:pStyle w:val="yTable"/>
            </w:pPr>
            <w:r>
              <w:t>37(1)</w:t>
            </w:r>
          </w:p>
        </w:tc>
        <w:tc>
          <w:tcPr>
            <w:tcW w:w="3720" w:type="dxa"/>
          </w:tcPr>
          <w:p>
            <w:pPr>
              <w:pStyle w:val="yTable"/>
            </w:pPr>
            <w:r>
              <w:t>Billsticking etc.</w:t>
            </w:r>
          </w:p>
        </w:tc>
        <w:tc>
          <w:tcPr>
            <w:tcW w:w="1200" w:type="dxa"/>
            <w:vAlign w:val="bottom"/>
          </w:tcPr>
          <w:p>
            <w:pPr>
              <w:pStyle w:val="yTable"/>
              <w:tabs>
                <w:tab w:val="decimal" w:pos="766"/>
              </w:tabs>
            </w:pPr>
            <w:r>
              <w:t>50</w:t>
            </w:r>
          </w:p>
        </w:tc>
      </w:tr>
      <w:tr>
        <w:trPr>
          <w:cantSplit/>
        </w:trPr>
        <w:tc>
          <w:tcPr>
            <w:tcW w:w="840" w:type="dxa"/>
          </w:tcPr>
          <w:p>
            <w:pPr>
              <w:pStyle w:val="yTable"/>
            </w:pPr>
            <w:r>
              <w:t>28.</w:t>
            </w:r>
          </w:p>
        </w:tc>
        <w:tc>
          <w:tcPr>
            <w:tcW w:w="1320" w:type="dxa"/>
          </w:tcPr>
          <w:p>
            <w:pPr>
              <w:pStyle w:val="yTable"/>
            </w:pPr>
            <w:r>
              <w:t>37(2)</w:t>
            </w:r>
          </w:p>
        </w:tc>
        <w:tc>
          <w:tcPr>
            <w:tcW w:w="3720" w:type="dxa"/>
          </w:tcPr>
          <w:p>
            <w:pPr>
              <w:pStyle w:val="yTable"/>
            </w:pPr>
            <w:r>
              <w:t>Damaging or interfering with thing or structure</w:t>
            </w:r>
          </w:p>
        </w:tc>
        <w:tc>
          <w:tcPr>
            <w:tcW w:w="1200" w:type="dxa"/>
            <w:vAlign w:val="bottom"/>
          </w:tcPr>
          <w:p>
            <w:pPr>
              <w:pStyle w:val="yTable"/>
              <w:tabs>
                <w:tab w:val="decimal" w:pos="766"/>
              </w:tabs>
            </w:pPr>
            <w:r>
              <w:t>200</w:t>
            </w:r>
          </w:p>
        </w:tc>
      </w:tr>
      <w:tr>
        <w:trPr>
          <w:cantSplit/>
        </w:trPr>
        <w:tc>
          <w:tcPr>
            <w:tcW w:w="840" w:type="dxa"/>
          </w:tcPr>
          <w:p>
            <w:pPr>
              <w:pStyle w:val="yTable"/>
            </w:pPr>
            <w:r>
              <w:t>29.</w:t>
            </w:r>
          </w:p>
        </w:tc>
        <w:tc>
          <w:tcPr>
            <w:tcW w:w="1320" w:type="dxa"/>
          </w:tcPr>
          <w:p>
            <w:pPr>
              <w:pStyle w:val="yTable"/>
            </w:pPr>
            <w:r>
              <w:t>38(1)</w:t>
            </w:r>
          </w:p>
        </w:tc>
        <w:tc>
          <w:tcPr>
            <w:tcW w:w="3720" w:type="dxa"/>
          </w:tcPr>
          <w:p>
            <w:pPr>
              <w:pStyle w:val="yTable"/>
            </w:pPr>
            <w:r>
              <w:t>Erecting unauthorised sign or notice</w:t>
            </w:r>
          </w:p>
        </w:tc>
        <w:tc>
          <w:tcPr>
            <w:tcW w:w="1200" w:type="dxa"/>
            <w:vAlign w:val="bottom"/>
          </w:tcPr>
          <w:p>
            <w:pPr>
              <w:pStyle w:val="yTable"/>
              <w:tabs>
                <w:tab w:val="decimal" w:pos="766"/>
              </w:tabs>
            </w:pPr>
            <w:r>
              <w:t>100</w:t>
            </w:r>
          </w:p>
        </w:tc>
      </w:tr>
      <w:tr>
        <w:trPr>
          <w:cantSplit/>
        </w:trPr>
        <w:tc>
          <w:tcPr>
            <w:tcW w:w="840" w:type="dxa"/>
          </w:tcPr>
          <w:p>
            <w:pPr>
              <w:pStyle w:val="yTable"/>
            </w:pPr>
            <w:r>
              <w:t>30.</w:t>
            </w:r>
          </w:p>
        </w:tc>
        <w:tc>
          <w:tcPr>
            <w:tcW w:w="1320" w:type="dxa"/>
          </w:tcPr>
          <w:p>
            <w:pPr>
              <w:pStyle w:val="yTable"/>
            </w:pPr>
            <w:r>
              <w:t>39(1) or (2)</w:t>
            </w:r>
          </w:p>
        </w:tc>
        <w:tc>
          <w:tcPr>
            <w:tcW w:w="3720" w:type="dxa"/>
          </w:tcPr>
          <w:p>
            <w:pPr>
              <w:pStyle w:val="yTable"/>
            </w:pPr>
            <w:r>
              <w:t>Unlawful lighting of fires etc.</w:t>
            </w:r>
          </w:p>
        </w:tc>
        <w:tc>
          <w:tcPr>
            <w:tcW w:w="1200" w:type="dxa"/>
            <w:vAlign w:val="bottom"/>
          </w:tcPr>
          <w:p>
            <w:pPr>
              <w:pStyle w:val="yTable"/>
              <w:tabs>
                <w:tab w:val="decimal" w:pos="766"/>
              </w:tabs>
            </w:pPr>
            <w:r>
              <w:t>200</w:t>
            </w:r>
          </w:p>
        </w:tc>
      </w:tr>
      <w:tr>
        <w:trPr>
          <w:cantSplit/>
        </w:trPr>
        <w:tc>
          <w:tcPr>
            <w:tcW w:w="840" w:type="dxa"/>
          </w:tcPr>
          <w:p>
            <w:pPr>
              <w:pStyle w:val="yTable"/>
            </w:pPr>
            <w:r>
              <w:t>31.</w:t>
            </w:r>
          </w:p>
        </w:tc>
        <w:tc>
          <w:tcPr>
            <w:tcW w:w="1320" w:type="dxa"/>
          </w:tcPr>
          <w:p>
            <w:pPr>
              <w:pStyle w:val="yTable"/>
            </w:pPr>
            <w:r>
              <w:t>40(3)</w:t>
            </w:r>
          </w:p>
        </w:tc>
        <w:tc>
          <w:tcPr>
            <w:tcW w:w="3720" w:type="dxa"/>
          </w:tcPr>
          <w:p>
            <w:pPr>
              <w:pStyle w:val="yTable"/>
            </w:pPr>
            <w:r>
              <w:t>Failing to comply with direction under regulation 40(1) or (2)</w:t>
            </w:r>
          </w:p>
        </w:tc>
        <w:tc>
          <w:tcPr>
            <w:tcW w:w="1200" w:type="dxa"/>
            <w:vAlign w:val="bottom"/>
          </w:tcPr>
          <w:p>
            <w:pPr>
              <w:pStyle w:val="yTable"/>
              <w:tabs>
                <w:tab w:val="decimal" w:pos="766"/>
              </w:tabs>
            </w:pPr>
            <w:r>
              <w:t>200</w:t>
            </w:r>
          </w:p>
        </w:tc>
      </w:tr>
      <w:tr>
        <w:trPr>
          <w:cantSplit/>
        </w:trPr>
        <w:tc>
          <w:tcPr>
            <w:tcW w:w="840" w:type="dxa"/>
          </w:tcPr>
          <w:p>
            <w:pPr>
              <w:pStyle w:val="yTable"/>
            </w:pPr>
            <w:r>
              <w:t>32.</w:t>
            </w:r>
          </w:p>
        </w:tc>
        <w:tc>
          <w:tcPr>
            <w:tcW w:w="1320" w:type="dxa"/>
          </w:tcPr>
          <w:p>
            <w:pPr>
              <w:pStyle w:val="yTable"/>
            </w:pPr>
            <w:r>
              <w:t>41</w:t>
            </w:r>
          </w:p>
        </w:tc>
        <w:tc>
          <w:tcPr>
            <w:tcW w:w="3720" w:type="dxa"/>
          </w:tcPr>
          <w:p>
            <w:pPr>
              <w:pStyle w:val="yTable"/>
            </w:pPr>
            <w:r>
              <w:t>Entering certain classified areas</w:t>
            </w:r>
          </w:p>
        </w:tc>
        <w:tc>
          <w:tcPr>
            <w:tcW w:w="1200" w:type="dxa"/>
            <w:vAlign w:val="bottom"/>
          </w:tcPr>
          <w:p>
            <w:pPr>
              <w:pStyle w:val="yTable"/>
              <w:tabs>
                <w:tab w:val="decimal" w:pos="766"/>
              </w:tabs>
            </w:pPr>
            <w:r>
              <w:t>200</w:t>
            </w:r>
          </w:p>
        </w:tc>
      </w:tr>
      <w:tr>
        <w:trPr>
          <w:cantSplit/>
        </w:trPr>
        <w:tc>
          <w:tcPr>
            <w:tcW w:w="840" w:type="dxa"/>
          </w:tcPr>
          <w:p>
            <w:pPr>
              <w:pStyle w:val="yTable"/>
            </w:pPr>
            <w:r>
              <w:t>33.</w:t>
            </w:r>
          </w:p>
        </w:tc>
        <w:tc>
          <w:tcPr>
            <w:tcW w:w="1320" w:type="dxa"/>
          </w:tcPr>
          <w:p>
            <w:pPr>
              <w:pStyle w:val="yTable"/>
            </w:pPr>
            <w:r>
              <w:t>42</w:t>
            </w:r>
          </w:p>
        </w:tc>
        <w:tc>
          <w:tcPr>
            <w:tcW w:w="3720" w:type="dxa"/>
          </w:tcPr>
          <w:p>
            <w:pPr>
              <w:pStyle w:val="yTable"/>
            </w:pPr>
            <w:r>
              <w:t>Entering limited access area other than on foot or by vessel</w:t>
            </w:r>
          </w:p>
        </w:tc>
        <w:tc>
          <w:tcPr>
            <w:tcW w:w="1200" w:type="dxa"/>
            <w:vAlign w:val="bottom"/>
          </w:tcPr>
          <w:p>
            <w:pPr>
              <w:pStyle w:val="yTable"/>
              <w:tabs>
                <w:tab w:val="decimal" w:pos="766"/>
              </w:tabs>
            </w:pPr>
            <w:r>
              <w:t>200</w:t>
            </w:r>
          </w:p>
        </w:tc>
      </w:tr>
      <w:tr>
        <w:trPr>
          <w:cantSplit/>
        </w:trPr>
        <w:tc>
          <w:tcPr>
            <w:tcW w:w="840" w:type="dxa"/>
          </w:tcPr>
          <w:p>
            <w:pPr>
              <w:pStyle w:val="yTable"/>
            </w:pPr>
            <w:r>
              <w:t>34.</w:t>
            </w:r>
          </w:p>
        </w:tc>
        <w:tc>
          <w:tcPr>
            <w:tcW w:w="1320" w:type="dxa"/>
          </w:tcPr>
          <w:p>
            <w:pPr>
              <w:pStyle w:val="yTable"/>
            </w:pPr>
            <w:r>
              <w:t>43</w:t>
            </w:r>
          </w:p>
        </w:tc>
        <w:tc>
          <w:tcPr>
            <w:tcW w:w="3720" w:type="dxa"/>
          </w:tcPr>
          <w:p>
            <w:pPr>
              <w:pStyle w:val="yTable"/>
            </w:pPr>
            <w:r>
              <w:t>Entering wilderness area by vehicle, vessel or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35.</w:t>
            </w:r>
          </w:p>
        </w:tc>
        <w:tc>
          <w:tcPr>
            <w:tcW w:w="1320" w:type="dxa"/>
          </w:tcPr>
          <w:p>
            <w:pPr>
              <w:pStyle w:val="yTable"/>
            </w:pPr>
            <w:r>
              <w:t>46(1)</w:t>
            </w:r>
          </w:p>
        </w:tc>
        <w:tc>
          <w:tcPr>
            <w:tcW w:w="3720" w:type="dxa"/>
          </w:tcPr>
          <w:p>
            <w:pPr>
              <w:pStyle w:val="yTable"/>
            </w:pPr>
            <w:r>
              <w:t>Entering closed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36A.</w:t>
            </w:r>
          </w:p>
        </w:tc>
        <w:tc>
          <w:tcPr>
            <w:tcW w:w="1320" w:type="dxa"/>
          </w:tcPr>
          <w:p>
            <w:pPr>
              <w:pStyle w:val="yTable"/>
            </w:pPr>
            <w:r>
              <w:t>46(2)</w:t>
            </w:r>
          </w:p>
        </w:tc>
        <w:tc>
          <w:tcPr>
            <w:tcW w:w="3720" w:type="dxa"/>
          </w:tcPr>
          <w:p>
            <w:pPr>
              <w:pStyle w:val="yTable"/>
            </w:pPr>
            <w:r>
              <w:t>Failing to leave a closed area</w:t>
            </w:r>
          </w:p>
        </w:tc>
        <w:tc>
          <w:tcPr>
            <w:tcW w:w="1200" w:type="dxa"/>
            <w:vAlign w:val="bottom"/>
          </w:tcPr>
          <w:p>
            <w:pPr>
              <w:pStyle w:val="yTable"/>
              <w:tabs>
                <w:tab w:val="decimal" w:pos="766"/>
              </w:tabs>
            </w:pPr>
            <w:r>
              <w:t>200</w:t>
            </w:r>
          </w:p>
        </w:tc>
      </w:tr>
      <w:tr>
        <w:trPr>
          <w:cantSplit/>
        </w:trPr>
        <w:tc>
          <w:tcPr>
            <w:tcW w:w="840" w:type="dxa"/>
          </w:tcPr>
          <w:p>
            <w:pPr>
              <w:pStyle w:val="yTable"/>
            </w:pPr>
            <w:r>
              <w:t>36.</w:t>
            </w:r>
          </w:p>
        </w:tc>
        <w:tc>
          <w:tcPr>
            <w:tcW w:w="1320" w:type="dxa"/>
          </w:tcPr>
          <w:p>
            <w:pPr>
              <w:pStyle w:val="yTable"/>
            </w:pPr>
            <w:r>
              <w:t>47(1)</w:t>
            </w:r>
          </w:p>
        </w:tc>
        <w:tc>
          <w:tcPr>
            <w:tcW w:w="3720" w:type="dxa"/>
          </w:tcPr>
          <w:p>
            <w:pPr>
              <w:pStyle w:val="yTable"/>
            </w:pPr>
            <w:r>
              <w:t>Failing to enter through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w:t>
            </w:r>
          </w:p>
        </w:tc>
        <w:tc>
          <w:tcPr>
            <w:tcW w:w="1320" w:type="dxa"/>
          </w:tcPr>
          <w:p>
            <w:pPr>
              <w:pStyle w:val="yTable"/>
            </w:pPr>
            <w:r>
              <w:t>47(2)</w:t>
            </w:r>
          </w:p>
        </w:tc>
        <w:tc>
          <w:tcPr>
            <w:tcW w:w="3720" w:type="dxa"/>
          </w:tcPr>
          <w:p>
            <w:pPr>
              <w:pStyle w:val="yTable"/>
            </w:pPr>
            <w:r>
              <w:t>Unlawfully unlocking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37a.</w:t>
            </w:r>
          </w:p>
        </w:tc>
        <w:tc>
          <w:tcPr>
            <w:tcW w:w="1320" w:type="dxa"/>
          </w:tcPr>
          <w:p>
            <w:pPr>
              <w:pStyle w:val="yTable"/>
            </w:pPr>
            <w:r>
              <w:t>47(3)</w:t>
            </w:r>
          </w:p>
        </w:tc>
        <w:tc>
          <w:tcPr>
            <w:tcW w:w="3720" w:type="dxa"/>
          </w:tcPr>
          <w:p>
            <w:pPr>
              <w:pStyle w:val="yTable"/>
            </w:pPr>
            <w:r>
              <w:t>Unlawfully removing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38.</w:t>
            </w:r>
          </w:p>
        </w:tc>
        <w:tc>
          <w:tcPr>
            <w:tcW w:w="1320" w:type="dxa"/>
          </w:tcPr>
          <w:p>
            <w:pPr>
              <w:pStyle w:val="yTable"/>
            </w:pPr>
            <w:r>
              <w:t>48</w:t>
            </w:r>
          </w:p>
        </w:tc>
        <w:tc>
          <w:tcPr>
            <w:tcW w:w="3720" w:type="dxa"/>
          </w:tcPr>
          <w:p>
            <w:pPr>
              <w:pStyle w:val="yTable"/>
            </w:pPr>
            <w:r>
              <w:t>Entering or remaining on area set aside for Departmental purposes</w:t>
            </w:r>
          </w:p>
        </w:tc>
        <w:tc>
          <w:tcPr>
            <w:tcW w:w="1200" w:type="dxa"/>
            <w:vAlign w:val="bottom"/>
          </w:tcPr>
          <w:p>
            <w:pPr>
              <w:pStyle w:val="yTable"/>
              <w:tabs>
                <w:tab w:val="decimal" w:pos="766"/>
              </w:tabs>
            </w:pPr>
            <w:r>
              <w:t>50</w:t>
            </w:r>
          </w:p>
        </w:tc>
      </w:tr>
      <w:tr>
        <w:trPr>
          <w:cantSplit/>
        </w:trPr>
        <w:tc>
          <w:tcPr>
            <w:tcW w:w="840" w:type="dxa"/>
          </w:tcPr>
          <w:p>
            <w:pPr>
              <w:pStyle w:val="yTable"/>
            </w:pPr>
            <w:r>
              <w:t>39.</w:t>
            </w:r>
          </w:p>
        </w:tc>
        <w:tc>
          <w:tcPr>
            <w:tcW w:w="1320" w:type="dxa"/>
          </w:tcPr>
          <w:p>
            <w:pPr>
              <w:pStyle w:val="yTable"/>
            </w:pPr>
            <w:r>
              <w:t>49(4)</w:t>
            </w:r>
          </w:p>
        </w:tc>
        <w:tc>
          <w:tcPr>
            <w:tcW w:w="3720" w:type="dxa"/>
          </w:tcPr>
          <w:p>
            <w:pPr>
              <w:pStyle w:val="yTable"/>
            </w:pPr>
            <w:r>
              <w:t>Entering or remaining in cave</w:t>
            </w:r>
          </w:p>
        </w:tc>
        <w:tc>
          <w:tcPr>
            <w:tcW w:w="1200" w:type="dxa"/>
            <w:vAlign w:val="bottom"/>
          </w:tcPr>
          <w:p>
            <w:pPr>
              <w:pStyle w:val="yTable"/>
              <w:tabs>
                <w:tab w:val="decimal" w:pos="766"/>
              </w:tabs>
            </w:pPr>
            <w:r>
              <w:t>100</w:t>
            </w:r>
          </w:p>
        </w:tc>
      </w:tr>
      <w:tr>
        <w:trPr>
          <w:cantSplit/>
        </w:trPr>
        <w:tc>
          <w:tcPr>
            <w:tcW w:w="840" w:type="dxa"/>
          </w:tcPr>
          <w:p>
            <w:pPr>
              <w:pStyle w:val="yTable"/>
            </w:pPr>
            <w:r>
              <w:t>40.</w:t>
            </w:r>
          </w:p>
        </w:tc>
        <w:tc>
          <w:tcPr>
            <w:tcW w:w="1320" w:type="dxa"/>
          </w:tcPr>
          <w:p>
            <w:pPr>
              <w:pStyle w:val="yTable"/>
            </w:pPr>
            <w:r>
              <w:t>49(5)</w:t>
            </w:r>
          </w:p>
        </w:tc>
        <w:tc>
          <w:tcPr>
            <w:tcW w:w="3720" w:type="dxa"/>
          </w:tcPr>
          <w:p>
            <w:pPr>
              <w:pStyle w:val="yTable"/>
            </w:pPr>
            <w:r>
              <w:t>Failing to comply with condition or restriction of permit to enter cave</w:t>
            </w:r>
          </w:p>
        </w:tc>
        <w:tc>
          <w:tcPr>
            <w:tcW w:w="1200" w:type="dxa"/>
            <w:vAlign w:val="bottom"/>
          </w:tcPr>
          <w:p>
            <w:pPr>
              <w:pStyle w:val="yTable"/>
              <w:tabs>
                <w:tab w:val="decimal" w:pos="766"/>
              </w:tabs>
            </w:pPr>
            <w:r>
              <w:t>100</w:t>
            </w:r>
          </w:p>
        </w:tc>
      </w:tr>
      <w:tr>
        <w:trPr>
          <w:cantSplit/>
        </w:trPr>
        <w:tc>
          <w:tcPr>
            <w:tcW w:w="840" w:type="dxa"/>
          </w:tcPr>
          <w:p>
            <w:pPr>
              <w:pStyle w:val="yTable"/>
            </w:pPr>
            <w:r>
              <w:t>40a.</w:t>
            </w:r>
          </w:p>
        </w:tc>
        <w:tc>
          <w:tcPr>
            <w:tcW w:w="1320" w:type="dxa"/>
          </w:tcPr>
          <w:p>
            <w:pPr>
              <w:pStyle w:val="yTable"/>
            </w:pPr>
            <w:r>
              <w:t>50</w:t>
            </w:r>
          </w:p>
        </w:tc>
        <w:tc>
          <w:tcPr>
            <w:tcW w:w="3720" w:type="dxa"/>
          </w:tcPr>
          <w:p>
            <w:pPr>
              <w:pStyle w:val="yTable"/>
            </w:pPr>
            <w:r>
              <w:t>Unlawfully organising cross country events etc.</w:t>
            </w:r>
          </w:p>
        </w:tc>
        <w:tc>
          <w:tcPr>
            <w:tcW w:w="1200" w:type="dxa"/>
            <w:vAlign w:val="bottom"/>
          </w:tcPr>
          <w:p>
            <w:pPr>
              <w:pStyle w:val="yTable"/>
              <w:tabs>
                <w:tab w:val="decimal" w:pos="766"/>
              </w:tabs>
            </w:pPr>
            <w:r>
              <w:t>100</w:t>
            </w:r>
          </w:p>
        </w:tc>
      </w:tr>
      <w:tr>
        <w:trPr>
          <w:cantSplit/>
        </w:trPr>
        <w:tc>
          <w:tcPr>
            <w:tcW w:w="840" w:type="dxa"/>
          </w:tcPr>
          <w:p>
            <w:pPr>
              <w:pStyle w:val="yTable"/>
            </w:pPr>
            <w:r>
              <w:t>41.</w:t>
            </w:r>
          </w:p>
        </w:tc>
        <w:tc>
          <w:tcPr>
            <w:tcW w:w="1320" w:type="dxa"/>
          </w:tcPr>
          <w:p>
            <w:pPr>
              <w:pStyle w:val="yTable"/>
            </w:pPr>
            <w:r>
              <w:t>51(1)</w:t>
            </w:r>
          </w:p>
        </w:tc>
        <w:tc>
          <w:tcPr>
            <w:tcW w:w="3720" w:type="dxa"/>
          </w:tcPr>
          <w:p>
            <w:pPr>
              <w:pStyle w:val="yTable"/>
            </w:pPr>
            <w:r>
              <w:t>Unlawfully driving or using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41a.</w:t>
            </w:r>
          </w:p>
        </w:tc>
        <w:tc>
          <w:tcPr>
            <w:tcW w:w="1320" w:type="dxa"/>
          </w:tcPr>
          <w:p>
            <w:pPr>
              <w:pStyle w:val="yTable"/>
            </w:pPr>
            <w:r>
              <w:t>51(3)</w:t>
            </w:r>
          </w:p>
        </w:tc>
        <w:tc>
          <w:tcPr>
            <w:tcW w:w="3720" w:type="dxa"/>
          </w:tcPr>
          <w:p>
            <w:pPr>
              <w:pStyle w:val="yTable"/>
            </w:pPr>
            <w:r>
              <w:t>Unlawfully driving or using vehicle in restricted area</w:t>
            </w:r>
          </w:p>
        </w:tc>
        <w:tc>
          <w:tcPr>
            <w:tcW w:w="1200" w:type="dxa"/>
            <w:vAlign w:val="bottom"/>
          </w:tcPr>
          <w:p>
            <w:pPr>
              <w:pStyle w:val="yTable"/>
              <w:tabs>
                <w:tab w:val="decimal" w:pos="766"/>
              </w:tabs>
            </w:pPr>
            <w:r>
              <w:t>200</w:t>
            </w:r>
          </w:p>
        </w:tc>
      </w:tr>
      <w:tr>
        <w:trPr>
          <w:cantSplit/>
        </w:trPr>
        <w:tc>
          <w:tcPr>
            <w:tcW w:w="840" w:type="dxa"/>
          </w:tcPr>
          <w:p>
            <w:pPr>
              <w:pStyle w:val="yTable"/>
            </w:pPr>
            <w:r>
              <w:t>41b.</w:t>
            </w:r>
          </w:p>
        </w:tc>
        <w:tc>
          <w:tcPr>
            <w:tcW w:w="1320" w:type="dxa"/>
          </w:tcPr>
          <w:p>
            <w:pPr>
              <w:pStyle w:val="yTable"/>
            </w:pPr>
            <w:r>
              <w:t>51A(1)</w:t>
            </w:r>
          </w:p>
        </w:tc>
        <w:tc>
          <w:tcPr>
            <w:tcW w:w="3720" w:type="dxa"/>
          </w:tcPr>
          <w:p>
            <w:pPr>
              <w:pStyle w:val="yTable"/>
            </w:pPr>
            <w:r>
              <w:t>Unlawfully riding a bicycle on CALM land</w:t>
            </w:r>
          </w:p>
        </w:tc>
        <w:tc>
          <w:tcPr>
            <w:tcW w:w="1200" w:type="dxa"/>
            <w:vAlign w:val="bottom"/>
          </w:tcPr>
          <w:p>
            <w:pPr>
              <w:pStyle w:val="yTable"/>
              <w:tabs>
                <w:tab w:val="decimal" w:pos="766"/>
              </w:tabs>
            </w:pPr>
            <w:r>
              <w:t>50</w:t>
            </w:r>
          </w:p>
        </w:tc>
      </w:tr>
      <w:tr>
        <w:trPr>
          <w:cantSplit/>
        </w:trPr>
        <w:tc>
          <w:tcPr>
            <w:tcW w:w="840" w:type="dxa"/>
          </w:tcPr>
          <w:p>
            <w:pPr>
              <w:pStyle w:val="yTable"/>
            </w:pPr>
            <w:r>
              <w:t>41c.</w:t>
            </w:r>
          </w:p>
        </w:tc>
        <w:tc>
          <w:tcPr>
            <w:tcW w:w="1320" w:type="dxa"/>
          </w:tcPr>
          <w:p>
            <w:pPr>
              <w:pStyle w:val="yTable"/>
            </w:pPr>
            <w:r>
              <w:t>51A(3)</w:t>
            </w:r>
          </w:p>
        </w:tc>
        <w:tc>
          <w:tcPr>
            <w:tcW w:w="3720" w:type="dxa"/>
          </w:tcPr>
          <w:p>
            <w:pPr>
              <w:pStyle w:val="yTable"/>
            </w:pPr>
            <w:r>
              <w:t>Unlawfully riding a bicycle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42.</w:t>
            </w:r>
          </w:p>
        </w:tc>
        <w:tc>
          <w:tcPr>
            <w:tcW w:w="1320" w:type="dxa"/>
          </w:tcPr>
          <w:p>
            <w:pPr>
              <w:pStyle w:val="yTable"/>
            </w:pPr>
            <w:r>
              <w:t>52</w:t>
            </w:r>
          </w:p>
        </w:tc>
        <w:tc>
          <w:tcPr>
            <w:tcW w:w="3720" w:type="dxa"/>
          </w:tcPr>
          <w:p>
            <w:pPr>
              <w:pStyle w:val="yTable"/>
            </w:pPr>
            <w:r>
              <w:t>Unlawfully using off</w:t>
            </w:r>
            <w:r>
              <w:noBreakHyphen/>
              <w:t>road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42a.</w:t>
            </w:r>
          </w:p>
        </w:tc>
        <w:tc>
          <w:tcPr>
            <w:tcW w:w="1320" w:type="dxa"/>
          </w:tcPr>
          <w:p>
            <w:pPr>
              <w:pStyle w:val="yTable"/>
            </w:pPr>
            <w:r>
              <w:t>53</w:t>
            </w:r>
          </w:p>
        </w:tc>
        <w:tc>
          <w:tcPr>
            <w:tcW w:w="3720" w:type="dxa"/>
          </w:tcPr>
          <w:p>
            <w:pPr>
              <w:pStyle w:val="yTable"/>
            </w:pPr>
            <w:r>
              <w:t>Unlawfully organising car rallies etc.</w:t>
            </w:r>
          </w:p>
        </w:tc>
        <w:tc>
          <w:tcPr>
            <w:tcW w:w="1200" w:type="dxa"/>
            <w:vAlign w:val="bottom"/>
          </w:tcPr>
          <w:p>
            <w:pPr>
              <w:pStyle w:val="yTable"/>
              <w:tabs>
                <w:tab w:val="decimal" w:pos="766"/>
              </w:tabs>
            </w:pPr>
            <w:r>
              <w:t>200</w:t>
            </w:r>
          </w:p>
        </w:tc>
      </w:tr>
      <w:tr>
        <w:trPr>
          <w:cantSplit/>
        </w:trPr>
        <w:tc>
          <w:tcPr>
            <w:tcW w:w="840" w:type="dxa"/>
          </w:tcPr>
          <w:p>
            <w:pPr>
              <w:pStyle w:val="yTable"/>
            </w:pPr>
            <w:r>
              <w:t>43.</w:t>
            </w:r>
          </w:p>
        </w:tc>
        <w:tc>
          <w:tcPr>
            <w:tcW w:w="1320" w:type="dxa"/>
          </w:tcPr>
          <w:p>
            <w:pPr>
              <w:pStyle w:val="yTable"/>
            </w:pPr>
            <w:r>
              <w:t>54(1)</w:t>
            </w:r>
          </w:p>
        </w:tc>
        <w:tc>
          <w:tcPr>
            <w:tcW w:w="3720" w:type="dxa"/>
          </w:tcPr>
          <w:p>
            <w:pPr>
              <w:pStyle w:val="yTable"/>
            </w:pPr>
            <w:r>
              <w:t>Breaching traffic law</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44A.</w:t>
            </w:r>
          </w:p>
        </w:tc>
        <w:tc>
          <w:tcPr>
            <w:tcW w:w="1320" w:type="dxa"/>
          </w:tcPr>
          <w:p>
            <w:pPr>
              <w:pStyle w:val="yTable"/>
            </w:pPr>
            <w:r>
              <w:t>54(2)</w:t>
            </w:r>
          </w:p>
        </w:tc>
        <w:tc>
          <w:tcPr>
            <w:tcW w:w="3720" w:type="dxa"/>
          </w:tcPr>
          <w:p>
            <w:pPr>
              <w:pStyle w:val="yTable"/>
            </w:pPr>
            <w:r>
              <w:t>Driving a vehicle in a dangerous or careless manner</w:t>
            </w:r>
          </w:p>
        </w:tc>
        <w:tc>
          <w:tcPr>
            <w:tcW w:w="1200" w:type="dxa"/>
            <w:vAlign w:val="bottom"/>
          </w:tcPr>
          <w:p>
            <w:pPr>
              <w:pStyle w:val="yTable"/>
              <w:tabs>
                <w:tab w:val="decimal" w:pos="766"/>
              </w:tabs>
            </w:pPr>
            <w:r>
              <w:br/>
              <w:t>100</w:t>
            </w:r>
          </w:p>
        </w:tc>
      </w:tr>
      <w:tr>
        <w:trPr>
          <w:cantSplit/>
        </w:trPr>
        <w:tc>
          <w:tcPr>
            <w:tcW w:w="840" w:type="dxa"/>
          </w:tcPr>
          <w:p>
            <w:pPr>
              <w:pStyle w:val="yTable"/>
            </w:pPr>
            <w:r>
              <w:t>44.</w:t>
            </w:r>
          </w:p>
        </w:tc>
        <w:tc>
          <w:tcPr>
            <w:tcW w:w="1320" w:type="dxa"/>
          </w:tcPr>
          <w:p>
            <w:pPr>
              <w:pStyle w:val="yTable"/>
            </w:pPr>
            <w:r>
              <w:t>55</w:t>
            </w:r>
          </w:p>
        </w:tc>
        <w:tc>
          <w:tcPr>
            <w:tcW w:w="3720" w:type="dxa"/>
          </w:tcPr>
          <w:p>
            <w:pPr>
              <w:pStyle w:val="yTable"/>
            </w:pPr>
            <w:r>
              <w:t>Failing to obey direction in relation to the parking or movement of vehicle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45.</w:t>
            </w:r>
          </w:p>
        </w:tc>
        <w:tc>
          <w:tcPr>
            <w:tcW w:w="1320" w:type="dxa"/>
          </w:tcPr>
          <w:p>
            <w:pPr>
              <w:pStyle w:val="yTable"/>
            </w:pPr>
            <w:r>
              <w:t>56(1)</w:t>
            </w:r>
          </w:p>
        </w:tc>
        <w:tc>
          <w:tcPr>
            <w:tcW w:w="3720" w:type="dxa"/>
          </w:tcPr>
          <w:p>
            <w:pPr>
              <w:pStyle w:val="yTable"/>
            </w:pPr>
            <w:r>
              <w:t>Parking contrary to direction on sign</w:t>
            </w:r>
          </w:p>
        </w:tc>
        <w:tc>
          <w:tcPr>
            <w:tcW w:w="1200" w:type="dxa"/>
            <w:vAlign w:val="bottom"/>
          </w:tcPr>
          <w:p>
            <w:pPr>
              <w:pStyle w:val="yTable"/>
              <w:tabs>
                <w:tab w:val="decimal" w:pos="766"/>
              </w:tabs>
            </w:pPr>
            <w:r>
              <w:t>50</w:t>
            </w:r>
          </w:p>
        </w:tc>
      </w:tr>
      <w:tr>
        <w:trPr>
          <w:cantSplit/>
        </w:trPr>
        <w:tc>
          <w:tcPr>
            <w:tcW w:w="840" w:type="dxa"/>
          </w:tcPr>
          <w:p>
            <w:pPr>
              <w:pStyle w:val="yTable"/>
            </w:pPr>
            <w:r>
              <w:t>46.</w:t>
            </w:r>
          </w:p>
        </w:tc>
        <w:tc>
          <w:tcPr>
            <w:tcW w:w="1320" w:type="dxa"/>
          </w:tcPr>
          <w:p>
            <w:pPr>
              <w:pStyle w:val="yTable"/>
            </w:pPr>
            <w:r>
              <w:t>56(4)</w:t>
            </w:r>
          </w:p>
        </w:tc>
        <w:tc>
          <w:tcPr>
            <w:tcW w:w="3720" w:type="dxa"/>
          </w:tcPr>
          <w:p>
            <w:pPr>
              <w:pStyle w:val="yTable"/>
            </w:pPr>
            <w:r>
              <w:t>Failing to pay parking charge or display ticket</w:t>
            </w:r>
          </w:p>
        </w:tc>
        <w:tc>
          <w:tcPr>
            <w:tcW w:w="1200" w:type="dxa"/>
            <w:vAlign w:val="bottom"/>
          </w:tcPr>
          <w:p>
            <w:pPr>
              <w:pStyle w:val="yTable"/>
              <w:tabs>
                <w:tab w:val="decimal" w:pos="766"/>
              </w:tabs>
            </w:pPr>
            <w:r>
              <w:t>50</w:t>
            </w:r>
          </w:p>
        </w:tc>
      </w:tr>
      <w:tr>
        <w:trPr>
          <w:cantSplit/>
        </w:trPr>
        <w:tc>
          <w:tcPr>
            <w:tcW w:w="840" w:type="dxa"/>
          </w:tcPr>
          <w:p>
            <w:pPr>
              <w:pStyle w:val="yTable"/>
            </w:pPr>
            <w:r>
              <w:t>47.</w:t>
            </w:r>
          </w:p>
        </w:tc>
        <w:tc>
          <w:tcPr>
            <w:tcW w:w="1320" w:type="dxa"/>
          </w:tcPr>
          <w:p>
            <w:pPr>
              <w:pStyle w:val="yTable"/>
            </w:pPr>
            <w:r>
              <w:t>57</w:t>
            </w:r>
          </w:p>
        </w:tc>
        <w:tc>
          <w:tcPr>
            <w:tcW w:w="3720" w:type="dxa"/>
          </w:tcPr>
          <w:p>
            <w:pPr>
              <w:pStyle w:val="yTable"/>
            </w:pPr>
            <w:r>
              <w:t>Obstructing vehicle etc.</w:t>
            </w:r>
          </w:p>
        </w:tc>
        <w:tc>
          <w:tcPr>
            <w:tcW w:w="1200" w:type="dxa"/>
            <w:vAlign w:val="bottom"/>
          </w:tcPr>
          <w:p>
            <w:pPr>
              <w:pStyle w:val="yTable"/>
              <w:tabs>
                <w:tab w:val="decimal" w:pos="766"/>
              </w:tabs>
            </w:pPr>
            <w:r>
              <w:t>50</w:t>
            </w:r>
          </w:p>
        </w:tc>
      </w:tr>
      <w:tr>
        <w:trPr>
          <w:cantSplit/>
        </w:trPr>
        <w:tc>
          <w:tcPr>
            <w:tcW w:w="840" w:type="dxa"/>
          </w:tcPr>
          <w:p>
            <w:pPr>
              <w:pStyle w:val="yTable"/>
            </w:pPr>
            <w:r>
              <w:t>47a.</w:t>
            </w:r>
          </w:p>
        </w:tc>
        <w:tc>
          <w:tcPr>
            <w:tcW w:w="1320" w:type="dxa"/>
          </w:tcPr>
          <w:p>
            <w:pPr>
              <w:pStyle w:val="yTable"/>
            </w:pPr>
            <w:r>
              <w:t>59(1)</w:t>
            </w:r>
          </w:p>
        </w:tc>
        <w:tc>
          <w:tcPr>
            <w:tcW w:w="3720" w:type="dxa"/>
          </w:tcPr>
          <w:p>
            <w:pPr>
              <w:pStyle w:val="yTable"/>
            </w:pPr>
            <w:r>
              <w:t>Unlawfully having a mooring</w:t>
            </w:r>
          </w:p>
        </w:tc>
        <w:tc>
          <w:tcPr>
            <w:tcW w:w="1200" w:type="dxa"/>
            <w:vAlign w:val="bottom"/>
          </w:tcPr>
          <w:p>
            <w:pPr>
              <w:pStyle w:val="yTable"/>
              <w:tabs>
                <w:tab w:val="decimal" w:pos="766"/>
              </w:tabs>
            </w:pPr>
            <w:r>
              <w:t>200</w:t>
            </w:r>
          </w:p>
        </w:tc>
      </w:tr>
      <w:tr>
        <w:trPr>
          <w:cantSplit/>
        </w:trPr>
        <w:tc>
          <w:tcPr>
            <w:tcW w:w="840" w:type="dxa"/>
          </w:tcPr>
          <w:p>
            <w:pPr>
              <w:pStyle w:val="yTable"/>
            </w:pPr>
            <w:r>
              <w:t>48.</w:t>
            </w:r>
          </w:p>
        </w:tc>
        <w:tc>
          <w:tcPr>
            <w:tcW w:w="1320" w:type="dxa"/>
          </w:tcPr>
          <w:p>
            <w:pPr>
              <w:pStyle w:val="yTable"/>
            </w:pPr>
            <w:r>
              <w:t>59(2)</w:t>
            </w:r>
          </w:p>
        </w:tc>
        <w:tc>
          <w:tcPr>
            <w:tcW w:w="3720" w:type="dxa"/>
          </w:tcPr>
          <w:p>
            <w:pPr>
              <w:pStyle w:val="yTable"/>
            </w:pPr>
            <w:r>
              <w:t>Using an unlawful mooring</w:t>
            </w:r>
          </w:p>
        </w:tc>
        <w:tc>
          <w:tcPr>
            <w:tcW w:w="1200" w:type="dxa"/>
            <w:vAlign w:val="bottom"/>
          </w:tcPr>
          <w:p>
            <w:pPr>
              <w:pStyle w:val="yTable"/>
              <w:tabs>
                <w:tab w:val="decimal" w:pos="766"/>
              </w:tabs>
            </w:pPr>
            <w:r>
              <w:t>100</w:t>
            </w:r>
          </w:p>
        </w:tc>
      </w:tr>
      <w:tr>
        <w:trPr>
          <w:cantSplit/>
        </w:trPr>
        <w:tc>
          <w:tcPr>
            <w:tcW w:w="840" w:type="dxa"/>
          </w:tcPr>
          <w:p>
            <w:pPr>
              <w:pStyle w:val="yTable"/>
            </w:pPr>
            <w:r>
              <w:t>48A.</w:t>
            </w:r>
          </w:p>
        </w:tc>
        <w:tc>
          <w:tcPr>
            <w:tcW w:w="1320" w:type="dxa"/>
          </w:tcPr>
          <w:p>
            <w:pPr>
              <w:pStyle w:val="yTable"/>
            </w:pPr>
            <w:r>
              <w:t>59(3A)</w:t>
            </w:r>
          </w:p>
        </w:tc>
        <w:tc>
          <w:tcPr>
            <w:tcW w:w="3720" w:type="dxa"/>
          </w:tcPr>
          <w:p>
            <w:pPr>
              <w:pStyle w:val="yTable"/>
            </w:pPr>
            <w:r>
              <w:t>Unlawfully securing vessel to mooring</w:t>
            </w:r>
          </w:p>
        </w:tc>
        <w:tc>
          <w:tcPr>
            <w:tcW w:w="1200" w:type="dxa"/>
            <w:vAlign w:val="bottom"/>
          </w:tcPr>
          <w:p>
            <w:pPr>
              <w:pStyle w:val="yTable"/>
              <w:tabs>
                <w:tab w:val="decimal" w:pos="766"/>
              </w:tabs>
            </w:pPr>
            <w:r>
              <w:t>100</w:t>
            </w:r>
          </w:p>
        </w:tc>
      </w:tr>
      <w:tr>
        <w:trPr>
          <w:cantSplit/>
        </w:trPr>
        <w:tc>
          <w:tcPr>
            <w:tcW w:w="840" w:type="dxa"/>
          </w:tcPr>
          <w:p>
            <w:pPr>
              <w:pStyle w:val="yTable"/>
            </w:pPr>
            <w:r>
              <w:t>49.</w:t>
            </w:r>
          </w:p>
        </w:tc>
        <w:tc>
          <w:tcPr>
            <w:tcW w:w="1320" w:type="dxa"/>
          </w:tcPr>
          <w:p>
            <w:pPr>
              <w:pStyle w:val="yTable"/>
            </w:pPr>
            <w:r>
              <w:t>59(3)</w:t>
            </w:r>
          </w:p>
        </w:tc>
        <w:tc>
          <w:tcPr>
            <w:tcW w:w="3720" w:type="dxa"/>
          </w:tcPr>
          <w:p>
            <w:pPr>
              <w:pStyle w:val="yTable"/>
            </w:pPr>
            <w:r>
              <w:t>Securing a vessel in an unlawful manner</w:t>
            </w:r>
          </w:p>
        </w:tc>
        <w:tc>
          <w:tcPr>
            <w:tcW w:w="1200" w:type="dxa"/>
            <w:vAlign w:val="bottom"/>
          </w:tcPr>
          <w:p>
            <w:pPr>
              <w:pStyle w:val="yTable"/>
              <w:tabs>
                <w:tab w:val="decimal" w:pos="766"/>
              </w:tabs>
            </w:pPr>
            <w:r>
              <w:t>100</w:t>
            </w:r>
          </w:p>
        </w:tc>
      </w:tr>
      <w:tr>
        <w:trPr>
          <w:cantSplit/>
        </w:trPr>
        <w:tc>
          <w:tcPr>
            <w:tcW w:w="840" w:type="dxa"/>
          </w:tcPr>
          <w:p>
            <w:pPr>
              <w:pStyle w:val="yTable"/>
            </w:pPr>
            <w:r>
              <w:t>50.</w:t>
            </w:r>
          </w:p>
        </w:tc>
        <w:tc>
          <w:tcPr>
            <w:tcW w:w="1320" w:type="dxa"/>
          </w:tcPr>
          <w:p>
            <w:pPr>
              <w:pStyle w:val="yTable"/>
            </w:pPr>
            <w:r>
              <w:t>60(1)</w:t>
            </w:r>
          </w:p>
        </w:tc>
        <w:tc>
          <w:tcPr>
            <w:tcW w:w="3720" w:type="dxa"/>
          </w:tcPr>
          <w:p>
            <w:pPr>
              <w:pStyle w:val="yTable"/>
            </w:pPr>
            <w:r>
              <w:t>Anchoring a vessel in a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50A.</w:t>
            </w:r>
          </w:p>
        </w:tc>
        <w:tc>
          <w:tcPr>
            <w:tcW w:w="1320" w:type="dxa"/>
          </w:tcPr>
          <w:p>
            <w:pPr>
              <w:pStyle w:val="yTable"/>
            </w:pPr>
            <w:r>
              <w:t>60A(4)</w:t>
            </w:r>
          </w:p>
        </w:tc>
        <w:tc>
          <w:tcPr>
            <w:tcW w:w="3720" w:type="dxa"/>
          </w:tcPr>
          <w:p>
            <w:pPr>
              <w:pStyle w:val="yTable"/>
            </w:pPr>
            <w:r>
              <w:t>Failure to comply with conditions of use of public mooring</w:t>
            </w:r>
          </w:p>
        </w:tc>
        <w:tc>
          <w:tcPr>
            <w:tcW w:w="1200" w:type="dxa"/>
          </w:tcPr>
          <w:p>
            <w:pPr>
              <w:pStyle w:val="yTable"/>
              <w:tabs>
                <w:tab w:val="decimal" w:pos="766"/>
              </w:tabs>
            </w:pPr>
            <w:r>
              <w:br/>
              <w:t>200</w:t>
            </w:r>
          </w:p>
        </w:tc>
      </w:tr>
      <w:tr>
        <w:trPr>
          <w:cantSplit/>
        </w:trPr>
        <w:tc>
          <w:tcPr>
            <w:tcW w:w="840" w:type="dxa"/>
          </w:tcPr>
          <w:p>
            <w:pPr>
              <w:pStyle w:val="yTable"/>
            </w:pPr>
            <w:r>
              <w:t>50B.</w:t>
            </w:r>
          </w:p>
        </w:tc>
        <w:tc>
          <w:tcPr>
            <w:tcW w:w="1320" w:type="dxa"/>
          </w:tcPr>
          <w:p>
            <w:pPr>
              <w:pStyle w:val="yTable"/>
            </w:pPr>
            <w:r>
              <w:t>60(2A)</w:t>
            </w:r>
          </w:p>
        </w:tc>
        <w:tc>
          <w:tcPr>
            <w:tcW w:w="3720" w:type="dxa"/>
          </w:tcPr>
          <w:p>
            <w:pPr>
              <w:pStyle w:val="yTable"/>
            </w:pPr>
            <w:r>
              <w:t>Anchoring vessel within 50 metres of mooring</w:t>
            </w:r>
          </w:p>
        </w:tc>
        <w:tc>
          <w:tcPr>
            <w:tcW w:w="1200" w:type="dxa"/>
          </w:tcPr>
          <w:p>
            <w:pPr>
              <w:pStyle w:val="yTable"/>
              <w:tabs>
                <w:tab w:val="decimal" w:pos="766"/>
              </w:tabs>
            </w:pPr>
            <w:r>
              <w:br/>
              <w:t>100</w:t>
            </w:r>
          </w:p>
        </w:tc>
      </w:tr>
      <w:tr>
        <w:trPr>
          <w:cantSplit/>
        </w:trPr>
        <w:tc>
          <w:tcPr>
            <w:tcW w:w="840" w:type="dxa"/>
          </w:tcPr>
          <w:p>
            <w:pPr>
              <w:pStyle w:val="yTable"/>
            </w:pPr>
            <w:r>
              <w:t>51.</w:t>
            </w:r>
          </w:p>
        </w:tc>
        <w:tc>
          <w:tcPr>
            <w:tcW w:w="1320" w:type="dxa"/>
          </w:tcPr>
          <w:p>
            <w:pPr>
              <w:pStyle w:val="yTable"/>
            </w:pPr>
            <w:r>
              <w:t>61</w:t>
            </w:r>
          </w:p>
        </w:tc>
        <w:tc>
          <w:tcPr>
            <w:tcW w:w="3720" w:type="dxa"/>
          </w:tcPr>
          <w:p>
            <w:pPr>
              <w:pStyle w:val="yTable"/>
            </w:pPr>
            <w:r>
              <w:t>Operating certain vessels in a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51a.</w:t>
            </w:r>
          </w:p>
        </w:tc>
        <w:tc>
          <w:tcPr>
            <w:tcW w:w="1320" w:type="dxa"/>
          </w:tcPr>
          <w:p>
            <w:pPr>
              <w:pStyle w:val="yTable"/>
            </w:pPr>
            <w:r>
              <w:t>61A</w:t>
            </w:r>
          </w:p>
        </w:tc>
        <w:tc>
          <w:tcPr>
            <w:tcW w:w="3720" w:type="dxa"/>
          </w:tcPr>
          <w:p>
            <w:pPr>
              <w:pStyle w:val="yTable"/>
            </w:pPr>
            <w:r>
              <w:t>Unlawful operation of vessels in nature reserves</w:t>
            </w:r>
          </w:p>
        </w:tc>
        <w:tc>
          <w:tcPr>
            <w:tcW w:w="1200" w:type="dxa"/>
            <w:vAlign w:val="bottom"/>
          </w:tcPr>
          <w:p>
            <w:pPr>
              <w:pStyle w:val="yTable"/>
              <w:tabs>
                <w:tab w:val="decimal" w:pos="766"/>
              </w:tabs>
            </w:pPr>
            <w:r>
              <w:t>100</w:t>
            </w:r>
          </w:p>
        </w:tc>
      </w:tr>
      <w:tr>
        <w:trPr>
          <w:cantSplit/>
        </w:trPr>
        <w:tc>
          <w:tcPr>
            <w:tcW w:w="840" w:type="dxa"/>
          </w:tcPr>
          <w:p>
            <w:pPr>
              <w:pStyle w:val="yTable"/>
            </w:pPr>
            <w:r>
              <w:t>51AA.</w:t>
            </w:r>
          </w:p>
        </w:tc>
        <w:tc>
          <w:tcPr>
            <w:tcW w:w="1320" w:type="dxa"/>
          </w:tcPr>
          <w:p>
            <w:pPr>
              <w:pStyle w:val="yTable"/>
            </w:pPr>
            <w:r>
              <w:t>61B(4)</w:t>
            </w:r>
          </w:p>
        </w:tc>
        <w:tc>
          <w:tcPr>
            <w:tcW w:w="3720" w:type="dxa"/>
          </w:tcPr>
          <w:p>
            <w:pPr>
              <w:pStyle w:val="yTable"/>
            </w:pPr>
            <w:r>
              <w:t>Operating vessel in excess of speed limit</w:t>
            </w:r>
          </w:p>
        </w:tc>
        <w:tc>
          <w:tcPr>
            <w:tcW w:w="1200" w:type="dxa"/>
            <w:vAlign w:val="bottom"/>
          </w:tcPr>
          <w:p>
            <w:pPr>
              <w:pStyle w:val="yTable"/>
              <w:tabs>
                <w:tab w:val="decimal" w:pos="766"/>
              </w:tabs>
            </w:pPr>
            <w:r>
              <w:t>200</w:t>
            </w:r>
          </w:p>
        </w:tc>
      </w:tr>
      <w:tr>
        <w:trPr>
          <w:cantSplit/>
        </w:trPr>
        <w:tc>
          <w:tcPr>
            <w:tcW w:w="840" w:type="dxa"/>
          </w:tcPr>
          <w:p>
            <w:pPr>
              <w:pStyle w:val="yTable"/>
            </w:pPr>
            <w:r>
              <w:t>51b.</w:t>
            </w:r>
          </w:p>
        </w:tc>
        <w:tc>
          <w:tcPr>
            <w:tcW w:w="1320" w:type="dxa"/>
          </w:tcPr>
          <w:p>
            <w:pPr>
              <w:pStyle w:val="yTable"/>
            </w:pPr>
            <w:r>
              <w:t>62(1)</w:t>
            </w:r>
          </w:p>
        </w:tc>
        <w:tc>
          <w:tcPr>
            <w:tcW w:w="3720" w:type="dxa"/>
          </w:tcPr>
          <w:p>
            <w:pPr>
              <w:pStyle w:val="yTable"/>
            </w:pPr>
            <w:r>
              <w:t>Unsafe navigation of vessels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51C.</w:t>
            </w:r>
          </w:p>
        </w:tc>
        <w:tc>
          <w:tcPr>
            <w:tcW w:w="1320" w:type="dxa"/>
          </w:tcPr>
          <w:p>
            <w:pPr>
              <w:pStyle w:val="yTable"/>
            </w:pPr>
            <w:r>
              <w:t>62(2)</w:t>
            </w:r>
          </w:p>
        </w:tc>
        <w:tc>
          <w:tcPr>
            <w:tcW w:w="3720" w:type="dxa"/>
          </w:tcPr>
          <w:p>
            <w:pPr>
              <w:pStyle w:val="yTable"/>
            </w:pPr>
            <w:r>
              <w:t>Navigating a vessel in a manner that causes nuisance etc.</w:t>
            </w:r>
          </w:p>
        </w:tc>
        <w:tc>
          <w:tcPr>
            <w:tcW w:w="1200" w:type="dxa"/>
            <w:vAlign w:val="bottom"/>
          </w:tcPr>
          <w:p>
            <w:pPr>
              <w:pStyle w:val="yTable"/>
              <w:tabs>
                <w:tab w:val="decimal" w:pos="766"/>
              </w:tabs>
            </w:pPr>
            <w:r>
              <w:br/>
              <w:t>100</w:t>
            </w:r>
          </w:p>
        </w:tc>
      </w:tr>
      <w:tr>
        <w:trPr>
          <w:cantSplit/>
        </w:trPr>
        <w:tc>
          <w:tcPr>
            <w:tcW w:w="840" w:type="dxa"/>
          </w:tcPr>
          <w:p>
            <w:pPr>
              <w:pStyle w:val="yTable"/>
            </w:pPr>
            <w:r>
              <w:t>52.</w:t>
            </w:r>
          </w:p>
        </w:tc>
        <w:tc>
          <w:tcPr>
            <w:tcW w:w="1320" w:type="dxa"/>
          </w:tcPr>
          <w:p>
            <w:pPr>
              <w:pStyle w:val="yTable"/>
            </w:pPr>
            <w:r>
              <w:t>63</w:t>
            </w:r>
          </w:p>
        </w:tc>
        <w:tc>
          <w:tcPr>
            <w:tcW w:w="3720" w:type="dxa"/>
          </w:tcPr>
          <w:p>
            <w:pPr>
              <w:pStyle w:val="yTable"/>
            </w:pPr>
            <w:r>
              <w:t>Failing to obey direction as to vessel</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53.</w:t>
            </w:r>
          </w:p>
        </w:tc>
        <w:tc>
          <w:tcPr>
            <w:tcW w:w="1320" w:type="dxa"/>
          </w:tcPr>
          <w:p>
            <w:pPr>
              <w:pStyle w:val="yTable"/>
            </w:pPr>
            <w:r>
              <w:t>64(1)</w:t>
            </w:r>
          </w:p>
        </w:tc>
        <w:tc>
          <w:tcPr>
            <w:tcW w:w="3720" w:type="dxa"/>
          </w:tcPr>
          <w:p>
            <w:pPr>
              <w:pStyle w:val="yTable"/>
            </w:pPr>
            <w:r>
              <w:t>Launching etc. vessel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53a.</w:t>
            </w:r>
          </w:p>
        </w:tc>
        <w:tc>
          <w:tcPr>
            <w:tcW w:w="1320" w:type="dxa"/>
          </w:tcPr>
          <w:p>
            <w:pPr>
              <w:pStyle w:val="yTable"/>
            </w:pPr>
            <w:r>
              <w:t>64(2)</w:t>
            </w:r>
          </w:p>
        </w:tc>
        <w:tc>
          <w:tcPr>
            <w:tcW w:w="3720" w:type="dxa"/>
          </w:tcPr>
          <w:p>
            <w:pPr>
              <w:pStyle w:val="yTable"/>
            </w:pPr>
            <w:r>
              <w:t>Launching etc. vessel in restricted area — contravention of restriction</w:t>
            </w:r>
          </w:p>
        </w:tc>
        <w:tc>
          <w:tcPr>
            <w:tcW w:w="1200" w:type="dxa"/>
            <w:vAlign w:val="bottom"/>
          </w:tcPr>
          <w:p>
            <w:pPr>
              <w:pStyle w:val="yTable"/>
              <w:tabs>
                <w:tab w:val="decimal" w:pos="766"/>
              </w:tabs>
            </w:pPr>
            <w:r>
              <w:t>100</w:t>
            </w:r>
          </w:p>
        </w:tc>
      </w:tr>
      <w:tr>
        <w:trPr>
          <w:cantSplit/>
        </w:trPr>
        <w:tc>
          <w:tcPr>
            <w:tcW w:w="840" w:type="dxa"/>
          </w:tcPr>
          <w:p>
            <w:pPr>
              <w:pStyle w:val="yTable"/>
            </w:pPr>
            <w:r>
              <w:t>54.</w:t>
            </w:r>
          </w:p>
        </w:tc>
        <w:tc>
          <w:tcPr>
            <w:tcW w:w="1320" w:type="dxa"/>
          </w:tcPr>
          <w:p>
            <w:pPr>
              <w:pStyle w:val="yTable"/>
            </w:pPr>
            <w:r>
              <w:t>64(4)</w:t>
            </w:r>
          </w:p>
        </w:tc>
        <w:tc>
          <w:tcPr>
            <w:tcW w:w="3720" w:type="dxa"/>
            <w:vAlign w:val="bottom"/>
          </w:tcPr>
          <w:p>
            <w:pPr>
              <w:pStyle w:val="yTable"/>
            </w:pPr>
            <w:r>
              <w:t>Failing to comply with direction to remove vessel</w:t>
            </w:r>
          </w:p>
        </w:tc>
        <w:tc>
          <w:tcPr>
            <w:tcW w:w="1200" w:type="dxa"/>
            <w:vAlign w:val="bottom"/>
          </w:tcPr>
          <w:p>
            <w:pPr>
              <w:pStyle w:val="yTable"/>
              <w:tabs>
                <w:tab w:val="decimal" w:pos="766"/>
              </w:tabs>
            </w:pPr>
            <w:r>
              <w:t>100</w:t>
            </w:r>
          </w:p>
        </w:tc>
      </w:tr>
      <w:tr>
        <w:trPr>
          <w:cantSplit/>
        </w:trPr>
        <w:tc>
          <w:tcPr>
            <w:tcW w:w="840" w:type="dxa"/>
          </w:tcPr>
          <w:p>
            <w:pPr>
              <w:pStyle w:val="yTable"/>
            </w:pPr>
            <w:r>
              <w:t>54aa.</w:t>
            </w:r>
          </w:p>
        </w:tc>
        <w:tc>
          <w:tcPr>
            <w:tcW w:w="1320" w:type="dxa"/>
          </w:tcPr>
          <w:p>
            <w:pPr>
              <w:pStyle w:val="yTable"/>
            </w:pPr>
            <w:r>
              <w:t>65A(2)</w:t>
            </w:r>
          </w:p>
        </w:tc>
        <w:tc>
          <w:tcPr>
            <w:tcW w:w="3720" w:type="dxa"/>
          </w:tcPr>
          <w:p>
            <w:pPr>
              <w:pStyle w:val="yTable"/>
            </w:pPr>
            <w:r>
              <w:t>Unlawful use of vessel storage facility</w:t>
            </w:r>
          </w:p>
        </w:tc>
        <w:tc>
          <w:tcPr>
            <w:tcW w:w="1200" w:type="dxa"/>
          </w:tcPr>
          <w:p>
            <w:pPr>
              <w:pStyle w:val="yTable"/>
              <w:tabs>
                <w:tab w:val="decimal" w:pos="766"/>
              </w:tabs>
            </w:pPr>
            <w:r>
              <w:t>200</w:t>
            </w:r>
          </w:p>
        </w:tc>
      </w:tr>
      <w:tr>
        <w:trPr>
          <w:cantSplit/>
        </w:trPr>
        <w:tc>
          <w:tcPr>
            <w:tcW w:w="840" w:type="dxa"/>
          </w:tcPr>
          <w:p>
            <w:pPr>
              <w:pStyle w:val="yTable"/>
            </w:pPr>
            <w:r>
              <w:t>54a.</w:t>
            </w:r>
          </w:p>
        </w:tc>
        <w:tc>
          <w:tcPr>
            <w:tcW w:w="1320" w:type="dxa"/>
          </w:tcPr>
          <w:p>
            <w:pPr>
              <w:pStyle w:val="yTable"/>
            </w:pPr>
            <w:r>
              <w:t>65(1)</w:t>
            </w:r>
          </w:p>
        </w:tc>
        <w:tc>
          <w:tcPr>
            <w:tcW w:w="3720" w:type="dxa"/>
          </w:tcPr>
          <w:p>
            <w:pPr>
              <w:pStyle w:val="yTable"/>
            </w:pPr>
            <w:r>
              <w:t>Unlawful landing of aircraft etc.</w:t>
            </w:r>
          </w:p>
        </w:tc>
        <w:tc>
          <w:tcPr>
            <w:tcW w:w="1200" w:type="dxa"/>
            <w:vAlign w:val="bottom"/>
          </w:tcPr>
          <w:p>
            <w:pPr>
              <w:pStyle w:val="yTable"/>
              <w:tabs>
                <w:tab w:val="decimal" w:pos="766"/>
              </w:tabs>
            </w:pPr>
            <w:r>
              <w:t>100</w:t>
            </w:r>
          </w:p>
        </w:tc>
      </w:tr>
      <w:tr>
        <w:trPr>
          <w:cantSplit/>
        </w:trPr>
        <w:tc>
          <w:tcPr>
            <w:tcW w:w="840" w:type="dxa"/>
          </w:tcPr>
          <w:p>
            <w:pPr>
              <w:pStyle w:val="yTable"/>
            </w:pPr>
            <w:r>
              <w:t>55.</w:t>
            </w:r>
          </w:p>
        </w:tc>
        <w:tc>
          <w:tcPr>
            <w:tcW w:w="1320" w:type="dxa"/>
          </w:tcPr>
          <w:p>
            <w:pPr>
              <w:pStyle w:val="yTable"/>
            </w:pPr>
            <w:r>
              <w:t>66(1)</w:t>
            </w:r>
          </w:p>
        </w:tc>
        <w:tc>
          <w:tcPr>
            <w:tcW w:w="3720" w:type="dxa"/>
          </w:tcPr>
          <w:p>
            <w:pPr>
              <w:pStyle w:val="yTable"/>
            </w:pPr>
            <w:r>
              <w:t>Camping other than in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56.</w:t>
            </w:r>
          </w:p>
        </w:tc>
        <w:tc>
          <w:tcPr>
            <w:tcW w:w="1320" w:type="dxa"/>
          </w:tcPr>
          <w:p>
            <w:pPr>
              <w:pStyle w:val="yTable"/>
            </w:pPr>
            <w:r>
              <w:t>66(2)</w:t>
            </w:r>
          </w:p>
        </w:tc>
        <w:tc>
          <w:tcPr>
            <w:tcW w:w="3720" w:type="dxa"/>
          </w:tcPr>
          <w:p>
            <w:pPr>
              <w:pStyle w:val="yTable"/>
            </w:pPr>
            <w:r>
              <w:t>Failing to comply with condition of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57.</w:t>
            </w:r>
          </w:p>
        </w:tc>
        <w:tc>
          <w:tcPr>
            <w:tcW w:w="1320" w:type="dxa"/>
          </w:tcPr>
          <w:p>
            <w:pPr>
              <w:pStyle w:val="yTable"/>
            </w:pPr>
            <w:r>
              <w:t>67(2)</w:t>
            </w:r>
          </w:p>
        </w:tc>
        <w:tc>
          <w:tcPr>
            <w:tcW w:w="3720" w:type="dxa"/>
          </w:tcPr>
          <w:p>
            <w:pPr>
              <w:pStyle w:val="yTable"/>
            </w:pPr>
            <w:r>
              <w:t>Failing to comply with direction to vacate camp</w:t>
            </w:r>
            <w:r>
              <w:rPr>
                <w:szCs w:val="22"/>
              </w:rPr>
              <w:t xml:space="preserve"> or not camp</w:t>
            </w:r>
          </w:p>
        </w:tc>
        <w:tc>
          <w:tcPr>
            <w:tcW w:w="1200" w:type="dxa"/>
            <w:vAlign w:val="bottom"/>
          </w:tcPr>
          <w:p>
            <w:pPr>
              <w:pStyle w:val="yTable"/>
              <w:tabs>
                <w:tab w:val="decimal" w:pos="766"/>
              </w:tabs>
            </w:pPr>
            <w:r>
              <w:t>100</w:t>
            </w:r>
          </w:p>
        </w:tc>
      </w:tr>
      <w:tr>
        <w:trPr>
          <w:cantSplit/>
        </w:trPr>
        <w:tc>
          <w:tcPr>
            <w:tcW w:w="840" w:type="dxa"/>
          </w:tcPr>
          <w:p>
            <w:pPr>
              <w:pStyle w:val="yTable"/>
            </w:pPr>
            <w:r>
              <w:t>58.</w:t>
            </w:r>
          </w:p>
        </w:tc>
        <w:tc>
          <w:tcPr>
            <w:tcW w:w="1320" w:type="dxa"/>
          </w:tcPr>
          <w:p>
            <w:pPr>
              <w:pStyle w:val="yTable"/>
            </w:pPr>
            <w:r>
              <w:t>68</w:t>
            </w:r>
          </w:p>
        </w:tc>
        <w:tc>
          <w:tcPr>
            <w:tcW w:w="3720" w:type="dxa"/>
          </w:tcPr>
          <w:p>
            <w:pPr>
              <w:pStyle w:val="yTable"/>
            </w:pPr>
            <w:r>
              <w:t>Entering camping unit without authority</w:t>
            </w:r>
          </w:p>
        </w:tc>
        <w:tc>
          <w:tcPr>
            <w:tcW w:w="1200" w:type="dxa"/>
            <w:vAlign w:val="bottom"/>
          </w:tcPr>
          <w:p>
            <w:pPr>
              <w:pStyle w:val="yTable"/>
              <w:tabs>
                <w:tab w:val="decimal" w:pos="766"/>
              </w:tabs>
            </w:pPr>
            <w:r>
              <w:t>50</w:t>
            </w:r>
          </w:p>
        </w:tc>
      </w:tr>
      <w:tr>
        <w:trPr>
          <w:cantSplit/>
        </w:trPr>
        <w:tc>
          <w:tcPr>
            <w:tcW w:w="840" w:type="dxa"/>
          </w:tcPr>
          <w:p>
            <w:pPr>
              <w:pStyle w:val="yTable"/>
            </w:pPr>
            <w:r>
              <w:t>59.</w:t>
            </w:r>
          </w:p>
        </w:tc>
        <w:tc>
          <w:tcPr>
            <w:tcW w:w="1320" w:type="dxa"/>
          </w:tcPr>
          <w:p>
            <w:pPr>
              <w:pStyle w:val="yTable"/>
            </w:pPr>
            <w:r>
              <w:t>69(1)</w:t>
            </w:r>
          </w:p>
        </w:tc>
        <w:tc>
          <w:tcPr>
            <w:tcW w:w="3720" w:type="dxa"/>
          </w:tcPr>
          <w:p>
            <w:pPr>
              <w:pStyle w:val="yTable"/>
            </w:pPr>
            <w:r>
              <w:t>Unlawful construction of camping unit</w:t>
            </w:r>
          </w:p>
        </w:tc>
        <w:tc>
          <w:tcPr>
            <w:tcW w:w="1200" w:type="dxa"/>
            <w:vAlign w:val="bottom"/>
          </w:tcPr>
          <w:p>
            <w:pPr>
              <w:pStyle w:val="yTable"/>
              <w:tabs>
                <w:tab w:val="decimal" w:pos="766"/>
              </w:tabs>
            </w:pPr>
            <w:r>
              <w:t>100</w:t>
            </w:r>
          </w:p>
        </w:tc>
      </w:tr>
      <w:tr>
        <w:trPr>
          <w:cantSplit/>
        </w:trPr>
        <w:tc>
          <w:tcPr>
            <w:tcW w:w="840" w:type="dxa"/>
          </w:tcPr>
          <w:p>
            <w:pPr>
              <w:pStyle w:val="yTable"/>
            </w:pPr>
            <w:r>
              <w:t>60.</w:t>
            </w:r>
          </w:p>
        </w:tc>
        <w:tc>
          <w:tcPr>
            <w:tcW w:w="1320" w:type="dxa"/>
          </w:tcPr>
          <w:p>
            <w:pPr>
              <w:pStyle w:val="yTable"/>
            </w:pPr>
            <w:r>
              <w:t>69(2)</w:t>
            </w:r>
          </w:p>
        </w:tc>
        <w:tc>
          <w:tcPr>
            <w:tcW w:w="3720" w:type="dxa"/>
          </w:tcPr>
          <w:p>
            <w:pPr>
              <w:pStyle w:val="yTable"/>
            </w:pPr>
            <w:r>
              <w:t>Unlawful positioning of camping unit</w:t>
            </w:r>
          </w:p>
        </w:tc>
        <w:tc>
          <w:tcPr>
            <w:tcW w:w="1200" w:type="dxa"/>
            <w:vAlign w:val="bottom"/>
          </w:tcPr>
          <w:p>
            <w:pPr>
              <w:pStyle w:val="yTable"/>
              <w:tabs>
                <w:tab w:val="decimal" w:pos="766"/>
              </w:tabs>
            </w:pPr>
            <w:r>
              <w:t>50</w:t>
            </w:r>
          </w:p>
        </w:tc>
      </w:tr>
      <w:tr>
        <w:trPr>
          <w:cantSplit/>
        </w:trPr>
        <w:tc>
          <w:tcPr>
            <w:tcW w:w="840" w:type="dxa"/>
          </w:tcPr>
          <w:p>
            <w:pPr>
              <w:pStyle w:val="yTable"/>
            </w:pPr>
            <w:r>
              <w:t>61.</w:t>
            </w:r>
          </w:p>
        </w:tc>
        <w:tc>
          <w:tcPr>
            <w:tcW w:w="1320" w:type="dxa"/>
          </w:tcPr>
          <w:p>
            <w:pPr>
              <w:pStyle w:val="yTable"/>
            </w:pPr>
            <w:r>
              <w:t>69(3)</w:t>
            </w:r>
          </w:p>
        </w:tc>
        <w:tc>
          <w:tcPr>
            <w:tcW w:w="3720" w:type="dxa"/>
          </w:tcPr>
          <w:p>
            <w:pPr>
              <w:pStyle w:val="yTable"/>
            </w:pPr>
            <w:r>
              <w:t>Failing to maintain camping site in clean and sanitary condition</w:t>
            </w:r>
          </w:p>
        </w:tc>
        <w:tc>
          <w:tcPr>
            <w:tcW w:w="1200" w:type="dxa"/>
            <w:vAlign w:val="bottom"/>
          </w:tcPr>
          <w:p>
            <w:pPr>
              <w:pStyle w:val="yTable"/>
              <w:tabs>
                <w:tab w:val="decimal" w:pos="766"/>
              </w:tabs>
            </w:pPr>
            <w:r>
              <w:t>50</w:t>
            </w:r>
          </w:p>
        </w:tc>
      </w:tr>
      <w:tr>
        <w:trPr>
          <w:cantSplit/>
        </w:trPr>
        <w:tc>
          <w:tcPr>
            <w:tcW w:w="840" w:type="dxa"/>
          </w:tcPr>
          <w:p>
            <w:pPr>
              <w:pStyle w:val="yTable"/>
            </w:pPr>
            <w:r>
              <w:t>62.</w:t>
            </w:r>
          </w:p>
        </w:tc>
        <w:tc>
          <w:tcPr>
            <w:tcW w:w="1320" w:type="dxa"/>
          </w:tcPr>
          <w:p>
            <w:pPr>
              <w:pStyle w:val="yTable"/>
            </w:pPr>
            <w:r>
              <w:t>69(4)</w:t>
            </w:r>
          </w:p>
        </w:tc>
        <w:tc>
          <w:tcPr>
            <w:tcW w:w="3720" w:type="dxa"/>
          </w:tcPr>
          <w:p>
            <w:pPr>
              <w:pStyle w:val="yTable"/>
            </w:pPr>
            <w:r>
              <w:t>Failing to confine camp to allotted or defined site</w:t>
            </w:r>
          </w:p>
        </w:tc>
        <w:tc>
          <w:tcPr>
            <w:tcW w:w="1200" w:type="dxa"/>
            <w:vAlign w:val="bottom"/>
          </w:tcPr>
          <w:p>
            <w:pPr>
              <w:pStyle w:val="yTable"/>
              <w:tabs>
                <w:tab w:val="decimal" w:pos="766"/>
              </w:tabs>
            </w:pPr>
            <w:r>
              <w:t>50</w:t>
            </w:r>
          </w:p>
        </w:tc>
      </w:tr>
      <w:tr>
        <w:trPr>
          <w:cantSplit/>
        </w:trPr>
        <w:tc>
          <w:tcPr>
            <w:tcW w:w="840" w:type="dxa"/>
          </w:tcPr>
          <w:p>
            <w:pPr>
              <w:pStyle w:val="yTable"/>
            </w:pPr>
            <w:r>
              <w:t>63.</w:t>
            </w:r>
          </w:p>
        </w:tc>
        <w:tc>
          <w:tcPr>
            <w:tcW w:w="1320" w:type="dxa"/>
          </w:tcPr>
          <w:p>
            <w:pPr>
              <w:pStyle w:val="yTable"/>
            </w:pPr>
            <w:r>
              <w:t>69(6)</w:t>
            </w:r>
          </w:p>
        </w:tc>
        <w:tc>
          <w:tcPr>
            <w:tcW w:w="3720" w:type="dxa"/>
          </w:tcPr>
          <w:p>
            <w:pPr>
              <w:pStyle w:val="yTable"/>
            </w:pPr>
            <w:r>
              <w:t>Failing to comply with direction to move site</w:t>
            </w:r>
          </w:p>
        </w:tc>
        <w:tc>
          <w:tcPr>
            <w:tcW w:w="1200" w:type="dxa"/>
            <w:vAlign w:val="bottom"/>
          </w:tcPr>
          <w:p>
            <w:pPr>
              <w:pStyle w:val="yTable"/>
              <w:tabs>
                <w:tab w:val="decimal" w:pos="766"/>
              </w:tabs>
            </w:pPr>
            <w:r>
              <w:t>100</w:t>
            </w:r>
          </w:p>
        </w:tc>
      </w:tr>
      <w:tr>
        <w:trPr>
          <w:cantSplit/>
        </w:trPr>
        <w:tc>
          <w:tcPr>
            <w:tcW w:w="840" w:type="dxa"/>
          </w:tcPr>
          <w:p>
            <w:pPr>
              <w:pStyle w:val="yTable"/>
            </w:pPr>
            <w:r>
              <w:t>64.</w:t>
            </w:r>
          </w:p>
        </w:tc>
        <w:tc>
          <w:tcPr>
            <w:tcW w:w="1320" w:type="dxa"/>
          </w:tcPr>
          <w:p>
            <w:pPr>
              <w:pStyle w:val="yTable"/>
            </w:pPr>
            <w:r>
              <w:t>70(2)</w:t>
            </w:r>
          </w:p>
        </w:tc>
        <w:tc>
          <w:tcPr>
            <w:tcW w:w="3720" w:type="dxa"/>
          </w:tcPr>
          <w:p>
            <w:pPr>
              <w:pStyle w:val="yTable"/>
            </w:pPr>
            <w:r>
              <w:t>Failing to comply with direction as to power generator</w:t>
            </w:r>
          </w:p>
        </w:tc>
        <w:tc>
          <w:tcPr>
            <w:tcW w:w="1200" w:type="dxa"/>
            <w:vAlign w:val="bottom"/>
          </w:tcPr>
          <w:p>
            <w:pPr>
              <w:pStyle w:val="yTable"/>
              <w:tabs>
                <w:tab w:val="decimal" w:pos="766"/>
              </w:tabs>
            </w:pPr>
            <w:r>
              <w:t>100</w:t>
            </w:r>
          </w:p>
        </w:tc>
      </w:tr>
      <w:tr>
        <w:trPr>
          <w:cantSplit/>
        </w:trPr>
        <w:tc>
          <w:tcPr>
            <w:tcW w:w="840" w:type="dxa"/>
          </w:tcPr>
          <w:p>
            <w:pPr>
              <w:pStyle w:val="yTable"/>
            </w:pPr>
            <w:r>
              <w:t>64a.</w:t>
            </w:r>
          </w:p>
        </w:tc>
        <w:tc>
          <w:tcPr>
            <w:tcW w:w="1320" w:type="dxa"/>
          </w:tcPr>
          <w:p>
            <w:pPr>
              <w:pStyle w:val="yTable"/>
            </w:pPr>
            <w:r>
              <w:t>71(2a)</w:t>
            </w:r>
          </w:p>
        </w:tc>
        <w:tc>
          <w:tcPr>
            <w:tcW w:w="3720" w:type="dxa"/>
          </w:tcPr>
          <w:p>
            <w:pPr>
              <w:pStyle w:val="yTable"/>
            </w:pPr>
            <w:r>
              <w:t>Unlawfully collecting firewood for campfire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64BA.</w:t>
            </w:r>
          </w:p>
        </w:tc>
        <w:tc>
          <w:tcPr>
            <w:tcW w:w="1320" w:type="dxa"/>
          </w:tcPr>
          <w:p>
            <w:pPr>
              <w:pStyle w:val="yTable"/>
            </w:pPr>
            <w:r>
              <w:t>72(2)</w:t>
            </w:r>
          </w:p>
        </w:tc>
        <w:tc>
          <w:tcPr>
            <w:tcW w:w="3720" w:type="dxa"/>
          </w:tcPr>
          <w:p>
            <w:pPr>
              <w:pStyle w:val="yTable"/>
            </w:pPr>
            <w:r>
              <w:t>Failing to comply with direction to cease behaviour</w:t>
            </w:r>
          </w:p>
        </w:tc>
        <w:tc>
          <w:tcPr>
            <w:tcW w:w="1200" w:type="dxa"/>
            <w:vAlign w:val="bottom"/>
          </w:tcPr>
          <w:p>
            <w:pPr>
              <w:pStyle w:val="yTable"/>
              <w:tabs>
                <w:tab w:val="decimal" w:pos="766"/>
              </w:tabs>
            </w:pPr>
            <w:r>
              <w:br/>
              <w:t>100</w:t>
            </w:r>
          </w:p>
        </w:tc>
      </w:tr>
      <w:tr>
        <w:trPr>
          <w:cantSplit/>
        </w:trPr>
        <w:tc>
          <w:tcPr>
            <w:tcW w:w="840" w:type="dxa"/>
          </w:tcPr>
          <w:p>
            <w:pPr>
              <w:pStyle w:val="yTable"/>
            </w:pPr>
            <w:r>
              <w:t>64BB.</w:t>
            </w:r>
          </w:p>
        </w:tc>
        <w:tc>
          <w:tcPr>
            <w:tcW w:w="1320" w:type="dxa"/>
          </w:tcPr>
          <w:p>
            <w:pPr>
              <w:pStyle w:val="yTable"/>
            </w:pPr>
            <w:r>
              <w:t>73(1)</w:t>
            </w:r>
          </w:p>
        </w:tc>
        <w:tc>
          <w:tcPr>
            <w:tcW w:w="3720" w:type="dxa"/>
          </w:tcPr>
          <w:p>
            <w:pPr>
              <w:pStyle w:val="yTable"/>
            </w:pPr>
            <w:r>
              <w:t>Behaving in a way that causes nuisance or offence etc.</w:t>
            </w:r>
          </w:p>
        </w:tc>
        <w:tc>
          <w:tcPr>
            <w:tcW w:w="1200" w:type="dxa"/>
            <w:vAlign w:val="bottom"/>
          </w:tcPr>
          <w:p>
            <w:pPr>
              <w:pStyle w:val="yTable"/>
              <w:tabs>
                <w:tab w:val="decimal" w:pos="766"/>
              </w:tabs>
            </w:pPr>
            <w:r>
              <w:br/>
              <w:t>100</w:t>
            </w:r>
          </w:p>
        </w:tc>
      </w:tr>
      <w:tr>
        <w:trPr>
          <w:cantSplit/>
        </w:trPr>
        <w:tc>
          <w:tcPr>
            <w:tcW w:w="840" w:type="dxa"/>
          </w:tcPr>
          <w:p>
            <w:pPr>
              <w:pStyle w:val="yTable"/>
            </w:pPr>
            <w:r>
              <w:t>64b.</w:t>
            </w:r>
          </w:p>
        </w:tc>
        <w:tc>
          <w:tcPr>
            <w:tcW w:w="1320" w:type="dxa"/>
          </w:tcPr>
          <w:p>
            <w:pPr>
              <w:pStyle w:val="yTable"/>
            </w:pPr>
            <w:r>
              <w:t>73(2)</w:t>
            </w:r>
          </w:p>
        </w:tc>
        <w:tc>
          <w:tcPr>
            <w:tcW w:w="3720" w:type="dxa"/>
          </w:tcPr>
          <w:p>
            <w:pPr>
              <w:pStyle w:val="yTable"/>
            </w:pPr>
            <w:r>
              <w:t>Failing to comply with signs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64C.</w:t>
            </w:r>
          </w:p>
        </w:tc>
        <w:tc>
          <w:tcPr>
            <w:tcW w:w="1320" w:type="dxa"/>
          </w:tcPr>
          <w:p>
            <w:pPr>
              <w:pStyle w:val="yTable"/>
            </w:pPr>
            <w:r>
              <w:t>75(1)</w:t>
            </w:r>
          </w:p>
        </w:tc>
        <w:tc>
          <w:tcPr>
            <w:tcW w:w="3720" w:type="dxa"/>
          </w:tcPr>
          <w:p>
            <w:pPr>
              <w:pStyle w:val="yTable"/>
            </w:pPr>
            <w:r>
              <w:t>Entering or remaining on CALM land when seriously affected by alcohol or drugs etc.</w:t>
            </w:r>
          </w:p>
        </w:tc>
        <w:tc>
          <w:tcPr>
            <w:tcW w:w="1200" w:type="dxa"/>
            <w:vAlign w:val="bottom"/>
          </w:tcPr>
          <w:p>
            <w:pPr>
              <w:pStyle w:val="yTable"/>
              <w:tabs>
                <w:tab w:val="decimal" w:pos="766"/>
              </w:tabs>
            </w:pPr>
            <w:r>
              <w:br/>
            </w:r>
            <w:r>
              <w:br/>
              <w:t>100</w:t>
            </w:r>
          </w:p>
        </w:tc>
      </w:tr>
      <w:tr>
        <w:trPr>
          <w:cantSplit/>
        </w:trPr>
        <w:tc>
          <w:tcPr>
            <w:tcW w:w="840" w:type="dxa"/>
          </w:tcPr>
          <w:p>
            <w:pPr>
              <w:pStyle w:val="yTable"/>
            </w:pPr>
            <w:r>
              <w:t>65.</w:t>
            </w:r>
          </w:p>
        </w:tc>
        <w:tc>
          <w:tcPr>
            <w:tcW w:w="1320" w:type="dxa"/>
          </w:tcPr>
          <w:p>
            <w:pPr>
              <w:pStyle w:val="yTable"/>
            </w:pPr>
            <w:r>
              <w:t>75(2)</w:t>
            </w:r>
          </w:p>
        </w:tc>
        <w:tc>
          <w:tcPr>
            <w:tcW w:w="3720" w:type="dxa"/>
          </w:tcPr>
          <w:p>
            <w:pPr>
              <w:pStyle w:val="yTable"/>
            </w:pPr>
            <w:r>
              <w:t>Taking intoxicating substance into cave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65A.</w:t>
            </w:r>
          </w:p>
        </w:tc>
        <w:tc>
          <w:tcPr>
            <w:tcW w:w="1320" w:type="dxa"/>
          </w:tcPr>
          <w:p>
            <w:pPr>
              <w:pStyle w:val="yTable"/>
            </w:pPr>
            <w:r>
              <w:t>75(4)</w:t>
            </w:r>
          </w:p>
        </w:tc>
        <w:tc>
          <w:tcPr>
            <w:tcW w:w="3720" w:type="dxa"/>
          </w:tcPr>
          <w:p>
            <w:pPr>
              <w:pStyle w:val="yTable"/>
            </w:pPr>
            <w:r>
              <w:t>Failing to comply with a direction not to bring alcohol or intoxicating substance onto CALM land</w:t>
            </w:r>
          </w:p>
        </w:tc>
        <w:tc>
          <w:tcPr>
            <w:tcW w:w="1200" w:type="dxa"/>
            <w:vAlign w:val="bottom"/>
          </w:tcPr>
          <w:p>
            <w:pPr>
              <w:pStyle w:val="yTable"/>
              <w:tabs>
                <w:tab w:val="decimal" w:pos="766"/>
              </w:tabs>
            </w:pPr>
            <w:r>
              <w:br/>
            </w:r>
            <w:r>
              <w:br/>
              <w:t>100</w:t>
            </w:r>
          </w:p>
        </w:tc>
      </w:tr>
      <w:tr>
        <w:trPr>
          <w:cantSplit/>
        </w:trPr>
        <w:tc>
          <w:tcPr>
            <w:tcW w:w="840" w:type="dxa"/>
          </w:tcPr>
          <w:p>
            <w:pPr>
              <w:pStyle w:val="yTable"/>
            </w:pPr>
            <w:r>
              <w:t>66.</w:t>
            </w:r>
          </w:p>
        </w:tc>
        <w:tc>
          <w:tcPr>
            <w:tcW w:w="1320" w:type="dxa"/>
          </w:tcPr>
          <w:p>
            <w:pPr>
              <w:pStyle w:val="yTable"/>
            </w:pPr>
            <w:r>
              <w:t>76(1)</w:t>
            </w:r>
          </w:p>
        </w:tc>
        <w:tc>
          <w:tcPr>
            <w:tcW w:w="3720" w:type="dxa"/>
          </w:tcPr>
          <w:p>
            <w:pPr>
              <w:pStyle w:val="yTable"/>
            </w:pPr>
            <w:r>
              <w:t>Removing CALM property</w:t>
            </w:r>
          </w:p>
        </w:tc>
        <w:tc>
          <w:tcPr>
            <w:tcW w:w="1200" w:type="dxa"/>
            <w:vAlign w:val="bottom"/>
          </w:tcPr>
          <w:p>
            <w:pPr>
              <w:pStyle w:val="yTable"/>
              <w:tabs>
                <w:tab w:val="decimal" w:pos="766"/>
              </w:tabs>
            </w:pPr>
            <w:r>
              <w:t>200</w:t>
            </w:r>
          </w:p>
        </w:tc>
      </w:tr>
      <w:tr>
        <w:trPr>
          <w:cantSplit/>
        </w:trPr>
        <w:tc>
          <w:tcPr>
            <w:tcW w:w="840" w:type="dxa"/>
          </w:tcPr>
          <w:p>
            <w:pPr>
              <w:pStyle w:val="yTable"/>
            </w:pPr>
            <w:r>
              <w:t>66AA.</w:t>
            </w:r>
          </w:p>
        </w:tc>
        <w:tc>
          <w:tcPr>
            <w:tcW w:w="1320" w:type="dxa"/>
          </w:tcPr>
          <w:p>
            <w:pPr>
              <w:pStyle w:val="yTable"/>
            </w:pPr>
            <w:r>
              <w:t>76(3)</w:t>
            </w:r>
          </w:p>
        </w:tc>
        <w:tc>
          <w:tcPr>
            <w:tcW w:w="3720" w:type="dxa"/>
          </w:tcPr>
          <w:p>
            <w:pPr>
              <w:pStyle w:val="yTable"/>
            </w:pPr>
            <w:r>
              <w:t>Failing to comply with a direction to leave object</w:t>
            </w:r>
          </w:p>
        </w:tc>
        <w:tc>
          <w:tcPr>
            <w:tcW w:w="1200" w:type="dxa"/>
            <w:vAlign w:val="bottom"/>
          </w:tcPr>
          <w:p>
            <w:pPr>
              <w:pStyle w:val="yTable"/>
              <w:tabs>
                <w:tab w:val="decimal" w:pos="766"/>
              </w:tabs>
            </w:pPr>
            <w:r>
              <w:br/>
              <w:t>200</w:t>
            </w:r>
          </w:p>
        </w:tc>
      </w:tr>
      <w:tr>
        <w:trPr>
          <w:cantSplit/>
        </w:trPr>
        <w:tc>
          <w:tcPr>
            <w:tcW w:w="840" w:type="dxa"/>
          </w:tcPr>
          <w:p>
            <w:pPr>
              <w:pStyle w:val="yTable"/>
            </w:pPr>
            <w:r>
              <w:t>66a.</w:t>
            </w:r>
          </w:p>
        </w:tc>
        <w:tc>
          <w:tcPr>
            <w:tcW w:w="1320" w:type="dxa"/>
          </w:tcPr>
          <w:p>
            <w:pPr>
              <w:pStyle w:val="yTable"/>
            </w:pPr>
            <w:r>
              <w:t>78(1a)</w:t>
            </w:r>
          </w:p>
        </w:tc>
        <w:tc>
          <w:tcPr>
            <w:tcW w:w="3720" w:type="dxa"/>
          </w:tcPr>
          <w:p>
            <w:pPr>
              <w:pStyle w:val="yTable"/>
            </w:pPr>
            <w:r>
              <w:t>Failing to comply with order to remove unauthorised property</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67.</w:t>
            </w:r>
          </w:p>
        </w:tc>
        <w:tc>
          <w:tcPr>
            <w:tcW w:w="1320" w:type="dxa"/>
          </w:tcPr>
          <w:p>
            <w:pPr>
              <w:pStyle w:val="yTable"/>
            </w:pPr>
            <w:r>
              <w:t>88(2)</w:t>
            </w:r>
          </w:p>
        </w:tc>
        <w:tc>
          <w:tcPr>
            <w:tcW w:w="3720" w:type="dxa"/>
          </w:tcPr>
          <w:p>
            <w:pPr>
              <w:pStyle w:val="yTable"/>
            </w:pPr>
            <w:r>
              <w:t>Failing to comply with requirement to return licence</w:t>
            </w:r>
          </w:p>
        </w:tc>
        <w:tc>
          <w:tcPr>
            <w:tcW w:w="1200" w:type="dxa"/>
            <w:vAlign w:val="bottom"/>
          </w:tcPr>
          <w:p>
            <w:pPr>
              <w:pStyle w:val="yTable"/>
              <w:tabs>
                <w:tab w:val="decimal" w:pos="766"/>
              </w:tabs>
            </w:pPr>
            <w:r>
              <w:t>50</w:t>
            </w:r>
          </w:p>
        </w:tc>
      </w:tr>
      <w:tr>
        <w:trPr>
          <w:cantSplit/>
        </w:trPr>
        <w:tc>
          <w:tcPr>
            <w:tcW w:w="840" w:type="dxa"/>
          </w:tcPr>
          <w:p>
            <w:pPr>
              <w:pStyle w:val="yTable"/>
            </w:pPr>
            <w:r>
              <w:t>68A.</w:t>
            </w:r>
          </w:p>
        </w:tc>
        <w:tc>
          <w:tcPr>
            <w:tcW w:w="1320" w:type="dxa"/>
          </w:tcPr>
          <w:p>
            <w:pPr>
              <w:pStyle w:val="yTable"/>
            </w:pPr>
            <w:r>
              <w:t>93(5)</w:t>
            </w:r>
          </w:p>
        </w:tc>
        <w:tc>
          <w:tcPr>
            <w:tcW w:w="3720" w:type="dxa"/>
          </w:tcPr>
          <w:p>
            <w:pPr>
              <w:pStyle w:val="yTable"/>
            </w:pPr>
            <w:r>
              <w:t>Contravention of condition or restriction of scientific purposes licence</w:t>
            </w:r>
          </w:p>
        </w:tc>
        <w:tc>
          <w:tcPr>
            <w:tcW w:w="1200" w:type="dxa"/>
            <w:vAlign w:val="bottom"/>
          </w:tcPr>
          <w:p>
            <w:pPr>
              <w:pStyle w:val="yTable"/>
              <w:tabs>
                <w:tab w:val="decimal" w:pos="766"/>
              </w:tabs>
            </w:pPr>
            <w:r>
              <w:br/>
              <w:t>100</w:t>
            </w:r>
          </w:p>
        </w:tc>
      </w:tr>
      <w:tr>
        <w:trPr>
          <w:cantSplit/>
        </w:trPr>
        <w:tc>
          <w:tcPr>
            <w:tcW w:w="840" w:type="dxa"/>
          </w:tcPr>
          <w:p>
            <w:pPr>
              <w:pStyle w:val="yTable"/>
            </w:pPr>
            <w:r>
              <w:t>68.</w:t>
            </w:r>
          </w:p>
        </w:tc>
        <w:tc>
          <w:tcPr>
            <w:tcW w:w="1320" w:type="dxa"/>
          </w:tcPr>
          <w:p>
            <w:pPr>
              <w:pStyle w:val="yTable"/>
            </w:pPr>
            <w:r>
              <w:t>98(3)</w:t>
            </w:r>
          </w:p>
        </w:tc>
        <w:tc>
          <w:tcPr>
            <w:tcW w:w="3720" w:type="dxa"/>
          </w:tcPr>
          <w:p>
            <w:pPr>
              <w:pStyle w:val="yTable"/>
            </w:pPr>
            <w:r>
              <w:t>Contravention of condition of commercial operations licence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68A.</w:t>
            </w:r>
          </w:p>
        </w:tc>
        <w:tc>
          <w:tcPr>
            <w:tcW w:w="1320" w:type="dxa"/>
          </w:tcPr>
          <w:p>
            <w:pPr>
              <w:pStyle w:val="yTable"/>
            </w:pPr>
            <w:r>
              <w:t>98AF(3)</w:t>
            </w:r>
          </w:p>
        </w:tc>
        <w:tc>
          <w:tcPr>
            <w:tcW w:w="3720" w:type="dxa"/>
          </w:tcPr>
          <w:p>
            <w:pPr>
              <w:pStyle w:val="yTable"/>
            </w:pPr>
            <w:r>
              <w:t>Contravention of condition of rental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68B.</w:t>
            </w:r>
          </w:p>
        </w:tc>
        <w:tc>
          <w:tcPr>
            <w:tcW w:w="1320" w:type="dxa"/>
          </w:tcPr>
          <w:p>
            <w:pPr>
              <w:pStyle w:val="yTable"/>
            </w:pPr>
            <w:r>
              <w:t>98AL(4)</w:t>
            </w:r>
          </w:p>
        </w:tc>
        <w:tc>
          <w:tcPr>
            <w:tcW w:w="3720" w:type="dxa"/>
          </w:tcPr>
          <w:p>
            <w:pPr>
              <w:pStyle w:val="yTable"/>
            </w:pPr>
            <w:r>
              <w:t>Failing to have written consent of licence holder in possession</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68C.</w:t>
            </w:r>
          </w:p>
        </w:tc>
        <w:tc>
          <w:tcPr>
            <w:tcW w:w="1320" w:type="dxa"/>
          </w:tcPr>
          <w:p>
            <w:pPr>
              <w:pStyle w:val="yTable"/>
            </w:pPr>
            <w:r>
              <w:t>98AR(3)</w:t>
            </w:r>
          </w:p>
        </w:tc>
        <w:tc>
          <w:tcPr>
            <w:tcW w:w="3720" w:type="dxa"/>
          </w:tcPr>
          <w:p>
            <w:pPr>
              <w:pStyle w:val="yTable"/>
            </w:pPr>
            <w:r>
              <w:t>Contravention of condition of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68D.</w:t>
            </w:r>
          </w:p>
        </w:tc>
        <w:tc>
          <w:tcPr>
            <w:tcW w:w="1320" w:type="dxa"/>
          </w:tcPr>
          <w:p>
            <w:pPr>
              <w:pStyle w:val="yTable"/>
            </w:pPr>
            <w:r>
              <w:t>98AT(3)</w:t>
            </w:r>
          </w:p>
        </w:tc>
        <w:tc>
          <w:tcPr>
            <w:tcW w:w="3720" w:type="dxa"/>
          </w:tcPr>
          <w:p>
            <w:pPr>
              <w:pStyle w:val="yTable"/>
            </w:pPr>
            <w:r>
              <w:t>Failing to provide inspection report for mooring</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68E.</w:t>
            </w:r>
          </w:p>
        </w:tc>
        <w:tc>
          <w:tcPr>
            <w:tcW w:w="1320" w:type="dxa"/>
          </w:tcPr>
          <w:p>
            <w:pPr>
              <w:pStyle w:val="yTable"/>
            </w:pPr>
            <w:r>
              <w:t>98AU(3)</w:t>
            </w:r>
          </w:p>
        </w:tc>
        <w:tc>
          <w:tcPr>
            <w:tcW w:w="3720" w:type="dxa"/>
          </w:tcPr>
          <w:p>
            <w:pPr>
              <w:pStyle w:val="yTable"/>
            </w:pPr>
            <w:r>
              <w:t>Failing to comply with a requirement to repair, relocate or remove a private mooring</w:t>
            </w:r>
          </w:p>
        </w:tc>
        <w:tc>
          <w:tcPr>
            <w:tcW w:w="1200" w:type="dxa"/>
            <w:vAlign w:val="bottom"/>
          </w:tcPr>
          <w:p>
            <w:pPr>
              <w:pStyle w:val="yTable"/>
              <w:tabs>
                <w:tab w:val="decimal" w:pos="766"/>
              </w:tabs>
              <w:rPr>
                <w:szCs w:val="22"/>
              </w:rPr>
            </w:pPr>
            <w:r>
              <w:t>200</w:t>
            </w:r>
          </w:p>
        </w:tc>
      </w:tr>
      <w:tr>
        <w:trPr>
          <w:cantSplit/>
        </w:trPr>
        <w:tc>
          <w:tcPr>
            <w:tcW w:w="840" w:type="dxa"/>
          </w:tcPr>
          <w:p>
            <w:pPr>
              <w:pStyle w:val="yTable"/>
            </w:pPr>
            <w:r>
              <w:t>68F.</w:t>
            </w:r>
          </w:p>
        </w:tc>
        <w:tc>
          <w:tcPr>
            <w:tcW w:w="1320" w:type="dxa"/>
          </w:tcPr>
          <w:p>
            <w:pPr>
              <w:pStyle w:val="yTable"/>
            </w:pPr>
            <w:r>
              <w:t>98AW</w:t>
            </w:r>
          </w:p>
        </w:tc>
        <w:tc>
          <w:tcPr>
            <w:tcW w:w="3720" w:type="dxa"/>
          </w:tcPr>
          <w:p>
            <w:pPr>
              <w:pStyle w:val="yTable"/>
            </w:pPr>
            <w:r>
              <w:t>Failing to notify change of particulars for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69.</w:t>
            </w:r>
          </w:p>
        </w:tc>
        <w:tc>
          <w:tcPr>
            <w:tcW w:w="1320" w:type="dxa"/>
          </w:tcPr>
          <w:p>
            <w:pPr>
              <w:pStyle w:val="yTable"/>
            </w:pPr>
            <w:r>
              <w:t>99(5)</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69a.</w:t>
            </w:r>
          </w:p>
        </w:tc>
        <w:tc>
          <w:tcPr>
            <w:tcW w:w="1320" w:type="dxa"/>
          </w:tcPr>
          <w:p>
            <w:pPr>
              <w:pStyle w:val="yTable"/>
            </w:pPr>
            <w:r>
              <w:t>99A(4)</w:t>
            </w:r>
          </w:p>
        </w:tc>
        <w:tc>
          <w:tcPr>
            <w:tcW w:w="3720" w:type="dxa"/>
          </w:tcPr>
          <w:p>
            <w:pPr>
              <w:pStyle w:val="yTable"/>
            </w:pPr>
            <w:r>
              <w:t>Failing to pay landing fee for aircraft</w:t>
            </w:r>
          </w:p>
        </w:tc>
        <w:tc>
          <w:tcPr>
            <w:tcW w:w="1200" w:type="dxa"/>
            <w:vAlign w:val="bottom"/>
          </w:tcPr>
          <w:p>
            <w:pPr>
              <w:pStyle w:val="yTable"/>
              <w:tabs>
                <w:tab w:val="decimal" w:pos="766"/>
              </w:tabs>
            </w:pPr>
            <w:r>
              <w:t>100</w:t>
            </w:r>
          </w:p>
        </w:tc>
      </w:tr>
      <w:tr>
        <w:trPr>
          <w:cantSplit/>
        </w:trPr>
        <w:tc>
          <w:tcPr>
            <w:tcW w:w="840" w:type="dxa"/>
          </w:tcPr>
          <w:p>
            <w:pPr>
              <w:pStyle w:val="yTable"/>
            </w:pPr>
            <w:r>
              <w:t>69b.</w:t>
            </w:r>
          </w:p>
        </w:tc>
        <w:tc>
          <w:tcPr>
            <w:tcW w:w="1320" w:type="dxa"/>
          </w:tcPr>
          <w:p>
            <w:pPr>
              <w:pStyle w:val="yTable"/>
            </w:pPr>
            <w:r>
              <w:t>99C(4)</w:t>
            </w:r>
          </w:p>
        </w:tc>
        <w:tc>
          <w:tcPr>
            <w:tcW w:w="3720" w:type="dxa"/>
          </w:tcPr>
          <w:p>
            <w:pPr>
              <w:pStyle w:val="yTable"/>
            </w:pPr>
            <w:r>
              <w:t xml:space="preserve">Failing to pay entrance fee for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p>
        </w:tc>
        <w:tc>
          <w:tcPr>
            <w:tcW w:w="1200" w:type="dxa"/>
          </w:tcPr>
          <w:p>
            <w:pPr>
              <w:pStyle w:val="yTable"/>
              <w:tabs>
                <w:tab w:val="decimal" w:pos="766"/>
              </w:tabs>
            </w:pPr>
            <w:r>
              <w:br/>
              <w:t>35</w:t>
            </w:r>
          </w:p>
        </w:tc>
      </w:tr>
      <w:tr>
        <w:trPr>
          <w:cantSplit/>
        </w:trPr>
        <w:tc>
          <w:tcPr>
            <w:tcW w:w="840" w:type="dxa"/>
          </w:tcPr>
          <w:p>
            <w:pPr>
              <w:pStyle w:val="yTable"/>
            </w:pPr>
            <w:r>
              <w:t>70.</w:t>
            </w:r>
          </w:p>
        </w:tc>
        <w:tc>
          <w:tcPr>
            <w:tcW w:w="1320" w:type="dxa"/>
          </w:tcPr>
          <w:p>
            <w:pPr>
              <w:pStyle w:val="yTable"/>
              <w:ind w:left="-74" w:firstLine="45"/>
            </w:pPr>
            <w:r>
              <w:t>100(4)</w:t>
            </w:r>
          </w:p>
        </w:tc>
        <w:tc>
          <w:tcPr>
            <w:tcW w:w="3720" w:type="dxa"/>
          </w:tcPr>
          <w:p>
            <w:pPr>
              <w:pStyle w:val="yTable"/>
            </w:pPr>
            <w:r>
              <w:t>Failing to pay fee for Tree Top Walk</w:t>
            </w:r>
          </w:p>
        </w:tc>
        <w:tc>
          <w:tcPr>
            <w:tcW w:w="1200" w:type="dxa"/>
            <w:vAlign w:val="bottom"/>
          </w:tcPr>
          <w:p>
            <w:pPr>
              <w:pStyle w:val="yTable"/>
              <w:tabs>
                <w:tab w:val="decimal" w:pos="766"/>
              </w:tabs>
            </w:pPr>
            <w:r>
              <w:t>35</w:t>
            </w:r>
          </w:p>
        </w:tc>
      </w:tr>
      <w:tr>
        <w:trPr>
          <w:cantSplit/>
        </w:trPr>
        <w:tc>
          <w:tcPr>
            <w:tcW w:w="840" w:type="dxa"/>
          </w:tcPr>
          <w:p>
            <w:pPr>
              <w:pStyle w:val="yTable"/>
            </w:pPr>
            <w:r>
              <w:t>70a.</w:t>
            </w:r>
          </w:p>
        </w:tc>
        <w:tc>
          <w:tcPr>
            <w:tcW w:w="1320" w:type="dxa"/>
          </w:tcPr>
          <w:p>
            <w:pPr>
              <w:pStyle w:val="yTable"/>
              <w:ind w:left="-74" w:firstLine="45"/>
            </w:pPr>
            <w:r>
              <w:t>100A(4)</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71.</w:t>
            </w:r>
          </w:p>
        </w:tc>
        <w:tc>
          <w:tcPr>
            <w:tcW w:w="1320" w:type="dxa"/>
          </w:tcPr>
          <w:p>
            <w:pPr>
              <w:pStyle w:val="yTable"/>
              <w:ind w:left="-74" w:firstLine="45"/>
            </w:pPr>
            <w:r>
              <w:t>102</w:t>
            </w:r>
          </w:p>
        </w:tc>
        <w:tc>
          <w:tcPr>
            <w:tcW w:w="3720" w:type="dxa"/>
          </w:tcPr>
          <w:p>
            <w:pPr>
              <w:pStyle w:val="yTable"/>
            </w:pPr>
            <w:r>
              <w:t>Failing to pay entrance fee when entering on horseback</w:t>
            </w:r>
          </w:p>
        </w:tc>
        <w:tc>
          <w:tcPr>
            <w:tcW w:w="1200" w:type="dxa"/>
            <w:vAlign w:val="bottom"/>
          </w:tcPr>
          <w:p>
            <w:pPr>
              <w:pStyle w:val="yTable"/>
              <w:tabs>
                <w:tab w:val="decimal" w:pos="766"/>
              </w:tabs>
            </w:pPr>
            <w:r>
              <w:t>35</w:t>
            </w:r>
          </w:p>
        </w:tc>
      </w:tr>
      <w:tr>
        <w:trPr>
          <w:cantSplit/>
        </w:trPr>
        <w:tc>
          <w:tcPr>
            <w:tcW w:w="840" w:type="dxa"/>
          </w:tcPr>
          <w:p>
            <w:pPr>
              <w:pStyle w:val="yTable"/>
            </w:pPr>
            <w:r>
              <w:t>71a.</w:t>
            </w:r>
          </w:p>
        </w:tc>
        <w:tc>
          <w:tcPr>
            <w:tcW w:w="1320" w:type="dxa"/>
          </w:tcPr>
          <w:p>
            <w:pPr>
              <w:pStyle w:val="yTable"/>
              <w:ind w:left="-74" w:firstLine="45"/>
            </w:pPr>
            <w:r>
              <w:t>102A(3)</w:t>
            </w:r>
          </w:p>
        </w:tc>
        <w:tc>
          <w:tcPr>
            <w:tcW w:w="3720" w:type="dxa"/>
          </w:tcPr>
          <w:p>
            <w:pPr>
              <w:pStyle w:val="yTable"/>
            </w:pPr>
            <w:r>
              <w:t>Failing to pay abseiling fee</w:t>
            </w:r>
          </w:p>
        </w:tc>
        <w:tc>
          <w:tcPr>
            <w:tcW w:w="1200" w:type="dxa"/>
            <w:vAlign w:val="bottom"/>
          </w:tcPr>
          <w:p>
            <w:pPr>
              <w:pStyle w:val="yTable"/>
              <w:tabs>
                <w:tab w:val="decimal" w:pos="766"/>
              </w:tabs>
            </w:pPr>
            <w:r>
              <w:t>35</w:t>
            </w:r>
          </w:p>
        </w:tc>
      </w:tr>
      <w:tr>
        <w:trPr>
          <w:cantSplit/>
        </w:trPr>
        <w:tc>
          <w:tcPr>
            <w:tcW w:w="840" w:type="dxa"/>
          </w:tcPr>
          <w:p>
            <w:pPr>
              <w:pStyle w:val="yTable"/>
            </w:pPr>
            <w:r>
              <w:t>72.</w:t>
            </w:r>
          </w:p>
        </w:tc>
        <w:tc>
          <w:tcPr>
            <w:tcW w:w="1320" w:type="dxa"/>
          </w:tcPr>
          <w:p>
            <w:pPr>
              <w:pStyle w:val="yTable"/>
              <w:ind w:left="-74" w:firstLine="45"/>
            </w:pPr>
            <w:r>
              <w:t>103(4)</w:t>
            </w:r>
          </w:p>
        </w:tc>
        <w:tc>
          <w:tcPr>
            <w:tcW w:w="3720" w:type="dxa"/>
          </w:tcPr>
          <w:p>
            <w:pPr>
              <w:pStyle w:val="yTable"/>
            </w:pPr>
            <w:r>
              <w:t>Failing to pay camping fee</w:t>
            </w:r>
          </w:p>
        </w:tc>
        <w:tc>
          <w:tcPr>
            <w:tcW w:w="1200" w:type="dxa"/>
            <w:vAlign w:val="bottom"/>
          </w:tcPr>
          <w:p>
            <w:pPr>
              <w:pStyle w:val="yTable"/>
              <w:tabs>
                <w:tab w:val="decimal" w:pos="766"/>
              </w:tabs>
            </w:pPr>
            <w:r>
              <w:t>35</w:t>
            </w:r>
          </w:p>
        </w:tc>
      </w:tr>
      <w:tr>
        <w:trPr>
          <w:cantSplit/>
        </w:trPr>
        <w:tc>
          <w:tcPr>
            <w:tcW w:w="840" w:type="dxa"/>
          </w:tcPr>
          <w:p>
            <w:pPr>
              <w:pStyle w:val="yTable"/>
            </w:pPr>
            <w:r>
              <w:t>73.</w:t>
            </w:r>
          </w:p>
        </w:tc>
        <w:tc>
          <w:tcPr>
            <w:tcW w:w="1320" w:type="dxa"/>
          </w:tcPr>
          <w:p>
            <w:pPr>
              <w:pStyle w:val="yTable"/>
              <w:ind w:left="-74" w:firstLine="45"/>
            </w:pPr>
            <w:r>
              <w:t>105(1)</w:t>
            </w:r>
          </w:p>
        </w:tc>
        <w:tc>
          <w:tcPr>
            <w:tcW w:w="3720" w:type="dxa"/>
          </w:tcPr>
          <w:p>
            <w:pPr>
              <w:pStyle w:val="yTable"/>
            </w:pPr>
            <w:r>
              <w:t>Organising etc. meeting etc.</w:t>
            </w:r>
          </w:p>
        </w:tc>
        <w:tc>
          <w:tcPr>
            <w:tcW w:w="1200" w:type="dxa"/>
            <w:vAlign w:val="bottom"/>
          </w:tcPr>
          <w:p>
            <w:pPr>
              <w:pStyle w:val="yTable"/>
              <w:tabs>
                <w:tab w:val="decimal" w:pos="766"/>
              </w:tabs>
            </w:pPr>
            <w:r>
              <w:t>200</w:t>
            </w:r>
          </w:p>
        </w:tc>
      </w:tr>
      <w:tr>
        <w:trPr>
          <w:cantSplit/>
        </w:trPr>
        <w:tc>
          <w:tcPr>
            <w:tcW w:w="840" w:type="dxa"/>
          </w:tcPr>
          <w:p>
            <w:pPr>
              <w:pStyle w:val="yTable"/>
            </w:pPr>
            <w:r>
              <w:t>74.</w:t>
            </w:r>
          </w:p>
        </w:tc>
        <w:tc>
          <w:tcPr>
            <w:tcW w:w="1320" w:type="dxa"/>
          </w:tcPr>
          <w:p>
            <w:pPr>
              <w:pStyle w:val="yTable"/>
              <w:ind w:left="-74" w:firstLine="45"/>
            </w:pPr>
            <w:r>
              <w:t>106(1)</w:t>
            </w:r>
          </w:p>
        </w:tc>
        <w:tc>
          <w:tcPr>
            <w:tcW w:w="3720" w:type="dxa"/>
          </w:tcPr>
          <w:p>
            <w:pPr>
              <w:pStyle w:val="yTable"/>
            </w:pPr>
            <w:r>
              <w:t>Selling goods or services, or carrying on business</w:t>
            </w:r>
          </w:p>
        </w:tc>
        <w:tc>
          <w:tcPr>
            <w:tcW w:w="1200" w:type="dxa"/>
            <w:vAlign w:val="bottom"/>
          </w:tcPr>
          <w:p>
            <w:pPr>
              <w:pStyle w:val="yTable"/>
              <w:tabs>
                <w:tab w:val="decimal" w:pos="766"/>
              </w:tabs>
            </w:pPr>
            <w:r>
              <w:t>200</w:t>
            </w:r>
          </w:p>
        </w:tc>
      </w:tr>
      <w:tr>
        <w:trPr>
          <w:cantSplit/>
        </w:trPr>
        <w:tc>
          <w:tcPr>
            <w:tcW w:w="840" w:type="dxa"/>
          </w:tcPr>
          <w:p>
            <w:pPr>
              <w:pStyle w:val="yTable"/>
            </w:pPr>
            <w:r>
              <w:t>74a.</w:t>
            </w:r>
          </w:p>
        </w:tc>
        <w:tc>
          <w:tcPr>
            <w:tcW w:w="1320" w:type="dxa"/>
          </w:tcPr>
          <w:p>
            <w:pPr>
              <w:pStyle w:val="yTable"/>
              <w:ind w:left="-74" w:firstLine="45"/>
            </w:pPr>
            <w:r>
              <w:t>106(2)</w:t>
            </w:r>
          </w:p>
        </w:tc>
        <w:tc>
          <w:tcPr>
            <w:tcW w:w="3720" w:type="dxa"/>
          </w:tcPr>
          <w:p>
            <w:pPr>
              <w:pStyle w:val="yTable"/>
            </w:pPr>
            <w:r>
              <w:t>Advertising goods or services or a business</w:t>
            </w:r>
          </w:p>
        </w:tc>
        <w:tc>
          <w:tcPr>
            <w:tcW w:w="1200" w:type="dxa"/>
            <w:vAlign w:val="bottom"/>
          </w:tcPr>
          <w:p>
            <w:pPr>
              <w:pStyle w:val="yTable"/>
              <w:tabs>
                <w:tab w:val="decimal" w:pos="766"/>
              </w:tabs>
            </w:pPr>
            <w:r>
              <w:t>200</w:t>
            </w:r>
          </w:p>
        </w:tc>
      </w:tr>
      <w:tr>
        <w:trPr>
          <w:cantSplit/>
        </w:trPr>
        <w:tc>
          <w:tcPr>
            <w:tcW w:w="840" w:type="dxa"/>
          </w:tcPr>
          <w:p>
            <w:pPr>
              <w:pStyle w:val="yTable"/>
            </w:pPr>
            <w:r>
              <w:t>75.</w:t>
            </w:r>
          </w:p>
        </w:tc>
        <w:tc>
          <w:tcPr>
            <w:tcW w:w="1320" w:type="dxa"/>
          </w:tcPr>
          <w:p>
            <w:pPr>
              <w:pStyle w:val="yTable"/>
              <w:ind w:left="-74" w:firstLine="45"/>
            </w:pPr>
            <w:r>
              <w:t>107</w:t>
            </w:r>
          </w:p>
        </w:tc>
        <w:tc>
          <w:tcPr>
            <w:tcW w:w="3720" w:type="dxa"/>
          </w:tcPr>
          <w:p>
            <w:pPr>
              <w:pStyle w:val="yTable"/>
            </w:pPr>
            <w:r>
              <w:t>Distributing etc. printed matter etc.</w:t>
            </w:r>
          </w:p>
        </w:tc>
        <w:tc>
          <w:tcPr>
            <w:tcW w:w="1200" w:type="dxa"/>
            <w:vAlign w:val="bottom"/>
          </w:tcPr>
          <w:p>
            <w:pPr>
              <w:pStyle w:val="yTable"/>
              <w:tabs>
                <w:tab w:val="decimal" w:pos="766"/>
              </w:tabs>
            </w:pPr>
            <w:r>
              <w:t>50</w:t>
            </w:r>
          </w:p>
        </w:tc>
      </w:tr>
      <w:tr>
        <w:trPr>
          <w:cantSplit/>
        </w:trPr>
        <w:tc>
          <w:tcPr>
            <w:tcW w:w="840" w:type="dxa"/>
          </w:tcPr>
          <w:p>
            <w:pPr>
              <w:pStyle w:val="yTable"/>
            </w:pPr>
            <w:r>
              <w:t>76.</w:t>
            </w:r>
          </w:p>
        </w:tc>
        <w:tc>
          <w:tcPr>
            <w:tcW w:w="1320" w:type="dxa"/>
          </w:tcPr>
          <w:p>
            <w:pPr>
              <w:pStyle w:val="yTable"/>
              <w:ind w:left="-74" w:firstLine="45"/>
            </w:pPr>
            <w:r>
              <w:t>108</w:t>
            </w:r>
          </w:p>
        </w:tc>
        <w:tc>
          <w:tcPr>
            <w:tcW w:w="3720" w:type="dxa"/>
          </w:tcPr>
          <w:p>
            <w:pPr>
              <w:pStyle w:val="yTable"/>
            </w:pPr>
            <w:r>
              <w:t>Unlawfully taking still or motion pictures</w:t>
            </w:r>
          </w:p>
        </w:tc>
        <w:tc>
          <w:tcPr>
            <w:tcW w:w="1200" w:type="dxa"/>
            <w:vAlign w:val="bottom"/>
          </w:tcPr>
          <w:p>
            <w:pPr>
              <w:pStyle w:val="yTable"/>
              <w:tabs>
                <w:tab w:val="decimal" w:pos="766"/>
              </w:tabs>
            </w:pPr>
            <w:r>
              <w:t>50</w:t>
            </w:r>
          </w:p>
        </w:tc>
      </w:tr>
      <w:tr>
        <w:trPr>
          <w:cantSplit/>
        </w:trPr>
        <w:tc>
          <w:tcPr>
            <w:tcW w:w="840" w:type="dxa"/>
          </w:tcPr>
          <w:p>
            <w:pPr>
              <w:pStyle w:val="yTable"/>
              <w:keepLines/>
            </w:pPr>
            <w:r>
              <w:t>77.</w:t>
            </w:r>
          </w:p>
        </w:tc>
        <w:tc>
          <w:tcPr>
            <w:tcW w:w="1320" w:type="dxa"/>
          </w:tcPr>
          <w:p>
            <w:pPr>
              <w:pStyle w:val="yTable"/>
              <w:keepNext/>
              <w:keepLines/>
              <w:ind w:left="-74" w:firstLine="45"/>
            </w:pPr>
            <w:r>
              <w:t>109</w:t>
            </w:r>
          </w:p>
        </w:tc>
        <w:tc>
          <w:tcPr>
            <w:tcW w:w="3720" w:type="dxa"/>
          </w:tcPr>
          <w:p>
            <w:pPr>
              <w:pStyle w:val="yTable"/>
              <w:keepNext/>
              <w:keepLines/>
            </w:pPr>
            <w:r>
              <w:t>Failing to produce licence etc.</w:t>
            </w:r>
          </w:p>
        </w:tc>
        <w:tc>
          <w:tcPr>
            <w:tcW w:w="1200" w:type="dxa"/>
            <w:vAlign w:val="bottom"/>
          </w:tcPr>
          <w:p>
            <w:pPr>
              <w:pStyle w:val="yTable"/>
              <w:keepNext/>
              <w:keepLines/>
              <w:tabs>
                <w:tab w:val="decimal" w:pos="766"/>
              </w:tabs>
            </w:pPr>
            <w:r>
              <w:rPr>
                <w:szCs w:val="22"/>
              </w:rPr>
              <w:t>200</w:t>
            </w:r>
          </w:p>
        </w:tc>
      </w:tr>
      <w:tr>
        <w:trPr>
          <w:cantSplit/>
        </w:trPr>
        <w:tc>
          <w:tcPr>
            <w:tcW w:w="840" w:type="dxa"/>
          </w:tcPr>
          <w:p>
            <w:pPr>
              <w:pStyle w:val="yTable"/>
              <w:keepLines/>
            </w:pPr>
            <w:r>
              <w:t>78.</w:t>
            </w:r>
          </w:p>
        </w:tc>
        <w:tc>
          <w:tcPr>
            <w:tcW w:w="1320" w:type="dxa"/>
          </w:tcPr>
          <w:p>
            <w:pPr>
              <w:pStyle w:val="yTable"/>
              <w:keepNext/>
              <w:keepLines/>
              <w:ind w:left="-74" w:firstLine="45"/>
            </w:pPr>
            <w:r>
              <w:t>110</w:t>
            </w:r>
          </w:p>
        </w:tc>
        <w:tc>
          <w:tcPr>
            <w:tcW w:w="3720" w:type="dxa"/>
          </w:tcPr>
          <w:p>
            <w:pPr>
              <w:pStyle w:val="yTable"/>
              <w:keepNext/>
              <w:keepLines/>
            </w:pPr>
            <w:r>
              <w:t>Giving false or misleading information</w:t>
            </w:r>
          </w:p>
        </w:tc>
        <w:tc>
          <w:tcPr>
            <w:tcW w:w="1200" w:type="dxa"/>
            <w:vAlign w:val="bottom"/>
          </w:tcPr>
          <w:p>
            <w:pPr>
              <w:pStyle w:val="yTable"/>
              <w:keepNext/>
              <w:keepLines/>
              <w:tabs>
                <w:tab w:val="decimal" w:pos="766"/>
              </w:tabs>
            </w:pPr>
            <w:r>
              <w:rPr>
                <w:szCs w:val="22"/>
              </w:rPr>
              <w:t>200</w:t>
            </w:r>
          </w:p>
        </w:tc>
      </w:tr>
    </w:tbl>
    <w:p>
      <w:pPr>
        <w:pStyle w:val="yFootnotesection"/>
        <w:keepNext/>
      </w:pPr>
      <w:r>
        <w:tab/>
        <w:t>[Division 2 amended in Gazette 29 Sep 2006 p. 4331</w:t>
      </w:r>
      <w:r>
        <w:noBreakHyphen/>
        <w:t>3; 27 Feb 2007 p. 625</w:t>
      </w:r>
      <w:r>
        <w:noBreakHyphen/>
        <w:t>6; 3 Dec 2010 p. 6052; 19 Sep 2014 p. 3333</w:t>
      </w:r>
      <w:r>
        <w:noBreakHyphen/>
        <w:t>4 and 3336</w:t>
      </w:r>
      <w:r>
        <w:noBreakHyphen/>
        <w:t>7; 24 Mar 2015 p. 1043</w:t>
      </w:r>
      <w:r>
        <w:noBreakHyphen/>
        <w:t>4.]</w:t>
      </w:r>
    </w:p>
    <w:p>
      <w:pPr>
        <w:pStyle w:val="yHeading3"/>
        <w:rPr>
          <w:i/>
        </w:rPr>
      </w:pPr>
      <w:bookmarkStart w:id="564" w:name="_Toc408498955"/>
      <w:bookmarkStart w:id="565" w:name="_Toc414889377"/>
      <w:bookmarkStart w:id="566" w:name="_Toc414975349"/>
      <w:bookmarkStart w:id="567" w:name="_Toc417563831"/>
      <w:bookmarkStart w:id="568" w:name="_Toc423340652"/>
      <w:bookmarkStart w:id="569" w:name="_Toc423343250"/>
      <w:r>
        <w:rPr>
          <w:rStyle w:val="CharSDivNo"/>
        </w:rPr>
        <w:t>Division 3</w:t>
      </w:r>
      <w:r>
        <w:t xml:space="preserve"> — </w:t>
      </w:r>
      <w:r>
        <w:rPr>
          <w:rStyle w:val="CharSDivText"/>
        </w:rPr>
        <w:t xml:space="preserve">Offences under </w:t>
      </w:r>
      <w:r>
        <w:rPr>
          <w:rStyle w:val="CharSDivText"/>
          <w:i/>
        </w:rPr>
        <w:t>Forest Management Regulations 1993</w:t>
      </w:r>
      <w:bookmarkEnd w:id="564"/>
      <w:bookmarkEnd w:id="565"/>
      <w:bookmarkEnd w:id="566"/>
      <w:bookmarkEnd w:id="567"/>
      <w:bookmarkEnd w:id="568"/>
      <w:bookmarkEnd w:id="569"/>
    </w:p>
    <w:p>
      <w:pPr>
        <w:pStyle w:val="yFootnoteheading"/>
        <w:spacing w:after="60"/>
      </w:pPr>
      <w:r>
        <w:tab/>
        <w:t>[Heading inserted in Gazette 7 Dec 2012 p. 5972.]</w:t>
      </w:r>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keepNext/>
              <w:keepLines/>
              <w:jc w:val="center"/>
              <w:rPr>
                <w:b/>
              </w:rPr>
            </w:pPr>
          </w:p>
        </w:tc>
        <w:tc>
          <w:tcPr>
            <w:tcW w:w="1320" w:type="dxa"/>
            <w:vAlign w:val="center"/>
          </w:tcPr>
          <w:p>
            <w:pPr>
              <w:pStyle w:val="yTable"/>
              <w:keepNext/>
              <w:keepLines/>
              <w:rPr>
                <w:b/>
              </w:rPr>
            </w:pPr>
            <w:r>
              <w:rPr>
                <w:b/>
              </w:rPr>
              <w:t>Column 1</w:t>
            </w:r>
          </w:p>
        </w:tc>
        <w:tc>
          <w:tcPr>
            <w:tcW w:w="3720" w:type="dxa"/>
            <w:vAlign w:val="center"/>
          </w:tcPr>
          <w:p>
            <w:pPr>
              <w:pStyle w:val="yTable"/>
              <w:keepNext/>
              <w:keepLines/>
              <w:jc w:val="center"/>
              <w:rPr>
                <w:b/>
              </w:rPr>
            </w:pPr>
            <w:r>
              <w:rPr>
                <w:b/>
              </w:rPr>
              <w:t>Column 2</w:t>
            </w:r>
          </w:p>
        </w:tc>
        <w:tc>
          <w:tcPr>
            <w:tcW w:w="1200" w:type="dxa"/>
            <w:vAlign w:val="center"/>
          </w:tcPr>
          <w:p>
            <w:pPr>
              <w:pStyle w:val="yTable"/>
              <w:keepNext/>
              <w:keepLines/>
              <w:jc w:val="center"/>
              <w:rPr>
                <w:b/>
              </w:rPr>
            </w:pPr>
            <w:r>
              <w:rPr>
                <w:b/>
              </w:rPr>
              <w:t>Column 3</w:t>
            </w:r>
          </w:p>
        </w:tc>
      </w:tr>
      <w:tr>
        <w:trPr>
          <w:cantSplit/>
          <w:trHeight w:val="240"/>
          <w:tblHeader/>
        </w:trPr>
        <w:tc>
          <w:tcPr>
            <w:tcW w:w="840" w:type="dxa"/>
          </w:tcPr>
          <w:p>
            <w:pPr>
              <w:pStyle w:val="yTableNAm"/>
              <w:spacing w:before="60"/>
              <w:rPr>
                <w:b/>
              </w:rPr>
            </w:pPr>
            <w:r>
              <w:rPr>
                <w:b/>
              </w:rPr>
              <w:t>Item No.</w:t>
            </w:r>
          </w:p>
        </w:tc>
        <w:tc>
          <w:tcPr>
            <w:tcW w:w="1320" w:type="dxa"/>
          </w:tcPr>
          <w:p>
            <w:pPr>
              <w:pStyle w:val="yTableNAm"/>
              <w:spacing w:before="60"/>
            </w:pPr>
            <w:r>
              <w:rPr>
                <w:b/>
              </w:rPr>
              <w:t>Regulation creating offence</w:t>
            </w:r>
          </w:p>
        </w:tc>
        <w:tc>
          <w:tcPr>
            <w:tcW w:w="3720" w:type="dxa"/>
          </w:tcPr>
          <w:p>
            <w:pPr>
              <w:pStyle w:val="yTableNAm"/>
              <w:spacing w:before="60"/>
              <w:jc w:val="center"/>
            </w:pPr>
            <w:r>
              <w:rPr>
                <w:b/>
              </w:rPr>
              <w:t>Nature of offence</w:t>
            </w:r>
          </w:p>
        </w:tc>
        <w:tc>
          <w:tcPr>
            <w:tcW w:w="1200" w:type="dxa"/>
          </w:tcPr>
          <w:p>
            <w:pPr>
              <w:pStyle w:val="yTableNAm"/>
              <w:spacing w:before="60"/>
              <w:jc w:val="center"/>
            </w:pPr>
            <w:r>
              <w:rPr>
                <w:b/>
              </w:rPr>
              <w:t>Penalty</w:t>
            </w:r>
          </w:p>
          <w:p>
            <w:pPr>
              <w:pStyle w:val="yTableNAm"/>
              <w:spacing w:before="60"/>
              <w:jc w:val="center"/>
              <w:rPr>
                <w:b/>
              </w:rPr>
            </w:pPr>
            <w:r>
              <w:rPr>
                <w:b/>
              </w:rPr>
              <w:t>$</w:t>
            </w:r>
          </w:p>
        </w:tc>
      </w:tr>
      <w:tr>
        <w:trPr>
          <w:cantSplit/>
        </w:trPr>
        <w:tc>
          <w:tcPr>
            <w:tcW w:w="840" w:type="dxa"/>
          </w:tcPr>
          <w:p>
            <w:pPr>
              <w:pStyle w:val="yTableNAm"/>
              <w:spacing w:before="60"/>
            </w:pPr>
            <w:r>
              <w:t>1.</w:t>
            </w:r>
          </w:p>
        </w:tc>
        <w:tc>
          <w:tcPr>
            <w:tcW w:w="1320" w:type="dxa"/>
          </w:tcPr>
          <w:p>
            <w:pPr>
              <w:pStyle w:val="yTableNAm"/>
              <w:spacing w:before="60"/>
            </w:pPr>
            <w:r>
              <w:t>108</w:t>
            </w:r>
          </w:p>
        </w:tc>
        <w:tc>
          <w:tcPr>
            <w:tcW w:w="3720" w:type="dxa"/>
          </w:tcPr>
          <w:p>
            <w:pPr>
              <w:pStyle w:val="yTableNAm"/>
              <w:spacing w:before="60"/>
            </w:pPr>
            <w:r>
              <w:t>Entry, use, movement of potential carrier without authorisation or contrary to condition</w:t>
            </w:r>
          </w:p>
        </w:tc>
        <w:tc>
          <w:tcPr>
            <w:tcW w:w="1200" w:type="dxa"/>
            <w:vAlign w:val="bottom"/>
          </w:tcPr>
          <w:p>
            <w:pPr>
              <w:pStyle w:val="yTableNAm"/>
              <w:spacing w:before="60"/>
              <w:jc w:val="center"/>
            </w:pPr>
            <w:r>
              <w:t>200</w:t>
            </w:r>
          </w:p>
        </w:tc>
      </w:tr>
      <w:tr>
        <w:trPr>
          <w:cantSplit/>
          <w:trHeight w:val="360"/>
        </w:trPr>
        <w:tc>
          <w:tcPr>
            <w:tcW w:w="840" w:type="dxa"/>
          </w:tcPr>
          <w:p>
            <w:pPr>
              <w:pStyle w:val="yTableNAm"/>
              <w:spacing w:before="60"/>
            </w:pPr>
            <w:r>
              <w:t>2.</w:t>
            </w:r>
          </w:p>
        </w:tc>
        <w:tc>
          <w:tcPr>
            <w:tcW w:w="1320" w:type="dxa"/>
          </w:tcPr>
          <w:p>
            <w:pPr>
              <w:pStyle w:val="yTableNAm"/>
              <w:spacing w:before="60"/>
            </w:pPr>
            <w:r>
              <w:t>109</w:t>
            </w:r>
          </w:p>
        </w:tc>
        <w:tc>
          <w:tcPr>
            <w:tcW w:w="3720" w:type="dxa"/>
          </w:tcPr>
          <w:p>
            <w:pPr>
              <w:pStyle w:val="yTableNAm"/>
              <w:spacing w:before="60"/>
            </w:pPr>
            <w:r>
              <w:t>Entry, use, movement of potential carrier contrary to instruction or direction</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3.</w:t>
            </w:r>
          </w:p>
        </w:tc>
        <w:tc>
          <w:tcPr>
            <w:tcW w:w="1320" w:type="dxa"/>
          </w:tcPr>
          <w:p>
            <w:pPr>
              <w:pStyle w:val="yTableNAm"/>
              <w:spacing w:before="60"/>
            </w:pPr>
            <w:r>
              <w:t>111</w:t>
            </w:r>
          </w:p>
        </w:tc>
        <w:tc>
          <w:tcPr>
            <w:tcW w:w="3720" w:type="dxa"/>
          </w:tcPr>
          <w:p>
            <w:pPr>
              <w:pStyle w:val="yTableNAm"/>
              <w:spacing w:before="60"/>
            </w:pPr>
            <w:r>
              <w:t>Failure to carry or produce written authorisation in respect of potential carrier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4.</w:t>
            </w:r>
          </w:p>
        </w:tc>
        <w:tc>
          <w:tcPr>
            <w:tcW w:w="1320" w:type="dxa"/>
          </w:tcPr>
          <w:p>
            <w:pPr>
              <w:pStyle w:val="yTableNAm"/>
              <w:spacing w:before="60"/>
            </w:pPr>
            <w:r>
              <w:t>113</w:t>
            </w:r>
          </w:p>
        </w:tc>
        <w:tc>
          <w:tcPr>
            <w:tcW w:w="3720" w:type="dxa"/>
          </w:tcPr>
          <w:p>
            <w:pPr>
              <w:pStyle w:val="yTableNAm"/>
              <w:spacing w:before="60"/>
            </w:pPr>
            <w:r>
              <w:t>Failure to produce information relating to forest disease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5.</w:t>
            </w:r>
          </w:p>
        </w:tc>
        <w:tc>
          <w:tcPr>
            <w:tcW w:w="1320" w:type="dxa"/>
          </w:tcPr>
          <w:p>
            <w:pPr>
              <w:pStyle w:val="yTableNAm"/>
              <w:spacing w:before="60"/>
            </w:pPr>
            <w:r>
              <w:t>119</w:t>
            </w:r>
          </w:p>
        </w:tc>
        <w:tc>
          <w:tcPr>
            <w:tcW w:w="3720" w:type="dxa"/>
          </w:tcPr>
          <w:p>
            <w:pPr>
              <w:pStyle w:val="yTableNAm"/>
              <w:spacing w:before="60"/>
            </w:pPr>
            <w:r>
              <w:t>Failure to cleanse or disinfect infected carrier or potential carrier</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6.</w:t>
            </w:r>
          </w:p>
        </w:tc>
        <w:tc>
          <w:tcPr>
            <w:tcW w:w="1320" w:type="dxa"/>
          </w:tcPr>
          <w:p>
            <w:pPr>
              <w:pStyle w:val="yTableNAm"/>
              <w:spacing w:before="60"/>
            </w:pPr>
            <w:r>
              <w:t>123</w:t>
            </w:r>
          </w:p>
        </w:tc>
        <w:tc>
          <w:tcPr>
            <w:tcW w:w="3720" w:type="dxa"/>
          </w:tcPr>
          <w:p>
            <w:pPr>
              <w:pStyle w:val="yTableNAm"/>
              <w:spacing w:before="60"/>
            </w:pPr>
            <w:r>
              <w:t>Failure to give name and address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7.</w:t>
            </w:r>
          </w:p>
        </w:tc>
        <w:tc>
          <w:tcPr>
            <w:tcW w:w="1320" w:type="dxa"/>
          </w:tcPr>
          <w:p>
            <w:pPr>
              <w:pStyle w:val="yTableNAm"/>
              <w:spacing w:before="60"/>
            </w:pPr>
            <w:r>
              <w:t>124</w:t>
            </w:r>
          </w:p>
        </w:tc>
        <w:tc>
          <w:tcPr>
            <w:tcW w:w="3720" w:type="dxa"/>
          </w:tcPr>
          <w:p>
            <w:pPr>
              <w:pStyle w:val="yTableNAm"/>
              <w:spacing w:before="60"/>
            </w:pPr>
            <w:r>
              <w:t>Failure to comply with request to stop or with signpost, or avoiding or breaking through barrier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8.</w:t>
            </w:r>
          </w:p>
        </w:tc>
        <w:tc>
          <w:tcPr>
            <w:tcW w:w="1320" w:type="dxa"/>
          </w:tcPr>
          <w:p>
            <w:pPr>
              <w:pStyle w:val="yTableNAm"/>
              <w:spacing w:before="60"/>
            </w:pPr>
            <w:r>
              <w:t>125</w:t>
            </w:r>
          </w:p>
        </w:tc>
        <w:tc>
          <w:tcPr>
            <w:tcW w:w="3720" w:type="dxa"/>
          </w:tcPr>
          <w:p>
            <w:pPr>
              <w:pStyle w:val="yTableNAm"/>
              <w:spacing w:before="60"/>
            </w:pPr>
            <w:r>
              <w:t>Hindering, obstructing or failing to comply with direction of authorised person</w:t>
            </w:r>
          </w:p>
        </w:tc>
        <w:tc>
          <w:tcPr>
            <w:tcW w:w="1200" w:type="dxa"/>
            <w:vAlign w:val="bottom"/>
          </w:tcPr>
          <w:p>
            <w:pPr>
              <w:pStyle w:val="yTableNAm"/>
              <w:spacing w:before="60"/>
              <w:jc w:val="center"/>
            </w:pPr>
            <w:r>
              <w:t>150</w:t>
            </w:r>
          </w:p>
        </w:tc>
      </w:tr>
    </w:tbl>
    <w:p>
      <w:pPr>
        <w:pStyle w:val="yFootnotesection"/>
      </w:pPr>
      <w:r>
        <w:tab/>
        <w:t>[Division 3 inserted in Gazette 7 Dec 2012 p. 5972-3.]</w:t>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yScheduleHeading"/>
        <w:outlineLvl w:val="0"/>
      </w:pPr>
      <w:bookmarkStart w:id="571" w:name="_Toc408498956"/>
      <w:bookmarkStart w:id="572" w:name="_Toc414889378"/>
      <w:bookmarkStart w:id="573" w:name="_Toc414975350"/>
      <w:bookmarkStart w:id="574" w:name="_Toc417563832"/>
      <w:bookmarkStart w:id="575" w:name="_Toc423340653"/>
      <w:bookmarkStart w:id="576" w:name="_Toc423343251"/>
      <w:r>
        <w:rPr>
          <w:rStyle w:val="CharSchNo"/>
        </w:rPr>
        <w:t>Schedule 3</w:t>
      </w:r>
      <w:r>
        <w:rPr>
          <w:rStyle w:val="CharSDivNo"/>
        </w:rPr>
        <w:t xml:space="preserve"> </w:t>
      </w:r>
      <w:r>
        <w:t>—</w:t>
      </w:r>
      <w:r>
        <w:rPr>
          <w:rStyle w:val="CharSDivText"/>
        </w:rPr>
        <w:t xml:space="preserve"> </w:t>
      </w:r>
      <w:r>
        <w:rPr>
          <w:rStyle w:val="CharSchText"/>
        </w:rPr>
        <w:t>Forms</w:t>
      </w:r>
      <w:bookmarkEnd w:id="571"/>
      <w:bookmarkEnd w:id="572"/>
      <w:bookmarkEnd w:id="573"/>
      <w:bookmarkEnd w:id="574"/>
      <w:bookmarkEnd w:id="575"/>
      <w:bookmarkEnd w:id="576"/>
    </w:p>
    <w:p>
      <w:pPr>
        <w:pStyle w:val="yShoulderClause"/>
      </w:pPr>
      <w:r>
        <w:t>[r. 112(3)]</w:t>
      </w:r>
    </w:p>
    <w:p>
      <w:pPr>
        <w:pStyle w:val="yTHeadingNAm"/>
        <w:jc w:val="left"/>
      </w:pPr>
      <w:r>
        <w:rPr>
          <w:rStyle w:val="CharSClsNo"/>
        </w:rPr>
        <w:t>Form 1</w:t>
      </w:r>
      <w:r>
        <w:t> — Infringement notice (r. 112(3))</w:t>
      </w:r>
    </w:p>
    <w:tbl>
      <w:tblPr>
        <w:tblStyle w:val="TableGrid"/>
        <w:tblW w:w="6813"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87"/>
        <w:gridCol w:w="297"/>
        <w:gridCol w:w="746"/>
        <w:gridCol w:w="330"/>
        <w:gridCol w:w="444"/>
        <w:gridCol w:w="847"/>
        <w:gridCol w:w="388"/>
        <w:gridCol w:w="389"/>
        <w:gridCol w:w="389"/>
        <w:gridCol w:w="388"/>
        <w:gridCol w:w="756"/>
        <w:gridCol w:w="99"/>
        <w:gridCol w:w="295"/>
        <w:gridCol w:w="89"/>
        <w:gridCol w:w="384"/>
        <w:gridCol w:w="385"/>
      </w:tblGrid>
      <w:tr>
        <w:tc>
          <w:tcPr>
            <w:tcW w:w="5561" w:type="dxa"/>
            <w:gridSpan w:val="11"/>
            <w:tcBorders>
              <w:right w:val="single" w:sz="4" w:space="0" w:color="auto"/>
            </w:tcBorders>
          </w:tcPr>
          <w:p>
            <w:pPr>
              <w:pStyle w:val="yTableNAm"/>
            </w:pPr>
          </w:p>
        </w:tc>
        <w:tc>
          <w:tcPr>
            <w:tcW w:w="1252" w:type="dxa"/>
            <w:gridSpan w:val="5"/>
            <w:tcBorders>
              <w:top w:val="single" w:sz="4" w:space="0" w:color="auto"/>
              <w:left w:val="single" w:sz="4" w:space="0" w:color="auto"/>
              <w:bottom w:val="single" w:sz="4" w:space="0" w:color="auto"/>
              <w:right w:val="single" w:sz="4" w:space="0" w:color="auto"/>
            </w:tcBorders>
          </w:tcPr>
          <w:p>
            <w:pPr>
              <w:pStyle w:val="yTableNAm"/>
              <w:rPr>
                <w:sz w:val="18"/>
                <w:szCs w:val="18"/>
              </w:rPr>
            </w:pPr>
            <w:r>
              <w:rPr>
                <w:sz w:val="18"/>
                <w:szCs w:val="18"/>
              </w:rPr>
              <w:t>Number</w:t>
            </w:r>
            <w:r>
              <w:rPr>
                <w:sz w:val="18"/>
                <w:szCs w:val="18"/>
              </w:rPr>
              <w:br/>
            </w:r>
          </w:p>
        </w:tc>
      </w:tr>
      <w:tr>
        <w:tc>
          <w:tcPr>
            <w:tcW w:w="6813" w:type="dxa"/>
            <w:gridSpan w:val="16"/>
          </w:tcPr>
          <w:p>
            <w:pPr>
              <w:pStyle w:val="yTableNAm"/>
              <w:rPr>
                <w:sz w:val="18"/>
                <w:szCs w:val="18"/>
              </w:rPr>
            </w:pPr>
          </w:p>
        </w:tc>
      </w:tr>
      <w:tr>
        <w:tc>
          <w:tcPr>
            <w:tcW w:w="884" w:type="dxa"/>
            <w:gridSpan w:val="2"/>
            <w:tcBorders>
              <w:right w:val="single" w:sz="4" w:space="0" w:color="auto"/>
            </w:tcBorders>
          </w:tcPr>
          <w:p>
            <w:pPr>
              <w:pStyle w:val="yTableNAm"/>
              <w:rPr>
                <w:szCs w:val="22"/>
              </w:rPr>
            </w:pPr>
          </w:p>
        </w:tc>
        <w:tc>
          <w:tcPr>
            <w:tcW w:w="5071" w:type="dxa"/>
            <w:gridSpan w:val="11"/>
            <w:tcBorders>
              <w:top w:val="single" w:sz="4" w:space="0" w:color="auto"/>
              <w:left w:val="single" w:sz="4" w:space="0" w:color="auto"/>
              <w:bottom w:val="single" w:sz="4" w:space="0" w:color="auto"/>
              <w:right w:val="single" w:sz="4" w:space="0" w:color="auto"/>
            </w:tcBorders>
          </w:tcPr>
          <w:p>
            <w:pPr>
              <w:pStyle w:val="yTableNAm"/>
              <w:rPr>
                <w:sz w:val="18"/>
                <w:szCs w:val="18"/>
              </w:rPr>
            </w:pPr>
            <w:r>
              <w:rPr>
                <w:b/>
                <w:sz w:val="28"/>
                <w:szCs w:val="28"/>
              </w:rPr>
              <w:t>INFRINGEMENT NOTICE</w:t>
            </w:r>
            <w:r>
              <w:rPr>
                <w:sz w:val="18"/>
                <w:szCs w:val="18"/>
              </w:rPr>
              <w:t xml:space="preserve"> </w:t>
            </w:r>
          </w:p>
          <w:p>
            <w:pPr>
              <w:pStyle w:val="yTableNAm"/>
              <w:rPr>
                <w:i/>
                <w:sz w:val="18"/>
                <w:szCs w:val="18"/>
              </w:rPr>
            </w:pPr>
            <w:r>
              <w:rPr>
                <w:sz w:val="18"/>
                <w:szCs w:val="18"/>
              </w:rPr>
              <w:t xml:space="preserve">For offences with modified penalties under the </w:t>
            </w:r>
            <w:r>
              <w:rPr>
                <w:i/>
                <w:sz w:val="18"/>
                <w:szCs w:val="18"/>
              </w:rPr>
              <w:t>Conservation and Land Management Act 1984</w:t>
            </w:r>
            <w:r>
              <w:rPr>
                <w:sz w:val="18"/>
                <w:szCs w:val="18"/>
              </w:rPr>
              <w:t xml:space="preserve">, </w:t>
            </w:r>
            <w:r>
              <w:rPr>
                <w:i/>
                <w:sz w:val="18"/>
                <w:szCs w:val="18"/>
              </w:rPr>
              <w:t xml:space="preserve">Conservation and Land Management Regulations 2002 </w:t>
            </w:r>
            <w:r>
              <w:rPr>
                <w:sz w:val="18"/>
                <w:szCs w:val="18"/>
              </w:rPr>
              <w:t xml:space="preserve">and </w:t>
            </w:r>
            <w:smartTag w:uri="urn:schemas-microsoft-com:office:smarttags" w:element="place">
              <w:r>
                <w:rPr>
                  <w:i/>
                  <w:sz w:val="18"/>
                  <w:szCs w:val="18"/>
                </w:rPr>
                <w:t>Forest</w:t>
              </w:r>
            </w:smartTag>
            <w:r>
              <w:rPr>
                <w:i/>
                <w:sz w:val="18"/>
                <w:szCs w:val="18"/>
              </w:rPr>
              <w:t xml:space="preserve"> Management Regulations 1993</w:t>
            </w:r>
          </w:p>
        </w:tc>
        <w:tc>
          <w:tcPr>
            <w:tcW w:w="858" w:type="dxa"/>
            <w:gridSpan w:val="3"/>
            <w:tcBorders>
              <w:left w:val="single" w:sz="4" w:space="0" w:color="auto"/>
            </w:tcBorders>
          </w:tcPr>
          <w:p>
            <w:pPr>
              <w:pStyle w:val="yTableNAm"/>
              <w:rPr>
                <w:sz w:val="18"/>
                <w:szCs w:val="18"/>
              </w:rPr>
            </w:pPr>
          </w:p>
        </w:tc>
      </w:tr>
      <w:tr>
        <w:tc>
          <w:tcPr>
            <w:tcW w:w="6813" w:type="dxa"/>
            <w:gridSpan w:val="16"/>
          </w:tcPr>
          <w:p>
            <w:pPr>
              <w:pStyle w:val="yTableNAm"/>
              <w:rPr>
                <w:sz w:val="18"/>
                <w:szCs w:val="18"/>
              </w:rPr>
            </w:pPr>
          </w:p>
        </w:tc>
      </w:tr>
      <w:tr>
        <w:tc>
          <w:tcPr>
            <w:tcW w:w="587" w:type="dxa"/>
            <w:tcBorders>
              <w:top w:val="single" w:sz="4" w:space="0" w:color="auto"/>
              <w:left w:val="single" w:sz="4" w:space="0" w:color="auto"/>
              <w:bottom w:val="single" w:sz="4" w:space="0" w:color="auto"/>
              <w:right w:val="single" w:sz="4" w:space="0" w:color="auto"/>
            </w:tcBorders>
          </w:tcPr>
          <w:p>
            <w:pPr>
              <w:pStyle w:val="yTableNAm"/>
              <w:rPr>
                <w:sz w:val="18"/>
                <w:szCs w:val="18"/>
              </w:rPr>
            </w:pPr>
            <w:r>
              <w:rPr>
                <w:sz w:val="18"/>
                <w:szCs w:val="18"/>
              </w:rPr>
              <w:t>Male</w:t>
            </w:r>
          </w:p>
        </w:tc>
        <w:tc>
          <w:tcPr>
            <w:tcW w:w="297"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746" w:type="dxa"/>
            <w:tcBorders>
              <w:top w:val="single" w:sz="4" w:space="0" w:color="auto"/>
              <w:left w:val="single" w:sz="4" w:space="0" w:color="auto"/>
              <w:bottom w:val="single" w:sz="4" w:space="0" w:color="auto"/>
              <w:right w:val="single" w:sz="4" w:space="0" w:color="auto"/>
            </w:tcBorders>
          </w:tcPr>
          <w:p>
            <w:pPr>
              <w:pStyle w:val="yTableNAm"/>
              <w:rPr>
                <w:sz w:val="18"/>
                <w:szCs w:val="18"/>
              </w:rPr>
            </w:pPr>
            <w:r>
              <w:rPr>
                <w:sz w:val="18"/>
                <w:szCs w:val="18"/>
              </w:rPr>
              <w:t>Female</w:t>
            </w:r>
          </w:p>
        </w:tc>
        <w:tc>
          <w:tcPr>
            <w:tcW w:w="330"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444" w:type="dxa"/>
            <w:tcBorders>
              <w:left w:val="single" w:sz="4" w:space="0" w:color="auto"/>
              <w:right w:val="single" w:sz="4" w:space="0" w:color="auto"/>
            </w:tcBorders>
          </w:tcPr>
          <w:p>
            <w:pPr>
              <w:pStyle w:val="yTableNAm"/>
              <w:rPr>
                <w:sz w:val="18"/>
                <w:szCs w:val="18"/>
              </w:rPr>
            </w:pPr>
          </w:p>
        </w:tc>
        <w:tc>
          <w:tcPr>
            <w:tcW w:w="847" w:type="dxa"/>
            <w:tcBorders>
              <w:top w:val="single" w:sz="4" w:space="0" w:color="auto"/>
              <w:left w:val="single" w:sz="4" w:space="0" w:color="auto"/>
              <w:bottom w:val="single" w:sz="4" w:space="0" w:color="auto"/>
              <w:right w:val="single" w:sz="4" w:space="0" w:color="auto"/>
            </w:tcBorders>
          </w:tcPr>
          <w:p>
            <w:pPr>
              <w:pStyle w:val="yTableNAm"/>
              <w:rPr>
                <w:sz w:val="18"/>
                <w:szCs w:val="18"/>
              </w:rPr>
            </w:pPr>
            <w:r>
              <w:rPr>
                <w:sz w:val="18"/>
                <w:szCs w:val="18"/>
              </w:rPr>
              <w:t>D.O.B</w:t>
            </w:r>
          </w:p>
        </w:tc>
        <w:tc>
          <w:tcPr>
            <w:tcW w:w="388"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389"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389"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388" w:type="dxa"/>
            <w:tcBorders>
              <w:left w:val="single" w:sz="4" w:space="0" w:color="auto"/>
              <w:right w:val="single" w:sz="4" w:space="0" w:color="auto"/>
            </w:tcBorders>
          </w:tcPr>
          <w:p>
            <w:pPr>
              <w:pStyle w:val="yTableNAm"/>
              <w:rPr>
                <w:sz w:val="18"/>
                <w:szCs w:val="18"/>
              </w:rPr>
            </w:pPr>
          </w:p>
        </w:tc>
        <w:tc>
          <w:tcPr>
            <w:tcW w:w="855" w:type="dxa"/>
            <w:gridSpan w:val="2"/>
            <w:tcBorders>
              <w:top w:val="single" w:sz="4" w:space="0" w:color="auto"/>
              <w:left w:val="single" w:sz="4" w:space="0" w:color="auto"/>
              <w:bottom w:val="single" w:sz="4" w:space="0" w:color="auto"/>
              <w:right w:val="single" w:sz="4" w:space="0" w:color="auto"/>
            </w:tcBorders>
          </w:tcPr>
          <w:p>
            <w:pPr>
              <w:pStyle w:val="yTableNAm"/>
              <w:rPr>
                <w:sz w:val="18"/>
                <w:szCs w:val="18"/>
              </w:rPr>
            </w:pPr>
            <w:r>
              <w:rPr>
                <w:sz w:val="18"/>
                <w:szCs w:val="18"/>
              </w:rPr>
              <w:t>Date of Service</w:t>
            </w:r>
          </w:p>
        </w:tc>
        <w:tc>
          <w:tcPr>
            <w:tcW w:w="384" w:type="dxa"/>
            <w:gridSpan w:val="2"/>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384"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385"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r>
      <w:tr>
        <w:tc>
          <w:tcPr>
            <w:tcW w:w="1960" w:type="dxa"/>
            <w:gridSpan w:val="4"/>
            <w:tcBorders>
              <w:top w:val="single" w:sz="4" w:space="0" w:color="auto"/>
            </w:tcBorders>
          </w:tcPr>
          <w:p>
            <w:pPr>
              <w:pStyle w:val="yTableNAm"/>
              <w:rPr>
                <w:sz w:val="14"/>
                <w:szCs w:val="14"/>
              </w:rPr>
            </w:pPr>
            <w:r>
              <w:rPr>
                <w:sz w:val="14"/>
                <w:szCs w:val="14"/>
              </w:rPr>
              <w:t>(tick relevant box)</w:t>
            </w:r>
          </w:p>
        </w:tc>
        <w:tc>
          <w:tcPr>
            <w:tcW w:w="444" w:type="dxa"/>
          </w:tcPr>
          <w:p>
            <w:pPr>
              <w:pStyle w:val="yTableNAm"/>
              <w:rPr>
                <w:sz w:val="14"/>
                <w:szCs w:val="14"/>
              </w:rPr>
            </w:pPr>
          </w:p>
        </w:tc>
        <w:tc>
          <w:tcPr>
            <w:tcW w:w="847" w:type="dxa"/>
          </w:tcPr>
          <w:p>
            <w:pPr>
              <w:pStyle w:val="yTableNAm"/>
              <w:rPr>
                <w:sz w:val="14"/>
                <w:szCs w:val="14"/>
              </w:rPr>
            </w:pPr>
          </w:p>
        </w:tc>
        <w:tc>
          <w:tcPr>
            <w:tcW w:w="388" w:type="dxa"/>
          </w:tcPr>
          <w:p>
            <w:pPr>
              <w:pStyle w:val="yTableNAm"/>
              <w:rPr>
                <w:sz w:val="14"/>
                <w:szCs w:val="14"/>
              </w:rPr>
            </w:pPr>
            <w:r>
              <w:rPr>
                <w:b/>
                <w:sz w:val="14"/>
                <w:szCs w:val="14"/>
              </w:rPr>
              <w:t>D</w:t>
            </w:r>
          </w:p>
        </w:tc>
        <w:tc>
          <w:tcPr>
            <w:tcW w:w="389" w:type="dxa"/>
          </w:tcPr>
          <w:p>
            <w:pPr>
              <w:pStyle w:val="yTableNAm"/>
              <w:rPr>
                <w:sz w:val="14"/>
                <w:szCs w:val="14"/>
              </w:rPr>
            </w:pPr>
            <w:r>
              <w:rPr>
                <w:b/>
                <w:sz w:val="14"/>
                <w:szCs w:val="14"/>
              </w:rPr>
              <w:t>M</w:t>
            </w:r>
          </w:p>
        </w:tc>
        <w:tc>
          <w:tcPr>
            <w:tcW w:w="389" w:type="dxa"/>
          </w:tcPr>
          <w:p>
            <w:pPr>
              <w:pStyle w:val="yTableNAm"/>
              <w:rPr>
                <w:b/>
                <w:sz w:val="14"/>
                <w:szCs w:val="14"/>
              </w:rPr>
            </w:pPr>
            <w:r>
              <w:rPr>
                <w:b/>
                <w:sz w:val="14"/>
                <w:szCs w:val="14"/>
              </w:rPr>
              <w:t>Y</w:t>
            </w:r>
          </w:p>
        </w:tc>
        <w:tc>
          <w:tcPr>
            <w:tcW w:w="388" w:type="dxa"/>
          </w:tcPr>
          <w:p>
            <w:pPr>
              <w:pStyle w:val="yTableNAm"/>
              <w:rPr>
                <w:sz w:val="14"/>
                <w:szCs w:val="14"/>
              </w:rPr>
            </w:pPr>
          </w:p>
        </w:tc>
        <w:tc>
          <w:tcPr>
            <w:tcW w:w="855" w:type="dxa"/>
            <w:gridSpan w:val="2"/>
          </w:tcPr>
          <w:p>
            <w:pPr>
              <w:pStyle w:val="yTableNAm"/>
              <w:rPr>
                <w:sz w:val="14"/>
                <w:szCs w:val="14"/>
              </w:rPr>
            </w:pPr>
          </w:p>
        </w:tc>
        <w:tc>
          <w:tcPr>
            <w:tcW w:w="384" w:type="dxa"/>
            <w:gridSpan w:val="2"/>
          </w:tcPr>
          <w:p>
            <w:pPr>
              <w:pStyle w:val="yTableNAm"/>
              <w:rPr>
                <w:sz w:val="14"/>
                <w:szCs w:val="14"/>
              </w:rPr>
            </w:pPr>
            <w:r>
              <w:rPr>
                <w:b/>
                <w:sz w:val="14"/>
                <w:szCs w:val="14"/>
              </w:rPr>
              <w:t>D</w:t>
            </w:r>
          </w:p>
        </w:tc>
        <w:tc>
          <w:tcPr>
            <w:tcW w:w="384" w:type="dxa"/>
          </w:tcPr>
          <w:p>
            <w:pPr>
              <w:pStyle w:val="yTableNAm"/>
              <w:rPr>
                <w:sz w:val="14"/>
                <w:szCs w:val="14"/>
              </w:rPr>
            </w:pPr>
            <w:r>
              <w:rPr>
                <w:b/>
                <w:sz w:val="14"/>
                <w:szCs w:val="14"/>
              </w:rPr>
              <w:t>M</w:t>
            </w:r>
          </w:p>
        </w:tc>
        <w:tc>
          <w:tcPr>
            <w:tcW w:w="385" w:type="dxa"/>
          </w:tcPr>
          <w:p>
            <w:pPr>
              <w:pStyle w:val="yTableNAm"/>
              <w:rPr>
                <w:sz w:val="14"/>
                <w:szCs w:val="14"/>
              </w:rPr>
            </w:pPr>
            <w:r>
              <w:rPr>
                <w:b/>
                <w:sz w:val="14"/>
                <w:szCs w:val="14"/>
              </w:rPr>
              <w:t>Y</w:t>
            </w:r>
          </w:p>
        </w:tc>
      </w:tr>
    </w:tbl>
    <w:p>
      <w:pPr>
        <w:pStyle w:val="yMiscellaneousBody"/>
        <w:tabs>
          <w:tab w:val="left" w:pos="426"/>
          <w:tab w:val="left" w:pos="1134"/>
          <w:tab w:val="left" w:pos="4111"/>
        </w:tabs>
        <w:ind w:left="142"/>
        <w:rPr>
          <w:sz w:val="18"/>
          <w:szCs w:val="18"/>
        </w:rPr>
      </w:pPr>
      <w:r>
        <w:rPr>
          <w:sz w:val="18"/>
          <w:szCs w:val="18"/>
        </w:rPr>
        <w:t>1.</w:t>
      </w:r>
      <w:r>
        <w:rPr>
          <w:sz w:val="18"/>
          <w:szCs w:val="18"/>
        </w:rPr>
        <w:tab/>
        <w:t>To:..........................................................................................................................................</w:t>
      </w:r>
    </w:p>
    <w:p>
      <w:pPr>
        <w:pStyle w:val="yMiscellaneousBody"/>
        <w:tabs>
          <w:tab w:val="left" w:pos="426"/>
          <w:tab w:val="left" w:pos="1134"/>
          <w:tab w:val="left" w:pos="3969"/>
        </w:tabs>
        <w:spacing w:before="0"/>
        <w:ind w:left="142"/>
        <w:rPr>
          <w:sz w:val="18"/>
          <w:szCs w:val="18"/>
        </w:rPr>
      </w:pPr>
      <w:r>
        <w:rPr>
          <w:sz w:val="18"/>
          <w:szCs w:val="18"/>
        </w:rPr>
        <w:tab/>
      </w:r>
      <w:r>
        <w:rPr>
          <w:sz w:val="18"/>
          <w:szCs w:val="18"/>
        </w:rPr>
        <w:tab/>
        <w:t>Surname (Block letters)</w:t>
      </w:r>
      <w:r>
        <w:rPr>
          <w:sz w:val="18"/>
          <w:szCs w:val="18"/>
        </w:rPr>
        <w:tab/>
        <w:t>Other names in full</w:t>
      </w:r>
    </w:p>
    <w:p>
      <w:pPr>
        <w:pStyle w:val="yMiscellaneousBody"/>
        <w:tabs>
          <w:tab w:val="left" w:pos="426"/>
          <w:tab w:val="left" w:pos="1134"/>
          <w:tab w:val="left" w:pos="4111"/>
        </w:tabs>
        <w:ind w:left="142"/>
        <w:rPr>
          <w:sz w:val="18"/>
          <w:szCs w:val="18"/>
        </w:rPr>
      </w:pPr>
      <w:r>
        <w:rPr>
          <w:sz w:val="18"/>
          <w:szCs w:val="18"/>
        </w:rPr>
        <w:t>Address:........................................................................................................................................</w:t>
      </w:r>
    </w:p>
    <w:p>
      <w:pPr>
        <w:pStyle w:val="yMiscellaneousBody"/>
        <w:tabs>
          <w:tab w:val="left" w:pos="426"/>
          <w:tab w:val="left" w:pos="1134"/>
          <w:tab w:val="left" w:pos="3969"/>
          <w:tab w:val="left" w:pos="5387"/>
        </w:tabs>
        <w:spacing w:before="0"/>
        <w:ind w:left="142"/>
        <w:rPr>
          <w:sz w:val="18"/>
          <w:szCs w:val="18"/>
        </w:rPr>
      </w:pPr>
      <w:r>
        <w:rPr>
          <w:sz w:val="18"/>
          <w:szCs w:val="18"/>
        </w:rPr>
        <w:tab/>
      </w:r>
      <w:r>
        <w:rPr>
          <w:sz w:val="18"/>
          <w:szCs w:val="18"/>
        </w:rPr>
        <w:tab/>
        <w:t>Number and Street</w:t>
      </w:r>
      <w:r>
        <w:rPr>
          <w:sz w:val="18"/>
          <w:szCs w:val="18"/>
        </w:rPr>
        <w:tab/>
        <w:t>Suburb</w:t>
      </w:r>
      <w:r>
        <w:rPr>
          <w:sz w:val="18"/>
          <w:szCs w:val="18"/>
        </w:rPr>
        <w:tab/>
        <w:t>Postcode</w:t>
      </w:r>
    </w:p>
    <w:p>
      <w:pPr>
        <w:pStyle w:val="yMiscellaneousBody"/>
        <w:tabs>
          <w:tab w:val="left" w:pos="426"/>
          <w:tab w:val="left" w:pos="1134"/>
          <w:tab w:val="left" w:pos="3969"/>
          <w:tab w:val="left" w:pos="5387"/>
        </w:tabs>
        <w:ind w:left="142"/>
        <w:rPr>
          <w:sz w:val="18"/>
          <w:szCs w:val="18"/>
        </w:rPr>
      </w:pPr>
      <w:r>
        <w:rPr>
          <w:sz w:val="18"/>
          <w:szCs w:val="18"/>
        </w:rPr>
        <w:t>2.</w:t>
      </w:r>
      <w:r>
        <w:rPr>
          <w:sz w:val="18"/>
          <w:szCs w:val="18"/>
        </w:rPr>
        <w:tab/>
        <w:t>It is alleged that at ......... hours on the ...... day of ................. 20....., on ...........................</w:t>
      </w:r>
    </w:p>
    <w:p>
      <w:pPr>
        <w:pStyle w:val="yMiscellaneousBody"/>
        <w:tabs>
          <w:tab w:val="left" w:pos="426"/>
          <w:tab w:val="left" w:pos="1843"/>
          <w:tab w:val="left" w:pos="3119"/>
          <w:tab w:val="left" w:pos="3969"/>
          <w:tab w:val="left" w:pos="4962"/>
          <w:tab w:val="left" w:pos="5529"/>
        </w:tabs>
        <w:spacing w:before="0"/>
        <w:ind w:left="142"/>
        <w:rPr>
          <w:sz w:val="14"/>
          <w:szCs w:val="14"/>
        </w:rPr>
      </w:pPr>
      <w:r>
        <w:rPr>
          <w:sz w:val="14"/>
          <w:szCs w:val="14"/>
        </w:rPr>
        <w:tab/>
      </w:r>
      <w:r>
        <w:rPr>
          <w:sz w:val="14"/>
          <w:szCs w:val="14"/>
        </w:rPr>
        <w:tab/>
        <w:t>(time)</w:t>
      </w:r>
      <w:r>
        <w:rPr>
          <w:sz w:val="14"/>
          <w:szCs w:val="14"/>
        </w:rPr>
        <w:tab/>
        <w:t xml:space="preserve">  (date)</w:t>
      </w:r>
      <w:r>
        <w:rPr>
          <w:sz w:val="14"/>
          <w:szCs w:val="14"/>
        </w:rPr>
        <w:tab/>
        <w:t xml:space="preserve"> (month)</w:t>
      </w:r>
      <w:r>
        <w:rPr>
          <w:sz w:val="14"/>
          <w:szCs w:val="14"/>
        </w:rPr>
        <w:tab/>
        <w:t xml:space="preserve"> (year)</w:t>
      </w:r>
      <w:r>
        <w:rPr>
          <w:sz w:val="14"/>
          <w:szCs w:val="14"/>
        </w:rPr>
        <w:tab/>
        <w:t xml:space="preserve">(Name/No of Park/ </w:t>
      </w:r>
    </w:p>
    <w:p>
      <w:pPr>
        <w:pStyle w:val="yMiscellaneousBody"/>
        <w:tabs>
          <w:tab w:val="left" w:pos="426"/>
          <w:tab w:val="left" w:pos="1843"/>
          <w:tab w:val="left" w:pos="3261"/>
          <w:tab w:val="left" w:pos="4111"/>
          <w:tab w:val="left" w:pos="5103"/>
          <w:tab w:val="left" w:pos="5529"/>
        </w:tabs>
        <w:spacing w:before="0"/>
        <w:ind w:left="142"/>
        <w:rPr>
          <w:sz w:val="14"/>
          <w:szCs w:val="14"/>
        </w:rPr>
      </w:pPr>
      <w:r>
        <w:rPr>
          <w:sz w:val="14"/>
          <w:szCs w:val="14"/>
        </w:rPr>
        <w:tab/>
      </w:r>
      <w:r>
        <w:rPr>
          <w:sz w:val="14"/>
          <w:szCs w:val="14"/>
        </w:rPr>
        <w:tab/>
      </w:r>
      <w:r>
        <w:rPr>
          <w:sz w:val="14"/>
          <w:szCs w:val="14"/>
        </w:rPr>
        <w:tab/>
      </w:r>
      <w:r>
        <w:rPr>
          <w:sz w:val="14"/>
          <w:szCs w:val="14"/>
        </w:rPr>
        <w:tab/>
      </w:r>
      <w:r>
        <w:rPr>
          <w:sz w:val="14"/>
          <w:szCs w:val="14"/>
        </w:rPr>
        <w:tab/>
      </w:r>
      <w:r>
        <w:rPr>
          <w:sz w:val="14"/>
          <w:szCs w:val="14"/>
        </w:rPr>
        <w:tab/>
        <w:t>Reserve/Forest Block)</w:t>
      </w:r>
    </w:p>
    <w:p>
      <w:pPr>
        <w:pStyle w:val="yMiscellaneousBody"/>
        <w:tabs>
          <w:tab w:val="left" w:pos="426"/>
          <w:tab w:val="left" w:pos="1134"/>
          <w:tab w:val="left" w:pos="4111"/>
        </w:tabs>
        <w:ind w:left="142"/>
        <w:rPr>
          <w:sz w:val="18"/>
          <w:szCs w:val="18"/>
        </w:rPr>
      </w:pPr>
      <w:r>
        <w:rPr>
          <w:sz w:val="18"/>
          <w:szCs w:val="18"/>
        </w:rPr>
        <w:tab/>
        <w:t>....................... (....................... District), you committed the offence(s) indicated hereunder:</w:t>
      </w:r>
    </w:p>
    <w:p>
      <w:pPr>
        <w:pStyle w:val="yMiscellaneousBody"/>
        <w:tabs>
          <w:tab w:val="left" w:pos="1701"/>
        </w:tabs>
        <w:spacing w:before="0"/>
        <w:ind w:left="142"/>
        <w:rPr>
          <w:sz w:val="14"/>
          <w:szCs w:val="14"/>
        </w:rPr>
      </w:pPr>
      <w:r>
        <w:rPr>
          <w:sz w:val="18"/>
          <w:szCs w:val="18"/>
        </w:rPr>
        <w:tab/>
      </w:r>
      <w:r>
        <w:rPr>
          <w:sz w:val="14"/>
          <w:szCs w:val="14"/>
        </w:rPr>
        <w:t>(insert name of District)</w:t>
      </w:r>
    </w:p>
    <w:tbl>
      <w:tblPr>
        <w:tblStyle w:val="TableGrid"/>
        <w:tblW w:w="0" w:type="auto"/>
        <w:tblInd w:w="250" w:type="dxa"/>
        <w:tblLook w:val="01E0" w:firstRow="1" w:lastRow="1" w:firstColumn="1" w:lastColumn="1" w:noHBand="0" w:noVBand="0"/>
      </w:tblPr>
      <w:tblGrid>
        <w:gridCol w:w="1559"/>
        <w:gridCol w:w="1134"/>
        <w:gridCol w:w="3119"/>
        <w:gridCol w:w="992"/>
      </w:tblGrid>
      <w:tr>
        <w:trPr>
          <w:trHeight w:val="365"/>
        </w:trPr>
        <w:tc>
          <w:tcPr>
            <w:tcW w:w="1559" w:type="dxa"/>
          </w:tcPr>
          <w:p>
            <w:pPr>
              <w:pStyle w:val="yTableNAm"/>
              <w:rPr>
                <w:sz w:val="18"/>
                <w:szCs w:val="18"/>
              </w:rPr>
            </w:pPr>
            <w:r>
              <w:rPr>
                <w:b/>
                <w:sz w:val="18"/>
                <w:szCs w:val="18"/>
              </w:rPr>
              <w:t>Legislation</w:t>
            </w:r>
            <w:r>
              <w:rPr>
                <w:sz w:val="18"/>
                <w:szCs w:val="18"/>
              </w:rPr>
              <w:br/>
              <w:t>(circle selection)</w:t>
            </w:r>
          </w:p>
        </w:tc>
        <w:tc>
          <w:tcPr>
            <w:tcW w:w="1134" w:type="dxa"/>
          </w:tcPr>
          <w:p>
            <w:pPr>
              <w:pStyle w:val="yTableNAm"/>
              <w:rPr>
                <w:b/>
                <w:sz w:val="18"/>
                <w:szCs w:val="18"/>
              </w:rPr>
            </w:pPr>
            <w:r>
              <w:rPr>
                <w:b/>
                <w:sz w:val="18"/>
                <w:szCs w:val="18"/>
              </w:rPr>
              <w:t>Section/</w:t>
            </w:r>
            <w:r>
              <w:rPr>
                <w:b/>
                <w:sz w:val="18"/>
                <w:szCs w:val="18"/>
              </w:rPr>
              <w:br/>
              <w:t>Regulation</w:t>
            </w:r>
          </w:p>
        </w:tc>
        <w:tc>
          <w:tcPr>
            <w:tcW w:w="3119" w:type="dxa"/>
          </w:tcPr>
          <w:p>
            <w:pPr>
              <w:pStyle w:val="yTableNAm"/>
              <w:rPr>
                <w:b/>
                <w:sz w:val="18"/>
                <w:szCs w:val="18"/>
              </w:rPr>
            </w:pPr>
            <w:r>
              <w:rPr>
                <w:b/>
                <w:sz w:val="18"/>
                <w:szCs w:val="18"/>
              </w:rPr>
              <w:t>Description of Offence</w:t>
            </w:r>
          </w:p>
        </w:tc>
        <w:tc>
          <w:tcPr>
            <w:tcW w:w="992" w:type="dxa"/>
          </w:tcPr>
          <w:p>
            <w:pPr>
              <w:pStyle w:val="yTableNAm"/>
              <w:jc w:val="center"/>
              <w:rPr>
                <w:b/>
                <w:sz w:val="18"/>
                <w:szCs w:val="18"/>
              </w:rPr>
            </w:pPr>
            <w:r>
              <w:rPr>
                <w:b/>
                <w:sz w:val="18"/>
                <w:szCs w:val="18"/>
              </w:rPr>
              <w:t>Penalty</w:t>
            </w:r>
            <w:r>
              <w:rPr>
                <w:b/>
                <w:sz w:val="18"/>
                <w:szCs w:val="18"/>
              </w:rPr>
              <w:br/>
              <w:t>$</w:t>
            </w:r>
          </w:p>
        </w:tc>
      </w:tr>
      <w:tr>
        <w:trPr>
          <w:trHeight w:val="365"/>
        </w:trPr>
        <w:tc>
          <w:tcPr>
            <w:tcW w:w="1559" w:type="dxa"/>
          </w:tcPr>
          <w:p>
            <w:pPr>
              <w:pStyle w:val="yTableNAm"/>
              <w:rPr>
                <w:sz w:val="18"/>
                <w:szCs w:val="18"/>
              </w:rPr>
            </w:pPr>
            <w:r>
              <w:rPr>
                <w:sz w:val="18"/>
                <w:szCs w:val="18"/>
              </w:rPr>
              <w:t>CALM Act</w:t>
            </w:r>
          </w:p>
          <w:p>
            <w:pPr>
              <w:pStyle w:val="yTableNAm"/>
              <w:rPr>
                <w:sz w:val="18"/>
                <w:szCs w:val="18"/>
              </w:rPr>
            </w:pPr>
            <w:r>
              <w:rPr>
                <w:sz w:val="18"/>
                <w:szCs w:val="18"/>
              </w:rPr>
              <w:t>CALM Regs</w:t>
            </w:r>
          </w:p>
          <w:p>
            <w:pPr>
              <w:pStyle w:val="yTableNAm"/>
              <w:rPr>
                <w:sz w:val="18"/>
                <w:szCs w:val="18"/>
              </w:rPr>
            </w:pPr>
            <w:smartTag w:uri="urn:schemas-microsoft-com:office:smarttags" w:element="place">
              <w:r>
                <w:rPr>
                  <w:sz w:val="18"/>
                  <w:szCs w:val="18"/>
                </w:rPr>
                <w:t>Forest</w:t>
              </w:r>
            </w:smartTag>
            <w:r>
              <w:rPr>
                <w:sz w:val="18"/>
                <w:szCs w:val="18"/>
              </w:rPr>
              <w:t xml:space="preserve"> Management Regs</w:t>
            </w:r>
          </w:p>
        </w:tc>
        <w:tc>
          <w:tcPr>
            <w:tcW w:w="1134" w:type="dxa"/>
          </w:tcPr>
          <w:p>
            <w:pPr>
              <w:pStyle w:val="yTableNAm"/>
              <w:rPr>
                <w:sz w:val="18"/>
                <w:szCs w:val="18"/>
              </w:rPr>
            </w:pPr>
          </w:p>
        </w:tc>
        <w:tc>
          <w:tcPr>
            <w:tcW w:w="3119" w:type="dxa"/>
          </w:tcPr>
          <w:p>
            <w:pPr>
              <w:pStyle w:val="yTableNAm"/>
              <w:rPr>
                <w:sz w:val="18"/>
                <w:szCs w:val="18"/>
              </w:rPr>
            </w:pPr>
          </w:p>
        </w:tc>
        <w:tc>
          <w:tcPr>
            <w:tcW w:w="992" w:type="dxa"/>
          </w:tcPr>
          <w:p>
            <w:pPr>
              <w:pStyle w:val="yTableNAm"/>
              <w:rPr>
                <w:b/>
                <w:sz w:val="18"/>
                <w:szCs w:val="18"/>
              </w:rPr>
            </w:pPr>
          </w:p>
        </w:tc>
      </w:tr>
    </w:tbl>
    <w:p>
      <w:pPr>
        <w:pStyle w:val="yMiscellaneousBody"/>
        <w:tabs>
          <w:tab w:val="left" w:pos="426"/>
          <w:tab w:val="left" w:pos="3402"/>
        </w:tabs>
        <w:spacing w:before="240"/>
        <w:ind w:left="142"/>
        <w:rPr>
          <w:sz w:val="18"/>
          <w:szCs w:val="18"/>
        </w:rPr>
      </w:pPr>
      <w:r>
        <w:rPr>
          <w:sz w:val="18"/>
          <w:szCs w:val="18"/>
        </w:rPr>
        <w:t>...............................................</w:t>
      </w:r>
      <w:r>
        <w:rPr>
          <w:sz w:val="18"/>
          <w:szCs w:val="18"/>
        </w:rPr>
        <w:tab/>
        <w:t>...............................................</w:t>
      </w:r>
      <w:r>
        <w:rPr>
          <w:sz w:val="18"/>
          <w:szCs w:val="18"/>
        </w:rPr>
        <w:br/>
        <w:t>Signature of Issuing officer</w:t>
      </w:r>
      <w:r>
        <w:rPr>
          <w:sz w:val="18"/>
          <w:szCs w:val="18"/>
        </w:rPr>
        <w:tab/>
        <w:t>Print Name of Issuing officer</w:t>
      </w:r>
    </w:p>
    <w:p>
      <w:pPr>
        <w:pStyle w:val="yMiscellaneousBody"/>
        <w:tabs>
          <w:tab w:val="left" w:pos="426"/>
          <w:tab w:val="left" w:pos="3402"/>
        </w:tabs>
        <w:spacing w:before="240"/>
        <w:ind w:left="567" w:hanging="425"/>
        <w:rPr>
          <w:b/>
          <w:sz w:val="18"/>
          <w:szCs w:val="18"/>
        </w:rPr>
      </w:pPr>
      <w:r>
        <w:rPr>
          <w:b/>
          <w:sz w:val="18"/>
          <w:szCs w:val="18"/>
          <w:u w:val="single"/>
        </w:rPr>
        <w:t>Note</w:t>
      </w:r>
      <w:r>
        <w:rPr>
          <w:b/>
          <w:sz w:val="18"/>
          <w:szCs w:val="18"/>
        </w:rPr>
        <w:t>. At the discretion of the Department of Environment and Conservation</w:t>
      </w:r>
      <w:r>
        <w:rPr>
          <w:b/>
          <w:sz w:val="18"/>
          <w:szCs w:val="18"/>
          <w:vertAlign w:val="superscript"/>
        </w:rPr>
        <w:t> 5</w:t>
      </w:r>
      <w:r>
        <w:rPr>
          <w:b/>
          <w:sz w:val="18"/>
          <w:szCs w:val="18"/>
        </w:rPr>
        <w:t xml:space="preserve"> this infringement notice may be withdrawn and other action taken.</w:t>
      </w:r>
    </w:p>
    <w:p>
      <w:pPr>
        <w:pStyle w:val="yMiscellaneousBody"/>
        <w:keepNext/>
        <w:keepLines/>
        <w:tabs>
          <w:tab w:val="left" w:pos="426"/>
          <w:tab w:val="left" w:pos="3402"/>
        </w:tabs>
        <w:spacing w:before="240"/>
        <w:ind w:left="142"/>
        <w:rPr>
          <w:b/>
          <w:sz w:val="18"/>
          <w:szCs w:val="18"/>
        </w:rPr>
      </w:pPr>
      <w:r>
        <w:rPr>
          <w:b/>
          <w:sz w:val="18"/>
          <w:szCs w:val="18"/>
        </w:rPr>
        <w:t>WHAT YOU MUST DO</w:t>
      </w:r>
    </w:p>
    <w:p>
      <w:pPr>
        <w:pStyle w:val="yMiscellaneousBody"/>
        <w:keepNext/>
        <w:keepLines/>
        <w:tabs>
          <w:tab w:val="left" w:pos="426"/>
        </w:tabs>
        <w:spacing w:before="120"/>
        <w:ind w:left="426" w:hanging="284"/>
        <w:rPr>
          <w:sz w:val="18"/>
          <w:szCs w:val="18"/>
        </w:rPr>
      </w:pPr>
      <w:r>
        <w:rPr>
          <w:sz w:val="18"/>
          <w:szCs w:val="18"/>
        </w:rPr>
        <w:t>1.</w:t>
      </w:r>
      <w:r>
        <w:rPr>
          <w:sz w:val="18"/>
          <w:szCs w:val="18"/>
        </w:rPr>
        <w:tab/>
        <w:t>You may pay the full sum of the modified penalty for the offence specified on this notice within 21 days of the giving of this notice.</w:t>
      </w:r>
    </w:p>
    <w:p>
      <w:pPr>
        <w:pStyle w:val="yMiscellaneousBody"/>
        <w:tabs>
          <w:tab w:val="left" w:pos="426"/>
        </w:tabs>
        <w:spacing w:before="120"/>
        <w:ind w:left="426" w:hanging="284"/>
        <w:rPr>
          <w:sz w:val="18"/>
          <w:szCs w:val="18"/>
        </w:rPr>
      </w:pPr>
      <w:r>
        <w:rPr>
          <w:sz w:val="18"/>
          <w:szCs w:val="18"/>
        </w:rPr>
        <w:t>2.</w:t>
      </w:r>
      <w:r>
        <w:rPr>
          <w:sz w:val="18"/>
          <w:szCs w:val="18"/>
        </w:rPr>
        <w:tab/>
        <w:t>Payment may be made by either posting your copy of this infringement notice along with a cheque, money order or postal note for the sum of the modified penalty shown above to the Chief Executive Officer, Department of Environment and Conservation</w:t>
      </w:r>
      <w:r>
        <w:rPr>
          <w:sz w:val="18"/>
          <w:szCs w:val="18"/>
          <w:vertAlign w:val="superscript"/>
        </w:rPr>
        <w:t> 5</w:t>
      </w:r>
      <w:r>
        <w:rPr>
          <w:sz w:val="18"/>
          <w:szCs w:val="18"/>
        </w:rPr>
        <w:t>, Locked Bag 104, Bentley Delivery Centre WA 6983, or presenting this notice at any office of the Department of Environment and Conservation</w:t>
      </w:r>
      <w:r>
        <w:rPr>
          <w:sz w:val="18"/>
          <w:szCs w:val="18"/>
          <w:vertAlign w:val="superscript"/>
        </w:rPr>
        <w:t> 5</w:t>
      </w:r>
      <w:r>
        <w:rPr>
          <w:sz w:val="18"/>
          <w:szCs w:val="18"/>
        </w:rPr>
        <w:t xml:space="preserve"> and paying the modified penalty indicated on the notice. Part payment of the amount of the penalty will not be accepted.</w:t>
      </w:r>
    </w:p>
    <w:p>
      <w:pPr>
        <w:pStyle w:val="yMiscellaneousBody"/>
        <w:tabs>
          <w:tab w:val="left" w:pos="426"/>
        </w:tabs>
        <w:spacing w:before="120"/>
        <w:ind w:left="426" w:hanging="284"/>
        <w:rPr>
          <w:sz w:val="18"/>
          <w:szCs w:val="18"/>
        </w:rPr>
      </w:pPr>
      <w:r>
        <w:rPr>
          <w:sz w:val="18"/>
          <w:szCs w:val="18"/>
        </w:rPr>
        <w:t>3.</w:t>
      </w:r>
      <w:r>
        <w:rPr>
          <w:sz w:val="18"/>
          <w:szCs w:val="18"/>
        </w:rPr>
        <w:tab/>
        <w:t xml:space="preserve">Alternatively, you may elect to have this matter dealt with before a Court of Summary Jurisdiction by completing the Court Election on the reverse side of the notice and forwarding it to — </w:t>
      </w:r>
    </w:p>
    <w:p>
      <w:pPr>
        <w:pStyle w:val="yMiscellaneousBody"/>
        <w:tabs>
          <w:tab w:val="left" w:pos="426"/>
        </w:tabs>
        <w:spacing w:before="120"/>
        <w:ind w:left="426" w:hanging="284"/>
        <w:rPr>
          <w:sz w:val="18"/>
          <w:szCs w:val="18"/>
        </w:rPr>
      </w:pPr>
      <w:r>
        <w:rPr>
          <w:sz w:val="18"/>
          <w:szCs w:val="18"/>
        </w:rPr>
        <w:tab/>
        <w:t>The Chief Wildlife Officer</w:t>
      </w:r>
    </w:p>
    <w:p>
      <w:pPr>
        <w:pStyle w:val="yMiscellaneousBody"/>
        <w:tabs>
          <w:tab w:val="left" w:pos="426"/>
        </w:tabs>
        <w:spacing w:before="0"/>
        <w:ind w:left="426" w:hanging="284"/>
        <w:rPr>
          <w:sz w:val="18"/>
          <w:szCs w:val="18"/>
        </w:rPr>
      </w:pPr>
      <w:r>
        <w:rPr>
          <w:sz w:val="18"/>
          <w:szCs w:val="18"/>
        </w:rPr>
        <w:tab/>
        <w:t>Nature Protection Branch</w:t>
      </w:r>
    </w:p>
    <w:p>
      <w:pPr>
        <w:pStyle w:val="yMiscellaneousBody"/>
        <w:tabs>
          <w:tab w:val="left" w:pos="426"/>
        </w:tabs>
        <w:spacing w:before="0"/>
        <w:ind w:left="426" w:hanging="284"/>
        <w:rPr>
          <w:sz w:val="18"/>
          <w:szCs w:val="18"/>
          <w:vertAlign w:val="superscript"/>
        </w:rPr>
      </w:pPr>
      <w:r>
        <w:rPr>
          <w:sz w:val="18"/>
          <w:szCs w:val="18"/>
        </w:rPr>
        <w:tab/>
        <w:t>Department of Conservation and Environment</w:t>
      </w:r>
      <w:r>
        <w:rPr>
          <w:sz w:val="18"/>
          <w:szCs w:val="18"/>
          <w:vertAlign w:val="superscript"/>
        </w:rPr>
        <w:t> 5</w:t>
      </w:r>
    </w:p>
    <w:p>
      <w:pPr>
        <w:pStyle w:val="yMiscellaneousBody"/>
        <w:tabs>
          <w:tab w:val="left" w:pos="426"/>
        </w:tabs>
        <w:spacing w:before="0"/>
        <w:ind w:left="426" w:hanging="284"/>
        <w:rPr>
          <w:sz w:val="18"/>
          <w:szCs w:val="18"/>
        </w:rPr>
      </w:pPr>
      <w:r>
        <w:rPr>
          <w:sz w:val="18"/>
          <w:szCs w:val="18"/>
        </w:rPr>
        <w:tab/>
        <w:t>Locked Bag 104</w:t>
      </w:r>
    </w:p>
    <w:p>
      <w:pPr>
        <w:pStyle w:val="yMiscellaneousBody"/>
        <w:tabs>
          <w:tab w:val="left" w:pos="426"/>
        </w:tabs>
        <w:spacing w:before="0"/>
        <w:ind w:left="426" w:hanging="284"/>
        <w:rPr>
          <w:sz w:val="18"/>
          <w:szCs w:val="18"/>
        </w:rPr>
      </w:pPr>
      <w:r>
        <w:rPr>
          <w:sz w:val="18"/>
          <w:szCs w:val="18"/>
        </w:rPr>
        <w:tab/>
        <w:t xml:space="preserve">Bentley Delivery </w:t>
      </w:r>
      <w:smartTag w:uri="urn:schemas-microsoft-com:office:smarttags" w:element="place">
        <w:smartTag w:uri="urn:schemas-microsoft-com:office:smarttags" w:element="City">
          <w:r>
            <w:rPr>
              <w:sz w:val="18"/>
              <w:szCs w:val="18"/>
            </w:rPr>
            <w:t>Centre</w:t>
          </w:r>
        </w:smartTag>
        <w:r>
          <w:rPr>
            <w:sz w:val="18"/>
            <w:szCs w:val="18"/>
          </w:rPr>
          <w:t xml:space="preserve"> </w:t>
        </w:r>
        <w:smartTag w:uri="urn:schemas-microsoft-com:office:smarttags" w:element="State">
          <w:r>
            <w:rPr>
              <w:sz w:val="18"/>
              <w:szCs w:val="18"/>
            </w:rPr>
            <w:t>WA</w:t>
          </w:r>
        </w:smartTag>
      </w:smartTag>
      <w:r>
        <w:rPr>
          <w:sz w:val="18"/>
          <w:szCs w:val="18"/>
        </w:rPr>
        <w:t xml:space="preserve"> 6983</w:t>
      </w:r>
    </w:p>
    <w:p>
      <w:pPr>
        <w:pStyle w:val="yMiscellaneousBody"/>
        <w:spacing w:before="120"/>
        <w:ind w:left="142"/>
        <w:rPr>
          <w:sz w:val="18"/>
          <w:szCs w:val="18"/>
        </w:rPr>
      </w:pPr>
      <w:r>
        <w:rPr>
          <w:sz w:val="18"/>
          <w:szCs w:val="18"/>
        </w:rPr>
        <w:t>If this modified penalty is not paid within 21 days of the date of this notice, court proceedings may be taken against you.</w:t>
      </w:r>
    </w:p>
    <w:p>
      <w:pPr>
        <w:pStyle w:val="yMiscellaneousBody"/>
        <w:spacing w:before="120"/>
        <w:ind w:left="142"/>
        <w:rPr>
          <w:sz w:val="18"/>
          <w:szCs w:val="18"/>
        </w:rPr>
      </w:pPr>
      <w:r>
        <w:rPr>
          <w:sz w:val="18"/>
          <w:szCs w:val="18"/>
        </w:rPr>
        <w:t>Failure to pursue one of the above options within the time specified may incur additional administrative charges and action may be taken to suspend your Motor Drivers Licence until the modified penalty and any additional charges incurred have been paid in full.</w:t>
      </w:r>
    </w:p>
    <w:p>
      <w:pPr>
        <w:pStyle w:val="yMiscellaneousBody"/>
        <w:spacing w:before="120"/>
        <w:ind w:left="142"/>
        <w:rPr>
          <w:sz w:val="18"/>
          <w:szCs w:val="18"/>
        </w:rPr>
      </w:pPr>
      <w:r>
        <w:rPr>
          <w:sz w:val="18"/>
          <w:szCs w:val="18"/>
        </w:rPr>
        <w:t>[</w:t>
      </w:r>
      <w:r>
        <w:rPr>
          <w:i/>
          <w:sz w:val="18"/>
          <w:szCs w:val="18"/>
        </w:rPr>
        <w:t>reverse of notice</w:t>
      </w:r>
      <w:r>
        <w:rPr>
          <w:sz w:val="18"/>
          <w:szCs w:val="18"/>
        </w:rPr>
        <w:t>]</w:t>
      </w:r>
    </w:p>
    <w:p>
      <w:pPr>
        <w:pStyle w:val="yMiscellaneousBody"/>
        <w:spacing w:before="120"/>
        <w:ind w:left="142"/>
        <w:jc w:val="center"/>
        <w:rPr>
          <w:sz w:val="18"/>
          <w:szCs w:val="18"/>
        </w:rPr>
      </w:pPr>
      <w:r>
        <w:rPr>
          <w:sz w:val="18"/>
          <w:szCs w:val="18"/>
        </w:rPr>
        <w:t>I elect to have this matter heard by a Court.</w:t>
      </w:r>
    </w:p>
    <w:p>
      <w:pPr>
        <w:pStyle w:val="yMiscellaneousBody"/>
        <w:spacing w:before="120"/>
        <w:ind w:left="142"/>
        <w:jc w:val="center"/>
        <w:rPr>
          <w:sz w:val="18"/>
          <w:szCs w:val="18"/>
        </w:rPr>
      </w:pPr>
      <w:r>
        <w:rPr>
          <w:sz w:val="18"/>
          <w:szCs w:val="18"/>
        </w:rPr>
        <w:t>Please issue a summons to me.</w:t>
      </w:r>
    </w:p>
    <w:p>
      <w:pPr>
        <w:pStyle w:val="yMiscellaneousBody"/>
        <w:spacing w:before="120"/>
        <w:ind w:left="142"/>
        <w:jc w:val="center"/>
        <w:rPr>
          <w:sz w:val="18"/>
          <w:szCs w:val="18"/>
        </w:rPr>
      </w:pPr>
      <w:r>
        <w:rPr>
          <w:sz w:val="18"/>
          <w:szCs w:val="18"/>
        </w:rPr>
        <w:t>(Please use block letters)</w:t>
      </w:r>
    </w:p>
    <w:p>
      <w:pPr>
        <w:pStyle w:val="yMiscellaneousBody"/>
        <w:spacing w:before="120"/>
        <w:ind w:left="142"/>
        <w:jc w:val="center"/>
        <w:rPr>
          <w:sz w:val="18"/>
          <w:szCs w:val="18"/>
        </w:rPr>
      </w:pPr>
      <w:r>
        <w:rPr>
          <w:sz w:val="18"/>
          <w:szCs w:val="18"/>
        </w:rPr>
        <w:t>Surname/Family Name</w:t>
      </w:r>
      <w:r>
        <w:rPr>
          <w:sz w:val="18"/>
          <w:szCs w:val="18"/>
        </w:rPr>
        <w:tab/>
        <w:t>________________________________________________</w:t>
      </w:r>
    </w:p>
    <w:p>
      <w:pPr>
        <w:pStyle w:val="yMiscellaneousBody"/>
        <w:spacing w:before="120"/>
        <w:ind w:left="142"/>
        <w:jc w:val="center"/>
        <w:rPr>
          <w:sz w:val="18"/>
          <w:szCs w:val="18"/>
        </w:rPr>
      </w:pPr>
      <w:r>
        <w:rPr>
          <w:sz w:val="18"/>
          <w:szCs w:val="18"/>
        </w:rPr>
        <w:t>Given Names</w:t>
      </w:r>
      <w:r>
        <w:rPr>
          <w:sz w:val="18"/>
          <w:szCs w:val="18"/>
        </w:rPr>
        <w:tab/>
      </w:r>
      <w:r>
        <w:rPr>
          <w:sz w:val="18"/>
          <w:szCs w:val="18"/>
        </w:rPr>
        <w:tab/>
        <w:t>________________________________________________</w:t>
      </w:r>
    </w:p>
    <w:p>
      <w:pPr>
        <w:pStyle w:val="yMiscellaneousBody"/>
        <w:spacing w:before="120"/>
        <w:ind w:left="142"/>
        <w:jc w:val="center"/>
        <w:rPr>
          <w:sz w:val="18"/>
          <w:szCs w:val="18"/>
        </w:rPr>
      </w:pPr>
      <w:r>
        <w:rPr>
          <w:sz w:val="18"/>
          <w:szCs w:val="18"/>
        </w:rPr>
        <w:t xml:space="preserve">Address </w:t>
      </w:r>
      <w:r>
        <w:rPr>
          <w:sz w:val="18"/>
          <w:szCs w:val="18"/>
        </w:rPr>
        <w:tab/>
      </w:r>
      <w:r>
        <w:rPr>
          <w:sz w:val="18"/>
          <w:szCs w:val="18"/>
        </w:rPr>
        <w:tab/>
        <w:t>________________________________________________</w:t>
      </w:r>
    </w:p>
    <w:p>
      <w:pPr>
        <w:pStyle w:val="yMiscellaneousBody"/>
        <w:spacing w:before="120"/>
        <w:ind w:left="142"/>
        <w:jc w:val="center"/>
        <w:rPr>
          <w:sz w:val="18"/>
          <w:szCs w:val="18"/>
        </w:rPr>
      </w:pPr>
      <w:r>
        <w:rPr>
          <w:sz w:val="18"/>
          <w:szCs w:val="18"/>
        </w:rPr>
        <w:tab/>
      </w:r>
      <w:r>
        <w:rPr>
          <w:sz w:val="18"/>
          <w:szCs w:val="18"/>
        </w:rPr>
        <w:tab/>
        <w:t>______________________________Postcode __________</w:t>
      </w:r>
    </w:p>
    <w:p>
      <w:pPr>
        <w:pStyle w:val="yMiscellaneousBody"/>
        <w:spacing w:before="120"/>
        <w:ind w:left="142"/>
        <w:jc w:val="center"/>
        <w:rPr>
          <w:sz w:val="18"/>
          <w:szCs w:val="18"/>
        </w:rPr>
      </w:pPr>
      <w:r>
        <w:rPr>
          <w:sz w:val="18"/>
          <w:szCs w:val="18"/>
        </w:rPr>
        <w:t xml:space="preserve">Signature </w:t>
      </w:r>
      <w:r>
        <w:rPr>
          <w:sz w:val="18"/>
          <w:szCs w:val="18"/>
        </w:rPr>
        <w:tab/>
      </w:r>
      <w:r>
        <w:rPr>
          <w:sz w:val="18"/>
          <w:szCs w:val="18"/>
        </w:rPr>
        <w:tab/>
        <w:t>________________________________________________</w:t>
      </w:r>
    </w:p>
    <w:p>
      <w:pPr>
        <w:pStyle w:val="yMiscellaneousBody"/>
        <w:spacing w:before="120"/>
        <w:ind w:left="142"/>
        <w:jc w:val="center"/>
        <w:rPr>
          <w:sz w:val="18"/>
          <w:szCs w:val="18"/>
        </w:rPr>
      </w:pPr>
      <w:r>
        <w:rPr>
          <w:sz w:val="18"/>
          <w:szCs w:val="18"/>
        </w:rPr>
        <w:t xml:space="preserve">Date </w:t>
      </w:r>
      <w:r>
        <w:rPr>
          <w:sz w:val="18"/>
          <w:szCs w:val="18"/>
        </w:rPr>
        <w:tab/>
        <w:t>_____/ _______/ _______</w:t>
      </w:r>
    </w:p>
    <w:p>
      <w:pPr>
        <w:pStyle w:val="yFootnotesection"/>
      </w:pPr>
      <w:r>
        <w:tab/>
        <w:t>[Form 1 inserted in Gazette 7 Dec 2012 p. 5973-4.]</w:t>
      </w:r>
    </w:p>
    <w:p>
      <w:pPr>
        <w:pStyle w:val="yMiscellaneousBody"/>
        <w:pageBreakBefore/>
        <w:jc w:val="center"/>
        <w:outlineLvl w:val="0"/>
      </w:pPr>
      <w:r>
        <w:rPr>
          <w:rStyle w:val="CharSClsNo"/>
          <w:b/>
        </w:rPr>
        <w:t>Form 2</w:t>
      </w:r>
    </w:p>
    <w:p>
      <w:pPr>
        <w:pStyle w:val="yMiscellaneousBody"/>
        <w:jc w:val="right"/>
        <w:rPr>
          <w:snapToGrid w:val="0"/>
        </w:rPr>
      </w:pPr>
      <w:r>
        <w:rPr>
          <w:snapToGrid w:val="0"/>
        </w:rPr>
        <w:t>[r.</w:t>
      </w:r>
      <w:r>
        <w:t xml:space="preserve"> 112(4)</w:t>
      </w:r>
      <w:r>
        <w:rPr>
          <w:snapToGrid w:val="0"/>
        </w:rPr>
        <w:t>]</w:t>
      </w:r>
    </w:p>
    <w:p>
      <w:pPr>
        <w:pStyle w:val="yMiscellaneousBody"/>
        <w:jc w:val="center"/>
        <w:rPr>
          <w:i/>
          <w:snapToGrid w:val="0"/>
        </w:rPr>
      </w:pPr>
      <w:r>
        <w:rPr>
          <w:i/>
          <w:snapToGrid w:val="0"/>
        </w:rPr>
        <w:t>Conservation and Land Management Regulations 2002</w:t>
      </w:r>
    </w:p>
    <w:p>
      <w:pPr>
        <w:pStyle w:val="yMiscellaneousBody"/>
        <w:jc w:val="center"/>
        <w:rPr>
          <w:snapToGrid w:val="0"/>
        </w:rPr>
      </w:pPr>
      <w:r>
        <w:rPr>
          <w:snapToGrid w:val="0"/>
        </w:rPr>
        <w:t>Withdrawal of Infringement Notice</w:t>
      </w:r>
    </w:p>
    <w:p>
      <w:pPr>
        <w:pStyle w:val="yMiscellaneousBody"/>
        <w:jc w:val="center"/>
        <w:rPr>
          <w:i/>
          <w:snapToGrid w:val="0"/>
        </w:rPr>
      </w:pPr>
      <w:r>
        <w:rPr>
          <w:i/>
          <w:snapToGrid w:val="0"/>
        </w:rPr>
        <w:t>Conservation and Land Management Act 1984</w:t>
      </w:r>
    </w:p>
    <w:p>
      <w:pPr>
        <w:pStyle w:val="yMiscellaneousBody"/>
        <w:rPr>
          <w:snapToGrid w:val="0"/>
        </w:rPr>
      </w:pPr>
      <w:r>
        <w:rPr>
          <w:snapToGrid w:val="0"/>
        </w:rPr>
        <w:t>(section 114A(6))                                                           No. ..................................</w:t>
      </w:r>
    </w:p>
    <w:p>
      <w:pPr>
        <w:pStyle w:val="yMiscellaneousBody"/>
        <w:rPr>
          <w:snapToGrid w:val="0"/>
        </w:rPr>
      </w:pPr>
      <w:r>
        <w:rPr>
          <w:snapToGrid w:val="0"/>
        </w:rPr>
        <w:t xml:space="preserve">                                                                                        Date ......./......./.......</w:t>
      </w:r>
    </w:p>
    <w:p>
      <w:pPr>
        <w:pStyle w:val="yMiscellaneousBody"/>
        <w:spacing w:before="0"/>
        <w:rPr>
          <w:snapToGrid w:val="0"/>
        </w:rPr>
      </w:pPr>
      <w:r>
        <w:rPr>
          <w:snapToGrid w:val="0"/>
        </w:rPr>
        <w:t>To ............................................................................................................... (name) of ............................................................................................................................ ................................................................................................................. (address)</w:t>
      </w:r>
    </w:p>
    <w:p>
      <w:pPr>
        <w:pStyle w:val="yMiscellaneousBody"/>
        <w:rPr>
          <w:snapToGrid w:val="0"/>
        </w:rPr>
      </w:pPr>
    </w:p>
    <w:p>
      <w:pPr>
        <w:pStyle w:val="yMiscellaneousBody"/>
        <w:rPr>
          <w:snapToGrid w:val="0"/>
        </w:rPr>
      </w:pPr>
      <w:r>
        <w:rPr>
          <w:snapToGrid w:val="0"/>
        </w:rPr>
        <w:t>1. Infringement Notice No. .......................... Date ......./......./....... for the alleged offence of .............................................................................................................. ......................................................................................................................... and specifying the modified penalty of $........................ is withdrawn.</w:t>
      </w:r>
    </w:p>
    <w:p>
      <w:pPr>
        <w:pStyle w:val="yMiscellaneousBody"/>
        <w:rPr>
          <w:snapToGrid w:val="0"/>
        </w:rPr>
      </w:pPr>
      <w:r>
        <w:rPr>
          <w:snapToGrid w:val="0"/>
        </w:rPr>
        <w:t>2. No further action will be taken against you. *</w:t>
      </w:r>
    </w:p>
    <w:p>
      <w:pPr>
        <w:pStyle w:val="yMiscellaneousBody"/>
        <w:rPr>
          <w:snapToGrid w:val="0"/>
        </w:rPr>
      </w:pPr>
      <w:r>
        <w:rPr>
          <w:snapToGrid w:val="0"/>
        </w:rPr>
        <w:t>OR</w:t>
      </w:r>
    </w:p>
    <w:p>
      <w:pPr>
        <w:pStyle w:val="yMiscellaneousBody"/>
        <w:rPr>
          <w:snapToGrid w:val="0"/>
        </w:rPr>
      </w:pPr>
      <w:r>
        <w:rPr>
          <w:snapToGrid w:val="0"/>
        </w:rPr>
        <w:t>It is proposed to commence court proceedings against you for the alleged offence. *</w:t>
      </w:r>
    </w:p>
    <w:p>
      <w:pPr>
        <w:pStyle w:val="yMiscellaneousBody"/>
        <w:rPr>
          <w:snapToGrid w:val="0"/>
        </w:rPr>
      </w:pPr>
      <w:r>
        <w:rPr>
          <w:snapToGrid w:val="0"/>
        </w:rPr>
        <w:t>(* Delete whichever does not apply.)</w:t>
      </w:r>
    </w:p>
    <w:p>
      <w:pPr>
        <w:pStyle w:val="yMiscellaneousBody"/>
        <w:jc w:val="right"/>
        <w:rPr>
          <w:snapToGrid w:val="0"/>
        </w:rPr>
      </w:pPr>
      <w:r>
        <w:rPr>
          <w:snapToGrid w:val="0"/>
        </w:rPr>
        <w:t>...........................................................</w:t>
      </w:r>
    </w:p>
    <w:p>
      <w:pPr>
        <w:pStyle w:val="yMiscellaneousBody"/>
        <w:spacing w:before="0"/>
        <w:jc w:val="right"/>
        <w:rPr>
          <w:snapToGrid w:val="0"/>
        </w:rPr>
      </w:pPr>
      <w:r>
        <w:t>Chief Executive Officer</w:t>
      </w:r>
      <w:r>
        <w:rPr>
          <w:snapToGrid w:val="0"/>
        </w:rPr>
        <w:t>,</w:t>
      </w:r>
    </w:p>
    <w:p>
      <w:pPr>
        <w:pStyle w:val="yMiscellaneousBody"/>
        <w:spacing w:before="0"/>
        <w:jc w:val="right"/>
        <w:rPr>
          <w:snapToGrid w:val="0"/>
          <w:vertAlign w:val="superscript"/>
        </w:rPr>
      </w:pPr>
      <w:r>
        <w:t>Department of Environment and Conservation</w:t>
      </w:r>
      <w:r>
        <w:rPr>
          <w:vertAlign w:val="superscript"/>
        </w:rPr>
        <w:t> 5</w:t>
      </w:r>
    </w:p>
    <w:p>
      <w:pPr>
        <w:pStyle w:val="yFootnotesection"/>
      </w:pPr>
      <w:r>
        <w:tab/>
        <w:t>[Form 2 amended in Gazette 29 Sep 2006 p. 4333.]</w:t>
      </w:r>
    </w:p>
    <w:p>
      <w:pPr>
        <w:pStyle w:val="yTHeadingNAm"/>
        <w:pageBreakBefore/>
        <w:spacing w:before="0" w:after="0"/>
        <w:outlineLvl w:val="0"/>
      </w:pPr>
      <w:r>
        <w:rPr>
          <w:rStyle w:val="CharSClsNo"/>
        </w:rPr>
        <w:t>Form 3</w:t>
      </w:r>
      <w:r>
        <w:t xml:space="preserve"> — Apiary permit</w:t>
      </w:r>
    </w:p>
    <w:p>
      <w:pPr>
        <w:pStyle w:val="yTableNAm"/>
        <w:spacing w:before="0"/>
        <w:jc w:val="right"/>
        <w:rPr>
          <w:sz w:val="17"/>
          <w:szCs w:val="17"/>
        </w:rPr>
      </w:pPr>
      <w:r>
        <w:rPr>
          <w:sz w:val="17"/>
          <w:szCs w:val="17"/>
        </w:rPr>
        <w:t>Regulation 98D(1)</w:t>
      </w:r>
    </w:p>
    <w:p>
      <w:pPr>
        <w:pStyle w:val="yTableNAm"/>
        <w:jc w:val="center"/>
        <w:rPr>
          <w:i/>
          <w:sz w:val="17"/>
          <w:szCs w:val="17"/>
        </w:rPr>
      </w:pPr>
      <w:r>
        <w:rPr>
          <w:i/>
          <w:sz w:val="17"/>
          <w:szCs w:val="17"/>
        </w:rPr>
        <w:t>CONSERVATION AND LAND MANAGEMENT REGULATIONS 2002</w:t>
      </w:r>
    </w:p>
    <w:p>
      <w:pPr>
        <w:pStyle w:val="yTableNAm"/>
        <w:jc w:val="center"/>
        <w:rPr>
          <w:sz w:val="17"/>
          <w:szCs w:val="17"/>
        </w:rPr>
      </w:pPr>
      <w:r>
        <w:rPr>
          <w:sz w:val="17"/>
          <w:szCs w:val="17"/>
        </w:rPr>
        <w:t>APIARY PERMIT</w:t>
      </w:r>
    </w:p>
    <w:tbl>
      <w:tblPr>
        <w:tblStyle w:val="TableGrid"/>
        <w:tblW w:w="0" w:type="auto"/>
        <w:tblInd w:w="5188" w:type="dxa"/>
        <w:tblCellMar>
          <w:left w:w="28" w:type="dxa"/>
          <w:right w:w="28" w:type="dxa"/>
        </w:tblCellMar>
        <w:tblLook w:val="04A0" w:firstRow="1" w:lastRow="0" w:firstColumn="1" w:lastColumn="0" w:noHBand="0" w:noVBand="1"/>
      </w:tblPr>
      <w:tblGrid>
        <w:gridCol w:w="1888"/>
      </w:tblGrid>
      <w:tr>
        <w:tc>
          <w:tcPr>
            <w:tcW w:w="1888" w:type="dxa"/>
          </w:tcPr>
          <w:p>
            <w:pPr>
              <w:pStyle w:val="yTableNAm"/>
              <w:spacing w:before="60" w:after="40"/>
              <w:rPr>
                <w:sz w:val="17"/>
                <w:szCs w:val="17"/>
              </w:rPr>
            </w:pPr>
            <w:r>
              <w:rPr>
                <w:sz w:val="17"/>
                <w:szCs w:val="17"/>
              </w:rPr>
              <w:t>Permit No. ____________</w:t>
            </w:r>
          </w:p>
        </w:tc>
      </w:tr>
    </w:tbl>
    <w:p>
      <w:pPr>
        <w:rPr>
          <w:sz w:val="12"/>
          <w:szCs w:val="12"/>
        </w:rPr>
      </w:pPr>
    </w:p>
    <w:tbl>
      <w:tblPr>
        <w:tblStyle w:val="TableGrid"/>
        <w:tblW w:w="0" w:type="auto"/>
        <w:tblCellMar>
          <w:left w:w="28" w:type="dxa"/>
          <w:right w:w="28" w:type="dxa"/>
        </w:tblCellMar>
        <w:tblLook w:val="04A0" w:firstRow="1" w:lastRow="0" w:firstColumn="1" w:lastColumn="0" w:noHBand="0" w:noVBand="1"/>
      </w:tblPr>
      <w:tblGrid>
        <w:gridCol w:w="7083"/>
      </w:tblGrid>
      <w:tr>
        <w:tc>
          <w:tcPr>
            <w:tcW w:w="7047" w:type="dxa"/>
          </w:tcPr>
          <w:p>
            <w:pPr>
              <w:pStyle w:val="yTableNAm"/>
              <w:tabs>
                <w:tab w:val="clear" w:pos="567"/>
              </w:tabs>
              <w:spacing w:before="60"/>
              <w:rPr>
                <w:sz w:val="17"/>
                <w:szCs w:val="17"/>
              </w:rPr>
            </w:pPr>
            <w:r>
              <w:rPr>
                <w:sz w:val="17"/>
                <w:szCs w:val="17"/>
              </w:rPr>
              <w:t>I____________________________________________________________ Reg Brand____________</w:t>
            </w:r>
          </w:p>
          <w:p>
            <w:pPr>
              <w:pStyle w:val="yTableNAm"/>
              <w:tabs>
                <w:tab w:val="clear" w:pos="567"/>
              </w:tabs>
              <w:spacing w:before="60" w:after="40"/>
              <w:rPr>
                <w:sz w:val="17"/>
                <w:szCs w:val="17"/>
              </w:rPr>
            </w:pPr>
            <w:r>
              <w:rPr>
                <w:sz w:val="17"/>
                <w:szCs w:val="17"/>
              </w:rPr>
              <w:t>of_________________________________________________________________________________</w:t>
            </w:r>
          </w:p>
        </w:tc>
      </w:tr>
    </w:tbl>
    <w:p>
      <w:pPr>
        <w:pStyle w:val="yTableNAm"/>
        <w:spacing w:before="0"/>
        <w:rPr>
          <w:sz w:val="17"/>
          <w:szCs w:val="17"/>
        </w:rPr>
      </w:pPr>
      <w:r>
        <w:rPr>
          <w:sz w:val="17"/>
          <w:szCs w:val="17"/>
        </w:rPr>
        <w:t xml:space="preserve">is authorised, subject to the </w:t>
      </w:r>
      <w:r>
        <w:rPr>
          <w:i/>
          <w:sz w:val="17"/>
          <w:szCs w:val="17"/>
        </w:rPr>
        <w:t>Conservation and Land Management Regulations 2002</w:t>
      </w:r>
      <w:r>
        <w:rPr>
          <w:sz w:val="17"/>
          <w:szCs w:val="17"/>
        </w:rPr>
        <w:t xml:space="preserve"> —</w:t>
      </w:r>
    </w:p>
    <w:p>
      <w:pPr>
        <w:pStyle w:val="yTableNAm"/>
        <w:spacing w:before="60"/>
        <w:rPr>
          <w:sz w:val="17"/>
          <w:szCs w:val="17"/>
        </w:rPr>
      </w:pPr>
      <w:r>
        <w:rPr>
          <w:sz w:val="17"/>
          <w:szCs w:val="17"/>
        </w:rPr>
        <w:t>a) to occupy the land described below for the purpose of operating an apiary; and</w:t>
      </w:r>
      <w:r>
        <w:rPr>
          <w:sz w:val="17"/>
          <w:szCs w:val="17"/>
        </w:rPr>
        <w:br/>
        <w:t>b) to remove honey, bees-wax and pollen from that land</w:t>
      </w:r>
    </w:p>
    <w:p>
      <w:pPr>
        <w:pStyle w:val="yTableNAm"/>
        <w:spacing w:before="60"/>
        <w:rPr>
          <w:sz w:val="17"/>
          <w:szCs w:val="17"/>
        </w:rPr>
      </w:pPr>
      <w:r>
        <w:rPr>
          <w:sz w:val="17"/>
          <w:szCs w:val="17"/>
        </w:rPr>
        <w:t>In accordance with the terms and conditions and any limitations set out below, and not otherwise.</w:t>
      </w:r>
    </w:p>
    <w:p>
      <w:pPr>
        <w:pStyle w:val="yTableNAm"/>
        <w:spacing w:before="60" w:after="60"/>
        <w:rPr>
          <w:i/>
          <w:sz w:val="17"/>
          <w:szCs w:val="17"/>
        </w:rPr>
      </w:pPr>
      <w:r>
        <w:rPr>
          <w:i/>
          <w:sz w:val="17"/>
          <w:szCs w:val="17"/>
        </w:rPr>
        <w:t>Note: The authority conferred by this permit is of no effect at any time when a term, condition or limitation of the permit is not being complied with.</w:t>
      </w:r>
    </w:p>
    <w:tbl>
      <w:tblPr>
        <w:tblStyle w:val="TableGrid"/>
        <w:tblW w:w="7047" w:type="dxa"/>
        <w:tblLayout w:type="fixed"/>
        <w:tblCellMar>
          <w:left w:w="28" w:type="dxa"/>
          <w:right w:w="28" w:type="dxa"/>
        </w:tblCellMar>
        <w:tblLook w:val="04A0" w:firstRow="1" w:lastRow="0" w:firstColumn="1" w:lastColumn="0" w:noHBand="0" w:noVBand="1"/>
      </w:tblPr>
      <w:tblGrid>
        <w:gridCol w:w="76"/>
        <w:gridCol w:w="2440"/>
        <w:gridCol w:w="90"/>
        <w:gridCol w:w="964"/>
        <w:gridCol w:w="425"/>
        <w:gridCol w:w="142"/>
        <w:gridCol w:w="2834"/>
        <w:gridCol w:w="76"/>
      </w:tblGrid>
      <w:tr>
        <w:tc>
          <w:tcPr>
            <w:tcW w:w="7047" w:type="dxa"/>
            <w:gridSpan w:val="8"/>
            <w:tcBorders>
              <w:top w:val="single" w:sz="4" w:space="0" w:color="auto"/>
              <w:bottom w:val="nil"/>
            </w:tcBorders>
          </w:tcPr>
          <w:p>
            <w:pPr>
              <w:spacing w:before="40" w:after="20"/>
              <w:ind w:left="85"/>
              <w:rPr>
                <w:sz w:val="17"/>
                <w:szCs w:val="17"/>
              </w:rPr>
            </w:pPr>
            <w:r>
              <w:rPr>
                <w:sz w:val="17"/>
                <w:szCs w:val="17"/>
              </w:rPr>
              <w:t>Site that may be occupied</w:t>
            </w:r>
          </w:p>
        </w:tc>
      </w:tr>
      <w:tr>
        <w:tc>
          <w:tcPr>
            <w:tcW w:w="76" w:type="dxa"/>
            <w:tcBorders>
              <w:top w:val="nil"/>
              <w:bottom w:val="nil"/>
            </w:tcBorders>
          </w:tcPr>
          <w:p>
            <w:pPr>
              <w:rPr>
                <w:sz w:val="16"/>
                <w:szCs w:val="16"/>
              </w:rPr>
            </w:pPr>
          </w:p>
        </w:tc>
        <w:tc>
          <w:tcPr>
            <w:tcW w:w="2440" w:type="dxa"/>
            <w:tcBorders>
              <w:top w:val="single" w:sz="4" w:space="0" w:color="auto"/>
              <w:bottom w:val="single" w:sz="4" w:space="0" w:color="auto"/>
              <w:right w:val="nil"/>
            </w:tcBorders>
          </w:tcPr>
          <w:p>
            <w:pPr>
              <w:pStyle w:val="yTableNAm"/>
              <w:spacing w:before="40"/>
              <w:rPr>
                <w:sz w:val="17"/>
                <w:szCs w:val="17"/>
              </w:rPr>
            </w:pPr>
            <w:r>
              <w:rPr>
                <w:sz w:val="17"/>
                <w:szCs w:val="17"/>
              </w:rPr>
              <w:t>DEC REGION/DISTRICT</w:t>
            </w:r>
          </w:p>
          <w:p>
            <w:pPr>
              <w:pStyle w:val="yTableNAm"/>
              <w:spacing w:before="40"/>
              <w:rPr>
                <w:sz w:val="17"/>
                <w:szCs w:val="17"/>
              </w:rPr>
            </w:pPr>
            <w:r>
              <w:rPr>
                <w:sz w:val="17"/>
                <w:szCs w:val="17"/>
              </w:rPr>
              <w:t>_________________________</w:t>
            </w:r>
          </w:p>
          <w:p>
            <w:pPr>
              <w:pStyle w:val="yTableNAm"/>
              <w:spacing w:before="40"/>
              <w:rPr>
                <w:sz w:val="17"/>
                <w:szCs w:val="17"/>
              </w:rPr>
            </w:pPr>
            <w:r>
              <w:rPr>
                <w:sz w:val="17"/>
                <w:szCs w:val="17"/>
              </w:rPr>
              <w:t>Forest Block</w:t>
            </w:r>
          </w:p>
          <w:p>
            <w:pPr>
              <w:pStyle w:val="yTableNAm"/>
              <w:spacing w:before="40"/>
              <w:rPr>
                <w:sz w:val="17"/>
                <w:szCs w:val="17"/>
              </w:rPr>
            </w:pPr>
            <w:r>
              <w:rPr>
                <w:sz w:val="17"/>
                <w:szCs w:val="17"/>
              </w:rPr>
              <w:t>_________________________</w:t>
            </w:r>
          </w:p>
          <w:p>
            <w:pPr>
              <w:pStyle w:val="yTableNAm"/>
              <w:spacing w:before="40"/>
              <w:rPr>
                <w:sz w:val="17"/>
                <w:szCs w:val="17"/>
              </w:rPr>
            </w:pPr>
            <w:r>
              <w:rPr>
                <w:sz w:val="17"/>
                <w:szCs w:val="17"/>
              </w:rPr>
              <w:t>DEC Apiary Zone</w:t>
            </w:r>
          </w:p>
          <w:p>
            <w:pPr>
              <w:pStyle w:val="yTableNAm"/>
              <w:spacing w:before="40"/>
              <w:rPr>
                <w:sz w:val="17"/>
                <w:szCs w:val="17"/>
              </w:rPr>
            </w:pPr>
            <w:r>
              <w:rPr>
                <w:sz w:val="17"/>
                <w:szCs w:val="17"/>
              </w:rPr>
              <w:t>_________________________</w:t>
            </w:r>
          </w:p>
        </w:tc>
        <w:tc>
          <w:tcPr>
            <w:tcW w:w="1479" w:type="dxa"/>
            <w:gridSpan w:val="3"/>
            <w:tcBorders>
              <w:top w:val="single" w:sz="4" w:space="0" w:color="auto"/>
              <w:left w:val="nil"/>
              <w:bottom w:val="single" w:sz="4" w:space="0" w:color="auto"/>
              <w:right w:val="nil"/>
            </w:tcBorders>
          </w:tcPr>
          <w:p>
            <w:pPr>
              <w:pStyle w:val="yTableNAm"/>
              <w:spacing w:before="40"/>
              <w:rPr>
                <w:sz w:val="17"/>
                <w:szCs w:val="17"/>
              </w:rPr>
            </w:pPr>
            <w:r>
              <w:rPr>
                <w:sz w:val="17"/>
                <w:szCs w:val="17"/>
              </w:rPr>
              <w:t>DEC Plan &amp; Ref</w:t>
            </w:r>
          </w:p>
          <w:p>
            <w:pPr>
              <w:spacing w:before="40"/>
              <w:rPr>
                <w:sz w:val="17"/>
                <w:szCs w:val="17"/>
              </w:rPr>
            </w:pPr>
            <w:r>
              <w:rPr>
                <w:sz w:val="17"/>
                <w:szCs w:val="17"/>
              </w:rPr>
              <w:t>________________</w:t>
            </w:r>
          </w:p>
          <w:p>
            <w:pPr>
              <w:spacing w:before="40"/>
              <w:rPr>
                <w:sz w:val="17"/>
                <w:szCs w:val="17"/>
              </w:rPr>
            </w:pPr>
            <w:r>
              <w:rPr>
                <w:sz w:val="17"/>
                <w:szCs w:val="17"/>
              </w:rPr>
              <w:t>or COG Map Ref</w:t>
            </w:r>
          </w:p>
          <w:p>
            <w:pPr>
              <w:spacing w:before="40"/>
              <w:rPr>
                <w:sz w:val="17"/>
                <w:szCs w:val="17"/>
              </w:rPr>
            </w:pPr>
            <w:r>
              <w:rPr>
                <w:sz w:val="17"/>
                <w:szCs w:val="17"/>
              </w:rPr>
              <w:t>________________</w:t>
            </w:r>
          </w:p>
          <w:p>
            <w:pPr>
              <w:spacing w:before="40"/>
              <w:rPr>
                <w:sz w:val="17"/>
                <w:szCs w:val="17"/>
              </w:rPr>
            </w:pPr>
            <w:r>
              <w:rPr>
                <w:sz w:val="17"/>
                <w:szCs w:val="17"/>
              </w:rPr>
              <w:t>Nearest Road/Track</w:t>
            </w:r>
          </w:p>
          <w:p>
            <w:pPr>
              <w:spacing w:before="40" w:after="40"/>
              <w:rPr>
                <w:sz w:val="17"/>
                <w:szCs w:val="17"/>
              </w:rPr>
            </w:pPr>
            <w:r>
              <w:rPr>
                <w:sz w:val="17"/>
                <w:szCs w:val="17"/>
              </w:rPr>
              <w:t>________________</w:t>
            </w:r>
          </w:p>
        </w:tc>
        <w:tc>
          <w:tcPr>
            <w:tcW w:w="2976" w:type="dxa"/>
            <w:gridSpan w:val="2"/>
            <w:tcBorders>
              <w:top w:val="single" w:sz="4" w:space="0" w:color="auto"/>
              <w:left w:val="nil"/>
              <w:bottom w:val="single" w:sz="4" w:space="0" w:color="auto"/>
            </w:tcBorders>
          </w:tcPr>
          <w:p>
            <w:pPr>
              <w:pStyle w:val="yTableNAm"/>
              <w:spacing w:before="40"/>
              <w:jc w:val="center"/>
              <w:rPr>
                <w:sz w:val="17"/>
                <w:szCs w:val="17"/>
              </w:rPr>
            </w:pPr>
            <w:r>
              <w:rPr>
                <w:sz w:val="17"/>
                <w:szCs w:val="17"/>
              </w:rPr>
              <w:t>Land Tenure</w:t>
            </w:r>
          </w:p>
          <w:p>
            <w:pPr>
              <w:pStyle w:val="yTableNAm"/>
              <w:spacing w:before="40"/>
              <w:rPr>
                <w:sz w:val="17"/>
                <w:szCs w:val="17"/>
              </w:rPr>
            </w:pPr>
          </w:p>
          <w:p>
            <w:pPr>
              <w:pStyle w:val="yTableNAm"/>
              <w:spacing w:before="40"/>
              <w:ind w:right="57"/>
              <w:jc w:val="right"/>
              <w:rPr>
                <w:sz w:val="17"/>
                <w:szCs w:val="17"/>
              </w:rPr>
            </w:pPr>
            <w:r>
              <w:rPr>
                <w:sz w:val="17"/>
                <w:szCs w:val="17"/>
              </w:rPr>
              <w:t>________________________________</w:t>
            </w:r>
          </w:p>
          <w:p>
            <w:pPr>
              <w:pStyle w:val="yTableNAm"/>
              <w:spacing w:before="80"/>
              <w:ind w:right="57"/>
              <w:jc w:val="right"/>
              <w:rPr>
                <w:sz w:val="17"/>
                <w:szCs w:val="17"/>
              </w:rPr>
            </w:pPr>
            <w:r>
              <w:rPr>
                <w:sz w:val="17"/>
                <w:szCs w:val="17"/>
              </w:rPr>
              <w:t>GPS Reading — Map Location</w:t>
            </w:r>
            <w:r>
              <w:rPr>
                <w:sz w:val="17"/>
                <w:szCs w:val="17"/>
              </w:rPr>
              <w:br/>
              <w:t>Longitude__________________</w:t>
            </w:r>
            <w:r>
              <w:rPr>
                <w:sz w:val="17"/>
                <w:szCs w:val="17"/>
              </w:rPr>
              <w:br/>
              <w:t>Latitude__________________</w:t>
            </w:r>
          </w:p>
        </w:tc>
        <w:tc>
          <w:tcPr>
            <w:tcW w:w="76" w:type="dxa"/>
            <w:tcBorders>
              <w:top w:val="nil"/>
              <w:bottom w:val="nil"/>
            </w:tcBorders>
          </w:tcPr>
          <w:p>
            <w:pPr>
              <w:ind w:left="-170" w:right="-311"/>
              <w:rPr>
                <w:sz w:val="17"/>
                <w:szCs w:val="17"/>
              </w:rPr>
            </w:pPr>
          </w:p>
          <w:p>
            <w:pPr>
              <w:rPr>
                <w:sz w:val="17"/>
                <w:szCs w:val="17"/>
              </w:rPr>
            </w:pPr>
          </w:p>
          <w:p>
            <w:pPr>
              <w:rPr>
                <w:sz w:val="17"/>
                <w:szCs w:val="17"/>
              </w:rPr>
            </w:pPr>
          </w:p>
        </w:tc>
      </w:tr>
      <w:tr>
        <w:tc>
          <w:tcPr>
            <w:tcW w:w="76" w:type="dxa"/>
            <w:tcBorders>
              <w:top w:val="nil"/>
              <w:bottom w:val="nil"/>
              <w:right w:val="nil"/>
            </w:tcBorders>
          </w:tcPr>
          <w:p>
            <w:pPr>
              <w:rPr>
                <w:sz w:val="16"/>
                <w:szCs w:val="16"/>
              </w:rPr>
            </w:pPr>
          </w:p>
        </w:tc>
        <w:tc>
          <w:tcPr>
            <w:tcW w:w="2440" w:type="dxa"/>
            <w:tcBorders>
              <w:top w:val="single" w:sz="4" w:space="0" w:color="auto"/>
              <w:left w:val="nil"/>
              <w:bottom w:val="single" w:sz="4" w:space="0" w:color="auto"/>
              <w:right w:val="nil"/>
            </w:tcBorders>
          </w:tcPr>
          <w:p>
            <w:pPr>
              <w:rPr>
                <w:sz w:val="17"/>
                <w:szCs w:val="17"/>
              </w:rPr>
            </w:pPr>
            <w:r>
              <w:rPr>
                <w:sz w:val="17"/>
                <w:szCs w:val="17"/>
              </w:rPr>
              <w:t>Conditions to be followed</w:t>
            </w:r>
          </w:p>
        </w:tc>
        <w:tc>
          <w:tcPr>
            <w:tcW w:w="1479" w:type="dxa"/>
            <w:gridSpan w:val="3"/>
            <w:tcBorders>
              <w:top w:val="single" w:sz="4" w:space="0" w:color="auto"/>
              <w:left w:val="nil"/>
              <w:bottom w:val="single" w:sz="4" w:space="0" w:color="auto"/>
              <w:right w:val="nil"/>
            </w:tcBorders>
          </w:tcPr>
          <w:p>
            <w:pPr>
              <w:rPr>
                <w:sz w:val="17"/>
                <w:szCs w:val="17"/>
              </w:rPr>
            </w:pPr>
          </w:p>
        </w:tc>
        <w:tc>
          <w:tcPr>
            <w:tcW w:w="142" w:type="dxa"/>
            <w:tcBorders>
              <w:top w:val="single" w:sz="4" w:space="0" w:color="auto"/>
              <w:left w:val="nil"/>
              <w:bottom w:val="nil"/>
              <w:right w:val="nil"/>
            </w:tcBorders>
          </w:tcPr>
          <w:p>
            <w:pPr>
              <w:rPr>
                <w:sz w:val="17"/>
                <w:szCs w:val="17"/>
              </w:rPr>
            </w:pPr>
          </w:p>
        </w:tc>
        <w:tc>
          <w:tcPr>
            <w:tcW w:w="2834" w:type="dxa"/>
            <w:tcBorders>
              <w:top w:val="single" w:sz="4" w:space="0" w:color="auto"/>
              <w:left w:val="nil"/>
              <w:bottom w:val="single" w:sz="4" w:space="0" w:color="auto"/>
              <w:right w:val="nil"/>
            </w:tcBorders>
          </w:tcPr>
          <w:p>
            <w:pPr>
              <w:rPr>
                <w:sz w:val="17"/>
                <w:szCs w:val="17"/>
              </w:rPr>
            </w:pPr>
            <w:r>
              <w:rPr>
                <w:sz w:val="17"/>
                <w:szCs w:val="17"/>
              </w:rPr>
              <w:t>Authority to Issue Permit</w:t>
            </w:r>
          </w:p>
        </w:tc>
        <w:tc>
          <w:tcPr>
            <w:tcW w:w="76" w:type="dxa"/>
            <w:tcBorders>
              <w:top w:val="nil"/>
              <w:left w:val="nil"/>
              <w:bottom w:val="nil"/>
            </w:tcBorders>
          </w:tcPr>
          <w:p>
            <w:pPr>
              <w:ind w:left="-170" w:right="-311"/>
              <w:rPr>
                <w:sz w:val="17"/>
                <w:szCs w:val="17"/>
              </w:rPr>
            </w:pPr>
          </w:p>
        </w:tc>
      </w:tr>
      <w:tr>
        <w:trPr>
          <w:trHeight w:val="428"/>
        </w:trPr>
        <w:tc>
          <w:tcPr>
            <w:tcW w:w="76" w:type="dxa"/>
            <w:vMerge w:val="restart"/>
            <w:tcBorders>
              <w:top w:val="nil"/>
              <w:bottom w:val="nil"/>
            </w:tcBorders>
          </w:tcPr>
          <w:p>
            <w:pPr>
              <w:rPr>
                <w:sz w:val="16"/>
                <w:szCs w:val="16"/>
              </w:rPr>
            </w:pPr>
          </w:p>
        </w:tc>
        <w:tc>
          <w:tcPr>
            <w:tcW w:w="2440" w:type="dxa"/>
            <w:vMerge w:val="restart"/>
            <w:tcBorders>
              <w:top w:val="single" w:sz="4" w:space="0" w:color="auto"/>
              <w:right w:val="nil"/>
            </w:tcBorders>
          </w:tcPr>
          <w:p>
            <w:pPr>
              <w:spacing w:before="60"/>
              <w:rPr>
                <w:sz w:val="17"/>
                <w:szCs w:val="17"/>
              </w:rPr>
            </w:pPr>
            <w:r>
              <w:rPr>
                <w:sz w:val="17"/>
                <w:szCs w:val="17"/>
              </w:rPr>
              <w:t>DRA Permit</w:t>
            </w:r>
          </w:p>
          <w:p>
            <w:pPr>
              <w:spacing w:before="60"/>
              <w:ind w:left="256" w:hanging="256"/>
              <w:rPr>
                <w:sz w:val="17"/>
                <w:szCs w:val="17"/>
              </w:rPr>
            </w:pPr>
            <w:r>
              <w:rPr>
                <w:sz w:val="17"/>
                <w:szCs w:val="17"/>
              </w:rPr>
              <w:t>Water Catchment</w:t>
            </w:r>
            <w:r>
              <w:rPr>
                <w:sz w:val="17"/>
                <w:szCs w:val="17"/>
              </w:rPr>
              <w:br/>
              <w:t>Catchment Area</w:t>
            </w:r>
          </w:p>
          <w:p>
            <w:pPr>
              <w:spacing w:before="60"/>
              <w:rPr>
                <w:sz w:val="17"/>
                <w:szCs w:val="17"/>
              </w:rPr>
            </w:pPr>
            <w:r>
              <w:rPr>
                <w:sz w:val="17"/>
                <w:szCs w:val="17"/>
              </w:rPr>
              <w:t>Pastoral Lease</w:t>
            </w:r>
          </w:p>
          <w:p>
            <w:pPr>
              <w:spacing w:before="60"/>
              <w:rPr>
                <w:sz w:val="17"/>
                <w:szCs w:val="17"/>
              </w:rPr>
            </w:pPr>
            <w:r>
              <w:rPr>
                <w:sz w:val="17"/>
                <w:szCs w:val="17"/>
              </w:rPr>
              <w:t>Special Conditions</w:t>
            </w:r>
          </w:p>
          <w:p>
            <w:pPr>
              <w:spacing w:before="60"/>
              <w:rPr>
                <w:sz w:val="17"/>
                <w:szCs w:val="17"/>
              </w:rPr>
            </w:pPr>
            <w:r>
              <w:rPr>
                <w:sz w:val="17"/>
                <w:szCs w:val="17"/>
              </w:rPr>
              <w:t>Standard Apiary Site Conditions</w:t>
            </w:r>
          </w:p>
        </w:tc>
        <w:tc>
          <w:tcPr>
            <w:tcW w:w="1479" w:type="dxa"/>
            <w:gridSpan w:val="3"/>
            <w:vMerge w:val="restart"/>
            <w:tcBorders>
              <w:top w:val="single" w:sz="4" w:space="0" w:color="auto"/>
              <w:left w:val="nil"/>
            </w:tcBorders>
          </w:tcPr>
          <w:p>
            <w:pPr>
              <w:spacing w:before="60"/>
              <w:rPr>
                <w:sz w:val="17"/>
                <w:szCs w:val="17"/>
              </w:rPr>
            </w:pPr>
            <w:r>
              <w:rPr>
                <w:sz w:val="17"/>
                <w:szCs w:val="17"/>
              </w:rPr>
              <w:t>________________</w:t>
            </w:r>
          </w:p>
          <w:p>
            <w:pPr>
              <w:spacing w:before="60"/>
              <w:rPr>
                <w:sz w:val="17"/>
                <w:szCs w:val="17"/>
              </w:rPr>
            </w:pPr>
            <w:r>
              <w:rPr>
                <w:sz w:val="17"/>
                <w:szCs w:val="17"/>
              </w:rPr>
              <w:t>________________</w:t>
            </w:r>
          </w:p>
          <w:p>
            <w:pPr>
              <w:rPr>
                <w:sz w:val="17"/>
                <w:szCs w:val="17"/>
              </w:rPr>
            </w:pPr>
            <w:r>
              <w:rPr>
                <w:sz w:val="17"/>
                <w:szCs w:val="17"/>
              </w:rPr>
              <w:t>________________</w:t>
            </w:r>
          </w:p>
          <w:p>
            <w:pPr>
              <w:spacing w:before="60"/>
              <w:rPr>
                <w:sz w:val="17"/>
                <w:szCs w:val="17"/>
              </w:rPr>
            </w:pPr>
            <w:r>
              <w:rPr>
                <w:sz w:val="17"/>
                <w:szCs w:val="17"/>
              </w:rPr>
              <w:t>________________</w:t>
            </w:r>
          </w:p>
          <w:p>
            <w:pPr>
              <w:spacing w:before="60"/>
              <w:rPr>
                <w:sz w:val="17"/>
                <w:szCs w:val="17"/>
              </w:rPr>
            </w:pPr>
            <w:r>
              <w:rPr>
                <w:sz w:val="17"/>
                <w:szCs w:val="17"/>
              </w:rPr>
              <w:t>________________</w:t>
            </w:r>
          </w:p>
          <w:p>
            <w:pPr>
              <w:spacing w:before="60"/>
              <w:rPr>
                <w:sz w:val="17"/>
                <w:szCs w:val="17"/>
              </w:rPr>
            </w:pPr>
            <w:r>
              <w:rPr>
                <w:sz w:val="17"/>
                <w:szCs w:val="17"/>
              </w:rPr>
              <w:t>________________</w:t>
            </w:r>
          </w:p>
        </w:tc>
        <w:tc>
          <w:tcPr>
            <w:tcW w:w="142" w:type="dxa"/>
            <w:tcBorders>
              <w:top w:val="nil"/>
              <w:bottom w:val="nil"/>
            </w:tcBorders>
          </w:tcPr>
          <w:p>
            <w:pPr>
              <w:rPr>
                <w:sz w:val="17"/>
                <w:szCs w:val="17"/>
              </w:rPr>
            </w:pPr>
          </w:p>
        </w:tc>
        <w:tc>
          <w:tcPr>
            <w:tcW w:w="2834" w:type="dxa"/>
            <w:tcBorders>
              <w:top w:val="single" w:sz="4" w:space="0" w:color="auto"/>
              <w:bottom w:val="single" w:sz="4" w:space="0" w:color="auto"/>
            </w:tcBorders>
          </w:tcPr>
          <w:p>
            <w:pPr>
              <w:tabs>
                <w:tab w:val="left" w:pos="2240"/>
              </w:tabs>
              <w:spacing w:before="60"/>
              <w:rPr>
                <w:sz w:val="17"/>
                <w:szCs w:val="17"/>
              </w:rPr>
            </w:pPr>
            <w:r>
              <w:rPr>
                <w:sz w:val="17"/>
                <w:szCs w:val="17"/>
              </w:rPr>
              <w:t xml:space="preserve">Apiary Batch Number </w:t>
            </w:r>
            <w:r>
              <w:rPr>
                <w:sz w:val="17"/>
                <w:szCs w:val="17"/>
              </w:rPr>
              <w:tab/>
              <w:t>______</w:t>
            </w:r>
          </w:p>
          <w:p>
            <w:pPr>
              <w:tabs>
                <w:tab w:val="left" w:pos="2240"/>
              </w:tabs>
              <w:spacing w:before="60"/>
              <w:rPr>
                <w:sz w:val="17"/>
                <w:szCs w:val="17"/>
              </w:rPr>
            </w:pPr>
            <w:r>
              <w:rPr>
                <w:sz w:val="17"/>
                <w:szCs w:val="17"/>
              </w:rPr>
              <w:t>Conservation Commission</w:t>
            </w:r>
            <w:r>
              <w:rPr>
                <w:sz w:val="17"/>
                <w:szCs w:val="17"/>
              </w:rPr>
              <w:tab/>
              <w:t>______</w:t>
            </w:r>
          </w:p>
          <w:p>
            <w:pPr>
              <w:tabs>
                <w:tab w:val="left" w:pos="2240"/>
              </w:tabs>
              <w:spacing w:before="60" w:after="60"/>
              <w:rPr>
                <w:sz w:val="17"/>
                <w:szCs w:val="17"/>
              </w:rPr>
            </w:pPr>
            <w:r>
              <w:rPr>
                <w:sz w:val="17"/>
                <w:szCs w:val="17"/>
              </w:rPr>
              <w:t xml:space="preserve">Minister for the Environment </w:t>
            </w:r>
            <w:r>
              <w:rPr>
                <w:sz w:val="17"/>
                <w:szCs w:val="17"/>
              </w:rPr>
              <w:br/>
              <w:t>or his Delegate’s Approval</w:t>
            </w:r>
            <w:r>
              <w:rPr>
                <w:sz w:val="17"/>
                <w:szCs w:val="17"/>
              </w:rPr>
              <w:tab/>
              <w:t>______</w:t>
            </w:r>
          </w:p>
        </w:tc>
        <w:tc>
          <w:tcPr>
            <w:tcW w:w="76" w:type="dxa"/>
            <w:tcBorders>
              <w:top w:val="nil"/>
              <w:bottom w:val="nil"/>
            </w:tcBorders>
          </w:tcPr>
          <w:p>
            <w:pPr>
              <w:ind w:left="-170" w:right="-311"/>
              <w:rPr>
                <w:sz w:val="17"/>
                <w:szCs w:val="17"/>
              </w:rPr>
            </w:pPr>
          </w:p>
        </w:tc>
      </w:tr>
      <w:tr>
        <w:tc>
          <w:tcPr>
            <w:tcW w:w="76" w:type="dxa"/>
            <w:vMerge/>
            <w:tcBorders>
              <w:top w:val="nil"/>
              <w:bottom w:val="nil"/>
            </w:tcBorders>
          </w:tcPr>
          <w:p>
            <w:pPr>
              <w:rPr>
                <w:sz w:val="16"/>
                <w:szCs w:val="16"/>
              </w:rPr>
            </w:pPr>
          </w:p>
        </w:tc>
        <w:tc>
          <w:tcPr>
            <w:tcW w:w="2440" w:type="dxa"/>
            <w:vMerge/>
            <w:tcBorders>
              <w:right w:val="nil"/>
            </w:tcBorders>
          </w:tcPr>
          <w:p>
            <w:pPr>
              <w:rPr>
                <w:sz w:val="17"/>
                <w:szCs w:val="17"/>
              </w:rPr>
            </w:pPr>
          </w:p>
        </w:tc>
        <w:tc>
          <w:tcPr>
            <w:tcW w:w="1479" w:type="dxa"/>
            <w:gridSpan w:val="3"/>
            <w:vMerge/>
            <w:tcBorders>
              <w:left w:val="nil"/>
            </w:tcBorders>
          </w:tcPr>
          <w:p>
            <w:pPr>
              <w:rPr>
                <w:sz w:val="17"/>
                <w:szCs w:val="17"/>
              </w:rPr>
            </w:pPr>
          </w:p>
        </w:tc>
        <w:tc>
          <w:tcPr>
            <w:tcW w:w="142" w:type="dxa"/>
            <w:tcBorders>
              <w:top w:val="nil"/>
              <w:bottom w:val="nil"/>
              <w:right w:val="nil"/>
            </w:tcBorders>
          </w:tcPr>
          <w:p>
            <w:pPr>
              <w:rPr>
                <w:sz w:val="17"/>
                <w:szCs w:val="17"/>
              </w:rPr>
            </w:pPr>
          </w:p>
        </w:tc>
        <w:tc>
          <w:tcPr>
            <w:tcW w:w="2834" w:type="dxa"/>
            <w:tcBorders>
              <w:left w:val="nil"/>
              <w:right w:val="nil"/>
            </w:tcBorders>
          </w:tcPr>
          <w:p>
            <w:pPr>
              <w:rPr>
                <w:sz w:val="17"/>
                <w:szCs w:val="17"/>
              </w:rPr>
            </w:pPr>
            <w:r>
              <w:rPr>
                <w:sz w:val="17"/>
                <w:szCs w:val="17"/>
              </w:rPr>
              <w:t>Rental</w:t>
            </w:r>
          </w:p>
        </w:tc>
        <w:tc>
          <w:tcPr>
            <w:tcW w:w="76" w:type="dxa"/>
            <w:tcBorders>
              <w:top w:val="nil"/>
              <w:left w:val="nil"/>
              <w:bottom w:val="nil"/>
            </w:tcBorders>
          </w:tcPr>
          <w:p>
            <w:pPr>
              <w:ind w:left="-170" w:right="-311"/>
              <w:rPr>
                <w:sz w:val="17"/>
                <w:szCs w:val="17"/>
              </w:rPr>
            </w:pPr>
          </w:p>
        </w:tc>
      </w:tr>
      <w:tr>
        <w:tc>
          <w:tcPr>
            <w:tcW w:w="76" w:type="dxa"/>
            <w:vMerge/>
            <w:tcBorders>
              <w:top w:val="nil"/>
              <w:bottom w:val="nil"/>
            </w:tcBorders>
          </w:tcPr>
          <w:p>
            <w:pPr>
              <w:rPr>
                <w:sz w:val="16"/>
                <w:szCs w:val="16"/>
              </w:rPr>
            </w:pPr>
          </w:p>
        </w:tc>
        <w:tc>
          <w:tcPr>
            <w:tcW w:w="2440" w:type="dxa"/>
            <w:vMerge/>
            <w:tcBorders>
              <w:bottom w:val="single" w:sz="4" w:space="0" w:color="auto"/>
              <w:right w:val="nil"/>
            </w:tcBorders>
          </w:tcPr>
          <w:p>
            <w:pPr>
              <w:rPr>
                <w:sz w:val="17"/>
                <w:szCs w:val="17"/>
              </w:rPr>
            </w:pPr>
          </w:p>
        </w:tc>
        <w:tc>
          <w:tcPr>
            <w:tcW w:w="1479" w:type="dxa"/>
            <w:gridSpan w:val="3"/>
            <w:vMerge/>
            <w:tcBorders>
              <w:left w:val="nil"/>
              <w:bottom w:val="single" w:sz="4" w:space="0" w:color="auto"/>
            </w:tcBorders>
          </w:tcPr>
          <w:p>
            <w:pPr>
              <w:rPr>
                <w:sz w:val="17"/>
                <w:szCs w:val="17"/>
              </w:rPr>
            </w:pPr>
          </w:p>
        </w:tc>
        <w:tc>
          <w:tcPr>
            <w:tcW w:w="142" w:type="dxa"/>
            <w:tcBorders>
              <w:top w:val="nil"/>
              <w:bottom w:val="nil"/>
            </w:tcBorders>
          </w:tcPr>
          <w:p>
            <w:pPr>
              <w:rPr>
                <w:sz w:val="17"/>
                <w:szCs w:val="17"/>
              </w:rPr>
            </w:pPr>
          </w:p>
        </w:tc>
        <w:tc>
          <w:tcPr>
            <w:tcW w:w="2834" w:type="dxa"/>
            <w:tcBorders>
              <w:bottom w:val="single" w:sz="4" w:space="0" w:color="auto"/>
            </w:tcBorders>
          </w:tcPr>
          <w:p>
            <w:pPr>
              <w:tabs>
                <w:tab w:val="left" w:pos="2240"/>
              </w:tabs>
              <w:spacing w:before="40"/>
              <w:rPr>
                <w:sz w:val="17"/>
                <w:szCs w:val="17"/>
              </w:rPr>
            </w:pPr>
            <w:r>
              <w:rPr>
                <w:sz w:val="12"/>
                <w:szCs w:val="12"/>
              </w:rPr>
              <w:t xml:space="preserve">per annum, subject to review </w:t>
            </w:r>
            <w:r>
              <w:rPr>
                <w:sz w:val="17"/>
                <w:szCs w:val="17"/>
              </w:rPr>
              <w:tab/>
              <w:t>______</w:t>
            </w:r>
          </w:p>
          <w:p>
            <w:pPr>
              <w:rPr>
                <w:sz w:val="12"/>
                <w:szCs w:val="12"/>
              </w:rPr>
            </w:pPr>
            <w:r>
              <w:rPr>
                <w:sz w:val="12"/>
                <w:szCs w:val="12"/>
              </w:rPr>
              <w:t>from time to time</w:t>
            </w:r>
          </w:p>
        </w:tc>
        <w:tc>
          <w:tcPr>
            <w:tcW w:w="76" w:type="dxa"/>
            <w:tcBorders>
              <w:top w:val="nil"/>
              <w:bottom w:val="nil"/>
            </w:tcBorders>
          </w:tcPr>
          <w:p>
            <w:pPr>
              <w:ind w:left="-170" w:right="-311"/>
              <w:rPr>
                <w:sz w:val="17"/>
                <w:szCs w:val="17"/>
              </w:rPr>
            </w:pPr>
          </w:p>
        </w:tc>
      </w:tr>
      <w:tr>
        <w:tc>
          <w:tcPr>
            <w:tcW w:w="76" w:type="dxa"/>
            <w:tcBorders>
              <w:top w:val="nil"/>
              <w:bottom w:val="nil"/>
              <w:right w:val="nil"/>
            </w:tcBorders>
          </w:tcPr>
          <w:p>
            <w:pPr>
              <w:rPr>
                <w:sz w:val="12"/>
                <w:szCs w:val="12"/>
              </w:rPr>
            </w:pPr>
          </w:p>
        </w:tc>
        <w:tc>
          <w:tcPr>
            <w:tcW w:w="2440" w:type="dxa"/>
            <w:tcBorders>
              <w:left w:val="nil"/>
              <w:right w:val="nil"/>
            </w:tcBorders>
          </w:tcPr>
          <w:p>
            <w:pPr>
              <w:rPr>
                <w:sz w:val="12"/>
                <w:szCs w:val="12"/>
              </w:rPr>
            </w:pPr>
          </w:p>
        </w:tc>
        <w:tc>
          <w:tcPr>
            <w:tcW w:w="1479" w:type="dxa"/>
            <w:gridSpan w:val="3"/>
            <w:tcBorders>
              <w:left w:val="nil"/>
              <w:right w:val="nil"/>
            </w:tcBorders>
          </w:tcPr>
          <w:p>
            <w:pPr>
              <w:rPr>
                <w:sz w:val="12"/>
                <w:szCs w:val="12"/>
              </w:rPr>
            </w:pPr>
          </w:p>
        </w:tc>
        <w:tc>
          <w:tcPr>
            <w:tcW w:w="142" w:type="dxa"/>
            <w:tcBorders>
              <w:top w:val="nil"/>
              <w:left w:val="nil"/>
              <w:right w:val="nil"/>
            </w:tcBorders>
          </w:tcPr>
          <w:p>
            <w:pPr>
              <w:rPr>
                <w:sz w:val="12"/>
                <w:szCs w:val="12"/>
              </w:rPr>
            </w:pPr>
          </w:p>
        </w:tc>
        <w:tc>
          <w:tcPr>
            <w:tcW w:w="2834" w:type="dxa"/>
            <w:tcBorders>
              <w:left w:val="nil"/>
              <w:right w:val="nil"/>
            </w:tcBorders>
          </w:tcPr>
          <w:p>
            <w:pPr>
              <w:tabs>
                <w:tab w:val="left" w:pos="2240"/>
              </w:tabs>
              <w:rPr>
                <w:sz w:val="12"/>
                <w:szCs w:val="12"/>
              </w:rPr>
            </w:pPr>
          </w:p>
        </w:tc>
        <w:tc>
          <w:tcPr>
            <w:tcW w:w="76" w:type="dxa"/>
            <w:tcBorders>
              <w:top w:val="nil"/>
              <w:left w:val="nil"/>
              <w:bottom w:val="nil"/>
            </w:tcBorders>
          </w:tcPr>
          <w:p>
            <w:pPr>
              <w:ind w:left="-170" w:right="-311"/>
              <w:rPr>
                <w:sz w:val="12"/>
                <w:szCs w:val="12"/>
              </w:rPr>
            </w:pPr>
          </w:p>
        </w:tc>
      </w:tr>
      <w:tr>
        <w:tc>
          <w:tcPr>
            <w:tcW w:w="76" w:type="dxa"/>
            <w:tcBorders>
              <w:top w:val="nil"/>
              <w:bottom w:val="nil"/>
            </w:tcBorders>
          </w:tcPr>
          <w:p>
            <w:pPr>
              <w:rPr>
                <w:sz w:val="17"/>
                <w:szCs w:val="17"/>
              </w:rPr>
            </w:pPr>
          </w:p>
        </w:tc>
        <w:tc>
          <w:tcPr>
            <w:tcW w:w="6895" w:type="dxa"/>
            <w:gridSpan w:val="6"/>
          </w:tcPr>
          <w:p>
            <w:pPr>
              <w:rPr>
                <w:sz w:val="17"/>
                <w:szCs w:val="17"/>
              </w:rPr>
            </w:pPr>
            <w:r>
              <w:rPr>
                <w:sz w:val="17"/>
                <w:szCs w:val="17"/>
              </w:rPr>
              <w:t>Special Conditions</w:t>
            </w:r>
          </w:p>
          <w:p>
            <w:pPr>
              <w:spacing w:before="180"/>
              <w:rPr>
                <w:sz w:val="17"/>
                <w:szCs w:val="17"/>
              </w:rPr>
            </w:pPr>
          </w:p>
          <w:p>
            <w:pPr>
              <w:rPr>
                <w:sz w:val="17"/>
                <w:szCs w:val="17"/>
              </w:rPr>
            </w:pPr>
          </w:p>
          <w:p>
            <w:pPr>
              <w:rPr>
                <w:sz w:val="17"/>
                <w:szCs w:val="17"/>
              </w:rPr>
            </w:pPr>
          </w:p>
        </w:tc>
        <w:tc>
          <w:tcPr>
            <w:tcW w:w="76" w:type="dxa"/>
            <w:tcBorders>
              <w:top w:val="nil"/>
              <w:bottom w:val="nil"/>
            </w:tcBorders>
          </w:tcPr>
          <w:p>
            <w:pPr>
              <w:ind w:left="-170" w:right="-311"/>
              <w:rPr>
                <w:sz w:val="17"/>
                <w:szCs w:val="17"/>
              </w:rPr>
            </w:pPr>
          </w:p>
        </w:tc>
      </w:tr>
      <w:tr>
        <w:tc>
          <w:tcPr>
            <w:tcW w:w="76" w:type="dxa"/>
            <w:tcBorders>
              <w:top w:val="nil"/>
              <w:bottom w:val="nil"/>
              <w:right w:val="nil"/>
            </w:tcBorders>
          </w:tcPr>
          <w:p>
            <w:pPr>
              <w:rPr>
                <w:sz w:val="17"/>
                <w:szCs w:val="17"/>
              </w:rPr>
            </w:pPr>
          </w:p>
        </w:tc>
        <w:tc>
          <w:tcPr>
            <w:tcW w:w="6895" w:type="dxa"/>
            <w:gridSpan w:val="6"/>
            <w:tcBorders>
              <w:left w:val="nil"/>
              <w:bottom w:val="single" w:sz="4" w:space="0" w:color="auto"/>
              <w:right w:val="nil"/>
            </w:tcBorders>
          </w:tcPr>
          <w:p>
            <w:pPr>
              <w:rPr>
                <w:sz w:val="17"/>
                <w:szCs w:val="17"/>
              </w:rPr>
            </w:pPr>
            <w:r>
              <w:rPr>
                <w:sz w:val="17"/>
                <w:szCs w:val="17"/>
              </w:rPr>
              <w:t>Period during which site may be occupied</w:t>
            </w:r>
          </w:p>
        </w:tc>
        <w:tc>
          <w:tcPr>
            <w:tcW w:w="76" w:type="dxa"/>
            <w:tcBorders>
              <w:top w:val="nil"/>
              <w:left w:val="nil"/>
              <w:bottom w:val="nil"/>
            </w:tcBorders>
          </w:tcPr>
          <w:p>
            <w:pPr>
              <w:ind w:left="-170" w:right="-311"/>
              <w:rPr>
                <w:sz w:val="17"/>
                <w:szCs w:val="17"/>
              </w:rPr>
            </w:pPr>
          </w:p>
        </w:tc>
      </w:tr>
      <w:tr>
        <w:tc>
          <w:tcPr>
            <w:tcW w:w="76" w:type="dxa"/>
            <w:tcBorders>
              <w:top w:val="nil"/>
              <w:bottom w:val="nil"/>
            </w:tcBorders>
          </w:tcPr>
          <w:p>
            <w:pPr>
              <w:rPr>
                <w:sz w:val="17"/>
                <w:szCs w:val="17"/>
              </w:rPr>
            </w:pPr>
          </w:p>
        </w:tc>
        <w:tc>
          <w:tcPr>
            <w:tcW w:w="3494" w:type="dxa"/>
            <w:gridSpan w:val="3"/>
            <w:tcBorders>
              <w:bottom w:val="single" w:sz="4" w:space="0" w:color="auto"/>
              <w:right w:val="nil"/>
            </w:tcBorders>
          </w:tcPr>
          <w:p>
            <w:pPr>
              <w:rPr>
                <w:sz w:val="17"/>
                <w:szCs w:val="17"/>
              </w:rPr>
            </w:pPr>
            <w:r>
              <w:rPr>
                <w:sz w:val="17"/>
                <w:szCs w:val="17"/>
              </w:rPr>
              <w:t>First day of Period: _______________________</w:t>
            </w:r>
          </w:p>
        </w:tc>
        <w:tc>
          <w:tcPr>
            <w:tcW w:w="3401" w:type="dxa"/>
            <w:gridSpan w:val="3"/>
            <w:tcBorders>
              <w:left w:val="nil"/>
              <w:bottom w:val="single" w:sz="4" w:space="0" w:color="auto"/>
            </w:tcBorders>
          </w:tcPr>
          <w:p>
            <w:pPr>
              <w:spacing w:after="40"/>
              <w:rPr>
                <w:sz w:val="17"/>
                <w:szCs w:val="17"/>
              </w:rPr>
            </w:pPr>
            <w:r>
              <w:rPr>
                <w:sz w:val="17"/>
                <w:szCs w:val="17"/>
              </w:rPr>
              <w:t>Last day of Period: _______________________</w:t>
            </w:r>
          </w:p>
        </w:tc>
        <w:tc>
          <w:tcPr>
            <w:tcW w:w="76" w:type="dxa"/>
            <w:tcBorders>
              <w:top w:val="nil"/>
              <w:bottom w:val="nil"/>
            </w:tcBorders>
          </w:tcPr>
          <w:p>
            <w:pPr>
              <w:ind w:left="-170" w:right="-311"/>
              <w:rPr>
                <w:sz w:val="17"/>
                <w:szCs w:val="17"/>
              </w:rPr>
            </w:pPr>
          </w:p>
        </w:tc>
      </w:tr>
      <w:tr>
        <w:tc>
          <w:tcPr>
            <w:tcW w:w="76" w:type="dxa"/>
            <w:tcBorders>
              <w:top w:val="nil"/>
              <w:bottom w:val="single" w:sz="4" w:space="0" w:color="auto"/>
              <w:right w:val="nil"/>
            </w:tcBorders>
          </w:tcPr>
          <w:p>
            <w:pPr>
              <w:rPr>
                <w:sz w:val="12"/>
                <w:szCs w:val="12"/>
              </w:rPr>
            </w:pPr>
          </w:p>
        </w:tc>
        <w:tc>
          <w:tcPr>
            <w:tcW w:w="2530" w:type="dxa"/>
            <w:gridSpan w:val="2"/>
            <w:tcBorders>
              <w:top w:val="single" w:sz="4" w:space="0" w:color="auto"/>
              <w:left w:val="nil"/>
              <w:bottom w:val="single" w:sz="4" w:space="0" w:color="auto"/>
              <w:right w:val="nil"/>
            </w:tcBorders>
          </w:tcPr>
          <w:p>
            <w:pPr>
              <w:rPr>
                <w:sz w:val="12"/>
                <w:szCs w:val="12"/>
              </w:rPr>
            </w:pPr>
          </w:p>
        </w:tc>
        <w:tc>
          <w:tcPr>
            <w:tcW w:w="964" w:type="dxa"/>
            <w:tcBorders>
              <w:top w:val="single" w:sz="4" w:space="0" w:color="auto"/>
              <w:left w:val="nil"/>
              <w:bottom w:val="single" w:sz="4" w:space="0" w:color="auto"/>
              <w:right w:val="nil"/>
            </w:tcBorders>
          </w:tcPr>
          <w:p>
            <w:pPr>
              <w:rPr>
                <w:sz w:val="12"/>
                <w:szCs w:val="12"/>
              </w:rPr>
            </w:pPr>
          </w:p>
        </w:tc>
        <w:tc>
          <w:tcPr>
            <w:tcW w:w="3401" w:type="dxa"/>
            <w:gridSpan w:val="3"/>
            <w:tcBorders>
              <w:top w:val="nil"/>
              <w:left w:val="nil"/>
              <w:bottom w:val="single" w:sz="4" w:space="0" w:color="auto"/>
              <w:right w:val="nil"/>
            </w:tcBorders>
          </w:tcPr>
          <w:p>
            <w:pPr>
              <w:rPr>
                <w:sz w:val="12"/>
                <w:szCs w:val="12"/>
              </w:rPr>
            </w:pPr>
          </w:p>
        </w:tc>
        <w:tc>
          <w:tcPr>
            <w:tcW w:w="76" w:type="dxa"/>
            <w:tcBorders>
              <w:top w:val="nil"/>
              <w:left w:val="nil"/>
              <w:bottom w:val="single" w:sz="4" w:space="0" w:color="auto"/>
            </w:tcBorders>
          </w:tcPr>
          <w:p>
            <w:pPr>
              <w:ind w:left="-170" w:right="-311"/>
              <w:rPr>
                <w:sz w:val="12"/>
                <w:szCs w:val="12"/>
              </w:rPr>
            </w:pPr>
          </w:p>
        </w:tc>
      </w:tr>
      <w:tr>
        <w:tc>
          <w:tcPr>
            <w:tcW w:w="7047" w:type="dxa"/>
            <w:gridSpan w:val="8"/>
            <w:tcBorders>
              <w:left w:val="nil"/>
              <w:bottom w:val="nil"/>
              <w:right w:val="nil"/>
            </w:tcBorders>
          </w:tcPr>
          <w:p>
            <w:pPr>
              <w:rPr>
                <w:sz w:val="12"/>
                <w:szCs w:val="12"/>
              </w:rPr>
            </w:pPr>
            <w:r>
              <w:rPr>
                <w:sz w:val="12"/>
                <w:szCs w:val="12"/>
              </w:rPr>
              <w:t>This permit is not valid without the signature of the Director General or his delegate.</w:t>
            </w:r>
          </w:p>
          <w:p>
            <w:pPr>
              <w:rPr>
                <w:sz w:val="17"/>
                <w:szCs w:val="17"/>
              </w:rPr>
            </w:pPr>
          </w:p>
          <w:p>
            <w:pPr>
              <w:tabs>
                <w:tab w:val="left" w:pos="5103"/>
              </w:tabs>
              <w:rPr>
                <w:sz w:val="17"/>
                <w:szCs w:val="17"/>
              </w:rPr>
            </w:pPr>
            <w:r>
              <w:rPr>
                <w:sz w:val="17"/>
                <w:szCs w:val="17"/>
              </w:rPr>
              <w:t>____________________________________________________</w:t>
            </w:r>
            <w:r>
              <w:rPr>
                <w:sz w:val="17"/>
                <w:szCs w:val="17"/>
              </w:rPr>
              <w:tab/>
              <w:t>______________________</w:t>
            </w:r>
          </w:p>
          <w:p>
            <w:pPr>
              <w:tabs>
                <w:tab w:val="left" w:pos="4820"/>
                <w:tab w:val="left" w:pos="5954"/>
              </w:tabs>
              <w:rPr>
                <w:sz w:val="17"/>
                <w:szCs w:val="17"/>
              </w:rPr>
            </w:pPr>
            <w:r>
              <w:rPr>
                <w:sz w:val="17"/>
                <w:szCs w:val="17"/>
              </w:rPr>
              <w:t>DIRECTOR GENERAL</w:t>
            </w:r>
            <w:r>
              <w:rPr>
                <w:sz w:val="17"/>
                <w:szCs w:val="17"/>
              </w:rPr>
              <w:tab/>
            </w:r>
            <w:r>
              <w:rPr>
                <w:sz w:val="17"/>
                <w:szCs w:val="17"/>
              </w:rPr>
              <w:tab/>
              <w:t>Date</w:t>
            </w:r>
          </w:p>
          <w:p>
            <w:pPr>
              <w:rPr>
                <w:sz w:val="17"/>
                <w:szCs w:val="17"/>
                <w:vertAlign w:val="superscript"/>
              </w:rPr>
            </w:pPr>
            <w:r>
              <w:rPr>
                <w:sz w:val="17"/>
                <w:szCs w:val="17"/>
              </w:rPr>
              <w:t>DEPARTMENT OF ENVIRONMENT AND CONSERVATION</w:t>
            </w:r>
            <w:r>
              <w:rPr>
                <w:sz w:val="17"/>
                <w:szCs w:val="17"/>
                <w:vertAlign w:val="superscript"/>
              </w:rPr>
              <w:t> 5</w:t>
            </w:r>
          </w:p>
        </w:tc>
      </w:tr>
    </w:tbl>
    <w:p>
      <w:pPr>
        <w:pStyle w:val="yFootnotesection"/>
        <w:spacing w:before="60"/>
      </w:pPr>
      <w:r>
        <w:tab/>
        <w:t>[Form 3 inserted in Gazette 3 Sep 2010 p. 4284.]</w:t>
      </w:r>
    </w:p>
    <w:p>
      <w:pPr>
        <w:pStyle w:val="CentredBaseLine"/>
        <w:spacing w:before="6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decimal" w:pos="766"/>
        </w:tabs>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outlineLvl w:val="0"/>
      </w:pPr>
      <w:bookmarkStart w:id="577" w:name="_Toc408498957"/>
      <w:bookmarkStart w:id="578" w:name="_Toc414889379"/>
      <w:bookmarkStart w:id="579" w:name="_Toc414975351"/>
      <w:bookmarkStart w:id="580" w:name="_Toc417563833"/>
      <w:bookmarkStart w:id="581" w:name="_Toc423340654"/>
      <w:bookmarkStart w:id="582" w:name="_Toc423343252"/>
      <w:r>
        <w:t>Notes</w:t>
      </w:r>
      <w:bookmarkEnd w:id="577"/>
      <w:bookmarkEnd w:id="578"/>
      <w:bookmarkEnd w:id="579"/>
      <w:bookmarkEnd w:id="580"/>
      <w:bookmarkEnd w:id="581"/>
      <w:bookmarkEnd w:id="582"/>
    </w:p>
    <w:p>
      <w:pPr>
        <w:pStyle w:val="nSubsection"/>
        <w:rPr>
          <w:snapToGrid w:val="0"/>
        </w:rPr>
      </w:pPr>
      <w:r>
        <w:rPr>
          <w:snapToGrid w:val="0"/>
          <w:vertAlign w:val="superscript"/>
        </w:rPr>
        <w:t>1</w:t>
      </w:r>
      <w:r>
        <w:rPr>
          <w:snapToGrid w:val="0"/>
        </w:rPr>
        <w:tab/>
        <w:t xml:space="preserve">This is a compilation of the </w:t>
      </w:r>
      <w:r>
        <w:rPr>
          <w:i/>
          <w:noProof/>
          <w:snapToGrid w:val="0"/>
        </w:rPr>
        <w:t>Conservation and Land Management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583" w:name="_Toc408498958"/>
      <w:bookmarkStart w:id="584" w:name="_Toc423343253"/>
      <w:r>
        <w:t>Compilation table</w:t>
      </w:r>
      <w:bookmarkEnd w:id="583"/>
      <w:bookmarkEnd w:id="58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Conservation and Land Management Regulations 2002</w:t>
            </w:r>
          </w:p>
        </w:tc>
        <w:tc>
          <w:tcPr>
            <w:tcW w:w="1276" w:type="dxa"/>
            <w:tcBorders>
              <w:top w:val="single" w:sz="8" w:space="0" w:color="auto"/>
            </w:tcBorders>
          </w:tcPr>
          <w:p>
            <w:pPr>
              <w:pStyle w:val="nTable"/>
              <w:spacing w:after="40"/>
            </w:pPr>
            <w:r>
              <w:t>3 May 2002 p. 2233</w:t>
            </w:r>
            <w:r>
              <w:noBreakHyphen/>
              <w:t>308</w:t>
            </w:r>
          </w:p>
        </w:tc>
        <w:tc>
          <w:tcPr>
            <w:tcW w:w="2693" w:type="dxa"/>
            <w:tcBorders>
              <w:top w:val="single" w:sz="8" w:space="0" w:color="auto"/>
            </w:tcBorders>
          </w:tcPr>
          <w:p>
            <w:pPr>
              <w:pStyle w:val="nTable"/>
              <w:spacing w:after="40"/>
            </w:pPr>
            <w:r>
              <w:t>3 May 2002</w:t>
            </w:r>
          </w:p>
        </w:tc>
      </w:tr>
      <w:tr>
        <w:tc>
          <w:tcPr>
            <w:tcW w:w="3119" w:type="dxa"/>
          </w:tcPr>
          <w:p>
            <w:pPr>
              <w:pStyle w:val="nTable"/>
              <w:spacing w:after="40"/>
              <w:rPr>
                <w:i/>
              </w:rPr>
            </w:pPr>
            <w:r>
              <w:rPr>
                <w:i/>
              </w:rPr>
              <w:t>Conservation and Land Management Amendment Regulations 2002</w:t>
            </w:r>
          </w:p>
        </w:tc>
        <w:tc>
          <w:tcPr>
            <w:tcW w:w="1276" w:type="dxa"/>
          </w:tcPr>
          <w:p>
            <w:pPr>
              <w:pStyle w:val="nTable"/>
              <w:spacing w:after="40"/>
            </w:pPr>
            <w:r>
              <w:t>4 Oct 2002 p. 5065</w:t>
            </w:r>
            <w:r>
              <w:noBreakHyphen/>
              <w:t>6</w:t>
            </w:r>
          </w:p>
        </w:tc>
        <w:tc>
          <w:tcPr>
            <w:tcW w:w="2693" w:type="dxa"/>
          </w:tcPr>
          <w:p>
            <w:pPr>
              <w:pStyle w:val="nTable"/>
              <w:spacing w:after="40"/>
            </w:pPr>
            <w:r>
              <w:t>4 Oct 2002</w:t>
            </w:r>
          </w:p>
        </w:tc>
      </w:tr>
      <w:tr>
        <w:tc>
          <w:tcPr>
            <w:tcW w:w="3119" w:type="dxa"/>
          </w:tcPr>
          <w:p>
            <w:pPr>
              <w:pStyle w:val="nTable"/>
              <w:spacing w:after="40"/>
              <w:rPr>
                <w:i/>
              </w:rPr>
            </w:pPr>
            <w:r>
              <w:rPr>
                <w:i/>
              </w:rPr>
              <w:t>Conservation and Land Management Amendment Regulations 2004</w:t>
            </w:r>
          </w:p>
        </w:tc>
        <w:tc>
          <w:tcPr>
            <w:tcW w:w="1276" w:type="dxa"/>
          </w:tcPr>
          <w:p>
            <w:pPr>
              <w:pStyle w:val="nTable"/>
              <w:spacing w:after="40"/>
            </w:pPr>
            <w:r>
              <w:t>4 May 2004 p. 1383</w:t>
            </w:r>
          </w:p>
        </w:tc>
        <w:tc>
          <w:tcPr>
            <w:tcW w:w="2693" w:type="dxa"/>
          </w:tcPr>
          <w:p>
            <w:pPr>
              <w:pStyle w:val="nTable"/>
              <w:spacing w:after="40"/>
            </w:pPr>
            <w:r>
              <w:t>4 May 2004</w:t>
            </w:r>
          </w:p>
        </w:tc>
      </w:tr>
      <w:tr>
        <w:tc>
          <w:tcPr>
            <w:tcW w:w="3119" w:type="dxa"/>
          </w:tcPr>
          <w:p>
            <w:pPr>
              <w:pStyle w:val="nTable"/>
              <w:spacing w:after="40"/>
              <w:rPr>
                <w:i/>
              </w:rPr>
            </w:pPr>
            <w:r>
              <w:rPr>
                <w:i/>
              </w:rPr>
              <w:t>Conservation and Land Management Amendment Regulations (No. 2) 2004</w:t>
            </w:r>
          </w:p>
        </w:tc>
        <w:tc>
          <w:tcPr>
            <w:tcW w:w="1276" w:type="dxa"/>
          </w:tcPr>
          <w:p>
            <w:pPr>
              <w:pStyle w:val="nTable"/>
              <w:spacing w:after="40"/>
            </w:pPr>
            <w:r>
              <w:t>27 Jul 2004 p. 3077</w:t>
            </w:r>
            <w:r>
              <w:noBreakHyphen/>
              <w:t>8</w:t>
            </w:r>
          </w:p>
        </w:tc>
        <w:tc>
          <w:tcPr>
            <w:tcW w:w="2693" w:type="dxa"/>
          </w:tcPr>
          <w:p>
            <w:pPr>
              <w:pStyle w:val="nTable"/>
              <w:spacing w:after="40"/>
            </w:pPr>
            <w:r>
              <w:t>27 Jul 2004</w:t>
            </w:r>
          </w:p>
        </w:tc>
      </w:tr>
      <w:tr>
        <w:tc>
          <w:tcPr>
            <w:tcW w:w="3119" w:type="dxa"/>
          </w:tcPr>
          <w:p>
            <w:pPr>
              <w:pStyle w:val="nTable"/>
              <w:spacing w:after="40"/>
              <w:rPr>
                <w:i/>
              </w:rPr>
            </w:pPr>
            <w:r>
              <w:rPr>
                <w:i/>
              </w:rPr>
              <w:t>Conservation and Land Management Amendment Regulations 2006</w:t>
            </w:r>
          </w:p>
        </w:tc>
        <w:tc>
          <w:tcPr>
            <w:tcW w:w="1276" w:type="dxa"/>
          </w:tcPr>
          <w:p>
            <w:pPr>
              <w:pStyle w:val="nTable"/>
              <w:spacing w:after="40"/>
            </w:pPr>
            <w:r>
              <w:t>29 Sep 2006 p. 4297</w:t>
            </w:r>
            <w:r>
              <w:noBreakHyphen/>
              <w:t>334</w:t>
            </w:r>
          </w:p>
        </w:tc>
        <w:tc>
          <w:tcPr>
            <w:tcW w:w="2693" w:type="dxa"/>
          </w:tcPr>
          <w:p>
            <w:pPr>
              <w:pStyle w:val="nTable"/>
              <w:spacing w:after="40"/>
            </w:pPr>
            <w:r>
              <w:t>29 Sep 2006 (see r. 2)</w:t>
            </w:r>
          </w:p>
        </w:tc>
      </w:tr>
      <w:tr>
        <w:trPr>
          <w:cantSplit/>
        </w:trPr>
        <w:tc>
          <w:tcPr>
            <w:tcW w:w="7088" w:type="dxa"/>
            <w:gridSpan w:val="3"/>
          </w:tcPr>
          <w:p>
            <w:pPr>
              <w:pStyle w:val="nTable"/>
              <w:spacing w:after="40"/>
            </w:pPr>
            <w:r>
              <w:rPr>
                <w:b/>
                <w:bCs/>
              </w:rPr>
              <w:t xml:space="preserve">Reprint 1:  The </w:t>
            </w:r>
            <w:r>
              <w:rPr>
                <w:b/>
                <w:bCs/>
                <w:i/>
              </w:rPr>
              <w:t>Conservation and Land Management Regulations 2002</w:t>
            </w:r>
            <w:r>
              <w:rPr>
                <w:b/>
                <w:bCs/>
              </w:rPr>
              <w:t xml:space="preserve"> as at 3 Nov 2006</w:t>
            </w:r>
            <w:r>
              <w:t xml:space="preserve"> (includes amendments listed above)</w:t>
            </w:r>
          </w:p>
        </w:tc>
      </w:tr>
      <w:tr>
        <w:tc>
          <w:tcPr>
            <w:tcW w:w="3119" w:type="dxa"/>
          </w:tcPr>
          <w:p>
            <w:pPr>
              <w:pStyle w:val="nTable"/>
              <w:spacing w:after="40"/>
              <w:rPr>
                <w:i/>
              </w:rPr>
            </w:pPr>
            <w:r>
              <w:rPr>
                <w:i/>
              </w:rPr>
              <w:t>Conservation and Land Management Amendment Regulations 2007</w:t>
            </w:r>
          </w:p>
        </w:tc>
        <w:tc>
          <w:tcPr>
            <w:tcW w:w="1276" w:type="dxa"/>
          </w:tcPr>
          <w:p>
            <w:pPr>
              <w:pStyle w:val="nTable"/>
              <w:spacing w:after="40"/>
            </w:pPr>
            <w:r>
              <w:t>27 Feb 2007 p. 625</w:t>
            </w:r>
            <w:r>
              <w:noBreakHyphen/>
              <w:t>6</w:t>
            </w:r>
          </w:p>
        </w:tc>
        <w:tc>
          <w:tcPr>
            <w:tcW w:w="2693" w:type="dxa"/>
          </w:tcPr>
          <w:p>
            <w:pPr>
              <w:pStyle w:val="nTable"/>
              <w:spacing w:after="40"/>
            </w:pPr>
            <w:r>
              <w:t>27 Feb 2007</w:t>
            </w:r>
          </w:p>
        </w:tc>
      </w:tr>
      <w:tr>
        <w:tc>
          <w:tcPr>
            <w:tcW w:w="3119" w:type="dxa"/>
          </w:tcPr>
          <w:p>
            <w:pPr>
              <w:pStyle w:val="nTable"/>
              <w:spacing w:after="40"/>
              <w:rPr>
                <w:i/>
              </w:rPr>
            </w:pPr>
            <w:r>
              <w:rPr>
                <w:i/>
              </w:rPr>
              <w:t>Conservation and Land Management Amendment Regulations (No. 2) 2007</w:t>
            </w:r>
          </w:p>
        </w:tc>
        <w:tc>
          <w:tcPr>
            <w:tcW w:w="1276" w:type="dxa"/>
          </w:tcPr>
          <w:p>
            <w:pPr>
              <w:pStyle w:val="nTable"/>
              <w:spacing w:after="40"/>
            </w:pPr>
            <w:r>
              <w:t>29 Jan 2008 p. 241</w:t>
            </w:r>
            <w:r>
              <w:noBreakHyphen/>
              <w:t>2</w:t>
            </w:r>
          </w:p>
        </w:tc>
        <w:tc>
          <w:tcPr>
            <w:tcW w:w="2693" w:type="dxa"/>
          </w:tcPr>
          <w:p>
            <w:pPr>
              <w:pStyle w:val="nTable"/>
              <w:spacing w:after="40"/>
            </w:pPr>
            <w:r>
              <w:t>r. 1 and 2: 29 Jan 2008 (see r. 2(a));</w:t>
            </w:r>
            <w:r>
              <w:br/>
              <w:t>Regulations other than r. 1 and 2: 30 Jan 2008 (see r. 2(b))</w:t>
            </w:r>
          </w:p>
        </w:tc>
      </w:tr>
      <w:tr>
        <w:tc>
          <w:tcPr>
            <w:tcW w:w="3119" w:type="dxa"/>
          </w:tcPr>
          <w:p>
            <w:pPr>
              <w:pStyle w:val="nTable"/>
              <w:spacing w:after="40"/>
              <w:rPr>
                <w:i/>
              </w:rPr>
            </w:pPr>
            <w:r>
              <w:rPr>
                <w:i/>
              </w:rPr>
              <w:t xml:space="preserve">Financial Management (Transitional Provisions) Regulations 2009 </w:t>
            </w:r>
            <w:r>
              <w:rPr>
                <w:iCs/>
              </w:rPr>
              <w:t>r. 3</w:t>
            </w:r>
            <w:r>
              <w:rPr>
                <w:i/>
              </w:rPr>
              <w:t xml:space="preserve"> </w:t>
            </w:r>
            <w:r>
              <w:rPr>
                <w:iCs/>
                <w:vertAlign w:val="superscript"/>
              </w:rPr>
              <w:t>6</w:t>
            </w:r>
          </w:p>
        </w:tc>
        <w:tc>
          <w:tcPr>
            <w:tcW w:w="1276" w:type="dxa"/>
          </w:tcPr>
          <w:p>
            <w:pPr>
              <w:pStyle w:val="nTable"/>
              <w:spacing w:after="40"/>
            </w:pPr>
            <w:r>
              <w:t>27 Feb 2009 p. 529</w:t>
            </w:r>
            <w:r>
              <w:noBreakHyphen/>
              <w:t>30</w:t>
            </w:r>
          </w:p>
        </w:tc>
        <w:tc>
          <w:tcPr>
            <w:tcW w:w="2693" w:type="dxa"/>
          </w:tcPr>
          <w:p>
            <w:pPr>
              <w:pStyle w:val="nTable"/>
              <w:spacing w:after="40"/>
            </w:pPr>
            <w:r>
              <w:t xml:space="preserve"> 28 Feb 2009 (see r. 2(b))</w:t>
            </w:r>
          </w:p>
        </w:tc>
      </w:tr>
      <w:tr>
        <w:tc>
          <w:tcPr>
            <w:tcW w:w="3119" w:type="dxa"/>
          </w:tcPr>
          <w:p>
            <w:pPr>
              <w:pStyle w:val="nTable"/>
              <w:spacing w:after="40"/>
              <w:rPr>
                <w:i/>
              </w:rPr>
            </w:pPr>
            <w:r>
              <w:rPr>
                <w:i/>
              </w:rPr>
              <w:t>Conservation and Land Management Amendment Regulations 2009</w:t>
            </w:r>
          </w:p>
        </w:tc>
        <w:tc>
          <w:tcPr>
            <w:tcW w:w="1276" w:type="dxa"/>
          </w:tcPr>
          <w:p>
            <w:pPr>
              <w:pStyle w:val="nTable"/>
              <w:spacing w:after="40"/>
            </w:pPr>
            <w:r>
              <w:t>28 Aug 2009 p. 3354</w:t>
            </w:r>
            <w:r>
              <w:noBreakHyphen/>
              <w:t>7</w:t>
            </w:r>
          </w:p>
        </w:tc>
        <w:tc>
          <w:tcPr>
            <w:tcW w:w="2693" w:type="dxa"/>
          </w:tcPr>
          <w:p>
            <w:pPr>
              <w:pStyle w:val="nTable"/>
              <w:spacing w:after="40"/>
            </w:pPr>
            <w:r>
              <w:t>r. 1 and 2: 28 Aug 2009 (see r. 2(a));</w:t>
            </w:r>
            <w:r>
              <w:br/>
              <w:t>Regulations other than r. 1 and 2: 1 Sep 2009 (see r. 2(b))</w:t>
            </w:r>
          </w:p>
        </w:tc>
      </w:tr>
      <w:tr>
        <w:tc>
          <w:tcPr>
            <w:tcW w:w="3119" w:type="dxa"/>
          </w:tcPr>
          <w:p>
            <w:pPr>
              <w:pStyle w:val="nTable"/>
              <w:spacing w:after="40"/>
              <w:rPr>
                <w:i/>
              </w:rPr>
            </w:pPr>
            <w:r>
              <w:rPr>
                <w:i/>
              </w:rPr>
              <w:t>Conservation and Land Management Amendment Regulations (No. 2) 2010</w:t>
            </w:r>
          </w:p>
        </w:tc>
        <w:tc>
          <w:tcPr>
            <w:tcW w:w="1276" w:type="dxa"/>
          </w:tcPr>
          <w:p>
            <w:pPr>
              <w:pStyle w:val="nTable"/>
              <w:spacing w:after="40"/>
            </w:pPr>
            <w:r>
              <w:t>3 Sep 2010 p. 4278</w:t>
            </w:r>
            <w:r>
              <w:noBreakHyphen/>
              <w:t>84</w:t>
            </w:r>
          </w:p>
        </w:tc>
        <w:tc>
          <w:tcPr>
            <w:tcW w:w="2693" w:type="dxa"/>
          </w:tcPr>
          <w:p>
            <w:pPr>
              <w:pStyle w:val="nTable"/>
              <w:spacing w:after="40"/>
            </w:pPr>
            <w:r>
              <w:rPr>
                <w:snapToGrid w:val="0"/>
              </w:rPr>
              <w:t>r. 1 and 2: 3 Sep 2010 (see r. 2(a));</w:t>
            </w:r>
            <w:r>
              <w:rPr>
                <w:snapToGrid w:val="0"/>
              </w:rPr>
              <w:br/>
              <w:t xml:space="preserve">Regulations other than r. 1 and 2: 4 Sep 2010 (see r. 2(b) and </w:t>
            </w:r>
            <w:r>
              <w:rPr>
                <w:i/>
                <w:iCs/>
                <w:snapToGrid w:val="0"/>
              </w:rPr>
              <w:t>Gazette</w:t>
            </w:r>
            <w:r>
              <w:rPr>
                <w:snapToGrid w:val="0"/>
              </w:rPr>
              <w:t xml:space="preserve"> 3 Sep 2010 p. 4273)</w:t>
            </w:r>
          </w:p>
        </w:tc>
      </w:tr>
      <w:tr>
        <w:trPr>
          <w:cantSplit/>
        </w:trPr>
        <w:tc>
          <w:tcPr>
            <w:tcW w:w="7088" w:type="dxa"/>
            <w:gridSpan w:val="3"/>
          </w:tcPr>
          <w:p>
            <w:pPr>
              <w:pStyle w:val="nTable"/>
              <w:spacing w:after="40"/>
              <w:rPr>
                <w:snapToGrid w:val="0"/>
                <w:spacing w:val="-2"/>
              </w:rPr>
            </w:pPr>
            <w:r>
              <w:rPr>
                <w:b/>
                <w:bCs/>
              </w:rPr>
              <w:t xml:space="preserve">Reprint 2:  The </w:t>
            </w:r>
            <w:r>
              <w:rPr>
                <w:b/>
                <w:bCs/>
                <w:i/>
              </w:rPr>
              <w:t>Conservation and Land Management Regulations 2002</w:t>
            </w:r>
            <w:r>
              <w:rPr>
                <w:b/>
                <w:bCs/>
              </w:rPr>
              <w:t xml:space="preserve"> as at 5 Nov 2010</w:t>
            </w:r>
            <w:r>
              <w:t xml:space="preserve"> (includes amendments listed above)</w:t>
            </w:r>
          </w:p>
        </w:tc>
      </w:tr>
      <w:tr>
        <w:tc>
          <w:tcPr>
            <w:tcW w:w="3119" w:type="dxa"/>
          </w:tcPr>
          <w:p>
            <w:pPr>
              <w:pStyle w:val="nTable"/>
              <w:keepNext/>
              <w:spacing w:before="30" w:after="30"/>
              <w:rPr>
                <w:i/>
              </w:rPr>
            </w:pPr>
            <w:r>
              <w:rPr>
                <w:i/>
              </w:rPr>
              <w:t>Conservation and Land Management Amendment Regulations (No. 3) 2010</w:t>
            </w:r>
          </w:p>
        </w:tc>
        <w:tc>
          <w:tcPr>
            <w:tcW w:w="1276" w:type="dxa"/>
          </w:tcPr>
          <w:p>
            <w:pPr>
              <w:pStyle w:val="nTable"/>
              <w:keepNext/>
              <w:spacing w:before="30" w:after="30"/>
            </w:pPr>
            <w:r>
              <w:t>3 Dec 2010 p. 6045</w:t>
            </w:r>
            <w:r>
              <w:noBreakHyphen/>
              <w:t>54</w:t>
            </w:r>
          </w:p>
        </w:tc>
        <w:tc>
          <w:tcPr>
            <w:tcW w:w="2693" w:type="dxa"/>
          </w:tcPr>
          <w:p>
            <w:pPr>
              <w:pStyle w:val="nTable"/>
              <w:keepNext/>
              <w:spacing w:before="30" w:after="30"/>
            </w:pPr>
            <w:r>
              <w:rPr>
                <w:snapToGrid w:val="0"/>
              </w:rPr>
              <w:t>r. 1 and 2: 3 Dec 2010 (see r. 2(a));</w:t>
            </w:r>
            <w:r>
              <w:rPr>
                <w:snapToGrid w:val="0"/>
              </w:rPr>
              <w:br/>
              <w:t>Regulations other than r. 1 and 2: 4 Dec 2010 (see r. 2(b))</w:t>
            </w:r>
          </w:p>
        </w:tc>
      </w:tr>
      <w:tr>
        <w:tc>
          <w:tcPr>
            <w:tcW w:w="3119" w:type="dxa"/>
          </w:tcPr>
          <w:p>
            <w:pPr>
              <w:pStyle w:val="nTable"/>
              <w:spacing w:before="30" w:after="30"/>
              <w:rPr>
                <w:i/>
              </w:rPr>
            </w:pPr>
            <w:r>
              <w:rPr>
                <w:i/>
              </w:rPr>
              <w:t>Conservation and Land Management Amendment Regulations (No. 2) 2011</w:t>
            </w:r>
          </w:p>
        </w:tc>
        <w:tc>
          <w:tcPr>
            <w:tcW w:w="1276" w:type="dxa"/>
          </w:tcPr>
          <w:p>
            <w:pPr>
              <w:pStyle w:val="nTable"/>
              <w:spacing w:before="30" w:after="30"/>
            </w:pPr>
            <w:r>
              <w:t>30 Sep 2011 p. 3897-8</w:t>
            </w:r>
          </w:p>
        </w:tc>
        <w:tc>
          <w:tcPr>
            <w:tcW w:w="2693" w:type="dxa"/>
          </w:tcPr>
          <w:p>
            <w:pPr>
              <w:pStyle w:val="nTable"/>
              <w:spacing w:before="30" w:after="30"/>
              <w:rPr>
                <w:snapToGrid w:val="0"/>
              </w:rPr>
            </w:pPr>
            <w:r>
              <w:rPr>
                <w:snapToGrid w:val="0"/>
              </w:rPr>
              <w:t>r. 1 and 2: 30 Sep 2011 (see r. 2(a));</w:t>
            </w:r>
            <w:r>
              <w:rPr>
                <w:snapToGrid w:val="0"/>
              </w:rPr>
              <w:br/>
              <w:t>Regulations other than r. 1 and 2: 1 Oct 2011 (see r. 2(b))</w:t>
            </w:r>
          </w:p>
        </w:tc>
      </w:tr>
      <w:tr>
        <w:tc>
          <w:tcPr>
            <w:tcW w:w="3119" w:type="dxa"/>
          </w:tcPr>
          <w:p>
            <w:pPr>
              <w:pStyle w:val="nTable"/>
              <w:spacing w:before="30" w:after="30"/>
              <w:rPr>
                <w:i/>
              </w:rPr>
            </w:pPr>
            <w:r>
              <w:rPr>
                <w:i/>
              </w:rPr>
              <w:t>Conservation and Land Management Amendment Regulations 2012</w:t>
            </w:r>
          </w:p>
        </w:tc>
        <w:tc>
          <w:tcPr>
            <w:tcW w:w="1276" w:type="dxa"/>
          </w:tcPr>
          <w:p>
            <w:pPr>
              <w:pStyle w:val="nTable"/>
              <w:spacing w:before="30" w:after="30"/>
            </w:pPr>
            <w:r>
              <w:t>7 Dec 2012 p. 5964-74</w:t>
            </w:r>
          </w:p>
        </w:tc>
        <w:tc>
          <w:tcPr>
            <w:tcW w:w="2693" w:type="dxa"/>
          </w:tcPr>
          <w:p>
            <w:pPr>
              <w:pStyle w:val="nTable"/>
              <w:spacing w:before="30" w:after="30"/>
              <w:rPr>
                <w:snapToGrid w:val="0"/>
              </w:rPr>
            </w:pPr>
            <w:r>
              <w:rPr>
                <w:snapToGrid w:val="0"/>
              </w:rPr>
              <w:t>r. 1 and 2: 7 Dec 2012 (see r. 2(a));</w:t>
            </w:r>
            <w:r>
              <w:rPr>
                <w:snapToGrid w:val="0"/>
              </w:rPr>
              <w:br/>
              <w:t xml:space="preserve">Regulations other than r. 1 and 2: 8 Dec 2012 (see r. 2(b) and </w:t>
            </w:r>
            <w:r>
              <w:rPr>
                <w:i/>
                <w:snapToGrid w:val="0"/>
              </w:rPr>
              <w:t>Gazette</w:t>
            </w:r>
            <w:r>
              <w:rPr>
                <w:snapToGrid w:val="0"/>
              </w:rPr>
              <w:t xml:space="preserve"> 7 Dec 2012 p. 5963)</w:t>
            </w:r>
          </w:p>
        </w:tc>
      </w:tr>
      <w:tr>
        <w:tc>
          <w:tcPr>
            <w:tcW w:w="3119" w:type="dxa"/>
            <w:shd w:val="clear" w:color="auto" w:fill="auto"/>
          </w:tcPr>
          <w:p>
            <w:pPr>
              <w:pStyle w:val="nTable"/>
              <w:spacing w:before="30" w:after="30"/>
              <w:rPr>
                <w:i/>
              </w:rPr>
            </w:pPr>
            <w:r>
              <w:rPr>
                <w:i/>
              </w:rPr>
              <w:t>Conservation and Land Management Amendment Regulations 2013</w:t>
            </w:r>
          </w:p>
        </w:tc>
        <w:tc>
          <w:tcPr>
            <w:tcW w:w="1276" w:type="dxa"/>
            <w:shd w:val="clear" w:color="auto" w:fill="auto"/>
          </w:tcPr>
          <w:p>
            <w:pPr>
              <w:pStyle w:val="nTable"/>
              <w:spacing w:before="30" w:after="30"/>
            </w:pPr>
            <w:r>
              <w:t>5 Feb 2013 p. 833</w:t>
            </w:r>
            <w:r>
              <w:noBreakHyphen/>
              <w:t>4</w:t>
            </w:r>
          </w:p>
        </w:tc>
        <w:tc>
          <w:tcPr>
            <w:tcW w:w="2693" w:type="dxa"/>
            <w:shd w:val="clear" w:color="auto" w:fill="auto"/>
          </w:tcPr>
          <w:p>
            <w:pPr>
              <w:pStyle w:val="nTable"/>
              <w:spacing w:before="30" w:after="30"/>
              <w:rPr>
                <w:snapToGrid w:val="0"/>
              </w:rPr>
            </w:pPr>
            <w:r>
              <w:rPr>
                <w:snapToGrid w:val="0"/>
              </w:rPr>
              <w:t>r. 1 and 2: 5 Feb 2013 (see r. 2(a));</w:t>
            </w:r>
            <w:r>
              <w:rPr>
                <w:snapToGrid w:val="0"/>
              </w:rPr>
              <w:br/>
              <w:t xml:space="preserve">Regulations other than r. 1 and 2: </w:t>
            </w:r>
            <w:r>
              <w:t xml:space="preserve">1 May 2013 (see r. 2(b)(i) and </w:t>
            </w:r>
            <w:r>
              <w:rPr>
                <w:i/>
              </w:rPr>
              <w:t>Gazette</w:t>
            </w:r>
            <w:r>
              <w:t xml:space="preserve"> 5 Feb 2013 p. 823)</w:t>
            </w:r>
          </w:p>
        </w:tc>
      </w:tr>
      <w:tr>
        <w:tc>
          <w:tcPr>
            <w:tcW w:w="7088" w:type="dxa"/>
            <w:gridSpan w:val="3"/>
            <w:shd w:val="clear" w:color="auto" w:fill="auto"/>
          </w:tcPr>
          <w:p>
            <w:pPr>
              <w:pStyle w:val="nTable"/>
              <w:spacing w:before="30" w:after="30"/>
              <w:rPr>
                <w:snapToGrid w:val="0"/>
              </w:rPr>
            </w:pPr>
            <w:r>
              <w:rPr>
                <w:b/>
                <w:bCs/>
              </w:rPr>
              <w:t xml:space="preserve">Reprint 3:  The </w:t>
            </w:r>
            <w:r>
              <w:rPr>
                <w:b/>
                <w:bCs/>
                <w:i/>
              </w:rPr>
              <w:t>Conservation and Land Management Regulations 2002</w:t>
            </w:r>
            <w:r>
              <w:rPr>
                <w:b/>
                <w:bCs/>
              </w:rPr>
              <w:t xml:space="preserve"> as at 12 Jul 2013</w:t>
            </w:r>
            <w:r>
              <w:t xml:space="preserve"> (includes amendments listed above)</w:t>
            </w:r>
          </w:p>
        </w:tc>
      </w:tr>
      <w:tr>
        <w:tc>
          <w:tcPr>
            <w:tcW w:w="3119" w:type="dxa"/>
            <w:shd w:val="clear" w:color="auto" w:fill="auto"/>
          </w:tcPr>
          <w:p>
            <w:pPr>
              <w:pStyle w:val="nTable"/>
              <w:spacing w:before="30" w:after="30"/>
              <w:rPr>
                <w:i/>
              </w:rPr>
            </w:pPr>
            <w:r>
              <w:rPr>
                <w:i/>
              </w:rPr>
              <w:t>Conservation and Land Management Amendment Regulations (No. 3) 2013</w:t>
            </w:r>
          </w:p>
        </w:tc>
        <w:tc>
          <w:tcPr>
            <w:tcW w:w="1276" w:type="dxa"/>
            <w:shd w:val="clear" w:color="auto" w:fill="auto"/>
          </w:tcPr>
          <w:p>
            <w:pPr>
              <w:pStyle w:val="nTable"/>
              <w:spacing w:before="30" w:after="30"/>
            </w:pPr>
            <w:r>
              <w:t>27 Sep 2013 p. 4525-9</w:t>
            </w:r>
          </w:p>
        </w:tc>
        <w:tc>
          <w:tcPr>
            <w:tcW w:w="2693" w:type="dxa"/>
            <w:shd w:val="clear" w:color="auto" w:fill="auto"/>
          </w:tcPr>
          <w:p>
            <w:pPr>
              <w:pStyle w:val="nTable"/>
              <w:spacing w:before="30" w:after="30"/>
              <w:rPr>
                <w:snapToGrid w:val="0"/>
              </w:rPr>
            </w:pPr>
            <w:r>
              <w:rPr>
                <w:snapToGrid w:val="0"/>
              </w:rPr>
              <w:t>r. 1 and 2: 27 Sep 2013 (see r. 2(a));</w:t>
            </w:r>
            <w:r>
              <w:rPr>
                <w:snapToGrid w:val="0"/>
              </w:rPr>
              <w:br/>
              <w:t>Regulations other than r. 1 and 2: 1 Oct </w:t>
            </w:r>
            <w:r>
              <w:t>2013 (see r. 2(b))</w:t>
            </w:r>
          </w:p>
        </w:tc>
      </w:tr>
      <w:tr>
        <w:tc>
          <w:tcPr>
            <w:tcW w:w="3119" w:type="dxa"/>
            <w:shd w:val="clear" w:color="auto" w:fill="auto"/>
          </w:tcPr>
          <w:p>
            <w:pPr>
              <w:pStyle w:val="nTable"/>
              <w:spacing w:before="30" w:after="30"/>
              <w:rPr>
                <w:i/>
              </w:rPr>
            </w:pPr>
            <w:r>
              <w:rPr>
                <w:i/>
              </w:rPr>
              <w:t>Conservation and Land Management Amendment Regulations (No. 2) 2014</w:t>
            </w:r>
          </w:p>
        </w:tc>
        <w:tc>
          <w:tcPr>
            <w:tcW w:w="1276" w:type="dxa"/>
            <w:shd w:val="clear" w:color="auto" w:fill="auto"/>
          </w:tcPr>
          <w:p>
            <w:pPr>
              <w:pStyle w:val="nTable"/>
              <w:spacing w:before="30" w:after="30"/>
            </w:pPr>
            <w:r>
              <w:t>19 Sep 2014 p. 3330</w:t>
            </w:r>
            <w:r>
              <w:noBreakHyphen/>
              <w:t>7</w:t>
            </w:r>
          </w:p>
        </w:tc>
        <w:tc>
          <w:tcPr>
            <w:tcW w:w="2693" w:type="dxa"/>
            <w:shd w:val="clear" w:color="auto" w:fill="auto"/>
          </w:tcPr>
          <w:p>
            <w:pPr>
              <w:pStyle w:val="nTable"/>
              <w:spacing w:before="30" w:after="30"/>
              <w:rPr>
                <w:snapToGrid w:val="0"/>
              </w:rPr>
            </w:pPr>
            <w:r>
              <w:rPr>
                <w:snapToGrid w:val="0"/>
              </w:rPr>
              <w:t>r. 1 and 2: 19 Sep 2014 (see r. 2(a));</w:t>
            </w:r>
            <w:r>
              <w:rPr>
                <w:snapToGrid w:val="0"/>
              </w:rPr>
              <w:br/>
              <w:t>Regulations other than r. 1 and 2: 20 Sep </w:t>
            </w:r>
            <w:r>
              <w:t>2014 (see r. 2(b))</w:t>
            </w:r>
          </w:p>
        </w:tc>
      </w:tr>
      <w:tr>
        <w:tc>
          <w:tcPr>
            <w:tcW w:w="3119" w:type="dxa"/>
            <w:shd w:val="clear" w:color="auto" w:fill="auto"/>
          </w:tcPr>
          <w:p>
            <w:pPr>
              <w:pStyle w:val="nTable"/>
              <w:spacing w:before="30" w:after="30"/>
              <w:rPr>
                <w:i/>
              </w:rPr>
            </w:pPr>
            <w:r>
              <w:rPr>
                <w:i/>
              </w:rPr>
              <w:t>Conservation and Land Management Amendment Regulations 2014</w:t>
            </w:r>
          </w:p>
        </w:tc>
        <w:tc>
          <w:tcPr>
            <w:tcW w:w="1276" w:type="dxa"/>
            <w:shd w:val="clear" w:color="auto" w:fill="auto"/>
          </w:tcPr>
          <w:p>
            <w:pPr>
              <w:pStyle w:val="nTable"/>
              <w:spacing w:before="30" w:after="30"/>
            </w:pPr>
            <w:r>
              <w:t>8 Jan 2015 p. 135</w:t>
            </w:r>
            <w:r>
              <w:noBreakHyphen/>
              <w:t>6</w:t>
            </w:r>
          </w:p>
        </w:tc>
        <w:tc>
          <w:tcPr>
            <w:tcW w:w="2693" w:type="dxa"/>
            <w:shd w:val="clear" w:color="auto" w:fill="auto"/>
          </w:tcPr>
          <w:p>
            <w:pPr>
              <w:pStyle w:val="nTable"/>
              <w:spacing w:before="30" w:after="3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9" w:type="dxa"/>
            <w:shd w:val="clear" w:color="auto" w:fill="auto"/>
          </w:tcPr>
          <w:p>
            <w:pPr>
              <w:pStyle w:val="nTable"/>
              <w:spacing w:before="30" w:after="30"/>
              <w:rPr>
                <w:i/>
              </w:rPr>
            </w:pPr>
            <w:r>
              <w:rPr>
                <w:i/>
              </w:rPr>
              <w:t>Conservation and Land Management Amendment Regulations 2015</w:t>
            </w:r>
          </w:p>
        </w:tc>
        <w:tc>
          <w:tcPr>
            <w:tcW w:w="1276" w:type="dxa"/>
            <w:shd w:val="clear" w:color="auto" w:fill="auto"/>
          </w:tcPr>
          <w:p>
            <w:pPr>
              <w:pStyle w:val="nTable"/>
              <w:spacing w:before="30" w:after="30"/>
            </w:pPr>
            <w:r>
              <w:t>24 Mar 2015 p. 1033</w:t>
            </w:r>
            <w:r>
              <w:noBreakHyphen/>
              <w:t>44</w:t>
            </w:r>
          </w:p>
        </w:tc>
        <w:tc>
          <w:tcPr>
            <w:tcW w:w="2693" w:type="dxa"/>
            <w:shd w:val="clear" w:color="auto" w:fill="auto"/>
          </w:tcPr>
          <w:p>
            <w:pPr>
              <w:pStyle w:val="nTable"/>
              <w:spacing w:before="30" w:after="30"/>
              <w:rPr>
                <w:snapToGrid w:val="0"/>
              </w:rPr>
            </w:pPr>
            <w:r>
              <w:rPr>
                <w:snapToGrid w:val="0"/>
              </w:rPr>
              <w:t>r. 1 and 2: 24 Mar 2015 (see r. 2(a));</w:t>
            </w:r>
            <w:r>
              <w:rPr>
                <w:snapToGrid w:val="0"/>
              </w:rPr>
              <w:br/>
              <w:t>Regulations other than r. 1 and 2: 25 Mar 2015 (see r. 2(b))</w:t>
            </w:r>
          </w:p>
        </w:tc>
      </w:tr>
      <w:tr>
        <w:tc>
          <w:tcPr>
            <w:tcW w:w="3119" w:type="dxa"/>
            <w:tcBorders>
              <w:bottom w:val="single" w:sz="4" w:space="0" w:color="auto"/>
            </w:tcBorders>
            <w:shd w:val="clear" w:color="auto" w:fill="auto"/>
          </w:tcPr>
          <w:p>
            <w:pPr>
              <w:pStyle w:val="nTable"/>
              <w:spacing w:before="30" w:after="30"/>
              <w:rPr>
                <w:i/>
              </w:rPr>
            </w:pPr>
            <w:r>
              <w:rPr>
                <w:i/>
              </w:rPr>
              <w:t>Conservation and Land Management Amendment Regulations (No. 2) 2015</w:t>
            </w:r>
          </w:p>
        </w:tc>
        <w:tc>
          <w:tcPr>
            <w:tcW w:w="1276" w:type="dxa"/>
            <w:tcBorders>
              <w:bottom w:val="single" w:sz="4" w:space="0" w:color="auto"/>
            </w:tcBorders>
            <w:shd w:val="clear" w:color="auto" w:fill="auto"/>
          </w:tcPr>
          <w:p>
            <w:pPr>
              <w:pStyle w:val="nTable"/>
              <w:spacing w:before="30" w:after="30"/>
            </w:pPr>
            <w:r>
              <w:t>19 Jun 2015 p. 2095</w:t>
            </w:r>
            <w:r>
              <w:noBreakHyphen/>
              <w:t>6</w:t>
            </w:r>
          </w:p>
        </w:tc>
        <w:tc>
          <w:tcPr>
            <w:tcW w:w="2693" w:type="dxa"/>
            <w:tcBorders>
              <w:bottom w:val="single" w:sz="4" w:space="0" w:color="auto"/>
            </w:tcBorders>
            <w:shd w:val="clear" w:color="auto" w:fill="auto"/>
          </w:tcPr>
          <w:p>
            <w:pPr>
              <w:pStyle w:val="nTable"/>
              <w:spacing w:before="30" w:after="30"/>
              <w:rPr>
                <w:snapToGrid w:val="0"/>
              </w:rPr>
            </w:pPr>
            <w:r>
              <w:rPr>
                <w:snapToGrid w:val="0"/>
              </w:rPr>
              <w:t>r. 1 and 2: 19 Jun 2015 (see r. 2(a));</w:t>
            </w:r>
            <w:r>
              <w:rPr>
                <w:snapToGrid w:val="0"/>
              </w:rPr>
              <w:br/>
              <w:t>Regulations other than r. 1 and 2: 1 Jul 2015 (see r. 2(b))</w:t>
            </w:r>
          </w:p>
        </w:tc>
      </w:tr>
    </w:tbl>
    <w:p>
      <w:pPr>
        <w:pStyle w:val="nSubsection"/>
        <w:keepNext/>
        <w:spacing w:before="90"/>
      </w:pPr>
      <w:r>
        <w:rPr>
          <w:vertAlign w:val="superscript"/>
        </w:rPr>
        <w:t>2</w:t>
      </w:r>
      <w:r>
        <w:tab/>
        <w:t xml:space="preserve">Footnote no longer applicable. </w:t>
      </w:r>
    </w:p>
    <w:p>
      <w:pPr>
        <w:pStyle w:val="nSubsection"/>
        <w:keepNext/>
        <w:spacing w:before="90"/>
      </w:pPr>
      <w:r>
        <w:rPr>
          <w:vertAlign w:val="superscript"/>
        </w:rPr>
        <w:t>3</w:t>
      </w:r>
      <w:r>
        <w:tab/>
        <w:t xml:space="preserve">Deleted by the </w:t>
      </w:r>
      <w:r>
        <w:rPr>
          <w:i/>
          <w:iCs/>
        </w:rPr>
        <w:t>Conservation Legislation Amendment Act 2011</w:t>
      </w:r>
      <w:r>
        <w:rPr>
          <w:iCs/>
        </w:rPr>
        <w:t xml:space="preserve"> s. 10</w:t>
      </w:r>
      <w:r>
        <w:rPr>
          <w:i/>
          <w:iCs/>
        </w:rPr>
        <w:t>.</w:t>
      </w:r>
    </w:p>
    <w:p>
      <w:pPr>
        <w:pStyle w:val="nSubsection"/>
        <w:spacing w:before="90"/>
        <w:rPr>
          <w:i/>
        </w:rPr>
      </w:pPr>
      <w:r>
        <w:rPr>
          <w:vertAlign w:val="superscript"/>
        </w:rPr>
        <w:t>4</w:t>
      </w:r>
      <w:r>
        <w:tab/>
        <w:t>Repealed by these regulations.</w:t>
      </w:r>
    </w:p>
    <w:p>
      <w:pPr>
        <w:pStyle w:val="nSubsection"/>
        <w:spacing w:before="90"/>
        <w:rPr>
          <w:snapToGrid w:val="0"/>
        </w:rPr>
      </w:pPr>
      <w:r>
        <w:rPr>
          <w:vertAlign w:val="superscript"/>
        </w:rPr>
        <w:t>5</w:t>
      </w:r>
      <w:r>
        <w:rPr>
          <w:vertAlign w:val="superscript"/>
        </w:rPr>
        <w:tab/>
      </w:r>
      <w:r>
        <w:t xml:space="preserve">Under the </w:t>
      </w:r>
      <w:r>
        <w:rPr>
          <w:i/>
        </w:rPr>
        <w:t xml:space="preserve">Alteration of Statutory Designations Order (No. 2) 2013 </w:t>
      </w:r>
      <w:r>
        <w:t>a reference in any law to the Department of Environment and Conservation is to be read and construed as a reference to the Department of Parks and Wildlife unless the context of the reference requires otherwise.</w:t>
      </w:r>
    </w:p>
    <w:p>
      <w:pPr>
        <w:pStyle w:val="nSubsection"/>
        <w:spacing w:before="90"/>
        <w:rPr>
          <w:iCs/>
        </w:rPr>
      </w:pPr>
      <w:r>
        <w:rPr>
          <w:vertAlign w:val="superscript"/>
        </w:rPr>
        <w:t>6</w:t>
      </w:r>
      <w:r>
        <w:tab/>
        <w:t xml:space="preserve">The </w:t>
      </w:r>
      <w:r>
        <w:rPr>
          <w:i/>
        </w:rPr>
        <w:t>Financial Management (Transitional Provisions) Regulations 2009</w:t>
      </w:r>
      <w:r>
        <w:rPr>
          <w:iCs/>
        </w:rPr>
        <w:t xml:space="preserve"> r. 4 reads as follows:</w:t>
      </w:r>
    </w:p>
    <w:p>
      <w:pPr>
        <w:pStyle w:val="BlankOpen"/>
      </w:pPr>
    </w:p>
    <w:p>
      <w:pPr>
        <w:pStyle w:val="nzHeading5"/>
        <w:spacing w:before="0"/>
      </w:pPr>
      <w:r>
        <w:rPr>
          <w:rStyle w:val="CharSectno"/>
        </w:rPr>
        <w:t>4</w:t>
      </w:r>
      <w:r>
        <w:t>.</w:t>
      </w:r>
      <w:r>
        <w:tab/>
        <w:t xml:space="preserve">Transitional provision for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Trust Account</w:t>
      </w:r>
    </w:p>
    <w:p>
      <w:pPr>
        <w:pStyle w:val="nzSubsection"/>
        <w:spacing w:before="50"/>
      </w:pPr>
      <w:r>
        <w:tab/>
        <w:t>(1)</w:t>
      </w:r>
      <w:r>
        <w:tab/>
        <w:t xml:space="preserve">In this regulation — </w:t>
      </w:r>
    </w:p>
    <w:p>
      <w:pPr>
        <w:pStyle w:val="nzDefstart"/>
      </w:pPr>
      <w:r>
        <w:tab/>
      </w:r>
      <w:r>
        <w:rPr>
          <w:rStyle w:val="CharDefText"/>
        </w:rPr>
        <w:t>Barrow Island Net Conservation Benefit Account</w:t>
      </w:r>
      <w:r>
        <w:t xml:space="preserve"> means the account of that name established as an agency special purpose account under the </w:t>
      </w:r>
      <w:r>
        <w:rPr>
          <w:i/>
        </w:rPr>
        <w:t>Financial Management Act 2006</w:t>
      </w:r>
      <w:r>
        <w:t xml:space="preserve"> section 16 in accordance with the </w:t>
      </w:r>
      <w:r>
        <w:rPr>
          <w:i/>
        </w:rPr>
        <w:t>Conservation and Land Management Act 1984</w:t>
      </w:r>
      <w:r>
        <w:t xml:space="preserve"> section 69(1);</w:t>
      </w:r>
    </w:p>
    <w:p>
      <w:pPr>
        <w:pStyle w:val="nzDefstart"/>
      </w:pPr>
      <w:r>
        <w:tab/>
      </w:r>
      <w:r>
        <w:rPr>
          <w:rStyle w:val="CharDefText"/>
        </w:rPr>
        <w:t>Barrow Island Trust Account</w:t>
      </w:r>
      <w:r>
        <w:t xml:space="preserve"> means the account referred to in the </w:t>
      </w:r>
      <w:r>
        <w:rPr>
          <w:i/>
        </w:rPr>
        <w:t>Conservation and Land Management Regulations </w:t>
      </w:r>
      <w:r>
        <w:rPr>
          <w:i/>
          <w:iCs/>
        </w:rPr>
        <w:t>2002</w:t>
      </w:r>
      <w:r>
        <w:t xml:space="preserve"> Part 7A immediately before the commencement of regulation 3.</w:t>
      </w:r>
    </w:p>
    <w:p>
      <w:pPr>
        <w:pStyle w:val="nzSubsection"/>
        <w:spacing w:before="50"/>
      </w:pPr>
      <w:r>
        <w:tab/>
        <w:t>(2)</w:t>
      </w:r>
      <w:r>
        <w:tab/>
        <w:t>Any money standing to the credit of the Barrow Island Trust Account immediately before the commencement of regulation 3 is to be transferred to the Barrow Island Net Conservation Benefit Account.</w:t>
      </w:r>
    </w:p>
    <w:p>
      <w:pPr>
        <w:pStyle w:val="BlankClose"/>
      </w:pPr>
    </w:p>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586" w:name="_Toc414975354"/>
      <w:bookmarkStart w:id="587" w:name="_Toc417563835"/>
      <w:bookmarkStart w:id="588" w:name="_Toc423340656"/>
      <w:bookmarkStart w:id="589" w:name="_Toc423343254"/>
      <w:r>
        <w:rPr>
          <w:sz w:val="28"/>
        </w:rPr>
        <w:t>Defined terms</w:t>
      </w:r>
      <w:bookmarkEnd w:id="586"/>
      <w:bookmarkEnd w:id="587"/>
      <w:bookmarkEnd w:id="588"/>
      <w:bookmarkEnd w:id="5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artefact</w:t>
      </w:r>
      <w:r>
        <w:tab/>
        <w:t>2</w:t>
      </w:r>
    </w:p>
    <w:p>
      <w:pPr>
        <w:pStyle w:val="DefinedTerms"/>
      </w:pPr>
      <w:r>
        <w:t>Aboriginal site</w:t>
      </w:r>
      <w:r>
        <w:tab/>
        <w:t>2</w:t>
      </w:r>
    </w:p>
    <w:p>
      <w:pPr>
        <w:pStyle w:val="DefinedTerms"/>
      </w:pPr>
      <w:r>
        <w:t>abseiling area</w:t>
      </w:r>
      <w:r>
        <w:tab/>
        <w:t>2</w:t>
      </w:r>
    </w:p>
    <w:p>
      <w:pPr>
        <w:pStyle w:val="DefinedTerms"/>
      </w:pPr>
      <w:r>
        <w:t>aircraft</w:t>
      </w:r>
      <w:r>
        <w:tab/>
        <w:t>2</w:t>
      </w:r>
    </w:p>
    <w:p>
      <w:pPr>
        <w:pStyle w:val="DefinedTerms"/>
      </w:pPr>
      <w:r>
        <w:t>aircraft landing area</w:t>
      </w:r>
      <w:r>
        <w:tab/>
        <w:t>99A(1)</w:t>
      </w:r>
    </w:p>
    <w:p>
      <w:pPr>
        <w:pStyle w:val="DefinedTerms"/>
      </w:pPr>
      <w:r>
        <w:t>apiarist</w:t>
      </w:r>
      <w:r>
        <w:tab/>
        <w:t>98G(1)</w:t>
      </w:r>
    </w:p>
    <w:p>
      <w:pPr>
        <w:pStyle w:val="DefinedTerms"/>
      </w:pPr>
      <w:r>
        <w:t>apiary authority</w:t>
      </w:r>
      <w:r>
        <w:tab/>
        <w:t>98A</w:t>
      </w:r>
    </w:p>
    <w:p>
      <w:pPr>
        <w:pStyle w:val="DefinedTerms"/>
      </w:pPr>
      <w:r>
        <w:t>apiary licence</w:t>
      </w:r>
      <w:r>
        <w:tab/>
        <w:t>98A</w:t>
      </w:r>
    </w:p>
    <w:p>
      <w:pPr>
        <w:pStyle w:val="DefinedTerms"/>
      </w:pPr>
      <w:r>
        <w:t>apiary permit</w:t>
      </w:r>
      <w:r>
        <w:tab/>
        <w:t>98A</w:t>
      </w:r>
    </w:p>
    <w:p>
      <w:pPr>
        <w:pStyle w:val="DefinedTerms"/>
      </w:pPr>
      <w:r>
        <w:t>apiary site</w:t>
      </w:r>
      <w:r>
        <w:tab/>
        <w:t>98A</w:t>
      </w:r>
    </w:p>
    <w:p>
      <w:pPr>
        <w:pStyle w:val="DefinedTerms"/>
      </w:pPr>
      <w:r>
        <w:t>authorised officer</w:t>
      </w:r>
      <w:r>
        <w:tab/>
        <w:t>2</w:t>
      </w:r>
    </w:p>
    <w:p>
      <w:pPr>
        <w:pStyle w:val="DefinedTerms"/>
      </w:pPr>
      <w:r>
        <w:t>beach</w:t>
      </w:r>
      <w:r>
        <w:tab/>
        <w:t>64(7)</w:t>
      </w:r>
    </w:p>
    <w:p>
      <w:pPr>
        <w:pStyle w:val="DefinedTerms"/>
      </w:pPr>
      <w:r>
        <w:t>bicycle</w:t>
      </w:r>
      <w:r>
        <w:tab/>
        <w:t>2</w:t>
      </w:r>
    </w:p>
    <w:p>
      <w:pPr>
        <w:pStyle w:val="DefinedTerms"/>
      </w:pPr>
      <w:r>
        <w:t>bicycle path</w:t>
      </w:r>
      <w:r>
        <w:tab/>
        <w:t>51A(4)</w:t>
      </w:r>
    </w:p>
    <w:p>
      <w:pPr>
        <w:pStyle w:val="DefinedTerms"/>
      </w:pPr>
      <w:r>
        <w:t>CALM land</w:t>
      </w:r>
      <w:r>
        <w:tab/>
        <w:t>2, 8(3)</w:t>
      </w:r>
    </w:p>
    <w:p>
      <w:pPr>
        <w:pStyle w:val="DefinedTerms"/>
      </w:pPr>
      <w:r>
        <w:t>camp</w:t>
      </w:r>
      <w:r>
        <w:tab/>
        <w:t>2</w:t>
      </w:r>
    </w:p>
    <w:p>
      <w:pPr>
        <w:pStyle w:val="DefinedTerms"/>
      </w:pPr>
      <w:r>
        <w:t>camping area</w:t>
      </w:r>
      <w:r>
        <w:tab/>
        <w:t>2</w:t>
      </w:r>
    </w:p>
    <w:p>
      <w:pPr>
        <w:pStyle w:val="DefinedTerms"/>
      </w:pPr>
      <w:r>
        <w:t>camping unit</w:t>
      </w:r>
      <w:r>
        <w:tab/>
        <w:t>2</w:t>
      </w:r>
    </w:p>
    <w:p>
      <w:pPr>
        <w:pStyle w:val="DefinedTerms"/>
      </w:pPr>
      <w:r>
        <w:t>caravan</w:t>
      </w:r>
      <w:r>
        <w:tab/>
        <w:t>2</w:t>
      </w:r>
    </w:p>
    <w:p>
      <w:pPr>
        <w:pStyle w:val="DefinedTerms"/>
      </w:pPr>
      <w:r>
        <w:t>category A firearm</w:t>
      </w:r>
      <w:r>
        <w:tab/>
        <w:t>121(1)</w:t>
      </w:r>
    </w:p>
    <w:p>
      <w:pPr>
        <w:pStyle w:val="DefinedTerms"/>
      </w:pPr>
      <w:r>
        <w:t>category B firearm</w:t>
      </w:r>
      <w:r>
        <w:tab/>
        <w:t>121(1)</w:t>
      </w:r>
    </w:p>
    <w:p>
      <w:pPr>
        <w:pStyle w:val="DefinedTerms"/>
      </w:pPr>
      <w:r>
        <w:t>cave</w:t>
      </w:r>
      <w:r>
        <w:tab/>
        <w:t>49(1)</w:t>
      </w:r>
    </w:p>
    <w:p>
      <w:pPr>
        <w:pStyle w:val="DefinedTerms"/>
      </w:pPr>
      <w:r>
        <w:t>commercial operations licence</w:t>
      </w:r>
      <w:r>
        <w:tab/>
        <w:t>2</w:t>
      </w:r>
    </w:p>
    <w:p>
      <w:pPr>
        <w:pStyle w:val="DefinedTerms"/>
      </w:pPr>
      <w:r>
        <w:t>commercial purpose</w:t>
      </w:r>
      <w:r>
        <w:tab/>
        <w:t>2</w:t>
      </w:r>
    </w:p>
    <w:p>
      <w:pPr>
        <w:pStyle w:val="DefinedTerms"/>
      </w:pPr>
      <w:r>
        <w:t>Companion Card</w:t>
      </w:r>
      <w:r>
        <w:tab/>
        <w:t>2</w:t>
      </w:r>
    </w:p>
    <w:p>
      <w:pPr>
        <w:pStyle w:val="DefinedTerms"/>
      </w:pPr>
      <w:r>
        <w:t>concession card</w:t>
      </w:r>
      <w:r>
        <w:tab/>
        <w:t>2</w:t>
      </w:r>
    </w:p>
    <w:p>
      <w:pPr>
        <w:pStyle w:val="DefinedTerms"/>
      </w:pPr>
      <w:r>
        <w:t>current inspection report</w:t>
      </w:r>
      <w:r>
        <w:tab/>
        <w:t>98AI(1)</w:t>
      </w:r>
    </w:p>
    <w:p>
      <w:pPr>
        <w:pStyle w:val="DefinedTerms"/>
      </w:pPr>
      <w:r>
        <w:t>designated area</w:t>
      </w:r>
      <w:r>
        <w:tab/>
        <w:t>2</w:t>
      </w:r>
    </w:p>
    <w:p>
      <w:pPr>
        <w:pStyle w:val="DefinedTerms"/>
      </w:pPr>
      <w:r>
        <w:t>dog area</w:t>
      </w:r>
      <w:r>
        <w:tab/>
        <w:t>2</w:t>
      </w:r>
    </w:p>
    <w:p>
      <w:pPr>
        <w:pStyle w:val="DefinedTerms"/>
      </w:pPr>
      <w:r>
        <w:t>fauna</w:t>
      </w:r>
      <w:r>
        <w:tab/>
        <w:t>8(3)</w:t>
      </w:r>
    </w:p>
    <w:p>
      <w:pPr>
        <w:pStyle w:val="DefinedTerms"/>
      </w:pPr>
      <w:r>
        <w:t>firewood</w:t>
      </w:r>
      <w:r>
        <w:tab/>
        <w:t>71(4)</w:t>
      </w:r>
    </w:p>
    <w:p>
      <w:pPr>
        <w:pStyle w:val="DefinedTerms"/>
      </w:pPr>
      <w:r>
        <w:t>fish</w:t>
      </w:r>
      <w:r>
        <w:tab/>
        <w:t>121(1)</w:t>
      </w:r>
    </w:p>
    <w:p>
      <w:pPr>
        <w:pStyle w:val="DefinedTerms"/>
      </w:pPr>
      <w:r>
        <w:t>fishing activity</w:t>
      </w:r>
      <w:r>
        <w:tab/>
        <w:t>9(2)</w:t>
      </w:r>
    </w:p>
    <w:p>
      <w:pPr>
        <w:pStyle w:val="DefinedTerms"/>
      </w:pPr>
      <w:r>
        <w:t>horse area</w:t>
      </w:r>
      <w:r>
        <w:tab/>
        <w:t>2</w:t>
      </w:r>
    </w:p>
    <w:p>
      <w:pPr>
        <w:pStyle w:val="DefinedTerms"/>
      </w:pPr>
      <w:r>
        <w:t>inspection report</w:t>
      </w:r>
      <w:r>
        <w:tab/>
        <w:t>98AI(1)</w:t>
      </w:r>
    </w:p>
    <w:p>
      <w:pPr>
        <w:pStyle w:val="DefinedTerms"/>
      </w:pPr>
      <w:r>
        <w:t>licence</w:t>
      </w:r>
      <w:r>
        <w:tab/>
        <w:t>82</w:t>
      </w:r>
    </w:p>
    <w:p>
      <w:pPr>
        <w:pStyle w:val="DefinedTerms"/>
      </w:pPr>
      <w:r>
        <w:t>licence holder</w:t>
      </w:r>
      <w:r>
        <w:tab/>
        <w:t>98AA, 98AI(1)</w:t>
      </w:r>
    </w:p>
    <w:p>
      <w:pPr>
        <w:pStyle w:val="DefinedTerms"/>
      </w:pPr>
      <w:r>
        <w:t>licensed mooring</w:t>
      </w:r>
      <w:r>
        <w:tab/>
        <w:t>98AI(1)</w:t>
      </w:r>
    </w:p>
    <w:p>
      <w:pPr>
        <w:pStyle w:val="DefinedTerms"/>
      </w:pPr>
      <w:r>
        <w:t>litter</w:t>
      </w:r>
      <w:r>
        <w:tab/>
        <w:t>24(2)</w:t>
      </w:r>
    </w:p>
    <w:p>
      <w:pPr>
        <w:pStyle w:val="DefinedTerms"/>
      </w:pPr>
      <w:r>
        <w:t>local departmental office</w:t>
      </w:r>
      <w:r>
        <w:tab/>
        <w:t>98G(1)</w:t>
      </w:r>
    </w:p>
    <w:p>
      <w:pPr>
        <w:pStyle w:val="DefinedTerms"/>
      </w:pPr>
      <w:r>
        <w:t>loss</w:t>
      </w:r>
      <w:r>
        <w:tab/>
        <w:t>98AH(1)</w:t>
      </w:r>
    </w:p>
    <w:p>
      <w:pPr>
        <w:pStyle w:val="DefinedTerms"/>
      </w:pPr>
      <w:r>
        <w:t>mooring</w:t>
      </w:r>
      <w:r>
        <w:tab/>
        <w:t>2</w:t>
      </w:r>
    </w:p>
    <w:p>
      <w:pPr>
        <w:pStyle w:val="DefinedTerms"/>
      </w:pPr>
      <w:r>
        <w:t>mooring licence area</w:t>
      </w:r>
      <w:r>
        <w:tab/>
        <w:t>98AI(1)</w:t>
      </w:r>
    </w:p>
    <w:p>
      <w:pPr>
        <w:pStyle w:val="DefinedTerms"/>
      </w:pPr>
      <w:r>
        <w:t>naturally occurring feature</w:t>
      </w:r>
      <w:r>
        <w:tab/>
        <w:t>31(4)</w:t>
      </w:r>
    </w:p>
    <w:p>
      <w:pPr>
        <w:pStyle w:val="DefinedTerms"/>
      </w:pPr>
      <w:r>
        <w:t>non</w:t>
      </w:r>
      <w:r>
        <w:noBreakHyphen/>
        <w:t>indigenous animal</w:t>
      </w:r>
      <w:r>
        <w:tab/>
        <w:t>2</w:t>
      </w:r>
    </w:p>
    <w:p>
      <w:pPr>
        <w:pStyle w:val="DefinedTerms"/>
      </w:pPr>
      <w:r>
        <w:t>non</w:t>
      </w:r>
      <w:r>
        <w:noBreakHyphen/>
        <w:t>tour motor vehicle</w:t>
      </w:r>
      <w:r>
        <w:tab/>
        <w:t>99(1)</w:t>
      </w:r>
    </w:p>
    <w:p>
      <w:pPr>
        <w:pStyle w:val="DefinedTerms"/>
      </w:pPr>
      <w:r>
        <w:t>occupant</w:t>
      </w:r>
      <w:r>
        <w:tab/>
        <w:t>99A(1)</w:t>
      </w:r>
    </w:p>
    <w:p>
      <w:pPr>
        <w:pStyle w:val="DefinedTerms"/>
      </w:pPr>
      <w:r>
        <w:t>permission</w:t>
      </w:r>
      <w:r>
        <w:tab/>
        <w:t>123(1)</w:t>
      </w:r>
    </w:p>
    <w:p>
      <w:pPr>
        <w:pStyle w:val="DefinedTerms"/>
      </w:pPr>
      <w:r>
        <w:t>permission holder</w:t>
      </w:r>
      <w:r>
        <w:tab/>
        <w:t>123(1)</w:t>
      </w:r>
    </w:p>
    <w:p>
      <w:pPr>
        <w:pStyle w:val="DefinedTerms"/>
      </w:pPr>
      <w:r>
        <w:t>plant</w:t>
      </w:r>
      <w:r>
        <w:tab/>
        <w:t>13(2)</w:t>
      </w:r>
    </w:p>
    <w:p>
      <w:pPr>
        <w:pStyle w:val="DefinedTerms"/>
      </w:pPr>
      <w:r>
        <w:t>poison risk area</w:t>
      </w:r>
      <w:r>
        <w:tab/>
        <w:t>115(1)</w:t>
      </w:r>
    </w:p>
    <w:p>
      <w:pPr>
        <w:pStyle w:val="DefinedTerms"/>
      </w:pPr>
      <w:r>
        <w:t>poison risk map</w:t>
      </w:r>
      <w:r>
        <w:tab/>
        <w:t>115(1)</w:t>
      </w:r>
    </w:p>
    <w:p>
      <w:pPr>
        <w:pStyle w:val="DefinedTerms"/>
      </w:pPr>
      <w:r>
        <w:t>private mooring</w:t>
      </w:r>
      <w:r>
        <w:tab/>
        <w:t>98AI(1)</w:t>
      </w:r>
    </w:p>
    <w:p>
      <w:pPr>
        <w:pStyle w:val="DefinedTerms"/>
      </w:pPr>
      <w:r>
        <w:t>private mooring licence</w:t>
      </w:r>
      <w:r>
        <w:tab/>
        <w:t>98AI(1)</w:t>
      </w:r>
    </w:p>
    <w:p>
      <w:pPr>
        <w:pStyle w:val="DefinedTerms"/>
      </w:pPr>
      <w:r>
        <w:t>property</w:t>
      </w:r>
      <w:r>
        <w:tab/>
        <w:t>77(1)</w:t>
      </w:r>
    </w:p>
    <w:p>
      <w:pPr>
        <w:pStyle w:val="DefinedTerms"/>
      </w:pPr>
      <w:r>
        <w:t>public mooring</w:t>
      </w:r>
      <w:r>
        <w:tab/>
        <w:t>2</w:t>
      </w:r>
    </w:p>
    <w:p>
      <w:pPr>
        <w:pStyle w:val="DefinedTerms"/>
      </w:pPr>
      <w:r>
        <w:t>recreational land</w:t>
      </w:r>
      <w:r>
        <w:tab/>
        <w:t>114</w:t>
      </w:r>
    </w:p>
    <w:p>
      <w:pPr>
        <w:pStyle w:val="DefinedTerms"/>
      </w:pPr>
      <w:r>
        <w:t>relevant area</w:t>
      </w:r>
      <w:r>
        <w:tab/>
        <w:t>121(1)</w:t>
      </w:r>
    </w:p>
    <w:p>
      <w:pPr>
        <w:pStyle w:val="DefinedTerms"/>
      </w:pPr>
      <w:r>
        <w:t>rental mooring</w:t>
      </w:r>
      <w:r>
        <w:tab/>
        <w:t>98AA</w:t>
      </w:r>
    </w:p>
    <w:p>
      <w:pPr>
        <w:pStyle w:val="DefinedTerms"/>
      </w:pPr>
      <w:r>
        <w:t>rental mooring licence</w:t>
      </w:r>
      <w:r>
        <w:tab/>
        <w:t>98AA</w:t>
      </w:r>
    </w:p>
    <w:p>
      <w:pPr>
        <w:pStyle w:val="DefinedTerms"/>
      </w:pPr>
      <w:r>
        <w:t>restricted area</w:t>
      </w:r>
      <w:r>
        <w:tab/>
        <w:t>2</w:t>
      </w:r>
    </w:p>
    <w:p>
      <w:pPr>
        <w:pStyle w:val="DefinedTerms"/>
      </w:pPr>
      <w:r>
        <w:t>restricted device</w:t>
      </w:r>
      <w:r>
        <w:tab/>
        <w:t>12(5)</w:t>
      </w:r>
    </w:p>
    <w:p>
      <w:pPr>
        <w:pStyle w:val="DefinedTerms"/>
      </w:pPr>
      <w:r>
        <w:t>school holidays</w:t>
      </w:r>
      <w:r>
        <w:tab/>
        <w:t>2</w:t>
      </w:r>
    </w:p>
    <w:p>
      <w:pPr>
        <w:pStyle w:val="DefinedTerms"/>
      </w:pPr>
      <w:r>
        <w:t>scientific purposes licence</w:t>
      </w:r>
      <w:r>
        <w:tab/>
        <w:t>2</w:t>
      </w:r>
    </w:p>
    <w:p>
      <w:pPr>
        <w:pStyle w:val="DefinedTerms"/>
      </w:pPr>
      <w:r>
        <w:t>sell</w:t>
      </w:r>
      <w:r>
        <w:tab/>
        <w:t>2</w:t>
      </w:r>
    </w:p>
    <w:p>
      <w:pPr>
        <w:pStyle w:val="DefinedTerms"/>
      </w:pPr>
      <w:r>
        <w:t>services</w:t>
      </w:r>
      <w:r>
        <w:tab/>
        <w:t>2</w:t>
      </w:r>
    </w:p>
    <w:p>
      <w:pPr>
        <w:pStyle w:val="DefinedTerms"/>
      </w:pPr>
      <w:r>
        <w:t>sign</w:t>
      </w:r>
      <w:r>
        <w:tab/>
        <w:t>2</w:t>
      </w:r>
    </w:p>
    <w:p>
      <w:pPr>
        <w:pStyle w:val="DefinedTerms"/>
      </w:pPr>
      <w:r>
        <w:t>soil</w:t>
      </w:r>
      <w:r>
        <w:tab/>
        <w:t>35A(2)</w:t>
      </w:r>
    </w:p>
    <w:p>
      <w:pPr>
        <w:pStyle w:val="DefinedTerms"/>
      </w:pPr>
      <w:r>
        <w:t>South</w:t>
      </w:r>
      <w:r>
        <w:noBreakHyphen/>
        <w:t>west zone</w:t>
      </w:r>
      <w:r>
        <w:tab/>
        <w:t>98A</w:t>
      </w:r>
    </w:p>
    <w:p>
      <w:pPr>
        <w:pStyle w:val="DefinedTerms"/>
      </w:pPr>
      <w:r>
        <w:t>specified</w:t>
      </w:r>
      <w:r>
        <w:tab/>
        <w:t>56(6), 61B(1), 98AC(1)</w:t>
      </w:r>
    </w:p>
    <w:p>
      <w:pPr>
        <w:pStyle w:val="DefinedTerms"/>
      </w:pPr>
      <w:r>
        <w:t>structure</w:t>
      </w:r>
      <w:r>
        <w:tab/>
        <w:t>34(2)</w:t>
      </w:r>
    </w:p>
    <w:p>
      <w:pPr>
        <w:pStyle w:val="DefinedTerms"/>
      </w:pPr>
      <w:r>
        <w:t>take</w:t>
      </w:r>
      <w:r>
        <w:tab/>
        <w:t>2</w:t>
      </w:r>
    </w:p>
    <w:p>
      <w:pPr>
        <w:pStyle w:val="DefinedTerms"/>
      </w:pPr>
      <w:r>
        <w:t>temporary mooring area</w:t>
      </w:r>
      <w:r>
        <w:tab/>
        <w:t>2</w:t>
      </w:r>
    </w:p>
    <w:p>
      <w:pPr>
        <w:pStyle w:val="DefinedTerms"/>
      </w:pPr>
      <w:r>
        <w:t>tender</w:t>
      </w:r>
      <w:r>
        <w:tab/>
        <w:t>2</w:t>
      </w:r>
    </w:p>
    <w:p>
      <w:pPr>
        <w:pStyle w:val="DefinedTerms"/>
      </w:pPr>
      <w:r>
        <w:t>ticket vending machine</w:t>
      </w:r>
      <w:r>
        <w:tab/>
        <w:t>56(6)</w:t>
      </w:r>
    </w:p>
    <w:p>
      <w:pPr>
        <w:pStyle w:val="DefinedTerms"/>
      </w:pPr>
      <w:r>
        <w:t>tour vehicle</w:t>
      </w:r>
      <w:r>
        <w:tab/>
        <w:t>99(1)</w:t>
      </w:r>
    </w:p>
    <w:p>
      <w:pPr>
        <w:pStyle w:val="DefinedTerms"/>
      </w:pPr>
      <w:r>
        <w:t>townsite</w:t>
      </w:r>
      <w:r>
        <w:tab/>
        <w:t>114</w:t>
      </w:r>
    </w:p>
    <w:p>
      <w:pPr>
        <w:pStyle w:val="DefinedTerms"/>
      </w:pPr>
      <w:r>
        <w:t>tree</w:t>
      </w:r>
      <w:r>
        <w:tab/>
        <w:t>2</w:t>
      </w:r>
    </w:p>
    <w:p>
      <w:pPr>
        <w:pStyle w:val="DefinedTerms"/>
      </w:pPr>
      <w:r>
        <w:t>Tree Top Walk</w:t>
      </w:r>
      <w:r>
        <w:tab/>
        <w:t>100(1)</w:t>
      </w:r>
    </w:p>
    <w:p>
      <w:pPr>
        <w:pStyle w:val="DefinedTerms"/>
      </w:pPr>
      <w:r>
        <w:t>urban land</w:t>
      </w:r>
      <w:r>
        <w:tab/>
        <w:t>114, 118(2), 119(3)</w:t>
      </w:r>
    </w:p>
    <w:p>
      <w:pPr>
        <w:pStyle w:val="DefinedTerms"/>
      </w:pPr>
      <w:r>
        <w:t>vehicle</w:t>
      </w:r>
      <w:r>
        <w:tab/>
        <w:t>2</w:t>
      </w:r>
    </w:p>
    <w:p>
      <w:pPr>
        <w:pStyle w:val="DefinedTerms"/>
      </w:pPr>
      <w:r>
        <w:t>vessel</w:t>
      </w:r>
      <w:r>
        <w:tab/>
        <w:t>2</w:t>
      </w:r>
    </w:p>
    <w:p>
      <w:pPr>
        <w:pStyle w:val="DefinedTerms"/>
      </w:pPr>
      <w:r>
        <w:t>vessel storage facility</w:t>
      </w:r>
      <w:r>
        <w:tab/>
        <w:t>65A(1)</w:t>
      </w:r>
    </w:p>
    <w:p>
      <w:pPr>
        <w:pStyle w:val="DefinedTerms"/>
      </w:pPr>
      <w:r>
        <w:t>visitor area</w:t>
      </w:r>
      <w:r>
        <w:tab/>
        <w:t>114</w:t>
      </w:r>
    </w:p>
    <w:p>
      <w:pPr>
        <w:pStyle w:val="DefinedTerms"/>
      </w:pPr>
      <w:r>
        <w:t>waste</w:t>
      </w:r>
      <w:r>
        <w:tab/>
        <w:t>21(5)</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126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03-g0-00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127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70" w:name="Schedule"/>
    <w:bookmarkEnd w:id="57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Offences to which modified penalties apply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Forest Management Regulations 1993</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Offences to which modified penalties apply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Offences under Forest Management Regulations 1993</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85" w:name="Compilation"/>
    <w:bookmarkEnd w:id="58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90" w:name="DefinedTerms"/>
    <w:bookmarkEnd w:id="590"/>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91" w:name="Coversheet"/>
    <w:bookmarkEnd w:id="59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28A83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19C75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D1C0FEC"/>
    <w:lvl w:ilvl="0">
      <w:start w:val="1"/>
      <w:numFmt w:val="decimal"/>
      <w:pStyle w:val="ListNumber3"/>
      <w:lvlText w:val="%1."/>
      <w:lvlJc w:val="left"/>
      <w:pPr>
        <w:tabs>
          <w:tab w:val="num" w:pos="926"/>
        </w:tabs>
        <w:ind w:left="926" w:hanging="360"/>
      </w:pPr>
    </w:lvl>
  </w:abstractNum>
  <w:abstractNum w:abstractNumId="3">
    <w:nsid w:val="FFFFFF7F"/>
    <w:multiLevelType w:val="singleLevel"/>
    <w:tmpl w:val="A300E0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25D4822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AC689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32827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3E64BC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1C436FA"/>
    <w:lvl w:ilvl="0">
      <w:start w:val="1"/>
      <w:numFmt w:val="decimal"/>
      <w:pStyle w:val="ListNumber"/>
      <w:lvlText w:val="%1."/>
      <w:lvlJc w:val="left"/>
      <w:pPr>
        <w:tabs>
          <w:tab w:val="num" w:pos="360"/>
        </w:tabs>
        <w:ind w:left="360" w:hanging="360"/>
      </w:pPr>
    </w:lvl>
  </w:abstractNum>
  <w:abstractNum w:abstractNumId="9">
    <w:nsid w:val="FFFFFF89"/>
    <w:multiLevelType w:val="singleLevel"/>
    <w:tmpl w:val="C76295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BB370D7"/>
    <w:multiLevelType w:val="multilevel"/>
    <w:tmpl w:val="B9D6DF1A"/>
    <w:name w:val="Schedule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CF3E31F8"/>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3">
    <w:nsid w:val="16880C58"/>
    <w:multiLevelType w:val="multilevel"/>
    <w:tmpl w:val="7226A03A"/>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4">
    <w:nsid w:val="22FF52EB"/>
    <w:multiLevelType w:val="multilevel"/>
    <w:tmpl w:val="FDFEBE0E"/>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5">
    <w:nsid w:val="310F4753"/>
    <w:multiLevelType w:val="multilevel"/>
    <w:tmpl w:val="4F04CBB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6">
    <w:nsid w:val="351C33A5"/>
    <w:multiLevelType w:val="multilevel"/>
    <w:tmpl w:val="6A7E0364"/>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7">
    <w:nsid w:val="3A396798"/>
    <w:multiLevelType w:val="multilevel"/>
    <w:tmpl w:val="0B425D62"/>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8">
    <w:nsid w:val="3C2808C0"/>
    <w:multiLevelType w:val="singleLevel"/>
    <w:tmpl w:val="DD522B3E"/>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69F82C98"/>
    <w:multiLevelType w:val="multilevel"/>
    <w:tmpl w:val="70E21894"/>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0">
    <w:nsid w:val="6FDE73CC"/>
    <w:multiLevelType w:val="multilevel"/>
    <w:tmpl w:val="04E64ACC"/>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23155010"/>
    <w:docVar w:name="WAFER_20140115141237" w:val="RemoveTocBookmarks,RemoveUnusedBookmarks,RemoveLanguageTags,UsedStyles,ResetPageSize,UpdateArrangement"/>
    <w:docVar w:name="WAFER_20140115141237_GUID" w:val="cfdced70-9e04-4561-a7de-1ac3a8ac76f6"/>
    <w:docVar w:name="WAFER_20140919100941" w:val="RemoveTocBookmarks,RunningHeaders"/>
    <w:docVar w:name="WAFER_20140919100941_GUID" w:val="f43aeac4-711b-4744-885e-d31246cbdb1c"/>
    <w:docVar w:name="WAFER_20140919101009" w:val="RemoveTocBookmarks,RunningHeaders"/>
    <w:docVar w:name="WAFER_20140919101009_GUID" w:val="1d2a74d2-e5a9-4ade-a5e4-5c02b5ab9ebb"/>
    <w:docVar w:name="WAFER_20150108164059" w:val="RemoveTocBookmarks,RunningHeaders"/>
    <w:docVar w:name="WAFER_20150108164059_GUID" w:val="be47908d-f08d-4404-a951-123f83c64947"/>
    <w:docVar w:name="WAFER_20150323155010" w:val="ResetPageSize,UpdateArrangement,UpdateNTable"/>
    <w:docVar w:name="WAFER_20150323155010_GUID" w:val="189d785f-6ef1-488b-8c00-d87ee536a6f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593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header" Target="header2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oter" Target="footer9.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image" Target="media/image2.png"/><Relationship Id="rId35" Type="http://schemas.openxmlformats.org/officeDocument/2006/relationships/header" Target="header17.xml"/><Relationship Id="rId43"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59FF37-29B7-4817-9F2F-98B949D43F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137</Pages>
  <Words>30298</Words>
  <Characters>142704</Characters>
  <Application>Microsoft Office Word</Application>
  <DocSecurity>0</DocSecurity>
  <Lines>4920</Lines>
  <Paragraphs>3604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169398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Regulations 2002 - 03-g0-00</dc:title>
  <dc:subject/>
  <dc:creator/>
  <cp:keywords/>
  <dc:description/>
  <cp:lastModifiedBy>svcMRProcess</cp:lastModifiedBy>
  <cp:revision>4</cp:revision>
  <cp:lastPrinted>2013-07-30T05:56:00Z</cp:lastPrinted>
  <dcterms:created xsi:type="dcterms:W3CDTF">2018-09-11T02:27:00Z</dcterms:created>
  <dcterms:modified xsi:type="dcterms:W3CDTF">2018-09-11T02:27:00Z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May 2002 p. 2233-308</vt:lpwstr>
  </property>
  <property fmtid="{D5CDD505-2E9C-101B-9397-08002B2CF9AE}" pid="3" name="DocumentType">
    <vt:lpwstr>Reg</vt:lpwstr>
  </property>
  <property fmtid="{D5CDD505-2E9C-101B-9397-08002B2CF9AE}" pid="4" name="OwlsUID">
    <vt:i4>609</vt:i4>
  </property>
  <property fmtid="{D5CDD505-2E9C-101B-9397-08002B2CF9AE}" pid="5" name="ReprintNo">
    <vt:lpwstr>3</vt:lpwstr>
  </property>
  <property fmtid="{D5CDD505-2E9C-101B-9397-08002B2CF9AE}" pid="6" name="ReprintedAsAt">
    <vt:filetime>2013-07-11T16:00:00Z</vt:filetime>
  </property>
  <property fmtid="{D5CDD505-2E9C-101B-9397-08002B2CF9AE}" pid="7" name="AsAtDate">
    <vt:lpwstr>01 Jul 2015</vt:lpwstr>
  </property>
  <property fmtid="{D5CDD505-2E9C-101B-9397-08002B2CF9AE}" pid="8" name="Suffix">
    <vt:lpwstr>03-g0-00</vt:lpwstr>
  </property>
  <property fmtid="{D5CDD505-2E9C-101B-9397-08002B2CF9AE}" pid="9" name="CommencementDate">
    <vt:lpwstr>20150701</vt:lpwstr>
  </property>
</Properties>
</file>