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_Toc423343574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_Toc423343575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_Toc423343576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_Toc423343577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_Toc423343578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_Toc423343579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_Toc423343580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Court or registrar may remit fees</w:t>
      </w:r>
      <w:r>
        <w:tab/>
      </w:r>
      <w:r>
        <w:fldChar w:fldCharType="begin"/>
      </w:r>
      <w:r>
        <w:instrText xml:space="preserve"> PAGEREF _Toc423343581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Conventions</w:t>
      </w:r>
      <w:r>
        <w:tab/>
      </w:r>
      <w:r>
        <w:fldChar w:fldCharType="begin"/>
      </w:r>
      <w:r>
        <w:instrText xml:space="preserve"> PAGEREF _Toc423343582 \h </w:instrText>
      </w:r>
      <w:r>
        <w:fldChar w:fldCharType="separate"/>
      </w:r>
      <w:r>
        <w:t>9</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_Toc423343583 \h </w:instrText>
      </w:r>
      <w:r>
        <w:fldChar w:fldCharType="separate"/>
      </w:r>
      <w:r>
        <w:t>9</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_Toc423343584 \h </w:instrText>
      </w:r>
      <w:r>
        <w:fldChar w:fldCharType="separate"/>
      </w:r>
      <w:r>
        <w:t>10</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_Toc423343585 \h </w:instrText>
      </w:r>
      <w:r>
        <w:fldChar w:fldCharType="separate"/>
      </w:r>
      <w:r>
        <w:t>10</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_Toc423343586 \h </w:instrText>
      </w:r>
      <w:r>
        <w:fldChar w:fldCharType="separate"/>
      </w:r>
      <w:r>
        <w:t>10</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_Toc423343587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_Toc423343592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11340762"/>
      <w:bookmarkStart w:id="4" w:name="_Toc423343574"/>
      <w:r>
        <w:rPr>
          <w:rStyle w:val="CharSectno"/>
        </w:rPr>
        <w:t>1</w:t>
      </w:r>
      <w:r>
        <w:t>.</w:t>
      </w:r>
      <w:r>
        <w:tab/>
        <w:t>Citation</w:t>
      </w:r>
      <w:bookmarkEnd w:id="3"/>
      <w:bookmarkEnd w:id="4"/>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23343575"/>
      <w:r>
        <w:rPr>
          <w:rStyle w:val="CharSectno"/>
        </w:rPr>
        <w:t>2</w:t>
      </w:r>
      <w:r>
        <w:t>.</w:t>
      </w:r>
      <w:r>
        <w:tab/>
        <w:t>Commencement</w:t>
      </w:r>
      <w:bookmarkEnd w:id="5"/>
      <w:bookmarkEnd w:id="6"/>
    </w:p>
    <w:p>
      <w:pPr>
        <w:pStyle w:val="Subsection"/>
      </w:pPr>
      <w:r>
        <w:tab/>
      </w:r>
      <w:r>
        <w:tab/>
        <w:t>These regulations come into operation on 1 January 2002.</w:t>
      </w:r>
    </w:p>
    <w:p>
      <w:pPr>
        <w:pStyle w:val="Heading5"/>
      </w:pPr>
      <w:bookmarkStart w:id="7" w:name="_Toc411340764"/>
      <w:bookmarkStart w:id="8" w:name="_Toc423343576"/>
      <w:r>
        <w:rPr>
          <w:rStyle w:val="CharSectno"/>
        </w:rPr>
        <w:t>3</w:t>
      </w:r>
      <w:r>
        <w:rPr>
          <w:snapToGrid w:val="0"/>
        </w:rPr>
        <w:t>.</w:t>
      </w:r>
      <w:r>
        <w:rPr>
          <w:snapToGrid w:val="0"/>
        </w:rPr>
        <w:tab/>
      </w:r>
      <w:r>
        <w:t>Terms used</w:t>
      </w:r>
      <w:bookmarkEnd w:id="7"/>
      <w:bookmarkEnd w:id="8"/>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9" w:name="_Toc411340765"/>
      <w:bookmarkStart w:id="10" w:name="_Toc423343577"/>
      <w:r>
        <w:rPr>
          <w:rStyle w:val="CharSectno"/>
        </w:rPr>
        <w:t>4</w:t>
      </w:r>
      <w:r>
        <w:rPr>
          <w:snapToGrid w:val="0"/>
        </w:rPr>
        <w:t>.</w:t>
      </w:r>
      <w:r>
        <w:rPr>
          <w:snapToGrid w:val="0"/>
        </w:rPr>
        <w:tab/>
        <w:t>Fees to be charged</w:t>
      </w:r>
      <w:bookmarkEnd w:id="9"/>
      <w:bookmarkEnd w:id="10"/>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1" w:name="_Toc411340766"/>
      <w:bookmarkStart w:id="12" w:name="_Toc423343578"/>
      <w:r>
        <w:rPr>
          <w:rStyle w:val="CharSectno"/>
        </w:rPr>
        <w:t>5</w:t>
      </w:r>
      <w:r>
        <w:rPr>
          <w:snapToGrid w:val="0"/>
        </w:rPr>
        <w:t>.</w:t>
      </w:r>
      <w:r>
        <w:rPr>
          <w:snapToGrid w:val="0"/>
        </w:rPr>
        <w:tab/>
        <w:t>Exemptions</w:t>
      </w:r>
      <w:bookmarkEnd w:id="11"/>
      <w:bookmarkEnd w:id="12"/>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3" w:name="_Toc411340767"/>
      <w:bookmarkStart w:id="14" w:name="_Toc423343579"/>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5" w:name="_Toc411340768"/>
      <w:bookmarkStart w:id="16" w:name="_Toc423343580"/>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7" w:name="_Toc411340769"/>
      <w:bookmarkStart w:id="18" w:name="_Toc423343581"/>
      <w:r>
        <w:rPr>
          <w:rStyle w:val="CharSectno"/>
        </w:rPr>
        <w:t>7</w:t>
      </w:r>
      <w:r>
        <w:rPr>
          <w:snapToGrid w:val="0"/>
        </w:rPr>
        <w:t>.</w:t>
      </w:r>
      <w:r>
        <w:rPr>
          <w:snapToGrid w:val="0"/>
        </w:rPr>
        <w:tab/>
        <w:t>Court or registrar may remit fees</w:t>
      </w:r>
      <w:bookmarkEnd w:id="17"/>
      <w:bookmarkEnd w:id="18"/>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19" w:name="_Toc411340770"/>
      <w:bookmarkStart w:id="20" w:name="_Toc423343582"/>
      <w:r>
        <w:rPr>
          <w:rStyle w:val="CharSectno"/>
        </w:rPr>
        <w:t>8</w:t>
      </w:r>
      <w:r>
        <w:rPr>
          <w:snapToGrid w:val="0"/>
        </w:rPr>
        <w:t>.</w:t>
      </w:r>
      <w:r>
        <w:rPr>
          <w:snapToGrid w:val="0"/>
        </w:rPr>
        <w:tab/>
        <w:t>Conventions</w:t>
      </w:r>
      <w:bookmarkEnd w:id="19"/>
      <w:bookmarkEnd w:id="20"/>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1" w:name="_Toc411340771"/>
      <w:bookmarkStart w:id="22" w:name="_Toc423343583"/>
      <w:r>
        <w:t>9.</w:t>
      </w:r>
      <w:r>
        <w:tab/>
        <w:t>Allocation of hearing date — Schedule 1 item 6</w:t>
      </w:r>
      <w:bookmarkEnd w:id="21"/>
      <w:bookmarkEnd w:id="2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3" w:name="_Toc411340772"/>
      <w:bookmarkStart w:id="24" w:name="_Toc423343584"/>
      <w:r>
        <w:rPr>
          <w:rStyle w:val="CharSectno"/>
        </w:rPr>
        <w:t>10</w:t>
      </w:r>
      <w:r>
        <w:t>.</w:t>
      </w:r>
      <w:r>
        <w:tab/>
        <w:t>Schedule 1 item 7 fee</w:t>
      </w:r>
      <w:bookmarkEnd w:id="23"/>
      <w:bookmarkEnd w:id="2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5" w:name="_Toc411340773"/>
      <w:bookmarkStart w:id="26" w:name="_Toc423343585"/>
      <w:r>
        <w:t>11.</w:t>
      </w:r>
      <w:r>
        <w:tab/>
        <w:t>Recovery of unpaid fees</w:t>
      </w:r>
      <w:bookmarkEnd w:id="25"/>
      <w:bookmarkEnd w:id="2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7" w:name="_Toc411340774"/>
      <w:bookmarkStart w:id="28" w:name="_Toc423343586"/>
      <w:r>
        <w:t>11A.</w:t>
      </w:r>
      <w:r>
        <w:tab/>
        <w:t>Searchable information</w:t>
      </w:r>
      <w:bookmarkEnd w:id="27"/>
      <w:bookmarkEnd w:id="2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29" w:name="_Toc411340775"/>
      <w:bookmarkStart w:id="30" w:name="_Toc423343587"/>
      <w:r>
        <w:rPr>
          <w:rStyle w:val="CharSectno"/>
        </w:rPr>
        <w:t>12</w:t>
      </w:r>
      <w:r>
        <w:t>.</w:t>
      </w:r>
      <w:r>
        <w:tab/>
        <w:t>Transitional</w:t>
      </w:r>
      <w:bookmarkEnd w:id="29"/>
      <w:bookmarkEnd w:id="3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1" w:name="_Toc402166230"/>
      <w:bookmarkStart w:id="32" w:name="_Toc404007905"/>
      <w:bookmarkStart w:id="33" w:name="_Toc404007995"/>
      <w:bookmarkStart w:id="34" w:name="_Toc411340706"/>
      <w:bookmarkStart w:id="35" w:name="_Toc411340776"/>
      <w:bookmarkStart w:id="36" w:name="_Toc416445862"/>
      <w:bookmarkStart w:id="37" w:name="_Toc416445882"/>
      <w:bookmarkStart w:id="38" w:name="_Toc417463558"/>
      <w:bookmarkStart w:id="39" w:name="_Toc417463621"/>
      <w:bookmarkStart w:id="40" w:name="_Toc423343588"/>
      <w:r>
        <w:rPr>
          <w:rStyle w:val="CharSchNo"/>
        </w:rPr>
        <w:t>Schedule 1</w:t>
      </w:r>
      <w:r>
        <w:t xml:space="preserve"> — </w:t>
      </w:r>
      <w:r>
        <w:rPr>
          <w:rStyle w:val="CharSchText"/>
        </w:rPr>
        <w:t>Registry fees</w:t>
      </w:r>
      <w:bookmarkEnd w:id="31"/>
      <w:bookmarkEnd w:id="32"/>
      <w:bookmarkEnd w:id="33"/>
      <w:bookmarkEnd w:id="34"/>
      <w:bookmarkEnd w:id="35"/>
      <w:bookmarkEnd w:id="36"/>
      <w:bookmarkEnd w:id="37"/>
      <w:bookmarkEnd w:id="38"/>
      <w:bookmarkEnd w:id="39"/>
      <w:bookmarkEnd w:id="40"/>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r>
              <w:rPr>
                <w:sz w:val="22"/>
              </w:rPr>
              <w:t>722.00</w:t>
            </w:r>
          </w:p>
        </w:tc>
        <w:tc>
          <w:tcPr>
            <w:tcW w:w="1233" w:type="dxa"/>
            <w:vAlign w:val="bottom"/>
          </w:tcPr>
          <w:p>
            <w:pPr>
              <w:pStyle w:val="yTableNAm"/>
              <w:tabs>
                <w:tab w:val="clear" w:pos="567"/>
              </w:tabs>
              <w:spacing w:before="100"/>
              <w:ind w:right="132"/>
              <w:jc w:val="right"/>
              <w:rPr>
                <w:szCs w:val="22"/>
              </w:rPr>
            </w:pPr>
            <w:r>
              <w:rPr>
                <w:szCs w:val="22"/>
              </w:rPr>
              <w:t>1 409.00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under the </w:t>
            </w:r>
            <w:r>
              <w:rPr>
                <w:i/>
                <w:szCs w:val="22"/>
              </w:rPr>
              <w:t xml:space="preserve">Road Traffic (Authorisation to Drive) Act 2008 </w:t>
            </w:r>
            <w:r>
              <w:rPr>
                <w:szCs w:val="22"/>
              </w:rPr>
              <w:t xml:space="preserve">section 24(1) for the removal of a disqualification or under section 27 of that Act for an extraordinary licence </w:t>
            </w:r>
            <w:r>
              <w:rPr>
                <w:szCs w:val="22"/>
              </w:rPr>
              <w:tab/>
            </w:r>
          </w:p>
        </w:tc>
        <w:tc>
          <w:tcPr>
            <w:tcW w:w="1299" w:type="dxa"/>
            <w:vAlign w:val="bottom"/>
          </w:tcPr>
          <w:p>
            <w:pPr>
              <w:pStyle w:val="zTableNAm"/>
              <w:tabs>
                <w:tab w:val="clear" w:pos="567"/>
              </w:tabs>
              <w:spacing w:before="100"/>
              <w:ind w:right="228"/>
              <w:jc w:val="right"/>
              <w:rPr>
                <w:sz w:val="22"/>
              </w:rPr>
            </w:pPr>
            <w:r>
              <w:rPr>
                <w:sz w:val="22"/>
              </w:rPr>
              <w:t>182.00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r>
              <w:rPr>
                <w:sz w:val="22"/>
              </w:rPr>
              <w:t>105.50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r>
              <w:rPr>
                <w:sz w:val="22"/>
              </w:rPr>
              <w:t>722.00</w:t>
            </w:r>
          </w:p>
        </w:tc>
        <w:tc>
          <w:tcPr>
            <w:tcW w:w="1233" w:type="dxa"/>
          </w:tcPr>
          <w:p>
            <w:pPr>
              <w:pStyle w:val="yTableNAm"/>
              <w:tabs>
                <w:tab w:val="clear" w:pos="567"/>
              </w:tabs>
              <w:spacing w:before="60"/>
              <w:ind w:right="132"/>
              <w:jc w:val="right"/>
              <w:rPr>
                <w:szCs w:val="22"/>
              </w:rPr>
            </w:pPr>
            <w:r>
              <w:t>1 409.00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r>
              <w:rPr>
                <w:sz w:val="22"/>
              </w:rPr>
              <w:t>272.00</w:t>
            </w:r>
          </w:p>
        </w:tc>
        <w:tc>
          <w:tcPr>
            <w:tcW w:w="1233" w:type="dxa"/>
            <w:vAlign w:val="bottom"/>
          </w:tcPr>
          <w:p>
            <w:pPr>
              <w:pStyle w:val="yTableNAm"/>
              <w:tabs>
                <w:tab w:val="clear" w:pos="567"/>
              </w:tabs>
              <w:spacing w:before="60"/>
              <w:ind w:right="132"/>
              <w:jc w:val="right"/>
              <w:rPr>
                <w:szCs w:val="22"/>
              </w:rPr>
            </w:pPr>
            <w:r>
              <w:t>468.00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272.00</w:t>
            </w:r>
          </w:p>
        </w:tc>
        <w:tc>
          <w:tcPr>
            <w:tcW w:w="1233" w:type="dxa"/>
            <w:vAlign w:val="bottom"/>
          </w:tcPr>
          <w:p>
            <w:pPr>
              <w:pStyle w:val="yTableNAm"/>
              <w:keepNext/>
              <w:keepLines/>
              <w:tabs>
                <w:tab w:val="clear" w:pos="567"/>
              </w:tabs>
              <w:ind w:right="132"/>
              <w:jc w:val="right"/>
              <w:rPr>
                <w:szCs w:val="22"/>
              </w:rPr>
            </w:pPr>
            <w:r>
              <w:t>468.00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409.00</w:t>
            </w:r>
          </w:p>
        </w:tc>
        <w:tc>
          <w:tcPr>
            <w:tcW w:w="1233" w:type="dxa"/>
            <w:vAlign w:val="bottom"/>
          </w:tcPr>
          <w:p>
            <w:pPr>
              <w:pStyle w:val="yTableNAm"/>
              <w:tabs>
                <w:tab w:val="clear" w:pos="567"/>
              </w:tabs>
              <w:ind w:right="132"/>
              <w:jc w:val="right"/>
            </w:pPr>
            <w:r>
              <w:t>1 058.00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rPr>
                <w:szCs w:val="22"/>
              </w:rPr>
              <w:t>317.00</w:t>
            </w:r>
          </w:p>
        </w:tc>
        <w:tc>
          <w:tcPr>
            <w:tcW w:w="1233" w:type="dxa"/>
            <w:vAlign w:val="bottom"/>
          </w:tcPr>
          <w:p>
            <w:pPr>
              <w:pStyle w:val="yTableNAm"/>
              <w:tabs>
                <w:tab w:val="clear" w:pos="567"/>
              </w:tabs>
              <w:ind w:right="132"/>
              <w:jc w:val="right"/>
            </w:pPr>
            <w:r>
              <w:rPr>
                <w:szCs w:val="22"/>
              </w:rPr>
              <w:t>825.00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rPr>
                <w:szCs w:val="22"/>
              </w:rPr>
              <w:t>722.00</w:t>
            </w:r>
          </w:p>
        </w:tc>
        <w:tc>
          <w:tcPr>
            <w:tcW w:w="1233" w:type="dxa"/>
            <w:vAlign w:val="bottom"/>
          </w:tcPr>
          <w:p>
            <w:pPr>
              <w:pStyle w:val="yTableNAm"/>
              <w:tabs>
                <w:tab w:val="clear" w:pos="567"/>
              </w:tabs>
              <w:ind w:right="132"/>
              <w:jc w:val="right"/>
              <w:rPr>
                <w:szCs w:val="22"/>
              </w:rPr>
            </w:pPr>
            <w:r>
              <w:rPr>
                <w:szCs w:val="22"/>
              </w:rPr>
              <w:t>1 409.00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r>
              <w:rPr>
                <w:sz w:val="22"/>
                <w:szCs w:val="22"/>
              </w:rPr>
              <w:t>634.00</w:t>
            </w:r>
          </w:p>
        </w:tc>
        <w:tc>
          <w:tcPr>
            <w:tcW w:w="1233" w:type="dxa"/>
            <w:vAlign w:val="bottom"/>
          </w:tcPr>
          <w:p>
            <w:pPr>
              <w:pStyle w:val="zTableNAm"/>
              <w:tabs>
                <w:tab w:val="clear" w:pos="567"/>
              </w:tabs>
              <w:ind w:right="132"/>
              <w:jc w:val="right"/>
              <w:rPr>
                <w:sz w:val="22"/>
                <w:szCs w:val="22"/>
              </w:rPr>
            </w:pPr>
            <w:r>
              <w:rPr>
                <w:sz w:val="22"/>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rPr>
                <w:szCs w:val="22"/>
              </w:rPr>
              <w:t>634.00</w:t>
            </w:r>
          </w:p>
        </w:tc>
        <w:tc>
          <w:tcPr>
            <w:tcW w:w="1233" w:type="dxa"/>
            <w:vAlign w:val="bottom"/>
          </w:tcPr>
          <w:p>
            <w:pPr>
              <w:pStyle w:val="yTableNAm"/>
              <w:tabs>
                <w:tab w:val="clear" w:pos="567"/>
              </w:tabs>
              <w:ind w:right="132"/>
              <w:jc w:val="right"/>
              <w:rPr>
                <w:szCs w:val="22"/>
              </w:rPr>
            </w:pPr>
            <w:r>
              <w:rPr>
                <w:szCs w:val="22"/>
              </w:rPr>
              <w:t>1 650.00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rPr>
                <w:szCs w:val="22"/>
              </w:rPr>
              <w:t>181.00</w:t>
            </w:r>
          </w:p>
        </w:tc>
        <w:tc>
          <w:tcPr>
            <w:tcW w:w="1233" w:type="dxa"/>
            <w:vAlign w:val="bottom"/>
          </w:tcPr>
          <w:p>
            <w:pPr>
              <w:pStyle w:val="yTableNAm"/>
              <w:keepNext/>
              <w:tabs>
                <w:tab w:val="clear" w:pos="567"/>
              </w:tabs>
              <w:ind w:right="132"/>
              <w:jc w:val="right"/>
              <w:rPr>
                <w:szCs w:val="22"/>
              </w:rPr>
            </w:pPr>
            <w:r>
              <w:rPr>
                <w:szCs w:val="22"/>
              </w:rPr>
              <w:t>353.00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rPr>
                <w:szCs w:val="22"/>
              </w:rPr>
              <w:t>181.00</w:t>
            </w:r>
          </w:p>
        </w:tc>
        <w:tc>
          <w:tcPr>
            <w:tcW w:w="1233" w:type="dxa"/>
            <w:vAlign w:val="bottom"/>
          </w:tcPr>
          <w:p>
            <w:pPr>
              <w:pStyle w:val="yTableNAm"/>
              <w:tabs>
                <w:tab w:val="clear" w:pos="567"/>
              </w:tabs>
              <w:ind w:right="132"/>
              <w:jc w:val="right"/>
              <w:rPr>
                <w:szCs w:val="22"/>
              </w:rPr>
            </w:pPr>
            <w:r>
              <w:rPr>
                <w:szCs w:val="22"/>
              </w:rPr>
              <w:t>353.00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rPr>
                <w:szCs w:val="22"/>
              </w:rPr>
              <w:t>36.60</w:t>
            </w:r>
          </w:p>
        </w:tc>
        <w:tc>
          <w:tcPr>
            <w:tcW w:w="1233" w:type="dxa"/>
            <w:vAlign w:val="bottom"/>
          </w:tcPr>
          <w:p>
            <w:pPr>
              <w:pStyle w:val="yTableNAm"/>
              <w:tabs>
                <w:tab w:val="clear" w:pos="567"/>
              </w:tabs>
              <w:ind w:right="132"/>
              <w:jc w:val="right"/>
              <w:rPr>
                <w:szCs w:val="22"/>
              </w:rPr>
            </w:pPr>
            <w:r>
              <w:rPr>
                <w:szCs w:val="22"/>
              </w:rPr>
              <w:t>36.60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rPr>
                <w:szCs w:val="22"/>
              </w:rPr>
              <w:t>1.60</w:t>
            </w:r>
          </w:p>
        </w:tc>
        <w:tc>
          <w:tcPr>
            <w:tcW w:w="1233" w:type="dxa"/>
            <w:vAlign w:val="bottom"/>
          </w:tcPr>
          <w:p>
            <w:pPr>
              <w:pStyle w:val="yTableNAm"/>
              <w:tabs>
                <w:tab w:val="clear" w:pos="567"/>
              </w:tabs>
              <w:ind w:right="132"/>
              <w:jc w:val="right"/>
              <w:rPr>
                <w:b/>
                <w:szCs w:val="22"/>
              </w:rPr>
            </w:pPr>
            <w:r>
              <w:rPr>
                <w:szCs w:val="22"/>
              </w:rP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rPr>
                <w:szCs w:val="22"/>
              </w:rPr>
              <w:t>1 661.00</w:t>
            </w:r>
          </w:p>
        </w:tc>
        <w:tc>
          <w:tcPr>
            <w:tcW w:w="1233" w:type="dxa"/>
            <w:vAlign w:val="bottom"/>
          </w:tcPr>
          <w:p>
            <w:pPr>
              <w:pStyle w:val="yTableNAm"/>
              <w:tabs>
                <w:tab w:val="clear" w:pos="567"/>
              </w:tabs>
              <w:ind w:right="132"/>
              <w:jc w:val="right"/>
              <w:rPr>
                <w:szCs w:val="22"/>
              </w:rPr>
            </w:pPr>
            <w:r>
              <w:rPr>
                <w:szCs w:val="22"/>
              </w:rPr>
              <w:t>1 661.00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rPr>
                <w:szCs w:val="22"/>
              </w:rPr>
              <w:t>54.00</w:t>
            </w:r>
          </w:p>
        </w:tc>
        <w:tc>
          <w:tcPr>
            <w:tcW w:w="1233" w:type="dxa"/>
            <w:vAlign w:val="bottom"/>
          </w:tcPr>
          <w:p>
            <w:pPr>
              <w:pStyle w:val="yTableNAm"/>
              <w:tabs>
                <w:tab w:val="clear" w:pos="567"/>
              </w:tabs>
              <w:ind w:right="132"/>
              <w:jc w:val="right"/>
              <w:rPr>
                <w:szCs w:val="22"/>
              </w:rPr>
            </w:pPr>
            <w:r>
              <w:rPr>
                <w:szCs w:val="22"/>
              </w:rPr>
              <w:t>54.00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rPr>
                <w:szCs w:val="22"/>
              </w:rPr>
              <w:t>91.00</w:t>
            </w:r>
          </w:p>
        </w:tc>
        <w:tc>
          <w:tcPr>
            <w:tcW w:w="1233" w:type="dxa"/>
            <w:vAlign w:val="bottom"/>
          </w:tcPr>
          <w:p>
            <w:pPr>
              <w:pStyle w:val="yTableNAm"/>
              <w:tabs>
                <w:tab w:val="clear" w:pos="567"/>
              </w:tabs>
              <w:ind w:right="132"/>
              <w:jc w:val="right"/>
              <w:rPr>
                <w:szCs w:val="22"/>
              </w:rPr>
            </w:pPr>
            <w:r>
              <w:rPr>
                <w:szCs w:val="22"/>
              </w:rPr>
              <w:t>91.00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228"/>
              <w:jc w:val="right"/>
              <w:rPr>
                <w:szCs w:val="22"/>
              </w:rPr>
            </w:pPr>
            <w:r>
              <w:rPr>
                <w:szCs w:val="22"/>
              </w:rPr>
              <w:br/>
            </w:r>
            <w:r>
              <w:rPr>
                <w:szCs w:val="22"/>
              </w:rPr>
              <w:br/>
              <w:t>1.60</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12.75</w:t>
            </w:r>
          </w:p>
          <w:p>
            <w:pPr>
              <w:pStyle w:val="yTableNAm"/>
              <w:tabs>
                <w:tab w:val="clear" w:pos="567"/>
              </w:tabs>
              <w:ind w:right="132"/>
              <w:jc w:val="right"/>
              <w:rPr>
                <w:szCs w:val="22"/>
              </w:rPr>
            </w:pPr>
            <w:r>
              <w:rPr>
                <w:szCs w:val="22"/>
              </w:rPr>
              <w:br/>
            </w:r>
            <w:r>
              <w:rPr>
                <w:szCs w:val="22"/>
              </w:rPr>
              <w:br/>
              <w:t>1.60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rPr>
                <w:szCs w:val="22"/>
              </w:rPr>
              <w:t>38.10</w:t>
            </w:r>
          </w:p>
        </w:tc>
        <w:tc>
          <w:tcPr>
            <w:tcW w:w="1233" w:type="dxa"/>
            <w:vAlign w:val="bottom"/>
          </w:tcPr>
          <w:p>
            <w:pPr>
              <w:pStyle w:val="yTableNAm"/>
              <w:tabs>
                <w:tab w:val="clear" w:pos="567"/>
              </w:tabs>
              <w:ind w:right="132"/>
              <w:jc w:val="right"/>
              <w:rPr>
                <w:szCs w:val="22"/>
              </w:rPr>
            </w:pPr>
            <w:r>
              <w:rPr>
                <w:szCs w:val="22"/>
              </w:rPr>
              <w:t>38.10</w:t>
            </w:r>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7.10</w:t>
            </w:r>
          </w:p>
        </w:tc>
        <w:tc>
          <w:tcPr>
            <w:tcW w:w="1233" w:type="dxa"/>
            <w:vAlign w:val="bottom"/>
          </w:tcPr>
          <w:p>
            <w:pPr>
              <w:pStyle w:val="yTableNAm"/>
              <w:tabs>
                <w:tab w:val="clear" w:pos="567"/>
              </w:tabs>
              <w:ind w:right="132"/>
              <w:jc w:val="right"/>
              <w:rPr>
                <w:szCs w:val="22"/>
              </w:rPr>
            </w:pPr>
            <w:r>
              <w:rPr>
                <w:szCs w:val="22"/>
              </w:rPr>
              <w:t>7.10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17.65</w:t>
            </w:r>
          </w:p>
        </w:tc>
        <w:tc>
          <w:tcPr>
            <w:tcW w:w="1233" w:type="dxa"/>
            <w:vAlign w:val="bottom"/>
          </w:tcPr>
          <w:p>
            <w:pPr>
              <w:pStyle w:val="yTableNAm"/>
              <w:tabs>
                <w:tab w:val="clear" w:pos="567"/>
              </w:tabs>
              <w:ind w:right="132"/>
              <w:jc w:val="right"/>
              <w:rPr>
                <w:szCs w:val="22"/>
              </w:rPr>
            </w:pPr>
            <w:r>
              <w:rPr>
                <w:szCs w:val="22"/>
              </w:rPr>
              <w:t>17.65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 10 Feb 2015 p. 607; 19 Jun 2015 p. 2120</w:t>
      </w:r>
      <w:r>
        <w:noBreakHyphen/>
        <w:t>1.]</w:t>
      </w:r>
    </w:p>
    <w:p>
      <w:pPr>
        <w:pStyle w:val="yScheduleHeading"/>
      </w:pPr>
      <w:bookmarkStart w:id="41" w:name="_Toc402166231"/>
      <w:bookmarkStart w:id="42" w:name="_Toc404007906"/>
      <w:bookmarkStart w:id="43" w:name="_Toc404007996"/>
      <w:bookmarkStart w:id="44" w:name="_Toc411340707"/>
      <w:bookmarkStart w:id="45" w:name="_Toc411340777"/>
      <w:bookmarkStart w:id="46" w:name="_Toc416445863"/>
      <w:bookmarkStart w:id="47" w:name="_Toc416445883"/>
      <w:bookmarkStart w:id="48" w:name="_Toc417463559"/>
      <w:bookmarkStart w:id="49" w:name="_Toc417463622"/>
      <w:bookmarkStart w:id="50" w:name="_Toc423343589"/>
      <w:r>
        <w:rPr>
          <w:rStyle w:val="CharSchNo"/>
        </w:rPr>
        <w:t>Schedule 2</w:t>
      </w:r>
      <w:r>
        <w:t> — </w:t>
      </w:r>
      <w:r>
        <w:rPr>
          <w:rStyle w:val="CharSchText"/>
        </w:rPr>
        <w:t>Sheriff’s fees</w:t>
      </w:r>
      <w:bookmarkEnd w:id="41"/>
      <w:bookmarkEnd w:id="42"/>
      <w:bookmarkEnd w:id="43"/>
      <w:bookmarkEnd w:id="44"/>
      <w:bookmarkEnd w:id="45"/>
      <w:bookmarkEnd w:id="46"/>
      <w:bookmarkEnd w:id="47"/>
      <w:bookmarkEnd w:id="48"/>
      <w:bookmarkEnd w:id="49"/>
      <w:bookmarkEnd w:id="50"/>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115.00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30.50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63.30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1.60</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1.80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61.00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195.00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2" w:name="_Toc402166232"/>
      <w:bookmarkStart w:id="53" w:name="_Toc404007907"/>
      <w:bookmarkStart w:id="54" w:name="_Toc404007997"/>
      <w:bookmarkStart w:id="55" w:name="_Toc411340708"/>
      <w:bookmarkStart w:id="56" w:name="_Toc411340778"/>
      <w:bookmarkStart w:id="57" w:name="_Toc416445864"/>
      <w:bookmarkStart w:id="58" w:name="_Toc416445884"/>
      <w:bookmarkStart w:id="59" w:name="_Toc417463560"/>
      <w:bookmarkStart w:id="60" w:name="_Toc417463623"/>
      <w:bookmarkStart w:id="61" w:name="_Toc423343590"/>
      <w:r>
        <w:rPr>
          <w:rStyle w:val="CharSchNo"/>
        </w:rPr>
        <w:t>Schedule 3</w:t>
      </w:r>
      <w:r>
        <w:t xml:space="preserve"> — </w:t>
      </w:r>
      <w:r>
        <w:rPr>
          <w:rStyle w:val="CharSchText"/>
        </w:rPr>
        <w:t>Forms</w:t>
      </w:r>
      <w:bookmarkEnd w:id="52"/>
      <w:bookmarkEnd w:id="53"/>
      <w:bookmarkEnd w:id="54"/>
      <w:bookmarkEnd w:id="55"/>
      <w:bookmarkEnd w:id="56"/>
      <w:bookmarkEnd w:id="57"/>
      <w:bookmarkEnd w:id="58"/>
      <w:bookmarkEnd w:id="59"/>
      <w:bookmarkEnd w:id="60"/>
      <w:bookmarkEnd w:id="61"/>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62" w:name="_Toc402166233"/>
      <w:bookmarkStart w:id="63" w:name="_Toc404007908"/>
      <w:bookmarkStart w:id="64" w:name="_Toc404007998"/>
      <w:bookmarkStart w:id="65" w:name="_Toc411340709"/>
      <w:bookmarkStart w:id="66" w:name="_Toc411340779"/>
      <w:bookmarkStart w:id="67" w:name="_Toc416445865"/>
      <w:bookmarkStart w:id="68" w:name="_Toc416445885"/>
      <w:bookmarkStart w:id="69" w:name="_Toc417463561"/>
      <w:bookmarkStart w:id="70" w:name="_Toc417463624"/>
      <w:bookmarkStart w:id="71" w:name="_Toc423343591"/>
      <w:r>
        <w:t>Notes</w:t>
      </w:r>
      <w:bookmarkEnd w:id="62"/>
      <w:bookmarkEnd w:id="63"/>
      <w:bookmarkEnd w:id="64"/>
      <w:bookmarkEnd w:id="65"/>
      <w:bookmarkEnd w:id="66"/>
      <w:bookmarkEnd w:id="67"/>
      <w:bookmarkEnd w:id="68"/>
      <w:bookmarkEnd w:id="69"/>
      <w:bookmarkEnd w:id="70"/>
      <w:bookmarkEnd w:id="71"/>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72" w:name="_Toc411340780"/>
      <w:bookmarkStart w:id="73" w:name="_Toc423343592"/>
      <w:r>
        <w:t>Compilation table</w:t>
      </w:r>
      <w:bookmarkEnd w:id="72"/>
      <w:bookmarkEnd w:id="73"/>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tcBorders>
              <w:bottom w:val="single" w:sz="4" w:space="0" w:color="auto"/>
            </w:tcBorders>
            <w:shd w:val="clear" w:color="auto" w:fill="auto"/>
          </w:tcPr>
          <w:p>
            <w:pPr>
              <w:pStyle w:val="nTable"/>
              <w:spacing w:after="40"/>
              <w:rPr>
                <w:i/>
              </w:rPr>
            </w:pPr>
            <w:r>
              <w:rPr>
                <w:i/>
              </w:rPr>
              <w:t>District Court (Fees) Amendment Regulations (No. 2) 2015</w:t>
            </w:r>
          </w:p>
        </w:tc>
        <w:tc>
          <w:tcPr>
            <w:tcW w:w="1276" w:type="dxa"/>
            <w:tcBorders>
              <w:bottom w:val="single" w:sz="4" w:space="0" w:color="auto"/>
            </w:tcBorders>
            <w:shd w:val="clear" w:color="auto" w:fill="auto"/>
          </w:tcPr>
          <w:p>
            <w:pPr>
              <w:pStyle w:val="nTable"/>
              <w:spacing w:after="40"/>
            </w:pPr>
            <w:r>
              <w:t>19 Jun 2015 p. 2119</w:t>
            </w:r>
            <w:r>
              <w:noBreakHyphen/>
              <w:t>22</w:t>
            </w:r>
          </w:p>
        </w:tc>
        <w:tc>
          <w:tcPr>
            <w:tcW w:w="2694"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5" w:name="_Toc416445888"/>
      <w:bookmarkStart w:id="76" w:name="_Toc417463563"/>
      <w:bookmarkStart w:id="77" w:name="_Toc417463626"/>
      <w:bookmarkStart w:id="78" w:name="_Toc423343593"/>
      <w:r>
        <w:rPr>
          <w:sz w:val="28"/>
        </w:rPr>
        <w:t>Defined terms</w:t>
      </w:r>
      <w:bookmarkEnd w:id="75"/>
      <w:bookmarkEnd w:id="76"/>
      <w:bookmarkEnd w:id="77"/>
      <w:bookmarkEnd w:id="7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4" w:name="Compilation"/>
    <w:bookmarkEnd w:id="7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 w:name="DefinedTerms"/>
    <w:bookmarkEnd w:id="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0" w:name="Coversheet"/>
    <w:bookmarkEnd w:id="8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90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F7D94-57DF-4592-9976-D6EB2B942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7072</Words>
  <Characters>37131</Characters>
  <Application>Microsoft Office Word</Application>
  <DocSecurity>0</DocSecurity>
  <Lines>1547</Lines>
  <Paragraphs>818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2002 - 03-d0-01</dc:title>
  <dc:subject/>
  <dc:creator/>
  <cp:keywords/>
  <dc:description/>
  <cp:lastModifiedBy>svcMRProcess</cp:lastModifiedBy>
  <cp:revision>4</cp:revision>
  <cp:lastPrinted>2014-10-27T02:17:00Z</cp:lastPrinted>
  <dcterms:created xsi:type="dcterms:W3CDTF">2015-11-03T05:12:00Z</dcterms:created>
  <dcterms:modified xsi:type="dcterms:W3CDTF">2015-11-03T05:12:00Z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2015</vt:lpwstr>
  </property>
  <property fmtid="{D5CDD505-2E9C-101B-9397-08002B2CF9AE}" pid="8" name="Suffix">
    <vt:lpwstr>03-d0-01</vt:lpwstr>
  </property>
  <property fmtid="{D5CDD505-2E9C-101B-9397-08002B2CF9AE}" pid="9" name="CommencementDate">
    <vt:lpwstr>20150701</vt:lpwstr>
  </property>
</Properties>
</file>