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Food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Food Regulations 2009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Food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_Toc423338547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_Toc423338548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_Toc423338549 \h </w:instrText>
      </w:r>
      <w:r>
        <w:fldChar w:fldCharType="separate"/>
      </w:r>
      <w:r>
        <w:t>1</w:t>
      </w:r>
      <w:r>
        <w:fldChar w:fldCharType="end"/>
      </w:r>
    </w:p>
    <w:p>
      <w:pPr>
        <w:pStyle w:val="TOC8"/>
        <w:rPr>
          <w:rFonts w:asciiTheme="minorHAnsi" w:eastAsiaTheme="minorEastAsia" w:hAnsiTheme="minorHAnsi" w:cstheme="minorBidi"/>
          <w:szCs w:val="22"/>
        </w:rPr>
      </w:pPr>
      <w:r>
        <w:t>4.</w:t>
      </w:r>
      <w:r>
        <w:tab/>
        <w:t>Appropriate enforcement agency: CEO (s. 8)</w:t>
      </w:r>
      <w:r>
        <w:tab/>
      </w:r>
      <w:r>
        <w:fldChar w:fldCharType="begin"/>
      </w:r>
      <w:r>
        <w:instrText xml:space="preserve"> PAGEREF _Toc423338550 \h </w:instrText>
      </w:r>
      <w:r>
        <w:fldChar w:fldCharType="separate"/>
      </w:r>
      <w:r>
        <w:t>2</w:t>
      </w:r>
      <w:r>
        <w:fldChar w:fldCharType="end"/>
      </w:r>
    </w:p>
    <w:p>
      <w:pPr>
        <w:pStyle w:val="TOC8"/>
        <w:rPr>
          <w:rFonts w:asciiTheme="minorHAnsi" w:eastAsiaTheme="minorEastAsia" w:hAnsiTheme="minorHAnsi" w:cstheme="minorBidi"/>
          <w:szCs w:val="22"/>
        </w:rPr>
      </w:pPr>
      <w:r>
        <w:t>5.</w:t>
      </w:r>
      <w:r>
        <w:tab/>
        <w:t>Appropriate enforcement agency: local government (s. 8)</w:t>
      </w:r>
      <w:r>
        <w:tab/>
      </w:r>
      <w:r>
        <w:fldChar w:fldCharType="begin"/>
      </w:r>
      <w:r>
        <w:instrText xml:space="preserve"> PAGEREF _Toc423338551 \h </w:instrText>
      </w:r>
      <w:r>
        <w:fldChar w:fldCharType="separate"/>
      </w:r>
      <w:r>
        <w:t>3</w:t>
      </w:r>
      <w:r>
        <w:fldChar w:fldCharType="end"/>
      </w:r>
    </w:p>
    <w:p>
      <w:pPr>
        <w:pStyle w:val="TOC8"/>
        <w:rPr>
          <w:rFonts w:asciiTheme="minorHAnsi" w:eastAsiaTheme="minorEastAsia" w:hAnsiTheme="minorHAnsi" w:cstheme="minorBidi"/>
          <w:szCs w:val="22"/>
        </w:rPr>
      </w:pPr>
      <w:r>
        <w:t>6.</w:t>
      </w:r>
      <w:r>
        <w:tab/>
        <w:t>Food production activities that are not primary food production (s. 11(2))</w:t>
      </w:r>
      <w:r>
        <w:tab/>
      </w:r>
      <w:r>
        <w:fldChar w:fldCharType="begin"/>
      </w:r>
      <w:r>
        <w:instrText xml:space="preserve"> PAGEREF _Toc423338552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Food Standards Code</w:t>
      </w:r>
    </w:p>
    <w:p>
      <w:pPr>
        <w:pStyle w:val="TOC8"/>
        <w:rPr>
          <w:rFonts w:asciiTheme="minorHAnsi" w:eastAsiaTheme="minorEastAsia" w:hAnsiTheme="minorHAnsi" w:cstheme="minorBidi"/>
          <w:szCs w:val="22"/>
        </w:rPr>
      </w:pPr>
      <w:r>
        <w:t>7.</w:t>
      </w:r>
      <w:r>
        <w:tab/>
        <w:t>Adoption of Food Standards Code (s. 144(7))</w:t>
      </w:r>
      <w:r>
        <w:tab/>
      </w:r>
      <w:r>
        <w:fldChar w:fldCharType="begin"/>
      </w:r>
      <w:r>
        <w:instrText xml:space="preserve"> PAGEREF _Toc423338554 \h </w:instrText>
      </w:r>
      <w:r>
        <w:fldChar w:fldCharType="separate"/>
      </w:r>
      <w:r>
        <w:t>5</w:t>
      </w:r>
      <w:r>
        <w:fldChar w:fldCharType="end"/>
      </w:r>
    </w:p>
    <w:p>
      <w:pPr>
        <w:pStyle w:val="TOC8"/>
        <w:rPr>
          <w:rFonts w:asciiTheme="minorHAnsi" w:eastAsiaTheme="minorEastAsia" w:hAnsiTheme="minorHAnsi" w:cstheme="minorBidi"/>
          <w:szCs w:val="22"/>
        </w:rPr>
      </w:pPr>
      <w:r>
        <w:t>8.</w:t>
      </w:r>
      <w:r>
        <w:tab/>
        <w:t>FSC standard 4.2.4 clause 15: express provision for goat’s milk</w:t>
      </w:r>
      <w:r>
        <w:tab/>
      </w:r>
      <w:r>
        <w:fldChar w:fldCharType="begin"/>
      </w:r>
      <w:r>
        <w:instrText xml:space="preserve"> PAGEREF _Toc423338555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Exempted food businesses</w:t>
      </w:r>
    </w:p>
    <w:p>
      <w:pPr>
        <w:pStyle w:val="TOC8"/>
        <w:rPr>
          <w:rFonts w:asciiTheme="minorHAnsi" w:eastAsiaTheme="minorEastAsia" w:hAnsiTheme="minorHAnsi" w:cstheme="minorBidi"/>
          <w:szCs w:val="22"/>
        </w:rPr>
      </w:pPr>
      <w:r>
        <w:t>9.</w:t>
      </w:r>
      <w:r>
        <w:tab/>
        <w:t>Term used: potentially hazardous food</w:t>
      </w:r>
      <w:r>
        <w:tab/>
      </w:r>
      <w:r>
        <w:fldChar w:fldCharType="begin"/>
      </w:r>
      <w:r>
        <w:instrText xml:space="preserve"> PAGEREF _Toc423338557 \h </w:instrText>
      </w:r>
      <w:r>
        <w:fldChar w:fldCharType="separate"/>
      </w:r>
      <w:r>
        <w:t>6</w:t>
      </w:r>
      <w:r>
        <w:fldChar w:fldCharType="end"/>
      </w:r>
    </w:p>
    <w:p>
      <w:pPr>
        <w:pStyle w:val="TOC8"/>
        <w:rPr>
          <w:rFonts w:asciiTheme="minorHAnsi" w:eastAsiaTheme="minorEastAsia" w:hAnsiTheme="minorHAnsi" w:cstheme="minorBidi"/>
          <w:szCs w:val="22"/>
        </w:rPr>
      </w:pPr>
      <w:r>
        <w:t>10.</w:t>
      </w:r>
      <w:r>
        <w:tab/>
        <w:t>Food businesses conducted as fundraising events (s. 109)</w:t>
      </w:r>
      <w:r>
        <w:tab/>
      </w:r>
      <w:r>
        <w:fldChar w:fldCharType="begin"/>
      </w:r>
      <w:r>
        <w:instrText xml:space="preserve"> PAGEREF _Toc423338558 \h </w:instrText>
      </w:r>
      <w:r>
        <w:fldChar w:fldCharType="separate"/>
      </w:r>
      <w:r>
        <w:t>6</w:t>
      </w:r>
      <w:r>
        <w:fldChar w:fldCharType="end"/>
      </w:r>
    </w:p>
    <w:p>
      <w:pPr>
        <w:pStyle w:val="TOC8"/>
        <w:rPr>
          <w:rFonts w:asciiTheme="minorHAnsi" w:eastAsiaTheme="minorEastAsia" w:hAnsiTheme="minorHAnsi" w:cstheme="minorBidi"/>
          <w:szCs w:val="22"/>
        </w:rPr>
      </w:pPr>
      <w:r>
        <w:t>11.</w:t>
      </w:r>
      <w:r>
        <w:tab/>
        <w:t>Food businesses that sell certain packaged food (s. 109)</w:t>
      </w:r>
      <w:r>
        <w:tab/>
      </w:r>
      <w:r>
        <w:fldChar w:fldCharType="begin"/>
      </w:r>
      <w:r>
        <w:instrText xml:space="preserve"> PAGEREF _Toc423338559 \h </w:instrText>
      </w:r>
      <w:r>
        <w:fldChar w:fldCharType="separate"/>
      </w:r>
      <w:r>
        <w:t>6</w:t>
      </w:r>
      <w:r>
        <w:fldChar w:fldCharType="end"/>
      </w:r>
    </w:p>
    <w:p>
      <w:pPr>
        <w:pStyle w:val="TOC8"/>
        <w:rPr>
          <w:rFonts w:asciiTheme="minorHAnsi" w:eastAsiaTheme="minorEastAsia" w:hAnsiTheme="minorHAnsi" w:cstheme="minorBidi"/>
          <w:szCs w:val="22"/>
        </w:rPr>
      </w:pPr>
      <w:r>
        <w:t>12.</w:t>
      </w:r>
      <w:r>
        <w:tab/>
        <w:t>Food businesses that provide complimentary drinks in conjunction with another kind of business (s. 109)</w:t>
      </w:r>
      <w:r>
        <w:tab/>
      </w:r>
      <w:r>
        <w:fldChar w:fldCharType="begin"/>
      </w:r>
      <w:r>
        <w:instrText xml:space="preserve"> PAGEREF _Toc423338560 \h </w:instrText>
      </w:r>
      <w:r>
        <w:fldChar w:fldCharType="separate"/>
      </w:r>
      <w:r>
        <w:t>7</w:t>
      </w:r>
      <w:r>
        <w:fldChar w:fldCharType="end"/>
      </w:r>
    </w:p>
    <w:p>
      <w:pPr>
        <w:pStyle w:val="TOC8"/>
        <w:rPr>
          <w:rFonts w:asciiTheme="minorHAnsi" w:eastAsiaTheme="minorEastAsia" w:hAnsiTheme="minorHAnsi" w:cstheme="minorBidi"/>
          <w:szCs w:val="22"/>
        </w:rPr>
      </w:pPr>
      <w:r>
        <w:t>13.</w:t>
      </w:r>
      <w:r>
        <w:tab/>
        <w:t>Food businesses conducted at registered establishments (s. 109)</w:t>
      </w:r>
      <w:r>
        <w:tab/>
      </w:r>
      <w:r>
        <w:fldChar w:fldCharType="begin"/>
      </w:r>
      <w:r>
        <w:instrText xml:space="preserve"> PAGEREF _Toc423338561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Control of pathogens</w:t>
      </w:r>
    </w:p>
    <w:p>
      <w:pPr>
        <w:pStyle w:val="TOC8"/>
        <w:rPr>
          <w:rFonts w:asciiTheme="minorHAnsi" w:eastAsiaTheme="minorEastAsia" w:hAnsiTheme="minorHAnsi" w:cstheme="minorBidi"/>
          <w:szCs w:val="22"/>
        </w:rPr>
      </w:pPr>
      <w:r>
        <w:t>14.</w:t>
      </w:r>
      <w:r>
        <w:tab/>
        <w:t>Term used: pathogen</w:t>
      </w:r>
      <w:r>
        <w:tab/>
      </w:r>
      <w:r>
        <w:fldChar w:fldCharType="begin"/>
      </w:r>
      <w:r>
        <w:instrText xml:space="preserve"> PAGEREF _Toc423338563 \h </w:instrText>
      </w:r>
      <w:r>
        <w:fldChar w:fldCharType="separate"/>
      </w:r>
      <w:r>
        <w:t>8</w:t>
      </w:r>
      <w:r>
        <w:fldChar w:fldCharType="end"/>
      </w:r>
    </w:p>
    <w:p>
      <w:pPr>
        <w:pStyle w:val="TOC8"/>
        <w:rPr>
          <w:rFonts w:asciiTheme="minorHAnsi" w:eastAsiaTheme="minorEastAsia" w:hAnsiTheme="minorHAnsi" w:cstheme="minorBidi"/>
          <w:szCs w:val="22"/>
        </w:rPr>
      </w:pPr>
      <w:r>
        <w:t>15.</w:t>
      </w:r>
      <w:r>
        <w:tab/>
        <w:t>CEO to be informed of isolation of pathogens associated with food businesses</w:t>
      </w:r>
      <w:r>
        <w:tab/>
      </w:r>
      <w:r>
        <w:fldChar w:fldCharType="begin"/>
      </w:r>
      <w:r>
        <w:instrText xml:space="preserve"> PAGEREF _Toc423338564 \h </w:instrText>
      </w:r>
      <w:r>
        <w:fldChar w:fldCharType="separate"/>
      </w:r>
      <w:r>
        <w:t>8</w:t>
      </w:r>
      <w:r>
        <w:fldChar w:fldCharType="end"/>
      </w:r>
    </w:p>
    <w:p>
      <w:pPr>
        <w:pStyle w:val="TOC8"/>
        <w:rPr>
          <w:rFonts w:asciiTheme="minorHAnsi" w:eastAsiaTheme="minorEastAsia" w:hAnsiTheme="minorHAnsi" w:cstheme="minorBidi"/>
          <w:szCs w:val="22"/>
        </w:rPr>
      </w:pPr>
      <w:r>
        <w:t>16.</w:t>
      </w:r>
      <w:r>
        <w:tab/>
        <w:t>CEO may give directions</w:t>
      </w:r>
      <w:r>
        <w:tab/>
      </w:r>
      <w:r>
        <w:fldChar w:fldCharType="begin"/>
      </w:r>
      <w:r>
        <w:instrText xml:space="preserve"> PAGEREF _Toc423338565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Meat hygiene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_Toc423338568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Adoption of certain Australian Standards</w:t>
      </w:r>
    </w:p>
    <w:p>
      <w:pPr>
        <w:pStyle w:val="TOC8"/>
        <w:rPr>
          <w:rFonts w:asciiTheme="minorHAnsi" w:eastAsiaTheme="minorEastAsia" w:hAnsiTheme="minorHAnsi" w:cstheme="minorBidi"/>
          <w:szCs w:val="22"/>
        </w:rPr>
      </w:pPr>
      <w:r>
        <w:t>18.</w:t>
      </w:r>
      <w:r>
        <w:tab/>
        <w:t>Adoption of certain Australian Standards (s. 144(6))</w:t>
      </w:r>
      <w:r>
        <w:tab/>
      </w:r>
      <w:r>
        <w:fldChar w:fldCharType="begin"/>
      </w:r>
      <w:r>
        <w:instrText xml:space="preserve"> PAGEREF _Toc423338570 \h </w:instrText>
      </w:r>
      <w:r>
        <w:fldChar w:fldCharType="separate"/>
      </w:r>
      <w:r>
        <w:t>12</w:t>
      </w:r>
      <w:r>
        <w:fldChar w:fldCharType="end"/>
      </w:r>
    </w:p>
    <w:p>
      <w:pPr>
        <w:pStyle w:val="TOC8"/>
        <w:rPr>
          <w:rFonts w:asciiTheme="minorHAnsi" w:eastAsiaTheme="minorEastAsia" w:hAnsiTheme="minorHAnsi" w:cstheme="minorBidi"/>
          <w:szCs w:val="22"/>
        </w:rPr>
      </w:pPr>
      <w:r>
        <w:t>19.</w:t>
      </w:r>
      <w:r>
        <w:tab/>
        <w:t>Modification of adopted standards</w:t>
      </w:r>
      <w:r>
        <w:tab/>
      </w:r>
      <w:r>
        <w:fldChar w:fldCharType="begin"/>
      </w:r>
      <w:r>
        <w:instrText xml:space="preserve"> PAGEREF _Toc423338571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Inspection and branding</w:t>
      </w:r>
    </w:p>
    <w:p>
      <w:pPr>
        <w:pStyle w:val="TOC8"/>
        <w:rPr>
          <w:rFonts w:asciiTheme="minorHAnsi" w:eastAsiaTheme="minorEastAsia" w:hAnsiTheme="minorHAnsi" w:cstheme="minorBidi"/>
          <w:szCs w:val="22"/>
        </w:rPr>
      </w:pPr>
      <w:r>
        <w:t>20.</w:t>
      </w:r>
      <w:r>
        <w:tab/>
        <w:t>Application of Division to primary producers</w:t>
      </w:r>
      <w:r>
        <w:tab/>
      </w:r>
      <w:r>
        <w:fldChar w:fldCharType="begin"/>
      </w:r>
      <w:r>
        <w:instrText xml:space="preserve"> PAGEREF _Toc423338573 \h </w:instrText>
      </w:r>
      <w:r>
        <w:fldChar w:fldCharType="separate"/>
      </w:r>
      <w:r>
        <w:t>13</w:t>
      </w:r>
      <w:r>
        <w:fldChar w:fldCharType="end"/>
      </w:r>
    </w:p>
    <w:p>
      <w:pPr>
        <w:pStyle w:val="TOC8"/>
        <w:rPr>
          <w:rFonts w:asciiTheme="minorHAnsi" w:eastAsiaTheme="minorEastAsia" w:hAnsiTheme="minorHAnsi" w:cstheme="minorBidi"/>
          <w:szCs w:val="22"/>
        </w:rPr>
      </w:pPr>
      <w:r>
        <w:t>21.</w:t>
      </w:r>
      <w:r>
        <w:tab/>
        <w:t>Inspection of animals and carcases at abattoirs</w:t>
      </w:r>
      <w:r>
        <w:tab/>
      </w:r>
      <w:r>
        <w:fldChar w:fldCharType="begin"/>
      </w:r>
      <w:r>
        <w:instrText xml:space="preserve"> PAGEREF _Toc423338574 \h </w:instrText>
      </w:r>
      <w:r>
        <w:fldChar w:fldCharType="separate"/>
      </w:r>
      <w:r>
        <w:t>14</w:t>
      </w:r>
      <w:r>
        <w:fldChar w:fldCharType="end"/>
      </w:r>
    </w:p>
    <w:p>
      <w:pPr>
        <w:pStyle w:val="TOC8"/>
        <w:rPr>
          <w:rFonts w:asciiTheme="minorHAnsi" w:eastAsiaTheme="minorEastAsia" w:hAnsiTheme="minorHAnsi" w:cstheme="minorBidi"/>
          <w:szCs w:val="22"/>
        </w:rPr>
      </w:pPr>
      <w:r>
        <w:t>22.</w:t>
      </w:r>
      <w:r>
        <w:tab/>
        <w:t>Branding carcases if fit for human consumption</w:t>
      </w:r>
      <w:r>
        <w:tab/>
      </w:r>
      <w:r>
        <w:fldChar w:fldCharType="begin"/>
      </w:r>
      <w:r>
        <w:instrText xml:space="preserve"> PAGEREF _Toc423338575 \h </w:instrText>
      </w:r>
      <w:r>
        <w:fldChar w:fldCharType="separate"/>
      </w:r>
      <w:r>
        <w:t>14</w:t>
      </w:r>
      <w:r>
        <w:fldChar w:fldCharType="end"/>
      </w:r>
    </w:p>
    <w:p>
      <w:pPr>
        <w:pStyle w:val="TOC8"/>
        <w:rPr>
          <w:rFonts w:asciiTheme="minorHAnsi" w:eastAsiaTheme="minorEastAsia" w:hAnsiTheme="minorHAnsi" w:cstheme="minorBidi"/>
          <w:szCs w:val="22"/>
        </w:rPr>
      </w:pPr>
      <w:r>
        <w:t>23.</w:t>
      </w:r>
      <w:r>
        <w:tab/>
        <w:t>Branding carcases if fit for consumption by animals</w:t>
      </w:r>
      <w:r>
        <w:tab/>
      </w:r>
      <w:r>
        <w:fldChar w:fldCharType="begin"/>
      </w:r>
      <w:r>
        <w:instrText xml:space="preserve"> PAGEREF _Toc423338576 \h </w:instrText>
      </w:r>
      <w:r>
        <w:fldChar w:fldCharType="separate"/>
      </w:r>
      <w:r>
        <w:t>15</w:t>
      </w:r>
      <w:r>
        <w:fldChar w:fldCharType="end"/>
      </w:r>
    </w:p>
    <w:p>
      <w:pPr>
        <w:pStyle w:val="TOC8"/>
        <w:rPr>
          <w:rFonts w:asciiTheme="minorHAnsi" w:eastAsiaTheme="minorEastAsia" w:hAnsiTheme="minorHAnsi" w:cstheme="minorBidi"/>
          <w:szCs w:val="22"/>
        </w:rPr>
      </w:pPr>
      <w:r>
        <w:t>24.</w:t>
      </w:r>
      <w:r>
        <w:tab/>
        <w:t>How carcases are to be branded</w:t>
      </w:r>
      <w:r>
        <w:tab/>
      </w:r>
      <w:r>
        <w:fldChar w:fldCharType="begin"/>
      </w:r>
      <w:r>
        <w:instrText xml:space="preserve"> PAGEREF _Toc423338577 \h </w:instrText>
      </w:r>
      <w:r>
        <w:fldChar w:fldCharType="separate"/>
      </w:r>
      <w:r>
        <w:t>15</w:t>
      </w:r>
      <w:r>
        <w:fldChar w:fldCharType="end"/>
      </w:r>
    </w:p>
    <w:p>
      <w:pPr>
        <w:pStyle w:val="TOC8"/>
        <w:rPr>
          <w:rFonts w:asciiTheme="minorHAnsi" w:eastAsiaTheme="minorEastAsia" w:hAnsiTheme="minorHAnsi" w:cstheme="minorBidi"/>
          <w:szCs w:val="22"/>
        </w:rPr>
      </w:pPr>
      <w:r>
        <w:t>25.</w:t>
      </w:r>
      <w:r>
        <w:tab/>
        <w:t>Branding carcases if unfit for human consumption or unfit for consumption by animals</w:t>
      </w:r>
      <w:r>
        <w:tab/>
      </w:r>
      <w:r>
        <w:fldChar w:fldCharType="begin"/>
      </w:r>
      <w:r>
        <w:instrText xml:space="preserve"> PAGEREF _Toc423338578 \h </w:instrText>
      </w:r>
      <w:r>
        <w:fldChar w:fldCharType="separate"/>
      </w:r>
      <w:r>
        <w:t>16</w:t>
      </w:r>
      <w:r>
        <w:fldChar w:fldCharType="end"/>
      </w:r>
    </w:p>
    <w:p>
      <w:pPr>
        <w:pStyle w:val="TOC8"/>
        <w:rPr>
          <w:rFonts w:asciiTheme="minorHAnsi" w:eastAsiaTheme="minorEastAsia" w:hAnsiTheme="minorHAnsi" w:cstheme="minorBidi"/>
          <w:szCs w:val="22"/>
        </w:rPr>
      </w:pPr>
      <w:r>
        <w:t>26.</w:t>
      </w:r>
      <w:r>
        <w:tab/>
        <w:t>Offences relating to brands</w:t>
      </w:r>
      <w:r>
        <w:tab/>
      </w:r>
      <w:r>
        <w:fldChar w:fldCharType="begin"/>
      </w:r>
      <w:r>
        <w:instrText xml:space="preserve"> PAGEREF _Toc423338579 \h </w:instrText>
      </w:r>
      <w:r>
        <w:fldChar w:fldCharType="separate"/>
      </w:r>
      <w:r>
        <w:t>17</w:t>
      </w:r>
      <w:r>
        <w:fldChar w:fldCharType="end"/>
      </w:r>
    </w:p>
    <w:p>
      <w:pPr>
        <w:pStyle w:val="TOC8"/>
        <w:rPr>
          <w:rFonts w:asciiTheme="minorHAnsi" w:eastAsiaTheme="minorEastAsia" w:hAnsiTheme="minorHAnsi" w:cstheme="minorBidi"/>
          <w:szCs w:val="22"/>
        </w:rPr>
      </w:pPr>
      <w:r>
        <w:t>27.</w:t>
      </w:r>
      <w:r>
        <w:tab/>
        <w:t>Restrictions on sale of carcases</w:t>
      </w:r>
      <w:r>
        <w:tab/>
      </w:r>
      <w:r>
        <w:fldChar w:fldCharType="begin"/>
      </w:r>
      <w:r>
        <w:instrText xml:space="preserve"> PAGEREF _Toc423338580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Pet meat</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28.</w:t>
      </w:r>
      <w:r>
        <w:tab/>
        <w:t>Term used: proprietor</w:t>
      </w:r>
      <w:r>
        <w:tab/>
      </w:r>
      <w:r>
        <w:fldChar w:fldCharType="begin"/>
      </w:r>
      <w:r>
        <w:instrText xml:space="preserve"> PAGEREF _Toc423338583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Staining of pet meat</w:t>
      </w:r>
    </w:p>
    <w:p>
      <w:pPr>
        <w:pStyle w:val="TOC8"/>
        <w:rPr>
          <w:rFonts w:asciiTheme="minorHAnsi" w:eastAsiaTheme="minorEastAsia" w:hAnsiTheme="minorHAnsi" w:cstheme="minorBidi"/>
          <w:szCs w:val="22"/>
        </w:rPr>
      </w:pPr>
      <w:r>
        <w:t>29.</w:t>
      </w:r>
      <w:r>
        <w:tab/>
        <w:t>Term used: dressing</w:t>
      </w:r>
      <w:r>
        <w:tab/>
      </w:r>
      <w:r>
        <w:fldChar w:fldCharType="begin"/>
      </w:r>
      <w:r>
        <w:instrText xml:space="preserve"> PAGEREF _Toc423338585 \h </w:instrText>
      </w:r>
      <w:r>
        <w:fldChar w:fldCharType="separate"/>
      </w:r>
      <w:r>
        <w:t>18</w:t>
      </w:r>
      <w:r>
        <w:fldChar w:fldCharType="end"/>
      </w:r>
    </w:p>
    <w:p>
      <w:pPr>
        <w:pStyle w:val="TOC8"/>
        <w:rPr>
          <w:rFonts w:asciiTheme="minorHAnsi" w:eastAsiaTheme="minorEastAsia" w:hAnsiTheme="minorHAnsi" w:cstheme="minorBidi"/>
          <w:szCs w:val="22"/>
        </w:rPr>
      </w:pPr>
      <w:r>
        <w:t>30.</w:t>
      </w:r>
      <w:r>
        <w:tab/>
        <w:t>Requirement for pet meat to be stained</w:t>
      </w:r>
      <w:r>
        <w:tab/>
      </w:r>
      <w:r>
        <w:fldChar w:fldCharType="begin"/>
      </w:r>
      <w:r>
        <w:instrText xml:space="preserve"> PAGEREF _Toc423338586 \h </w:instrText>
      </w:r>
      <w:r>
        <w:fldChar w:fldCharType="separate"/>
      </w:r>
      <w:r>
        <w:t>19</w:t>
      </w:r>
      <w:r>
        <w:fldChar w:fldCharType="end"/>
      </w:r>
    </w:p>
    <w:p>
      <w:pPr>
        <w:pStyle w:val="TOC8"/>
        <w:rPr>
          <w:rFonts w:asciiTheme="minorHAnsi" w:eastAsiaTheme="minorEastAsia" w:hAnsiTheme="minorHAnsi" w:cstheme="minorBidi"/>
          <w:szCs w:val="22"/>
        </w:rPr>
      </w:pPr>
      <w:r>
        <w:t>31.</w:t>
      </w:r>
      <w:r>
        <w:tab/>
        <w:t>How pet meat is to be stained</w:t>
      </w:r>
      <w:r>
        <w:tab/>
      </w:r>
      <w:r>
        <w:fldChar w:fldCharType="begin"/>
      </w:r>
      <w:r>
        <w:instrText xml:space="preserve"> PAGEREF _Toc423338587 \h </w:instrText>
      </w:r>
      <w:r>
        <w:fldChar w:fldCharType="separate"/>
      </w:r>
      <w:r>
        <w:t>19</w:t>
      </w:r>
      <w:r>
        <w:fldChar w:fldCharType="end"/>
      </w:r>
    </w:p>
    <w:p>
      <w:pPr>
        <w:pStyle w:val="TOC8"/>
        <w:rPr>
          <w:rFonts w:asciiTheme="minorHAnsi" w:eastAsiaTheme="minorEastAsia" w:hAnsiTheme="minorHAnsi" w:cstheme="minorBidi"/>
          <w:szCs w:val="22"/>
        </w:rPr>
      </w:pPr>
      <w:r>
        <w:t>32.</w:t>
      </w:r>
      <w:r>
        <w:tab/>
        <w:t>Removal of stain from pet meat prohibited</w:t>
      </w:r>
      <w:r>
        <w:tab/>
      </w:r>
      <w:r>
        <w:fldChar w:fldCharType="begin"/>
      </w:r>
      <w:r>
        <w:instrText xml:space="preserve"> PAGEREF _Toc423338588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relating to packaged and unpackaged pet meat</w:t>
      </w:r>
    </w:p>
    <w:p>
      <w:pPr>
        <w:pStyle w:val="TOC8"/>
        <w:rPr>
          <w:rFonts w:asciiTheme="minorHAnsi" w:eastAsiaTheme="minorEastAsia" w:hAnsiTheme="minorHAnsi" w:cstheme="minorBidi"/>
          <w:szCs w:val="22"/>
        </w:rPr>
      </w:pPr>
      <w:r>
        <w:t>33.</w:t>
      </w:r>
      <w:r>
        <w:tab/>
        <w:t>Pet meat sold by food businesses to be packaged</w:t>
      </w:r>
      <w:r>
        <w:tab/>
      </w:r>
      <w:r>
        <w:fldChar w:fldCharType="begin"/>
      </w:r>
      <w:r>
        <w:instrText xml:space="preserve"> PAGEREF _Toc423338590 \h </w:instrText>
      </w:r>
      <w:r>
        <w:fldChar w:fldCharType="separate"/>
      </w:r>
      <w:r>
        <w:t>20</w:t>
      </w:r>
      <w:r>
        <w:fldChar w:fldCharType="end"/>
      </w:r>
    </w:p>
    <w:p>
      <w:pPr>
        <w:pStyle w:val="TOC8"/>
        <w:rPr>
          <w:rFonts w:asciiTheme="minorHAnsi" w:eastAsiaTheme="minorEastAsia" w:hAnsiTheme="minorHAnsi" w:cstheme="minorBidi"/>
          <w:szCs w:val="22"/>
        </w:rPr>
      </w:pPr>
      <w:r>
        <w:t>34.</w:t>
      </w:r>
      <w:r>
        <w:tab/>
        <w:t>Unpackaged pet meat to be sold only at animal food processing premises or retail pet meat shops</w:t>
      </w:r>
      <w:r>
        <w:tab/>
      </w:r>
      <w:r>
        <w:fldChar w:fldCharType="begin"/>
      </w:r>
      <w:r>
        <w:instrText xml:space="preserve"> PAGEREF _Toc423338591 \h </w:instrText>
      </w:r>
      <w:r>
        <w:fldChar w:fldCharType="separate"/>
      </w:r>
      <w:r>
        <w:t>20</w:t>
      </w:r>
      <w:r>
        <w:fldChar w:fldCharType="end"/>
      </w:r>
    </w:p>
    <w:p>
      <w:pPr>
        <w:pStyle w:val="TOC8"/>
        <w:rPr>
          <w:rFonts w:asciiTheme="minorHAnsi" w:eastAsiaTheme="minorEastAsia" w:hAnsiTheme="minorHAnsi" w:cstheme="minorBidi"/>
          <w:szCs w:val="22"/>
        </w:rPr>
      </w:pPr>
      <w:r>
        <w:t>35.</w:t>
      </w:r>
      <w:r>
        <w:tab/>
        <w:t>Unpackaged pet meat to be stored at animal food processing premises and retail pet meat shops in marked containers</w:t>
      </w:r>
      <w:r>
        <w:tab/>
      </w:r>
      <w:r>
        <w:fldChar w:fldCharType="begin"/>
      </w:r>
      <w:r>
        <w:instrText xml:space="preserve"> PAGEREF _Toc423338592 \h </w:instrText>
      </w:r>
      <w:r>
        <w:fldChar w:fldCharType="separate"/>
      </w:r>
      <w:r>
        <w:t>21</w:t>
      </w:r>
      <w:r>
        <w:fldChar w:fldCharType="end"/>
      </w:r>
    </w:p>
    <w:p>
      <w:pPr>
        <w:pStyle w:val="TOC8"/>
        <w:rPr>
          <w:rFonts w:asciiTheme="minorHAnsi" w:eastAsiaTheme="minorEastAsia" w:hAnsiTheme="minorHAnsi" w:cstheme="minorBidi"/>
          <w:szCs w:val="22"/>
        </w:rPr>
      </w:pPr>
      <w:r>
        <w:t>36.</w:t>
      </w:r>
      <w:r>
        <w:tab/>
        <w:t>Unpackaged pet meat and food not to be processed, handled or sold at same food business premises</w:t>
      </w:r>
      <w:r>
        <w:tab/>
      </w:r>
      <w:r>
        <w:fldChar w:fldCharType="begin"/>
      </w:r>
      <w:r>
        <w:instrText xml:space="preserve"> PAGEREF _Toc423338593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requirements</w:t>
      </w:r>
    </w:p>
    <w:p>
      <w:pPr>
        <w:pStyle w:val="TOC8"/>
        <w:rPr>
          <w:rFonts w:asciiTheme="minorHAnsi" w:eastAsiaTheme="minorEastAsia" w:hAnsiTheme="minorHAnsi" w:cstheme="minorBidi"/>
          <w:szCs w:val="22"/>
        </w:rPr>
      </w:pPr>
      <w:r>
        <w:t>37.</w:t>
      </w:r>
      <w:r>
        <w:tab/>
        <w:t>Proprietor of animal food processing premises to establish and maintain system for tracing pet meat</w:t>
      </w:r>
      <w:r>
        <w:tab/>
      </w:r>
      <w:r>
        <w:fldChar w:fldCharType="begin"/>
      </w:r>
      <w:r>
        <w:instrText xml:space="preserve"> PAGEREF _Toc423338595 \h </w:instrText>
      </w:r>
      <w:r>
        <w:fldChar w:fldCharType="separate"/>
      </w:r>
      <w:r>
        <w:t>22</w:t>
      </w:r>
      <w:r>
        <w:fldChar w:fldCharType="end"/>
      </w:r>
    </w:p>
    <w:p>
      <w:pPr>
        <w:pStyle w:val="TOC8"/>
        <w:rPr>
          <w:rFonts w:asciiTheme="minorHAnsi" w:eastAsiaTheme="minorEastAsia" w:hAnsiTheme="minorHAnsi" w:cstheme="minorBidi"/>
          <w:szCs w:val="22"/>
        </w:rPr>
      </w:pPr>
      <w:r>
        <w:t>38.</w:t>
      </w:r>
      <w:r>
        <w:tab/>
        <w:t>Meat and game meat for human consumption not to be stored in animal food processing premises</w:t>
      </w:r>
      <w:r>
        <w:tab/>
      </w:r>
      <w:r>
        <w:fldChar w:fldCharType="begin"/>
      </w:r>
      <w:r>
        <w:instrText xml:space="preserve"> PAGEREF _Toc423338596 \h </w:instrText>
      </w:r>
      <w:r>
        <w:fldChar w:fldCharType="separate"/>
      </w:r>
      <w:r>
        <w:t>23</w:t>
      </w:r>
      <w:r>
        <w:fldChar w:fldCharType="end"/>
      </w:r>
    </w:p>
    <w:p>
      <w:pPr>
        <w:pStyle w:val="TOC8"/>
        <w:rPr>
          <w:rFonts w:asciiTheme="minorHAnsi" w:eastAsiaTheme="minorEastAsia" w:hAnsiTheme="minorHAnsi" w:cstheme="minorBidi"/>
          <w:szCs w:val="22"/>
        </w:rPr>
      </w:pPr>
      <w:r>
        <w:t>39.</w:t>
      </w:r>
      <w:r>
        <w:tab/>
        <w:t>Pet meat not to be sold as food</w:t>
      </w:r>
      <w:r>
        <w:tab/>
      </w:r>
      <w:r>
        <w:fldChar w:fldCharType="begin"/>
      </w:r>
      <w:r>
        <w:instrText xml:space="preserve"> PAGEREF _Toc423338597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conduct of business at animal food processing premises and retail pet meat shops</w:t>
      </w:r>
    </w:p>
    <w:p>
      <w:pPr>
        <w:pStyle w:val="TOC8"/>
        <w:rPr>
          <w:rFonts w:asciiTheme="minorHAnsi" w:eastAsiaTheme="minorEastAsia" w:hAnsiTheme="minorHAnsi" w:cstheme="minorBidi"/>
          <w:szCs w:val="22"/>
        </w:rPr>
      </w:pPr>
      <w:r>
        <w:t>40.</w:t>
      </w:r>
      <w:r>
        <w:tab/>
        <w:t>Notification of conduct of business at animal food processing premises and retail pet meat shops</w:t>
      </w:r>
      <w:r>
        <w:tab/>
      </w:r>
      <w:r>
        <w:fldChar w:fldCharType="begin"/>
      </w:r>
      <w:r>
        <w:instrText xml:space="preserve"> PAGEREF _Toc423338599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Statements and inspection fees</w:t>
      </w:r>
    </w:p>
    <w:p>
      <w:pPr>
        <w:pStyle w:val="TOC8"/>
        <w:rPr>
          <w:rFonts w:asciiTheme="minorHAnsi" w:eastAsiaTheme="minorEastAsia" w:hAnsiTheme="minorHAnsi" w:cstheme="minorBidi"/>
          <w:szCs w:val="22"/>
        </w:rPr>
      </w:pPr>
      <w:r>
        <w:t>41.</w:t>
      </w:r>
      <w:r>
        <w:tab/>
        <w:t>Statements and inspection fees</w:t>
      </w:r>
      <w:r>
        <w:tab/>
      </w:r>
      <w:r>
        <w:fldChar w:fldCharType="begin"/>
      </w:r>
      <w:r>
        <w:instrText xml:space="preserve"> PAGEREF _Toc423338601 \h </w:instrText>
      </w:r>
      <w:r>
        <w:fldChar w:fldCharType="separate"/>
      </w:r>
      <w:r>
        <w:t>24</w:t>
      </w:r>
      <w:r>
        <w:fldChar w:fldCharType="end"/>
      </w:r>
    </w:p>
    <w:p>
      <w:pPr>
        <w:pStyle w:val="TOC8"/>
        <w:rPr>
          <w:rFonts w:asciiTheme="minorHAnsi" w:eastAsiaTheme="minorEastAsia" w:hAnsiTheme="minorHAnsi" w:cstheme="minorBidi"/>
          <w:szCs w:val="22"/>
        </w:rPr>
      </w:pPr>
      <w:r>
        <w:t>42.</w:t>
      </w:r>
      <w:r>
        <w:tab/>
        <w:t>Application of inspection fees</w:t>
      </w:r>
      <w:r>
        <w:tab/>
      </w:r>
      <w:r>
        <w:fldChar w:fldCharType="begin"/>
      </w:r>
      <w:r>
        <w:instrText xml:space="preserve"> PAGEREF _Toc423338602 \h </w:instrText>
      </w:r>
      <w:r>
        <w:fldChar w:fldCharType="separate"/>
      </w:r>
      <w:r>
        <w:t>25</w:t>
      </w:r>
      <w:r>
        <w:fldChar w:fldCharType="end"/>
      </w:r>
    </w:p>
    <w:p>
      <w:pPr>
        <w:pStyle w:val="TOC8"/>
        <w:rPr>
          <w:rFonts w:asciiTheme="minorHAnsi" w:eastAsiaTheme="minorEastAsia" w:hAnsiTheme="minorHAnsi" w:cstheme="minorBidi"/>
          <w:szCs w:val="22"/>
        </w:rPr>
      </w:pPr>
      <w:r>
        <w:t>43.</w:t>
      </w:r>
      <w:r>
        <w:tab/>
        <w:t>Local governments may require security</w:t>
      </w:r>
      <w:r>
        <w:tab/>
      </w:r>
      <w:r>
        <w:fldChar w:fldCharType="begin"/>
      </w:r>
      <w:r>
        <w:instrText xml:space="preserve"> PAGEREF _Toc423338603 \h </w:instrText>
      </w:r>
      <w:r>
        <w:fldChar w:fldCharType="separate"/>
      </w:r>
      <w:r>
        <w:t>25</w:t>
      </w:r>
      <w:r>
        <w:fldChar w:fldCharType="end"/>
      </w:r>
    </w:p>
    <w:p>
      <w:pPr>
        <w:pStyle w:val="TOC8"/>
        <w:rPr>
          <w:rFonts w:asciiTheme="minorHAnsi" w:eastAsiaTheme="minorEastAsia" w:hAnsiTheme="minorHAnsi" w:cstheme="minorBidi"/>
          <w:szCs w:val="22"/>
        </w:rPr>
      </w:pPr>
      <w:r>
        <w:t>44.</w:t>
      </w:r>
      <w:r>
        <w:tab/>
        <w:t>Application of security to recover unpaid fees</w:t>
      </w:r>
      <w:r>
        <w:tab/>
      </w:r>
      <w:r>
        <w:fldChar w:fldCharType="begin"/>
      </w:r>
      <w:r>
        <w:instrText xml:space="preserve"> PAGEREF _Toc423338604 \h </w:instrText>
      </w:r>
      <w:r>
        <w:fldChar w:fldCharType="separate"/>
      </w:r>
      <w:r>
        <w:t>26</w:t>
      </w:r>
      <w:r>
        <w:fldChar w:fldCharType="end"/>
      </w:r>
    </w:p>
    <w:p>
      <w:pPr>
        <w:pStyle w:val="TOC8"/>
        <w:rPr>
          <w:rFonts w:asciiTheme="minorHAnsi" w:eastAsiaTheme="minorEastAsia" w:hAnsiTheme="minorHAnsi" w:cstheme="minorBidi"/>
          <w:szCs w:val="22"/>
        </w:rPr>
      </w:pPr>
      <w:r>
        <w:t>45.</w:t>
      </w:r>
      <w:r>
        <w:tab/>
        <w:t>Withdrawal of inspection services</w:t>
      </w:r>
      <w:r>
        <w:tab/>
      </w:r>
      <w:r>
        <w:fldChar w:fldCharType="begin"/>
      </w:r>
      <w:r>
        <w:instrText xml:space="preserve"> PAGEREF _Toc423338605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Premises used in meat production</w:t>
      </w:r>
    </w:p>
    <w:p>
      <w:pPr>
        <w:pStyle w:val="TOC8"/>
        <w:rPr>
          <w:rFonts w:asciiTheme="minorHAnsi" w:eastAsiaTheme="minorEastAsia" w:hAnsiTheme="minorHAnsi" w:cstheme="minorBidi"/>
          <w:szCs w:val="22"/>
        </w:rPr>
      </w:pPr>
      <w:r>
        <w:t>46.</w:t>
      </w:r>
      <w:r>
        <w:tab/>
        <w:t>Abattoirs and processing premises to comply with requirements of adopted standards</w:t>
      </w:r>
      <w:r>
        <w:tab/>
      </w:r>
      <w:r>
        <w:fldChar w:fldCharType="begin"/>
      </w:r>
      <w:r>
        <w:instrText xml:space="preserve"> PAGEREF _Toc423338607 \h </w:instrText>
      </w:r>
      <w:r>
        <w:fldChar w:fldCharType="separate"/>
      </w:r>
      <w:r>
        <w:t>27</w:t>
      </w:r>
      <w:r>
        <w:fldChar w:fldCharType="end"/>
      </w:r>
    </w:p>
    <w:p>
      <w:pPr>
        <w:pStyle w:val="TOC8"/>
        <w:rPr>
          <w:rFonts w:asciiTheme="minorHAnsi" w:eastAsiaTheme="minorEastAsia" w:hAnsiTheme="minorHAnsi" w:cstheme="minorBidi"/>
          <w:szCs w:val="22"/>
        </w:rPr>
      </w:pPr>
      <w:r>
        <w:t>47.</w:t>
      </w:r>
      <w:r>
        <w:tab/>
        <w:t>Slaughtering and processing to comply with requirements of adopted standards</w:t>
      </w:r>
      <w:r>
        <w:tab/>
      </w:r>
      <w:r>
        <w:fldChar w:fldCharType="begin"/>
      </w:r>
      <w:r>
        <w:instrText xml:space="preserve"> PAGEREF _Toc423338608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7 — Premises used in game meat production</w:t>
      </w:r>
    </w:p>
    <w:p>
      <w:pPr>
        <w:pStyle w:val="TOC8"/>
        <w:rPr>
          <w:rFonts w:asciiTheme="minorHAnsi" w:eastAsiaTheme="minorEastAsia" w:hAnsiTheme="minorHAnsi" w:cstheme="minorBidi"/>
          <w:szCs w:val="22"/>
        </w:rPr>
      </w:pPr>
      <w:r>
        <w:t>48.</w:t>
      </w:r>
      <w:r>
        <w:tab/>
        <w:t>Field depots to comply with requirements of wild game standard</w:t>
      </w:r>
      <w:r>
        <w:tab/>
      </w:r>
      <w:r>
        <w:fldChar w:fldCharType="begin"/>
      </w:r>
      <w:r>
        <w:instrText xml:space="preserve"> PAGEREF _Toc423338610 \h </w:instrText>
      </w:r>
      <w:r>
        <w:fldChar w:fldCharType="separate"/>
      </w:r>
      <w:r>
        <w:t>28</w:t>
      </w:r>
      <w:r>
        <w:fldChar w:fldCharType="end"/>
      </w:r>
    </w:p>
    <w:p>
      <w:pPr>
        <w:pStyle w:val="TOC8"/>
        <w:rPr>
          <w:rFonts w:asciiTheme="minorHAnsi" w:eastAsiaTheme="minorEastAsia" w:hAnsiTheme="minorHAnsi" w:cstheme="minorBidi"/>
          <w:szCs w:val="22"/>
        </w:rPr>
      </w:pPr>
      <w:r>
        <w:t>49.</w:t>
      </w:r>
      <w:r>
        <w:tab/>
        <w:t>Wild game meat processing establishments to comply with requirements of wild game standard</w:t>
      </w:r>
      <w:r>
        <w:tab/>
      </w:r>
      <w:r>
        <w:fldChar w:fldCharType="begin"/>
      </w:r>
      <w:r>
        <w:instrText xml:space="preserve"> PAGEREF _Toc423338611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8 — Transporting meat and game meat</w:t>
      </w:r>
    </w:p>
    <w:p>
      <w:pPr>
        <w:pStyle w:val="TOC8"/>
        <w:rPr>
          <w:rFonts w:asciiTheme="minorHAnsi" w:eastAsiaTheme="minorEastAsia" w:hAnsiTheme="minorHAnsi" w:cstheme="minorBidi"/>
          <w:szCs w:val="22"/>
        </w:rPr>
      </w:pPr>
      <w:r>
        <w:t>50.</w:t>
      </w:r>
      <w:r>
        <w:tab/>
        <w:t>Vehicles transporting meat or game meat</w:t>
      </w:r>
      <w:r>
        <w:tab/>
      </w:r>
      <w:r>
        <w:fldChar w:fldCharType="begin"/>
      </w:r>
      <w:r>
        <w:instrText xml:space="preserve"> PAGEREF _Toc423338613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51.</w:t>
      </w:r>
      <w:r>
        <w:tab/>
        <w:t>Enforcement agency may make list of food businesses publicly available</w:t>
      </w:r>
      <w:r>
        <w:tab/>
      </w:r>
      <w:r>
        <w:fldChar w:fldCharType="begin"/>
      </w:r>
      <w:r>
        <w:instrText xml:space="preserve"> PAGEREF _Toc423338615 \h </w:instrText>
      </w:r>
      <w:r>
        <w:fldChar w:fldCharType="separate"/>
      </w:r>
      <w:r>
        <w:t>30</w:t>
      </w:r>
      <w:r>
        <w:fldChar w:fldCharType="end"/>
      </w:r>
    </w:p>
    <w:p>
      <w:pPr>
        <w:pStyle w:val="TOC8"/>
        <w:rPr>
          <w:rFonts w:asciiTheme="minorHAnsi" w:eastAsiaTheme="minorEastAsia" w:hAnsiTheme="minorHAnsi" w:cstheme="minorBidi"/>
          <w:szCs w:val="22"/>
        </w:rPr>
      </w:pPr>
      <w:r>
        <w:t>52.</w:t>
      </w:r>
      <w:r>
        <w:tab/>
        <w:t>Prescribed fees</w:t>
      </w:r>
      <w:r>
        <w:tab/>
      </w:r>
      <w:r>
        <w:fldChar w:fldCharType="begin"/>
      </w:r>
      <w:r>
        <w:instrText xml:space="preserve"> PAGEREF _Toc423338616 \h </w:instrText>
      </w:r>
      <w:r>
        <w:fldChar w:fldCharType="separate"/>
      </w:r>
      <w:r>
        <w:t>30</w:t>
      </w:r>
      <w:r>
        <w:fldChar w:fldCharType="end"/>
      </w:r>
    </w:p>
    <w:p>
      <w:pPr>
        <w:pStyle w:val="TOC8"/>
        <w:rPr>
          <w:rFonts w:asciiTheme="minorHAnsi" w:eastAsiaTheme="minorEastAsia" w:hAnsiTheme="minorHAnsi" w:cstheme="minorBidi"/>
          <w:szCs w:val="22"/>
        </w:rPr>
      </w:pPr>
      <w:r>
        <w:t>53.</w:t>
      </w:r>
      <w:r>
        <w:tab/>
        <w:t>Prescribed offences and modified penalties (s. 126)</w:t>
      </w:r>
      <w:r>
        <w:tab/>
      </w:r>
      <w:r>
        <w:fldChar w:fldCharType="begin"/>
      </w:r>
      <w:r>
        <w:instrText xml:space="preserve"> PAGEREF _Toc423338617 \h </w:instrText>
      </w:r>
      <w:r>
        <w:fldChar w:fldCharType="separate"/>
      </w:r>
      <w:r>
        <w:t>30</w:t>
      </w:r>
      <w:r>
        <w:fldChar w:fldCharType="end"/>
      </w:r>
    </w:p>
    <w:p>
      <w:pPr>
        <w:pStyle w:val="TOC8"/>
        <w:rPr>
          <w:rFonts w:asciiTheme="minorHAnsi" w:eastAsiaTheme="minorEastAsia" w:hAnsiTheme="minorHAnsi" w:cstheme="minorBidi"/>
          <w:szCs w:val="22"/>
        </w:rPr>
      </w:pPr>
      <w:r>
        <w:t>54.</w:t>
      </w:r>
      <w:r>
        <w:tab/>
        <w:t>Prescribed forms (s. 126(3) and (7))</w:t>
      </w:r>
      <w:r>
        <w:tab/>
      </w:r>
      <w:r>
        <w:fldChar w:fldCharType="begin"/>
      </w:r>
      <w:r>
        <w:instrText xml:space="preserve"> PAGEREF _Toc423338618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Inspection fees</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Infringement notice</w:t>
      </w:r>
    </w:p>
    <w:p>
      <w:pPr>
        <w:pStyle w:val="TOC2"/>
        <w:tabs>
          <w:tab w:val="right" w:leader="dot" w:pos="7077"/>
        </w:tabs>
        <w:rPr>
          <w:rFonts w:asciiTheme="minorHAnsi" w:eastAsiaTheme="minorEastAsia" w:hAnsiTheme="minorHAnsi" w:cstheme="minorBidi"/>
          <w:b w:val="0"/>
          <w:sz w:val="22"/>
          <w:szCs w:val="22"/>
        </w:rPr>
      </w:pPr>
      <w:r>
        <w:t>Schedule 5 — Notice to withdraw infringement notice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_Toc423338625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Food Act 2008</w:t>
      </w:r>
    </w:p>
    <w:p>
      <w:pPr>
        <w:pStyle w:val="NameofActReg"/>
        <w:spacing w:before="960" w:after="800"/>
      </w:pPr>
      <w:r>
        <w:t>Food Regulations 2009</w:t>
      </w:r>
    </w:p>
    <w:p>
      <w:pPr>
        <w:pStyle w:val="Heading2"/>
        <w:pageBreakBefore w:val="0"/>
        <w:spacing w:before="240"/>
      </w:pPr>
      <w:bookmarkStart w:id="3" w:name="_Toc418237303"/>
      <w:bookmarkStart w:id="4" w:name="_Toc420401493"/>
      <w:bookmarkStart w:id="5" w:name="_Toc42333854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23338547"/>
      <w:r>
        <w:rPr>
          <w:rStyle w:val="CharSectno"/>
        </w:rPr>
        <w:t>1</w:t>
      </w:r>
      <w:r>
        <w:t>.</w:t>
      </w:r>
      <w:r>
        <w:tab/>
        <w:t>Citation</w:t>
      </w:r>
      <w:bookmarkEnd w:id="6"/>
    </w:p>
    <w:p>
      <w:pPr>
        <w:pStyle w:val="Subsection"/>
      </w:pPr>
      <w:r>
        <w:tab/>
      </w:r>
      <w:r>
        <w:tab/>
      </w:r>
      <w:bookmarkStart w:id="7" w:name="Start_Cursor"/>
      <w:bookmarkEnd w:id="7"/>
      <w:r>
        <w:t xml:space="preserve">These regulations are the </w:t>
      </w:r>
      <w:r>
        <w:rPr>
          <w:i/>
        </w:rPr>
        <w:t>Food Regulations 2009</w:t>
      </w:r>
      <w:r>
        <w:rPr>
          <w:vertAlign w:val="superscript"/>
        </w:rPr>
        <w:t> 1</w:t>
      </w:r>
      <w:r>
        <w:t>.</w:t>
      </w:r>
    </w:p>
    <w:p>
      <w:pPr>
        <w:pStyle w:val="Heading5"/>
      </w:pPr>
      <w:bookmarkStart w:id="8" w:name="_Toc423338548"/>
      <w:r>
        <w:rPr>
          <w:rStyle w:val="CharSectno"/>
        </w:rPr>
        <w:t>2</w:t>
      </w:r>
      <w:r>
        <w:t>.</w:t>
      </w:r>
      <w:r>
        <w:tab/>
        <w:t>Commencement</w:t>
      </w:r>
      <w:bookmarkEnd w:id="8"/>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2</w:t>
      </w:r>
      <w:r>
        <w:t>.</w:t>
      </w:r>
    </w:p>
    <w:p>
      <w:pPr>
        <w:pStyle w:val="Heading5"/>
      </w:pPr>
      <w:bookmarkStart w:id="9" w:name="_Toc423338549"/>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0" w:name="_Toc423338550"/>
      <w:r>
        <w:rPr>
          <w:rStyle w:val="CharSectno"/>
        </w:rPr>
        <w:t>4</w:t>
      </w:r>
      <w:r>
        <w:t>.</w:t>
      </w:r>
      <w:r>
        <w:tab/>
        <w:t>Appropriate enforcement agency: CEO (s. 8)</w:t>
      </w:r>
      <w:bookmarkEnd w:id="10"/>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Hospitals and Health Services Act 1927</w:t>
      </w:r>
      <w:r>
        <w:t xml:space="preserve"> section 2(1);</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in Gazette 20 Mar 2015 p. 905</w:t>
      </w:r>
      <w:r>
        <w:noBreakHyphen/>
        <w:t>6.]</w:t>
      </w:r>
    </w:p>
    <w:p>
      <w:pPr>
        <w:pStyle w:val="Heading5"/>
      </w:pPr>
      <w:bookmarkStart w:id="11" w:name="_Toc423338551"/>
      <w:r>
        <w:rPr>
          <w:rStyle w:val="CharSectno"/>
        </w:rPr>
        <w:t>5</w:t>
      </w:r>
      <w:r>
        <w:t>.</w:t>
      </w:r>
      <w:r>
        <w:tab/>
        <w:t>Appropriate enforcement agency: local government (s. 8)</w:t>
      </w:r>
      <w:bookmarkEnd w:id="11"/>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2" w:name="_Toc423338552"/>
      <w:r>
        <w:rPr>
          <w:rStyle w:val="CharSectno"/>
        </w:rPr>
        <w:t>6</w:t>
      </w:r>
      <w:r>
        <w:t>.</w:t>
      </w:r>
      <w:r>
        <w:tab/>
        <w:t>Food production activities that are not primary food production (s. 11(2))</w:t>
      </w:r>
      <w:bookmarkEnd w:id="12"/>
    </w:p>
    <w:p>
      <w:pPr>
        <w:pStyle w:val="Subsection"/>
      </w:pPr>
      <w:r>
        <w:tab/>
      </w:r>
      <w:r>
        <w:tab/>
        <w:t>For section 11(2) of the Act, any food production activity to which a standard in Chapter 4 of the Food Standards Code applies is prescribed.</w:t>
      </w:r>
    </w:p>
    <w:p>
      <w:pPr>
        <w:pStyle w:val="Heading2"/>
      </w:pPr>
      <w:bookmarkStart w:id="13" w:name="_Toc418237310"/>
      <w:bookmarkStart w:id="14" w:name="_Toc420401500"/>
      <w:bookmarkStart w:id="15" w:name="_Toc423338553"/>
      <w:r>
        <w:rPr>
          <w:rStyle w:val="CharPartNo"/>
        </w:rPr>
        <w:t>Part 2</w:t>
      </w:r>
      <w:r>
        <w:rPr>
          <w:rStyle w:val="CharDivNo"/>
        </w:rPr>
        <w:t> </w:t>
      </w:r>
      <w:r>
        <w:t>—</w:t>
      </w:r>
      <w:r>
        <w:rPr>
          <w:rStyle w:val="CharDivText"/>
        </w:rPr>
        <w:t> </w:t>
      </w:r>
      <w:r>
        <w:rPr>
          <w:rStyle w:val="CharPartText"/>
        </w:rPr>
        <w:t>Adoption of Food Standards Code</w:t>
      </w:r>
      <w:bookmarkEnd w:id="13"/>
      <w:bookmarkEnd w:id="14"/>
      <w:bookmarkEnd w:id="15"/>
    </w:p>
    <w:p>
      <w:pPr>
        <w:pStyle w:val="Heading5"/>
      </w:pPr>
      <w:bookmarkStart w:id="16" w:name="_Toc423338554"/>
      <w:r>
        <w:rPr>
          <w:rStyle w:val="CharSectno"/>
        </w:rPr>
        <w:t>7</w:t>
      </w:r>
      <w:r>
        <w:t>.</w:t>
      </w:r>
      <w:r>
        <w:tab/>
        <w:t>Adoption of Food Standards Code (s. 144(7))</w:t>
      </w:r>
      <w:bookmarkEnd w:id="16"/>
    </w:p>
    <w:p>
      <w:pPr>
        <w:pStyle w:val="Subsection"/>
      </w:pPr>
      <w:r>
        <w:tab/>
      </w:r>
      <w:r>
        <w:tab/>
        <w:t>Under section 144(7) of the Act, the Food Standards Code is adopted as in force from time to time.</w:t>
      </w:r>
    </w:p>
    <w:p>
      <w:pPr>
        <w:pStyle w:val="Heading5"/>
      </w:pPr>
      <w:bookmarkStart w:id="17" w:name="_Toc423338555"/>
      <w:r>
        <w:rPr>
          <w:rStyle w:val="CharSectno"/>
        </w:rPr>
        <w:t>8</w:t>
      </w:r>
      <w:r>
        <w:t>.</w:t>
      </w:r>
      <w:r>
        <w:tab/>
        <w:t>FSC standard 4.2.4 clause 15: express provision for goat’s milk</w:t>
      </w:r>
      <w:bookmarkEnd w:id="17"/>
    </w:p>
    <w:p>
      <w:pPr>
        <w:pStyle w:val="Subsection"/>
      </w:pPr>
      <w:r>
        <w:tab/>
      </w:r>
      <w:r>
        <w:tab/>
        <w:t>Clause 15 of FSC standard 4.2.4 does not apply to goat’s milk.</w:t>
      </w:r>
    </w:p>
    <w:p>
      <w:pPr>
        <w:pStyle w:val="Heading2"/>
      </w:pPr>
      <w:bookmarkStart w:id="18" w:name="_Toc418237313"/>
      <w:bookmarkStart w:id="19" w:name="_Toc420401503"/>
      <w:bookmarkStart w:id="20" w:name="_Toc423338556"/>
      <w:r>
        <w:rPr>
          <w:rStyle w:val="CharPartNo"/>
        </w:rPr>
        <w:t>Part 3</w:t>
      </w:r>
      <w:r>
        <w:rPr>
          <w:rStyle w:val="CharDivNo"/>
        </w:rPr>
        <w:t> </w:t>
      </w:r>
      <w:r>
        <w:t>—</w:t>
      </w:r>
      <w:r>
        <w:rPr>
          <w:rStyle w:val="CharDivText"/>
        </w:rPr>
        <w:t> </w:t>
      </w:r>
      <w:r>
        <w:rPr>
          <w:rStyle w:val="CharPartText"/>
        </w:rPr>
        <w:t>Exempted food businesses</w:t>
      </w:r>
      <w:bookmarkEnd w:id="18"/>
      <w:bookmarkEnd w:id="19"/>
      <w:bookmarkEnd w:id="20"/>
    </w:p>
    <w:p>
      <w:pPr>
        <w:pStyle w:val="Heading5"/>
      </w:pPr>
      <w:bookmarkStart w:id="21" w:name="_Toc423338557"/>
      <w:r>
        <w:rPr>
          <w:rStyle w:val="CharSectno"/>
        </w:rPr>
        <w:t>9</w:t>
      </w:r>
      <w:r>
        <w:t>.</w:t>
      </w:r>
      <w:r>
        <w:tab/>
        <w:t>Term used: potentially hazardous food</w:t>
      </w:r>
      <w:bookmarkEnd w:id="21"/>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22" w:name="_Toc423338558"/>
      <w:r>
        <w:rPr>
          <w:rStyle w:val="CharSectno"/>
        </w:rPr>
        <w:t>10</w:t>
      </w:r>
      <w:r>
        <w:t>.</w:t>
      </w:r>
      <w:r>
        <w:tab/>
        <w:t>Food businesses conducted as fundraising events (s. 109)</w:t>
      </w:r>
      <w:bookmarkEnd w:id="22"/>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23" w:name="_Toc423338559"/>
      <w:r>
        <w:rPr>
          <w:rStyle w:val="CharSectno"/>
        </w:rPr>
        <w:t>11</w:t>
      </w:r>
      <w:r>
        <w:t>.</w:t>
      </w:r>
      <w:r>
        <w:tab/>
        <w:t>Food businesses that sell certain packaged food (s. 109)</w:t>
      </w:r>
      <w:bookmarkEnd w:id="23"/>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24" w:name="_Toc423338560"/>
      <w:r>
        <w:rPr>
          <w:rStyle w:val="CharSectno"/>
        </w:rPr>
        <w:t>12</w:t>
      </w:r>
      <w:r>
        <w:t>.</w:t>
      </w:r>
      <w:r>
        <w:tab/>
        <w:t>Food businesses that provide complimentary drinks in conjunction with another kind of business (s. 109)</w:t>
      </w:r>
      <w:bookmarkEnd w:id="24"/>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25" w:name="_Toc423338561"/>
      <w:r>
        <w:rPr>
          <w:rStyle w:val="CharSectno"/>
        </w:rPr>
        <w:t>13</w:t>
      </w:r>
      <w:r>
        <w:t>.</w:t>
      </w:r>
      <w:r>
        <w:tab/>
        <w:t>Food businesses conducted at registered establishments (s. 109)</w:t>
      </w:r>
      <w:bookmarkEnd w:id="25"/>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26" w:name="_Toc418237319"/>
      <w:bookmarkStart w:id="27" w:name="_Toc420401509"/>
      <w:bookmarkStart w:id="28" w:name="_Toc423338562"/>
      <w:r>
        <w:rPr>
          <w:rStyle w:val="CharPartNo"/>
        </w:rPr>
        <w:t>Part 4</w:t>
      </w:r>
      <w:r>
        <w:rPr>
          <w:rStyle w:val="CharDivNo"/>
        </w:rPr>
        <w:t> </w:t>
      </w:r>
      <w:r>
        <w:t>—</w:t>
      </w:r>
      <w:r>
        <w:rPr>
          <w:rStyle w:val="CharDivText"/>
        </w:rPr>
        <w:t> </w:t>
      </w:r>
      <w:r>
        <w:rPr>
          <w:rStyle w:val="CharPartText"/>
        </w:rPr>
        <w:t>Control of pathogens</w:t>
      </w:r>
      <w:bookmarkEnd w:id="26"/>
      <w:bookmarkEnd w:id="27"/>
      <w:bookmarkEnd w:id="28"/>
    </w:p>
    <w:p>
      <w:pPr>
        <w:pStyle w:val="Heading5"/>
      </w:pPr>
      <w:bookmarkStart w:id="29" w:name="_Toc423338563"/>
      <w:r>
        <w:rPr>
          <w:rStyle w:val="CharSectno"/>
        </w:rPr>
        <w:t>14</w:t>
      </w:r>
      <w:r>
        <w:t>.</w:t>
      </w:r>
      <w:r>
        <w:tab/>
        <w:t>Term used: pathogen</w:t>
      </w:r>
      <w:bookmarkEnd w:id="29"/>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30" w:name="_Toc423338564"/>
      <w:r>
        <w:rPr>
          <w:rStyle w:val="CharSectno"/>
        </w:rPr>
        <w:t>15</w:t>
      </w:r>
      <w:r>
        <w:t>.</w:t>
      </w:r>
      <w:r>
        <w:tab/>
        <w:t>CEO to be informed of isolation of pathogens associated with food businesses</w:t>
      </w:r>
      <w:bookmarkEnd w:id="30"/>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31" w:name="_Toc423338565"/>
      <w:r>
        <w:rPr>
          <w:rStyle w:val="CharSectno"/>
        </w:rPr>
        <w:t>16</w:t>
      </w:r>
      <w:r>
        <w:t>.</w:t>
      </w:r>
      <w:r>
        <w:tab/>
        <w:t>CEO may give directions</w:t>
      </w:r>
      <w:bookmarkEnd w:id="31"/>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32" w:name="_Toc418237323"/>
      <w:bookmarkStart w:id="33" w:name="_Toc420401513"/>
      <w:bookmarkStart w:id="34" w:name="_Toc423338566"/>
      <w:r>
        <w:rPr>
          <w:rStyle w:val="CharPartNo"/>
        </w:rPr>
        <w:t>Part 5</w:t>
      </w:r>
      <w:r>
        <w:t> — </w:t>
      </w:r>
      <w:r>
        <w:rPr>
          <w:rStyle w:val="CharPartText"/>
        </w:rPr>
        <w:t>Meat hygiene</w:t>
      </w:r>
      <w:bookmarkEnd w:id="32"/>
      <w:bookmarkEnd w:id="33"/>
      <w:bookmarkEnd w:id="34"/>
    </w:p>
    <w:p>
      <w:pPr>
        <w:pStyle w:val="Heading3"/>
      </w:pPr>
      <w:bookmarkStart w:id="35" w:name="_Toc418237324"/>
      <w:bookmarkStart w:id="36" w:name="_Toc420401514"/>
      <w:bookmarkStart w:id="37" w:name="_Toc423338567"/>
      <w:r>
        <w:rPr>
          <w:rStyle w:val="CharDivNo"/>
        </w:rPr>
        <w:t>Division 1</w:t>
      </w:r>
      <w:r>
        <w:t> — </w:t>
      </w:r>
      <w:r>
        <w:rPr>
          <w:rStyle w:val="CharDivText"/>
        </w:rPr>
        <w:t>Preliminary</w:t>
      </w:r>
      <w:bookmarkEnd w:id="35"/>
      <w:bookmarkEnd w:id="36"/>
      <w:bookmarkEnd w:id="37"/>
    </w:p>
    <w:p>
      <w:pPr>
        <w:pStyle w:val="Heading5"/>
      </w:pPr>
      <w:bookmarkStart w:id="38" w:name="_Toc423338568"/>
      <w:r>
        <w:rPr>
          <w:rStyle w:val="CharSectno"/>
        </w:rPr>
        <w:t>17</w:t>
      </w:r>
      <w:r>
        <w:t>.</w:t>
      </w:r>
      <w:r>
        <w:tab/>
        <w:t>Terms used</w:t>
      </w:r>
      <w:bookmarkEnd w:id="38"/>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39" w:name="_Toc418237326"/>
      <w:bookmarkStart w:id="40" w:name="_Toc420401516"/>
      <w:bookmarkStart w:id="41" w:name="_Toc423338569"/>
      <w:r>
        <w:rPr>
          <w:rStyle w:val="CharDivNo"/>
        </w:rPr>
        <w:t>Division 2</w:t>
      </w:r>
      <w:r>
        <w:t> — </w:t>
      </w:r>
      <w:r>
        <w:rPr>
          <w:rStyle w:val="CharDivText"/>
        </w:rPr>
        <w:t>Adoption of certain Australian Standards</w:t>
      </w:r>
      <w:bookmarkEnd w:id="39"/>
      <w:bookmarkEnd w:id="40"/>
      <w:bookmarkEnd w:id="41"/>
    </w:p>
    <w:p>
      <w:pPr>
        <w:pStyle w:val="Heading5"/>
      </w:pPr>
      <w:bookmarkStart w:id="42" w:name="_Toc423338570"/>
      <w:r>
        <w:rPr>
          <w:rStyle w:val="CharSectno"/>
        </w:rPr>
        <w:t>18</w:t>
      </w:r>
      <w:r>
        <w:t>.</w:t>
      </w:r>
      <w:r>
        <w:tab/>
        <w:t>Adoption of certain Australian Standards (s. 144(6))</w:t>
      </w:r>
      <w:bookmarkEnd w:id="42"/>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43" w:name="_Toc423338571"/>
      <w:r>
        <w:rPr>
          <w:rStyle w:val="CharSectno"/>
        </w:rPr>
        <w:t>19</w:t>
      </w:r>
      <w:r>
        <w:t>.</w:t>
      </w:r>
      <w:r>
        <w:tab/>
        <w:t>Modification of adopted standards</w:t>
      </w:r>
      <w:bookmarkEnd w:id="43"/>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44" w:name="_Toc418237329"/>
      <w:bookmarkStart w:id="45" w:name="_Toc420401519"/>
      <w:bookmarkStart w:id="46" w:name="_Toc423338572"/>
      <w:r>
        <w:rPr>
          <w:rStyle w:val="CharDivNo"/>
        </w:rPr>
        <w:t>Division 3</w:t>
      </w:r>
      <w:r>
        <w:t> — </w:t>
      </w:r>
      <w:r>
        <w:rPr>
          <w:rStyle w:val="CharDivText"/>
        </w:rPr>
        <w:t>Inspection and branding</w:t>
      </w:r>
      <w:bookmarkEnd w:id="44"/>
      <w:bookmarkEnd w:id="45"/>
      <w:bookmarkEnd w:id="46"/>
    </w:p>
    <w:p>
      <w:pPr>
        <w:pStyle w:val="Heading5"/>
      </w:pPr>
      <w:bookmarkStart w:id="47" w:name="_Toc423338573"/>
      <w:r>
        <w:rPr>
          <w:rStyle w:val="CharSectno"/>
        </w:rPr>
        <w:t>20</w:t>
      </w:r>
      <w:r>
        <w:t>.</w:t>
      </w:r>
      <w:r>
        <w:tab/>
        <w:t>Application of Division to primary producers</w:t>
      </w:r>
      <w:bookmarkEnd w:id="47"/>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48" w:name="_Toc423338574"/>
      <w:r>
        <w:rPr>
          <w:rStyle w:val="CharSectno"/>
        </w:rPr>
        <w:t>21</w:t>
      </w:r>
      <w:r>
        <w:t>.</w:t>
      </w:r>
      <w:r>
        <w:tab/>
        <w:t>Inspection of animals and carcases at abattoirs</w:t>
      </w:r>
      <w:bookmarkEnd w:id="48"/>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49" w:name="_Toc423338575"/>
      <w:r>
        <w:rPr>
          <w:rStyle w:val="CharSectno"/>
        </w:rPr>
        <w:t>22</w:t>
      </w:r>
      <w:r>
        <w:t>.</w:t>
      </w:r>
      <w:r>
        <w:tab/>
        <w:t>Branding carcases if fit for human consumption</w:t>
      </w:r>
      <w:bookmarkEnd w:id="49"/>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w:t>
      </w:r>
    </w:p>
    <w:p>
      <w:pPr>
        <w:pStyle w:val="Heading5"/>
      </w:pPr>
      <w:bookmarkStart w:id="50" w:name="_Toc423338576"/>
      <w:r>
        <w:rPr>
          <w:rStyle w:val="CharSectno"/>
        </w:rPr>
        <w:t>23</w:t>
      </w:r>
      <w:r>
        <w:t>.</w:t>
      </w:r>
      <w:r>
        <w:tab/>
        <w:t>Branding carcases if fit for consumption by animals</w:t>
      </w:r>
      <w:bookmarkEnd w:id="50"/>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51" w:name="_Toc423338577"/>
      <w:r>
        <w:rPr>
          <w:rStyle w:val="CharSectno"/>
        </w:rPr>
        <w:t>24</w:t>
      </w:r>
      <w:r>
        <w:t>.</w:t>
      </w:r>
      <w:r>
        <w:tab/>
        <w:t>How carcases are to be branded</w:t>
      </w:r>
      <w:bookmarkEnd w:id="51"/>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52" w:name="_Toc423338578"/>
      <w:r>
        <w:rPr>
          <w:rStyle w:val="CharSectno"/>
        </w:rPr>
        <w:t>25</w:t>
      </w:r>
      <w:r>
        <w:t>.</w:t>
      </w:r>
      <w:r>
        <w:tab/>
        <w:t>Branding carcases if unfit for human consumption or unfit for consumption by animals</w:t>
      </w:r>
      <w:bookmarkEnd w:id="52"/>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53" w:name="_Toc423338579"/>
      <w:r>
        <w:rPr>
          <w:rStyle w:val="CharSectno"/>
        </w:rPr>
        <w:t>26</w:t>
      </w:r>
      <w:r>
        <w:t>.</w:t>
      </w:r>
      <w:r>
        <w:tab/>
        <w:t>Offences relating to brands</w:t>
      </w:r>
      <w:bookmarkEnd w:id="53"/>
    </w:p>
    <w:p>
      <w:pPr>
        <w:pStyle w:val="Subsection"/>
        <w:spacing w:before="140"/>
      </w:pPr>
      <w:r>
        <w:tab/>
        <w:t>(1)</w:t>
      </w:r>
      <w:r>
        <w:tab/>
        <w:t>A person other than an authorised officer or a person acting on the direction of an authorised officer must not brand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at a registered establishment.</w:t>
      </w:r>
    </w:p>
    <w:p>
      <w:pPr>
        <w:pStyle w:val="Subsection"/>
        <w:spacing w:before="130"/>
      </w:pPr>
      <w:r>
        <w:tab/>
        <w:t>(3)</w:t>
      </w:r>
      <w:r>
        <w:tab/>
        <w:t>A person must not, for a purpose relating to fitness for consumption, brand a carcase or cause a carcase to be branded except in accordance with this Division.</w:t>
      </w:r>
    </w:p>
    <w:p>
      <w:pPr>
        <w:pStyle w:val="Penstart"/>
        <w:spacing w:before="70"/>
      </w:pPr>
      <w:r>
        <w:tab/>
        <w:t>Penalty: a fine of $5 000.</w:t>
      </w:r>
    </w:p>
    <w:p>
      <w:pPr>
        <w:pStyle w:val="Subsection"/>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Heading5"/>
        <w:spacing w:before="200"/>
      </w:pPr>
      <w:bookmarkStart w:id="54" w:name="_Toc423338580"/>
      <w:r>
        <w:rPr>
          <w:rStyle w:val="CharSectno"/>
        </w:rPr>
        <w:t>27</w:t>
      </w:r>
      <w:r>
        <w:t>.</w:t>
      </w:r>
      <w:r>
        <w:tab/>
        <w:t>Restrictions on sale of carcases</w:t>
      </w:r>
      <w:bookmarkEnd w:id="54"/>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Heading3"/>
      </w:pPr>
      <w:bookmarkStart w:id="55" w:name="_Toc418237338"/>
      <w:bookmarkStart w:id="56" w:name="_Toc420401528"/>
      <w:bookmarkStart w:id="57" w:name="_Toc423338581"/>
      <w:r>
        <w:rPr>
          <w:rStyle w:val="CharDivNo"/>
        </w:rPr>
        <w:t>Division 4</w:t>
      </w:r>
      <w:r>
        <w:t> — </w:t>
      </w:r>
      <w:r>
        <w:rPr>
          <w:rStyle w:val="CharDivText"/>
        </w:rPr>
        <w:t>Pet meat</w:t>
      </w:r>
      <w:bookmarkEnd w:id="55"/>
      <w:bookmarkEnd w:id="56"/>
      <w:bookmarkEnd w:id="57"/>
    </w:p>
    <w:p>
      <w:pPr>
        <w:pStyle w:val="Heading4"/>
      </w:pPr>
      <w:bookmarkStart w:id="58" w:name="_Toc418237339"/>
      <w:bookmarkStart w:id="59" w:name="_Toc420401529"/>
      <w:bookmarkStart w:id="60" w:name="_Toc423338582"/>
      <w:r>
        <w:t>Subdivision 1 — Preliminary</w:t>
      </w:r>
      <w:bookmarkEnd w:id="58"/>
      <w:bookmarkEnd w:id="59"/>
      <w:bookmarkEnd w:id="60"/>
    </w:p>
    <w:p>
      <w:pPr>
        <w:pStyle w:val="Heading5"/>
      </w:pPr>
      <w:bookmarkStart w:id="61" w:name="_Toc423338583"/>
      <w:r>
        <w:rPr>
          <w:rStyle w:val="CharSectno"/>
        </w:rPr>
        <w:t>28</w:t>
      </w:r>
      <w:r>
        <w:t>.</w:t>
      </w:r>
      <w:r>
        <w:tab/>
        <w:t>Term used: proprietor</w:t>
      </w:r>
      <w:bookmarkEnd w:id="61"/>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62" w:name="_Toc418237341"/>
      <w:bookmarkStart w:id="63" w:name="_Toc420401531"/>
      <w:bookmarkStart w:id="64" w:name="_Toc423338584"/>
      <w:r>
        <w:t>Subdivision 2 — Staining of pet meat</w:t>
      </w:r>
      <w:bookmarkEnd w:id="62"/>
      <w:bookmarkEnd w:id="63"/>
      <w:bookmarkEnd w:id="64"/>
    </w:p>
    <w:p>
      <w:pPr>
        <w:pStyle w:val="Heading5"/>
      </w:pPr>
      <w:bookmarkStart w:id="65" w:name="_Toc423338585"/>
      <w:r>
        <w:rPr>
          <w:rStyle w:val="CharSectno"/>
        </w:rPr>
        <w:t>29</w:t>
      </w:r>
      <w:r>
        <w:t>.</w:t>
      </w:r>
      <w:r>
        <w:tab/>
        <w:t>Term used: dressing</w:t>
      </w:r>
      <w:bookmarkEnd w:id="65"/>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66" w:name="_Toc423338586"/>
      <w:r>
        <w:rPr>
          <w:rStyle w:val="CharSectno"/>
        </w:rPr>
        <w:t>30</w:t>
      </w:r>
      <w:r>
        <w:t>.</w:t>
      </w:r>
      <w:r>
        <w:tab/>
        <w:t>Requirement for pet meat to be stained</w:t>
      </w:r>
      <w:bookmarkEnd w:id="66"/>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67" w:name="_Toc423338587"/>
      <w:r>
        <w:rPr>
          <w:rStyle w:val="CharSectno"/>
        </w:rPr>
        <w:t>31</w:t>
      </w:r>
      <w:r>
        <w:t>.</w:t>
      </w:r>
      <w:r>
        <w:tab/>
        <w:t>How pet meat is to be stained</w:t>
      </w:r>
      <w:bookmarkEnd w:id="67"/>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68" w:name="_Toc423338588"/>
      <w:r>
        <w:rPr>
          <w:rStyle w:val="CharSectno"/>
        </w:rPr>
        <w:t>32</w:t>
      </w:r>
      <w:r>
        <w:t>.</w:t>
      </w:r>
      <w:r>
        <w:tab/>
        <w:t>Removal of stain from pet meat prohibited</w:t>
      </w:r>
      <w:bookmarkEnd w:id="68"/>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69" w:name="_Toc418237346"/>
      <w:bookmarkStart w:id="70" w:name="_Toc420401536"/>
      <w:bookmarkStart w:id="71" w:name="_Toc423338589"/>
      <w:r>
        <w:t>Subdivision 3 — Requirements relating to packaged and unpackaged pet meat</w:t>
      </w:r>
      <w:bookmarkEnd w:id="69"/>
      <w:bookmarkEnd w:id="70"/>
      <w:bookmarkEnd w:id="71"/>
    </w:p>
    <w:p>
      <w:pPr>
        <w:pStyle w:val="Heading5"/>
      </w:pPr>
      <w:bookmarkStart w:id="72" w:name="_Toc423338590"/>
      <w:r>
        <w:rPr>
          <w:rStyle w:val="CharSectno"/>
        </w:rPr>
        <w:t>33</w:t>
      </w:r>
      <w:r>
        <w:t>.</w:t>
      </w:r>
      <w:r>
        <w:tab/>
        <w:t>Pet meat sold by food businesses to be packaged</w:t>
      </w:r>
      <w:bookmarkEnd w:id="72"/>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73" w:name="_Toc423338591"/>
      <w:r>
        <w:rPr>
          <w:rStyle w:val="CharSectno"/>
        </w:rPr>
        <w:t>34</w:t>
      </w:r>
      <w:r>
        <w:t>.</w:t>
      </w:r>
      <w:r>
        <w:tab/>
        <w:t>Unpackaged pet meat to be sold only at animal food processing premises or retail pet meat shops</w:t>
      </w:r>
      <w:bookmarkEnd w:id="73"/>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74" w:name="_Toc423338592"/>
      <w:r>
        <w:rPr>
          <w:rStyle w:val="CharSectno"/>
        </w:rPr>
        <w:t>35</w:t>
      </w:r>
      <w:r>
        <w:t>.</w:t>
      </w:r>
      <w:r>
        <w:tab/>
        <w:t>Unpackaged pet meat to be stored at animal food processing premises and retail pet meat shops in marked containers</w:t>
      </w:r>
      <w:bookmarkEnd w:id="74"/>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75" w:name="_Toc423338593"/>
      <w:r>
        <w:rPr>
          <w:rStyle w:val="CharSectno"/>
        </w:rPr>
        <w:t>36</w:t>
      </w:r>
      <w:r>
        <w:t>.</w:t>
      </w:r>
      <w:r>
        <w:tab/>
        <w:t>Unpackaged pet meat and food not to be processed, handled or sold at same food business premises</w:t>
      </w:r>
      <w:bookmarkEnd w:id="75"/>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in Gazette 20 Apr 2012 p. 1697.]</w:t>
      </w:r>
    </w:p>
    <w:p>
      <w:pPr>
        <w:pStyle w:val="Heading4"/>
      </w:pPr>
      <w:bookmarkStart w:id="76" w:name="_Toc418237351"/>
      <w:bookmarkStart w:id="77" w:name="_Toc420401541"/>
      <w:bookmarkStart w:id="78" w:name="_Toc423338594"/>
      <w:r>
        <w:t>Subdivision 4 — Other requirements</w:t>
      </w:r>
      <w:bookmarkEnd w:id="76"/>
      <w:bookmarkEnd w:id="77"/>
      <w:bookmarkEnd w:id="78"/>
    </w:p>
    <w:p>
      <w:pPr>
        <w:pStyle w:val="Heading5"/>
        <w:spacing w:before="200"/>
      </w:pPr>
      <w:bookmarkStart w:id="79" w:name="_Toc423338595"/>
      <w:r>
        <w:rPr>
          <w:rStyle w:val="CharSectno"/>
        </w:rPr>
        <w:t>37</w:t>
      </w:r>
      <w:r>
        <w:t>.</w:t>
      </w:r>
      <w:r>
        <w:tab/>
        <w:t>Proprietor of animal food processing premises to establish and maintain system for tracing pet meat</w:t>
      </w:r>
      <w:bookmarkEnd w:id="79"/>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80" w:name="_Toc423338596"/>
      <w:r>
        <w:rPr>
          <w:rStyle w:val="CharSectno"/>
        </w:rPr>
        <w:t>38</w:t>
      </w:r>
      <w:r>
        <w:t>.</w:t>
      </w:r>
      <w:r>
        <w:tab/>
        <w:t>Meat and game meat for human consumption not to be stored in animal food processing premises</w:t>
      </w:r>
      <w:bookmarkEnd w:id="80"/>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81" w:name="_Toc423338597"/>
      <w:r>
        <w:rPr>
          <w:rStyle w:val="CharSectno"/>
        </w:rPr>
        <w:t>39</w:t>
      </w:r>
      <w:r>
        <w:t>.</w:t>
      </w:r>
      <w:r>
        <w:tab/>
        <w:t>Pet meat not to be sold as food</w:t>
      </w:r>
      <w:bookmarkEnd w:id="81"/>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82" w:name="_Toc418237355"/>
      <w:bookmarkStart w:id="83" w:name="_Toc420401545"/>
      <w:bookmarkStart w:id="84" w:name="_Toc423338598"/>
      <w:r>
        <w:t>Subdivision 5 — Notification of conduct of business at animal food processing premises and retail pet meat shops</w:t>
      </w:r>
      <w:bookmarkEnd w:id="82"/>
      <w:bookmarkEnd w:id="83"/>
      <w:bookmarkEnd w:id="84"/>
    </w:p>
    <w:p>
      <w:pPr>
        <w:pStyle w:val="Heading5"/>
      </w:pPr>
      <w:bookmarkStart w:id="85" w:name="_Toc423338599"/>
      <w:r>
        <w:rPr>
          <w:rStyle w:val="CharSectno"/>
        </w:rPr>
        <w:t>40</w:t>
      </w:r>
      <w:r>
        <w:t>.</w:t>
      </w:r>
      <w:r>
        <w:tab/>
        <w:t>Notification of conduct of business at animal food processing premises and retail pet meat shops</w:t>
      </w:r>
      <w:bookmarkEnd w:id="85"/>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86" w:name="_Toc418237357"/>
      <w:bookmarkStart w:id="87" w:name="_Toc420401547"/>
      <w:bookmarkStart w:id="88" w:name="_Toc423338600"/>
      <w:r>
        <w:rPr>
          <w:rStyle w:val="CharDivNo"/>
        </w:rPr>
        <w:t>Division 5</w:t>
      </w:r>
      <w:r>
        <w:t> — </w:t>
      </w:r>
      <w:r>
        <w:rPr>
          <w:rStyle w:val="CharDivText"/>
        </w:rPr>
        <w:t>Statements and inspection fees</w:t>
      </w:r>
      <w:bookmarkEnd w:id="86"/>
      <w:bookmarkEnd w:id="87"/>
      <w:bookmarkEnd w:id="88"/>
    </w:p>
    <w:p>
      <w:pPr>
        <w:pStyle w:val="Heading5"/>
      </w:pPr>
      <w:bookmarkStart w:id="89" w:name="_Toc423338601"/>
      <w:r>
        <w:rPr>
          <w:rStyle w:val="CharSectno"/>
        </w:rPr>
        <w:t>41</w:t>
      </w:r>
      <w:r>
        <w:t>.</w:t>
      </w:r>
      <w:r>
        <w:tab/>
        <w:t>Statements and inspection fees</w:t>
      </w:r>
      <w:bookmarkEnd w:id="89"/>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90" w:name="_Toc423338602"/>
      <w:r>
        <w:rPr>
          <w:rStyle w:val="CharSectno"/>
        </w:rPr>
        <w:t>42</w:t>
      </w:r>
      <w:r>
        <w:t>.</w:t>
      </w:r>
      <w:r>
        <w:tab/>
        <w:t>Application of inspection fees</w:t>
      </w:r>
      <w:bookmarkEnd w:id="90"/>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iCs/>
        </w:rPr>
        <w:t>Health Act 1911</w:t>
      </w:r>
      <w:r>
        <w:t xml:space="preserve"> section 246F(4)(b)</w:t>
      </w:r>
      <w:r>
        <w:rPr>
          <w:vertAlign w:val="superscript"/>
        </w:rPr>
        <w:t> 3</w:t>
      </w:r>
      <w:r>
        <w:t xml:space="preserve"> immediately before the commencement of this regulation may be used by the local government for the purposes of subregulation (1).</w:t>
      </w:r>
    </w:p>
    <w:p>
      <w:pPr>
        <w:pStyle w:val="Heading5"/>
      </w:pPr>
      <w:bookmarkStart w:id="91" w:name="_Toc423338603"/>
      <w:r>
        <w:rPr>
          <w:rStyle w:val="CharSectno"/>
        </w:rPr>
        <w:t>43</w:t>
      </w:r>
      <w:r>
        <w:t>.</w:t>
      </w:r>
      <w:r>
        <w:tab/>
        <w:t>Local governments may require security</w:t>
      </w:r>
      <w:bookmarkEnd w:id="91"/>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92" w:name="_Toc423338604"/>
      <w:r>
        <w:rPr>
          <w:rStyle w:val="CharSectno"/>
        </w:rPr>
        <w:t>44</w:t>
      </w:r>
      <w:r>
        <w:t>.</w:t>
      </w:r>
      <w:r>
        <w:tab/>
        <w:t>Application of security to recover unpaid fees</w:t>
      </w:r>
      <w:bookmarkEnd w:id="92"/>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93" w:name="_Toc423338605"/>
      <w:r>
        <w:rPr>
          <w:rStyle w:val="CharSectno"/>
        </w:rPr>
        <w:t>45</w:t>
      </w:r>
      <w:r>
        <w:t>.</w:t>
      </w:r>
      <w:r>
        <w:tab/>
        <w:t>Withdrawal of inspection services</w:t>
      </w:r>
      <w:bookmarkEnd w:id="93"/>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94" w:name="_Toc418237363"/>
      <w:bookmarkStart w:id="95" w:name="_Toc420401553"/>
      <w:bookmarkStart w:id="96" w:name="_Toc423338606"/>
      <w:r>
        <w:rPr>
          <w:rStyle w:val="CharDivNo"/>
        </w:rPr>
        <w:t>Division 6</w:t>
      </w:r>
      <w:r>
        <w:t> — </w:t>
      </w:r>
      <w:r>
        <w:rPr>
          <w:rStyle w:val="CharDivText"/>
        </w:rPr>
        <w:t>Premises used in meat production</w:t>
      </w:r>
      <w:bookmarkEnd w:id="94"/>
      <w:bookmarkEnd w:id="95"/>
      <w:bookmarkEnd w:id="96"/>
    </w:p>
    <w:p>
      <w:pPr>
        <w:pStyle w:val="Heading5"/>
      </w:pPr>
      <w:bookmarkStart w:id="97" w:name="_Toc423338607"/>
      <w:r>
        <w:rPr>
          <w:rStyle w:val="CharSectno"/>
        </w:rPr>
        <w:t>46</w:t>
      </w:r>
      <w:r>
        <w:t>.</w:t>
      </w:r>
      <w:r>
        <w:tab/>
        <w:t>Abattoirs and processing premises to comply with requirements of adopted standards</w:t>
      </w:r>
      <w:bookmarkEnd w:id="97"/>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98" w:name="_Toc423338608"/>
      <w:r>
        <w:rPr>
          <w:rStyle w:val="CharSectno"/>
        </w:rPr>
        <w:t>47</w:t>
      </w:r>
      <w:r>
        <w:t>.</w:t>
      </w:r>
      <w:r>
        <w:tab/>
        <w:t>Slaughtering and processing to comply with requirements of adopted standards</w:t>
      </w:r>
      <w:bookmarkEnd w:id="98"/>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99" w:name="_Toc418237366"/>
      <w:bookmarkStart w:id="100" w:name="_Toc420401556"/>
      <w:bookmarkStart w:id="101" w:name="_Toc423338609"/>
      <w:r>
        <w:rPr>
          <w:rStyle w:val="CharDivNo"/>
        </w:rPr>
        <w:t>Division 7</w:t>
      </w:r>
      <w:r>
        <w:t> — </w:t>
      </w:r>
      <w:r>
        <w:rPr>
          <w:rStyle w:val="CharDivText"/>
        </w:rPr>
        <w:t>Premises used in game meat production</w:t>
      </w:r>
      <w:bookmarkEnd w:id="99"/>
      <w:bookmarkEnd w:id="100"/>
      <w:bookmarkEnd w:id="101"/>
    </w:p>
    <w:p>
      <w:pPr>
        <w:pStyle w:val="Heading5"/>
      </w:pPr>
      <w:bookmarkStart w:id="102" w:name="_Toc423338610"/>
      <w:r>
        <w:rPr>
          <w:rStyle w:val="CharSectno"/>
        </w:rPr>
        <w:t>48</w:t>
      </w:r>
      <w:r>
        <w:t>.</w:t>
      </w:r>
      <w:r>
        <w:tab/>
        <w:t>Field depots to comply with requirements of wild game standard</w:t>
      </w:r>
      <w:bookmarkEnd w:id="102"/>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103" w:name="_Toc423338611"/>
      <w:r>
        <w:rPr>
          <w:rStyle w:val="CharSectno"/>
        </w:rPr>
        <w:t>49</w:t>
      </w:r>
      <w:r>
        <w:t>.</w:t>
      </w:r>
      <w:r>
        <w:tab/>
        <w:t>Wild game meat processing establishments to comply with requirements of wild game standard</w:t>
      </w:r>
      <w:bookmarkEnd w:id="103"/>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104" w:name="_Toc418237369"/>
      <w:bookmarkStart w:id="105" w:name="_Toc420401559"/>
      <w:bookmarkStart w:id="106" w:name="_Toc423338612"/>
      <w:r>
        <w:rPr>
          <w:rStyle w:val="CharDivNo"/>
        </w:rPr>
        <w:t>Division 8</w:t>
      </w:r>
      <w:r>
        <w:t> — </w:t>
      </w:r>
      <w:r>
        <w:rPr>
          <w:rStyle w:val="CharDivText"/>
        </w:rPr>
        <w:t>Transporting meat and game meat</w:t>
      </w:r>
      <w:bookmarkEnd w:id="104"/>
      <w:bookmarkEnd w:id="105"/>
      <w:bookmarkEnd w:id="106"/>
    </w:p>
    <w:p>
      <w:pPr>
        <w:pStyle w:val="Heading5"/>
      </w:pPr>
      <w:bookmarkStart w:id="107" w:name="_Toc423338613"/>
      <w:r>
        <w:rPr>
          <w:rStyle w:val="CharSectno"/>
        </w:rPr>
        <w:t>50</w:t>
      </w:r>
      <w:r>
        <w:t>.</w:t>
      </w:r>
      <w:r>
        <w:tab/>
        <w:t>Vehicles transporting meat or game meat</w:t>
      </w:r>
      <w:bookmarkEnd w:id="107"/>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108" w:name="_Toc418237371"/>
      <w:bookmarkStart w:id="109" w:name="_Toc420401561"/>
      <w:bookmarkStart w:id="110" w:name="_Toc423338614"/>
      <w:r>
        <w:rPr>
          <w:rStyle w:val="CharPartNo"/>
        </w:rPr>
        <w:t>Part 6</w:t>
      </w:r>
      <w:r>
        <w:rPr>
          <w:rStyle w:val="CharDivNo"/>
        </w:rPr>
        <w:t> </w:t>
      </w:r>
      <w:r>
        <w:t>—</w:t>
      </w:r>
      <w:r>
        <w:rPr>
          <w:rStyle w:val="CharDivText"/>
        </w:rPr>
        <w:t> </w:t>
      </w:r>
      <w:r>
        <w:rPr>
          <w:rStyle w:val="CharPartText"/>
        </w:rPr>
        <w:t>Miscellaneous</w:t>
      </w:r>
      <w:bookmarkEnd w:id="108"/>
      <w:bookmarkEnd w:id="109"/>
      <w:bookmarkEnd w:id="110"/>
    </w:p>
    <w:p>
      <w:pPr>
        <w:pStyle w:val="Heading5"/>
      </w:pPr>
      <w:bookmarkStart w:id="111" w:name="_Toc423338615"/>
      <w:r>
        <w:rPr>
          <w:rStyle w:val="CharSectno"/>
        </w:rPr>
        <w:t>51</w:t>
      </w:r>
      <w:r>
        <w:t>.</w:t>
      </w:r>
      <w:r>
        <w:tab/>
        <w:t>Enforcement agency may make list of food businesses publicly available</w:t>
      </w:r>
      <w:bookmarkEnd w:id="111"/>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112" w:name="_Toc423338616"/>
      <w:r>
        <w:rPr>
          <w:rStyle w:val="CharSectno"/>
        </w:rPr>
        <w:t>52</w:t>
      </w:r>
      <w:r>
        <w:t>.</w:t>
      </w:r>
      <w:r>
        <w:tab/>
        <w:t>Prescribed fees</w:t>
      </w:r>
      <w:bookmarkEnd w:id="112"/>
    </w:p>
    <w:p>
      <w:pPr>
        <w:pStyle w:val="Subsection"/>
      </w:pPr>
      <w:r>
        <w:tab/>
      </w:r>
      <w:r>
        <w:tab/>
        <w:t>The fee specified in Schedule 2 column 3 opposite a provision of the Act specified in Schedule 2 column 2 is the prescribed fee for that provision of the Act.</w:t>
      </w:r>
    </w:p>
    <w:p>
      <w:pPr>
        <w:pStyle w:val="Heading5"/>
      </w:pPr>
      <w:bookmarkStart w:id="113" w:name="_Toc423338617"/>
      <w:r>
        <w:rPr>
          <w:rStyle w:val="CharSectno"/>
        </w:rPr>
        <w:t>53</w:t>
      </w:r>
      <w:r>
        <w:t>.</w:t>
      </w:r>
      <w:r>
        <w:tab/>
        <w:t>Prescribed offences and modified penalties (s. 126)</w:t>
      </w:r>
      <w:bookmarkEnd w:id="113"/>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114" w:name="_Toc423338618"/>
      <w:r>
        <w:rPr>
          <w:rStyle w:val="CharSectno"/>
        </w:rPr>
        <w:t>54</w:t>
      </w:r>
      <w:r>
        <w:t>.</w:t>
      </w:r>
      <w:r>
        <w:tab/>
        <w:t>Prescribed forms (s. 126(3) and (7))</w:t>
      </w:r>
      <w:bookmarkEnd w:id="114"/>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in Gazette 20 Apr 2012 p. 1697.]</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15" w:name="_Toc418237376"/>
      <w:bookmarkStart w:id="116" w:name="_Toc420401566"/>
      <w:bookmarkStart w:id="117" w:name="_Toc423338619"/>
      <w:r>
        <w:rPr>
          <w:rStyle w:val="CharSchNo"/>
        </w:rPr>
        <w:t>Schedule 1</w:t>
      </w:r>
      <w:r>
        <w:rPr>
          <w:rStyle w:val="CharSDivNo"/>
        </w:rPr>
        <w:t> </w:t>
      </w:r>
      <w:r>
        <w:t>—</w:t>
      </w:r>
      <w:r>
        <w:rPr>
          <w:rStyle w:val="CharSDivText"/>
        </w:rPr>
        <w:t> </w:t>
      </w:r>
      <w:r>
        <w:rPr>
          <w:rStyle w:val="CharSchText"/>
        </w:rPr>
        <w:t>Inspection fees</w:t>
      </w:r>
      <w:bookmarkEnd w:id="115"/>
      <w:bookmarkEnd w:id="116"/>
      <w:bookmarkEnd w:id="117"/>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 ...............................</w:t>
            </w:r>
          </w:p>
        </w:tc>
        <w:tc>
          <w:tcPr>
            <w:tcW w:w="923" w:type="dxa"/>
            <w:tcBorders>
              <w:top w:val="nil"/>
              <w:left w:val="nil"/>
              <w:bottom w:val="nil"/>
              <w:right w:val="nil"/>
            </w:tcBorders>
          </w:tcPr>
          <w:p>
            <w:pPr>
              <w:pStyle w:val="yTableNAm"/>
              <w:rPr>
                <w:szCs w:val="22"/>
              </w:rPr>
            </w:pPr>
            <w:r>
              <w:rPr>
                <w:bCs/>
              </w:rPr>
              <w:t>3.00</w:t>
            </w:r>
          </w:p>
        </w:tc>
        <w:tc>
          <w:tcPr>
            <w:tcW w:w="1559" w:type="dxa"/>
            <w:tcBorders>
              <w:top w:val="nil"/>
              <w:left w:val="nil"/>
              <w:bottom w:val="nil"/>
              <w:right w:val="nil"/>
            </w:tcBorders>
          </w:tcPr>
          <w:p>
            <w:pPr>
              <w:pStyle w:val="yTableNAm"/>
              <w:rPr>
                <w:szCs w:val="22"/>
              </w:rPr>
            </w:pPr>
            <w:r>
              <w:rPr>
                <w:bCs/>
              </w:rPr>
              <w:t>0.75</w:t>
            </w:r>
          </w:p>
        </w:tc>
        <w:tc>
          <w:tcPr>
            <w:tcW w:w="1134" w:type="dxa"/>
            <w:tcBorders>
              <w:top w:val="nil"/>
              <w:left w:val="nil"/>
              <w:bottom w:val="nil"/>
              <w:right w:val="nil"/>
            </w:tcBorders>
          </w:tcPr>
          <w:p>
            <w:pPr>
              <w:pStyle w:val="yTableNAm"/>
              <w:rPr>
                <w:szCs w:val="22"/>
              </w:rPr>
            </w:pPr>
            <w:r>
              <w:rPr>
                <w:bCs/>
              </w:rPr>
              <w:t>3.25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in Gazette 20 Sep 2011 p. 3799; 20 Mar 2015 p. 906.]</w:t>
      </w:r>
    </w:p>
    <w:p>
      <w:pPr>
        <w:pStyle w:val="yScheduleHeading"/>
      </w:pPr>
      <w:bookmarkStart w:id="118" w:name="_Toc418237377"/>
      <w:bookmarkStart w:id="119" w:name="_Toc420401567"/>
      <w:bookmarkStart w:id="120" w:name="_Toc423338620"/>
      <w:r>
        <w:rPr>
          <w:rStyle w:val="CharSchNo"/>
        </w:rPr>
        <w:t>Schedule 2</w:t>
      </w:r>
      <w:r>
        <w:rPr>
          <w:rStyle w:val="CharSDivNo"/>
        </w:rPr>
        <w:t> </w:t>
      </w:r>
      <w:r>
        <w:t>—</w:t>
      </w:r>
      <w:r>
        <w:rPr>
          <w:rStyle w:val="CharSDivText"/>
        </w:rPr>
        <w:t> </w:t>
      </w:r>
      <w:r>
        <w:rPr>
          <w:rStyle w:val="CharSchText"/>
        </w:rPr>
        <w:t>Prescribed fees</w:t>
      </w:r>
      <w:bookmarkEnd w:id="118"/>
      <w:bookmarkEnd w:id="119"/>
      <w:bookmarkEnd w:id="120"/>
    </w:p>
    <w:p>
      <w:pPr>
        <w:pStyle w:val="yShoulderClause"/>
      </w:pPr>
      <w:r>
        <w:t>[r. 52]</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yTableNAm"/>
              <w:rPr>
                <w:b/>
              </w:rPr>
            </w:pPr>
            <w:r>
              <w:rPr>
                <w:b/>
              </w:rPr>
              <w:t>Item</w:t>
            </w:r>
          </w:p>
        </w:tc>
        <w:tc>
          <w:tcPr>
            <w:tcW w:w="2410" w:type="dxa"/>
          </w:tcPr>
          <w:p>
            <w:pPr>
              <w:pStyle w:val="yTableNAm"/>
              <w:rPr>
                <w:b/>
              </w:rPr>
            </w:pPr>
            <w:r>
              <w:rPr>
                <w:b/>
              </w:rPr>
              <w:t xml:space="preserve">Provision of </w:t>
            </w:r>
            <w:r>
              <w:rPr>
                <w:b/>
                <w:i/>
                <w:iCs/>
              </w:rPr>
              <w:t>Food Act 2008</w:t>
            </w:r>
          </w:p>
        </w:tc>
        <w:tc>
          <w:tcPr>
            <w:tcW w:w="1984" w:type="dxa"/>
          </w:tcPr>
          <w:p>
            <w:pPr>
              <w:pStyle w:val="yTableNAm"/>
              <w:rPr>
                <w:b/>
              </w:rPr>
            </w:pPr>
            <w:r>
              <w:rPr>
                <w:b/>
              </w:rPr>
              <w:t>Prescribed fee</w:t>
            </w:r>
          </w:p>
        </w:tc>
      </w:tr>
      <w:tr>
        <w:trPr>
          <w:jc w:val="center"/>
        </w:trPr>
        <w:tc>
          <w:tcPr>
            <w:tcW w:w="1276" w:type="dxa"/>
          </w:tcPr>
          <w:p>
            <w:pPr>
              <w:pStyle w:val="yTableNAm"/>
            </w:pPr>
            <w:r>
              <w:t>1.</w:t>
            </w:r>
          </w:p>
        </w:tc>
        <w:tc>
          <w:tcPr>
            <w:tcW w:w="2410" w:type="dxa"/>
          </w:tcPr>
          <w:p>
            <w:pPr>
              <w:pStyle w:val="yTableNAm"/>
            </w:pPr>
            <w:r>
              <w:t>s. 82(3)(b)</w:t>
            </w:r>
          </w:p>
        </w:tc>
        <w:tc>
          <w:tcPr>
            <w:tcW w:w="1984" w:type="dxa"/>
          </w:tcPr>
          <w:p>
            <w:pPr>
              <w:pStyle w:val="yTableNAm"/>
            </w:pPr>
            <w:r>
              <w:rPr>
                <w:szCs w:val="22"/>
              </w:rPr>
              <w:t>$165</w:t>
            </w:r>
          </w:p>
        </w:tc>
      </w:tr>
      <w:tr>
        <w:trPr>
          <w:jc w:val="center"/>
        </w:trPr>
        <w:tc>
          <w:tcPr>
            <w:tcW w:w="1276" w:type="dxa"/>
          </w:tcPr>
          <w:p>
            <w:pPr>
              <w:pStyle w:val="yTableNAm"/>
            </w:pPr>
            <w:r>
              <w:t>2.</w:t>
            </w:r>
          </w:p>
        </w:tc>
        <w:tc>
          <w:tcPr>
            <w:tcW w:w="2410" w:type="dxa"/>
          </w:tcPr>
          <w:p>
            <w:pPr>
              <w:pStyle w:val="yTableNAm"/>
            </w:pPr>
            <w:r>
              <w:t>s. 88(3)(b)</w:t>
            </w:r>
          </w:p>
        </w:tc>
        <w:tc>
          <w:tcPr>
            <w:tcW w:w="1984" w:type="dxa"/>
          </w:tcPr>
          <w:p>
            <w:pPr>
              <w:pStyle w:val="yTableNAm"/>
            </w:pPr>
            <w:r>
              <w:rPr>
                <w:szCs w:val="22"/>
              </w:rPr>
              <w:t>$160</w:t>
            </w:r>
          </w:p>
        </w:tc>
      </w:tr>
      <w:tr>
        <w:trPr>
          <w:jc w:val="center"/>
        </w:trPr>
        <w:tc>
          <w:tcPr>
            <w:tcW w:w="1276" w:type="dxa"/>
          </w:tcPr>
          <w:p>
            <w:pPr>
              <w:pStyle w:val="yTableNAm"/>
            </w:pPr>
            <w:r>
              <w:t>3.</w:t>
            </w:r>
          </w:p>
        </w:tc>
        <w:tc>
          <w:tcPr>
            <w:tcW w:w="2410" w:type="dxa"/>
          </w:tcPr>
          <w:p>
            <w:pPr>
              <w:pStyle w:val="yTableNAm"/>
            </w:pPr>
            <w:r>
              <w:t>s. 94(3)(b)</w:t>
            </w:r>
          </w:p>
        </w:tc>
        <w:tc>
          <w:tcPr>
            <w:tcW w:w="1984" w:type="dxa"/>
          </w:tcPr>
          <w:p>
            <w:pPr>
              <w:pStyle w:val="yTableNAm"/>
            </w:pPr>
            <w:r>
              <w:rPr>
                <w:szCs w:val="22"/>
              </w:rPr>
              <w:t>$166</w:t>
            </w:r>
          </w:p>
        </w:tc>
      </w:tr>
      <w:tr>
        <w:trPr>
          <w:jc w:val="center"/>
        </w:trPr>
        <w:tc>
          <w:tcPr>
            <w:tcW w:w="1276" w:type="dxa"/>
          </w:tcPr>
          <w:p>
            <w:pPr>
              <w:pStyle w:val="yTableNAm"/>
            </w:pPr>
            <w:r>
              <w:t>4.</w:t>
            </w:r>
          </w:p>
        </w:tc>
        <w:tc>
          <w:tcPr>
            <w:tcW w:w="2410" w:type="dxa"/>
          </w:tcPr>
          <w:p>
            <w:pPr>
              <w:pStyle w:val="yTableNAm"/>
            </w:pPr>
            <w:r>
              <w:t>s. 107(3)</w:t>
            </w:r>
          </w:p>
        </w:tc>
        <w:tc>
          <w:tcPr>
            <w:tcW w:w="1984" w:type="dxa"/>
          </w:tcPr>
          <w:p>
            <w:pPr>
              <w:pStyle w:val="yTableNAm"/>
            </w:pPr>
            <w:r>
              <w:rPr>
                <w:szCs w:val="22"/>
              </w:rPr>
              <w:t>$60</w:t>
            </w:r>
          </w:p>
        </w:tc>
      </w:tr>
      <w:tr>
        <w:trPr>
          <w:jc w:val="center"/>
        </w:trPr>
        <w:tc>
          <w:tcPr>
            <w:tcW w:w="1276" w:type="dxa"/>
          </w:tcPr>
          <w:p>
            <w:pPr>
              <w:pStyle w:val="yTableNAm"/>
            </w:pPr>
            <w:r>
              <w:t>5.</w:t>
            </w:r>
          </w:p>
        </w:tc>
        <w:tc>
          <w:tcPr>
            <w:tcW w:w="2410" w:type="dxa"/>
          </w:tcPr>
          <w:p>
            <w:pPr>
              <w:pStyle w:val="yTableNAm"/>
            </w:pPr>
            <w:r>
              <w:t>s. 110(3)(c)</w:t>
            </w:r>
          </w:p>
        </w:tc>
        <w:tc>
          <w:tcPr>
            <w:tcW w:w="1984" w:type="dxa"/>
          </w:tcPr>
          <w:p>
            <w:pPr>
              <w:pStyle w:val="yTableNAm"/>
            </w:pPr>
            <w:r>
              <w:rPr>
                <w:szCs w:val="22"/>
              </w:rPr>
              <w:t>$165</w:t>
            </w:r>
          </w:p>
        </w:tc>
      </w:tr>
    </w:tbl>
    <w:p>
      <w:pPr>
        <w:pStyle w:val="yFootnotesection"/>
      </w:pPr>
      <w:r>
        <w:tab/>
        <w:t>[Schedule 2 amended in Gazette 12 Dec 2014 p. 4713</w:t>
      </w:r>
      <w:r>
        <w:noBreakHyphen/>
        <w:t>14; 19 May 2015 p. 1760.]</w:t>
      </w:r>
    </w:p>
    <w:p>
      <w:pPr>
        <w:pStyle w:val="yScheduleHeading"/>
      </w:pPr>
      <w:bookmarkStart w:id="121" w:name="_Toc418237378"/>
      <w:bookmarkStart w:id="122" w:name="_Toc420401568"/>
      <w:bookmarkStart w:id="123" w:name="_Toc423338621"/>
      <w:r>
        <w:rPr>
          <w:rStyle w:val="CharSchNo"/>
        </w:rPr>
        <w:t>Schedule 3</w:t>
      </w:r>
      <w:r>
        <w:rPr>
          <w:rStyle w:val="CharSDivNo"/>
        </w:rPr>
        <w:t> </w:t>
      </w:r>
      <w:r>
        <w:t>—</w:t>
      </w:r>
      <w:r>
        <w:rPr>
          <w:rStyle w:val="CharSDivText"/>
        </w:rPr>
        <w:t> </w:t>
      </w:r>
      <w:r>
        <w:rPr>
          <w:rStyle w:val="CharSchText"/>
        </w:rPr>
        <w:t>Prescribed offences and modified penalties</w:t>
      </w:r>
      <w:bookmarkEnd w:id="121"/>
      <w:bookmarkEnd w:id="122"/>
      <w:bookmarkEnd w:id="123"/>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in Gazette 20 Apr 2012 p. 1697</w:t>
      </w:r>
      <w:r>
        <w:noBreakHyphen/>
        <w:t>8.]</w:t>
      </w:r>
    </w:p>
    <w:p>
      <w:pPr>
        <w:pStyle w:val="yScheduleHeading"/>
      </w:pPr>
      <w:bookmarkStart w:id="124" w:name="_Toc418237379"/>
      <w:bookmarkStart w:id="125" w:name="_Toc420401569"/>
      <w:bookmarkStart w:id="126" w:name="_Toc423338622"/>
      <w:r>
        <w:rPr>
          <w:rStyle w:val="CharSchNo"/>
        </w:rPr>
        <w:t>Schedule 4</w:t>
      </w:r>
      <w:r>
        <w:rPr>
          <w:rStyle w:val="CharSDivNo"/>
        </w:rPr>
        <w:t> </w:t>
      </w:r>
      <w:r>
        <w:t>—</w:t>
      </w:r>
      <w:r>
        <w:rPr>
          <w:rStyle w:val="CharSDivText"/>
        </w:rPr>
        <w:t> </w:t>
      </w:r>
      <w:r>
        <w:rPr>
          <w:rStyle w:val="CharSchText"/>
        </w:rPr>
        <w:t>Infringement notice</w:t>
      </w:r>
      <w:bookmarkEnd w:id="124"/>
      <w:bookmarkEnd w:id="125"/>
      <w:bookmarkEnd w:id="126"/>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in Gazette 20 Aug 2013 p. 3852.]</w:t>
      </w:r>
    </w:p>
    <w:p>
      <w:pPr>
        <w:pStyle w:val="yScheduleHeading"/>
      </w:pPr>
      <w:bookmarkStart w:id="127" w:name="_Toc418237380"/>
      <w:bookmarkStart w:id="128" w:name="_Toc420401570"/>
      <w:bookmarkStart w:id="129" w:name="_Toc423338623"/>
      <w:r>
        <w:rPr>
          <w:rStyle w:val="CharSchNo"/>
        </w:rPr>
        <w:t>Schedule 5</w:t>
      </w:r>
      <w:r>
        <w:rPr>
          <w:rStyle w:val="CharSDivNo"/>
        </w:rPr>
        <w:t> </w:t>
      </w:r>
      <w:r>
        <w:t>—</w:t>
      </w:r>
      <w:r>
        <w:rPr>
          <w:rStyle w:val="CharSDivText"/>
        </w:rPr>
        <w:t> </w:t>
      </w:r>
      <w:r>
        <w:rPr>
          <w:rStyle w:val="CharSchText"/>
        </w:rPr>
        <w:t>Notice to withdraw infringement notice</w:t>
      </w:r>
      <w:bookmarkEnd w:id="127"/>
      <w:bookmarkEnd w:id="128"/>
      <w:bookmarkEnd w:id="129"/>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31" w:name="_Toc418237381"/>
      <w:bookmarkStart w:id="132" w:name="_Toc420401571"/>
      <w:bookmarkStart w:id="133" w:name="_Toc423338624"/>
      <w:r>
        <w:t>Notes</w:t>
      </w:r>
      <w:bookmarkEnd w:id="131"/>
      <w:bookmarkEnd w:id="132"/>
      <w:bookmarkEnd w:id="133"/>
    </w:p>
    <w:p>
      <w:pPr>
        <w:pStyle w:val="nSubsection"/>
      </w:pPr>
      <w:r>
        <w:rPr>
          <w:vertAlign w:val="superscript"/>
        </w:rPr>
        <w:t>1</w:t>
      </w:r>
      <w:r>
        <w:tab/>
        <w:t xml:space="preserve">This is a compilation of the </w:t>
      </w:r>
      <w:r>
        <w:rPr>
          <w:i/>
          <w:noProof/>
        </w:rPr>
        <w:t>Food Regulations 2009</w:t>
      </w:r>
      <w:r>
        <w:t xml:space="preserve"> and includes the amendments made by the other written laws referred to in the following table.  The table also contains information about any reprint.</w:t>
      </w:r>
    </w:p>
    <w:p>
      <w:pPr>
        <w:pStyle w:val="nHeading3"/>
      </w:pPr>
      <w:bookmarkStart w:id="134" w:name="_Toc423338625"/>
      <w:r>
        <w:t>Compilation table</w:t>
      </w:r>
      <w:bookmarkEnd w:id="13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4"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4" w:type="dxa"/>
            <w:tcBorders>
              <w:top w:val="nil"/>
              <w:bottom w:val="nil"/>
            </w:tcBorders>
          </w:tcPr>
          <w:p>
            <w:pPr>
              <w:pStyle w:val="nTable"/>
              <w:spacing w:after="40"/>
            </w:pPr>
            <w:r>
              <w:t>r. 1 and 2: 20 Sep 2011 (see r. 2(a));</w:t>
            </w:r>
            <w:r>
              <w:br/>
              <w:t>Regulations other than r. 1 and 2: 21 Sep 2011 (see r. 2(b))</w:t>
            </w:r>
          </w:p>
        </w:tc>
      </w:tr>
      <w:t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4" w:type="dxa"/>
            <w:tcBorders>
              <w:top w:val="nil"/>
              <w:bottom w:val="nil"/>
            </w:tcBorders>
          </w:tcPr>
          <w:p>
            <w:pPr>
              <w:pStyle w:val="nTable"/>
              <w:spacing w:after="40"/>
            </w:pPr>
            <w:r>
              <w:t>r. 1 and 2: 20 Apr 2012 (see r. 2(a));</w:t>
            </w:r>
            <w:r>
              <w:br/>
              <w:t>Regulations other than r. 1 and 2: 21 Apr 2012 (see r. 2(b))</w:t>
            </w:r>
          </w:p>
        </w:tc>
      </w:tr>
      <w:t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4"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c>
          <w:tcPr>
            <w:tcW w:w="3118"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4"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w:t>
            </w:r>
            <w:r>
              <w:rPr>
                <w:b/>
                <w:bCs/>
                <w:snapToGrid w:val="0"/>
              </w:rPr>
              <w:t xml:space="preserve">: The </w:t>
            </w:r>
            <w:r>
              <w:rPr>
                <w:rFonts w:ascii="Times" w:hAnsi="Times"/>
                <w:b/>
                <w:bCs/>
                <w:i/>
                <w:noProof/>
                <w:snapToGrid w:val="0"/>
                <w:spacing w:val="-2"/>
              </w:rPr>
              <w:t>Food Regulations 2009</w:t>
            </w:r>
            <w:r>
              <w:rPr>
                <w:b/>
                <w:bCs/>
                <w:snapToGrid w:val="0"/>
              </w:rPr>
              <w:t xml:space="preserve"> as at </w:t>
            </w:r>
            <w:r>
              <w:rPr>
                <w:rFonts w:ascii="Times" w:hAnsi="Times"/>
                <w:b/>
                <w:bCs/>
                <w:snapToGrid w:val="0"/>
                <w:spacing w:val="-2"/>
              </w:rPr>
              <w:t>15 May 2015</w:t>
            </w:r>
            <w:r>
              <w:rPr>
                <w:bCs/>
                <w:snapToGrid w:val="0"/>
              </w:rPr>
              <w:t xml:space="preserve"> (includes amendments listed above)</w:t>
            </w:r>
          </w:p>
        </w:tc>
      </w:tr>
      <w:tr>
        <w:tc>
          <w:tcPr>
            <w:tcW w:w="3118" w:type="dxa"/>
            <w:tcBorders>
              <w:top w:val="nil"/>
              <w:bottom w:val="single" w:sz="4" w:space="0" w:color="auto"/>
            </w:tcBorders>
            <w:shd w:val="clear" w:color="auto" w:fill="auto"/>
          </w:tcPr>
          <w:p>
            <w:pPr>
              <w:pStyle w:val="nTable"/>
              <w:spacing w:after="40"/>
              <w:rPr>
                <w:i/>
              </w:rPr>
            </w:pPr>
            <w:r>
              <w:rPr>
                <w:i/>
              </w:rPr>
              <w:t>Food Amendment Regulations (No. 2) 2015</w:t>
            </w:r>
          </w:p>
        </w:tc>
        <w:tc>
          <w:tcPr>
            <w:tcW w:w="1276" w:type="dxa"/>
            <w:tcBorders>
              <w:top w:val="nil"/>
              <w:bottom w:val="single" w:sz="4" w:space="0" w:color="auto"/>
            </w:tcBorders>
            <w:shd w:val="clear" w:color="auto" w:fill="auto"/>
          </w:tcPr>
          <w:p>
            <w:pPr>
              <w:pStyle w:val="nTable"/>
              <w:spacing w:after="40"/>
            </w:pPr>
            <w:r>
              <w:t>19 May 2015 p. 1760</w:t>
            </w:r>
          </w:p>
        </w:tc>
        <w:tc>
          <w:tcPr>
            <w:tcW w:w="2694" w:type="dxa"/>
            <w:tcBorders>
              <w:top w:val="nil"/>
              <w:bottom w:val="single" w:sz="4" w:space="0" w:color="auto"/>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bl>
    <w:p>
      <w:pPr>
        <w:pStyle w:val="nSubsection"/>
      </w:pPr>
      <w:r>
        <w:rPr>
          <w:vertAlign w:val="superscript"/>
        </w:rPr>
        <w:t>2</w:t>
      </w:r>
      <w:r>
        <w:tab/>
        <w:t xml:space="preserve">The </w:t>
      </w:r>
      <w:r>
        <w:rPr>
          <w:i/>
        </w:rPr>
        <w:t>Food Act 2008</w:t>
      </w:r>
      <w:r>
        <w:t xml:space="preserve"> s. 147(14) commenced 24 Oct 2009.</w:t>
      </w:r>
    </w:p>
    <w:p>
      <w:pPr>
        <w:pStyle w:val="nSubsection"/>
      </w:pPr>
      <w:r>
        <w:rPr>
          <w:vertAlign w:val="superscript"/>
        </w:rPr>
        <w:t>3</w:t>
      </w:r>
      <w:r>
        <w:tab/>
        <w:t xml:space="preserve">Deleted by the </w:t>
      </w:r>
      <w:r>
        <w:rPr>
          <w:i/>
        </w:rPr>
        <w:t>Food Act 2008</w:t>
      </w:r>
      <w:r>
        <w:t xml:space="preserve"> s. 147(11).</w:t>
      </w: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36" w:name="_Toc418237383"/>
      <w:bookmarkStart w:id="137" w:name="_Toc420401573"/>
      <w:bookmarkStart w:id="138" w:name="_Toc423338626"/>
      <w:r>
        <w:rPr>
          <w:sz w:val="28"/>
        </w:rPr>
        <w:t>Defined terms</w:t>
      </w:r>
      <w:bookmarkEnd w:id="136"/>
      <w:bookmarkEnd w:id="137"/>
      <w:bookmarkEnd w:id="1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adopted standard</w:t>
      </w:r>
      <w:r>
        <w:tab/>
        <w:t>17</w:t>
      </w:r>
    </w:p>
    <w:p>
      <w:pPr>
        <w:pStyle w:val="DefinedTerms"/>
      </w:pPr>
      <w:r>
        <w:t>animal</w:t>
      </w:r>
      <w:r>
        <w:tab/>
        <w:t>17</w:t>
      </w:r>
    </w:p>
    <w:p>
      <w:pPr>
        <w:pStyle w:val="DefinedTerms"/>
      </w:pPr>
      <w:r>
        <w:t>animal food processing premises</w:t>
      </w:r>
      <w:r>
        <w:tab/>
        <w:t>3, 17</w:t>
      </w:r>
    </w:p>
    <w:p>
      <w:pPr>
        <w:pStyle w:val="DefinedTerms"/>
      </w:pPr>
      <w:r>
        <w:t>authorised officer</w:t>
      </w:r>
      <w:r>
        <w:tab/>
        <w:t>17</w:t>
      </w:r>
    </w:p>
    <w:p>
      <w:pPr>
        <w:pStyle w:val="DefinedTerms"/>
      </w:pPr>
      <w:r>
        <w:t>bivalve mollusc</w:t>
      </w:r>
      <w:r>
        <w:tab/>
        <w:t>4(1)</w:t>
      </w:r>
    </w:p>
    <w:p>
      <w:pPr>
        <w:pStyle w:val="DefinedTerms"/>
      </w:pPr>
      <w:r>
        <w:t>carcase</w:t>
      </w:r>
      <w:r>
        <w:tab/>
        <w:t>17</w:t>
      </w:r>
    </w:p>
    <w:p>
      <w:pPr>
        <w:pStyle w:val="DefinedTerms"/>
      </w:pPr>
      <w:r>
        <w:t>dairy primary production business</w:t>
      </w:r>
      <w:r>
        <w:tab/>
        <w:t>4(1)</w:t>
      </w:r>
    </w:p>
    <w:p>
      <w:pPr>
        <w:pStyle w:val="DefinedTerms"/>
      </w:pPr>
      <w:r>
        <w:t>dairy processing business</w:t>
      </w:r>
      <w:r>
        <w:tab/>
        <w:t>4(1)</w:t>
      </w:r>
    </w:p>
    <w:p>
      <w:pPr>
        <w:pStyle w:val="DefinedTerms"/>
      </w:pPr>
      <w:r>
        <w:t>dairy transport business</w:t>
      </w:r>
      <w:r>
        <w:tab/>
        <w:t>4(1)</w:t>
      </w:r>
    </w:p>
    <w:p>
      <w:pPr>
        <w:pStyle w:val="DefinedTerms"/>
      </w:pPr>
      <w:r>
        <w:t>Department</w:t>
      </w:r>
      <w:r>
        <w:tab/>
        <w:t>18(4)</w:t>
      </w:r>
    </w:p>
    <w:p>
      <w:pPr>
        <w:pStyle w:val="DefinedTerms"/>
      </w:pPr>
      <w:r>
        <w:t>district</w:t>
      </w:r>
      <w:r>
        <w:tab/>
        <w:t>3</w:t>
      </w:r>
    </w:p>
    <w:p>
      <w:pPr>
        <w:pStyle w:val="DefinedTerms"/>
      </w:pPr>
      <w:r>
        <w:t>dressing</w:t>
      </w:r>
      <w:r>
        <w:tab/>
        <w:t>29</w:t>
      </w:r>
    </w:p>
    <w:p>
      <w:pPr>
        <w:pStyle w:val="DefinedTerms"/>
      </w:pPr>
      <w:r>
        <w:t>exempted food business</w:t>
      </w:r>
      <w:r>
        <w:tab/>
        <w:t>10(1), 11, 12, 13</w:t>
      </w:r>
    </w:p>
    <w:p>
      <w:pPr>
        <w:pStyle w:val="DefinedTerms"/>
      </w:pPr>
      <w:r>
        <w:t>field depot</w:t>
      </w:r>
      <w:r>
        <w:tab/>
        <w:t>17</w:t>
      </w:r>
    </w:p>
    <w:p>
      <w:pPr>
        <w:pStyle w:val="DefinedTerms"/>
      </w:pPr>
      <w:r>
        <w:t>FSC standard</w:t>
      </w:r>
      <w:r>
        <w:tab/>
        <w:t>3</w:t>
      </w:r>
    </w:p>
    <w:p>
      <w:pPr>
        <w:pStyle w:val="DefinedTerms"/>
      </w:pPr>
      <w:r>
        <w:t>game</w:t>
      </w:r>
      <w:r>
        <w:tab/>
        <w:t>17</w:t>
      </w:r>
    </w:p>
    <w:p>
      <w:pPr>
        <w:pStyle w:val="DefinedTerms"/>
      </w:pPr>
      <w:r>
        <w:t>game meat</w:t>
      </w:r>
      <w:r>
        <w:tab/>
        <w:t>17</w:t>
      </w:r>
    </w:p>
    <w:p>
      <w:pPr>
        <w:pStyle w:val="DefinedTerms"/>
      </w:pPr>
      <w:r>
        <w:t>King’s Park</w:t>
      </w:r>
      <w:r>
        <w:tab/>
        <w:t>4(1)</w:t>
      </w:r>
    </w:p>
    <w:p>
      <w:pPr>
        <w:pStyle w:val="DefinedTerms"/>
      </w:pPr>
      <w:r>
        <w:t>knackery</w:t>
      </w:r>
      <w:r>
        <w:tab/>
        <w:t>17</w:t>
      </w:r>
    </w:p>
    <w:p>
      <w:pPr>
        <w:pStyle w:val="DefinedTerms"/>
      </w:pPr>
      <w:r>
        <w:t>manufacturing of seafood</w:t>
      </w:r>
      <w:r>
        <w:tab/>
        <w:t>4(1)</w:t>
      </w:r>
    </w:p>
    <w:p>
      <w:pPr>
        <w:pStyle w:val="DefinedTerms"/>
      </w:pPr>
      <w:r>
        <w:t>meat</w:t>
      </w:r>
      <w:r>
        <w:tab/>
        <w:t>17</w:t>
      </w:r>
    </w:p>
    <w:p>
      <w:pPr>
        <w:pStyle w:val="DefinedTerms"/>
      </w:pPr>
      <w:r>
        <w:t>meat standard</w:t>
      </w:r>
      <w:r>
        <w:tab/>
        <w:t>17</w:t>
      </w:r>
    </w:p>
    <w:p>
      <w:pPr>
        <w:pStyle w:val="DefinedTerms"/>
      </w:pPr>
      <w:r>
        <w:t>pathogen</w:t>
      </w:r>
      <w:r>
        <w:tab/>
        <w:t>14</w:t>
      </w:r>
    </w:p>
    <w:p>
      <w:pPr>
        <w:pStyle w:val="DefinedTerms"/>
      </w:pPr>
      <w:r>
        <w:t>pet meat</w:t>
      </w:r>
      <w:r>
        <w:tab/>
        <w:t>17</w:t>
      </w:r>
    </w:p>
    <w:p>
      <w:pPr>
        <w:pStyle w:val="DefinedTerms"/>
      </w:pPr>
      <w:r>
        <w:t>pet meat processing establishment</w:t>
      </w:r>
      <w:r>
        <w:tab/>
        <w:t>17</w:t>
      </w:r>
    </w:p>
    <w:p>
      <w:pPr>
        <w:pStyle w:val="DefinedTerms"/>
      </w:pPr>
      <w:r>
        <w:t>potentially hazardous food</w:t>
      </w:r>
      <w:r>
        <w:tab/>
        <w:t>9</w:t>
      </w:r>
    </w:p>
    <w:p>
      <w:pPr>
        <w:pStyle w:val="DefinedTerms"/>
      </w:pPr>
      <w:r>
        <w:t>poultry</w:t>
      </w:r>
      <w:r>
        <w:tab/>
        <w:t>17</w:t>
      </w:r>
    </w:p>
    <w:p>
      <w:pPr>
        <w:pStyle w:val="DefinedTerms"/>
      </w:pPr>
      <w:r>
        <w:t>poultry processing premises</w:t>
      </w:r>
      <w:r>
        <w:tab/>
        <w:t>36(1A)</w:t>
      </w:r>
    </w:p>
    <w:p>
      <w:pPr>
        <w:pStyle w:val="DefinedTerms"/>
      </w:pPr>
      <w:r>
        <w:t>poultry standard</w:t>
      </w:r>
      <w:r>
        <w:tab/>
        <w:t>36(1A)</w:t>
      </w:r>
    </w:p>
    <w:p>
      <w:pPr>
        <w:pStyle w:val="DefinedTerms"/>
      </w:pPr>
      <w:r>
        <w:t>primary producer</w:t>
      </w:r>
      <w:r>
        <w:tab/>
        <w:t>20(1)</w:t>
      </w:r>
    </w:p>
    <w:p>
      <w:pPr>
        <w:pStyle w:val="DefinedTerms"/>
      </w:pPr>
      <w:r>
        <w:t>primary production of seafood</w:t>
      </w:r>
      <w:r>
        <w:tab/>
        <w:t>4(1)</w:t>
      </w:r>
    </w:p>
    <w:p>
      <w:pPr>
        <w:pStyle w:val="DefinedTerms"/>
      </w:pPr>
      <w:r>
        <w:t>processing premises</w:t>
      </w:r>
      <w:r>
        <w:tab/>
        <w:t>17</w:t>
      </w:r>
    </w:p>
    <w:p>
      <w:pPr>
        <w:pStyle w:val="DefinedTerms"/>
      </w:pPr>
      <w:r>
        <w:t>proprietor</w:t>
      </w:r>
      <w:r>
        <w:tab/>
        <w:t>17, 28, 39(1)</w:t>
      </w:r>
    </w:p>
    <w:p>
      <w:pPr>
        <w:pStyle w:val="DefinedTerms"/>
      </w:pPr>
      <w:r>
        <w:t>public hospital</w:t>
      </w:r>
      <w:r>
        <w:tab/>
        <w:t>4(1)</w:t>
      </w:r>
    </w:p>
    <w:p>
      <w:pPr>
        <w:pStyle w:val="DefinedTerms"/>
      </w:pPr>
      <w:r>
        <w:t>registered establishment</w:t>
      </w:r>
      <w:r>
        <w:tab/>
        <w:t>3</w:t>
      </w:r>
    </w:p>
    <w:p>
      <w:pPr>
        <w:pStyle w:val="DefinedTerms"/>
      </w:pPr>
      <w:r>
        <w:t>requirements of the wild game standard</w:t>
      </w:r>
      <w:r>
        <w:tab/>
        <w:t>49(1)</w:t>
      </w:r>
    </w:p>
    <w:p>
      <w:pPr>
        <w:pStyle w:val="DefinedTerms"/>
      </w:pPr>
      <w:r>
        <w:t>retail pet meat shop</w:t>
      </w:r>
      <w:r>
        <w:tab/>
        <w:t>3, 17</w:t>
      </w:r>
    </w:p>
    <w:p>
      <w:pPr>
        <w:pStyle w:val="DefinedTerms"/>
        <w:keepNext/>
      </w:pPr>
      <w:r>
        <w:t>Rottnest Island</w:t>
      </w:r>
      <w:r>
        <w:tab/>
        <w:t>4(1)</w:t>
      </w:r>
    </w:p>
    <w:p>
      <w:pPr>
        <w:pStyle w:val="DefinedTerms"/>
        <w:keepNext/>
      </w:pPr>
      <w:r>
        <w:t>wild game meat processing establishment</w:t>
      </w:r>
      <w:r>
        <w:tab/>
        <w:t>3</w:t>
      </w:r>
    </w:p>
    <w:p>
      <w:pPr>
        <w:pStyle w:val="DefinedTerms"/>
      </w:pPr>
      <w:r>
        <w:t>wild game standard</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0" w:name="Schedule"/>
    <w:bookmarkEnd w:id="1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9" w:name="DefinedTerms"/>
    <w:bookmarkEnd w:id="13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0" w:name="Coversheet"/>
    <w:bookmarkEnd w:id="1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DADA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6CD7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8888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8C2E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7E256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898D4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08E4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3263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D6474EA"/>
    <w:lvl w:ilvl="0">
      <w:start w:val="1"/>
      <w:numFmt w:val="decimal"/>
      <w:pStyle w:val="ListNumber"/>
      <w:lvlText w:val="%1."/>
      <w:lvlJc w:val="left"/>
      <w:pPr>
        <w:tabs>
          <w:tab w:val="num" w:pos="360"/>
        </w:tabs>
        <w:ind w:left="360" w:hanging="360"/>
      </w:pPr>
    </w:lvl>
  </w:abstractNum>
  <w:abstractNum w:abstractNumId="9">
    <w:nsid w:val="FFFFFF89"/>
    <w:multiLevelType w:val="singleLevel"/>
    <w:tmpl w:val="5D1ED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4E8AC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B61258B6"/>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01095202"/>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87412-E5C3-4822-857F-6CCF995D9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8934</Words>
  <Characters>42978</Characters>
  <Application>Microsoft Office Word</Application>
  <DocSecurity>0</DocSecurity>
  <Lines>1653</Lines>
  <Paragraphs>1179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2009 - 01-c0-01</dc:title>
  <dc:subject/>
  <dc:creator/>
  <cp:keywords/>
  <dc:description/>
  <cp:lastModifiedBy>svcMRProcess</cp:lastModifiedBy>
  <cp:revision>4</cp:revision>
  <cp:lastPrinted>2015-05-18T03:48:00Z</cp:lastPrinted>
  <dcterms:created xsi:type="dcterms:W3CDTF">2018-09-18T05:34:00Z</dcterms:created>
  <dcterms:modified xsi:type="dcterms:W3CDTF">2018-09-18T05:34:00Z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AsAtDate">
    <vt:lpwstr>01 Jul 2015</vt:lpwstr>
  </property>
  <property fmtid="{D5CDD505-2E9C-101B-9397-08002B2CF9AE}" pid="6" name="Suffix">
    <vt:lpwstr>01-c0-01</vt:lpwstr>
  </property>
  <property fmtid="{D5CDD505-2E9C-101B-9397-08002B2CF9AE}" pid="7" name="ReprintedAsAt">
    <vt:filetime>2015-05-14T16:00:00Z</vt:filetime>
  </property>
  <property fmtid="{D5CDD505-2E9C-101B-9397-08002B2CF9AE}" pid="8" name="ReprintNo">
    <vt:lpwstr>1</vt:lpwstr>
  </property>
  <property fmtid="{D5CDD505-2E9C-101B-9397-08002B2CF9AE}" pid="9" name="CommencementDate">
    <vt:lpwstr>20150701</vt:lpwstr>
  </property>
</Properties>
</file>