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_Toc423441940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_Toc423441941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_Toc423441942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_Toc423441943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_Toc423441944 \h </w:instrText>
      </w:r>
      <w:r>
        <w:fldChar w:fldCharType="separate"/>
      </w:r>
      <w:r>
        <w:t>2</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_Toc423441945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_Toc423441946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_Toc423441947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_Toc423441948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_Toc423441949 \h </w:instrText>
      </w:r>
      <w:r>
        <w:fldChar w:fldCharType="separate"/>
      </w:r>
      <w:r>
        <w:t>4</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_Toc423441950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_Toc423441952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_Toc423441953 \h </w:instrText>
      </w:r>
      <w:r>
        <w:fldChar w:fldCharType="separate"/>
      </w:r>
      <w:r>
        <w:t>6</w:t>
      </w:r>
      <w:r>
        <w:fldChar w:fldCharType="end"/>
      </w:r>
    </w:p>
    <w:p>
      <w:pPr>
        <w:pStyle w:val="TOC8"/>
        <w:rPr>
          <w:rFonts w:asciiTheme="minorHAnsi" w:eastAsiaTheme="minorEastAsia" w:hAnsiTheme="minorHAnsi" w:cstheme="minorBidi"/>
          <w:szCs w:val="22"/>
        </w:rPr>
      </w:pPr>
      <w:r>
        <w:t>3.</w:t>
      </w:r>
      <w:r>
        <w:tab/>
        <w:t>Tariff M1 (general supply — high voltage tariff)</w:t>
      </w:r>
      <w:r>
        <w:tab/>
      </w:r>
      <w:r>
        <w:fldChar w:fldCharType="begin"/>
      </w:r>
      <w:r>
        <w:instrText xml:space="preserve"> PAGEREF _Toc423441954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R1 (time of use tariff)</w:t>
      </w:r>
      <w:r>
        <w:tab/>
      </w:r>
      <w:r>
        <w:fldChar w:fldCharType="begin"/>
      </w:r>
      <w:r>
        <w:instrText xml:space="preserve"> PAGEREF _Toc423441955 \h </w:instrText>
      </w:r>
      <w:r>
        <w:fldChar w:fldCharType="separate"/>
      </w:r>
      <w:r>
        <w:t>7</w:t>
      </w:r>
      <w:r>
        <w:fldChar w:fldCharType="end"/>
      </w:r>
    </w:p>
    <w:p>
      <w:pPr>
        <w:pStyle w:val="TOC8"/>
        <w:rPr>
          <w:rFonts w:asciiTheme="minorHAnsi" w:eastAsiaTheme="minorEastAsia" w:hAnsiTheme="minorHAnsi" w:cstheme="minorBidi"/>
          <w:szCs w:val="22"/>
        </w:rPr>
      </w:pPr>
      <w:r>
        <w:t>5.</w:t>
      </w:r>
      <w:r>
        <w:tab/>
        <w:t>Tariff R3 (time of use tariff)</w:t>
      </w:r>
      <w:r>
        <w:tab/>
      </w:r>
      <w:r>
        <w:fldChar w:fldCharType="begin"/>
      </w:r>
      <w:r>
        <w:instrText xml:space="preserve"> PAGEREF _Toc423441956 \h </w:instrText>
      </w:r>
      <w:r>
        <w:fldChar w:fldCharType="separate"/>
      </w:r>
      <w:r>
        <w:t>7</w:t>
      </w:r>
      <w:r>
        <w:fldChar w:fldCharType="end"/>
      </w:r>
    </w:p>
    <w:p>
      <w:pPr>
        <w:pStyle w:val="TOC8"/>
        <w:rPr>
          <w:rFonts w:asciiTheme="minorHAnsi" w:eastAsiaTheme="minorEastAsia" w:hAnsiTheme="minorHAnsi" w:cstheme="minorBidi"/>
          <w:szCs w:val="22"/>
        </w:rPr>
      </w:pPr>
      <w:r>
        <w:t>6.</w:t>
      </w:r>
      <w:r>
        <w:tab/>
        <w:t>Tariff S1 (low/medium voltage time based demand and energy tariff)</w:t>
      </w:r>
      <w:r>
        <w:tab/>
      </w:r>
      <w:r>
        <w:fldChar w:fldCharType="begin"/>
      </w:r>
      <w:r>
        <w:instrText xml:space="preserve"> PAGEREF _Toc423441957 \h </w:instrText>
      </w:r>
      <w:r>
        <w:fldChar w:fldCharType="separate"/>
      </w:r>
      <w:r>
        <w:t>8</w:t>
      </w:r>
      <w:r>
        <w:fldChar w:fldCharType="end"/>
      </w:r>
    </w:p>
    <w:p>
      <w:pPr>
        <w:pStyle w:val="TOC8"/>
        <w:rPr>
          <w:rFonts w:asciiTheme="minorHAnsi" w:eastAsiaTheme="minorEastAsia" w:hAnsiTheme="minorHAnsi" w:cstheme="minorBidi"/>
          <w:szCs w:val="22"/>
        </w:rPr>
      </w:pPr>
      <w:r>
        <w:t>7.</w:t>
      </w:r>
      <w:r>
        <w:tab/>
        <w:t>Tariff T1 (high voltage time based demand and energy tariff)</w:t>
      </w:r>
      <w:r>
        <w:tab/>
      </w:r>
      <w:r>
        <w:fldChar w:fldCharType="begin"/>
      </w:r>
      <w:r>
        <w:instrText xml:space="preserve"> PAGEREF _Toc423441958 \h </w:instrText>
      </w:r>
      <w:r>
        <w:fldChar w:fldCharType="separate"/>
      </w:r>
      <w:r>
        <w:t>9</w:t>
      </w:r>
      <w:r>
        <w:fldChar w:fldCharType="end"/>
      </w:r>
    </w:p>
    <w:p>
      <w:pPr>
        <w:pStyle w:val="TOC8"/>
        <w:rPr>
          <w:rFonts w:asciiTheme="minorHAnsi" w:eastAsiaTheme="minorEastAsia" w:hAnsiTheme="minorHAnsi" w:cstheme="minorBidi"/>
          <w:szCs w:val="22"/>
        </w:rPr>
      </w:pPr>
      <w:r>
        <w:t>8.</w:t>
      </w:r>
      <w:r>
        <w:tab/>
        <w:t>Standby charges</w:t>
      </w:r>
      <w:r>
        <w:tab/>
      </w:r>
      <w:r>
        <w:fldChar w:fldCharType="begin"/>
      </w:r>
      <w:r>
        <w:instrText xml:space="preserve"> PAGEREF _Toc423441959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A1 (residential tariff)</w:t>
      </w:r>
      <w:r>
        <w:tab/>
      </w:r>
      <w:r>
        <w:fldChar w:fldCharType="begin"/>
      </w:r>
      <w:r>
        <w:instrText xml:space="preserve"> PAGEREF _Toc423441960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B1 (residential water heating tariff)</w:t>
      </w:r>
      <w:r>
        <w:tab/>
      </w:r>
      <w:r>
        <w:fldChar w:fldCharType="begin"/>
      </w:r>
      <w:r>
        <w:instrText xml:space="preserve"> PAGEREF _Toc423441961 \h </w:instrText>
      </w:r>
      <w:r>
        <w:fldChar w:fldCharType="separate"/>
      </w:r>
      <w:r>
        <w:t>12</w:t>
      </w:r>
      <w:r>
        <w:fldChar w:fldCharType="end"/>
      </w:r>
    </w:p>
    <w:p>
      <w:pPr>
        <w:pStyle w:val="TOC8"/>
        <w:rPr>
          <w:rFonts w:asciiTheme="minorHAnsi" w:eastAsiaTheme="minorEastAsia" w:hAnsiTheme="minorHAnsi" w:cstheme="minorBidi"/>
          <w:szCs w:val="22"/>
        </w:rPr>
      </w:pPr>
      <w:r>
        <w:t>11.</w:t>
      </w:r>
      <w:r>
        <w:tab/>
        <w:t>Tariff C1 (special community service tariff)</w:t>
      </w:r>
      <w:r>
        <w:tab/>
      </w:r>
      <w:r>
        <w:fldChar w:fldCharType="begin"/>
      </w:r>
      <w:r>
        <w:instrText xml:space="preserve"> PAGEREF _Toc423441962 \h </w:instrText>
      </w:r>
      <w:r>
        <w:fldChar w:fldCharType="separate"/>
      </w:r>
      <w:r>
        <w:t>12</w:t>
      </w:r>
      <w:r>
        <w:fldChar w:fldCharType="end"/>
      </w:r>
    </w:p>
    <w:p>
      <w:pPr>
        <w:pStyle w:val="TOC8"/>
        <w:rPr>
          <w:rFonts w:asciiTheme="minorHAnsi" w:eastAsiaTheme="minorEastAsia" w:hAnsiTheme="minorHAnsi" w:cstheme="minorBidi"/>
          <w:szCs w:val="22"/>
        </w:rPr>
      </w:pPr>
      <w:r>
        <w:t>12.</w:t>
      </w:r>
      <w:r>
        <w:tab/>
        <w:t>Tariff D1 (special tariff for certain premises)</w:t>
      </w:r>
      <w:r>
        <w:tab/>
      </w:r>
      <w:r>
        <w:fldChar w:fldCharType="begin"/>
      </w:r>
      <w:r>
        <w:instrText xml:space="preserve"> PAGEREF _Toc423441963 \h </w:instrText>
      </w:r>
      <w:r>
        <w:fldChar w:fldCharType="separate"/>
      </w:r>
      <w:r>
        <w:t>13</w:t>
      </w:r>
      <w:r>
        <w:fldChar w:fldCharType="end"/>
      </w:r>
    </w:p>
    <w:p>
      <w:pPr>
        <w:pStyle w:val="TOC8"/>
        <w:rPr>
          <w:rFonts w:asciiTheme="minorHAnsi" w:eastAsiaTheme="minorEastAsia" w:hAnsiTheme="minorHAnsi" w:cstheme="minorBidi"/>
          <w:szCs w:val="22"/>
        </w:rPr>
      </w:pPr>
      <w:r>
        <w:t>13.</w:t>
      </w:r>
      <w:r>
        <w:tab/>
        <w:t>Tariff K1 (general supply with residential tariff)</w:t>
      </w:r>
      <w:r>
        <w:tab/>
      </w:r>
      <w:r>
        <w:fldChar w:fldCharType="begin"/>
      </w:r>
      <w:r>
        <w:instrText xml:space="preserve"> PAGEREF _Toc423441964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_Toc423441968 \h </w:instrText>
      </w:r>
      <w:r>
        <w:fldChar w:fldCharType="separate"/>
      </w:r>
      <w:r>
        <w:t>17</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_Toc423441969 \h </w:instrText>
      </w:r>
      <w:r>
        <w:fldChar w:fldCharType="separate"/>
      </w:r>
      <w:r>
        <w:t>17</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_Toc423441970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_Toc423441974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396399417"/>
      <w:bookmarkStart w:id="4" w:name="_Toc423441940"/>
      <w:r>
        <w:rPr>
          <w:rStyle w:val="CharSectno"/>
        </w:rPr>
        <w:t>1</w:t>
      </w:r>
      <w:r>
        <w:t>.</w:t>
      </w:r>
      <w:r>
        <w:tab/>
        <w:t>Citation</w:t>
      </w:r>
      <w:bookmarkEnd w:id="3"/>
      <w:bookmarkEnd w:id="4"/>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5" w:name="_Toc396399418"/>
      <w:bookmarkStart w:id="6" w:name="_Toc423441941"/>
      <w:r>
        <w:rPr>
          <w:rStyle w:val="CharSectno"/>
        </w:rPr>
        <w:t>2</w:t>
      </w:r>
      <w:r>
        <w:t>.</w:t>
      </w:r>
      <w:r>
        <w:tab/>
        <w:t>Commencement</w:t>
      </w:r>
      <w:bookmarkEnd w:id="5"/>
      <w:bookmarkEnd w:id="6"/>
    </w:p>
    <w:p>
      <w:pPr>
        <w:pStyle w:val="Subsection"/>
      </w:pPr>
      <w:r>
        <w:tab/>
      </w:r>
      <w:r>
        <w:tab/>
        <w:t>These by</w:t>
      </w:r>
      <w:r>
        <w:noBreakHyphen/>
        <w:t>laws come into operation on 1 April 2006.</w:t>
      </w:r>
    </w:p>
    <w:p>
      <w:pPr>
        <w:pStyle w:val="Heading5"/>
        <w:rPr>
          <w:snapToGrid w:val="0"/>
        </w:rPr>
      </w:pPr>
      <w:bookmarkStart w:id="7" w:name="_Toc396399419"/>
      <w:bookmarkStart w:id="8" w:name="_Toc423441942"/>
      <w:r>
        <w:rPr>
          <w:rStyle w:val="CharSectno"/>
        </w:rPr>
        <w:t>3</w:t>
      </w:r>
      <w:r>
        <w:t>.</w:t>
      </w:r>
      <w:r>
        <w:tab/>
      </w:r>
      <w:r>
        <w:rPr>
          <w:snapToGrid w:val="0"/>
        </w:rPr>
        <w:t>Terms used</w:t>
      </w:r>
      <w:bookmarkEnd w:id="7"/>
      <w:bookmarkEnd w:id="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9" w:name="_Toc396399420"/>
      <w:bookmarkStart w:id="10" w:name="_Toc423441943"/>
      <w:r>
        <w:rPr>
          <w:rStyle w:val="CharSectno"/>
        </w:rPr>
        <w:t>4</w:t>
      </w:r>
      <w:r>
        <w:t>.</w:t>
      </w:r>
      <w:r>
        <w:tab/>
      </w:r>
      <w:r>
        <w:rPr>
          <w:snapToGrid w:val="0"/>
        </w:rPr>
        <w:t>Electricity charges payable by consumers (Sch. 1, Sch. 2)</w:t>
      </w:r>
      <w:bookmarkEnd w:id="9"/>
      <w:bookmarkEnd w:id="10"/>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1" w:name="_Toc396399421"/>
      <w:bookmarkStart w:id="12" w:name="_Toc423441944"/>
      <w:r>
        <w:rPr>
          <w:rStyle w:val="CharSectno"/>
        </w:rPr>
        <w:t>5</w:t>
      </w:r>
      <w:r>
        <w:t>.</w:t>
      </w:r>
      <w:r>
        <w:tab/>
        <w:t>Residential tariffs, when applicable</w:t>
      </w:r>
      <w:bookmarkEnd w:id="11"/>
      <w:bookmarkEnd w:id="12"/>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3" w:name="_Toc396399422"/>
      <w:bookmarkStart w:id="14" w:name="_Toc423441945"/>
      <w:r>
        <w:rPr>
          <w:rStyle w:val="CharSectno"/>
        </w:rPr>
        <w:t>6</w:t>
      </w:r>
      <w:r>
        <w:t>.</w:t>
      </w:r>
      <w:r>
        <w:tab/>
        <w:t>Subsidiary meters, rental for (Sch. 3)</w:t>
      </w:r>
      <w:bookmarkEnd w:id="13"/>
      <w:bookmarkEnd w:id="1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5" w:name="_Toc396399423"/>
      <w:bookmarkStart w:id="16" w:name="_Toc423441946"/>
      <w:r>
        <w:rPr>
          <w:rStyle w:val="CharSectno"/>
        </w:rPr>
        <w:t>7</w:t>
      </w:r>
      <w:r>
        <w:t>.</w:t>
      </w:r>
      <w:r>
        <w:tab/>
        <w:t>Fees (Sch. 4)</w:t>
      </w:r>
      <w:bookmarkEnd w:id="15"/>
      <w:bookmarkEnd w:id="16"/>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7" w:name="_Toc396399424"/>
      <w:bookmarkStart w:id="18" w:name="_Toc423441947"/>
      <w:r>
        <w:rPr>
          <w:rStyle w:val="CharSectno"/>
        </w:rPr>
        <w:t>8</w:t>
      </w:r>
      <w:r>
        <w:t>.</w:t>
      </w:r>
      <w:r>
        <w:tab/>
        <w:t>When charges payable; interest on unpaid charges</w:t>
      </w:r>
      <w:bookmarkEnd w:id="17"/>
      <w:bookmarkEnd w:id="1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9" w:name="_Toc396399425"/>
      <w:bookmarkStart w:id="20" w:name="_Toc423441948"/>
      <w:r>
        <w:rPr>
          <w:rStyle w:val="CharSectno"/>
        </w:rPr>
        <w:t>10</w:t>
      </w:r>
      <w:r>
        <w:t>.</w:t>
      </w:r>
      <w:r>
        <w:tab/>
        <w:t>Calculation of charges</w:t>
      </w:r>
      <w:bookmarkEnd w:id="19"/>
      <w:bookmarkEnd w:id="2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1" w:name="_Toc396399426"/>
      <w:bookmarkStart w:id="22" w:name="_Toc423441949"/>
      <w:r>
        <w:rPr>
          <w:rStyle w:val="CharSectno"/>
        </w:rPr>
        <w:t>11</w:t>
      </w:r>
      <w:r>
        <w:t>.</w:t>
      </w:r>
      <w:r>
        <w:tab/>
        <w:t>Changes to rate of charges, adjustment for</w:t>
      </w:r>
      <w:bookmarkEnd w:id="21"/>
      <w:bookmarkEnd w:id="2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3" w:name="_Toc396399427"/>
      <w:bookmarkStart w:id="24" w:name="_Toc423441950"/>
      <w:r>
        <w:rPr>
          <w:rStyle w:val="CharSectno"/>
        </w:rPr>
        <w:t>12</w:t>
      </w:r>
      <w:r>
        <w:t>.</w:t>
      </w:r>
      <w:r>
        <w:tab/>
        <w:t>Interest rate prescribed (Act s. 62(16))</w:t>
      </w:r>
      <w:bookmarkEnd w:id="23"/>
      <w:bookmarkEnd w:id="2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 w:name="_Toc396399428"/>
      <w:bookmarkStart w:id="26" w:name="_Toc416788112"/>
      <w:bookmarkStart w:id="27" w:name="_Toc416788147"/>
      <w:bookmarkStart w:id="28" w:name="_Toc423342525"/>
      <w:bookmarkStart w:id="29" w:name="_Toc423441951"/>
      <w:bookmarkStart w:id="30" w:name="_Toc391912279"/>
      <w:r>
        <w:rPr>
          <w:rStyle w:val="CharSchNo"/>
        </w:rPr>
        <w:t>Schedule 1</w:t>
      </w:r>
      <w:r>
        <w:rPr>
          <w:rStyle w:val="CharSDivNo"/>
        </w:rPr>
        <w:t> </w:t>
      </w:r>
      <w:r>
        <w:t>—</w:t>
      </w:r>
      <w:r>
        <w:rPr>
          <w:rStyle w:val="CharSDivText"/>
        </w:rPr>
        <w:t> </w:t>
      </w:r>
      <w:r>
        <w:rPr>
          <w:rStyle w:val="CharSchText"/>
        </w:rPr>
        <w:t>Supply charges</w:t>
      </w:r>
      <w:bookmarkEnd w:id="25"/>
      <w:bookmarkEnd w:id="26"/>
      <w:bookmarkEnd w:id="27"/>
      <w:bookmarkEnd w:id="28"/>
      <w:bookmarkEnd w:id="29"/>
    </w:p>
    <w:p>
      <w:pPr>
        <w:pStyle w:val="yShoulderClause"/>
      </w:pPr>
      <w:r>
        <w:t>[bl. 3, 4(1) and 10(1)]</w:t>
      </w:r>
    </w:p>
    <w:p>
      <w:pPr>
        <w:pStyle w:val="yFootnoteheading"/>
      </w:pPr>
      <w:r>
        <w:tab/>
        <w:t>[Heading inserted in Gazette 22 Aug 2014 p. 3024.]</w:t>
      </w:r>
    </w:p>
    <w:p>
      <w:pPr>
        <w:pStyle w:val="yHeading5"/>
      </w:pPr>
      <w:bookmarkStart w:id="31" w:name="_Toc423441952"/>
      <w:bookmarkStart w:id="32" w:name="_Toc396399429"/>
      <w:r>
        <w:t>1.</w:t>
      </w:r>
      <w:r>
        <w:tab/>
        <w:t>Tariff L1 (general supply — low/medium voltage tariff)</w:t>
      </w:r>
      <w:bookmarkEnd w:id="31"/>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44.7753 cents per day; and</w:t>
      </w:r>
    </w:p>
    <w:p>
      <w:pPr>
        <w:pStyle w:val="yIndenta"/>
      </w:pPr>
      <w:r>
        <w:tab/>
        <w:t>(b)</w:t>
      </w:r>
      <w:r>
        <w:tab/>
        <w:t xml:space="preserve">a charge for metered consumption at the rate of — </w:t>
      </w:r>
    </w:p>
    <w:p>
      <w:pPr>
        <w:pStyle w:val="yIndenti0"/>
      </w:pPr>
      <w:r>
        <w:tab/>
        <w:t>(i)</w:t>
      </w:r>
      <w:r>
        <w:tab/>
        <w:t>29.4275 cents per unit for the first 1 650 units per day; and</w:t>
      </w:r>
    </w:p>
    <w:p>
      <w:pPr>
        <w:pStyle w:val="yIndenti0"/>
      </w:pPr>
      <w:r>
        <w:tab/>
        <w:t>(ii)</w:t>
      </w:r>
      <w:r>
        <w:tab/>
        <w:t>26.5537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26 Jun 2015 p. 2239</w:t>
      </w:r>
      <w:r>
        <w:noBreakHyphen/>
        <w:t>40.]</w:t>
      </w:r>
    </w:p>
    <w:p>
      <w:pPr>
        <w:pStyle w:val="yHeading5"/>
      </w:pPr>
      <w:bookmarkStart w:id="33" w:name="_Toc423441953"/>
      <w:r>
        <w:t>2.</w:t>
      </w:r>
      <w:r>
        <w:tab/>
        <w:t>Tariff L3 (general supply — low/medium voltage tariff)</w:t>
      </w:r>
      <w:bookmarkEnd w:id="33"/>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51.6881 cents per day; and</w:t>
      </w:r>
    </w:p>
    <w:p>
      <w:pPr>
        <w:pStyle w:val="yIndenta"/>
      </w:pPr>
      <w:r>
        <w:tab/>
        <w:t>(b)</w:t>
      </w:r>
      <w:r>
        <w:tab/>
        <w:t xml:space="preserve">a charge for metered consumption at the rate of — </w:t>
      </w:r>
    </w:p>
    <w:p>
      <w:pPr>
        <w:pStyle w:val="yIndenti0"/>
      </w:pPr>
      <w:r>
        <w:tab/>
        <w:t>(i)</w:t>
      </w:r>
      <w:r>
        <w:tab/>
        <w:t>33.9633 cents per unit for the first 1 650 units per day; and</w:t>
      </w:r>
    </w:p>
    <w:p>
      <w:pPr>
        <w:pStyle w:val="yIndenti0"/>
      </w:pPr>
      <w:r>
        <w:tab/>
        <w:t>(ii)</w:t>
      </w:r>
      <w:r>
        <w:tab/>
        <w:t>30.6556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in Gazette 26 Jun 2015 p. 2240.]</w:t>
      </w:r>
    </w:p>
    <w:p>
      <w:pPr>
        <w:pStyle w:val="yHeading5"/>
      </w:pPr>
      <w:bookmarkStart w:id="34" w:name="_Toc423441954"/>
      <w:r>
        <w:t>3.</w:t>
      </w:r>
      <w:r>
        <w:tab/>
        <w:t>Tariff M1 (general supply — high voltage tariff)</w:t>
      </w:r>
      <w:bookmarkEnd w:id="34"/>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54.2587 cents per day; and</w:t>
      </w:r>
    </w:p>
    <w:p>
      <w:pPr>
        <w:pStyle w:val="yIndenta"/>
      </w:pPr>
      <w:r>
        <w:tab/>
        <w:t>(b)</w:t>
      </w:r>
      <w:r>
        <w:tab/>
        <w:t>a charge for metered consumption at the rate of — </w:t>
      </w:r>
    </w:p>
    <w:p>
      <w:pPr>
        <w:pStyle w:val="yIndenti0"/>
      </w:pPr>
      <w:r>
        <w:tab/>
        <w:t>(i)</w:t>
      </w:r>
      <w:r>
        <w:tab/>
        <w:t>34.4455 cents per unit for the first 1 650 units per day; and</w:t>
      </w:r>
    </w:p>
    <w:p>
      <w:pPr>
        <w:pStyle w:val="yIndenti0"/>
      </w:pPr>
      <w:r>
        <w:tab/>
        <w:t>(ii)</w:t>
      </w:r>
      <w:r>
        <w:tab/>
        <w:t>30.9362 cents per unit for all units exceeding 1 650 units per day.</w:t>
      </w:r>
    </w:p>
    <w:p>
      <w:pPr>
        <w:pStyle w:val="yFootnotesection"/>
      </w:pPr>
      <w:r>
        <w:tab/>
        <w:t>[Clause 3 inserted in Gazette 26 Jun 2015 p. 2240.]</w:t>
      </w:r>
    </w:p>
    <w:p>
      <w:pPr>
        <w:pStyle w:val="yHeading5"/>
      </w:pPr>
      <w:bookmarkStart w:id="35" w:name="_Toc423441955"/>
      <w:r>
        <w:t>4.</w:t>
      </w:r>
      <w:r>
        <w:tab/>
        <w:t>Tariff R1 (time of use tariff)</w:t>
      </w:r>
      <w:bookmarkEnd w:id="35"/>
    </w:p>
    <w:p>
      <w:pPr>
        <w:pStyle w:val="ySubsection"/>
      </w:pPr>
      <w:r>
        <w:tab/>
        <w:t>(1)</w:t>
      </w:r>
      <w:r>
        <w:tab/>
        <w:t>Tariff R1 comprises —</w:t>
      </w:r>
    </w:p>
    <w:p>
      <w:pPr>
        <w:pStyle w:val="yIndenta"/>
      </w:pPr>
      <w:r>
        <w:tab/>
        <w:t>(a)</w:t>
      </w:r>
      <w:r>
        <w:tab/>
        <w:t>a fixed charge at the rate of $1.8356 per day; and</w:t>
      </w:r>
    </w:p>
    <w:p>
      <w:pPr>
        <w:pStyle w:val="yIndenta"/>
      </w:pPr>
      <w:r>
        <w:tab/>
        <w:t>(b)</w:t>
      </w:r>
      <w:r>
        <w:tab/>
        <w:t>an energy charge consisting of — </w:t>
      </w:r>
    </w:p>
    <w:p>
      <w:pPr>
        <w:pStyle w:val="yIndenti0"/>
      </w:pPr>
      <w:r>
        <w:tab/>
        <w:t>(i)</w:t>
      </w:r>
      <w:r>
        <w:tab/>
        <w:t>an on peak energy charge at the rate of 32.2208 cents per unit; and</w:t>
      </w:r>
    </w:p>
    <w:p>
      <w:pPr>
        <w:pStyle w:val="yIndenti0"/>
      </w:pPr>
      <w:r>
        <w:tab/>
        <w:t>(ii)</w:t>
      </w:r>
      <w:r>
        <w:tab/>
        <w:t>an off peak energy charge at the rate of 9.9376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26 Jun 2015 p. 2240</w:t>
      </w:r>
      <w:r>
        <w:noBreakHyphen/>
        <w:t>1.]</w:t>
      </w:r>
    </w:p>
    <w:p>
      <w:pPr>
        <w:pStyle w:val="yHeading5"/>
      </w:pPr>
      <w:bookmarkStart w:id="36" w:name="_Toc423441956"/>
      <w:r>
        <w:t>5.</w:t>
      </w:r>
      <w:r>
        <w:tab/>
        <w:t>Tariff R3 (time of use tariff)</w:t>
      </w:r>
      <w:bookmarkEnd w:id="36"/>
    </w:p>
    <w:p>
      <w:pPr>
        <w:pStyle w:val="ySubsection"/>
      </w:pPr>
      <w:r>
        <w:tab/>
        <w:t>(1)</w:t>
      </w:r>
      <w:r>
        <w:tab/>
        <w:t>Tariff R3 comprises —</w:t>
      </w:r>
    </w:p>
    <w:p>
      <w:pPr>
        <w:pStyle w:val="yIndenta"/>
      </w:pPr>
      <w:r>
        <w:tab/>
        <w:t>(a)</w:t>
      </w:r>
      <w:r>
        <w:tab/>
        <w:t>a fixed charge at the rate of $2.4330 per day; and</w:t>
      </w:r>
    </w:p>
    <w:p>
      <w:pPr>
        <w:pStyle w:val="yIndenta"/>
      </w:pPr>
      <w:r>
        <w:tab/>
        <w:t>(b)</w:t>
      </w:r>
      <w:r>
        <w:tab/>
        <w:t>an energy charge consisting of — </w:t>
      </w:r>
    </w:p>
    <w:p>
      <w:pPr>
        <w:pStyle w:val="yIndenti0"/>
      </w:pPr>
      <w:r>
        <w:tab/>
        <w:t>(i)</w:t>
      </w:r>
      <w:r>
        <w:tab/>
        <w:t>an on peak energy charge at the rate of 42.5968 cents per unit; and</w:t>
      </w:r>
    </w:p>
    <w:p>
      <w:pPr>
        <w:pStyle w:val="yIndenti0"/>
      </w:pPr>
      <w:r>
        <w:tab/>
        <w:t>(ii)</w:t>
      </w:r>
      <w:r>
        <w:tab/>
        <w:t>an off peak energy charge at the rate of 13.1137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26 Jun 2015 p. 2241.]</w:t>
      </w:r>
    </w:p>
    <w:p>
      <w:pPr>
        <w:pStyle w:val="yHeading5"/>
      </w:pPr>
      <w:bookmarkStart w:id="37" w:name="_Toc423441957"/>
      <w:r>
        <w:t>6.</w:t>
      </w:r>
      <w:r>
        <w:tab/>
        <w:t>Tariff S1 (low/medium voltage time based demand and energy tariff)</w:t>
      </w:r>
      <w:bookmarkEnd w:id="37"/>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$540.7869 per day; and</w:t>
      </w:r>
    </w:p>
    <w:p>
      <w:pPr>
        <w:pStyle w:val="yIndenta"/>
      </w:pPr>
      <w:r>
        <w:tab/>
        <w:t>(b)</w:t>
      </w:r>
      <w:r>
        <w:tab/>
        <w:t xml:space="preserve">a demand charge at the rate of 137.3625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19.6538 cents per unit; and</w:t>
      </w:r>
    </w:p>
    <w:p>
      <w:pPr>
        <w:pStyle w:val="yIndenti0"/>
      </w:pPr>
      <w:r>
        <w:tab/>
        <w:t>(ii)</w:t>
      </w:r>
      <w:r>
        <w:tab/>
        <w:t>an off peak energy charge at the rate of 12.4342 cents per unit.</w:t>
      </w:r>
    </w:p>
    <w:p>
      <w:pPr>
        <w:pStyle w:val="ySubsection"/>
      </w:pPr>
      <w:r>
        <w:tab/>
        <w:t>(3)</w:t>
      </w:r>
      <w:r>
        <w:tab/>
        <w:t xml:space="preserve">Tariff S1 is available subject to the following conditions — </w:t>
      </w:r>
    </w:p>
    <w:p>
      <w:pPr>
        <w:pStyle w:val="yIndenta"/>
      </w:pPr>
      <w:r>
        <w:tab/>
        <w:t>(a)</w:t>
      </w:r>
      <w:r>
        <w:tab/>
        <w:t>the consumer must agree to take the tariff for a minimum period of 12 months;</w:t>
      </w:r>
    </w:p>
    <w:p>
      <w:pPr>
        <w:pStyle w:val="yIndenta"/>
      </w:pPr>
      <w:r>
        <w:tab/>
        <w:t>(b)</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26 Jun 2015 p. 2241</w:t>
      </w:r>
      <w:r>
        <w:noBreakHyphen/>
        <w:t>2.]</w:t>
      </w:r>
    </w:p>
    <w:p>
      <w:pPr>
        <w:pStyle w:val="yHeading5"/>
      </w:pPr>
      <w:bookmarkStart w:id="38" w:name="_Toc423441958"/>
      <w:r>
        <w:t>7.</w:t>
      </w:r>
      <w:r>
        <w:tab/>
        <w:t>Tariff T1 (high voltage time based demand and energy tariff)</w:t>
      </w:r>
      <w:bookmarkEnd w:id="38"/>
    </w:p>
    <w:p>
      <w:pPr>
        <w:pStyle w:val="ySubsection"/>
      </w:pPr>
      <w:r>
        <w:tab/>
        <w:t>(1)</w:t>
      </w:r>
      <w:r>
        <w:tab/>
        <w:t>Tariff T1 is available to consumers supplied at 6.6 kV, 11 kV, 22 kV or 33 kV or such higher voltage as the corporation may approve.</w:t>
      </w:r>
    </w:p>
    <w:p>
      <w:pPr>
        <w:pStyle w:val="ySubsection"/>
      </w:pPr>
      <w:r>
        <w:tab/>
        <w:t>(2)</w:t>
      </w:r>
      <w:r>
        <w:tab/>
        <w:t xml:space="preserve">Tariff T1 comprises — </w:t>
      </w:r>
    </w:p>
    <w:p>
      <w:pPr>
        <w:pStyle w:val="yIndenta"/>
      </w:pPr>
      <w:r>
        <w:tab/>
        <w:t>(a)</w:t>
      </w:r>
      <w:r>
        <w:tab/>
        <w:t>a minimum charge at the rate of $632.6748 per day; and</w:t>
      </w:r>
    </w:p>
    <w:p>
      <w:pPr>
        <w:pStyle w:val="yIndenta"/>
      </w:pPr>
      <w:r>
        <w:tab/>
        <w:t>(b)</w:t>
      </w:r>
      <w:r>
        <w:tab/>
        <w:t xml:space="preserve">a demand charge at the rate of 111.4642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16.2966 cents per unit; and</w:t>
      </w:r>
    </w:p>
    <w:p>
      <w:pPr>
        <w:pStyle w:val="yIndenti0"/>
      </w:pPr>
      <w:r>
        <w:tab/>
        <w:t>(ii)</w:t>
      </w:r>
      <w:r>
        <w:tab/>
        <w:t>an off peak energy charge at the rate of 10.8383 cents per unit.</w:t>
      </w:r>
    </w:p>
    <w:p>
      <w:pPr>
        <w:pStyle w:val="ySubsection"/>
      </w:pPr>
      <w:r>
        <w:tab/>
        <w:t>(3)</w:t>
      </w:r>
      <w:r>
        <w:tab/>
        <w:t xml:space="preserve">Tariff T1 is available subject to the following conditions — </w:t>
      </w:r>
    </w:p>
    <w:p>
      <w:pPr>
        <w:pStyle w:val="yIndenta"/>
      </w:pPr>
      <w:r>
        <w:tab/>
        <w:t>(a)</w:t>
      </w:r>
      <w:r>
        <w:tab/>
        <w:t>the consumer must agree to take the tariff for a minimum period of 12 months;</w:t>
      </w:r>
    </w:p>
    <w:p>
      <w:pPr>
        <w:pStyle w:val="yIndenta"/>
      </w:pPr>
      <w:r>
        <w:tab/>
        <w:t>(b)</w:t>
      </w:r>
      <w:r>
        <w:tab/>
        <w:t>it applies to a consumer who owns all equipment except tariff metering equipment on the load side of the consumer’s high voltage terminals;</w:t>
      </w:r>
    </w:p>
    <w:p>
      <w:pPr>
        <w:pStyle w:val="yIndenta"/>
      </w:pPr>
      <w:r>
        <w:tab/>
        <w:t>(c)</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rPr>
          <w:rStyle w:val="CharSClsNo"/>
          <w:b/>
        </w:rPr>
      </w:pPr>
      <w:r>
        <w:tab/>
        <w:t>[Clause 7 inserted in Gazette 26 Jun 2015 p. 2242.]</w:t>
      </w:r>
    </w:p>
    <w:p>
      <w:pPr>
        <w:pStyle w:val="yHeading5"/>
      </w:pPr>
      <w:bookmarkStart w:id="39" w:name="_Toc396399436"/>
      <w:bookmarkStart w:id="40" w:name="_Toc423441959"/>
      <w:bookmarkEnd w:id="32"/>
      <w:r>
        <w:rPr>
          <w:rStyle w:val="CharSClsNo"/>
        </w:rPr>
        <w:t>8</w:t>
      </w:r>
      <w:r>
        <w:t>.</w:t>
      </w:r>
      <w:r>
        <w:tab/>
        <w:t>Standby charges</w:t>
      </w:r>
      <w:bookmarkEnd w:id="39"/>
      <w:bookmarkEnd w:id="40"/>
    </w:p>
    <w:p>
      <w:pPr>
        <w:pStyle w:val="ySubsection"/>
      </w:pPr>
      <w:r>
        <w:tab/>
        <w:t>(1)</w:t>
      </w:r>
      <w:r>
        <w:tab/>
        <w:t>Standby charges are applicable to consumers with their own generation and supplied on Tariff L1, L3, M1, R1, R3, S1 or T1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In the case of Tariff M1, the standby charge is 5.10 cents per day per kW based on the difference between total half</w:t>
      </w:r>
      <w:r>
        <w:noBreakHyphen/>
        <w:t>hourly maximum demand and normal half</w:t>
      </w:r>
      <w:r>
        <w:noBreakHyphen/>
        <w:t>hourly maximum demand.</w:t>
      </w:r>
    </w:p>
    <w:p>
      <w:pPr>
        <w:pStyle w:val="ySubsection"/>
      </w:pPr>
      <w:r>
        <w:tab/>
        <w:t>(4)</w:t>
      </w:r>
      <w:r>
        <w:tab/>
        <w:t>In the case of Tariff S1, the standby charge is 5.72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(5)</w:t>
      </w:r>
      <w:r>
        <w:tab/>
        <w:t>In the case of Tariff T1, the standby charge is 5.10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(6)</w:t>
      </w:r>
      <w:r>
        <w:tab/>
        <w:t>The normal half</w:t>
      </w:r>
      <w:r>
        <w:noBreakHyphen/>
        <w:t>hourly maximum demand is to be assessed by the corporation and is to be based on loading normally supplied from the corporation’s supply.</w:t>
      </w:r>
    </w:p>
    <w:p>
      <w:pPr>
        <w:pStyle w:val="ySubsection"/>
      </w:pPr>
      <w:r>
        <w:tab/>
        <w:t>(7)</w:t>
      </w:r>
      <w:r>
        <w:tab/>
        <w:t>Notwithstanding the corporation’s assessment, in any accounting period the normal half</w:t>
      </w:r>
      <w:r>
        <w:noBreakHyphen/>
        <w:t>hourly maximum demand is taken to be not less than — </w:t>
      </w:r>
    </w:p>
    <w:p>
      <w:pPr>
        <w:pStyle w:val="ySubsection"/>
      </w:pPr>
      <w:r>
        <w:tab/>
      </w:r>
      <w:r>
        <w:tab/>
      </w:r>
      <w:r>
        <w:rPr>
          <w:noProof/>
          <w:position w:val="-28"/>
        </w:rPr>
        <w:drawing>
          <wp:inline distT="0" distB="0" distL="0" distR="0">
            <wp:extent cx="2968625" cy="4165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68625" cy="416560"/>
                    </a:xfrm>
                    <a:prstGeom prst="rect">
                      <a:avLst/>
                    </a:prstGeom>
                    <a:noFill/>
                    <a:ln>
                      <a:noFill/>
                    </a:ln>
                  </pic:spPr>
                </pic:pic>
              </a:graphicData>
            </a:graphic>
          </wp:inline>
        </w:drawing>
      </w:r>
    </w:p>
    <w:p>
      <w:pPr>
        <w:pStyle w:val="ySubsection"/>
      </w:pPr>
      <w:r>
        <w:tab/>
        <w:t>(8)</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(9)</w:t>
      </w:r>
      <w:r>
        <w:tab/>
        <w:t>The difference between total half</w:t>
      </w:r>
      <w:r>
        <w:noBreakHyphen/>
        <w:t>hourly maximum demand and normal half</w:t>
      </w:r>
      <w:r>
        <w:noBreakHyphen/>
        <w:t>hourly maximum demand is not to exceed —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(10)</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8 inserted in Gazette 22 Aug 2014 p. 3027</w:t>
      </w:r>
      <w:r>
        <w:noBreakHyphen/>
        <w:t>9.]</w:t>
      </w:r>
    </w:p>
    <w:p>
      <w:pPr>
        <w:pStyle w:val="yHeading5"/>
      </w:pPr>
      <w:bookmarkStart w:id="41" w:name="_Toc423441960"/>
      <w:bookmarkStart w:id="42" w:name="_Toc396399437"/>
      <w:r>
        <w:t>9.</w:t>
      </w:r>
      <w:r>
        <w:tab/>
        <w:t>Tariff A1 (residential tariff)</w:t>
      </w:r>
      <w:bookmarkEnd w:id="41"/>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47.1834 cents per day or, for multiple dwellings supplied through one metered supply point, a fixed charge at the rate of —</w:t>
      </w:r>
    </w:p>
    <w:p>
      <w:pPr>
        <w:pStyle w:val="yIndenti0"/>
      </w:pPr>
      <w:r>
        <w:tab/>
        <w:t>(i)</w:t>
      </w:r>
      <w:r>
        <w:tab/>
        <w:t>47.1834 cents per day for the first dwelling; and</w:t>
      </w:r>
    </w:p>
    <w:p>
      <w:pPr>
        <w:pStyle w:val="yIndenti0"/>
      </w:pPr>
      <w:r>
        <w:tab/>
        <w:t>(ii)</w:t>
      </w:r>
      <w:r>
        <w:tab/>
        <w:t>36.6357 cents per day for each additional dwelling;</w:t>
      </w:r>
    </w:p>
    <w:p>
      <w:pPr>
        <w:pStyle w:val="yIndenta"/>
      </w:pPr>
      <w:r>
        <w:tab/>
      </w:r>
      <w:r>
        <w:tab/>
        <w:t>and</w:t>
      </w:r>
    </w:p>
    <w:p>
      <w:pPr>
        <w:pStyle w:val="yIndenta"/>
      </w:pPr>
      <w:r>
        <w:tab/>
        <w:t>(b)</w:t>
      </w:r>
      <w:r>
        <w:tab/>
        <w:t>a charge for metered consumption at the rate of 25.7029 cents per unit.</w:t>
      </w:r>
    </w:p>
    <w:p>
      <w:pPr>
        <w:pStyle w:val="yFootnotesection"/>
      </w:pPr>
      <w:r>
        <w:tab/>
        <w:t>[Clause 9 inserted in Gazette 26 Jun 2015 p. 2242</w:t>
      </w:r>
      <w:r>
        <w:noBreakHyphen/>
        <w:t>3.]</w:t>
      </w:r>
    </w:p>
    <w:p>
      <w:pPr>
        <w:pStyle w:val="yHeading5"/>
      </w:pPr>
      <w:bookmarkStart w:id="43" w:name="_Toc423441961"/>
      <w:r>
        <w:t>10.</w:t>
      </w:r>
      <w:r>
        <w:tab/>
        <w:t>Tariff B1 (residential water heating tariff)</w:t>
      </w:r>
      <w:bookmarkEnd w:id="43"/>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24.0543 cents per day or, for multiple dwellings supplied through one metered supply point, a fixed charge at the rate of 24.0543 cents per day for each dwelling; and</w:t>
      </w:r>
    </w:p>
    <w:p>
      <w:pPr>
        <w:pStyle w:val="yIndenta"/>
      </w:pPr>
      <w:r>
        <w:tab/>
        <w:t>(b)</w:t>
      </w:r>
      <w:r>
        <w:tab/>
        <w:t>a charge for metered consumption at the rate of 13.2886 cents per unit.</w:t>
      </w:r>
    </w:p>
    <w:p>
      <w:pPr>
        <w:pStyle w:val="yFootnotesection"/>
      </w:pPr>
      <w:r>
        <w:tab/>
        <w:t>[Clause 10 inserted in Gazette 26 Jun 2015 p. 2243.]</w:t>
      </w:r>
    </w:p>
    <w:p>
      <w:pPr>
        <w:pStyle w:val="yHeading5"/>
      </w:pPr>
      <w:bookmarkStart w:id="44" w:name="_Toc423441962"/>
      <w:r>
        <w:t>11.</w:t>
      </w:r>
      <w:r>
        <w:tab/>
        <w:t>Tariff C1 (special community service tariff)</w:t>
      </w:r>
      <w:bookmarkEnd w:id="44"/>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42.5908 cents per day; and</w:t>
      </w:r>
    </w:p>
    <w:p>
      <w:pPr>
        <w:pStyle w:val="yIndenta"/>
      </w:pPr>
      <w:r>
        <w:tab/>
        <w:t>(b)</w:t>
      </w:r>
      <w:r>
        <w:tab/>
        <w:t xml:space="preserve">a charge for metered consumption at the rate of — </w:t>
      </w:r>
    </w:p>
    <w:p>
      <w:pPr>
        <w:pStyle w:val="yIndenti0"/>
      </w:pPr>
      <w:r>
        <w:tab/>
        <w:t>(i)</w:t>
      </w:r>
      <w:r>
        <w:tab/>
        <w:t>23.2156 cents per unit for the first 20 units per day; and</w:t>
      </w:r>
    </w:p>
    <w:p>
      <w:pPr>
        <w:pStyle w:val="yIndenti0"/>
      </w:pPr>
      <w:r>
        <w:tab/>
        <w:t>(ii)</w:t>
      </w:r>
      <w:r>
        <w:tab/>
        <w:t>29.0870 cents per unit for the next 1 630 units per day; and</w:t>
      </w:r>
    </w:p>
    <w:p>
      <w:pPr>
        <w:pStyle w:val="yIndenti0"/>
      </w:pPr>
      <w:r>
        <w:tab/>
        <w:t>(iii)</w:t>
      </w:r>
      <w:r>
        <w:tab/>
        <w:t>26.2464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11 inserted in Gazette 26 Jun 2015 p. 2243</w:t>
      </w:r>
      <w:r>
        <w:noBreakHyphen/>
        <w:t>4.]</w:t>
      </w:r>
    </w:p>
    <w:p>
      <w:pPr>
        <w:pStyle w:val="yHeading5"/>
      </w:pPr>
      <w:bookmarkStart w:id="45" w:name="_Toc423441963"/>
      <w:r>
        <w:t>12.</w:t>
      </w:r>
      <w:r>
        <w:tab/>
        <w:t>Tariff D1 (special tariff for certain premises)</w:t>
      </w:r>
      <w:bookmarkEnd w:id="45"/>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39.6778 cents per day; and</w:t>
      </w:r>
    </w:p>
    <w:p>
      <w:pPr>
        <w:pStyle w:val="yIndenta"/>
      </w:pPr>
      <w:r>
        <w:tab/>
        <w:t>(b)</w:t>
      </w:r>
      <w:r>
        <w:tab/>
        <w:t>if under subclause (3) there is deemed to be more than one equivalent domestic residence in the premises, a charge of 30.8080 cents per day for each equivalent domestic residence except the first that is deemed to be in the premises; and</w:t>
      </w:r>
    </w:p>
    <w:p>
      <w:pPr>
        <w:pStyle w:val="yIndenta"/>
      </w:pPr>
      <w:r>
        <w:tab/>
        <w:t>(c)</w:t>
      </w:r>
      <w:r>
        <w:tab/>
        <w:t>a charge for metered consumption at the rate of 21.6277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26 Jun 2015 p. 2244.]</w:t>
      </w:r>
    </w:p>
    <w:p>
      <w:pPr>
        <w:pStyle w:val="yHeading5"/>
      </w:pPr>
      <w:bookmarkStart w:id="46" w:name="_Toc423441964"/>
      <w:r>
        <w:t>13.</w:t>
      </w:r>
      <w:r>
        <w:tab/>
        <w:t>Tariff K1 (general supply with residential tariff)</w:t>
      </w:r>
      <w:bookmarkEnd w:id="46"/>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47.1834 cents per day; and</w:t>
      </w:r>
    </w:p>
    <w:p>
      <w:pPr>
        <w:pStyle w:val="yIndenta"/>
      </w:pPr>
      <w:r>
        <w:tab/>
        <w:t>(b)</w:t>
      </w:r>
      <w:r>
        <w:tab/>
        <w:t>a charge for metered consumption at the rate of —</w:t>
      </w:r>
    </w:p>
    <w:p>
      <w:pPr>
        <w:pStyle w:val="yIndenti0"/>
      </w:pPr>
      <w:r>
        <w:tab/>
        <w:t>(i)</w:t>
      </w:r>
      <w:r>
        <w:tab/>
        <w:t>25.7029 cents per unit for the first 20 units per day; and</w:t>
      </w:r>
    </w:p>
    <w:p>
      <w:pPr>
        <w:pStyle w:val="yIndenti0"/>
      </w:pPr>
      <w:r>
        <w:tab/>
        <w:t>(ii)</w:t>
      </w:r>
      <w:r>
        <w:tab/>
        <w:t>29.4275 cents per unit for the next 1 630 units per day; and</w:t>
      </w:r>
    </w:p>
    <w:p>
      <w:pPr>
        <w:pStyle w:val="yIndenti0"/>
      </w:pPr>
      <w:r>
        <w:tab/>
        <w:t>(iii)</w:t>
      </w:r>
      <w:r>
        <w:tab/>
        <w:t>26.5537 cents per unit for all units exceeding 1 650 units per day.</w:t>
      </w:r>
    </w:p>
    <w:p>
      <w:pPr>
        <w:pStyle w:val="yFootnotesection"/>
        <w:rPr>
          <w:rStyle w:val="CharSClsNo"/>
          <w:b/>
        </w:rPr>
      </w:pPr>
      <w:r>
        <w:tab/>
        <w:t>[Clause 13 inserted in Gazette 26 Jun 2015 p. 2244.]</w:t>
      </w:r>
    </w:p>
    <w:bookmarkEnd w:id="42"/>
    <w:bookmarkEnd w:id="30"/>
    <w:p>
      <w:pPr>
        <w:pStyle w:val="yEdnoteschedule"/>
      </w:pPr>
      <w:r>
        <w:t>[Schedule 2A deleted in Gazette 22 Aug 2014 p. 3031.]</w:t>
      </w:r>
    </w:p>
    <w:p>
      <w:pPr>
        <w:rPr>
          <w:u w:val="words"/>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7" w:name="_Toc423342539"/>
      <w:bookmarkStart w:id="48" w:name="_Toc423441965"/>
      <w:bookmarkStart w:id="49" w:name="_Toc391912296"/>
      <w:bookmarkStart w:id="50" w:name="_Toc396399442"/>
      <w:bookmarkStart w:id="51" w:name="_Toc416788126"/>
      <w:bookmarkStart w:id="52" w:name="_Toc416788161"/>
      <w:r>
        <w:rPr>
          <w:rStyle w:val="CharSchNo"/>
        </w:rPr>
        <w:t>Schedule 2</w:t>
      </w:r>
      <w:r>
        <w:t> — </w:t>
      </w:r>
      <w:r>
        <w:rPr>
          <w:rStyle w:val="CharSchText"/>
        </w:rPr>
        <w:t>Unmetered supply</w:t>
      </w:r>
      <w:bookmarkEnd w:id="47"/>
      <w:bookmarkEnd w:id="48"/>
    </w:p>
    <w:p>
      <w:pPr>
        <w:pStyle w:val="yShoulderClause"/>
      </w:pPr>
      <w:r>
        <w:t>[bl. 4(2) and (3)]</w:t>
      </w:r>
    </w:p>
    <w:p>
      <w:pPr>
        <w:pStyle w:val="yFootnoteheading"/>
        <w:spacing w:after="120"/>
      </w:pPr>
      <w:r>
        <w:tab/>
        <w:t>[Heading inserted in Gazette 26 Jun 2015 p. 2245.]</w:t>
      </w:r>
    </w:p>
    <w:p>
      <w:pPr>
        <w:pStyle w:val="yHeading3"/>
      </w:pPr>
      <w:bookmarkStart w:id="53" w:name="_Toc423342540"/>
      <w:bookmarkStart w:id="54" w:name="_Toc423441966"/>
      <w:r>
        <w:rPr>
          <w:rStyle w:val="CharSDivNo"/>
        </w:rPr>
        <w:t>Division 1</w:t>
      </w:r>
      <w:r>
        <w:t> — </w:t>
      </w:r>
      <w:r>
        <w:rPr>
          <w:rStyle w:val="CharSDivText"/>
        </w:rPr>
        <w:t>Street lighting</w:t>
      </w:r>
      <w:bookmarkEnd w:id="53"/>
      <w:bookmarkEnd w:id="54"/>
    </w:p>
    <w:p>
      <w:pPr>
        <w:pStyle w:val="yFootnoteheading"/>
        <w:spacing w:after="120"/>
      </w:pPr>
      <w:r>
        <w:tab/>
        <w:t>[Heading inserted in Gazette 26 Jun 2015 p. 2245.]</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34.7217</w:t>
            </w:r>
          </w:p>
        </w:tc>
        <w:tc>
          <w:tcPr>
            <w:tcW w:w="1512" w:type="dxa"/>
          </w:tcPr>
          <w:p>
            <w:pPr>
              <w:pStyle w:val="yTableNAm"/>
            </w:pPr>
            <w:r>
              <w:rPr>
                <w:sz w:val="16"/>
                <w:szCs w:val="16"/>
              </w:rPr>
              <w:t>35.4653</w:t>
            </w:r>
          </w:p>
        </w:tc>
        <w:tc>
          <w:tcPr>
            <w:tcW w:w="1370" w:type="dxa"/>
          </w:tcPr>
          <w:p>
            <w:pPr>
              <w:pStyle w:val="yTableNAm"/>
            </w:pPr>
            <w:r>
              <w:rPr>
                <w:sz w:val="16"/>
                <w:szCs w:val="16"/>
              </w:rPr>
              <w:t>38.1517</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40.8888</w:t>
            </w:r>
          </w:p>
        </w:tc>
        <w:tc>
          <w:tcPr>
            <w:tcW w:w="1512" w:type="dxa"/>
          </w:tcPr>
          <w:p>
            <w:pPr>
              <w:pStyle w:val="yTableNAm"/>
            </w:pPr>
            <w:r>
              <w:rPr>
                <w:sz w:val="16"/>
                <w:szCs w:val="16"/>
              </w:rPr>
              <w:t>41.8013</w:t>
            </w:r>
          </w:p>
        </w:tc>
        <w:tc>
          <w:tcPr>
            <w:tcW w:w="1370" w:type="dxa"/>
          </w:tcPr>
          <w:p>
            <w:pPr>
              <w:pStyle w:val="yTableNAm"/>
            </w:pPr>
            <w:r>
              <w:rPr>
                <w:sz w:val="16"/>
                <w:szCs w:val="16"/>
              </w:rPr>
              <w:t>45.9917</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50.5705</w:t>
            </w:r>
          </w:p>
        </w:tc>
        <w:tc>
          <w:tcPr>
            <w:tcW w:w="1512" w:type="dxa"/>
          </w:tcPr>
          <w:p>
            <w:pPr>
              <w:pStyle w:val="yTableNAm"/>
            </w:pPr>
            <w:r>
              <w:rPr>
                <w:sz w:val="16"/>
                <w:szCs w:val="16"/>
              </w:rPr>
              <w:t>52.2095</w:t>
            </w:r>
          </w:p>
        </w:tc>
        <w:tc>
          <w:tcPr>
            <w:tcW w:w="1370" w:type="dxa"/>
          </w:tcPr>
          <w:p>
            <w:pPr>
              <w:pStyle w:val="yTableNAm"/>
            </w:pPr>
            <w:r>
              <w:rPr>
                <w:sz w:val="16"/>
                <w:szCs w:val="16"/>
              </w:rPr>
              <w:t>58.1231</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51.7532</w:t>
            </w:r>
          </w:p>
        </w:tc>
        <w:tc>
          <w:tcPr>
            <w:tcW w:w="1512" w:type="dxa"/>
          </w:tcPr>
          <w:p>
            <w:pPr>
              <w:pStyle w:val="yTableNAm"/>
            </w:pPr>
            <w:r>
              <w:rPr>
                <w:sz w:val="16"/>
                <w:szCs w:val="16"/>
              </w:rPr>
              <w:t>53.4430</w:t>
            </w:r>
          </w:p>
        </w:tc>
        <w:tc>
          <w:tcPr>
            <w:tcW w:w="1370" w:type="dxa"/>
          </w:tcPr>
          <w:p>
            <w:pPr>
              <w:pStyle w:val="yTableNAm"/>
            </w:pPr>
            <w:r>
              <w:rPr>
                <w:sz w:val="16"/>
                <w:szCs w:val="16"/>
              </w:rPr>
              <w:t>60.2352</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62.7528</w:t>
            </w:r>
          </w:p>
        </w:tc>
        <w:tc>
          <w:tcPr>
            <w:tcW w:w="1512" w:type="dxa"/>
          </w:tcPr>
          <w:p>
            <w:pPr>
              <w:pStyle w:val="yTableNAm"/>
            </w:pPr>
            <w:r>
              <w:rPr>
                <w:sz w:val="16"/>
                <w:szCs w:val="16"/>
              </w:rPr>
              <w:t>65.9461</w:t>
            </w:r>
          </w:p>
        </w:tc>
        <w:tc>
          <w:tcPr>
            <w:tcW w:w="1370" w:type="dxa"/>
          </w:tcPr>
          <w:p>
            <w:pPr>
              <w:pStyle w:val="yTableNAm"/>
            </w:pPr>
            <w:r>
              <w:rPr>
                <w:sz w:val="16"/>
                <w:szCs w:val="16"/>
              </w:rPr>
              <w:t>77.8579</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92.9631</w:t>
            </w:r>
          </w:p>
        </w:tc>
        <w:tc>
          <w:tcPr>
            <w:tcW w:w="1512" w:type="dxa"/>
          </w:tcPr>
          <w:p>
            <w:pPr>
              <w:pStyle w:val="yTableNAm"/>
            </w:pPr>
            <w:r>
              <w:rPr>
                <w:sz w:val="16"/>
                <w:szCs w:val="16"/>
              </w:rPr>
              <w:t>97.8293</w:t>
            </w:r>
          </w:p>
        </w:tc>
        <w:tc>
          <w:tcPr>
            <w:tcW w:w="1370" w:type="dxa"/>
          </w:tcPr>
          <w:p>
            <w:pPr>
              <w:pStyle w:val="yTableNAm"/>
            </w:pPr>
            <w:r>
              <w:rPr>
                <w:sz w:val="16"/>
                <w:szCs w:val="16"/>
              </w:rPr>
              <w:t>116.4151</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47.9009</w:t>
            </w:r>
          </w:p>
        </w:tc>
        <w:tc>
          <w:tcPr>
            <w:tcW w:w="1512" w:type="dxa"/>
          </w:tcPr>
          <w:p>
            <w:pPr>
              <w:pStyle w:val="yTableNAm"/>
            </w:pPr>
            <w:r>
              <w:rPr>
                <w:sz w:val="16"/>
                <w:szCs w:val="16"/>
              </w:rPr>
              <w:t>49.6582</w:t>
            </w:r>
          </w:p>
        </w:tc>
        <w:tc>
          <w:tcPr>
            <w:tcW w:w="1370" w:type="dxa"/>
          </w:tcPr>
          <w:p>
            <w:pPr>
              <w:pStyle w:val="yTableNAm"/>
            </w:pPr>
            <w:r>
              <w:rPr>
                <w:sz w:val="16"/>
                <w:szCs w:val="16"/>
              </w:rPr>
              <w:t>59.4916</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71.0149</w:t>
            </w:r>
          </w:p>
        </w:tc>
        <w:tc>
          <w:tcPr>
            <w:tcW w:w="1512" w:type="dxa"/>
          </w:tcPr>
          <w:p>
            <w:pPr>
              <w:pStyle w:val="yTableNAm"/>
            </w:pPr>
            <w:r>
              <w:rPr>
                <w:sz w:val="16"/>
                <w:szCs w:val="16"/>
              </w:rPr>
              <w:t>74.7998</w:t>
            </w:r>
          </w:p>
        </w:tc>
        <w:tc>
          <w:tcPr>
            <w:tcW w:w="1370" w:type="dxa"/>
          </w:tcPr>
          <w:p>
            <w:pPr>
              <w:pStyle w:val="yTableNAm"/>
            </w:pPr>
            <w:r>
              <w:rPr>
                <w:sz w:val="16"/>
                <w:szCs w:val="16"/>
              </w:rPr>
              <w:t>89.3980</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259.2388</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81.3217</w:t>
            </w:r>
          </w:p>
        </w:tc>
        <w:tc>
          <w:tcPr>
            <w:tcW w:w="1512" w:type="dxa"/>
          </w:tcPr>
          <w:p>
            <w:pPr>
              <w:pStyle w:val="yTableNAm"/>
            </w:pPr>
            <w:r>
              <w:rPr>
                <w:sz w:val="16"/>
                <w:szCs w:val="16"/>
              </w:rPr>
              <w:t>84.4982</w:t>
            </w:r>
          </w:p>
        </w:tc>
        <w:tc>
          <w:tcPr>
            <w:tcW w:w="1370" w:type="dxa"/>
          </w:tcPr>
          <w:p>
            <w:pPr>
              <w:pStyle w:val="yTableNAm"/>
            </w:pPr>
            <w:r>
              <w:rPr>
                <w:sz w:val="16"/>
                <w:szCs w:val="16"/>
              </w:rPr>
              <w:t>96.4269</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111.5490</w:t>
            </w:r>
          </w:p>
        </w:tc>
        <w:tc>
          <w:tcPr>
            <w:tcW w:w="1512" w:type="dxa"/>
          </w:tcPr>
          <w:p>
            <w:pPr>
              <w:pStyle w:val="yTableNAm"/>
            </w:pPr>
            <w:r>
              <w:rPr>
                <w:sz w:val="16"/>
                <w:szCs w:val="16"/>
              </w:rPr>
              <w:t>116.4151</w:t>
            </w:r>
          </w:p>
        </w:tc>
        <w:tc>
          <w:tcPr>
            <w:tcW w:w="1370" w:type="dxa"/>
          </w:tcPr>
          <w:p>
            <w:pPr>
              <w:pStyle w:val="yTableNAm"/>
            </w:pPr>
            <w:r>
              <w:rPr>
                <w:sz w:val="16"/>
                <w:szCs w:val="16"/>
              </w:rPr>
              <w:t>134.9164</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72.0287</w:t>
            </w:r>
          </w:p>
        </w:tc>
        <w:tc>
          <w:tcPr>
            <w:tcW w:w="1512" w:type="dxa"/>
          </w:tcPr>
          <w:p>
            <w:pPr>
              <w:pStyle w:val="yTableNAm"/>
            </w:pPr>
            <w:r>
              <w:rPr>
                <w:sz w:val="16"/>
                <w:szCs w:val="16"/>
              </w:rPr>
              <w:t>75.1715</w:t>
            </w:r>
          </w:p>
        </w:tc>
        <w:tc>
          <w:tcPr>
            <w:tcW w:w="1370" w:type="dxa"/>
          </w:tcPr>
          <w:p>
            <w:pPr>
              <w:pStyle w:val="yTableNAm"/>
            </w:pPr>
            <w:r>
              <w:rPr>
                <w:sz w:val="16"/>
                <w:szCs w:val="16"/>
              </w:rPr>
              <w:t>87.1340</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81.3217</w:t>
            </w:r>
          </w:p>
        </w:tc>
        <w:tc>
          <w:tcPr>
            <w:tcW w:w="1512" w:type="dxa"/>
          </w:tcPr>
          <w:p>
            <w:pPr>
              <w:pStyle w:val="yTableNAm"/>
            </w:pPr>
            <w:r>
              <w:rPr>
                <w:sz w:val="16"/>
                <w:szCs w:val="16"/>
              </w:rPr>
              <w:t>84.4982</w:t>
            </w:r>
          </w:p>
        </w:tc>
        <w:tc>
          <w:tcPr>
            <w:tcW w:w="1370" w:type="dxa"/>
          </w:tcPr>
          <w:p>
            <w:pPr>
              <w:pStyle w:val="yTableNAm"/>
            </w:pPr>
            <w:r>
              <w:rPr>
                <w:sz w:val="16"/>
                <w:szCs w:val="16"/>
              </w:rPr>
              <w:t>96.4269</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102.2561</w:t>
            </w:r>
          </w:p>
        </w:tc>
        <w:tc>
          <w:tcPr>
            <w:tcW w:w="1512" w:type="dxa"/>
          </w:tcPr>
          <w:p>
            <w:pPr>
              <w:pStyle w:val="yTableNAm"/>
            </w:pPr>
            <w:r>
              <w:rPr>
                <w:sz w:val="16"/>
                <w:szCs w:val="16"/>
              </w:rPr>
              <w:t>107.1392</w:t>
            </w:r>
          </w:p>
        </w:tc>
        <w:tc>
          <w:tcPr>
            <w:tcW w:w="1370" w:type="dxa"/>
          </w:tcPr>
          <w:p>
            <w:pPr>
              <w:pStyle w:val="yTableNAm"/>
            </w:pPr>
            <w:r>
              <w:rPr>
                <w:sz w:val="16"/>
                <w:szCs w:val="16"/>
              </w:rPr>
              <w:t>125.6574</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111.5490</w:t>
            </w:r>
          </w:p>
        </w:tc>
        <w:tc>
          <w:tcPr>
            <w:tcW w:w="1512" w:type="dxa"/>
          </w:tcPr>
          <w:p>
            <w:pPr>
              <w:pStyle w:val="yTableNAm"/>
            </w:pPr>
            <w:r>
              <w:rPr>
                <w:sz w:val="16"/>
                <w:szCs w:val="16"/>
              </w:rPr>
              <w:t>116.4151</w:t>
            </w:r>
          </w:p>
        </w:tc>
        <w:tc>
          <w:tcPr>
            <w:tcW w:w="1370" w:type="dxa"/>
          </w:tcPr>
          <w:p>
            <w:pPr>
              <w:pStyle w:val="yTableNAm"/>
            </w:pPr>
            <w:r>
              <w:rPr>
                <w:sz w:val="16"/>
                <w:szCs w:val="16"/>
              </w:rPr>
              <w:t>134.9164</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73.9041</w:t>
            </w:r>
          </w:p>
        </w:tc>
        <w:tc>
          <w:tcPr>
            <w:tcW w:w="1512" w:type="dxa"/>
          </w:tcPr>
          <w:p>
            <w:pPr>
              <w:pStyle w:val="yTableNAm"/>
            </w:pPr>
            <w:r>
              <w:rPr>
                <w:sz w:val="16"/>
                <w:szCs w:val="16"/>
              </w:rPr>
              <w:t>75.6275</w:t>
            </w:r>
          </w:p>
        </w:tc>
        <w:tc>
          <w:tcPr>
            <w:tcW w:w="1370" w:type="dxa"/>
          </w:tcPr>
          <w:p>
            <w:pPr>
              <w:pStyle w:val="yTableNAm"/>
            </w:pPr>
            <w:r>
              <w:rPr>
                <w:sz w:val="16"/>
                <w:szCs w:val="16"/>
              </w:rPr>
              <w:t>85.4273</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84.9204</w:t>
            </w:r>
          </w:p>
        </w:tc>
        <w:tc>
          <w:tcPr>
            <w:tcW w:w="1512" w:type="dxa"/>
          </w:tcPr>
          <w:p>
            <w:pPr>
              <w:pStyle w:val="yTableNAm"/>
            </w:pPr>
            <w:r>
              <w:rPr>
                <w:sz w:val="16"/>
                <w:szCs w:val="16"/>
              </w:rPr>
              <w:t>88.7391</w:t>
            </w:r>
          </w:p>
        </w:tc>
        <w:tc>
          <w:tcPr>
            <w:tcW w:w="1370" w:type="dxa"/>
          </w:tcPr>
          <w:p>
            <w:pPr>
              <w:pStyle w:val="yTableNAm"/>
            </w:pPr>
            <w:r>
              <w:rPr>
                <w:sz w:val="16"/>
                <w:szCs w:val="16"/>
              </w:rPr>
              <w:t>103.3036</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98.7922</w:t>
            </w:r>
          </w:p>
        </w:tc>
        <w:tc>
          <w:tcPr>
            <w:tcW w:w="1512" w:type="dxa"/>
          </w:tcPr>
          <w:p>
            <w:pPr>
              <w:pStyle w:val="yTableNAm"/>
            </w:pPr>
            <w:r>
              <w:rPr>
                <w:sz w:val="16"/>
                <w:szCs w:val="16"/>
              </w:rPr>
              <w:t>102.6616</w:t>
            </w:r>
          </w:p>
        </w:tc>
        <w:tc>
          <w:tcPr>
            <w:tcW w:w="1370" w:type="dxa"/>
          </w:tcPr>
          <w:p>
            <w:pPr>
              <w:pStyle w:val="yTableNAm"/>
            </w:pPr>
            <w:r>
              <w:rPr>
                <w:sz w:val="16"/>
                <w:szCs w:val="16"/>
              </w:rPr>
              <w:t>117.2430</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34.7218</w:t>
            </w:r>
          </w:p>
        </w:tc>
        <w:tc>
          <w:tcPr>
            <w:tcW w:w="1512" w:type="dxa"/>
          </w:tcPr>
          <w:p>
            <w:pPr>
              <w:pStyle w:val="yTableNAm"/>
            </w:pPr>
            <w:r>
              <w:rPr>
                <w:sz w:val="16"/>
                <w:szCs w:val="16"/>
              </w:rPr>
              <w:t>35.4652</w:t>
            </w:r>
          </w:p>
        </w:tc>
        <w:tc>
          <w:tcPr>
            <w:tcW w:w="1370" w:type="dxa"/>
          </w:tcPr>
          <w:p>
            <w:pPr>
              <w:pStyle w:val="yTableNAm"/>
            </w:pPr>
            <w:r>
              <w:rPr>
                <w:sz w:val="16"/>
                <w:szCs w:val="16"/>
              </w:rPr>
              <w:t>38.1516</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34.7217</w:t>
            </w:r>
          </w:p>
        </w:tc>
        <w:tc>
          <w:tcPr>
            <w:tcW w:w="1512" w:type="dxa"/>
          </w:tcPr>
          <w:p>
            <w:pPr>
              <w:pStyle w:val="yTableNAm"/>
            </w:pPr>
            <w:r>
              <w:rPr>
                <w:sz w:val="16"/>
                <w:szCs w:val="16"/>
              </w:rPr>
              <w:t>35.4652</w:t>
            </w:r>
          </w:p>
        </w:tc>
        <w:tc>
          <w:tcPr>
            <w:tcW w:w="1370" w:type="dxa"/>
          </w:tcPr>
          <w:p>
            <w:pPr>
              <w:pStyle w:val="yTableNAm"/>
            </w:pPr>
            <w:r>
              <w:rPr>
                <w:sz w:val="16"/>
                <w:szCs w:val="16"/>
              </w:rPr>
              <w:t>38.1515</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40.8890</w:t>
            </w:r>
          </w:p>
        </w:tc>
        <w:tc>
          <w:tcPr>
            <w:tcW w:w="1512" w:type="dxa"/>
          </w:tcPr>
          <w:p>
            <w:pPr>
              <w:pStyle w:val="yTableNAm"/>
            </w:pPr>
            <w:r>
              <w:rPr>
                <w:sz w:val="16"/>
                <w:szCs w:val="16"/>
              </w:rPr>
              <w:t>41.8013</w:t>
            </w:r>
          </w:p>
        </w:tc>
        <w:tc>
          <w:tcPr>
            <w:tcW w:w="1370" w:type="dxa"/>
          </w:tcPr>
          <w:p>
            <w:pPr>
              <w:pStyle w:val="yTableNAm"/>
            </w:pPr>
            <w:r>
              <w:rPr>
                <w:sz w:val="16"/>
                <w:szCs w:val="16"/>
              </w:rPr>
              <w:t>45.9917</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50.5705</w:t>
            </w:r>
          </w:p>
        </w:tc>
        <w:tc>
          <w:tcPr>
            <w:tcW w:w="1512" w:type="dxa"/>
          </w:tcPr>
          <w:p>
            <w:pPr>
              <w:pStyle w:val="yTableNAm"/>
            </w:pPr>
            <w:r>
              <w:rPr>
                <w:sz w:val="16"/>
                <w:szCs w:val="16"/>
              </w:rPr>
              <w:t>52.2093</w:t>
            </w:r>
          </w:p>
        </w:tc>
        <w:tc>
          <w:tcPr>
            <w:tcW w:w="1370" w:type="dxa"/>
          </w:tcPr>
          <w:p>
            <w:pPr>
              <w:pStyle w:val="yTableNAm"/>
            </w:pPr>
            <w:r>
              <w:rPr>
                <w:sz w:val="16"/>
                <w:szCs w:val="16"/>
              </w:rPr>
              <w:t>58.1230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81.3216</w:t>
            </w:r>
          </w:p>
        </w:tc>
        <w:tc>
          <w:tcPr>
            <w:tcW w:w="1512" w:type="dxa"/>
          </w:tcPr>
          <w:p>
            <w:pPr>
              <w:pStyle w:val="yTableNAm"/>
            </w:pPr>
            <w:r>
              <w:rPr>
                <w:sz w:val="16"/>
                <w:szCs w:val="16"/>
              </w:rPr>
              <w:t>84.4980</w:t>
            </w:r>
          </w:p>
        </w:tc>
        <w:tc>
          <w:tcPr>
            <w:tcW w:w="1370" w:type="dxa"/>
          </w:tcPr>
          <w:p>
            <w:pPr>
              <w:pStyle w:val="yTableNAm"/>
            </w:pPr>
            <w:r>
              <w:rPr>
                <w:sz w:val="16"/>
                <w:szCs w:val="16"/>
              </w:rPr>
              <w:t>96.4268</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34.7217</w:t>
            </w:r>
          </w:p>
        </w:tc>
        <w:tc>
          <w:tcPr>
            <w:tcW w:w="1512" w:type="dxa"/>
          </w:tcPr>
          <w:p>
            <w:pPr>
              <w:pStyle w:val="yTableNAm"/>
            </w:pPr>
            <w:r>
              <w:rPr>
                <w:sz w:val="16"/>
                <w:szCs w:val="16"/>
              </w:rPr>
              <w:t>35.4652</w:t>
            </w:r>
          </w:p>
        </w:tc>
        <w:tc>
          <w:tcPr>
            <w:tcW w:w="1370" w:type="dxa"/>
          </w:tcPr>
          <w:p>
            <w:pPr>
              <w:pStyle w:val="yTableNAm"/>
            </w:pPr>
            <w:r>
              <w:rPr>
                <w:sz w:val="16"/>
                <w:szCs w:val="16"/>
              </w:rPr>
              <w:t>38.1516</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40.8888</w:t>
            </w:r>
          </w:p>
        </w:tc>
        <w:tc>
          <w:tcPr>
            <w:tcW w:w="1512" w:type="dxa"/>
          </w:tcPr>
          <w:p>
            <w:pPr>
              <w:pStyle w:val="yTableNAm"/>
            </w:pPr>
            <w:r>
              <w:rPr>
                <w:sz w:val="16"/>
                <w:szCs w:val="16"/>
              </w:rPr>
              <w:t>41.8013</w:t>
            </w:r>
          </w:p>
        </w:tc>
        <w:tc>
          <w:tcPr>
            <w:tcW w:w="1370" w:type="dxa"/>
          </w:tcPr>
          <w:p>
            <w:pPr>
              <w:pStyle w:val="yTableNAm"/>
            </w:pPr>
            <w:r>
              <w:rPr>
                <w:sz w:val="16"/>
                <w:szCs w:val="16"/>
              </w:rPr>
              <w:t>45.9917</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57.1940</w:t>
            </w:r>
          </w:p>
        </w:tc>
        <w:tc>
          <w:tcPr>
            <w:tcW w:w="1512" w:type="dxa"/>
            <w:tcBorders>
              <w:bottom w:val="single" w:sz="4" w:space="0" w:color="auto"/>
            </w:tcBorders>
          </w:tcPr>
          <w:p>
            <w:pPr>
              <w:pStyle w:val="yTableNAm"/>
            </w:pPr>
            <w:r>
              <w:rPr>
                <w:sz w:val="16"/>
                <w:szCs w:val="16"/>
              </w:rPr>
              <w:t>57.9878</w:t>
            </w:r>
          </w:p>
        </w:tc>
        <w:tc>
          <w:tcPr>
            <w:tcW w:w="1370" w:type="dxa"/>
            <w:tcBorders>
              <w:bottom w:val="single" w:sz="4" w:space="0" w:color="auto"/>
            </w:tcBorders>
          </w:tcPr>
          <w:p>
            <w:pPr>
              <w:pStyle w:val="yTableNAm"/>
            </w:pPr>
            <w:r>
              <w:rPr>
                <w:sz w:val="16"/>
                <w:szCs w:val="16"/>
              </w:rPr>
              <w:t>67.2807</w:t>
            </w:r>
          </w:p>
        </w:tc>
      </w:tr>
    </w:tbl>
    <w:p>
      <w:pPr>
        <w:pStyle w:val="yFootnotesection"/>
      </w:pPr>
      <w:r>
        <w:tab/>
        <w:t>[Division 1 inserted in Gazette 26 Jun 2015 p. 2245</w:t>
      </w:r>
      <w:r>
        <w:noBreakHyphen/>
        <w:t>6.]</w:t>
      </w:r>
    </w:p>
    <w:p>
      <w:pPr>
        <w:pStyle w:val="yHeading3"/>
      </w:pPr>
      <w:bookmarkStart w:id="55" w:name="_Toc423342541"/>
      <w:bookmarkStart w:id="56" w:name="_Toc423441967"/>
      <w:r>
        <w:rPr>
          <w:rStyle w:val="CharSDivNo"/>
        </w:rPr>
        <w:t>Division 2</w:t>
      </w:r>
      <w:r>
        <w:t> — </w:t>
      </w:r>
      <w:r>
        <w:rPr>
          <w:rStyle w:val="CharSDivText"/>
        </w:rPr>
        <w:t>Miscellaneous</w:t>
      </w:r>
      <w:bookmarkEnd w:id="55"/>
      <w:bookmarkEnd w:id="56"/>
    </w:p>
    <w:p>
      <w:pPr>
        <w:pStyle w:val="yFootnoteheading"/>
        <w:spacing w:after="120"/>
      </w:pPr>
      <w:r>
        <w:tab/>
        <w:t>[Heading inserted in Gazette 26 Jun 2015 p. 2246.]</w:t>
      </w:r>
    </w:p>
    <w:p>
      <w:pPr>
        <w:pStyle w:val="yHeading5"/>
      </w:pPr>
      <w:bookmarkStart w:id="57" w:name="_Toc423441968"/>
      <w:r>
        <w:rPr>
          <w:rStyle w:val="CharSClsNo"/>
        </w:rPr>
        <w:t>1</w:t>
      </w:r>
      <w:r>
        <w:t>.</w:t>
      </w:r>
      <w:r>
        <w:tab/>
        <w:t>Traffic light installation</w:t>
      </w:r>
      <w:bookmarkEnd w:id="57"/>
    </w:p>
    <w:p>
      <w:pPr>
        <w:pStyle w:val="ySubsection"/>
      </w:pPr>
      <w:r>
        <w:tab/>
      </w:r>
      <w:r>
        <w:tab/>
        <w:t>Supply of electricity to traffic light installations comprises a charge of $6.0285 per day per kW of installed wattage.</w:t>
      </w:r>
    </w:p>
    <w:p>
      <w:pPr>
        <w:pStyle w:val="yFootnotesection"/>
      </w:pPr>
      <w:r>
        <w:tab/>
        <w:t>[Clause 1 inserted in Gazette 26 Jun 2015 p. 2246.]</w:t>
      </w:r>
    </w:p>
    <w:p>
      <w:pPr>
        <w:pStyle w:val="yHeading5"/>
      </w:pPr>
      <w:bookmarkStart w:id="58" w:name="_Toc423441969"/>
      <w:r>
        <w:rPr>
          <w:rStyle w:val="CharSClsNo"/>
        </w:rPr>
        <w:t>2</w:t>
      </w:r>
      <w:r>
        <w:t>.</w:t>
      </w:r>
      <w:r>
        <w:tab/>
        <w:t>Public telephone facility</w:t>
      </w:r>
      <w:bookmarkEnd w:id="58"/>
    </w:p>
    <w:p>
      <w:pPr>
        <w:pStyle w:val="ySubsection"/>
      </w:pPr>
      <w:r>
        <w:tab/>
      </w:r>
      <w:r>
        <w:tab/>
        <w:t>Supply of electricity to a standard public telephone facility where supply is not independently metered comprises a charge of 52.5370 cents per day.</w:t>
      </w:r>
    </w:p>
    <w:p>
      <w:pPr>
        <w:pStyle w:val="yFootnotesection"/>
      </w:pPr>
      <w:r>
        <w:tab/>
        <w:t>[Clause 2 inserted in Gazette 26 Jun 2015 p. 2246.]</w:t>
      </w:r>
    </w:p>
    <w:p>
      <w:pPr>
        <w:pStyle w:val="yHeading5"/>
      </w:pPr>
      <w:bookmarkStart w:id="59" w:name="_Toc423441970"/>
      <w:r>
        <w:rPr>
          <w:rStyle w:val="CharSClsNo"/>
        </w:rPr>
        <w:t>3</w:t>
      </w:r>
      <w:r>
        <w:t>.</w:t>
      </w:r>
      <w:r>
        <w:tab/>
        <w:t>Railway crossing</w:t>
      </w:r>
      <w:bookmarkEnd w:id="59"/>
    </w:p>
    <w:p>
      <w:pPr>
        <w:pStyle w:val="ySubsection"/>
      </w:pPr>
      <w:r>
        <w:tab/>
      </w:r>
      <w:r>
        <w:tab/>
        <w:t>Supply of electricity to standard railway crossing lights comprises a charge of 67.1387 cents per day.</w:t>
      </w:r>
    </w:p>
    <w:p>
      <w:pPr>
        <w:pStyle w:val="yFootnotesection"/>
        <w:rPr>
          <w:rStyle w:val="CharSchNo"/>
          <w:snapToGrid/>
        </w:rPr>
      </w:pPr>
      <w:r>
        <w:tab/>
        <w:t>[Clause 3 inserted in Gazette 26 Jun 2015 p. 2246.]</w:t>
      </w:r>
    </w:p>
    <w:bookmarkEnd w:id="49"/>
    <w:bookmarkEnd w:id="50"/>
    <w:bookmarkEnd w:id="51"/>
    <w:bookmarkEnd w:id="52"/>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0" w:name="_Toc391912302"/>
      <w:bookmarkStart w:id="61" w:name="_Toc396399448"/>
      <w:bookmarkStart w:id="62" w:name="_Toc416788132"/>
      <w:bookmarkStart w:id="63" w:name="_Toc416788167"/>
      <w:bookmarkStart w:id="64" w:name="_Toc423342545"/>
      <w:bookmarkStart w:id="65" w:name="_Toc423441971"/>
      <w:r>
        <w:rPr>
          <w:rStyle w:val="CharSchNo"/>
        </w:rPr>
        <w:t>Schedule 3</w:t>
      </w:r>
      <w:r>
        <w:rPr>
          <w:rStyle w:val="CharSDivNo"/>
        </w:rPr>
        <w:t> </w:t>
      </w:r>
      <w:r>
        <w:t>—</w:t>
      </w:r>
      <w:r>
        <w:rPr>
          <w:rStyle w:val="CharSDivText"/>
        </w:rPr>
        <w:t> </w:t>
      </w:r>
      <w:r>
        <w:rPr>
          <w:rStyle w:val="CharSchText"/>
        </w:rPr>
        <w:t>Meter rental</w:t>
      </w:r>
      <w:bookmarkEnd w:id="60"/>
      <w:bookmarkEnd w:id="61"/>
      <w:bookmarkEnd w:id="62"/>
      <w:bookmarkEnd w:id="63"/>
      <w:bookmarkEnd w:id="64"/>
      <w:bookmarkEnd w:id="65"/>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66" w:name="_Toc391912303"/>
      <w:bookmarkStart w:id="67" w:name="_Toc396399449"/>
      <w:bookmarkStart w:id="68" w:name="_Toc416788133"/>
      <w:bookmarkStart w:id="69" w:name="_Toc416788168"/>
      <w:bookmarkStart w:id="70" w:name="_Toc423342546"/>
      <w:bookmarkStart w:id="71" w:name="_Toc423441972"/>
      <w:r>
        <w:rPr>
          <w:rStyle w:val="CharSchNo"/>
        </w:rPr>
        <w:t>Schedule 4</w:t>
      </w:r>
      <w:r>
        <w:rPr>
          <w:rStyle w:val="CharSDivNo"/>
        </w:rPr>
        <w:t> </w:t>
      </w:r>
      <w:r>
        <w:t>—</w:t>
      </w:r>
      <w:r>
        <w:rPr>
          <w:rStyle w:val="CharSDivText"/>
        </w:rPr>
        <w:t> </w:t>
      </w:r>
      <w:r>
        <w:rPr>
          <w:rStyle w:val="CharSchText"/>
        </w:rPr>
        <w:t>Fees</w:t>
      </w:r>
      <w:bookmarkEnd w:id="66"/>
      <w:bookmarkEnd w:id="67"/>
      <w:bookmarkEnd w:id="68"/>
      <w:bookmarkEnd w:id="69"/>
      <w:bookmarkEnd w:id="70"/>
      <w:bookmarkEnd w:id="71"/>
    </w:p>
    <w:p>
      <w:pPr>
        <w:pStyle w:val="yShoulderClause"/>
        <w:spacing w:before="60" w:after="120"/>
      </w:pPr>
      <w:r>
        <w:rPr>
          <w:szCs w:val="22"/>
        </w:rPr>
        <w:t>[bl. 7]</w:t>
      </w:r>
    </w:p>
    <w:p>
      <w:pPr>
        <w:pStyle w:val="yFootnoteheading"/>
        <w:spacing w:after="120"/>
      </w:pPr>
      <w:r>
        <w:tab/>
        <w:t>[Heading amended in Gazette 22 Aug 2014 p. 3032.]</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Pr>
          <w:p>
            <w:pPr>
              <w:pStyle w:val="yTableNAm"/>
              <w:keepNext/>
              <w:ind w:left="556" w:hanging="556"/>
            </w:pPr>
            <w:r>
              <w:t>11.</w:t>
            </w:r>
            <w:r>
              <w:tab/>
              <w:t>Tariff R1 or R3 “time</w:t>
            </w:r>
            <w:r>
              <w:noBreakHyphen/>
              <w:t>of</w:t>
            </w:r>
            <w:r>
              <w:noBreakHyphen/>
              <w:t>use meter” installation fee ..</w:t>
            </w:r>
          </w:p>
        </w:tc>
        <w:tc>
          <w:tcPr>
            <w:tcW w:w="1482" w:type="dxa"/>
          </w:tcPr>
          <w:p>
            <w:pPr>
              <w:pStyle w:val="yTableNAm"/>
              <w:keepNext/>
            </w:pPr>
            <w:r>
              <w:t>$809.60</w:t>
            </w:r>
          </w:p>
        </w:tc>
      </w:tr>
      <w:tr>
        <w:tc>
          <w:tcPr>
            <w:tcW w:w="5586" w:type="dxa"/>
          </w:tcPr>
          <w:p>
            <w:pPr>
              <w:pStyle w:val="yTableNAm"/>
              <w:keepNext/>
              <w:ind w:left="556" w:hanging="556"/>
            </w:pPr>
            <w:r>
              <w:t>12.</w:t>
            </w:r>
            <w:r>
              <w:tab/>
              <w:t>A transaction fee where a consumer makes a payment to the corporation by means of one of the following — </w:t>
            </w:r>
          </w:p>
        </w:tc>
        <w:tc>
          <w:tcPr>
            <w:tcW w:w="1482" w:type="dxa"/>
          </w:tcPr>
          <w:p>
            <w:pPr>
              <w:pStyle w:val="yTableNAm"/>
              <w:keepNext/>
            </w:pPr>
          </w:p>
        </w:tc>
      </w:tr>
      <w:tr>
        <w:tc>
          <w:tcPr>
            <w:tcW w:w="5586" w:type="dxa"/>
          </w:tcPr>
          <w:p>
            <w:pPr>
              <w:pStyle w:val="yTableNAm"/>
              <w:keepNext/>
              <w:tabs>
                <w:tab w:val="left" w:pos="1156"/>
                <w:tab w:val="right" w:leader="dot" w:pos="5273"/>
              </w:tabs>
              <w:ind w:left="1156" w:hanging="1156"/>
            </w:pPr>
            <w:r>
              <w:tab/>
              <w:t>(a)</w:t>
            </w:r>
            <w:r>
              <w:tab/>
              <w:t xml:space="preserve">a Visa or a MasterCard credit card or debit card </w:t>
            </w:r>
            <w:r>
              <w:tab/>
            </w:r>
          </w:p>
        </w:tc>
        <w:tc>
          <w:tcPr>
            <w:tcW w:w="1482" w:type="dxa"/>
          </w:tcPr>
          <w:p>
            <w:pPr>
              <w:pStyle w:val="yTableNAm"/>
              <w:keepNext/>
            </w:pPr>
            <w:r>
              <w:br/>
              <w:t>0.53% of the amount of the charge</w:t>
            </w:r>
          </w:p>
        </w:tc>
      </w:tr>
      <w:tr>
        <w:tc>
          <w:tcPr>
            <w:tcW w:w="5586" w:type="dxa"/>
            <w:tcBorders>
              <w:bottom w:val="single" w:sz="4" w:space="0" w:color="auto"/>
            </w:tcBorders>
          </w:tcPr>
          <w:p>
            <w:pPr>
              <w:pStyle w:val="yTableNAm"/>
              <w:tabs>
                <w:tab w:val="left" w:pos="1156"/>
                <w:tab w:val="right" w:leader="dot" w:pos="5273"/>
              </w:tabs>
              <w:ind w:left="1156" w:hanging="1156"/>
            </w:pPr>
            <w:r>
              <w:tab/>
              <w:t>(b)</w:t>
            </w:r>
            <w:r>
              <w:tab/>
              <w:t>an American Express credit card</w:t>
            </w:r>
            <w:r>
              <w:tab/>
            </w:r>
          </w:p>
        </w:tc>
        <w:tc>
          <w:tcPr>
            <w:tcW w:w="1482" w:type="dxa"/>
            <w:tcBorders>
              <w:bottom w:val="single" w:sz="4" w:space="0" w:color="auto"/>
            </w:tcBorders>
          </w:tcPr>
          <w:p>
            <w:pPr>
              <w:pStyle w:val="yTableNAm"/>
              <w:keepNext/>
            </w:pPr>
            <w:r>
              <w:t>1.68% of the amount of the charge</w:t>
            </w:r>
          </w:p>
        </w:tc>
      </w:tr>
    </w:tbl>
    <w:p>
      <w:pPr>
        <w:pStyle w:val="yFootnotesection"/>
      </w:pPr>
      <w:r>
        <w:tab/>
        <w:t>[Schedule 4 amended in Gazette 26 Jun 2007 p. 3017; 30 Mar 2009 p. 982 and 994; 26 Mar 2010 p. 1138 and 1141-2; 24 Jun 2011 p. 2502; 29 Jun 2012 p. 2926; 30 Aug 2013 p. 4100; 27 Jun 2014 p. 2319.]</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72" w:name="_Toc391912304"/>
      <w:bookmarkStart w:id="73" w:name="_Toc396399450"/>
      <w:bookmarkStart w:id="74" w:name="_Toc416788134"/>
      <w:bookmarkStart w:id="75" w:name="_Toc416788169"/>
      <w:bookmarkStart w:id="76" w:name="_Toc423342547"/>
      <w:bookmarkStart w:id="77" w:name="_Toc423441973"/>
      <w:r>
        <w:t>Notes</w:t>
      </w:r>
      <w:bookmarkEnd w:id="72"/>
      <w:bookmarkEnd w:id="73"/>
      <w:bookmarkEnd w:id="74"/>
      <w:bookmarkEnd w:id="75"/>
      <w:bookmarkEnd w:id="76"/>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78" w:name="_Toc396399451"/>
      <w:bookmarkStart w:id="79" w:name="_Toc423441974"/>
      <w:r>
        <w:t>Compilation table</w:t>
      </w:r>
      <w:bookmarkEnd w:id="78"/>
      <w:bookmarkEnd w:id="7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By-laws  2015</w:t>
            </w:r>
          </w:p>
        </w:tc>
        <w:tc>
          <w:tcPr>
            <w:tcW w:w="1276" w:type="dxa"/>
            <w:tcBorders>
              <w:bottom w:val="single" w:sz="4" w:space="0" w:color="auto"/>
            </w:tcBorders>
            <w:shd w:val="clear" w:color="auto" w:fill="auto"/>
          </w:tcPr>
          <w:p>
            <w:pPr>
              <w:pStyle w:val="nTable"/>
              <w:spacing w:after="40"/>
            </w:pPr>
            <w:r>
              <w:t>26 Jun 2015 p. 2239</w:t>
            </w:r>
            <w:r>
              <w:noBreakHyphen/>
              <w:t>46</w:t>
            </w:r>
          </w:p>
        </w:tc>
        <w:tc>
          <w:tcPr>
            <w:tcW w:w="2694" w:type="dxa"/>
            <w:tcBorders>
              <w:bottom w:val="single" w:sz="4" w:space="0" w:color="auto"/>
            </w:tcBorders>
            <w:shd w:val="clear" w:color="auto" w:fill="auto"/>
          </w:tcPr>
          <w:p>
            <w:pPr>
              <w:pStyle w:val="nTable"/>
              <w:spacing w:after="40"/>
            </w:pPr>
            <w:r>
              <w:t>bl. 1 and 2: 26 Jun 2015 (see bl. 2(a));</w:t>
            </w:r>
            <w:r>
              <w:br/>
              <w:t>By-laws other than bl. 1 and 2: 1 Jul 2015 (see bl. 2(b))</w:t>
            </w:r>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1" w:name="_Toc416788171"/>
      <w:bookmarkStart w:id="82" w:name="_Toc423342549"/>
      <w:bookmarkStart w:id="83" w:name="_Toc423441975"/>
      <w:r>
        <w:rPr>
          <w:sz w:val="28"/>
        </w:rPr>
        <w:t>Defined terms</w:t>
      </w:r>
      <w:bookmarkEnd w:id="81"/>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cr/>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cr/>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7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5094</Words>
  <Characters>25014</Characters>
  <Application>Microsoft Office Word</Application>
  <DocSecurity>0</DocSecurity>
  <Lines>962</Lines>
  <Paragraphs>700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2006 - 03-d0-01</dc:title>
  <dc:subject/>
  <dc:creator/>
  <cp:keywords/>
  <dc:description/>
  <cp:lastModifiedBy>svcMRProcess</cp:lastModifiedBy>
  <cp:revision>4</cp:revision>
  <cp:lastPrinted>2014-03-19T07:03:00Z</cp:lastPrinted>
  <dcterms:created xsi:type="dcterms:W3CDTF">2020-02-24T15:18:00Z</dcterms:created>
  <dcterms:modified xsi:type="dcterms:W3CDTF">2020-02-24T15:18:00Z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Jul 2015</vt:lpwstr>
  </property>
  <property fmtid="{D5CDD505-2E9C-101B-9397-08002B2CF9AE}" pid="8" name="Suffix">
    <vt:lpwstr>03-d0-01</vt:lpwstr>
  </property>
  <property fmtid="{D5CDD505-2E9C-101B-9397-08002B2CF9AE}" pid="9" name="CommencementDate">
    <vt:lpwstr>20150701</vt:lpwstr>
  </property>
</Properties>
</file>